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2B" w:rsidRPr="003C61E9" w:rsidRDefault="0007704B">
      <w:pPr>
        <w:sectPr w:rsidR="007D7B2B" w:rsidRPr="003C61E9">
          <w:pgSz w:w="11906" w:h="16838"/>
          <w:pgMar w:top="1440" w:right="1800" w:bottom="1440" w:left="1800" w:header="708" w:footer="708" w:gutter="0"/>
          <w:cols w:space="708"/>
          <w:docGrid w:linePitch="360"/>
        </w:sectPr>
      </w:pPr>
      <w:r>
        <w:rPr>
          <w:noProof/>
        </w:rPr>
        <mc:AlternateContent>
          <mc:Choice Requires="wps">
            <w:drawing>
              <wp:anchor distT="0" distB="0" distL="114300" distR="114300" simplePos="0" relativeHeight="251657216" behindDoc="0" locked="1" layoutInCell="1" allowOverlap="1" wp14:anchorId="4AF5C388" wp14:editId="515B231A">
                <wp:simplePos x="0" y="0"/>
                <wp:positionH relativeFrom="page">
                  <wp:posOffset>2520315</wp:posOffset>
                </wp:positionH>
                <wp:positionV relativeFrom="page">
                  <wp:posOffset>7237095</wp:posOffset>
                </wp:positionV>
                <wp:extent cx="4679950" cy="1727835"/>
                <wp:effectExtent l="0" t="0" r="635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72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73E" w:rsidRPr="005E72F7" w:rsidRDefault="00A5173E" w:rsidP="003A08F0">
                            <w:pPr>
                              <w:pStyle w:val="Title"/>
                            </w:pPr>
                            <w:r w:rsidRPr="005E72F7">
                              <w:t xml:space="preserve">Valsts izglītības informācijas sistēmas </w:t>
                            </w:r>
                            <w:r>
                              <w:t xml:space="preserve">(VIIS) </w:t>
                            </w:r>
                            <w:r w:rsidRPr="005E72F7">
                              <w:t>attīstības koncepcija</w:t>
                            </w:r>
                          </w:p>
                          <w:p w:rsidR="00A5173E" w:rsidRPr="005E72F7" w:rsidRDefault="00A5173E" w:rsidP="00F2587F">
                            <w:pPr>
                              <w:pStyle w:val="Subtitle"/>
                            </w:pPr>
                          </w:p>
                          <w:p w:rsidR="00A5173E" w:rsidRPr="005E72F7" w:rsidRDefault="00A5173E" w:rsidP="007463AE">
                            <w:pPr>
                              <w:pStyle w:val="Subtitle"/>
                            </w:pPr>
                          </w:p>
                          <w:p w:rsidR="00A5173E" w:rsidRPr="005E72F7" w:rsidRDefault="00A5173E" w:rsidP="007463AE">
                            <w:pPr>
                              <w:pStyle w:val="Subtitle"/>
                            </w:pPr>
                            <w:r>
                              <w:t>2014.gada 2</w:t>
                            </w:r>
                            <w:r w:rsidR="00B0385F">
                              <w:t>7</w:t>
                            </w:r>
                            <w:r>
                              <w:t>.maijā</w:t>
                            </w:r>
                          </w:p>
                        </w:txbxContent>
                      </wps:txbx>
                      <wps:bodyPr rot="0" vert="horz" wrap="square" lIns="288000" tIns="288000" rIns="288000" bIns="28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8.45pt;margin-top:569.85pt;width:368.5pt;height:13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" stroked="f">
                <v:textbox inset="8mm,8mm,8mm,8mm">
                  <w:txbxContent>
                    <w:p w:rsidR="00A5173E" w:rsidRPr="005E72F7" w:rsidRDefault="00A5173E" w:rsidP="003A08F0">
                      <w:pPr>
                        <w:pStyle w:val="Title"/>
                      </w:pPr>
                      <w:r w:rsidRPr="005E72F7">
                        <w:t xml:space="preserve">Valsts izglītības informācijas sistēmas </w:t>
                      </w:r>
                      <w:r>
                        <w:t xml:space="preserve">(VIIS) </w:t>
                      </w:r>
                      <w:r w:rsidRPr="005E72F7">
                        <w:t>attīstības koncepcija</w:t>
                      </w:r>
                    </w:p>
                    <w:p w:rsidR="00A5173E" w:rsidRPr="005E72F7" w:rsidRDefault="00A5173E" w:rsidP="00F2587F">
                      <w:pPr>
                        <w:pStyle w:val="Subtitle"/>
                      </w:pPr>
                    </w:p>
                    <w:p w:rsidR="00A5173E" w:rsidRPr="005E72F7" w:rsidRDefault="00A5173E" w:rsidP="007463AE">
                      <w:pPr>
                        <w:pStyle w:val="Subtitle"/>
                      </w:pPr>
                    </w:p>
                    <w:p w:rsidR="00A5173E" w:rsidRPr="005E72F7" w:rsidRDefault="00A5173E" w:rsidP="007463AE">
                      <w:pPr>
                        <w:pStyle w:val="Subtitle"/>
                      </w:pPr>
                      <w:r>
                        <w:t>2014.gada 2</w:t>
                      </w:r>
                      <w:r w:rsidR="00B0385F">
                        <w:t>7</w:t>
                      </w:r>
                      <w:r>
                        <w:t>.maijā</w:t>
                      </w:r>
                    </w:p>
                  </w:txbxContent>
                </v:textbox>
                <w10:wrap anchorx="page" anchory="page"/>
                <w10:anchorlock/>
              </v:shape>
            </w:pict>
          </mc:Fallback>
        </mc:AlternateContent>
      </w:r>
    </w:p>
    <w:p w:rsidR="00CE54BE" w:rsidRPr="003C61E9" w:rsidRDefault="002C6C52" w:rsidP="00CE54BE">
      <w:pPr>
        <w:pStyle w:val="TOCHeading"/>
        <w:rPr>
          <w:lang w:val="lv-LV"/>
        </w:rPr>
      </w:pPr>
      <w:r>
        <w:rPr>
          <w:lang w:val="lv-LV"/>
        </w:rPr>
        <w:lastRenderedPageBreak/>
        <w:t>Saturs</w:t>
      </w:r>
    </w:p>
    <w:p w:rsidR="00DE2735" w:rsidRDefault="002B7ACB">
      <w:pPr>
        <w:pStyle w:val="TOC1"/>
        <w:tabs>
          <w:tab w:val="left" w:pos="403"/>
          <w:tab w:val="right" w:leader="dot" w:pos="9259"/>
        </w:tabs>
        <w:rPr>
          <w:rFonts w:asciiTheme="minorHAnsi" w:eastAsiaTheme="minorEastAsia" w:hAnsiTheme="minorHAnsi" w:cstheme="minorBidi"/>
          <w:b w:val="0"/>
          <w:noProof/>
          <w:sz w:val="22"/>
          <w:szCs w:val="22"/>
        </w:rPr>
      </w:pPr>
      <w:r>
        <w:rPr>
          <w:b w:val="0"/>
        </w:rPr>
        <w:fldChar w:fldCharType="begin"/>
      </w:r>
      <w:r w:rsidR="002C6C52">
        <w:rPr>
          <w:b w:val="0"/>
        </w:rPr>
        <w:instrText xml:space="preserve"> TOC \o "3-3" \h \z \t "Heading 1;1;Heading 2;2" </w:instrText>
      </w:r>
      <w:r>
        <w:rPr>
          <w:b w:val="0"/>
        </w:rPr>
        <w:fldChar w:fldCharType="separate"/>
      </w:r>
      <w:hyperlink w:anchor="_Toc388454836" w:history="1">
        <w:r w:rsidR="00DE2735" w:rsidRPr="00965ADB">
          <w:rPr>
            <w:rStyle w:val="Hyperlink"/>
            <w:noProof/>
          </w:rPr>
          <w:t>1.</w:t>
        </w:r>
        <w:r w:rsidR="00DE2735">
          <w:rPr>
            <w:rFonts w:asciiTheme="minorHAnsi" w:eastAsiaTheme="minorEastAsia" w:hAnsiTheme="minorHAnsi" w:cstheme="minorBidi"/>
            <w:b w:val="0"/>
            <w:noProof/>
            <w:sz w:val="22"/>
            <w:szCs w:val="22"/>
          </w:rPr>
          <w:tab/>
        </w:r>
        <w:r w:rsidR="00DE2735" w:rsidRPr="00965ADB">
          <w:rPr>
            <w:rStyle w:val="Hyperlink"/>
            <w:noProof/>
          </w:rPr>
          <w:t>Īss satura izklāsts</w:t>
        </w:r>
        <w:r w:rsidR="00DE2735">
          <w:rPr>
            <w:noProof/>
            <w:webHidden/>
          </w:rPr>
          <w:tab/>
        </w:r>
        <w:r w:rsidR="00DE2735">
          <w:rPr>
            <w:noProof/>
            <w:webHidden/>
          </w:rPr>
          <w:fldChar w:fldCharType="begin"/>
        </w:r>
        <w:r w:rsidR="00DE2735">
          <w:rPr>
            <w:noProof/>
            <w:webHidden/>
          </w:rPr>
          <w:instrText xml:space="preserve"> PAGEREF _Toc388454836 \h </w:instrText>
        </w:r>
        <w:r w:rsidR="00DE2735">
          <w:rPr>
            <w:noProof/>
            <w:webHidden/>
          </w:rPr>
        </w:r>
        <w:r w:rsidR="00DE2735">
          <w:rPr>
            <w:noProof/>
            <w:webHidden/>
          </w:rPr>
          <w:fldChar w:fldCharType="separate"/>
        </w:r>
        <w:r w:rsidR="00DE2735">
          <w:rPr>
            <w:noProof/>
            <w:webHidden/>
          </w:rPr>
          <w:t>3</w:t>
        </w:r>
        <w:r w:rsidR="00DE2735">
          <w:rPr>
            <w:noProof/>
            <w:webHidden/>
          </w:rPr>
          <w:fldChar w:fldCharType="end"/>
        </w:r>
      </w:hyperlink>
    </w:p>
    <w:p w:rsidR="00DE2735" w:rsidRDefault="00EE2E74">
      <w:pPr>
        <w:pStyle w:val="TOC1"/>
        <w:tabs>
          <w:tab w:val="left" w:pos="403"/>
          <w:tab w:val="right" w:leader="dot" w:pos="9259"/>
        </w:tabs>
        <w:rPr>
          <w:rFonts w:asciiTheme="minorHAnsi" w:eastAsiaTheme="minorEastAsia" w:hAnsiTheme="minorHAnsi" w:cstheme="minorBidi"/>
          <w:b w:val="0"/>
          <w:noProof/>
          <w:sz w:val="22"/>
          <w:szCs w:val="22"/>
        </w:rPr>
      </w:pPr>
      <w:hyperlink w:anchor="_Toc388454837" w:history="1">
        <w:r w:rsidR="00DE2735" w:rsidRPr="00965ADB">
          <w:rPr>
            <w:rStyle w:val="Hyperlink"/>
            <w:noProof/>
          </w:rPr>
          <w:t>2.</w:t>
        </w:r>
        <w:r w:rsidR="00DE2735">
          <w:rPr>
            <w:rFonts w:asciiTheme="minorHAnsi" w:eastAsiaTheme="minorEastAsia" w:hAnsiTheme="minorHAnsi" w:cstheme="minorBidi"/>
            <w:b w:val="0"/>
            <w:noProof/>
            <w:sz w:val="22"/>
            <w:szCs w:val="22"/>
          </w:rPr>
          <w:tab/>
        </w:r>
        <w:r w:rsidR="00DE2735" w:rsidRPr="00965ADB">
          <w:rPr>
            <w:rStyle w:val="Hyperlink"/>
            <w:noProof/>
          </w:rPr>
          <w:t>Dokumentā lietotie termini, saīsinājumi un apzīmējumi</w:t>
        </w:r>
        <w:r w:rsidR="00DE2735">
          <w:rPr>
            <w:noProof/>
            <w:webHidden/>
          </w:rPr>
          <w:tab/>
        </w:r>
        <w:r w:rsidR="00DE2735">
          <w:rPr>
            <w:noProof/>
            <w:webHidden/>
          </w:rPr>
          <w:fldChar w:fldCharType="begin"/>
        </w:r>
        <w:r w:rsidR="00DE2735">
          <w:rPr>
            <w:noProof/>
            <w:webHidden/>
          </w:rPr>
          <w:instrText xml:space="preserve"> PAGEREF _Toc388454837 \h </w:instrText>
        </w:r>
        <w:r w:rsidR="00DE2735">
          <w:rPr>
            <w:noProof/>
            <w:webHidden/>
          </w:rPr>
        </w:r>
        <w:r w:rsidR="00DE2735">
          <w:rPr>
            <w:noProof/>
            <w:webHidden/>
          </w:rPr>
          <w:fldChar w:fldCharType="separate"/>
        </w:r>
        <w:r w:rsidR="00DE2735">
          <w:rPr>
            <w:noProof/>
            <w:webHidden/>
          </w:rPr>
          <w:t>4</w:t>
        </w:r>
        <w:r w:rsidR="00DE2735">
          <w:rPr>
            <w:noProof/>
            <w:webHidden/>
          </w:rPr>
          <w:fldChar w:fldCharType="end"/>
        </w:r>
      </w:hyperlink>
    </w:p>
    <w:p w:rsidR="00DE2735" w:rsidRDefault="00EE2E74">
      <w:pPr>
        <w:pStyle w:val="TOC1"/>
        <w:tabs>
          <w:tab w:val="left" w:pos="403"/>
          <w:tab w:val="right" w:leader="dot" w:pos="9259"/>
        </w:tabs>
        <w:rPr>
          <w:rFonts w:asciiTheme="minorHAnsi" w:eastAsiaTheme="minorEastAsia" w:hAnsiTheme="minorHAnsi" w:cstheme="minorBidi"/>
          <w:b w:val="0"/>
          <w:noProof/>
          <w:sz w:val="22"/>
          <w:szCs w:val="22"/>
        </w:rPr>
      </w:pPr>
      <w:hyperlink w:anchor="_Toc388454838" w:history="1">
        <w:r w:rsidR="00DE2735" w:rsidRPr="00965ADB">
          <w:rPr>
            <w:rStyle w:val="Hyperlink"/>
            <w:noProof/>
          </w:rPr>
          <w:t>3.</w:t>
        </w:r>
        <w:r w:rsidR="00DE2735">
          <w:rPr>
            <w:rFonts w:asciiTheme="minorHAnsi" w:eastAsiaTheme="minorEastAsia" w:hAnsiTheme="minorHAnsi" w:cstheme="minorBidi"/>
            <w:b w:val="0"/>
            <w:noProof/>
            <w:sz w:val="22"/>
            <w:szCs w:val="22"/>
          </w:rPr>
          <w:tab/>
        </w:r>
        <w:r w:rsidR="00DE2735" w:rsidRPr="00965ADB">
          <w:rPr>
            <w:rStyle w:val="Hyperlink"/>
            <w:noProof/>
          </w:rPr>
          <w:t>Esošās situācijas apraksts</w:t>
        </w:r>
        <w:r w:rsidR="00DE2735">
          <w:rPr>
            <w:noProof/>
            <w:webHidden/>
          </w:rPr>
          <w:tab/>
        </w:r>
        <w:r w:rsidR="00DE2735">
          <w:rPr>
            <w:noProof/>
            <w:webHidden/>
          </w:rPr>
          <w:fldChar w:fldCharType="begin"/>
        </w:r>
        <w:r w:rsidR="00DE2735">
          <w:rPr>
            <w:noProof/>
            <w:webHidden/>
          </w:rPr>
          <w:instrText xml:space="preserve"> PAGEREF _Toc388454838 \h </w:instrText>
        </w:r>
        <w:r w:rsidR="00DE2735">
          <w:rPr>
            <w:noProof/>
            <w:webHidden/>
          </w:rPr>
        </w:r>
        <w:r w:rsidR="00DE2735">
          <w:rPr>
            <w:noProof/>
            <w:webHidden/>
          </w:rPr>
          <w:fldChar w:fldCharType="separate"/>
        </w:r>
        <w:r w:rsidR="00DE2735">
          <w:rPr>
            <w:noProof/>
            <w:webHidden/>
          </w:rPr>
          <w:t>5</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39" w:history="1">
        <w:r w:rsidR="00DE2735" w:rsidRPr="00965ADB">
          <w:rPr>
            <w:rStyle w:val="Hyperlink"/>
            <w:noProof/>
          </w:rPr>
          <w:t>3.1.</w:t>
        </w:r>
        <w:r w:rsidR="00DE2735">
          <w:rPr>
            <w:rFonts w:asciiTheme="minorHAnsi" w:eastAsiaTheme="minorEastAsia" w:hAnsiTheme="minorHAnsi" w:cstheme="minorBidi"/>
            <w:noProof/>
            <w:sz w:val="22"/>
            <w:szCs w:val="22"/>
          </w:rPr>
          <w:tab/>
        </w:r>
        <w:r w:rsidR="00DE2735" w:rsidRPr="00965ADB">
          <w:rPr>
            <w:rStyle w:val="Hyperlink"/>
            <w:noProof/>
          </w:rPr>
          <w:t>Esošie procesi</w:t>
        </w:r>
        <w:r w:rsidR="00DE2735">
          <w:rPr>
            <w:noProof/>
            <w:webHidden/>
          </w:rPr>
          <w:tab/>
        </w:r>
        <w:r w:rsidR="00DE2735">
          <w:rPr>
            <w:noProof/>
            <w:webHidden/>
          </w:rPr>
          <w:fldChar w:fldCharType="begin"/>
        </w:r>
        <w:r w:rsidR="00DE2735">
          <w:rPr>
            <w:noProof/>
            <w:webHidden/>
          </w:rPr>
          <w:instrText xml:space="preserve"> PAGEREF _Toc388454839 \h </w:instrText>
        </w:r>
        <w:r w:rsidR="00DE2735">
          <w:rPr>
            <w:noProof/>
            <w:webHidden/>
          </w:rPr>
        </w:r>
        <w:r w:rsidR="00DE2735">
          <w:rPr>
            <w:noProof/>
            <w:webHidden/>
          </w:rPr>
          <w:fldChar w:fldCharType="separate"/>
        </w:r>
        <w:r w:rsidR="00DE2735">
          <w:rPr>
            <w:noProof/>
            <w:webHidden/>
          </w:rPr>
          <w:t>5</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40" w:history="1">
        <w:r w:rsidR="00DE2735" w:rsidRPr="00965ADB">
          <w:rPr>
            <w:rStyle w:val="Hyperlink"/>
            <w:noProof/>
          </w:rPr>
          <w:t>3.2.</w:t>
        </w:r>
        <w:r w:rsidR="00DE2735">
          <w:rPr>
            <w:rFonts w:asciiTheme="minorHAnsi" w:eastAsiaTheme="minorEastAsia" w:hAnsiTheme="minorHAnsi" w:cstheme="minorBidi"/>
            <w:noProof/>
            <w:sz w:val="22"/>
            <w:szCs w:val="22"/>
          </w:rPr>
          <w:tab/>
        </w:r>
        <w:r w:rsidR="00DE2735" w:rsidRPr="00965ADB">
          <w:rPr>
            <w:rStyle w:val="Hyperlink"/>
            <w:noProof/>
          </w:rPr>
          <w:t>Esošajos procesos iesaistītās personas</w:t>
        </w:r>
        <w:r w:rsidR="00DE2735">
          <w:rPr>
            <w:noProof/>
            <w:webHidden/>
          </w:rPr>
          <w:tab/>
        </w:r>
        <w:r w:rsidR="00DE2735">
          <w:rPr>
            <w:noProof/>
            <w:webHidden/>
          </w:rPr>
          <w:fldChar w:fldCharType="begin"/>
        </w:r>
        <w:r w:rsidR="00DE2735">
          <w:rPr>
            <w:noProof/>
            <w:webHidden/>
          </w:rPr>
          <w:instrText xml:space="preserve"> PAGEREF _Toc388454840 \h </w:instrText>
        </w:r>
        <w:r w:rsidR="00DE2735">
          <w:rPr>
            <w:noProof/>
            <w:webHidden/>
          </w:rPr>
        </w:r>
        <w:r w:rsidR="00DE2735">
          <w:rPr>
            <w:noProof/>
            <w:webHidden/>
          </w:rPr>
          <w:fldChar w:fldCharType="separate"/>
        </w:r>
        <w:r w:rsidR="00DE2735">
          <w:rPr>
            <w:noProof/>
            <w:webHidden/>
          </w:rPr>
          <w:t>7</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41" w:history="1">
        <w:r w:rsidR="00DE2735" w:rsidRPr="00965ADB">
          <w:rPr>
            <w:rStyle w:val="Hyperlink"/>
            <w:noProof/>
          </w:rPr>
          <w:t>3.3.</w:t>
        </w:r>
        <w:r w:rsidR="00DE2735">
          <w:rPr>
            <w:rFonts w:asciiTheme="minorHAnsi" w:eastAsiaTheme="minorEastAsia" w:hAnsiTheme="minorHAnsi" w:cstheme="minorBidi"/>
            <w:noProof/>
            <w:sz w:val="22"/>
            <w:szCs w:val="22"/>
          </w:rPr>
          <w:tab/>
        </w:r>
        <w:r w:rsidR="00DE2735" w:rsidRPr="00965ADB">
          <w:rPr>
            <w:rStyle w:val="Hyperlink"/>
            <w:noProof/>
          </w:rPr>
          <w:t>Esošā sistēma</w:t>
        </w:r>
        <w:r w:rsidR="00DE2735">
          <w:rPr>
            <w:noProof/>
            <w:webHidden/>
          </w:rPr>
          <w:tab/>
        </w:r>
        <w:r w:rsidR="00DE2735">
          <w:rPr>
            <w:noProof/>
            <w:webHidden/>
          </w:rPr>
          <w:fldChar w:fldCharType="begin"/>
        </w:r>
        <w:r w:rsidR="00DE2735">
          <w:rPr>
            <w:noProof/>
            <w:webHidden/>
          </w:rPr>
          <w:instrText xml:space="preserve"> PAGEREF _Toc388454841 \h </w:instrText>
        </w:r>
        <w:r w:rsidR="00DE2735">
          <w:rPr>
            <w:noProof/>
            <w:webHidden/>
          </w:rPr>
        </w:r>
        <w:r w:rsidR="00DE2735">
          <w:rPr>
            <w:noProof/>
            <w:webHidden/>
          </w:rPr>
          <w:fldChar w:fldCharType="separate"/>
        </w:r>
        <w:r w:rsidR="00DE2735">
          <w:rPr>
            <w:noProof/>
            <w:webHidden/>
          </w:rPr>
          <w:t>8</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42" w:history="1">
        <w:r w:rsidR="00DE2735" w:rsidRPr="00965ADB">
          <w:rPr>
            <w:rStyle w:val="Hyperlink"/>
            <w:noProof/>
          </w:rPr>
          <w:t>3.4.</w:t>
        </w:r>
        <w:r w:rsidR="00DE2735">
          <w:rPr>
            <w:rFonts w:asciiTheme="minorHAnsi" w:eastAsiaTheme="minorEastAsia" w:hAnsiTheme="minorHAnsi" w:cstheme="minorBidi"/>
            <w:noProof/>
            <w:sz w:val="22"/>
            <w:szCs w:val="22"/>
          </w:rPr>
          <w:tab/>
        </w:r>
        <w:r w:rsidR="00DE2735" w:rsidRPr="00965ADB">
          <w:rPr>
            <w:rStyle w:val="Hyperlink"/>
            <w:noProof/>
          </w:rPr>
          <w:t>Esošais tiesiskais regulējums un politikas dokumenti</w:t>
        </w:r>
        <w:r w:rsidR="00DE2735">
          <w:rPr>
            <w:noProof/>
            <w:webHidden/>
          </w:rPr>
          <w:tab/>
        </w:r>
        <w:r w:rsidR="00DE2735">
          <w:rPr>
            <w:noProof/>
            <w:webHidden/>
          </w:rPr>
          <w:fldChar w:fldCharType="begin"/>
        </w:r>
        <w:r w:rsidR="00DE2735">
          <w:rPr>
            <w:noProof/>
            <w:webHidden/>
          </w:rPr>
          <w:instrText xml:space="preserve"> PAGEREF _Toc388454842 \h </w:instrText>
        </w:r>
        <w:r w:rsidR="00DE2735">
          <w:rPr>
            <w:noProof/>
            <w:webHidden/>
          </w:rPr>
        </w:r>
        <w:r w:rsidR="00DE2735">
          <w:rPr>
            <w:noProof/>
            <w:webHidden/>
          </w:rPr>
          <w:fldChar w:fldCharType="separate"/>
        </w:r>
        <w:r w:rsidR="00DE2735">
          <w:rPr>
            <w:noProof/>
            <w:webHidden/>
          </w:rPr>
          <w:t>9</w:t>
        </w:r>
        <w:r w:rsidR="00DE2735">
          <w:rPr>
            <w:noProof/>
            <w:webHidden/>
          </w:rPr>
          <w:fldChar w:fldCharType="end"/>
        </w:r>
      </w:hyperlink>
    </w:p>
    <w:p w:rsidR="00DE2735" w:rsidRDefault="00EE2E74">
      <w:pPr>
        <w:pStyle w:val="TOC3"/>
        <w:tabs>
          <w:tab w:val="left" w:pos="1100"/>
          <w:tab w:val="right" w:leader="dot" w:pos="9259"/>
        </w:tabs>
        <w:rPr>
          <w:rFonts w:asciiTheme="minorHAnsi" w:eastAsiaTheme="minorEastAsia" w:hAnsiTheme="minorHAnsi" w:cstheme="minorBidi"/>
          <w:noProof/>
          <w:sz w:val="22"/>
          <w:szCs w:val="22"/>
        </w:rPr>
      </w:pPr>
      <w:hyperlink w:anchor="_Toc388454843" w:history="1">
        <w:r w:rsidR="00DE2735" w:rsidRPr="00965ADB">
          <w:rPr>
            <w:rStyle w:val="Hyperlink"/>
            <w:noProof/>
          </w:rPr>
          <w:t>3.4.1</w:t>
        </w:r>
        <w:r w:rsidR="00DE2735">
          <w:rPr>
            <w:rFonts w:asciiTheme="minorHAnsi" w:eastAsiaTheme="minorEastAsia" w:hAnsiTheme="minorHAnsi" w:cstheme="minorBidi"/>
            <w:noProof/>
            <w:sz w:val="22"/>
            <w:szCs w:val="22"/>
          </w:rPr>
          <w:tab/>
        </w:r>
        <w:r w:rsidR="00DE2735" w:rsidRPr="00965ADB">
          <w:rPr>
            <w:rStyle w:val="Hyperlink"/>
            <w:noProof/>
          </w:rPr>
          <w:t>Tiesiskais regulējums</w:t>
        </w:r>
        <w:r w:rsidR="00DE2735">
          <w:rPr>
            <w:noProof/>
            <w:webHidden/>
          </w:rPr>
          <w:tab/>
        </w:r>
        <w:r w:rsidR="00DE2735">
          <w:rPr>
            <w:noProof/>
            <w:webHidden/>
          </w:rPr>
          <w:fldChar w:fldCharType="begin"/>
        </w:r>
        <w:r w:rsidR="00DE2735">
          <w:rPr>
            <w:noProof/>
            <w:webHidden/>
          </w:rPr>
          <w:instrText xml:space="preserve"> PAGEREF _Toc388454843 \h </w:instrText>
        </w:r>
        <w:r w:rsidR="00DE2735">
          <w:rPr>
            <w:noProof/>
            <w:webHidden/>
          </w:rPr>
        </w:r>
        <w:r w:rsidR="00DE2735">
          <w:rPr>
            <w:noProof/>
            <w:webHidden/>
          </w:rPr>
          <w:fldChar w:fldCharType="separate"/>
        </w:r>
        <w:r w:rsidR="00DE2735">
          <w:rPr>
            <w:noProof/>
            <w:webHidden/>
          </w:rPr>
          <w:t>9</w:t>
        </w:r>
        <w:r w:rsidR="00DE2735">
          <w:rPr>
            <w:noProof/>
            <w:webHidden/>
          </w:rPr>
          <w:fldChar w:fldCharType="end"/>
        </w:r>
      </w:hyperlink>
    </w:p>
    <w:p w:rsidR="00DE2735" w:rsidRDefault="00EE2E74">
      <w:pPr>
        <w:pStyle w:val="TOC3"/>
        <w:tabs>
          <w:tab w:val="left" w:pos="1100"/>
          <w:tab w:val="right" w:leader="dot" w:pos="9259"/>
        </w:tabs>
        <w:rPr>
          <w:rFonts w:asciiTheme="minorHAnsi" w:eastAsiaTheme="minorEastAsia" w:hAnsiTheme="minorHAnsi" w:cstheme="minorBidi"/>
          <w:noProof/>
          <w:sz w:val="22"/>
          <w:szCs w:val="22"/>
        </w:rPr>
      </w:pPr>
      <w:hyperlink w:anchor="_Toc388454844" w:history="1">
        <w:r w:rsidR="00DE2735" w:rsidRPr="00965ADB">
          <w:rPr>
            <w:rStyle w:val="Hyperlink"/>
            <w:noProof/>
          </w:rPr>
          <w:t>3.4.2</w:t>
        </w:r>
        <w:r w:rsidR="00DE2735">
          <w:rPr>
            <w:rFonts w:asciiTheme="minorHAnsi" w:eastAsiaTheme="minorEastAsia" w:hAnsiTheme="minorHAnsi" w:cstheme="minorBidi"/>
            <w:noProof/>
            <w:sz w:val="22"/>
            <w:szCs w:val="22"/>
          </w:rPr>
          <w:tab/>
        </w:r>
        <w:r w:rsidR="00DE2735" w:rsidRPr="00965ADB">
          <w:rPr>
            <w:rStyle w:val="Hyperlink"/>
            <w:noProof/>
          </w:rPr>
          <w:t>Politikas plānošanas dokumenti</w:t>
        </w:r>
        <w:r w:rsidR="00DE2735">
          <w:rPr>
            <w:noProof/>
            <w:webHidden/>
          </w:rPr>
          <w:tab/>
        </w:r>
        <w:r w:rsidR="00DE2735">
          <w:rPr>
            <w:noProof/>
            <w:webHidden/>
          </w:rPr>
          <w:fldChar w:fldCharType="begin"/>
        </w:r>
        <w:r w:rsidR="00DE2735">
          <w:rPr>
            <w:noProof/>
            <w:webHidden/>
          </w:rPr>
          <w:instrText xml:space="preserve"> PAGEREF _Toc388454844 \h </w:instrText>
        </w:r>
        <w:r w:rsidR="00DE2735">
          <w:rPr>
            <w:noProof/>
            <w:webHidden/>
          </w:rPr>
        </w:r>
        <w:r w:rsidR="00DE2735">
          <w:rPr>
            <w:noProof/>
            <w:webHidden/>
          </w:rPr>
          <w:fldChar w:fldCharType="separate"/>
        </w:r>
        <w:r w:rsidR="00DE2735">
          <w:rPr>
            <w:noProof/>
            <w:webHidden/>
          </w:rPr>
          <w:t>12</w:t>
        </w:r>
        <w:r w:rsidR="00DE2735">
          <w:rPr>
            <w:noProof/>
            <w:webHidden/>
          </w:rPr>
          <w:fldChar w:fldCharType="end"/>
        </w:r>
      </w:hyperlink>
    </w:p>
    <w:p w:rsidR="00DE2735" w:rsidRDefault="00EE2E74">
      <w:pPr>
        <w:pStyle w:val="TOC1"/>
        <w:tabs>
          <w:tab w:val="left" w:pos="403"/>
          <w:tab w:val="right" w:leader="dot" w:pos="9259"/>
        </w:tabs>
        <w:rPr>
          <w:rFonts w:asciiTheme="minorHAnsi" w:eastAsiaTheme="minorEastAsia" w:hAnsiTheme="minorHAnsi" w:cstheme="minorBidi"/>
          <w:b w:val="0"/>
          <w:noProof/>
          <w:sz w:val="22"/>
          <w:szCs w:val="22"/>
        </w:rPr>
      </w:pPr>
      <w:hyperlink w:anchor="_Toc388454845" w:history="1">
        <w:r w:rsidR="00DE2735" w:rsidRPr="00965ADB">
          <w:rPr>
            <w:rStyle w:val="Hyperlink"/>
            <w:noProof/>
          </w:rPr>
          <w:t>4.</w:t>
        </w:r>
        <w:r w:rsidR="00DE2735">
          <w:rPr>
            <w:rFonts w:asciiTheme="minorHAnsi" w:eastAsiaTheme="minorEastAsia" w:hAnsiTheme="minorHAnsi" w:cstheme="minorBidi"/>
            <w:b w:val="0"/>
            <w:noProof/>
            <w:sz w:val="22"/>
            <w:szCs w:val="22"/>
          </w:rPr>
          <w:tab/>
        </w:r>
        <w:r w:rsidR="00DE2735" w:rsidRPr="00965ADB">
          <w:rPr>
            <w:rStyle w:val="Hyperlink"/>
            <w:noProof/>
          </w:rPr>
          <w:t>Izmaiņu pamatojums un būtība</w:t>
        </w:r>
        <w:r w:rsidR="00DE2735">
          <w:rPr>
            <w:noProof/>
            <w:webHidden/>
          </w:rPr>
          <w:tab/>
        </w:r>
        <w:r w:rsidR="00DE2735">
          <w:rPr>
            <w:noProof/>
            <w:webHidden/>
          </w:rPr>
          <w:fldChar w:fldCharType="begin"/>
        </w:r>
        <w:r w:rsidR="00DE2735">
          <w:rPr>
            <w:noProof/>
            <w:webHidden/>
          </w:rPr>
          <w:instrText xml:space="preserve"> PAGEREF _Toc388454845 \h </w:instrText>
        </w:r>
        <w:r w:rsidR="00DE2735">
          <w:rPr>
            <w:noProof/>
            <w:webHidden/>
          </w:rPr>
        </w:r>
        <w:r w:rsidR="00DE2735">
          <w:rPr>
            <w:noProof/>
            <w:webHidden/>
          </w:rPr>
          <w:fldChar w:fldCharType="separate"/>
        </w:r>
        <w:r w:rsidR="00DE2735">
          <w:rPr>
            <w:noProof/>
            <w:webHidden/>
          </w:rPr>
          <w:t>14</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46" w:history="1">
        <w:r w:rsidR="00DE2735" w:rsidRPr="00965ADB">
          <w:rPr>
            <w:rStyle w:val="Hyperlink"/>
            <w:noProof/>
          </w:rPr>
          <w:t>4.1.</w:t>
        </w:r>
        <w:r w:rsidR="00DE2735">
          <w:rPr>
            <w:rFonts w:asciiTheme="minorHAnsi" w:eastAsiaTheme="minorEastAsia" w:hAnsiTheme="minorHAnsi" w:cstheme="minorBidi"/>
            <w:noProof/>
            <w:sz w:val="22"/>
            <w:szCs w:val="22"/>
          </w:rPr>
          <w:tab/>
        </w:r>
        <w:r w:rsidR="00DE2735" w:rsidRPr="00965ADB">
          <w:rPr>
            <w:rStyle w:val="Hyperlink"/>
            <w:noProof/>
          </w:rPr>
          <w:t>VIIS izmantošanas paplašināšana augstākās izglītības sektorā</w:t>
        </w:r>
        <w:r w:rsidR="00DE2735">
          <w:rPr>
            <w:noProof/>
            <w:webHidden/>
          </w:rPr>
          <w:tab/>
        </w:r>
        <w:r w:rsidR="00DE2735">
          <w:rPr>
            <w:noProof/>
            <w:webHidden/>
          </w:rPr>
          <w:fldChar w:fldCharType="begin"/>
        </w:r>
        <w:r w:rsidR="00DE2735">
          <w:rPr>
            <w:noProof/>
            <w:webHidden/>
          </w:rPr>
          <w:instrText xml:space="preserve"> PAGEREF _Toc388454846 \h </w:instrText>
        </w:r>
        <w:r w:rsidR="00DE2735">
          <w:rPr>
            <w:noProof/>
            <w:webHidden/>
          </w:rPr>
        </w:r>
        <w:r w:rsidR="00DE2735">
          <w:rPr>
            <w:noProof/>
            <w:webHidden/>
          </w:rPr>
          <w:fldChar w:fldCharType="separate"/>
        </w:r>
        <w:r w:rsidR="00DE2735">
          <w:rPr>
            <w:noProof/>
            <w:webHidden/>
          </w:rPr>
          <w:t>14</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47" w:history="1">
        <w:r w:rsidR="00DE2735" w:rsidRPr="00965ADB">
          <w:rPr>
            <w:rStyle w:val="Hyperlink"/>
            <w:noProof/>
          </w:rPr>
          <w:t>4.2.</w:t>
        </w:r>
        <w:r w:rsidR="00DE2735">
          <w:rPr>
            <w:rFonts w:asciiTheme="minorHAnsi" w:eastAsiaTheme="minorEastAsia" w:hAnsiTheme="minorHAnsi" w:cstheme="minorBidi"/>
            <w:noProof/>
            <w:sz w:val="22"/>
            <w:szCs w:val="22"/>
          </w:rPr>
          <w:tab/>
        </w:r>
        <w:r w:rsidR="00DE2735" w:rsidRPr="00965ADB">
          <w:rPr>
            <w:rStyle w:val="Hyperlink"/>
            <w:noProof/>
          </w:rPr>
          <w:t>VIIS e-pakalpojumu izstrāde</w:t>
        </w:r>
        <w:r w:rsidR="00DE2735">
          <w:rPr>
            <w:noProof/>
            <w:webHidden/>
          </w:rPr>
          <w:tab/>
        </w:r>
        <w:r w:rsidR="00DE2735">
          <w:rPr>
            <w:noProof/>
            <w:webHidden/>
          </w:rPr>
          <w:fldChar w:fldCharType="begin"/>
        </w:r>
        <w:r w:rsidR="00DE2735">
          <w:rPr>
            <w:noProof/>
            <w:webHidden/>
          </w:rPr>
          <w:instrText xml:space="preserve"> PAGEREF _Toc388454847 \h </w:instrText>
        </w:r>
        <w:r w:rsidR="00DE2735">
          <w:rPr>
            <w:noProof/>
            <w:webHidden/>
          </w:rPr>
        </w:r>
        <w:r w:rsidR="00DE2735">
          <w:rPr>
            <w:noProof/>
            <w:webHidden/>
          </w:rPr>
          <w:fldChar w:fldCharType="separate"/>
        </w:r>
        <w:r w:rsidR="00DE2735">
          <w:rPr>
            <w:noProof/>
            <w:webHidden/>
          </w:rPr>
          <w:t>15</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48" w:history="1">
        <w:r w:rsidR="00DE2735" w:rsidRPr="00965ADB">
          <w:rPr>
            <w:rStyle w:val="Hyperlink"/>
            <w:noProof/>
          </w:rPr>
          <w:t>4.3.</w:t>
        </w:r>
        <w:r w:rsidR="00DE2735">
          <w:rPr>
            <w:rFonts w:asciiTheme="minorHAnsi" w:eastAsiaTheme="minorEastAsia" w:hAnsiTheme="minorHAnsi" w:cstheme="minorBidi"/>
            <w:noProof/>
            <w:sz w:val="22"/>
            <w:szCs w:val="22"/>
          </w:rPr>
          <w:tab/>
        </w:r>
        <w:r w:rsidR="00DE2735" w:rsidRPr="00965ADB">
          <w:rPr>
            <w:rStyle w:val="Hyperlink"/>
            <w:noProof/>
          </w:rPr>
          <w:t>VIIS uzkrāto datu izguves uzlabošana</w:t>
        </w:r>
        <w:r w:rsidR="00DE2735">
          <w:rPr>
            <w:noProof/>
            <w:webHidden/>
          </w:rPr>
          <w:tab/>
        </w:r>
        <w:r w:rsidR="00DE2735">
          <w:rPr>
            <w:noProof/>
            <w:webHidden/>
          </w:rPr>
          <w:fldChar w:fldCharType="begin"/>
        </w:r>
        <w:r w:rsidR="00DE2735">
          <w:rPr>
            <w:noProof/>
            <w:webHidden/>
          </w:rPr>
          <w:instrText xml:space="preserve"> PAGEREF _Toc388454848 \h </w:instrText>
        </w:r>
        <w:r w:rsidR="00DE2735">
          <w:rPr>
            <w:noProof/>
            <w:webHidden/>
          </w:rPr>
        </w:r>
        <w:r w:rsidR="00DE2735">
          <w:rPr>
            <w:noProof/>
            <w:webHidden/>
          </w:rPr>
          <w:fldChar w:fldCharType="separate"/>
        </w:r>
        <w:r w:rsidR="00DE2735">
          <w:rPr>
            <w:noProof/>
            <w:webHidden/>
          </w:rPr>
          <w:t>17</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49" w:history="1">
        <w:r w:rsidR="00DE2735" w:rsidRPr="00965ADB">
          <w:rPr>
            <w:rStyle w:val="Hyperlink"/>
            <w:noProof/>
          </w:rPr>
          <w:t>4.4.</w:t>
        </w:r>
        <w:r w:rsidR="00DE2735">
          <w:rPr>
            <w:rFonts w:asciiTheme="minorHAnsi" w:eastAsiaTheme="minorEastAsia" w:hAnsiTheme="minorHAnsi" w:cstheme="minorBidi"/>
            <w:noProof/>
            <w:sz w:val="22"/>
            <w:szCs w:val="22"/>
          </w:rPr>
          <w:tab/>
        </w:r>
        <w:r w:rsidR="00DE2735" w:rsidRPr="00965ADB">
          <w:rPr>
            <w:rStyle w:val="Hyperlink"/>
            <w:noProof/>
          </w:rPr>
          <w:t>VIIS datu apmaiņas risinājuma attīstība</w:t>
        </w:r>
        <w:r w:rsidR="00DE2735">
          <w:rPr>
            <w:noProof/>
            <w:webHidden/>
          </w:rPr>
          <w:tab/>
        </w:r>
        <w:r w:rsidR="00DE2735">
          <w:rPr>
            <w:noProof/>
            <w:webHidden/>
          </w:rPr>
          <w:fldChar w:fldCharType="begin"/>
        </w:r>
        <w:r w:rsidR="00DE2735">
          <w:rPr>
            <w:noProof/>
            <w:webHidden/>
          </w:rPr>
          <w:instrText xml:space="preserve"> PAGEREF _Toc388454849 \h </w:instrText>
        </w:r>
        <w:r w:rsidR="00DE2735">
          <w:rPr>
            <w:noProof/>
            <w:webHidden/>
          </w:rPr>
        </w:r>
        <w:r w:rsidR="00DE2735">
          <w:rPr>
            <w:noProof/>
            <w:webHidden/>
          </w:rPr>
          <w:fldChar w:fldCharType="separate"/>
        </w:r>
        <w:r w:rsidR="00DE2735">
          <w:rPr>
            <w:noProof/>
            <w:webHidden/>
          </w:rPr>
          <w:t>18</w:t>
        </w:r>
        <w:r w:rsidR="00DE2735">
          <w:rPr>
            <w:noProof/>
            <w:webHidden/>
          </w:rPr>
          <w:fldChar w:fldCharType="end"/>
        </w:r>
      </w:hyperlink>
    </w:p>
    <w:p w:rsidR="00DE2735" w:rsidRDefault="00EE2E74">
      <w:pPr>
        <w:pStyle w:val="TOC1"/>
        <w:tabs>
          <w:tab w:val="left" w:pos="403"/>
          <w:tab w:val="right" w:leader="dot" w:pos="9259"/>
        </w:tabs>
        <w:rPr>
          <w:rFonts w:asciiTheme="minorHAnsi" w:eastAsiaTheme="minorEastAsia" w:hAnsiTheme="minorHAnsi" w:cstheme="minorBidi"/>
          <w:b w:val="0"/>
          <w:noProof/>
          <w:sz w:val="22"/>
          <w:szCs w:val="22"/>
        </w:rPr>
      </w:pPr>
      <w:hyperlink w:anchor="_Toc388454850" w:history="1">
        <w:r w:rsidR="00DE2735" w:rsidRPr="00965ADB">
          <w:rPr>
            <w:rStyle w:val="Hyperlink"/>
            <w:noProof/>
          </w:rPr>
          <w:t>5.</w:t>
        </w:r>
        <w:r w:rsidR="00DE2735">
          <w:rPr>
            <w:rFonts w:asciiTheme="minorHAnsi" w:eastAsiaTheme="minorEastAsia" w:hAnsiTheme="minorHAnsi" w:cstheme="minorBidi"/>
            <w:b w:val="0"/>
            <w:noProof/>
            <w:sz w:val="22"/>
            <w:szCs w:val="22"/>
          </w:rPr>
          <w:tab/>
        </w:r>
        <w:r w:rsidR="00DE2735" w:rsidRPr="00965ADB">
          <w:rPr>
            <w:rStyle w:val="Hyperlink"/>
            <w:noProof/>
          </w:rPr>
          <w:t>Plānotās situācijas apraksts</w:t>
        </w:r>
        <w:r w:rsidR="00DE2735">
          <w:rPr>
            <w:noProof/>
            <w:webHidden/>
          </w:rPr>
          <w:tab/>
        </w:r>
        <w:r w:rsidR="00DE2735">
          <w:rPr>
            <w:noProof/>
            <w:webHidden/>
          </w:rPr>
          <w:fldChar w:fldCharType="begin"/>
        </w:r>
        <w:r w:rsidR="00DE2735">
          <w:rPr>
            <w:noProof/>
            <w:webHidden/>
          </w:rPr>
          <w:instrText xml:space="preserve"> PAGEREF _Toc388454850 \h </w:instrText>
        </w:r>
        <w:r w:rsidR="00DE2735">
          <w:rPr>
            <w:noProof/>
            <w:webHidden/>
          </w:rPr>
        </w:r>
        <w:r w:rsidR="00DE2735">
          <w:rPr>
            <w:noProof/>
            <w:webHidden/>
          </w:rPr>
          <w:fldChar w:fldCharType="separate"/>
        </w:r>
        <w:r w:rsidR="00DE2735">
          <w:rPr>
            <w:noProof/>
            <w:webHidden/>
          </w:rPr>
          <w:t>21</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51" w:history="1">
        <w:r w:rsidR="00DE2735" w:rsidRPr="00965ADB">
          <w:rPr>
            <w:rStyle w:val="Hyperlink"/>
            <w:noProof/>
          </w:rPr>
          <w:t>5.1.</w:t>
        </w:r>
        <w:r w:rsidR="00DE2735">
          <w:rPr>
            <w:rFonts w:asciiTheme="minorHAnsi" w:eastAsiaTheme="minorEastAsia" w:hAnsiTheme="minorHAnsi" w:cstheme="minorBidi"/>
            <w:noProof/>
            <w:sz w:val="22"/>
            <w:szCs w:val="22"/>
          </w:rPr>
          <w:tab/>
        </w:r>
        <w:r w:rsidR="00DE2735" w:rsidRPr="00965ADB">
          <w:rPr>
            <w:rStyle w:val="Hyperlink"/>
            <w:noProof/>
          </w:rPr>
          <w:t>Plānotie procesi</w:t>
        </w:r>
        <w:r w:rsidR="00DE2735">
          <w:rPr>
            <w:noProof/>
            <w:webHidden/>
          </w:rPr>
          <w:tab/>
        </w:r>
        <w:r w:rsidR="00DE2735">
          <w:rPr>
            <w:noProof/>
            <w:webHidden/>
          </w:rPr>
          <w:fldChar w:fldCharType="begin"/>
        </w:r>
        <w:r w:rsidR="00DE2735">
          <w:rPr>
            <w:noProof/>
            <w:webHidden/>
          </w:rPr>
          <w:instrText xml:space="preserve"> PAGEREF _Toc388454851 \h </w:instrText>
        </w:r>
        <w:r w:rsidR="00DE2735">
          <w:rPr>
            <w:noProof/>
            <w:webHidden/>
          </w:rPr>
        </w:r>
        <w:r w:rsidR="00DE2735">
          <w:rPr>
            <w:noProof/>
            <w:webHidden/>
          </w:rPr>
          <w:fldChar w:fldCharType="separate"/>
        </w:r>
        <w:r w:rsidR="00DE2735">
          <w:rPr>
            <w:noProof/>
            <w:webHidden/>
          </w:rPr>
          <w:t>21</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52" w:history="1">
        <w:r w:rsidR="00DE2735" w:rsidRPr="00965ADB">
          <w:rPr>
            <w:rStyle w:val="Hyperlink"/>
            <w:noProof/>
          </w:rPr>
          <w:t>5.2.</w:t>
        </w:r>
        <w:r w:rsidR="00DE2735">
          <w:rPr>
            <w:rFonts w:asciiTheme="minorHAnsi" w:eastAsiaTheme="minorEastAsia" w:hAnsiTheme="minorHAnsi" w:cstheme="minorBidi"/>
            <w:noProof/>
            <w:sz w:val="22"/>
            <w:szCs w:val="22"/>
          </w:rPr>
          <w:tab/>
        </w:r>
        <w:r w:rsidR="00DE2735" w:rsidRPr="00965ADB">
          <w:rPr>
            <w:rStyle w:val="Hyperlink"/>
            <w:noProof/>
          </w:rPr>
          <w:t>Plānotajos procesos iesaistītās personas</w:t>
        </w:r>
        <w:r w:rsidR="00DE2735">
          <w:rPr>
            <w:noProof/>
            <w:webHidden/>
          </w:rPr>
          <w:tab/>
        </w:r>
        <w:r w:rsidR="00DE2735">
          <w:rPr>
            <w:noProof/>
            <w:webHidden/>
          </w:rPr>
          <w:fldChar w:fldCharType="begin"/>
        </w:r>
        <w:r w:rsidR="00DE2735">
          <w:rPr>
            <w:noProof/>
            <w:webHidden/>
          </w:rPr>
          <w:instrText xml:space="preserve"> PAGEREF _Toc388454852 \h </w:instrText>
        </w:r>
        <w:r w:rsidR="00DE2735">
          <w:rPr>
            <w:noProof/>
            <w:webHidden/>
          </w:rPr>
        </w:r>
        <w:r w:rsidR="00DE2735">
          <w:rPr>
            <w:noProof/>
            <w:webHidden/>
          </w:rPr>
          <w:fldChar w:fldCharType="separate"/>
        </w:r>
        <w:r w:rsidR="00DE2735">
          <w:rPr>
            <w:noProof/>
            <w:webHidden/>
          </w:rPr>
          <w:t>22</w:t>
        </w:r>
        <w:r w:rsidR="00DE2735">
          <w:rPr>
            <w:noProof/>
            <w:webHidden/>
          </w:rPr>
          <w:fldChar w:fldCharType="end"/>
        </w:r>
      </w:hyperlink>
    </w:p>
    <w:p w:rsidR="00DE2735" w:rsidRDefault="00EE2E74">
      <w:pPr>
        <w:pStyle w:val="TOC3"/>
        <w:tabs>
          <w:tab w:val="left" w:pos="1100"/>
          <w:tab w:val="right" w:leader="dot" w:pos="9259"/>
        </w:tabs>
        <w:rPr>
          <w:rFonts w:asciiTheme="minorHAnsi" w:eastAsiaTheme="minorEastAsia" w:hAnsiTheme="minorHAnsi" w:cstheme="minorBidi"/>
          <w:noProof/>
          <w:sz w:val="22"/>
          <w:szCs w:val="22"/>
        </w:rPr>
      </w:pPr>
      <w:hyperlink w:anchor="_Toc388454853" w:history="1">
        <w:r w:rsidR="00DE2735" w:rsidRPr="00965ADB">
          <w:rPr>
            <w:rStyle w:val="Hyperlink"/>
            <w:noProof/>
          </w:rPr>
          <w:t>5.2.1</w:t>
        </w:r>
        <w:r w:rsidR="00DE2735">
          <w:rPr>
            <w:rFonts w:asciiTheme="minorHAnsi" w:eastAsiaTheme="minorEastAsia" w:hAnsiTheme="minorHAnsi" w:cstheme="minorBidi"/>
            <w:noProof/>
            <w:sz w:val="22"/>
            <w:szCs w:val="22"/>
          </w:rPr>
          <w:tab/>
        </w:r>
        <w:r w:rsidR="00DE2735" w:rsidRPr="00965ADB">
          <w:rPr>
            <w:rStyle w:val="Hyperlink"/>
            <w:noProof/>
          </w:rPr>
          <w:t>IZM</w:t>
        </w:r>
        <w:r w:rsidR="00DE2735">
          <w:rPr>
            <w:noProof/>
            <w:webHidden/>
          </w:rPr>
          <w:tab/>
        </w:r>
        <w:r w:rsidR="00DE2735">
          <w:rPr>
            <w:noProof/>
            <w:webHidden/>
          </w:rPr>
          <w:fldChar w:fldCharType="begin"/>
        </w:r>
        <w:r w:rsidR="00DE2735">
          <w:rPr>
            <w:noProof/>
            <w:webHidden/>
          </w:rPr>
          <w:instrText xml:space="preserve"> PAGEREF _Toc388454853 \h </w:instrText>
        </w:r>
        <w:r w:rsidR="00DE2735">
          <w:rPr>
            <w:noProof/>
            <w:webHidden/>
          </w:rPr>
        </w:r>
        <w:r w:rsidR="00DE2735">
          <w:rPr>
            <w:noProof/>
            <w:webHidden/>
          </w:rPr>
          <w:fldChar w:fldCharType="separate"/>
        </w:r>
        <w:r w:rsidR="00DE2735">
          <w:rPr>
            <w:noProof/>
            <w:webHidden/>
          </w:rPr>
          <w:t>22</w:t>
        </w:r>
        <w:r w:rsidR="00DE2735">
          <w:rPr>
            <w:noProof/>
            <w:webHidden/>
          </w:rPr>
          <w:fldChar w:fldCharType="end"/>
        </w:r>
      </w:hyperlink>
    </w:p>
    <w:p w:rsidR="00DE2735" w:rsidRDefault="00EE2E74">
      <w:pPr>
        <w:pStyle w:val="TOC3"/>
        <w:tabs>
          <w:tab w:val="left" w:pos="1100"/>
          <w:tab w:val="right" w:leader="dot" w:pos="9259"/>
        </w:tabs>
        <w:rPr>
          <w:rFonts w:asciiTheme="minorHAnsi" w:eastAsiaTheme="minorEastAsia" w:hAnsiTheme="minorHAnsi" w:cstheme="minorBidi"/>
          <w:noProof/>
          <w:sz w:val="22"/>
          <w:szCs w:val="22"/>
        </w:rPr>
      </w:pPr>
      <w:hyperlink w:anchor="_Toc388454854" w:history="1">
        <w:r w:rsidR="00DE2735" w:rsidRPr="00965ADB">
          <w:rPr>
            <w:rStyle w:val="Hyperlink"/>
            <w:noProof/>
          </w:rPr>
          <w:t>5.2.2</w:t>
        </w:r>
        <w:r w:rsidR="00DE2735">
          <w:rPr>
            <w:rFonts w:asciiTheme="minorHAnsi" w:eastAsiaTheme="minorEastAsia" w:hAnsiTheme="minorHAnsi" w:cstheme="minorBidi"/>
            <w:noProof/>
            <w:sz w:val="22"/>
            <w:szCs w:val="22"/>
          </w:rPr>
          <w:tab/>
        </w:r>
        <w:r w:rsidR="00DE2735" w:rsidRPr="00965ADB">
          <w:rPr>
            <w:rStyle w:val="Hyperlink"/>
            <w:noProof/>
          </w:rPr>
          <w:t>Augstākās izglītības institūcijas</w:t>
        </w:r>
        <w:r w:rsidR="00DE2735">
          <w:rPr>
            <w:noProof/>
            <w:webHidden/>
          </w:rPr>
          <w:tab/>
        </w:r>
        <w:r w:rsidR="00DE2735">
          <w:rPr>
            <w:noProof/>
            <w:webHidden/>
          </w:rPr>
          <w:fldChar w:fldCharType="begin"/>
        </w:r>
        <w:r w:rsidR="00DE2735">
          <w:rPr>
            <w:noProof/>
            <w:webHidden/>
          </w:rPr>
          <w:instrText xml:space="preserve"> PAGEREF _Toc388454854 \h </w:instrText>
        </w:r>
        <w:r w:rsidR="00DE2735">
          <w:rPr>
            <w:noProof/>
            <w:webHidden/>
          </w:rPr>
        </w:r>
        <w:r w:rsidR="00DE2735">
          <w:rPr>
            <w:noProof/>
            <w:webHidden/>
          </w:rPr>
          <w:fldChar w:fldCharType="separate"/>
        </w:r>
        <w:r w:rsidR="00DE2735">
          <w:rPr>
            <w:noProof/>
            <w:webHidden/>
          </w:rPr>
          <w:t>22</w:t>
        </w:r>
        <w:r w:rsidR="00DE2735">
          <w:rPr>
            <w:noProof/>
            <w:webHidden/>
          </w:rPr>
          <w:fldChar w:fldCharType="end"/>
        </w:r>
      </w:hyperlink>
    </w:p>
    <w:p w:rsidR="00DE2735" w:rsidRDefault="00EE2E74">
      <w:pPr>
        <w:pStyle w:val="TOC3"/>
        <w:tabs>
          <w:tab w:val="left" w:pos="1100"/>
          <w:tab w:val="right" w:leader="dot" w:pos="9259"/>
        </w:tabs>
        <w:rPr>
          <w:rFonts w:asciiTheme="minorHAnsi" w:eastAsiaTheme="minorEastAsia" w:hAnsiTheme="minorHAnsi" w:cstheme="minorBidi"/>
          <w:noProof/>
          <w:sz w:val="22"/>
          <w:szCs w:val="22"/>
        </w:rPr>
      </w:pPr>
      <w:hyperlink w:anchor="_Toc388454855" w:history="1">
        <w:r w:rsidR="00DE2735" w:rsidRPr="00965ADB">
          <w:rPr>
            <w:rStyle w:val="Hyperlink"/>
            <w:noProof/>
          </w:rPr>
          <w:t>5.2.3</w:t>
        </w:r>
        <w:r w:rsidR="00DE2735">
          <w:rPr>
            <w:rFonts w:asciiTheme="minorHAnsi" w:eastAsiaTheme="minorEastAsia" w:hAnsiTheme="minorHAnsi" w:cstheme="minorBidi"/>
            <w:noProof/>
            <w:sz w:val="22"/>
            <w:szCs w:val="22"/>
          </w:rPr>
          <w:tab/>
        </w:r>
        <w:r w:rsidR="00DE2735" w:rsidRPr="00965ADB">
          <w:rPr>
            <w:rStyle w:val="Hyperlink"/>
            <w:noProof/>
          </w:rPr>
          <w:t>Citu publiskās pārvaldes iestāžu pārstāvji</w:t>
        </w:r>
        <w:r w:rsidR="00DE2735">
          <w:rPr>
            <w:noProof/>
            <w:webHidden/>
          </w:rPr>
          <w:tab/>
        </w:r>
        <w:r w:rsidR="00DE2735">
          <w:rPr>
            <w:noProof/>
            <w:webHidden/>
          </w:rPr>
          <w:fldChar w:fldCharType="begin"/>
        </w:r>
        <w:r w:rsidR="00DE2735">
          <w:rPr>
            <w:noProof/>
            <w:webHidden/>
          </w:rPr>
          <w:instrText xml:space="preserve"> PAGEREF _Toc388454855 \h </w:instrText>
        </w:r>
        <w:r w:rsidR="00DE2735">
          <w:rPr>
            <w:noProof/>
            <w:webHidden/>
          </w:rPr>
        </w:r>
        <w:r w:rsidR="00DE2735">
          <w:rPr>
            <w:noProof/>
            <w:webHidden/>
          </w:rPr>
          <w:fldChar w:fldCharType="separate"/>
        </w:r>
        <w:r w:rsidR="00DE2735">
          <w:rPr>
            <w:noProof/>
            <w:webHidden/>
          </w:rPr>
          <w:t>23</w:t>
        </w:r>
        <w:r w:rsidR="00DE2735">
          <w:rPr>
            <w:noProof/>
            <w:webHidden/>
          </w:rPr>
          <w:fldChar w:fldCharType="end"/>
        </w:r>
      </w:hyperlink>
    </w:p>
    <w:p w:rsidR="00DE2735" w:rsidRDefault="00EE2E74">
      <w:pPr>
        <w:pStyle w:val="TOC3"/>
        <w:tabs>
          <w:tab w:val="left" w:pos="1100"/>
          <w:tab w:val="right" w:leader="dot" w:pos="9259"/>
        </w:tabs>
        <w:rPr>
          <w:rFonts w:asciiTheme="minorHAnsi" w:eastAsiaTheme="minorEastAsia" w:hAnsiTheme="minorHAnsi" w:cstheme="minorBidi"/>
          <w:noProof/>
          <w:sz w:val="22"/>
          <w:szCs w:val="22"/>
        </w:rPr>
      </w:pPr>
      <w:hyperlink w:anchor="_Toc388454856" w:history="1">
        <w:r w:rsidR="00DE2735" w:rsidRPr="00965ADB">
          <w:rPr>
            <w:rStyle w:val="Hyperlink"/>
            <w:noProof/>
          </w:rPr>
          <w:t>5.2.4</w:t>
        </w:r>
        <w:r w:rsidR="00DE2735">
          <w:rPr>
            <w:rFonts w:asciiTheme="minorHAnsi" w:eastAsiaTheme="minorEastAsia" w:hAnsiTheme="minorHAnsi" w:cstheme="minorBidi"/>
            <w:noProof/>
            <w:sz w:val="22"/>
            <w:szCs w:val="22"/>
          </w:rPr>
          <w:tab/>
        </w:r>
        <w:r w:rsidR="00DE2735" w:rsidRPr="00965ADB">
          <w:rPr>
            <w:rStyle w:val="Hyperlink"/>
            <w:noProof/>
          </w:rPr>
          <w:t>Cita ieinteresētās personas (trešās puses)</w:t>
        </w:r>
        <w:r w:rsidR="00DE2735">
          <w:rPr>
            <w:noProof/>
            <w:webHidden/>
          </w:rPr>
          <w:tab/>
        </w:r>
        <w:r w:rsidR="00DE2735">
          <w:rPr>
            <w:noProof/>
            <w:webHidden/>
          </w:rPr>
          <w:fldChar w:fldCharType="begin"/>
        </w:r>
        <w:r w:rsidR="00DE2735">
          <w:rPr>
            <w:noProof/>
            <w:webHidden/>
          </w:rPr>
          <w:instrText xml:space="preserve"> PAGEREF _Toc388454856 \h </w:instrText>
        </w:r>
        <w:r w:rsidR="00DE2735">
          <w:rPr>
            <w:noProof/>
            <w:webHidden/>
          </w:rPr>
        </w:r>
        <w:r w:rsidR="00DE2735">
          <w:rPr>
            <w:noProof/>
            <w:webHidden/>
          </w:rPr>
          <w:fldChar w:fldCharType="separate"/>
        </w:r>
        <w:r w:rsidR="00DE2735">
          <w:rPr>
            <w:noProof/>
            <w:webHidden/>
          </w:rPr>
          <w:t>23</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57" w:history="1">
        <w:r w:rsidR="00DE2735" w:rsidRPr="00965ADB">
          <w:rPr>
            <w:rStyle w:val="Hyperlink"/>
            <w:noProof/>
          </w:rPr>
          <w:t>5.3.</w:t>
        </w:r>
        <w:r w:rsidR="00DE2735">
          <w:rPr>
            <w:rFonts w:asciiTheme="minorHAnsi" w:eastAsiaTheme="minorEastAsia" w:hAnsiTheme="minorHAnsi" w:cstheme="minorBidi"/>
            <w:noProof/>
            <w:sz w:val="22"/>
            <w:szCs w:val="22"/>
          </w:rPr>
          <w:tab/>
        </w:r>
        <w:r w:rsidR="00DE2735" w:rsidRPr="00965ADB">
          <w:rPr>
            <w:rStyle w:val="Hyperlink"/>
            <w:noProof/>
          </w:rPr>
          <w:t>Plānotā sistēma</w:t>
        </w:r>
        <w:r w:rsidR="00DE2735">
          <w:rPr>
            <w:noProof/>
            <w:webHidden/>
          </w:rPr>
          <w:tab/>
        </w:r>
        <w:r w:rsidR="00DE2735">
          <w:rPr>
            <w:noProof/>
            <w:webHidden/>
          </w:rPr>
          <w:fldChar w:fldCharType="begin"/>
        </w:r>
        <w:r w:rsidR="00DE2735">
          <w:rPr>
            <w:noProof/>
            <w:webHidden/>
          </w:rPr>
          <w:instrText xml:space="preserve"> PAGEREF _Toc388454857 \h </w:instrText>
        </w:r>
        <w:r w:rsidR="00DE2735">
          <w:rPr>
            <w:noProof/>
            <w:webHidden/>
          </w:rPr>
        </w:r>
        <w:r w:rsidR="00DE2735">
          <w:rPr>
            <w:noProof/>
            <w:webHidden/>
          </w:rPr>
          <w:fldChar w:fldCharType="separate"/>
        </w:r>
        <w:r w:rsidR="00DE2735">
          <w:rPr>
            <w:noProof/>
            <w:webHidden/>
          </w:rPr>
          <w:t>23</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58" w:history="1">
        <w:r w:rsidR="00DE2735" w:rsidRPr="00965ADB">
          <w:rPr>
            <w:rStyle w:val="Hyperlink"/>
            <w:noProof/>
          </w:rPr>
          <w:t>5.4.</w:t>
        </w:r>
        <w:r w:rsidR="00DE2735">
          <w:rPr>
            <w:rFonts w:asciiTheme="minorHAnsi" w:eastAsiaTheme="minorEastAsia" w:hAnsiTheme="minorHAnsi" w:cstheme="minorBidi"/>
            <w:noProof/>
            <w:sz w:val="22"/>
            <w:szCs w:val="22"/>
          </w:rPr>
          <w:tab/>
        </w:r>
        <w:r w:rsidR="00DE2735" w:rsidRPr="00965ADB">
          <w:rPr>
            <w:rStyle w:val="Hyperlink"/>
            <w:noProof/>
          </w:rPr>
          <w:t>Plānotais tiesiskais regulējums</w:t>
        </w:r>
        <w:r w:rsidR="00DE2735">
          <w:rPr>
            <w:noProof/>
            <w:webHidden/>
          </w:rPr>
          <w:tab/>
        </w:r>
        <w:r w:rsidR="00DE2735">
          <w:rPr>
            <w:noProof/>
            <w:webHidden/>
          </w:rPr>
          <w:fldChar w:fldCharType="begin"/>
        </w:r>
        <w:r w:rsidR="00DE2735">
          <w:rPr>
            <w:noProof/>
            <w:webHidden/>
          </w:rPr>
          <w:instrText xml:space="preserve"> PAGEREF _Toc388454858 \h </w:instrText>
        </w:r>
        <w:r w:rsidR="00DE2735">
          <w:rPr>
            <w:noProof/>
            <w:webHidden/>
          </w:rPr>
        </w:r>
        <w:r w:rsidR="00DE2735">
          <w:rPr>
            <w:noProof/>
            <w:webHidden/>
          </w:rPr>
          <w:fldChar w:fldCharType="separate"/>
        </w:r>
        <w:r w:rsidR="00DE2735">
          <w:rPr>
            <w:noProof/>
            <w:webHidden/>
          </w:rPr>
          <w:t>25</w:t>
        </w:r>
        <w:r w:rsidR="00DE2735">
          <w:rPr>
            <w:noProof/>
            <w:webHidden/>
          </w:rPr>
          <w:fldChar w:fldCharType="end"/>
        </w:r>
      </w:hyperlink>
    </w:p>
    <w:p w:rsidR="00DE2735" w:rsidRDefault="00EE2E74">
      <w:pPr>
        <w:pStyle w:val="TOC1"/>
        <w:tabs>
          <w:tab w:val="left" w:pos="403"/>
          <w:tab w:val="right" w:leader="dot" w:pos="9259"/>
        </w:tabs>
        <w:rPr>
          <w:rFonts w:asciiTheme="minorHAnsi" w:eastAsiaTheme="minorEastAsia" w:hAnsiTheme="minorHAnsi" w:cstheme="minorBidi"/>
          <w:b w:val="0"/>
          <w:noProof/>
          <w:sz w:val="22"/>
          <w:szCs w:val="22"/>
        </w:rPr>
      </w:pPr>
      <w:hyperlink w:anchor="_Toc388454859" w:history="1">
        <w:r w:rsidR="00DE2735" w:rsidRPr="00965ADB">
          <w:rPr>
            <w:rStyle w:val="Hyperlink"/>
            <w:noProof/>
          </w:rPr>
          <w:t>6.</w:t>
        </w:r>
        <w:r w:rsidR="00DE2735">
          <w:rPr>
            <w:rFonts w:asciiTheme="minorHAnsi" w:eastAsiaTheme="minorEastAsia" w:hAnsiTheme="minorHAnsi" w:cstheme="minorBidi"/>
            <w:b w:val="0"/>
            <w:noProof/>
            <w:sz w:val="22"/>
            <w:szCs w:val="22"/>
          </w:rPr>
          <w:tab/>
        </w:r>
        <w:r w:rsidR="00DE2735" w:rsidRPr="00965ADB">
          <w:rPr>
            <w:rStyle w:val="Hyperlink"/>
            <w:noProof/>
          </w:rPr>
          <w:t>Plānotās sistēmas konceptuālā risinājuma analīzes kopsavilkums</w:t>
        </w:r>
        <w:r w:rsidR="00DE2735">
          <w:rPr>
            <w:noProof/>
            <w:webHidden/>
          </w:rPr>
          <w:tab/>
        </w:r>
        <w:r w:rsidR="00DE2735">
          <w:rPr>
            <w:noProof/>
            <w:webHidden/>
          </w:rPr>
          <w:fldChar w:fldCharType="begin"/>
        </w:r>
        <w:r w:rsidR="00DE2735">
          <w:rPr>
            <w:noProof/>
            <w:webHidden/>
          </w:rPr>
          <w:instrText xml:space="preserve"> PAGEREF _Toc388454859 \h </w:instrText>
        </w:r>
        <w:r w:rsidR="00DE2735">
          <w:rPr>
            <w:noProof/>
            <w:webHidden/>
          </w:rPr>
        </w:r>
        <w:r w:rsidR="00DE2735">
          <w:rPr>
            <w:noProof/>
            <w:webHidden/>
          </w:rPr>
          <w:fldChar w:fldCharType="separate"/>
        </w:r>
        <w:r w:rsidR="00DE2735">
          <w:rPr>
            <w:noProof/>
            <w:webHidden/>
          </w:rPr>
          <w:t>26</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60" w:history="1">
        <w:r w:rsidR="00DE2735" w:rsidRPr="00965ADB">
          <w:rPr>
            <w:rStyle w:val="Hyperlink"/>
            <w:noProof/>
          </w:rPr>
          <w:t>6.1.</w:t>
        </w:r>
        <w:r w:rsidR="00DE2735">
          <w:rPr>
            <w:rFonts w:asciiTheme="minorHAnsi" w:eastAsiaTheme="minorEastAsia" w:hAnsiTheme="minorHAnsi" w:cstheme="minorBidi"/>
            <w:noProof/>
            <w:sz w:val="22"/>
            <w:szCs w:val="22"/>
          </w:rPr>
          <w:tab/>
        </w:r>
        <w:r w:rsidR="00DE2735" w:rsidRPr="00965ADB">
          <w:rPr>
            <w:rStyle w:val="Hyperlink"/>
            <w:noProof/>
          </w:rPr>
          <w:t>Informācijas apmaiņa un sadarbspēja</w:t>
        </w:r>
        <w:r w:rsidR="00DE2735">
          <w:rPr>
            <w:noProof/>
            <w:webHidden/>
          </w:rPr>
          <w:tab/>
        </w:r>
        <w:r w:rsidR="00DE2735">
          <w:rPr>
            <w:noProof/>
            <w:webHidden/>
          </w:rPr>
          <w:fldChar w:fldCharType="begin"/>
        </w:r>
        <w:r w:rsidR="00DE2735">
          <w:rPr>
            <w:noProof/>
            <w:webHidden/>
          </w:rPr>
          <w:instrText xml:space="preserve"> PAGEREF _Toc388454860 \h </w:instrText>
        </w:r>
        <w:r w:rsidR="00DE2735">
          <w:rPr>
            <w:noProof/>
            <w:webHidden/>
          </w:rPr>
        </w:r>
        <w:r w:rsidR="00DE2735">
          <w:rPr>
            <w:noProof/>
            <w:webHidden/>
          </w:rPr>
          <w:fldChar w:fldCharType="separate"/>
        </w:r>
        <w:r w:rsidR="00DE2735">
          <w:rPr>
            <w:noProof/>
            <w:webHidden/>
          </w:rPr>
          <w:t>26</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61" w:history="1">
        <w:r w:rsidR="00DE2735" w:rsidRPr="00965ADB">
          <w:rPr>
            <w:rStyle w:val="Hyperlink"/>
            <w:noProof/>
          </w:rPr>
          <w:t>6.2.</w:t>
        </w:r>
        <w:r w:rsidR="00DE2735">
          <w:rPr>
            <w:rFonts w:asciiTheme="minorHAnsi" w:eastAsiaTheme="minorEastAsia" w:hAnsiTheme="minorHAnsi" w:cstheme="minorBidi"/>
            <w:noProof/>
            <w:sz w:val="22"/>
            <w:szCs w:val="22"/>
          </w:rPr>
          <w:tab/>
        </w:r>
        <w:r w:rsidR="00DE2735" w:rsidRPr="00965ADB">
          <w:rPr>
            <w:rStyle w:val="Hyperlink"/>
            <w:noProof/>
          </w:rPr>
          <w:t>Elektronisko pakalpojumu sniegšanas vide</w:t>
        </w:r>
        <w:r w:rsidR="00DE2735">
          <w:rPr>
            <w:noProof/>
            <w:webHidden/>
          </w:rPr>
          <w:tab/>
        </w:r>
        <w:r w:rsidR="00DE2735">
          <w:rPr>
            <w:noProof/>
            <w:webHidden/>
          </w:rPr>
          <w:fldChar w:fldCharType="begin"/>
        </w:r>
        <w:r w:rsidR="00DE2735">
          <w:rPr>
            <w:noProof/>
            <w:webHidden/>
          </w:rPr>
          <w:instrText xml:space="preserve"> PAGEREF _Toc388454861 \h </w:instrText>
        </w:r>
        <w:r w:rsidR="00DE2735">
          <w:rPr>
            <w:noProof/>
            <w:webHidden/>
          </w:rPr>
        </w:r>
        <w:r w:rsidR="00DE2735">
          <w:rPr>
            <w:noProof/>
            <w:webHidden/>
          </w:rPr>
          <w:fldChar w:fldCharType="separate"/>
        </w:r>
        <w:r w:rsidR="00DE2735">
          <w:rPr>
            <w:noProof/>
            <w:webHidden/>
          </w:rPr>
          <w:t>26</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62" w:history="1">
        <w:r w:rsidR="00DE2735" w:rsidRPr="00965ADB">
          <w:rPr>
            <w:rStyle w:val="Hyperlink"/>
            <w:noProof/>
          </w:rPr>
          <w:t>6.3.</w:t>
        </w:r>
        <w:r w:rsidR="00DE2735">
          <w:rPr>
            <w:rFonts w:asciiTheme="minorHAnsi" w:eastAsiaTheme="minorEastAsia" w:hAnsiTheme="minorHAnsi" w:cstheme="minorBidi"/>
            <w:noProof/>
            <w:sz w:val="22"/>
            <w:szCs w:val="22"/>
          </w:rPr>
          <w:tab/>
        </w:r>
        <w:r w:rsidR="00DE2735" w:rsidRPr="00965ADB">
          <w:rPr>
            <w:rStyle w:val="Hyperlink"/>
            <w:noProof/>
          </w:rPr>
          <w:t>Citas elektroniskās pārvaldes risinājumu koplietošanas komponentes</w:t>
        </w:r>
        <w:r w:rsidR="00DE2735">
          <w:rPr>
            <w:noProof/>
            <w:webHidden/>
          </w:rPr>
          <w:tab/>
        </w:r>
        <w:r w:rsidR="00DE2735">
          <w:rPr>
            <w:noProof/>
            <w:webHidden/>
          </w:rPr>
          <w:fldChar w:fldCharType="begin"/>
        </w:r>
        <w:r w:rsidR="00DE2735">
          <w:rPr>
            <w:noProof/>
            <w:webHidden/>
          </w:rPr>
          <w:instrText xml:space="preserve"> PAGEREF _Toc388454862 \h </w:instrText>
        </w:r>
        <w:r w:rsidR="00DE2735">
          <w:rPr>
            <w:noProof/>
            <w:webHidden/>
          </w:rPr>
        </w:r>
        <w:r w:rsidR="00DE2735">
          <w:rPr>
            <w:noProof/>
            <w:webHidden/>
          </w:rPr>
          <w:fldChar w:fldCharType="separate"/>
        </w:r>
        <w:r w:rsidR="00DE2735">
          <w:rPr>
            <w:noProof/>
            <w:webHidden/>
          </w:rPr>
          <w:t>26</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63" w:history="1">
        <w:r w:rsidR="00DE2735" w:rsidRPr="00965ADB">
          <w:rPr>
            <w:rStyle w:val="Hyperlink"/>
            <w:noProof/>
          </w:rPr>
          <w:t>6.4.</w:t>
        </w:r>
        <w:r w:rsidR="00DE2735">
          <w:rPr>
            <w:rFonts w:asciiTheme="minorHAnsi" w:eastAsiaTheme="minorEastAsia" w:hAnsiTheme="minorHAnsi" w:cstheme="minorBidi"/>
            <w:noProof/>
            <w:sz w:val="22"/>
            <w:szCs w:val="22"/>
          </w:rPr>
          <w:tab/>
        </w:r>
        <w:r w:rsidR="00DE2735" w:rsidRPr="00965ADB">
          <w:rPr>
            <w:rStyle w:val="Hyperlink"/>
            <w:noProof/>
          </w:rPr>
          <w:t>Funkciju un informācijas sistēmu dublēšanās novēršana</w:t>
        </w:r>
        <w:r w:rsidR="00DE2735">
          <w:rPr>
            <w:noProof/>
            <w:webHidden/>
          </w:rPr>
          <w:tab/>
        </w:r>
        <w:r w:rsidR="00DE2735">
          <w:rPr>
            <w:noProof/>
            <w:webHidden/>
          </w:rPr>
          <w:fldChar w:fldCharType="begin"/>
        </w:r>
        <w:r w:rsidR="00DE2735">
          <w:rPr>
            <w:noProof/>
            <w:webHidden/>
          </w:rPr>
          <w:instrText xml:space="preserve"> PAGEREF _Toc388454863 \h </w:instrText>
        </w:r>
        <w:r w:rsidR="00DE2735">
          <w:rPr>
            <w:noProof/>
            <w:webHidden/>
          </w:rPr>
        </w:r>
        <w:r w:rsidR="00DE2735">
          <w:rPr>
            <w:noProof/>
            <w:webHidden/>
          </w:rPr>
          <w:fldChar w:fldCharType="separate"/>
        </w:r>
        <w:r w:rsidR="00DE2735">
          <w:rPr>
            <w:noProof/>
            <w:webHidden/>
          </w:rPr>
          <w:t>26</w:t>
        </w:r>
        <w:r w:rsidR="00DE2735">
          <w:rPr>
            <w:noProof/>
            <w:webHidden/>
          </w:rPr>
          <w:fldChar w:fldCharType="end"/>
        </w:r>
      </w:hyperlink>
    </w:p>
    <w:p w:rsidR="00DE2735" w:rsidRDefault="00EE2E74">
      <w:pPr>
        <w:pStyle w:val="TOC1"/>
        <w:tabs>
          <w:tab w:val="left" w:pos="403"/>
          <w:tab w:val="right" w:leader="dot" w:pos="9259"/>
        </w:tabs>
        <w:rPr>
          <w:rFonts w:asciiTheme="minorHAnsi" w:eastAsiaTheme="minorEastAsia" w:hAnsiTheme="minorHAnsi" w:cstheme="minorBidi"/>
          <w:b w:val="0"/>
          <w:noProof/>
          <w:sz w:val="22"/>
          <w:szCs w:val="22"/>
        </w:rPr>
      </w:pPr>
      <w:hyperlink w:anchor="_Toc388454864" w:history="1">
        <w:r w:rsidR="00DE2735" w:rsidRPr="00965ADB">
          <w:rPr>
            <w:rStyle w:val="Hyperlink"/>
            <w:noProof/>
          </w:rPr>
          <w:t>7.</w:t>
        </w:r>
        <w:r w:rsidR="00DE2735">
          <w:rPr>
            <w:rFonts w:asciiTheme="minorHAnsi" w:eastAsiaTheme="minorEastAsia" w:hAnsiTheme="minorHAnsi" w:cstheme="minorBidi"/>
            <w:b w:val="0"/>
            <w:noProof/>
            <w:sz w:val="22"/>
            <w:szCs w:val="22"/>
          </w:rPr>
          <w:tab/>
        </w:r>
        <w:r w:rsidR="00DE2735" w:rsidRPr="00965ADB">
          <w:rPr>
            <w:rStyle w:val="Hyperlink"/>
            <w:noProof/>
          </w:rPr>
          <w:t>Projekta izmaksu efektivitātes analīzes kopsavilkums</w:t>
        </w:r>
        <w:r w:rsidR="00DE2735">
          <w:rPr>
            <w:noProof/>
            <w:webHidden/>
          </w:rPr>
          <w:tab/>
        </w:r>
        <w:r w:rsidR="00DE2735">
          <w:rPr>
            <w:noProof/>
            <w:webHidden/>
          </w:rPr>
          <w:fldChar w:fldCharType="begin"/>
        </w:r>
        <w:r w:rsidR="00DE2735">
          <w:rPr>
            <w:noProof/>
            <w:webHidden/>
          </w:rPr>
          <w:instrText xml:space="preserve"> PAGEREF _Toc388454864 \h </w:instrText>
        </w:r>
        <w:r w:rsidR="00DE2735">
          <w:rPr>
            <w:noProof/>
            <w:webHidden/>
          </w:rPr>
        </w:r>
        <w:r w:rsidR="00DE2735">
          <w:rPr>
            <w:noProof/>
            <w:webHidden/>
          </w:rPr>
          <w:fldChar w:fldCharType="separate"/>
        </w:r>
        <w:r w:rsidR="00DE2735">
          <w:rPr>
            <w:noProof/>
            <w:webHidden/>
          </w:rPr>
          <w:t>28</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65" w:history="1">
        <w:r w:rsidR="00DE2735" w:rsidRPr="00965ADB">
          <w:rPr>
            <w:rStyle w:val="Hyperlink"/>
            <w:noProof/>
          </w:rPr>
          <w:t>7.1.</w:t>
        </w:r>
        <w:r w:rsidR="00DE2735">
          <w:rPr>
            <w:rFonts w:asciiTheme="minorHAnsi" w:eastAsiaTheme="minorEastAsia" w:hAnsiTheme="minorHAnsi" w:cstheme="minorBidi"/>
            <w:noProof/>
            <w:sz w:val="22"/>
            <w:szCs w:val="22"/>
          </w:rPr>
          <w:tab/>
        </w:r>
        <w:r w:rsidR="00DE2735" w:rsidRPr="00965ADB">
          <w:rPr>
            <w:rStyle w:val="Hyperlink"/>
            <w:noProof/>
          </w:rPr>
          <w:t>Alternatīvu analīze</w:t>
        </w:r>
        <w:r w:rsidR="00DE2735">
          <w:rPr>
            <w:noProof/>
            <w:webHidden/>
          </w:rPr>
          <w:tab/>
        </w:r>
        <w:r w:rsidR="00DE2735">
          <w:rPr>
            <w:noProof/>
            <w:webHidden/>
          </w:rPr>
          <w:fldChar w:fldCharType="begin"/>
        </w:r>
        <w:r w:rsidR="00DE2735">
          <w:rPr>
            <w:noProof/>
            <w:webHidden/>
          </w:rPr>
          <w:instrText xml:space="preserve"> PAGEREF _Toc388454865 \h </w:instrText>
        </w:r>
        <w:r w:rsidR="00DE2735">
          <w:rPr>
            <w:noProof/>
            <w:webHidden/>
          </w:rPr>
        </w:r>
        <w:r w:rsidR="00DE2735">
          <w:rPr>
            <w:noProof/>
            <w:webHidden/>
          </w:rPr>
          <w:fldChar w:fldCharType="separate"/>
        </w:r>
        <w:r w:rsidR="00DE2735">
          <w:rPr>
            <w:noProof/>
            <w:webHidden/>
          </w:rPr>
          <w:t>30</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66" w:history="1">
        <w:r w:rsidR="00DE2735" w:rsidRPr="00965ADB">
          <w:rPr>
            <w:rStyle w:val="Hyperlink"/>
            <w:noProof/>
          </w:rPr>
          <w:t>7.2.</w:t>
        </w:r>
        <w:r w:rsidR="00DE2735">
          <w:rPr>
            <w:rFonts w:asciiTheme="minorHAnsi" w:eastAsiaTheme="minorEastAsia" w:hAnsiTheme="minorHAnsi" w:cstheme="minorBidi"/>
            <w:noProof/>
            <w:sz w:val="22"/>
            <w:szCs w:val="22"/>
          </w:rPr>
          <w:tab/>
        </w:r>
        <w:r w:rsidR="00DE2735" w:rsidRPr="00965ADB">
          <w:rPr>
            <w:rStyle w:val="Hyperlink"/>
            <w:noProof/>
          </w:rPr>
          <w:t>Projekta dzīves cikla naudas plūsmas un izmaksu efektivitātes novērtējums</w:t>
        </w:r>
        <w:r w:rsidR="00DE2735">
          <w:rPr>
            <w:noProof/>
            <w:webHidden/>
          </w:rPr>
          <w:tab/>
        </w:r>
        <w:r w:rsidR="00DE2735">
          <w:rPr>
            <w:noProof/>
            <w:webHidden/>
          </w:rPr>
          <w:fldChar w:fldCharType="begin"/>
        </w:r>
        <w:r w:rsidR="00DE2735">
          <w:rPr>
            <w:noProof/>
            <w:webHidden/>
          </w:rPr>
          <w:instrText xml:space="preserve"> PAGEREF _Toc388454866 \h </w:instrText>
        </w:r>
        <w:r w:rsidR="00DE2735">
          <w:rPr>
            <w:noProof/>
            <w:webHidden/>
          </w:rPr>
        </w:r>
        <w:r w:rsidR="00DE2735">
          <w:rPr>
            <w:noProof/>
            <w:webHidden/>
          </w:rPr>
          <w:fldChar w:fldCharType="separate"/>
        </w:r>
        <w:r w:rsidR="00DE2735">
          <w:rPr>
            <w:noProof/>
            <w:webHidden/>
          </w:rPr>
          <w:t>32</w:t>
        </w:r>
        <w:r w:rsidR="00DE2735">
          <w:rPr>
            <w:noProof/>
            <w:webHidden/>
          </w:rPr>
          <w:fldChar w:fldCharType="end"/>
        </w:r>
      </w:hyperlink>
    </w:p>
    <w:p w:rsidR="00DE2735" w:rsidRDefault="00EE2E74">
      <w:pPr>
        <w:pStyle w:val="TOC2"/>
        <w:tabs>
          <w:tab w:val="left" w:pos="880"/>
          <w:tab w:val="right" w:leader="dot" w:pos="9259"/>
        </w:tabs>
        <w:rPr>
          <w:rFonts w:asciiTheme="minorHAnsi" w:eastAsiaTheme="minorEastAsia" w:hAnsiTheme="minorHAnsi" w:cstheme="minorBidi"/>
          <w:noProof/>
          <w:sz w:val="22"/>
          <w:szCs w:val="22"/>
        </w:rPr>
      </w:pPr>
      <w:hyperlink w:anchor="_Toc388454867" w:history="1">
        <w:r w:rsidR="00DE2735" w:rsidRPr="00965ADB">
          <w:rPr>
            <w:rStyle w:val="Hyperlink"/>
            <w:noProof/>
          </w:rPr>
          <w:t>7.3.</w:t>
        </w:r>
        <w:r w:rsidR="00DE2735">
          <w:rPr>
            <w:rFonts w:asciiTheme="minorHAnsi" w:eastAsiaTheme="minorEastAsia" w:hAnsiTheme="minorHAnsi" w:cstheme="minorBidi"/>
            <w:noProof/>
            <w:sz w:val="22"/>
            <w:szCs w:val="22"/>
          </w:rPr>
          <w:tab/>
        </w:r>
        <w:r w:rsidR="00DE2735" w:rsidRPr="00965ADB">
          <w:rPr>
            <w:rStyle w:val="Hyperlink"/>
            <w:noProof/>
          </w:rPr>
          <w:t>Plānotās sistēmas pilnveides un uzturēšanas izmaksas un to ietekme uz valsts budžetu</w:t>
        </w:r>
        <w:r w:rsidR="00DE2735">
          <w:rPr>
            <w:noProof/>
            <w:webHidden/>
          </w:rPr>
          <w:tab/>
        </w:r>
        <w:r w:rsidR="00DE2735">
          <w:rPr>
            <w:noProof/>
            <w:webHidden/>
          </w:rPr>
          <w:fldChar w:fldCharType="begin"/>
        </w:r>
        <w:r w:rsidR="00DE2735">
          <w:rPr>
            <w:noProof/>
            <w:webHidden/>
          </w:rPr>
          <w:instrText xml:space="preserve"> PAGEREF _Toc388454867 \h </w:instrText>
        </w:r>
        <w:r w:rsidR="00DE2735">
          <w:rPr>
            <w:noProof/>
            <w:webHidden/>
          </w:rPr>
        </w:r>
        <w:r w:rsidR="00DE2735">
          <w:rPr>
            <w:noProof/>
            <w:webHidden/>
          </w:rPr>
          <w:fldChar w:fldCharType="separate"/>
        </w:r>
        <w:r w:rsidR="00DE2735">
          <w:rPr>
            <w:noProof/>
            <w:webHidden/>
          </w:rPr>
          <w:t>35</w:t>
        </w:r>
        <w:r w:rsidR="00DE2735">
          <w:rPr>
            <w:noProof/>
            <w:webHidden/>
          </w:rPr>
          <w:fldChar w:fldCharType="end"/>
        </w:r>
      </w:hyperlink>
    </w:p>
    <w:p w:rsidR="002B020B" w:rsidRPr="003C61E9" w:rsidRDefault="002B7ACB" w:rsidP="002B020B">
      <w:r>
        <w:rPr>
          <w:b/>
        </w:rPr>
        <w:fldChar w:fldCharType="end"/>
      </w:r>
    </w:p>
    <w:p w:rsidR="008E41B8" w:rsidRDefault="002C6C52" w:rsidP="00BA6603">
      <w:pPr>
        <w:pStyle w:val="Heading1"/>
      </w:pPr>
      <w:bookmarkStart w:id="0" w:name="_Toc388454836"/>
      <w:r>
        <w:lastRenderedPageBreak/>
        <w:t>Īss satura izklāsts</w:t>
      </w:r>
      <w:bookmarkEnd w:id="0"/>
    </w:p>
    <w:p w:rsidR="002C6C52" w:rsidRDefault="00A20605" w:rsidP="00A20605">
      <w:pPr>
        <w:pStyle w:val="BodyText"/>
      </w:pPr>
      <w:r w:rsidRPr="00A20605">
        <w:t>Valsts izglītības informācijas sistēma (turpmāk – VIIS) ir centrāl</w:t>
      </w:r>
      <w:r w:rsidR="006C5CDF">
        <w:t>ā</w:t>
      </w:r>
      <w:r w:rsidRPr="00A20605">
        <w:t xml:space="preserve"> izglītības nozares </w:t>
      </w:r>
      <w:r w:rsidR="00DB0F65">
        <w:t>informācijas sistēm</w:t>
      </w:r>
      <w:r w:rsidR="006C5CDF">
        <w:t>a</w:t>
      </w:r>
      <w:r w:rsidRPr="00A20605">
        <w:t xml:space="preserve">, kurā </w:t>
      </w:r>
      <w:r w:rsidR="005370CF">
        <w:t>apkopojama</w:t>
      </w:r>
      <w:r w:rsidRPr="00A20605">
        <w:t xml:space="preserve"> informācij</w:t>
      </w:r>
      <w:r w:rsidR="003D4D11">
        <w:t>a</w:t>
      </w:r>
      <w:r w:rsidRPr="00A20605">
        <w:t xml:space="preserve"> par izglītības iestādēm, licencētām un akreditētām izglītības programmām, izglītojamiem, pedagogiem, augstskolu un koledžu akadēmisko personālu, izglītības dokumentiem un valsts statistiku</w:t>
      </w:r>
      <w:r>
        <w:t xml:space="preserve">. VIIS izmantojama kā centrālā nozares platforma datu apkopošanai un </w:t>
      </w:r>
      <w:proofErr w:type="spellStart"/>
      <w:r>
        <w:t>tālākizmantošanai</w:t>
      </w:r>
      <w:proofErr w:type="spellEnd"/>
      <w:r>
        <w:t xml:space="preserve"> izglītības nozares analīzei, politikas plānošanai, izglītības pakalpojumu sniegšanai </w:t>
      </w:r>
      <w:r w:rsidR="005370CF">
        <w:t>un cit</w:t>
      </w:r>
      <w:r w:rsidR="006C5CDF">
        <w:t>u</w:t>
      </w:r>
      <w:r>
        <w:t xml:space="preserve"> izglītības nozares proces</w:t>
      </w:r>
      <w:r w:rsidR="006C5CDF">
        <w:t>u nodrošināšanai</w:t>
      </w:r>
      <w:r>
        <w:t xml:space="preserve">. Tomēr VIIS </w:t>
      </w:r>
      <w:r w:rsidR="005370CF">
        <w:t xml:space="preserve">ir </w:t>
      </w:r>
      <w:r>
        <w:t xml:space="preserve">vairākas </w:t>
      </w:r>
      <w:r w:rsidR="005370CF">
        <w:t>funkcionālās komponentes</w:t>
      </w:r>
      <w:r>
        <w:t>, kurās iespējami uzlabojumi, kas tieša veidā uzlabos VIIS izmantošanu izglītības iestādēs un valsts institūcijās, kā arī sekmēs VIIS tālāko attīstību</w:t>
      </w:r>
      <w:r w:rsidR="005370CF">
        <w:t>, veidojot to par</w:t>
      </w:r>
      <w:r>
        <w:t xml:space="preserve"> izglītības nozares centrālo </w:t>
      </w:r>
      <w:r w:rsidR="005370CF">
        <w:t>informācijas sistēmu</w:t>
      </w:r>
      <w:r>
        <w:t>.</w:t>
      </w:r>
    </w:p>
    <w:p w:rsidR="00A20605" w:rsidRDefault="00A20605" w:rsidP="00A20605">
      <w:pPr>
        <w:pStyle w:val="BodyText"/>
      </w:pPr>
      <w:r>
        <w:t xml:space="preserve">Plānotā VIIS attīstības būtība ir paplašināt VIIS izmantošanu augstākās izglītības sektorā, veicināt e-pakalpojumu izstrādi, kas </w:t>
      </w:r>
      <w:r w:rsidR="005370CF">
        <w:t xml:space="preserve">veidoti, izmantojot </w:t>
      </w:r>
      <w:r>
        <w:t xml:space="preserve">VIIS </w:t>
      </w:r>
      <w:r w:rsidR="005370CF">
        <w:t>apkopotos un uzturētos datus</w:t>
      </w:r>
      <w:r>
        <w:t>, uzlabot VII</w:t>
      </w:r>
      <w:r w:rsidR="005370CF">
        <w:t>S</w:t>
      </w:r>
      <w:r>
        <w:t xml:space="preserve"> </w:t>
      </w:r>
      <w:r w:rsidR="00CE5CA1">
        <w:t>uzkrāto datu izguves iespējas</w:t>
      </w:r>
      <w:r>
        <w:t xml:space="preserve">, </w:t>
      </w:r>
      <w:r w:rsidR="005370CF">
        <w:t xml:space="preserve">sekmējot </w:t>
      </w:r>
      <w:r>
        <w:t xml:space="preserve">izglītības politikas analīzi un plānošanu, kā arī attīstīt VIIS datu apmaiņas risinājumu, lai VIIS uzkrātos datus padarītu pieejamākus citām institūcijām. </w:t>
      </w:r>
      <w:r w:rsidR="000D6183">
        <w:t xml:space="preserve">Paredzēts, ka kopējās projekta izmaksas, kura rezultātā tiktu nodrošināta turpmākā VIIS attīstība, </w:t>
      </w:r>
      <w:r w:rsidR="000D6183" w:rsidRPr="00976F4C">
        <w:t xml:space="preserve">sasniegs </w:t>
      </w:r>
      <w:r w:rsidR="00976F4C">
        <w:t>1,</w:t>
      </w:r>
      <w:r w:rsidR="008C0A6A">
        <w:t>27</w:t>
      </w:r>
      <w:r w:rsidR="00976F4C">
        <w:t> miljonus eiro</w:t>
      </w:r>
      <w:r w:rsidR="005370CF" w:rsidRPr="00976F4C">
        <w:t>.</w:t>
      </w:r>
    </w:p>
    <w:p w:rsidR="00A20605" w:rsidRDefault="00A20605" w:rsidP="00A20605">
      <w:pPr>
        <w:pStyle w:val="BodyText"/>
      </w:pPr>
      <w:r>
        <w:t>VIIS pārzinis arī turpmāk būs Izglītības un zinātnes ministrija</w:t>
      </w:r>
      <w:r w:rsidR="000D6183">
        <w:t xml:space="preserve">, kas projekta rezultātā iegūs iespēju efektīvāk veikt izglītības politikas analīzi un plānošanu, jo </w:t>
      </w:r>
      <w:r w:rsidR="005370CF">
        <w:t xml:space="preserve">VIIS </w:t>
      </w:r>
      <w:r w:rsidR="000D6183">
        <w:t>tiks apkopoti dati par izglītojamo mācību gaitām pēc vidējās izglītības iegūšanas</w:t>
      </w:r>
      <w:r w:rsidR="005370CF">
        <w:t>. T</w:t>
      </w:r>
      <w:r w:rsidR="000D6183">
        <w:t xml:space="preserve">āpat arī </w:t>
      </w:r>
      <w:r w:rsidR="005370CF">
        <w:t xml:space="preserve">VIIS </w:t>
      </w:r>
      <w:r w:rsidR="000D6183">
        <w:t>tiks būtiski uzlabot</w:t>
      </w:r>
      <w:r w:rsidR="00CE5CA1">
        <w:t>as VIIS uzkrāto datu izguves iespējas</w:t>
      </w:r>
      <w:r w:rsidR="005370CF">
        <w:t>, radot iespēju iegūt lietotāju vajadzībām nepieciešamās atskaites.</w:t>
      </w:r>
      <w:r w:rsidR="000D6183">
        <w:t xml:space="preserve"> </w:t>
      </w:r>
      <w:r w:rsidR="005370CF">
        <w:t xml:space="preserve">VIIS attīstības rezultātā </w:t>
      </w:r>
      <w:r w:rsidR="000D6183">
        <w:t xml:space="preserve">ieguvumi būs arī </w:t>
      </w:r>
      <w:r w:rsidR="00185FEF">
        <w:t>privātpersonām, kuras tiešsaistē varēs iegūt informāciju par saviem datiem izglītības reģistros un reģistrētiem bērnu uzraudzības pakalpojumu sniedzējiem</w:t>
      </w:r>
      <w:r w:rsidR="000D6183">
        <w:t>.</w:t>
      </w:r>
      <w:r w:rsidR="00185FEF">
        <w:t xml:space="preserve"> Tāpat būtisku ieguvumu sniegs automatizētas datu apmaiņas ieviešana starp VIIS un </w:t>
      </w:r>
      <w:r w:rsidR="004E3050">
        <w:t>Valsts ieņēmumu dienesta informācijas sistēmām</w:t>
      </w:r>
      <w:r w:rsidR="00185FEF">
        <w:t xml:space="preserve">, ietaupot laiku iedzīvotājiem informācijas manuālai pieprasīšanai un iesniegšanai, izglītības iestādēm informācijas sagatavošanai, kā ar </w:t>
      </w:r>
      <w:r w:rsidR="004E3050">
        <w:t>Valsts ieņēmumu dienestam</w:t>
      </w:r>
      <w:r w:rsidR="00185FEF">
        <w:t xml:space="preserve"> informācijas apstrādei.</w:t>
      </w:r>
      <w:r w:rsidR="000D6183">
        <w:t xml:space="preserve"> Ieguvumi saistīti arī ar datu apmaiņas risinājuma attīstību, kas nodrošinās piemērotāku un ātrāku datu apmaiņas risinājumu izveidi starp VIIS un citu institūciju </w:t>
      </w:r>
      <w:r w:rsidR="009B7F6A">
        <w:t>IS</w:t>
      </w:r>
      <w:r w:rsidR="005370CF">
        <w:t xml:space="preserve">, </w:t>
      </w:r>
      <w:r w:rsidR="000D6183">
        <w:t xml:space="preserve">tādējādi automatizējot datu apmaiņas </w:t>
      </w:r>
      <w:r w:rsidR="000D6183" w:rsidRPr="00F245B6">
        <w:t>procesus</w:t>
      </w:r>
      <w:r w:rsidR="000D6183" w:rsidRPr="00976F4C">
        <w:t>.</w:t>
      </w:r>
    </w:p>
    <w:p w:rsidR="00A20605" w:rsidRDefault="000D6183" w:rsidP="00A20605">
      <w:pPr>
        <w:pStyle w:val="BodyText"/>
      </w:pPr>
      <w:r>
        <w:t xml:space="preserve">Gadījumā, ja plānotie uzlabojumi VIIS netiks </w:t>
      </w:r>
      <w:r w:rsidR="006C5CDF">
        <w:t>ieviesti</w:t>
      </w:r>
      <w:r>
        <w:t xml:space="preserve">, VIIS kā centrālās izglītības sistēmas datu platformas loma mazināsies, jo izglītības iestādes un </w:t>
      </w:r>
      <w:r w:rsidR="007C7E7A">
        <w:t xml:space="preserve">citas valsts institūcijas attīstīs lokālos risinājumus datu apkopošanai un analīzei. Tas ir pretrunā ar </w:t>
      </w:r>
      <w:r w:rsidR="007C7E7A" w:rsidRPr="001F4A6B">
        <w:t>Informācijas sabi</w:t>
      </w:r>
      <w:r w:rsidR="007C7E7A">
        <w:t>edrības attīstības pamatnostādnē</w:t>
      </w:r>
      <w:r w:rsidR="007C7E7A" w:rsidRPr="001F4A6B">
        <w:t>s 2014.-2020.gadam</w:t>
      </w:r>
      <w:r w:rsidR="007C7E7A">
        <w:t xml:space="preserve"> paredzēto centralizēto platformu stiprināšanu visās nozarēs. </w:t>
      </w:r>
      <w:r w:rsidR="005370CF">
        <w:t>Ja netiks pilnveidota lietotājiem būtiskā VIIS funkcionalitāte, saglabāsies manuālie datu apmaiņas procesi</w:t>
      </w:r>
      <w:r w:rsidR="006C5CDF">
        <w:t>, radot</w:t>
      </w:r>
      <w:r w:rsidR="005370CF" w:rsidDel="005370CF">
        <w:t xml:space="preserve"> </w:t>
      </w:r>
      <w:r w:rsidR="005370CF">
        <w:t>VIIS pielietojuma samazin</w:t>
      </w:r>
      <w:r w:rsidR="006C5CDF">
        <w:t>āšanos</w:t>
      </w:r>
      <w:r w:rsidR="005E6CB4">
        <w:t xml:space="preserve">. </w:t>
      </w:r>
      <w:r w:rsidR="005370CF">
        <w:t xml:space="preserve">Šāda izglītības nozares </w:t>
      </w:r>
      <w:r w:rsidR="007C7E7A">
        <w:t>informācijas decentralizācija apgrūtinās</w:t>
      </w:r>
      <w:r w:rsidR="005370CF" w:rsidRPr="005370CF">
        <w:t xml:space="preserve"> </w:t>
      </w:r>
      <w:r w:rsidR="007C7E7A">
        <w:t>turpmāko izglītības nozares politikas analīzi un plānošanu.</w:t>
      </w:r>
    </w:p>
    <w:p w:rsidR="002C6C52" w:rsidRDefault="002C6C52" w:rsidP="002C6C52">
      <w:pPr>
        <w:pStyle w:val="BodyText"/>
      </w:pPr>
    </w:p>
    <w:p w:rsidR="002C6C52" w:rsidRDefault="002C6C52">
      <w:r>
        <w:br w:type="page"/>
      </w:r>
    </w:p>
    <w:p w:rsidR="002C6C52" w:rsidRDefault="002C6C52" w:rsidP="002C6C52">
      <w:pPr>
        <w:pStyle w:val="Heading1"/>
      </w:pPr>
      <w:bookmarkStart w:id="1" w:name="_Toc388454837"/>
      <w:r>
        <w:lastRenderedPageBreak/>
        <w:t>D</w:t>
      </w:r>
      <w:r w:rsidRPr="002C6C52">
        <w:t>okumentā lietotie termini, saīsinājumi un apzīmējumi</w:t>
      </w:r>
      <w:bookmarkEnd w:id="1"/>
    </w:p>
    <w:p w:rsidR="002C6C52" w:rsidRDefault="00995AC5" w:rsidP="006D7464">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1</w:t>
      </w:r>
      <w:r w:rsidR="002B7ACB">
        <w:rPr>
          <w:noProof/>
        </w:rPr>
        <w:fldChar w:fldCharType="end"/>
      </w:r>
      <w:r>
        <w:t>. Terminu un saīsinājumu skaidrojums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942"/>
        <w:gridCol w:w="6543"/>
      </w:tblGrid>
      <w:tr w:rsidR="005E72F7" w:rsidRPr="005E72F7" w:rsidTr="00976F4C">
        <w:tc>
          <w:tcPr>
            <w:tcW w:w="1551" w:type="pct"/>
            <w:shd w:val="clear" w:color="auto" w:fill="BFBFBF" w:themeFill="background1" w:themeFillShade="BF"/>
            <w:vAlign w:val="center"/>
          </w:tcPr>
          <w:p w:rsidR="005E72F7" w:rsidRPr="005E72F7" w:rsidRDefault="005E72F7" w:rsidP="005E72F7">
            <w:pPr>
              <w:spacing w:before="60" w:after="60"/>
              <w:rPr>
                <w:b/>
              </w:rPr>
            </w:pPr>
            <w:r>
              <w:rPr>
                <w:b/>
              </w:rPr>
              <w:t>Termini un saīsinājumi</w:t>
            </w:r>
          </w:p>
        </w:tc>
        <w:tc>
          <w:tcPr>
            <w:tcW w:w="3449" w:type="pct"/>
            <w:shd w:val="clear" w:color="auto" w:fill="BFBFBF" w:themeFill="background1" w:themeFillShade="BF"/>
            <w:vAlign w:val="center"/>
          </w:tcPr>
          <w:p w:rsidR="005E72F7" w:rsidRPr="005E72F7" w:rsidRDefault="005E72F7" w:rsidP="005E72F7">
            <w:pPr>
              <w:spacing w:before="60" w:after="60"/>
              <w:rPr>
                <w:b/>
              </w:rPr>
            </w:pPr>
            <w:r>
              <w:rPr>
                <w:b/>
              </w:rPr>
              <w:t>Skaidrojumi</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ES</w:t>
            </w:r>
          </w:p>
        </w:tc>
        <w:tc>
          <w:tcPr>
            <w:tcW w:w="3449" w:type="pct"/>
          </w:tcPr>
          <w:p w:rsidR="00ED3550" w:rsidRDefault="00ED3550" w:rsidP="003F01C9">
            <w:pPr>
              <w:pStyle w:val="TableText"/>
              <w:rPr>
                <w:lang w:val="lv-LV"/>
              </w:rPr>
            </w:pPr>
            <w:r>
              <w:rPr>
                <w:lang w:val="lv-LV"/>
              </w:rPr>
              <w:t>Eiropas Savienība</w:t>
            </w:r>
          </w:p>
        </w:tc>
      </w:tr>
      <w:tr w:rsidR="00ED3550" w:rsidRPr="003C61E9" w:rsidTr="00976F4C">
        <w:tc>
          <w:tcPr>
            <w:tcW w:w="1551" w:type="pct"/>
            <w:shd w:val="clear" w:color="auto" w:fill="auto"/>
          </w:tcPr>
          <w:p w:rsidR="00ED3550" w:rsidRPr="003C61E9" w:rsidRDefault="00ED3550" w:rsidP="003F01C9">
            <w:pPr>
              <w:pStyle w:val="TableText"/>
              <w:rPr>
                <w:lang w:val="lv-LV"/>
              </w:rPr>
            </w:pPr>
            <w:r>
              <w:rPr>
                <w:lang w:val="lv-LV"/>
              </w:rPr>
              <w:t>IKT</w:t>
            </w:r>
          </w:p>
        </w:tc>
        <w:tc>
          <w:tcPr>
            <w:tcW w:w="3449" w:type="pct"/>
          </w:tcPr>
          <w:p w:rsidR="00ED3550" w:rsidRPr="003C61E9" w:rsidRDefault="00ED3550" w:rsidP="003F01C9">
            <w:pPr>
              <w:pStyle w:val="TableText"/>
              <w:rPr>
                <w:lang w:val="lv-LV"/>
              </w:rPr>
            </w:pPr>
            <w:r>
              <w:rPr>
                <w:lang w:val="lv-LV"/>
              </w:rPr>
              <w:t>Informācijas un komunikāciju tehnoloģijas</w:t>
            </w:r>
          </w:p>
        </w:tc>
      </w:tr>
      <w:tr w:rsidR="00995AC5" w:rsidRPr="003C61E9" w:rsidTr="00ED3550">
        <w:tc>
          <w:tcPr>
            <w:tcW w:w="1551" w:type="pct"/>
            <w:shd w:val="clear" w:color="auto" w:fill="auto"/>
          </w:tcPr>
          <w:p w:rsidR="00995AC5" w:rsidRDefault="00995AC5" w:rsidP="003F01C9">
            <w:pPr>
              <w:pStyle w:val="TableText"/>
              <w:rPr>
                <w:lang w:val="lv-LV"/>
              </w:rPr>
            </w:pPr>
            <w:r>
              <w:rPr>
                <w:lang w:val="lv-LV"/>
              </w:rPr>
              <w:t>IKTIK</w:t>
            </w:r>
          </w:p>
        </w:tc>
        <w:tc>
          <w:tcPr>
            <w:tcW w:w="3449" w:type="pct"/>
          </w:tcPr>
          <w:p w:rsidR="00995AC5" w:rsidRDefault="00995AC5" w:rsidP="003F01C9">
            <w:pPr>
              <w:pStyle w:val="TableText"/>
              <w:rPr>
                <w:lang w:val="lv-LV"/>
              </w:rPr>
            </w:pPr>
            <w:r w:rsidRPr="00995AC5">
              <w:rPr>
                <w:lang w:val="lv-LV"/>
              </w:rPr>
              <w:t>Izglītības sistēmas informatizācijas programma „Informācijas un komunikācijas tehnoloģijas izglītības kvalitātei”</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IKVD</w:t>
            </w:r>
          </w:p>
        </w:tc>
        <w:tc>
          <w:tcPr>
            <w:tcW w:w="3449" w:type="pct"/>
          </w:tcPr>
          <w:p w:rsidR="00ED3550" w:rsidRPr="001F4A6B" w:rsidRDefault="00ED3550" w:rsidP="00615AB8">
            <w:pPr>
              <w:pStyle w:val="TableText"/>
              <w:rPr>
                <w:lang w:val="lv-LV"/>
              </w:rPr>
            </w:pPr>
            <w:r w:rsidRPr="001F4A6B">
              <w:rPr>
                <w:lang w:val="lv-LV"/>
              </w:rPr>
              <w:t>Izglītības kvalitātes valsts dienests</w:t>
            </w:r>
          </w:p>
        </w:tc>
      </w:tr>
      <w:tr w:rsidR="00ED3550" w:rsidRPr="003C61E9" w:rsidTr="00976F4C">
        <w:tc>
          <w:tcPr>
            <w:tcW w:w="1551" w:type="pct"/>
            <w:shd w:val="clear" w:color="auto" w:fill="auto"/>
          </w:tcPr>
          <w:p w:rsidR="00ED3550" w:rsidRPr="003C61E9" w:rsidRDefault="00ED3550" w:rsidP="003F01C9">
            <w:pPr>
              <w:pStyle w:val="TableText"/>
              <w:rPr>
                <w:lang w:val="lv-LV"/>
              </w:rPr>
            </w:pPr>
            <w:r>
              <w:rPr>
                <w:lang w:val="lv-LV"/>
              </w:rPr>
              <w:t>IS</w:t>
            </w:r>
          </w:p>
        </w:tc>
        <w:tc>
          <w:tcPr>
            <w:tcW w:w="3449" w:type="pct"/>
          </w:tcPr>
          <w:p w:rsidR="00ED3550" w:rsidRPr="001F4A6B" w:rsidRDefault="00ED3550" w:rsidP="003F01C9">
            <w:pPr>
              <w:pStyle w:val="TableText"/>
              <w:rPr>
                <w:lang w:val="lv-LV"/>
              </w:rPr>
            </w:pPr>
            <w:r w:rsidRPr="001F4A6B">
              <w:rPr>
                <w:lang w:val="lv-LV"/>
              </w:rPr>
              <w:t>Informācijas sistēma</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ISAP</w:t>
            </w:r>
          </w:p>
        </w:tc>
        <w:tc>
          <w:tcPr>
            <w:tcW w:w="3449" w:type="pct"/>
          </w:tcPr>
          <w:p w:rsidR="00ED3550" w:rsidRPr="001F4A6B" w:rsidRDefault="00ED3550" w:rsidP="001F4A6B">
            <w:pPr>
              <w:pStyle w:val="TableText"/>
              <w:rPr>
                <w:lang w:val="lv-LV"/>
              </w:rPr>
            </w:pPr>
            <w:r w:rsidRPr="001F4A6B">
              <w:rPr>
                <w:lang w:val="lv-LV"/>
              </w:rPr>
              <w:t>Informācijas sabiedrības attīstības pamatnostādnes 2014.-2020.gadam</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IT</w:t>
            </w:r>
          </w:p>
        </w:tc>
        <w:tc>
          <w:tcPr>
            <w:tcW w:w="3449" w:type="pct"/>
          </w:tcPr>
          <w:p w:rsidR="00ED3550" w:rsidRPr="001F4A6B" w:rsidRDefault="00ED3550" w:rsidP="003F01C9">
            <w:pPr>
              <w:pStyle w:val="TableText"/>
              <w:rPr>
                <w:lang w:val="lv-LV"/>
              </w:rPr>
            </w:pPr>
            <w:r w:rsidRPr="001F4A6B">
              <w:rPr>
                <w:lang w:val="lv-LV"/>
              </w:rPr>
              <w:t>Informācijas tehnoloģijas</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IVIS</w:t>
            </w:r>
          </w:p>
        </w:tc>
        <w:tc>
          <w:tcPr>
            <w:tcW w:w="3449" w:type="pct"/>
          </w:tcPr>
          <w:p w:rsidR="00ED3550" w:rsidRPr="001F4A6B" w:rsidRDefault="00ED3550" w:rsidP="003F01C9">
            <w:pPr>
              <w:pStyle w:val="TableText"/>
              <w:rPr>
                <w:lang w:val="lv-LV"/>
              </w:rPr>
            </w:pPr>
            <w:r>
              <w:rPr>
                <w:lang w:val="lv-LV"/>
              </w:rPr>
              <w:t>Integrēta valsts informācijas sistēma</w:t>
            </w:r>
          </w:p>
        </w:tc>
      </w:tr>
      <w:tr w:rsidR="00ED3550" w:rsidRPr="003C61E9" w:rsidTr="00976F4C">
        <w:tc>
          <w:tcPr>
            <w:tcW w:w="1551" w:type="pct"/>
            <w:shd w:val="clear" w:color="auto" w:fill="auto"/>
          </w:tcPr>
          <w:p w:rsidR="00ED3550" w:rsidRPr="003C61E9" w:rsidRDefault="00ED3550" w:rsidP="003F01C9">
            <w:pPr>
              <w:pStyle w:val="TableText"/>
              <w:rPr>
                <w:lang w:val="lv-LV"/>
              </w:rPr>
            </w:pPr>
            <w:r>
              <w:rPr>
                <w:lang w:val="lv-LV"/>
              </w:rPr>
              <w:t>IZM</w:t>
            </w:r>
          </w:p>
        </w:tc>
        <w:tc>
          <w:tcPr>
            <w:tcW w:w="3449" w:type="pct"/>
          </w:tcPr>
          <w:p w:rsidR="00ED3550" w:rsidRPr="001F4A6B" w:rsidRDefault="00ED3550" w:rsidP="003F01C9">
            <w:pPr>
              <w:pStyle w:val="TableText"/>
              <w:rPr>
                <w:lang w:val="lv-LV"/>
              </w:rPr>
            </w:pPr>
            <w:r w:rsidRPr="001F4A6B">
              <w:rPr>
                <w:lang w:val="lv-LV"/>
              </w:rPr>
              <w:t>Izglītības un zinātnes ministrija</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MK</w:t>
            </w:r>
          </w:p>
        </w:tc>
        <w:tc>
          <w:tcPr>
            <w:tcW w:w="3449" w:type="pct"/>
          </w:tcPr>
          <w:p w:rsidR="00ED3550" w:rsidRPr="001F4A6B" w:rsidRDefault="00ED3550" w:rsidP="003F01C9">
            <w:pPr>
              <w:pStyle w:val="TableText"/>
              <w:rPr>
                <w:lang w:val="lv-LV"/>
              </w:rPr>
            </w:pPr>
            <w:r w:rsidRPr="001F4A6B">
              <w:rPr>
                <w:lang w:val="lv-LV"/>
              </w:rPr>
              <w:t>Ministru kabinets</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NAP</w:t>
            </w:r>
          </w:p>
        </w:tc>
        <w:tc>
          <w:tcPr>
            <w:tcW w:w="3449" w:type="pct"/>
          </w:tcPr>
          <w:p w:rsidR="00ED3550" w:rsidRPr="001F4A6B" w:rsidRDefault="00ED3550" w:rsidP="003F01C9">
            <w:pPr>
              <w:pStyle w:val="TableText"/>
              <w:rPr>
                <w:lang w:val="lv-LV"/>
              </w:rPr>
            </w:pPr>
            <w:r w:rsidRPr="002A28C2">
              <w:rPr>
                <w:lang w:val="lv-LV"/>
              </w:rPr>
              <w:t>Latvijas Nacionālais attīstības plāns 2014.–2020.gadam</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pamatnostādnes</w:t>
            </w:r>
          </w:p>
        </w:tc>
        <w:tc>
          <w:tcPr>
            <w:tcW w:w="3449" w:type="pct"/>
          </w:tcPr>
          <w:p w:rsidR="00ED3550" w:rsidRPr="001F4A6B" w:rsidRDefault="00ED3550" w:rsidP="003F01C9">
            <w:pPr>
              <w:pStyle w:val="TableText"/>
              <w:rPr>
                <w:lang w:val="lv-LV"/>
              </w:rPr>
            </w:pPr>
            <w:r w:rsidRPr="001F4A6B">
              <w:rPr>
                <w:lang w:val="lv-LV"/>
              </w:rPr>
              <w:t>Izglītības attīstības pamatnostādnes 2014.-2020.gadam</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VIAA</w:t>
            </w:r>
          </w:p>
        </w:tc>
        <w:tc>
          <w:tcPr>
            <w:tcW w:w="3449" w:type="pct"/>
          </w:tcPr>
          <w:p w:rsidR="00ED3550" w:rsidRDefault="00ED3550" w:rsidP="003F01C9">
            <w:pPr>
              <w:pStyle w:val="TableText"/>
              <w:rPr>
                <w:lang w:val="lv-LV"/>
              </w:rPr>
            </w:pPr>
            <w:r>
              <w:rPr>
                <w:lang w:val="lv-LV"/>
              </w:rPr>
              <w:t>Valsts izglītības attīstības aģentūra</w:t>
            </w:r>
          </w:p>
        </w:tc>
      </w:tr>
      <w:tr w:rsidR="007E30DE" w:rsidRPr="003C61E9" w:rsidTr="00976F4C">
        <w:tc>
          <w:tcPr>
            <w:tcW w:w="1551" w:type="pct"/>
            <w:shd w:val="clear" w:color="auto" w:fill="auto"/>
          </w:tcPr>
          <w:p w:rsidR="007E30DE" w:rsidRDefault="007E30DE" w:rsidP="003F01C9">
            <w:pPr>
              <w:pStyle w:val="TableText"/>
              <w:rPr>
                <w:lang w:val="lv-LV"/>
              </w:rPr>
            </w:pPr>
            <w:r>
              <w:rPr>
                <w:lang w:val="lv-LV"/>
              </w:rPr>
              <w:t>VID</w:t>
            </w:r>
          </w:p>
        </w:tc>
        <w:tc>
          <w:tcPr>
            <w:tcW w:w="3449" w:type="pct"/>
          </w:tcPr>
          <w:p w:rsidR="007E30DE" w:rsidRDefault="007E30DE" w:rsidP="003F01C9">
            <w:pPr>
              <w:pStyle w:val="TableText"/>
              <w:rPr>
                <w:lang w:val="lv-LV"/>
              </w:rPr>
            </w:pPr>
            <w:r>
              <w:rPr>
                <w:lang w:val="lv-LV"/>
              </w:rPr>
              <w:t>Valsts ieņēmumu dienests</w:t>
            </w:r>
          </w:p>
        </w:tc>
      </w:tr>
      <w:tr w:rsidR="00ED3550" w:rsidRPr="003C61E9" w:rsidTr="00976F4C">
        <w:tc>
          <w:tcPr>
            <w:tcW w:w="1551" w:type="pct"/>
            <w:shd w:val="clear" w:color="auto" w:fill="auto"/>
          </w:tcPr>
          <w:p w:rsidR="00ED3550" w:rsidRPr="003C61E9" w:rsidRDefault="00ED3550" w:rsidP="003F01C9">
            <w:pPr>
              <w:pStyle w:val="TableText"/>
              <w:rPr>
                <w:lang w:val="lv-LV"/>
              </w:rPr>
            </w:pPr>
            <w:r>
              <w:rPr>
                <w:lang w:val="lv-LV"/>
              </w:rPr>
              <w:t>VIIS</w:t>
            </w:r>
          </w:p>
        </w:tc>
        <w:tc>
          <w:tcPr>
            <w:tcW w:w="3449" w:type="pct"/>
          </w:tcPr>
          <w:p w:rsidR="00ED3550" w:rsidRPr="003C61E9" w:rsidRDefault="00ED3550" w:rsidP="003F01C9">
            <w:pPr>
              <w:pStyle w:val="TableText"/>
              <w:rPr>
                <w:lang w:val="lv-LV"/>
              </w:rPr>
            </w:pPr>
            <w:r>
              <w:rPr>
                <w:lang w:val="lv-LV"/>
              </w:rPr>
              <w:t>Valsts izglītības informācijas sistēma</w:t>
            </w:r>
          </w:p>
        </w:tc>
      </w:tr>
      <w:tr w:rsidR="00ED3550" w:rsidRPr="003C61E9" w:rsidTr="00976F4C">
        <w:tc>
          <w:tcPr>
            <w:tcW w:w="1551" w:type="pct"/>
            <w:shd w:val="clear" w:color="auto" w:fill="auto"/>
          </w:tcPr>
          <w:p w:rsidR="00ED3550" w:rsidRDefault="00ED3550" w:rsidP="003F01C9">
            <w:pPr>
              <w:pStyle w:val="TableText"/>
              <w:rPr>
                <w:lang w:val="lv-LV"/>
              </w:rPr>
            </w:pPr>
            <w:r>
              <w:rPr>
                <w:lang w:val="lv-LV"/>
              </w:rPr>
              <w:t>VISC</w:t>
            </w:r>
          </w:p>
        </w:tc>
        <w:tc>
          <w:tcPr>
            <w:tcW w:w="3449" w:type="pct"/>
          </w:tcPr>
          <w:p w:rsidR="00ED3550" w:rsidRDefault="00ED3550" w:rsidP="003F01C9">
            <w:pPr>
              <w:pStyle w:val="TableText"/>
              <w:rPr>
                <w:lang w:val="lv-LV"/>
              </w:rPr>
            </w:pPr>
            <w:r>
              <w:rPr>
                <w:lang w:val="lv-LV"/>
              </w:rPr>
              <w:t>Valsts izglītības satura centrs</w:t>
            </w:r>
          </w:p>
        </w:tc>
      </w:tr>
      <w:tr w:rsidR="006372A1" w:rsidRPr="003C61E9" w:rsidTr="00976F4C">
        <w:tc>
          <w:tcPr>
            <w:tcW w:w="1551" w:type="pct"/>
            <w:shd w:val="clear" w:color="auto" w:fill="auto"/>
          </w:tcPr>
          <w:p w:rsidR="006372A1" w:rsidRDefault="006372A1" w:rsidP="003F01C9">
            <w:pPr>
              <w:pStyle w:val="TableText"/>
              <w:rPr>
                <w:lang w:val="lv-LV"/>
              </w:rPr>
            </w:pPr>
            <w:r>
              <w:rPr>
                <w:lang w:val="lv-LV"/>
              </w:rPr>
              <w:t>VISS</w:t>
            </w:r>
          </w:p>
        </w:tc>
        <w:tc>
          <w:tcPr>
            <w:tcW w:w="3449" w:type="pct"/>
          </w:tcPr>
          <w:p w:rsidR="006372A1" w:rsidRDefault="006372A1" w:rsidP="003F01C9">
            <w:pPr>
              <w:pStyle w:val="TableText"/>
              <w:rPr>
                <w:lang w:val="lv-LV"/>
              </w:rPr>
            </w:pPr>
            <w:r>
              <w:rPr>
                <w:lang w:val="lv-LV"/>
              </w:rPr>
              <w:t>Valsts informācijas sistēmu savietotājs</w:t>
            </w:r>
          </w:p>
        </w:tc>
      </w:tr>
      <w:tr w:rsidR="006372A1" w:rsidRPr="003C61E9" w:rsidTr="00976F4C">
        <w:tc>
          <w:tcPr>
            <w:tcW w:w="1551" w:type="pct"/>
            <w:shd w:val="clear" w:color="auto" w:fill="auto"/>
          </w:tcPr>
          <w:p w:rsidR="006372A1" w:rsidRDefault="006372A1" w:rsidP="003F01C9">
            <w:pPr>
              <w:pStyle w:val="TableText"/>
              <w:rPr>
                <w:lang w:val="lv-LV"/>
              </w:rPr>
            </w:pPr>
            <w:r>
              <w:rPr>
                <w:lang w:val="lv-LV"/>
              </w:rPr>
              <w:t>VPIS</w:t>
            </w:r>
          </w:p>
        </w:tc>
        <w:tc>
          <w:tcPr>
            <w:tcW w:w="3449" w:type="pct"/>
          </w:tcPr>
          <w:p w:rsidR="006372A1" w:rsidRDefault="006372A1" w:rsidP="003F01C9">
            <w:pPr>
              <w:pStyle w:val="TableText"/>
              <w:rPr>
                <w:lang w:val="lv-LV"/>
              </w:rPr>
            </w:pPr>
            <w:r>
              <w:rPr>
                <w:lang w:val="lv-LV"/>
              </w:rPr>
              <w:t>Valsts pārbaudījumu informācijas sistēma</w:t>
            </w:r>
          </w:p>
        </w:tc>
      </w:tr>
      <w:tr w:rsidR="006372A1" w:rsidRPr="003C61E9" w:rsidTr="00976F4C">
        <w:tc>
          <w:tcPr>
            <w:tcW w:w="1551" w:type="pct"/>
            <w:shd w:val="clear" w:color="auto" w:fill="auto"/>
          </w:tcPr>
          <w:p w:rsidR="006372A1" w:rsidRDefault="006372A1" w:rsidP="003F01C9">
            <w:pPr>
              <w:pStyle w:val="TableText"/>
              <w:rPr>
                <w:lang w:val="lv-LV"/>
              </w:rPr>
            </w:pPr>
            <w:r>
              <w:rPr>
                <w:lang w:val="lv-LV"/>
              </w:rPr>
              <w:t>VRAA</w:t>
            </w:r>
          </w:p>
        </w:tc>
        <w:tc>
          <w:tcPr>
            <w:tcW w:w="3449" w:type="pct"/>
          </w:tcPr>
          <w:p w:rsidR="006372A1" w:rsidRDefault="006372A1" w:rsidP="003F01C9">
            <w:pPr>
              <w:pStyle w:val="TableText"/>
              <w:rPr>
                <w:lang w:val="lv-LV"/>
              </w:rPr>
            </w:pPr>
            <w:r>
              <w:rPr>
                <w:lang w:val="lv-LV"/>
              </w:rPr>
              <w:t>Valsts reģionālās attīstības aģentūra</w:t>
            </w:r>
          </w:p>
        </w:tc>
      </w:tr>
    </w:tbl>
    <w:p w:rsidR="002C6C52" w:rsidRDefault="002C6C52" w:rsidP="002C6C52">
      <w:pPr>
        <w:pStyle w:val="BodyText"/>
      </w:pPr>
    </w:p>
    <w:p w:rsidR="002C6C52" w:rsidRDefault="002C6C52" w:rsidP="002C6C52">
      <w:pPr>
        <w:pStyle w:val="BodyText"/>
      </w:pPr>
    </w:p>
    <w:p w:rsidR="002C6C52" w:rsidRDefault="002C6C52">
      <w:r>
        <w:br w:type="page"/>
      </w:r>
    </w:p>
    <w:p w:rsidR="002C6C52" w:rsidRPr="001E1F3A" w:rsidRDefault="002C6C52" w:rsidP="002C6C52">
      <w:pPr>
        <w:pStyle w:val="Heading1"/>
      </w:pPr>
      <w:bookmarkStart w:id="2" w:name="_Toc388454838"/>
      <w:r w:rsidRPr="001E1F3A">
        <w:lastRenderedPageBreak/>
        <w:t>Esošās situācijas apraksts</w:t>
      </w:r>
      <w:bookmarkEnd w:id="2"/>
    </w:p>
    <w:p w:rsidR="00951836" w:rsidRDefault="00624781" w:rsidP="00951836">
      <w:pPr>
        <w:pStyle w:val="BodyText"/>
      </w:pPr>
      <w:r w:rsidRPr="00624781">
        <w:t>Valsts i</w:t>
      </w:r>
      <w:r>
        <w:t>zglītības informācijas sistēma atbilstoši Izglītības likumā noteiktajam ir</w:t>
      </w:r>
      <w:r w:rsidRPr="00624781">
        <w:t xml:space="preserve"> datubāze, kurā apkopota informācija par izglītības iestādēm, licencētām un akreditētām izglītības programmām, izglītojamiem, pedagogiem, augstskolu un koledžu akadēmisko personālu, izglītības d</w:t>
      </w:r>
      <w:r>
        <w:t>okumentiem un valsts statistiku. VIIS uzturēšanu un aktualizāciju nodrošina Izglītības un zinātnes ministrija.</w:t>
      </w:r>
    </w:p>
    <w:p w:rsidR="00946610" w:rsidRDefault="006C5CDF" w:rsidP="00946610">
      <w:pPr>
        <w:pStyle w:val="BodyText"/>
      </w:pPr>
      <w:r>
        <w:t>IZM</w:t>
      </w:r>
      <w:r w:rsidR="00946610">
        <w:t xml:space="preserve"> 2007.gadā uzsāka projekta „Valsts izglītības informācijas sistēma” īstenošanu ar mērķi izveidot vienotu izglītības informācijas sistēmu, kas pilnībā nomainītu iepriekšējo Latvijas izglītības </w:t>
      </w:r>
      <w:r w:rsidR="009B7F6A">
        <w:t>IS</w:t>
      </w:r>
      <w:r w:rsidR="00946610">
        <w:t xml:space="preserve"> un nodrošinātu izglītības sistēmu ar jaunām iespējām, nodrošinot valsts un iestāžu vajadzības pēc drošas, uzticamas un operatīvas informācijas, īstenojot valsts un pašvaldību funkcijas izglītības jomā, izglītības politikas veidošanai un realizētās politikas un attīstības stratēģiju novērtēšanai.</w:t>
      </w:r>
      <w:r w:rsidR="00946610">
        <w:rPr>
          <w:rStyle w:val="FootnoteReference"/>
        </w:rPr>
        <w:footnoteReference w:id="1"/>
      </w:r>
    </w:p>
    <w:p w:rsidR="00946610" w:rsidRDefault="00946610" w:rsidP="00946610">
      <w:pPr>
        <w:pStyle w:val="BodyText"/>
      </w:pPr>
      <w:r>
        <w:t>Ar 2009.gada augustu Latvijas izglītības iestādes uzsāka darbu ar VIIS</w:t>
      </w:r>
      <w:r w:rsidR="00826DC8">
        <w:t xml:space="preserve">, tajā ievadot </w:t>
      </w:r>
      <w:r>
        <w:t>informācij</w:t>
      </w:r>
      <w:r w:rsidR="00826DC8">
        <w:t>u</w:t>
      </w:r>
      <w:r>
        <w:t xml:space="preserve"> par izglītības iestādēm, izglītojamiem, pedagogiem, </w:t>
      </w:r>
      <w:r w:rsidR="00826DC8">
        <w:t xml:space="preserve">iesniedzot </w:t>
      </w:r>
      <w:r>
        <w:t>valsts statistikas pārskat</w:t>
      </w:r>
      <w:r w:rsidR="00826DC8">
        <w:t>us</w:t>
      </w:r>
      <w:r>
        <w:t xml:space="preserve"> par vispārizglītojošām dienas un vakara skolām, kā arī </w:t>
      </w:r>
      <w:r w:rsidR="00826DC8">
        <w:t>aizpildot</w:t>
      </w:r>
      <w:r>
        <w:t xml:space="preserve"> pedagogu tarifikācijas. VIIS tiesiskais pamats tiek regulēts Izglītības likuma 1.panta 26.1 punktā, kurš nosaka, ka VIIS ir datubāze, kurā apkopota informācija par izglītības iestādēm, licencētām un akreditētām izglītības programmām, izglītojamiem, pedagogiem, augstskolu un koledžu akadēmisko personālu, izglītības dokumentiem un valsts statistiku. 2010.gada 1.septembrī stājās spēkā 2010.gada 17.augusta Ministru kabineta</w:t>
      </w:r>
      <w:r w:rsidR="005E6CB4">
        <w:t xml:space="preserve"> </w:t>
      </w:r>
      <w:r>
        <w:t xml:space="preserve">noteikumi </w:t>
      </w:r>
      <w:r w:rsidR="00826DC8">
        <w:t>N</w:t>
      </w:r>
      <w:r>
        <w:t>r.788 „Valsts izglītības informācijas sistēmas saturs, uzturēšanas un aktualizācijas kārtība”</w:t>
      </w:r>
      <w:r w:rsidR="005E6CB4">
        <w:t xml:space="preserve">, kas </w:t>
      </w:r>
      <w:r>
        <w:t>nosaka iesaistīto iestāžu (</w:t>
      </w:r>
      <w:r w:rsidR="005E6CB4">
        <w:t>IZM</w:t>
      </w:r>
      <w:r>
        <w:t xml:space="preserve">, </w:t>
      </w:r>
      <w:r w:rsidR="005E6CB4">
        <w:t>IKVD</w:t>
      </w:r>
      <w:r>
        <w:t>, pašvaldību un izglītības iestāžu) kompetenci sistēmas tehniskajā uzturēšanā un sistēmas satura uzturēšanā – sistēmas datu ievadīšanā, aktualizēšanā un saglabāšanā, nosaka termiņus datu aktualizēšanai un ievadāmās informācijas apjomu sistēmā.</w:t>
      </w:r>
    </w:p>
    <w:p w:rsidR="00946610" w:rsidRDefault="00946610" w:rsidP="00946610">
      <w:pPr>
        <w:pStyle w:val="BodyText"/>
      </w:pPr>
      <w:r>
        <w:t>Sistēmā ievadītā, radītā, iegūtā, uzkrātā un apstrādātā informācija tiek izmantota valsts un pašvaldību funkciju izglītības jomā īstenošanai, piemēram, funkcijām, kas noteiktas Izglītības likuma 14., 15. un 17.pantā – izstrādāt politikas plānošanas dokumentu un normatīvo aktu projektus izglītības jomā, nodrošināt obligāto izglītības vecumu sasniegušo bērnu uzskaiti, mācību un audzināšanas procesa kvalitātes pilnveides pasākumu izstrāde un īstenošana, pašvaldību izglītības iestāžu dibināšanas, reorganizācijas un slēgšanas saskaņošana</w:t>
      </w:r>
      <w:r w:rsidR="005E6CB4">
        <w:t xml:space="preserve"> un citas</w:t>
      </w:r>
      <w:r>
        <w:t xml:space="preserve"> funkcijas.</w:t>
      </w:r>
    </w:p>
    <w:p w:rsidR="00946610" w:rsidRDefault="00946610" w:rsidP="00946610">
      <w:pPr>
        <w:pStyle w:val="BodyText"/>
      </w:pPr>
      <w:r>
        <w:t>2009.gada jūlijā tika uzsākta VIIS 2.kārtas attīstības projekta realizācija ar mērķi</w:t>
      </w:r>
      <w:r w:rsidR="00826DC8">
        <w:t xml:space="preserve"> attīstīt</w:t>
      </w:r>
      <w:r>
        <w:t xml:space="preserve"> VIIS</w:t>
      </w:r>
      <w:r w:rsidRPr="00D5760D">
        <w:t xml:space="preserve"> funkcionalitāti, nodrošināt ērtu elektronisko vidi ar izglītības procesu saistītās informācijas reģistrēšanai, apstrādei, izgūšanai un apmaiņai ar citām sistēmām.</w:t>
      </w:r>
    </w:p>
    <w:p w:rsidR="000A1DFE" w:rsidRDefault="00D52972" w:rsidP="00621EDE">
      <w:pPr>
        <w:pStyle w:val="ListNumber"/>
        <w:numPr>
          <w:ilvl w:val="0"/>
          <w:numId w:val="0"/>
        </w:numPr>
      </w:pPr>
      <w:r w:rsidRPr="00D52972">
        <w:t>Aizsākto reformu īstenošana izglītības resorā tieši ietekmē un izvirza ne</w:t>
      </w:r>
      <w:r>
        <w:t xml:space="preserve">pieciešamību veikt </w:t>
      </w:r>
      <w:r w:rsidR="00826DC8">
        <w:t xml:space="preserve">turpmākus </w:t>
      </w:r>
      <w:r>
        <w:t>pielāgojumus VIIS</w:t>
      </w:r>
      <w:r w:rsidRPr="00D52972">
        <w:t xml:space="preserve">, </w:t>
      </w:r>
      <w:r>
        <w:t xml:space="preserve">tādejādi nodrošinot </w:t>
      </w:r>
      <w:r w:rsidRPr="00D52972">
        <w:t>informatīvo</w:t>
      </w:r>
      <w:r>
        <w:t xml:space="preserve"> un procesuālo</w:t>
      </w:r>
      <w:r w:rsidRPr="00D52972">
        <w:t xml:space="preserve"> atbalstu aizsākto pārmaiņu īstenošanai.</w:t>
      </w:r>
    </w:p>
    <w:p w:rsidR="00946610" w:rsidRPr="00946610" w:rsidRDefault="00946610" w:rsidP="00946610">
      <w:pPr>
        <w:pStyle w:val="Heading2"/>
      </w:pPr>
      <w:bookmarkStart w:id="3" w:name="_Ref378826501"/>
      <w:bookmarkStart w:id="4" w:name="_Toc388454839"/>
      <w:r w:rsidRPr="00946610">
        <w:t>Esošie procesi</w:t>
      </w:r>
      <w:bookmarkEnd w:id="3"/>
      <w:bookmarkEnd w:id="4"/>
    </w:p>
    <w:p w:rsidR="00946610" w:rsidRDefault="00946610" w:rsidP="00946610">
      <w:pPr>
        <w:pStyle w:val="BodyText"/>
      </w:pPr>
      <w:r>
        <w:t xml:space="preserve">Viens no VIIS izstrādes un darbības mērķiem ir sniegt atbalstu izglītības procesu īstenošanā, kā arī nodrošināt vienotu un </w:t>
      </w:r>
      <w:r w:rsidRPr="00CC3A6F">
        <w:t>ērtu elektronisko vidi ar izglītības procesu saistītās informācijas reģistrēšanai, apstrādei, izgūšanai un apmaiņai ar citām sistēmām.</w:t>
      </w:r>
    </w:p>
    <w:p w:rsidR="00946610" w:rsidRDefault="0033734E" w:rsidP="007B0E39">
      <w:pPr>
        <w:pStyle w:val="BodyText"/>
      </w:pPr>
      <w:r>
        <w:t>Atbilstoši Izglītības likumam</w:t>
      </w:r>
      <w:r w:rsidR="005E379E">
        <w:rPr>
          <w:rStyle w:val="FootnoteReference"/>
        </w:rPr>
        <w:footnoteReference w:id="2"/>
      </w:r>
      <w:r>
        <w:t xml:space="preserve"> tiek izšķirtas </w:t>
      </w:r>
      <w:r w:rsidR="005E379E">
        <w:t>vairākas izglītības pakāpes, izglītības veidi, kā arī izglītības programmu veidi un programmu īpašie veidi.</w:t>
      </w:r>
    </w:p>
    <w:p w:rsidR="007B0E39" w:rsidRDefault="005E379E" w:rsidP="007B0E39">
      <w:pPr>
        <w:pStyle w:val="BodyText"/>
      </w:pPr>
      <w:r>
        <w:t xml:space="preserve">Esošā VIIS funkcionalitāte </w:t>
      </w:r>
      <w:r w:rsidRPr="007B0E39">
        <w:t>aptver vairākas izglītības pakāpes, izglītības veidus un izglītības programmu veidus</w:t>
      </w:r>
      <w:r>
        <w:t>, sniedzot atbalstu ar izglītības nodrošināšanu saistīto procesu atbalstam (skatīt tabulu).</w:t>
      </w:r>
      <w:r w:rsidR="00C34322">
        <w:t xml:space="preserve"> Iekrāsotās tabulas ailes norāda tās izglītības pakāpes un veidus, kas ietverti esošajā VIIS funkcionalitātē.</w:t>
      </w:r>
    </w:p>
    <w:p w:rsidR="007655D9" w:rsidRDefault="007655D9" w:rsidP="007B0E39">
      <w:pPr>
        <w:pStyle w:val="BodyText"/>
      </w:pPr>
    </w:p>
    <w:p w:rsidR="00CD486F" w:rsidRDefault="00CD486F" w:rsidP="007B0E39">
      <w:pPr>
        <w:pStyle w:val="BodyText"/>
      </w:pPr>
    </w:p>
    <w:p w:rsidR="007655D9" w:rsidRPr="00960B98" w:rsidRDefault="00995AC5">
      <w:pPr>
        <w:pStyle w:val="Caption"/>
        <w:jc w:val="right"/>
        <w:rPr>
          <w:b w:val="0"/>
        </w:rPr>
      </w:pPr>
      <w:bookmarkStart w:id="5" w:name="_Ref222919206"/>
      <w:bookmarkStart w:id="6" w:name="_Ref243379261"/>
      <w:r>
        <w:lastRenderedPageBreak/>
        <w:t xml:space="preserve">Tabula </w:t>
      </w:r>
      <w:r w:rsidR="002B7ACB">
        <w:fldChar w:fldCharType="begin"/>
      </w:r>
      <w:r w:rsidR="006865B2">
        <w:instrText xml:space="preserve"> SEQ Tabula \* ARABIC </w:instrText>
      </w:r>
      <w:r w:rsidR="002B7ACB">
        <w:fldChar w:fldCharType="separate"/>
      </w:r>
      <w:r w:rsidR="00520315">
        <w:rPr>
          <w:noProof/>
        </w:rPr>
        <w:t>2</w:t>
      </w:r>
      <w:r w:rsidR="002B7ACB">
        <w:rPr>
          <w:noProof/>
        </w:rPr>
        <w:fldChar w:fldCharType="end"/>
      </w:r>
      <w:r>
        <w:t>. Izglītības pakāpes un veidi</w:t>
      </w:r>
      <w:bookmarkEnd w:id="5"/>
      <w:bookmarkEnd w:id="6"/>
    </w:p>
    <w:tbl>
      <w:tblPr>
        <w:tblW w:w="5000" w:type="pct"/>
        <w:tblBorders>
          <w:top w:val="single" w:sz="2" w:space="0" w:color="808080"/>
          <w:bottom w:val="single" w:sz="2" w:space="0" w:color="808080"/>
          <w:insideH w:val="single" w:sz="2" w:space="0" w:color="808080"/>
        </w:tblBorders>
        <w:tblLook w:val="01E0" w:firstRow="1" w:lastRow="1" w:firstColumn="1" w:lastColumn="1" w:noHBand="0" w:noVBand="0"/>
      </w:tblPr>
      <w:tblGrid>
        <w:gridCol w:w="1946"/>
        <w:gridCol w:w="1808"/>
        <w:gridCol w:w="1895"/>
        <w:gridCol w:w="2182"/>
        <w:gridCol w:w="1654"/>
      </w:tblGrid>
      <w:tr w:rsidR="007B0E39" w:rsidRPr="005E379E" w:rsidTr="005E379E">
        <w:trPr>
          <w:tblHeader/>
        </w:trPr>
        <w:tc>
          <w:tcPr>
            <w:tcW w:w="1026" w:type="pct"/>
            <w:shd w:val="clear" w:color="auto" w:fill="BFBFBF" w:themeFill="background1" w:themeFillShade="BF"/>
            <w:vAlign w:val="center"/>
          </w:tcPr>
          <w:p w:rsidR="007B0E39" w:rsidRPr="005E379E" w:rsidRDefault="007B0E39" w:rsidP="005E379E">
            <w:pPr>
              <w:pStyle w:val="TableText"/>
              <w:jc w:val="center"/>
              <w:rPr>
                <w:b/>
                <w:lang w:val="lv-LV"/>
              </w:rPr>
            </w:pPr>
            <w:r w:rsidRPr="005E379E">
              <w:rPr>
                <w:b/>
                <w:lang w:val="lv-LV"/>
              </w:rPr>
              <w:t>Izglītības pakāpes</w:t>
            </w:r>
          </w:p>
        </w:tc>
        <w:tc>
          <w:tcPr>
            <w:tcW w:w="953" w:type="pct"/>
            <w:shd w:val="clear" w:color="auto" w:fill="BFBFBF" w:themeFill="background1" w:themeFillShade="BF"/>
            <w:vAlign w:val="center"/>
          </w:tcPr>
          <w:p w:rsidR="007B0E39" w:rsidRPr="005E379E" w:rsidRDefault="007B0E39" w:rsidP="005E379E">
            <w:pPr>
              <w:pStyle w:val="TableText"/>
              <w:jc w:val="center"/>
              <w:rPr>
                <w:b/>
                <w:lang w:val="lv-LV"/>
              </w:rPr>
            </w:pPr>
            <w:r w:rsidRPr="005E379E">
              <w:rPr>
                <w:b/>
                <w:lang w:val="lv-LV"/>
              </w:rPr>
              <w:t>Izglītības veidi</w:t>
            </w:r>
          </w:p>
        </w:tc>
        <w:tc>
          <w:tcPr>
            <w:tcW w:w="999" w:type="pct"/>
            <w:shd w:val="clear" w:color="auto" w:fill="BFBFBF" w:themeFill="background1" w:themeFillShade="BF"/>
            <w:vAlign w:val="center"/>
          </w:tcPr>
          <w:p w:rsidR="007B0E39" w:rsidRPr="005E379E" w:rsidRDefault="007B0E39" w:rsidP="005E379E">
            <w:pPr>
              <w:pStyle w:val="TableText"/>
              <w:jc w:val="center"/>
              <w:rPr>
                <w:b/>
                <w:lang w:val="lv-LV"/>
              </w:rPr>
            </w:pPr>
            <w:r w:rsidRPr="005E379E">
              <w:rPr>
                <w:b/>
                <w:lang w:val="lv-LV"/>
              </w:rPr>
              <w:t>Izglītības programmu veidi</w:t>
            </w:r>
          </w:p>
        </w:tc>
        <w:tc>
          <w:tcPr>
            <w:tcW w:w="1150" w:type="pct"/>
            <w:shd w:val="clear" w:color="auto" w:fill="BFBFBF" w:themeFill="background1" w:themeFillShade="BF"/>
            <w:vAlign w:val="center"/>
          </w:tcPr>
          <w:p w:rsidR="007B0E39" w:rsidRPr="005E379E" w:rsidRDefault="007B0E39" w:rsidP="005E379E">
            <w:pPr>
              <w:pStyle w:val="TableText"/>
              <w:jc w:val="center"/>
              <w:rPr>
                <w:b/>
                <w:lang w:val="lv-LV"/>
              </w:rPr>
            </w:pPr>
            <w:r w:rsidRPr="005E379E">
              <w:rPr>
                <w:b/>
                <w:lang w:val="lv-LV"/>
              </w:rPr>
              <w:t>Izglītības programmu īpašie veidi</w:t>
            </w:r>
          </w:p>
        </w:tc>
        <w:tc>
          <w:tcPr>
            <w:tcW w:w="872" w:type="pct"/>
            <w:shd w:val="clear" w:color="auto" w:fill="BFBFBF" w:themeFill="background1" w:themeFillShade="BF"/>
            <w:vAlign w:val="center"/>
          </w:tcPr>
          <w:p w:rsidR="007B0E39" w:rsidRPr="005E379E" w:rsidRDefault="007B0E39" w:rsidP="005E379E">
            <w:pPr>
              <w:pStyle w:val="TableText"/>
              <w:jc w:val="center"/>
              <w:rPr>
                <w:b/>
                <w:lang w:val="lv-LV"/>
              </w:rPr>
            </w:pPr>
            <w:r w:rsidRPr="005E379E">
              <w:rPr>
                <w:b/>
                <w:lang w:val="lv-LV"/>
              </w:rPr>
              <w:t>Izglītības iestādes dibinātājs</w:t>
            </w:r>
          </w:p>
        </w:tc>
      </w:tr>
      <w:tr w:rsidR="007B0E39" w:rsidRPr="005E379E" w:rsidTr="005E379E">
        <w:tc>
          <w:tcPr>
            <w:tcW w:w="1026" w:type="pct"/>
            <w:shd w:val="clear" w:color="auto" w:fill="auto"/>
          </w:tcPr>
          <w:p w:rsidR="007B0E39" w:rsidRPr="005E379E" w:rsidRDefault="007B0E39" w:rsidP="0033734E">
            <w:pPr>
              <w:pStyle w:val="TableText"/>
              <w:rPr>
                <w:lang w:val="lv-LV"/>
              </w:rPr>
            </w:pPr>
            <w:r w:rsidRPr="005E379E">
              <w:rPr>
                <w:lang w:val="lv-LV"/>
              </w:rPr>
              <w:t>pirmsskolas izglītība</w:t>
            </w:r>
          </w:p>
        </w:tc>
        <w:tc>
          <w:tcPr>
            <w:tcW w:w="953" w:type="pct"/>
            <w:shd w:val="clear" w:color="auto" w:fill="F2F2F2" w:themeFill="background1" w:themeFillShade="F2"/>
          </w:tcPr>
          <w:p w:rsidR="007B0E39" w:rsidRPr="005E379E" w:rsidRDefault="007B0E39" w:rsidP="0033734E">
            <w:pPr>
              <w:pStyle w:val="TableText"/>
              <w:rPr>
                <w:b/>
                <w:lang w:val="lv-LV"/>
              </w:rPr>
            </w:pPr>
            <w:r w:rsidRPr="005E379E">
              <w:rPr>
                <w:b/>
                <w:lang w:val="lv-LV"/>
              </w:rPr>
              <w:t>vispārējā izglītība</w:t>
            </w:r>
          </w:p>
        </w:tc>
        <w:tc>
          <w:tcPr>
            <w:tcW w:w="999" w:type="pct"/>
            <w:shd w:val="clear" w:color="auto" w:fill="F2F2F2" w:themeFill="background1" w:themeFillShade="F2"/>
          </w:tcPr>
          <w:p w:rsidR="007B0E39" w:rsidRPr="005E379E" w:rsidRDefault="007B0E39" w:rsidP="0033734E">
            <w:pPr>
              <w:pStyle w:val="TableText"/>
              <w:rPr>
                <w:b/>
                <w:lang w:val="lv-LV"/>
              </w:rPr>
            </w:pPr>
            <w:r w:rsidRPr="005E379E">
              <w:rPr>
                <w:b/>
                <w:lang w:val="lv-LV"/>
              </w:rPr>
              <w:t>vispārējās izglītības programmas</w:t>
            </w:r>
          </w:p>
        </w:tc>
        <w:tc>
          <w:tcPr>
            <w:tcW w:w="1150" w:type="pct"/>
            <w:shd w:val="clear" w:color="auto" w:fill="F2F2F2" w:themeFill="background1" w:themeFillShade="F2"/>
          </w:tcPr>
          <w:p w:rsidR="007B0E39" w:rsidRPr="005E379E" w:rsidRDefault="007B0E39" w:rsidP="0033734E">
            <w:pPr>
              <w:pStyle w:val="TableText"/>
              <w:rPr>
                <w:b/>
                <w:lang w:val="lv-LV"/>
              </w:rPr>
            </w:pPr>
            <w:r w:rsidRPr="005E379E">
              <w:rPr>
                <w:b/>
                <w:lang w:val="lv-LV"/>
              </w:rPr>
              <w:t>mazākumtautību izglītības programmas</w:t>
            </w:r>
          </w:p>
        </w:tc>
        <w:tc>
          <w:tcPr>
            <w:tcW w:w="872" w:type="pct"/>
            <w:shd w:val="clear" w:color="auto" w:fill="F2F2F2" w:themeFill="background1" w:themeFillShade="F2"/>
          </w:tcPr>
          <w:p w:rsidR="007B0E39" w:rsidRPr="005E379E" w:rsidRDefault="007B0E39" w:rsidP="0033734E">
            <w:pPr>
              <w:pStyle w:val="TableText"/>
              <w:rPr>
                <w:b/>
                <w:lang w:val="lv-LV"/>
              </w:rPr>
            </w:pPr>
            <w:r w:rsidRPr="005E379E">
              <w:rPr>
                <w:b/>
                <w:lang w:val="lv-LV"/>
              </w:rPr>
              <w:t>valsts</w:t>
            </w:r>
          </w:p>
        </w:tc>
      </w:tr>
      <w:tr w:rsidR="007B0E39" w:rsidRPr="005E379E" w:rsidTr="005E379E">
        <w:tc>
          <w:tcPr>
            <w:tcW w:w="1026" w:type="pct"/>
            <w:shd w:val="clear" w:color="auto" w:fill="F2F2F2" w:themeFill="background1" w:themeFillShade="F2"/>
          </w:tcPr>
          <w:p w:rsidR="007B0E39" w:rsidRPr="005E379E" w:rsidRDefault="007B0E39" w:rsidP="0033734E">
            <w:pPr>
              <w:pStyle w:val="TableText"/>
              <w:rPr>
                <w:b/>
                <w:lang w:val="lv-LV"/>
              </w:rPr>
            </w:pPr>
            <w:r w:rsidRPr="005E379E">
              <w:rPr>
                <w:b/>
                <w:lang w:val="lv-LV"/>
              </w:rPr>
              <w:t>pamatizglītība</w:t>
            </w:r>
          </w:p>
        </w:tc>
        <w:tc>
          <w:tcPr>
            <w:tcW w:w="953" w:type="pct"/>
            <w:shd w:val="clear" w:color="auto" w:fill="F2F2F2" w:themeFill="background1" w:themeFillShade="F2"/>
          </w:tcPr>
          <w:p w:rsidR="007B0E39" w:rsidRPr="005E379E" w:rsidRDefault="007B0E39" w:rsidP="0033734E">
            <w:pPr>
              <w:pStyle w:val="TableText"/>
              <w:rPr>
                <w:b/>
                <w:lang w:val="lv-LV"/>
              </w:rPr>
            </w:pPr>
            <w:r w:rsidRPr="005E379E">
              <w:rPr>
                <w:b/>
                <w:lang w:val="lv-LV"/>
              </w:rPr>
              <w:t>profesionālā izglītība</w:t>
            </w:r>
          </w:p>
        </w:tc>
        <w:tc>
          <w:tcPr>
            <w:tcW w:w="999" w:type="pct"/>
            <w:shd w:val="clear" w:color="auto" w:fill="F2F2F2" w:themeFill="background1" w:themeFillShade="F2"/>
          </w:tcPr>
          <w:p w:rsidR="007B0E39" w:rsidRPr="005E379E" w:rsidRDefault="007B0E39" w:rsidP="0033734E">
            <w:pPr>
              <w:pStyle w:val="TableText"/>
              <w:rPr>
                <w:b/>
                <w:lang w:val="lv-LV"/>
              </w:rPr>
            </w:pPr>
            <w:r w:rsidRPr="005E379E">
              <w:rPr>
                <w:b/>
                <w:lang w:val="lv-LV"/>
              </w:rPr>
              <w:t>profesionālās izglītības programmas</w:t>
            </w:r>
          </w:p>
        </w:tc>
        <w:tc>
          <w:tcPr>
            <w:tcW w:w="1150" w:type="pct"/>
            <w:shd w:val="clear" w:color="auto" w:fill="F2F2F2" w:themeFill="background1" w:themeFillShade="F2"/>
          </w:tcPr>
          <w:p w:rsidR="007B0E39" w:rsidRPr="005E379E" w:rsidRDefault="007B0E39" w:rsidP="0033734E">
            <w:pPr>
              <w:pStyle w:val="TableText"/>
              <w:rPr>
                <w:b/>
                <w:lang w:val="lv-LV"/>
              </w:rPr>
            </w:pPr>
            <w:r w:rsidRPr="005E379E">
              <w:rPr>
                <w:b/>
                <w:lang w:val="lv-LV"/>
              </w:rPr>
              <w:t>speciālās izglītības programmas</w:t>
            </w:r>
          </w:p>
        </w:tc>
        <w:tc>
          <w:tcPr>
            <w:tcW w:w="872" w:type="pct"/>
            <w:shd w:val="clear" w:color="auto" w:fill="F2F2F2" w:themeFill="background1" w:themeFillShade="F2"/>
          </w:tcPr>
          <w:p w:rsidR="007B0E39" w:rsidRPr="005E379E" w:rsidRDefault="007B0E39" w:rsidP="0033734E">
            <w:pPr>
              <w:pStyle w:val="TableText"/>
              <w:rPr>
                <w:b/>
                <w:lang w:val="lv-LV"/>
              </w:rPr>
            </w:pPr>
            <w:r w:rsidRPr="005E379E">
              <w:rPr>
                <w:b/>
                <w:lang w:val="lv-LV"/>
              </w:rPr>
              <w:t>pašvaldība</w:t>
            </w:r>
          </w:p>
        </w:tc>
      </w:tr>
      <w:tr w:rsidR="007B0E39" w:rsidRPr="005E379E" w:rsidTr="005E379E">
        <w:tc>
          <w:tcPr>
            <w:tcW w:w="1026" w:type="pct"/>
            <w:shd w:val="clear" w:color="auto" w:fill="F2F2F2" w:themeFill="background1" w:themeFillShade="F2"/>
          </w:tcPr>
          <w:p w:rsidR="007B0E39" w:rsidRPr="005E379E" w:rsidRDefault="007B0E39" w:rsidP="0033734E">
            <w:pPr>
              <w:pStyle w:val="TableText"/>
              <w:rPr>
                <w:b/>
                <w:lang w:val="lv-LV"/>
              </w:rPr>
            </w:pPr>
            <w:r w:rsidRPr="005E379E">
              <w:rPr>
                <w:b/>
                <w:lang w:val="lv-LV"/>
              </w:rPr>
              <w:t>vidējā i</w:t>
            </w:r>
            <w:r w:rsidRPr="005E379E">
              <w:rPr>
                <w:b/>
                <w:shd w:val="clear" w:color="auto" w:fill="F2F2F2" w:themeFill="background1" w:themeFillShade="F2"/>
                <w:lang w:val="lv-LV"/>
              </w:rPr>
              <w:t>z</w:t>
            </w:r>
            <w:r w:rsidRPr="005E379E">
              <w:rPr>
                <w:b/>
                <w:lang w:val="lv-LV"/>
              </w:rPr>
              <w:t>glītība</w:t>
            </w:r>
          </w:p>
        </w:tc>
        <w:tc>
          <w:tcPr>
            <w:tcW w:w="953" w:type="pct"/>
            <w:shd w:val="clear" w:color="auto" w:fill="auto"/>
          </w:tcPr>
          <w:p w:rsidR="007B0E39" w:rsidRPr="005E379E" w:rsidRDefault="007B0E39" w:rsidP="0033734E">
            <w:pPr>
              <w:pStyle w:val="TableText"/>
              <w:rPr>
                <w:lang w:val="lv-LV"/>
              </w:rPr>
            </w:pPr>
            <w:r w:rsidRPr="005E379E">
              <w:rPr>
                <w:lang w:val="lv-LV"/>
              </w:rPr>
              <w:t>akadēmiskā izglītība</w:t>
            </w:r>
          </w:p>
        </w:tc>
        <w:tc>
          <w:tcPr>
            <w:tcW w:w="999" w:type="pct"/>
          </w:tcPr>
          <w:p w:rsidR="007B0E39" w:rsidRPr="005E379E" w:rsidRDefault="007B0E39" w:rsidP="0033734E">
            <w:pPr>
              <w:pStyle w:val="TableText"/>
              <w:rPr>
                <w:lang w:val="lv-LV"/>
              </w:rPr>
            </w:pPr>
            <w:r w:rsidRPr="005E379E">
              <w:rPr>
                <w:lang w:val="lv-LV"/>
              </w:rPr>
              <w:t>akadēmiskās izglītības programmas</w:t>
            </w:r>
          </w:p>
        </w:tc>
        <w:tc>
          <w:tcPr>
            <w:tcW w:w="1150" w:type="pct"/>
          </w:tcPr>
          <w:p w:rsidR="007B0E39" w:rsidRPr="005E379E" w:rsidRDefault="007B0E39" w:rsidP="0033734E">
            <w:pPr>
              <w:pStyle w:val="TableText"/>
              <w:rPr>
                <w:lang w:val="lv-LV"/>
              </w:rPr>
            </w:pPr>
            <w:r w:rsidRPr="005E379E">
              <w:rPr>
                <w:lang w:val="lv-LV"/>
              </w:rPr>
              <w:t>sociālās korekcijas izglītības programmas</w:t>
            </w:r>
          </w:p>
        </w:tc>
        <w:tc>
          <w:tcPr>
            <w:tcW w:w="872" w:type="pct"/>
            <w:shd w:val="clear" w:color="auto" w:fill="F2F2F2" w:themeFill="background1" w:themeFillShade="F2"/>
          </w:tcPr>
          <w:p w:rsidR="007B0E39" w:rsidRPr="005E379E" w:rsidRDefault="007B0E39" w:rsidP="0033734E">
            <w:pPr>
              <w:pStyle w:val="TableText"/>
              <w:rPr>
                <w:b/>
                <w:lang w:val="lv-LV"/>
              </w:rPr>
            </w:pPr>
            <w:r w:rsidRPr="005E379E">
              <w:rPr>
                <w:b/>
                <w:lang w:val="lv-LV"/>
              </w:rPr>
              <w:t>fiziska vai juridiska persona</w:t>
            </w:r>
          </w:p>
        </w:tc>
      </w:tr>
      <w:tr w:rsidR="007B0E39" w:rsidRPr="005E379E" w:rsidTr="0033734E">
        <w:tc>
          <w:tcPr>
            <w:tcW w:w="1026" w:type="pct"/>
            <w:shd w:val="clear" w:color="auto" w:fill="auto"/>
          </w:tcPr>
          <w:p w:rsidR="007B0E39" w:rsidRPr="005E379E" w:rsidRDefault="007B0E39" w:rsidP="0033734E">
            <w:pPr>
              <w:pStyle w:val="TableText"/>
              <w:rPr>
                <w:lang w:val="lv-LV"/>
              </w:rPr>
            </w:pPr>
            <w:r w:rsidRPr="005E379E">
              <w:rPr>
                <w:lang w:val="lv-LV"/>
              </w:rPr>
              <w:t>augstākā izglītība</w:t>
            </w:r>
          </w:p>
        </w:tc>
        <w:tc>
          <w:tcPr>
            <w:tcW w:w="953" w:type="pct"/>
            <w:shd w:val="clear" w:color="auto" w:fill="auto"/>
          </w:tcPr>
          <w:p w:rsidR="007B0E39" w:rsidRPr="005E379E" w:rsidRDefault="007B0E39" w:rsidP="0033734E">
            <w:pPr>
              <w:pStyle w:val="TableText"/>
              <w:rPr>
                <w:lang w:val="lv-LV"/>
              </w:rPr>
            </w:pPr>
          </w:p>
        </w:tc>
        <w:tc>
          <w:tcPr>
            <w:tcW w:w="999" w:type="pct"/>
          </w:tcPr>
          <w:p w:rsidR="007B0E39" w:rsidRPr="005E379E" w:rsidRDefault="007B0E39" w:rsidP="0033734E">
            <w:pPr>
              <w:pStyle w:val="TableText"/>
              <w:rPr>
                <w:lang w:val="lv-LV"/>
              </w:rPr>
            </w:pPr>
            <w:r w:rsidRPr="005E379E">
              <w:rPr>
                <w:lang w:val="lv-LV"/>
              </w:rPr>
              <w:t>tālākizglītības programmas</w:t>
            </w:r>
          </w:p>
        </w:tc>
        <w:tc>
          <w:tcPr>
            <w:tcW w:w="1150" w:type="pct"/>
          </w:tcPr>
          <w:p w:rsidR="007B0E39" w:rsidRPr="005E379E" w:rsidRDefault="007B0E39" w:rsidP="0033734E">
            <w:pPr>
              <w:pStyle w:val="TableText"/>
              <w:rPr>
                <w:lang w:val="lv-LV"/>
              </w:rPr>
            </w:pPr>
            <w:r w:rsidRPr="005E379E">
              <w:rPr>
                <w:lang w:val="lv-LV"/>
              </w:rPr>
              <w:t>pieaugušo izglītības programmas</w:t>
            </w:r>
          </w:p>
        </w:tc>
        <w:tc>
          <w:tcPr>
            <w:tcW w:w="872" w:type="pct"/>
          </w:tcPr>
          <w:p w:rsidR="007B0E39" w:rsidRPr="005E379E" w:rsidRDefault="007B0E39" w:rsidP="0033734E">
            <w:pPr>
              <w:pStyle w:val="TableText"/>
              <w:rPr>
                <w:lang w:val="lv-LV"/>
              </w:rPr>
            </w:pPr>
          </w:p>
        </w:tc>
      </w:tr>
      <w:tr w:rsidR="007B0E39" w:rsidRPr="005E379E" w:rsidTr="005E379E">
        <w:tc>
          <w:tcPr>
            <w:tcW w:w="1026" w:type="pct"/>
            <w:shd w:val="clear" w:color="auto" w:fill="auto"/>
          </w:tcPr>
          <w:p w:rsidR="007B0E39" w:rsidRPr="005E379E" w:rsidRDefault="007B0E39" w:rsidP="0033734E">
            <w:pPr>
              <w:pStyle w:val="TableText"/>
              <w:rPr>
                <w:lang w:val="lv-LV"/>
              </w:rPr>
            </w:pPr>
          </w:p>
        </w:tc>
        <w:tc>
          <w:tcPr>
            <w:tcW w:w="953" w:type="pct"/>
            <w:shd w:val="clear" w:color="auto" w:fill="auto"/>
          </w:tcPr>
          <w:p w:rsidR="007B0E39" w:rsidRPr="005E379E" w:rsidRDefault="007B0E39" w:rsidP="0033734E">
            <w:pPr>
              <w:pStyle w:val="TableText"/>
              <w:rPr>
                <w:lang w:val="lv-LV"/>
              </w:rPr>
            </w:pPr>
          </w:p>
        </w:tc>
        <w:tc>
          <w:tcPr>
            <w:tcW w:w="999" w:type="pct"/>
          </w:tcPr>
          <w:p w:rsidR="007B0E39" w:rsidRPr="005E379E" w:rsidRDefault="007B0E39" w:rsidP="0033734E">
            <w:pPr>
              <w:pStyle w:val="TableText"/>
              <w:rPr>
                <w:lang w:val="lv-LV"/>
              </w:rPr>
            </w:pPr>
            <w:r w:rsidRPr="005E379E">
              <w:rPr>
                <w:lang w:val="lv-LV"/>
              </w:rPr>
              <w:t>interešu izglītības programmas</w:t>
            </w:r>
          </w:p>
        </w:tc>
        <w:tc>
          <w:tcPr>
            <w:tcW w:w="1150" w:type="pct"/>
            <w:shd w:val="clear" w:color="auto" w:fill="F2F2F2" w:themeFill="background1" w:themeFillShade="F2"/>
          </w:tcPr>
          <w:p w:rsidR="007B0E39" w:rsidRPr="005E379E" w:rsidRDefault="007B0E39" w:rsidP="0033734E">
            <w:pPr>
              <w:pStyle w:val="TableText"/>
              <w:rPr>
                <w:b/>
                <w:lang w:val="lv-LV"/>
              </w:rPr>
            </w:pPr>
            <w:r w:rsidRPr="005E379E">
              <w:rPr>
                <w:b/>
                <w:lang w:val="lv-LV"/>
              </w:rPr>
              <w:t>profesionālās ievirzes izglītības programmas</w:t>
            </w:r>
          </w:p>
        </w:tc>
        <w:tc>
          <w:tcPr>
            <w:tcW w:w="872" w:type="pct"/>
          </w:tcPr>
          <w:p w:rsidR="007B0E39" w:rsidRPr="005E379E" w:rsidRDefault="007B0E39" w:rsidP="0033734E">
            <w:pPr>
              <w:pStyle w:val="TableText"/>
              <w:rPr>
                <w:lang w:val="lv-LV"/>
              </w:rPr>
            </w:pPr>
          </w:p>
        </w:tc>
      </w:tr>
    </w:tbl>
    <w:p w:rsidR="007019B0" w:rsidRDefault="007019B0" w:rsidP="007B0E39">
      <w:pPr>
        <w:pStyle w:val="BodyText"/>
      </w:pPr>
      <w:r>
        <w:t>Esošā sistēma nodrošina vairāku ar izglītības sistēmas darbības nodrošināšanu saistīto</w:t>
      </w:r>
      <w:r w:rsidR="0094181C">
        <w:t xml:space="preserve"> procesu grupu atbalstu.</w:t>
      </w:r>
      <w:r w:rsidR="003F75C2">
        <w:t xml:space="preserve"> Turpinājumā sniegts galveno procesu raksturojums, kuru īstenošanu atbalsta esošā VIIS funkcionalitāte.</w:t>
      </w:r>
    </w:p>
    <w:p w:rsidR="007655D9" w:rsidRPr="00960B98" w:rsidRDefault="00777E33">
      <w:pPr>
        <w:pStyle w:val="Caption"/>
        <w:jc w:val="right"/>
        <w:rPr>
          <w:b w:val="0"/>
        </w:rPr>
      </w:pPr>
      <w:r>
        <w:t xml:space="preserve">Tabula </w:t>
      </w:r>
      <w:r w:rsidR="002B7ACB">
        <w:fldChar w:fldCharType="begin"/>
      </w:r>
      <w:r w:rsidR="006865B2">
        <w:instrText xml:space="preserve"> SEQ Tabula \* ARABIC </w:instrText>
      </w:r>
      <w:r w:rsidR="002B7ACB">
        <w:fldChar w:fldCharType="separate"/>
      </w:r>
      <w:r w:rsidR="00520315">
        <w:rPr>
          <w:noProof/>
        </w:rPr>
        <w:t>3</w:t>
      </w:r>
      <w:r w:rsidR="002B7ACB">
        <w:rPr>
          <w:noProof/>
        </w:rPr>
        <w:fldChar w:fldCharType="end"/>
      </w:r>
      <w:r>
        <w:t>. Esošo procesu raksturojums</w:t>
      </w:r>
    </w:p>
    <w:tbl>
      <w:tblPr>
        <w:tblStyle w:val="TableGridComplex"/>
        <w:tblW w:w="0" w:type="auto"/>
        <w:tblBorders>
          <w:top w:val="single" w:sz="8" w:space="0" w:color="auto"/>
          <w:bottom w:val="single" w:sz="8" w:space="0" w:color="auto"/>
          <w:insideH w:val="single" w:sz="8" w:space="0" w:color="auto"/>
        </w:tblBorders>
        <w:tblLook w:val="04A0" w:firstRow="1" w:lastRow="0" w:firstColumn="1" w:lastColumn="0" w:noHBand="0" w:noVBand="1"/>
      </w:tblPr>
      <w:tblGrid>
        <w:gridCol w:w="2092"/>
        <w:gridCol w:w="5195"/>
        <w:gridCol w:w="2096"/>
      </w:tblGrid>
      <w:tr w:rsidR="00DC6387" w:rsidRPr="007B0ED2" w:rsidTr="00976F4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2" w:type="dxa"/>
            <w:tcBorders>
              <w:top w:val="single" w:sz="8" w:space="0" w:color="auto"/>
              <w:bottom w:val="single" w:sz="8" w:space="0" w:color="auto"/>
            </w:tcBorders>
            <w:shd w:val="clear" w:color="auto" w:fill="BFBFBF" w:themeFill="background1" w:themeFillShade="BF"/>
            <w:vAlign w:val="center"/>
          </w:tcPr>
          <w:p w:rsidR="00DC6387" w:rsidRPr="00DC6387" w:rsidRDefault="00DC6387" w:rsidP="007F6251">
            <w:pPr>
              <w:pStyle w:val="TableText"/>
              <w:rPr>
                <w:rFonts w:ascii="Times New Roman" w:hAnsi="Times New Roman"/>
                <w:b w:val="0"/>
                <w:sz w:val="22"/>
                <w:szCs w:val="22"/>
                <w:lang w:val="lv-LV"/>
              </w:rPr>
            </w:pPr>
            <w:r w:rsidRPr="00DC6387">
              <w:rPr>
                <w:lang w:val="lv-LV"/>
              </w:rPr>
              <w:t>Procesa nosaukums</w:t>
            </w:r>
            <w:r>
              <w:rPr>
                <w:lang w:val="lv-LV"/>
              </w:rPr>
              <w:t xml:space="preserve"> un pārzinis</w:t>
            </w:r>
          </w:p>
        </w:tc>
        <w:tc>
          <w:tcPr>
            <w:tcW w:w="5195" w:type="dxa"/>
            <w:tcBorders>
              <w:top w:val="single" w:sz="8" w:space="0" w:color="auto"/>
              <w:bottom w:val="single" w:sz="8" w:space="0" w:color="auto"/>
            </w:tcBorders>
            <w:shd w:val="clear" w:color="auto" w:fill="BFBFBF" w:themeFill="background1" w:themeFillShade="BF"/>
            <w:vAlign w:val="center"/>
          </w:tcPr>
          <w:p w:rsidR="00DC6387" w:rsidRPr="00DC6387" w:rsidRDefault="00DC6387" w:rsidP="007F6251">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lang w:val="lv-LV"/>
              </w:rPr>
            </w:pPr>
            <w:r w:rsidRPr="00DC6387">
              <w:rPr>
                <w:lang w:val="lv-LV"/>
              </w:rPr>
              <w:t xml:space="preserve">Procesa </w:t>
            </w:r>
            <w:r>
              <w:rPr>
                <w:lang w:val="lv-LV"/>
              </w:rPr>
              <w:t>mērķi un saturs</w:t>
            </w:r>
          </w:p>
        </w:tc>
        <w:tc>
          <w:tcPr>
            <w:tcW w:w="2096" w:type="dxa"/>
            <w:tcBorders>
              <w:top w:val="single" w:sz="8" w:space="0" w:color="auto"/>
              <w:bottom w:val="single" w:sz="8" w:space="0" w:color="auto"/>
            </w:tcBorders>
            <w:shd w:val="clear" w:color="auto" w:fill="BFBFBF" w:themeFill="background1" w:themeFillShade="BF"/>
            <w:vAlign w:val="center"/>
          </w:tcPr>
          <w:p w:rsidR="00DC6387" w:rsidRPr="00DC6387" w:rsidRDefault="00DC6387" w:rsidP="007F6251">
            <w:pPr>
              <w:pStyle w:val="Table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lang w:val="lv-LV"/>
              </w:rPr>
            </w:pPr>
            <w:r w:rsidRPr="00DC6387">
              <w:rPr>
                <w:lang w:val="lv-LV"/>
              </w:rPr>
              <w:t>Procesa rezultāti</w:t>
            </w:r>
          </w:p>
        </w:tc>
      </w:tr>
      <w:tr w:rsidR="00DC6387" w:rsidRPr="007B0ED2" w:rsidTr="00976F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Borders>
              <w:top w:val="single" w:sz="8" w:space="0" w:color="auto"/>
            </w:tcBorders>
          </w:tcPr>
          <w:p w:rsidR="00DC6387" w:rsidRDefault="00DC6387" w:rsidP="007F6251">
            <w:pPr>
              <w:pStyle w:val="TableText"/>
              <w:rPr>
                <w:lang w:val="lv-LV"/>
              </w:rPr>
            </w:pPr>
            <w:r w:rsidRPr="000B3720">
              <w:rPr>
                <w:lang w:val="lv-LV"/>
              </w:rPr>
              <w:t>Izglītības iestāžu un zinātnisko institūciju</w:t>
            </w:r>
            <w:r>
              <w:rPr>
                <w:lang w:val="lv-LV"/>
              </w:rPr>
              <w:t xml:space="preserve"> </w:t>
            </w:r>
            <w:r w:rsidR="003F75C2">
              <w:rPr>
                <w:lang w:val="lv-LV"/>
              </w:rPr>
              <w:t>reģistrēšana</w:t>
            </w:r>
          </w:p>
          <w:p w:rsidR="00DC6387" w:rsidRDefault="00DC6387" w:rsidP="007F6251">
            <w:pPr>
              <w:pStyle w:val="TableText"/>
              <w:rPr>
                <w:lang w:val="lv-LV"/>
              </w:rPr>
            </w:pPr>
          </w:p>
          <w:p w:rsidR="00DC6387" w:rsidRPr="007B0ED2" w:rsidRDefault="00DC6387" w:rsidP="007655D9">
            <w:pPr>
              <w:pStyle w:val="TableText"/>
              <w:rPr>
                <w:lang w:val="lv-LV"/>
              </w:rPr>
            </w:pPr>
            <w:r>
              <w:rPr>
                <w:lang w:val="lv-LV"/>
              </w:rPr>
              <w:t xml:space="preserve">Pārzinis: </w:t>
            </w:r>
            <w:r w:rsidR="007655D9">
              <w:rPr>
                <w:lang w:val="lv-LV"/>
              </w:rPr>
              <w:t>IKVD</w:t>
            </w:r>
          </w:p>
        </w:tc>
        <w:tc>
          <w:tcPr>
            <w:tcW w:w="5195" w:type="dxa"/>
            <w:tcBorders>
              <w:top w:val="single" w:sz="8" w:space="0" w:color="auto"/>
            </w:tcBorders>
          </w:tcPr>
          <w:p w:rsidR="00DC6387" w:rsidRDefault="00DC6387" w:rsidP="007F6251">
            <w:pPr>
              <w:pStyle w:val="TableText"/>
              <w:cnfStyle w:val="000000100000" w:firstRow="0" w:lastRow="0" w:firstColumn="0" w:lastColumn="0" w:oddVBand="0" w:evenVBand="0" w:oddHBand="1" w:evenHBand="0" w:firstRowFirstColumn="0" w:firstRowLastColumn="0" w:lastRowFirstColumn="0" w:lastRowLastColumn="0"/>
              <w:rPr>
                <w:lang w:val="lv-LV"/>
              </w:rPr>
            </w:pPr>
            <w:r w:rsidRPr="00DC6387">
              <w:rPr>
                <w:lang w:val="lv-LV"/>
              </w:rPr>
              <w:t>Izglītības iestāžu un zinā</w:t>
            </w:r>
            <w:r>
              <w:rPr>
                <w:lang w:val="lv-LV"/>
              </w:rPr>
              <w:t>tnisko institūciju reģistr</w:t>
            </w:r>
            <w:r w:rsidRPr="00DC6387">
              <w:rPr>
                <w:lang w:val="lv-LV"/>
              </w:rPr>
              <w:t xml:space="preserve">ā uztur izglītības iestāžu, to filiāļu un zinātnisko institūciju pamatdatus un izglītības veidam specifiskos datus, tai skaitā </w:t>
            </w:r>
            <w:r>
              <w:rPr>
                <w:lang w:val="lv-LV"/>
              </w:rPr>
              <w:t>iestādes programmu informāciju.</w:t>
            </w:r>
          </w:p>
          <w:p w:rsidR="00DC6387" w:rsidRPr="000B3720" w:rsidRDefault="00DC6387">
            <w:pPr>
              <w:pStyle w:val="TableText"/>
              <w:cnfStyle w:val="000000100000" w:firstRow="0" w:lastRow="0" w:firstColumn="0" w:lastColumn="0" w:oddVBand="0" w:evenVBand="0" w:oddHBand="1" w:evenHBand="0" w:firstRowFirstColumn="0" w:firstRowLastColumn="0" w:lastRowFirstColumn="0" w:lastRowLastColumn="0"/>
              <w:rPr>
                <w:rFonts w:cs="Times New Roman"/>
                <w:lang w:val="lv-LV"/>
              </w:rPr>
            </w:pPr>
            <w:r>
              <w:rPr>
                <w:lang w:val="lv-LV"/>
              </w:rPr>
              <w:t xml:space="preserve">Reģistrs </w:t>
            </w:r>
            <w:r w:rsidRPr="00DC6387">
              <w:rPr>
                <w:lang w:val="lv-LV"/>
              </w:rPr>
              <w:t xml:space="preserve">satur arī izglītības iestāžu dibinātāju </w:t>
            </w:r>
            <w:r>
              <w:rPr>
                <w:lang w:val="lv-LV"/>
              </w:rPr>
              <w:t xml:space="preserve">uzskaiti, kā </w:t>
            </w:r>
            <w:r w:rsidR="00826DC8">
              <w:rPr>
                <w:lang w:val="lv-LV"/>
              </w:rPr>
              <w:t>funkciju</w:t>
            </w:r>
            <w:r w:rsidR="00826DC8" w:rsidRPr="00DC6387">
              <w:rPr>
                <w:lang w:val="lv-LV"/>
              </w:rPr>
              <w:t xml:space="preserve"> </w:t>
            </w:r>
            <w:r w:rsidRPr="00DC6387">
              <w:rPr>
                <w:lang w:val="lv-LV"/>
              </w:rPr>
              <w:t>izglītības iestāžu reģistrēšanai</w:t>
            </w:r>
            <w:r w:rsidR="0015422D">
              <w:rPr>
                <w:lang w:val="lv-LV"/>
              </w:rPr>
              <w:t>.</w:t>
            </w:r>
          </w:p>
        </w:tc>
        <w:tc>
          <w:tcPr>
            <w:tcW w:w="2096" w:type="dxa"/>
            <w:tcBorders>
              <w:top w:val="single" w:sz="8" w:space="0" w:color="auto"/>
            </w:tcBorders>
          </w:tcPr>
          <w:p w:rsidR="00DC6387" w:rsidRPr="007B0ED2" w:rsidRDefault="003F75C2" w:rsidP="009B0BF3">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I</w:t>
            </w:r>
            <w:r w:rsidR="00DC6387" w:rsidRPr="00DC6387">
              <w:rPr>
                <w:lang w:val="lv-LV"/>
              </w:rPr>
              <w:t>zglītības iestāžu un zinātnisko institūciju</w:t>
            </w:r>
            <w:r w:rsidR="00DC6387">
              <w:rPr>
                <w:lang w:val="lv-LV"/>
              </w:rPr>
              <w:t xml:space="preserve"> reģistrs</w:t>
            </w:r>
          </w:p>
        </w:tc>
      </w:tr>
      <w:tr w:rsidR="0015422D" w:rsidRPr="007B0ED2" w:rsidTr="009B0B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15422D" w:rsidP="007F6251">
            <w:pPr>
              <w:pStyle w:val="TableText"/>
              <w:rPr>
                <w:lang w:val="lv-LV"/>
              </w:rPr>
            </w:pPr>
            <w:r w:rsidRPr="000B3720">
              <w:rPr>
                <w:lang w:val="lv-LV"/>
              </w:rPr>
              <w:t>Izglītības iestāžu personāla uzskaite</w:t>
            </w:r>
          </w:p>
          <w:p w:rsidR="0015422D" w:rsidRDefault="0015422D" w:rsidP="007F6251">
            <w:pPr>
              <w:pStyle w:val="TableText"/>
              <w:rPr>
                <w:lang w:val="lv-LV"/>
              </w:rPr>
            </w:pPr>
          </w:p>
          <w:p w:rsidR="0015422D" w:rsidRPr="000B3720" w:rsidRDefault="0015422D" w:rsidP="007F6251">
            <w:pPr>
              <w:pStyle w:val="TableText"/>
              <w:rPr>
                <w:lang w:val="lv-LV"/>
              </w:rPr>
            </w:pPr>
            <w:r>
              <w:rPr>
                <w:lang w:val="lv-LV"/>
              </w:rPr>
              <w:t>Pārzinis: izglītības iestādes</w:t>
            </w:r>
            <w:r w:rsidR="007655D9">
              <w:rPr>
                <w:lang w:val="lv-LV"/>
              </w:rPr>
              <w:t xml:space="preserve"> (IKVD – privātprakses pedagogi)</w:t>
            </w:r>
          </w:p>
        </w:tc>
        <w:tc>
          <w:tcPr>
            <w:tcW w:w="5195" w:type="dxa"/>
          </w:tcPr>
          <w:p w:rsidR="007655D9" w:rsidRPr="00DC6387" w:rsidRDefault="0015422D" w:rsidP="007655D9">
            <w:pPr>
              <w:pStyle w:val="TableText"/>
              <w:cnfStyle w:val="000000010000" w:firstRow="0" w:lastRow="0" w:firstColumn="0" w:lastColumn="0" w:oddVBand="0" w:evenVBand="0" w:oddHBand="0" w:evenHBand="1" w:firstRowFirstColumn="0" w:firstRowLastColumn="0" w:lastRowFirstColumn="0" w:lastRowLastColumn="0"/>
              <w:rPr>
                <w:lang w:val="lv-LV"/>
              </w:rPr>
            </w:pPr>
            <w:r w:rsidRPr="000B3720">
              <w:rPr>
                <w:lang w:val="lv-LV"/>
              </w:rPr>
              <w:t>Izglītības iestāžu un zinātnisko ins</w:t>
            </w:r>
            <w:r>
              <w:rPr>
                <w:lang w:val="lv-LV"/>
              </w:rPr>
              <w:t>titūciju personāla reģistr</w:t>
            </w:r>
            <w:r w:rsidRPr="000B3720">
              <w:rPr>
                <w:lang w:val="lv-LV"/>
              </w:rPr>
              <w:t>ā uztur pamatinformāciju un papildinformāciju par izglītības iestādes personālu – pedagogiem un tehnisko personālu, kā arī informāciju par personāla piederību izglītības iestādei vai iestādēm</w:t>
            </w:r>
            <w:r>
              <w:rPr>
                <w:lang w:val="lv-LV"/>
              </w:rPr>
              <w:t>.</w:t>
            </w:r>
          </w:p>
        </w:tc>
        <w:tc>
          <w:tcPr>
            <w:tcW w:w="2096" w:type="dxa"/>
          </w:tcPr>
          <w:p w:rsidR="0015422D" w:rsidRDefault="003F75C2" w:rsidP="009B0BF3">
            <w:pPr>
              <w:pStyle w:val="TableText"/>
              <w:cnfStyle w:val="000000010000" w:firstRow="0" w:lastRow="0" w:firstColumn="0" w:lastColumn="0" w:oddVBand="0" w:evenVBand="0" w:oddHBand="0" w:evenHBand="1" w:firstRowFirstColumn="0" w:firstRowLastColumn="0" w:lastRowFirstColumn="0" w:lastRowLastColumn="0"/>
              <w:rPr>
                <w:lang w:val="lv-LV"/>
              </w:rPr>
            </w:pPr>
            <w:r>
              <w:rPr>
                <w:lang w:val="lv-LV"/>
              </w:rPr>
              <w:t>I</w:t>
            </w:r>
            <w:r w:rsidR="0015422D" w:rsidRPr="000B3720">
              <w:rPr>
                <w:lang w:val="lv-LV"/>
              </w:rPr>
              <w:t>zglītības iestāžu un zinātnisko ins</w:t>
            </w:r>
            <w:r w:rsidR="0015422D">
              <w:rPr>
                <w:lang w:val="lv-LV"/>
              </w:rPr>
              <w:t>titūciju personāla reģistrs</w:t>
            </w:r>
          </w:p>
        </w:tc>
      </w:tr>
      <w:tr w:rsidR="0015422D" w:rsidRPr="007B0ED2" w:rsidTr="009B0B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15422D" w:rsidP="007F6251">
            <w:pPr>
              <w:pStyle w:val="TableText"/>
              <w:rPr>
                <w:lang w:val="lv-LV"/>
              </w:rPr>
            </w:pPr>
            <w:r w:rsidRPr="000B3720">
              <w:rPr>
                <w:lang w:val="lv-LV"/>
              </w:rPr>
              <w:t>Izglītojamo uzskaite</w:t>
            </w:r>
          </w:p>
          <w:p w:rsidR="007655D9" w:rsidRDefault="007655D9" w:rsidP="007F6251">
            <w:pPr>
              <w:pStyle w:val="TableText"/>
              <w:rPr>
                <w:lang w:val="lv-LV"/>
              </w:rPr>
            </w:pPr>
          </w:p>
          <w:p w:rsidR="007655D9" w:rsidRPr="007B0ED2" w:rsidRDefault="007655D9" w:rsidP="007F6251">
            <w:pPr>
              <w:pStyle w:val="TableText"/>
              <w:rPr>
                <w:lang w:val="lv-LV"/>
              </w:rPr>
            </w:pPr>
            <w:r>
              <w:rPr>
                <w:lang w:val="lv-LV"/>
              </w:rPr>
              <w:t>Pārzinis: izglītības iestādes, pašvaldības</w:t>
            </w:r>
          </w:p>
        </w:tc>
        <w:tc>
          <w:tcPr>
            <w:tcW w:w="5195" w:type="dxa"/>
          </w:tcPr>
          <w:p w:rsidR="0015422D" w:rsidRDefault="007655D9" w:rsidP="007655D9">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Izglītojamo reģistr</w:t>
            </w:r>
            <w:r w:rsidR="0015422D" w:rsidRPr="000B3720">
              <w:rPr>
                <w:lang w:val="lv-LV"/>
              </w:rPr>
              <w:t>ā uztur pamatinformāciju un papildinformāciju par katru izglītojamo, kā arī informāciju par izglītojamā piederību i</w:t>
            </w:r>
            <w:r>
              <w:rPr>
                <w:lang w:val="lv-LV"/>
              </w:rPr>
              <w:t>zglītības iestādei vai iestādēm. T</w:t>
            </w:r>
            <w:r w:rsidR="0015422D" w:rsidRPr="000B3720">
              <w:rPr>
                <w:lang w:val="lv-LV"/>
              </w:rPr>
              <w:t xml:space="preserve">āpat </w:t>
            </w:r>
            <w:r>
              <w:rPr>
                <w:lang w:val="lv-LV"/>
              </w:rPr>
              <w:t xml:space="preserve">reģistrā </w:t>
            </w:r>
            <w:r w:rsidR="0015422D" w:rsidRPr="000B3720">
              <w:rPr>
                <w:lang w:val="lv-LV"/>
              </w:rPr>
              <w:t xml:space="preserve">tiek uzturēta informācija par </w:t>
            </w:r>
            <w:r>
              <w:rPr>
                <w:lang w:val="lv-LV"/>
              </w:rPr>
              <w:t xml:space="preserve">izglītojamā </w:t>
            </w:r>
            <w:r w:rsidR="0015422D" w:rsidRPr="000B3720">
              <w:rPr>
                <w:lang w:val="lv-LV"/>
              </w:rPr>
              <w:t>vecākiem/aizbildņiem</w:t>
            </w:r>
            <w:r>
              <w:rPr>
                <w:lang w:val="lv-LV"/>
              </w:rPr>
              <w:t>.</w:t>
            </w:r>
          </w:p>
          <w:p w:rsidR="007655D9" w:rsidRPr="007B0ED2" w:rsidRDefault="007655D9" w:rsidP="007655D9">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Reģistrs nodrošina vispārējās un profesionālās izglītības (izņemot augstākās profesionālās izglītības) iestāžu izglītojamo uzskaiti.</w:t>
            </w:r>
          </w:p>
        </w:tc>
        <w:tc>
          <w:tcPr>
            <w:tcW w:w="2096" w:type="dxa"/>
          </w:tcPr>
          <w:p w:rsidR="0015422D" w:rsidRDefault="003F75C2" w:rsidP="003F75C2">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I</w:t>
            </w:r>
            <w:r w:rsidR="007655D9">
              <w:rPr>
                <w:lang w:val="lv-LV"/>
              </w:rPr>
              <w:t>zglītojamo reģistrs</w:t>
            </w:r>
            <w:r>
              <w:rPr>
                <w:lang w:val="lv-LV"/>
              </w:rPr>
              <w:t xml:space="preserve"> (</w:t>
            </w:r>
            <w:r w:rsidRPr="003F75C2">
              <w:rPr>
                <w:lang w:val="lv-LV"/>
              </w:rPr>
              <w:t>nodrošina vispārēj</w:t>
            </w:r>
            <w:r>
              <w:rPr>
                <w:lang w:val="lv-LV"/>
              </w:rPr>
              <w:t xml:space="preserve">ās un profesionālās izglītības izglītojamo </w:t>
            </w:r>
            <w:r w:rsidRPr="003F75C2">
              <w:rPr>
                <w:lang w:val="lv-LV"/>
              </w:rPr>
              <w:t>uzskaiti</w:t>
            </w:r>
            <w:r>
              <w:rPr>
                <w:lang w:val="lv-LV"/>
              </w:rPr>
              <w:t>)</w:t>
            </w:r>
          </w:p>
        </w:tc>
      </w:tr>
      <w:tr w:rsidR="0015422D" w:rsidRPr="007B0ED2" w:rsidTr="009B0B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15422D" w:rsidP="007F6251">
            <w:pPr>
              <w:pStyle w:val="TableText"/>
              <w:rPr>
                <w:lang w:val="lv-LV"/>
              </w:rPr>
            </w:pPr>
            <w:r w:rsidRPr="000B3720">
              <w:rPr>
                <w:lang w:val="lv-LV"/>
              </w:rPr>
              <w:t>Klašu un grupu uzskaite</w:t>
            </w:r>
          </w:p>
          <w:p w:rsidR="007655D9" w:rsidRDefault="007655D9" w:rsidP="007F6251">
            <w:pPr>
              <w:pStyle w:val="TableText"/>
              <w:rPr>
                <w:lang w:val="lv-LV"/>
              </w:rPr>
            </w:pPr>
          </w:p>
          <w:p w:rsidR="007655D9" w:rsidRPr="007B0ED2" w:rsidRDefault="007655D9" w:rsidP="007655D9">
            <w:pPr>
              <w:pStyle w:val="TableText"/>
              <w:rPr>
                <w:lang w:val="lv-LV"/>
              </w:rPr>
            </w:pPr>
            <w:r>
              <w:rPr>
                <w:lang w:val="lv-LV"/>
              </w:rPr>
              <w:t>Pārzinis: izglītības iestādes, pašvaldības</w:t>
            </w:r>
          </w:p>
        </w:tc>
        <w:tc>
          <w:tcPr>
            <w:tcW w:w="5195" w:type="dxa"/>
          </w:tcPr>
          <w:p w:rsidR="0015422D" w:rsidRPr="007B0ED2" w:rsidRDefault="00B524AD" w:rsidP="00B524AD">
            <w:pPr>
              <w:pStyle w:val="TableText"/>
              <w:cnfStyle w:val="000000010000" w:firstRow="0" w:lastRow="0" w:firstColumn="0" w:lastColumn="0" w:oddVBand="0" w:evenVBand="0" w:oddHBand="0" w:evenHBand="1" w:firstRowFirstColumn="0" w:firstRowLastColumn="0" w:lastRowFirstColumn="0" w:lastRowLastColumn="0"/>
              <w:rPr>
                <w:lang w:val="lv-LV"/>
              </w:rPr>
            </w:pPr>
            <w:r>
              <w:rPr>
                <w:lang w:val="lv-LV"/>
              </w:rPr>
              <w:t xml:space="preserve">Informācijas uzturēšana </w:t>
            </w:r>
            <w:r w:rsidR="0015422D" w:rsidRPr="000B3720">
              <w:rPr>
                <w:lang w:val="lv-LV"/>
              </w:rPr>
              <w:t>par klasēm/bērnudārza grupiņām/profesionālās izglītības grupām</w:t>
            </w:r>
            <w:r>
              <w:rPr>
                <w:lang w:val="lv-LV"/>
              </w:rPr>
              <w:t xml:space="preserve"> ar iespēju</w:t>
            </w:r>
            <w:r w:rsidR="0015422D" w:rsidRPr="000B3720">
              <w:rPr>
                <w:lang w:val="lv-LV"/>
              </w:rPr>
              <w:t xml:space="preserve"> apvienot izglītojamos grupās (gan apvienojot vairākas klases, gan veidojot klašu apakšgrupas, gan veidojot patvaļīgas izglītības iestādes audzēkņu grupas, piemēram, pagarinātās dienas grupu)</w:t>
            </w:r>
            <w:r>
              <w:rPr>
                <w:lang w:val="lv-LV"/>
              </w:rPr>
              <w:t>.</w:t>
            </w:r>
          </w:p>
        </w:tc>
        <w:tc>
          <w:tcPr>
            <w:tcW w:w="2096" w:type="dxa"/>
          </w:tcPr>
          <w:p w:rsidR="0015422D" w:rsidRDefault="00002630" w:rsidP="00002630">
            <w:pPr>
              <w:pStyle w:val="TableText"/>
              <w:cnfStyle w:val="000000010000" w:firstRow="0" w:lastRow="0" w:firstColumn="0" w:lastColumn="0" w:oddVBand="0" w:evenVBand="0" w:oddHBand="0" w:evenHBand="1" w:firstRowFirstColumn="0" w:firstRowLastColumn="0" w:lastRowFirstColumn="0" w:lastRowLastColumn="0"/>
              <w:rPr>
                <w:lang w:val="lv-LV"/>
              </w:rPr>
            </w:pPr>
            <w:r>
              <w:rPr>
                <w:lang w:val="lv-LV"/>
              </w:rPr>
              <w:t xml:space="preserve">Vienota </w:t>
            </w:r>
            <w:r w:rsidR="009B0BF3">
              <w:rPr>
                <w:lang w:val="lv-LV"/>
              </w:rPr>
              <w:t xml:space="preserve">informācija par </w:t>
            </w:r>
            <w:r w:rsidR="009B0BF3" w:rsidRPr="000B3720">
              <w:rPr>
                <w:lang w:val="lv-LV"/>
              </w:rPr>
              <w:t>klasēm/bērnudārza grupiņām/profesionālās izglītības grupām</w:t>
            </w:r>
          </w:p>
        </w:tc>
      </w:tr>
      <w:tr w:rsidR="0015422D" w:rsidRPr="007B0ED2" w:rsidTr="009B0B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15422D" w:rsidP="007F6251">
            <w:pPr>
              <w:pStyle w:val="TableText"/>
              <w:rPr>
                <w:lang w:val="lv-LV"/>
              </w:rPr>
            </w:pPr>
            <w:r w:rsidRPr="000B3720">
              <w:rPr>
                <w:lang w:val="lv-LV"/>
              </w:rPr>
              <w:t>Uzņemšanas organizēšana izglītības iestādē</w:t>
            </w:r>
          </w:p>
          <w:p w:rsidR="00B524AD" w:rsidRDefault="00B524AD" w:rsidP="007F6251">
            <w:pPr>
              <w:pStyle w:val="TableText"/>
              <w:rPr>
                <w:lang w:val="lv-LV"/>
              </w:rPr>
            </w:pPr>
          </w:p>
          <w:p w:rsidR="00B524AD" w:rsidRPr="007B0ED2" w:rsidRDefault="00B524AD" w:rsidP="007F6251">
            <w:pPr>
              <w:pStyle w:val="TableText"/>
              <w:rPr>
                <w:lang w:val="lv-LV"/>
              </w:rPr>
            </w:pPr>
            <w:r>
              <w:rPr>
                <w:lang w:val="lv-LV"/>
              </w:rPr>
              <w:t>Pārzinis: izglītības iestādes, pašvaldības</w:t>
            </w:r>
          </w:p>
        </w:tc>
        <w:tc>
          <w:tcPr>
            <w:tcW w:w="5195" w:type="dxa"/>
          </w:tcPr>
          <w:p w:rsidR="0015422D" w:rsidRPr="007B0ED2" w:rsidRDefault="00B524AD" w:rsidP="007F6251">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Atbalsts izglītojamo uzņemšanai</w:t>
            </w:r>
            <w:r w:rsidR="0015422D" w:rsidRPr="000B3720">
              <w:rPr>
                <w:lang w:val="lv-LV"/>
              </w:rPr>
              <w:t xml:space="preserve"> izglītības iestādēs, uzturot informāciju par uzņemšanas kārtību izglītības iestādē, kā arī par rindām un tajās esošajiem kandidātiem</w:t>
            </w:r>
            <w:r>
              <w:rPr>
                <w:lang w:val="lv-LV"/>
              </w:rPr>
              <w:t>.</w:t>
            </w:r>
          </w:p>
        </w:tc>
        <w:tc>
          <w:tcPr>
            <w:tcW w:w="2096" w:type="dxa"/>
          </w:tcPr>
          <w:p w:rsidR="0015422D" w:rsidRDefault="009B0BF3" w:rsidP="00002630">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Vienota</w:t>
            </w:r>
            <w:r w:rsidR="00002630">
              <w:rPr>
                <w:lang w:val="lv-LV"/>
              </w:rPr>
              <w:t xml:space="preserve"> informācija par izglītojamo</w:t>
            </w:r>
            <w:r>
              <w:rPr>
                <w:lang w:val="lv-LV"/>
              </w:rPr>
              <w:t xml:space="preserve"> uzņemšan</w:t>
            </w:r>
            <w:r w:rsidR="00002630">
              <w:rPr>
                <w:lang w:val="lv-LV"/>
              </w:rPr>
              <w:t>u</w:t>
            </w:r>
          </w:p>
        </w:tc>
      </w:tr>
      <w:tr w:rsidR="0015422D" w:rsidRPr="007B0ED2" w:rsidTr="009B0B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15422D" w:rsidP="007F6251">
            <w:pPr>
              <w:pStyle w:val="TableText"/>
              <w:rPr>
                <w:lang w:val="lv-LV"/>
              </w:rPr>
            </w:pPr>
            <w:r w:rsidRPr="000B3720">
              <w:rPr>
                <w:lang w:val="lv-LV"/>
              </w:rPr>
              <w:lastRenderedPageBreak/>
              <w:t>Licencēšanas un akreditācijas pārvaldība</w:t>
            </w:r>
          </w:p>
          <w:p w:rsidR="00B524AD" w:rsidRDefault="00B524AD" w:rsidP="007F6251">
            <w:pPr>
              <w:pStyle w:val="TableText"/>
              <w:rPr>
                <w:lang w:val="lv-LV"/>
              </w:rPr>
            </w:pPr>
          </w:p>
          <w:p w:rsidR="00B524AD" w:rsidRPr="007B0ED2" w:rsidRDefault="00B524AD" w:rsidP="00002630">
            <w:pPr>
              <w:pStyle w:val="TableText"/>
              <w:rPr>
                <w:lang w:val="lv-LV"/>
              </w:rPr>
            </w:pPr>
            <w:r>
              <w:rPr>
                <w:lang w:val="lv-LV"/>
              </w:rPr>
              <w:t>Pārzinis:</w:t>
            </w:r>
            <w:r w:rsidR="00002630">
              <w:rPr>
                <w:lang w:val="lv-LV"/>
              </w:rPr>
              <w:t xml:space="preserve"> </w:t>
            </w:r>
            <w:r>
              <w:rPr>
                <w:lang w:val="lv-LV"/>
              </w:rPr>
              <w:t>IKVD</w:t>
            </w:r>
            <w:r w:rsidR="003F75C2">
              <w:rPr>
                <w:lang w:val="lv-LV"/>
              </w:rPr>
              <w:t>, eksperti</w:t>
            </w:r>
          </w:p>
        </w:tc>
        <w:tc>
          <w:tcPr>
            <w:tcW w:w="5195" w:type="dxa"/>
          </w:tcPr>
          <w:p w:rsidR="0015422D" w:rsidRPr="007B0ED2" w:rsidRDefault="0015422D" w:rsidP="007F6251">
            <w:pPr>
              <w:pStyle w:val="TableText"/>
              <w:cnfStyle w:val="000000010000" w:firstRow="0" w:lastRow="0" w:firstColumn="0" w:lastColumn="0" w:oddVBand="0" w:evenVBand="0" w:oddHBand="0" w:evenHBand="1" w:firstRowFirstColumn="0" w:firstRowLastColumn="0" w:lastRowFirstColumn="0" w:lastRowLastColumn="0"/>
              <w:rPr>
                <w:lang w:val="lv-LV"/>
              </w:rPr>
            </w:pPr>
            <w:r w:rsidRPr="000B3720">
              <w:rPr>
                <w:lang w:val="lv-LV"/>
              </w:rPr>
              <w:t>Izglītības iestādēs licencēto un akreditēto izglītības programmu un akreditācijas ekspertu informācijas uzskaite, kā arī licencēšanas, akreditācijas procesa atbalst</w:t>
            </w:r>
            <w:r w:rsidR="003F75C2">
              <w:rPr>
                <w:lang w:val="lv-LV"/>
              </w:rPr>
              <w:t>a nodrošināšana.</w:t>
            </w:r>
          </w:p>
        </w:tc>
        <w:tc>
          <w:tcPr>
            <w:tcW w:w="2096" w:type="dxa"/>
          </w:tcPr>
          <w:p w:rsidR="0015422D" w:rsidRDefault="00002630" w:rsidP="00002630">
            <w:pPr>
              <w:pStyle w:val="TableText"/>
              <w:cnfStyle w:val="000000010000" w:firstRow="0" w:lastRow="0" w:firstColumn="0" w:lastColumn="0" w:oddVBand="0" w:evenVBand="0" w:oddHBand="0" w:evenHBand="1" w:firstRowFirstColumn="0" w:firstRowLastColumn="0" w:lastRowFirstColumn="0" w:lastRowLastColumn="0"/>
              <w:rPr>
                <w:lang w:val="lv-LV"/>
              </w:rPr>
            </w:pPr>
            <w:r>
              <w:rPr>
                <w:lang w:val="lv-LV"/>
              </w:rPr>
              <w:t>Īstenots l</w:t>
            </w:r>
            <w:r w:rsidR="009B0BF3">
              <w:rPr>
                <w:lang w:val="lv-LV"/>
              </w:rPr>
              <w:t>icencēšanas un akreditācijas procesa atbalsts</w:t>
            </w:r>
          </w:p>
        </w:tc>
      </w:tr>
      <w:tr w:rsidR="0015422D" w:rsidRPr="007B0ED2" w:rsidTr="009B0B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15422D" w:rsidP="007F6251">
            <w:pPr>
              <w:pStyle w:val="TableText"/>
              <w:rPr>
                <w:lang w:val="lv-LV"/>
              </w:rPr>
            </w:pPr>
            <w:r w:rsidRPr="000B3720">
              <w:rPr>
                <w:lang w:val="lv-LV"/>
              </w:rPr>
              <w:t>Nemācošos bērnu kontrole</w:t>
            </w:r>
          </w:p>
          <w:p w:rsidR="00B524AD" w:rsidRDefault="00B524AD" w:rsidP="007F6251">
            <w:pPr>
              <w:pStyle w:val="TableText"/>
              <w:rPr>
                <w:lang w:val="lv-LV"/>
              </w:rPr>
            </w:pPr>
          </w:p>
          <w:p w:rsidR="00B524AD" w:rsidRPr="000B3720" w:rsidRDefault="00B524AD" w:rsidP="00002630">
            <w:pPr>
              <w:pStyle w:val="TableText"/>
              <w:rPr>
                <w:lang w:val="lv-LV"/>
              </w:rPr>
            </w:pPr>
            <w:r>
              <w:rPr>
                <w:lang w:val="lv-LV"/>
              </w:rPr>
              <w:t>Pārzinis: IKVD, pašvaldības</w:t>
            </w:r>
          </w:p>
        </w:tc>
        <w:tc>
          <w:tcPr>
            <w:tcW w:w="5195" w:type="dxa"/>
          </w:tcPr>
          <w:p w:rsidR="0015422D" w:rsidRPr="000B3720" w:rsidRDefault="0015422D" w:rsidP="007F6251">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O</w:t>
            </w:r>
            <w:r w:rsidRPr="000B3720">
              <w:rPr>
                <w:lang w:val="lv-LV"/>
              </w:rPr>
              <w:t xml:space="preserve">bligāto izglītības vecumu sasniegušo bērnu kontrole, kas ietver to bērnu noskaidrošanu, kas neapmeklē izglītības iestādi, salīdzinot </w:t>
            </w:r>
            <w:r w:rsidR="00826DC8">
              <w:rPr>
                <w:lang w:val="lv-LV"/>
              </w:rPr>
              <w:t>Iedzīvotāju reģistra</w:t>
            </w:r>
            <w:r w:rsidRPr="000B3720">
              <w:rPr>
                <w:lang w:val="lv-LV"/>
              </w:rPr>
              <w:t xml:space="preserve"> un VIIS datus, informācijas par bērniem un statusa precizēšanas pieprasīšanu pašvaldībām, rezultātu apkopošanu un analīzi</w:t>
            </w:r>
            <w:r w:rsidR="00B524AD">
              <w:rPr>
                <w:lang w:val="lv-LV"/>
              </w:rPr>
              <w:t>.</w:t>
            </w:r>
          </w:p>
        </w:tc>
        <w:tc>
          <w:tcPr>
            <w:tcW w:w="2096" w:type="dxa"/>
          </w:tcPr>
          <w:p w:rsidR="0015422D" w:rsidRDefault="00002630" w:rsidP="00DC6387">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Īstenota i</w:t>
            </w:r>
            <w:r w:rsidRPr="000B3720">
              <w:rPr>
                <w:lang w:val="lv-LV"/>
              </w:rPr>
              <w:t>zglītības vecumu sasniegušo</w:t>
            </w:r>
            <w:r>
              <w:rPr>
                <w:lang w:val="lv-LV"/>
              </w:rPr>
              <w:t xml:space="preserve"> bērnu kontrole</w:t>
            </w:r>
          </w:p>
        </w:tc>
      </w:tr>
      <w:tr w:rsidR="0015422D" w:rsidRPr="007B0ED2" w:rsidTr="009B0B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15422D" w:rsidP="007F6251">
            <w:pPr>
              <w:pStyle w:val="TableText"/>
              <w:rPr>
                <w:lang w:val="lv-LV"/>
              </w:rPr>
            </w:pPr>
            <w:r w:rsidRPr="000B3720">
              <w:rPr>
                <w:lang w:val="lv-LV"/>
              </w:rPr>
              <w:t xml:space="preserve">Izglītību apliecinošu </w:t>
            </w:r>
            <w:r w:rsidRPr="003F75C2">
              <w:rPr>
                <w:lang w:val="lv-LV"/>
              </w:rPr>
              <w:t>dokumentu uzskaite</w:t>
            </w:r>
          </w:p>
          <w:p w:rsidR="00B524AD" w:rsidRDefault="00B524AD" w:rsidP="007F6251">
            <w:pPr>
              <w:pStyle w:val="TableText"/>
              <w:rPr>
                <w:lang w:val="lv-LV"/>
              </w:rPr>
            </w:pPr>
          </w:p>
          <w:p w:rsidR="00B524AD" w:rsidRPr="000B3720" w:rsidRDefault="00B524AD" w:rsidP="00B524AD">
            <w:pPr>
              <w:pStyle w:val="TableText"/>
              <w:rPr>
                <w:lang w:val="lv-LV"/>
              </w:rPr>
            </w:pPr>
            <w:r>
              <w:rPr>
                <w:lang w:val="lv-LV"/>
              </w:rPr>
              <w:t xml:space="preserve">Pārzinis: </w:t>
            </w:r>
            <w:r w:rsidR="00002630">
              <w:rPr>
                <w:lang w:val="lv-LV"/>
              </w:rPr>
              <w:t>izglītības iestādes, pašvaldības, IZM</w:t>
            </w:r>
          </w:p>
        </w:tc>
        <w:tc>
          <w:tcPr>
            <w:tcW w:w="5195" w:type="dxa"/>
          </w:tcPr>
          <w:p w:rsidR="0015422D" w:rsidRPr="000B3720" w:rsidRDefault="0015422D">
            <w:pPr>
              <w:pStyle w:val="TableText"/>
              <w:cnfStyle w:val="000000010000" w:firstRow="0" w:lastRow="0" w:firstColumn="0" w:lastColumn="0" w:oddVBand="0" w:evenVBand="0" w:oddHBand="0" w:evenHBand="1" w:firstRowFirstColumn="0" w:firstRowLastColumn="0" w:lastRowFirstColumn="0" w:lastRowLastColumn="0"/>
              <w:rPr>
                <w:rFonts w:cs="Times New Roman"/>
                <w:lang w:val="lv-LV"/>
              </w:rPr>
            </w:pPr>
            <w:r w:rsidRPr="000B3720">
              <w:rPr>
                <w:lang w:val="lv-LV"/>
              </w:rPr>
              <w:t>Izglītības iestāžu izsniegto dokumentu uzskaite un ar to saistīto procesu atbalsts, diplomu esamības pārbaužu nodrošināšana</w:t>
            </w:r>
            <w:r w:rsidR="00804EC4">
              <w:rPr>
                <w:lang w:val="lv-LV"/>
              </w:rPr>
              <w:t>.</w:t>
            </w:r>
          </w:p>
        </w:tc>
        <w:tc>
          <w:tcPr>
            <w:tcW w:w="2096" w:type="dxa"/>
          </w:tcPr>
          <w:p w:rsidR="0015422D" w:rsidRDefault="00002630" w:rsidP="00002630">
            <w:pPr>
              <w:pStyle w:val="TableText"/>
              <w:cnfStyle w:val="000000010000" w:firstRow="0" w:lastRow="0" w:firstColumn="0" w:lastColumn="0" w:oddVBand="0" w:evenVBand="0" w:oddHBand="0" w:evenHBand="1" w:firstRowFirstColumn="0" w:firstRowLastColumn="0" w:lastRowFirstColumn="0" w:lastRowLastColumn="0"/>
              <w:rPr>
                <w:lang w:val="lv-LV"/>
              </w:rPr>
            </w:pPr>
            <w:r>
              <w:rPr>
                <w:lang w:val="lv-LV"/>
              </w:rPr>
              <w:t>Vienota informācija par iegūtajiem izglītības dokumentiem (</w:t>
            </w:r>
            <w:r w:rsidRPr="003F75C2">
              <w:rPr>
                <w:lang w:val="lv-LV"/>
              </w:rPr>
              <w:t>nodrošina vispārēj</w:t>
            </w:r>
            <w:r>
              <w:rPr>
                <w:lang w:val="lv-LV"/>
              </w:rPr>
              <w:t>ās un profesionālās izglītības dokumentu uzskaiti)</w:t>
            </w:r>
          </w:p>
        </w:tc>
      </w:tr>
      <w:tr w:rsidR="0015422D" w:rsidRPr="007B0ED2" w:rsidTr="009B0B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Default="00002630" w:rsidP="007F6251">
            <w:pPr>
              <w:pStyle w:val="TableText"/>
              <w:rPr>
                <w:lang w:val="lv-LV"/>
              </w:rPr>
            </w:pPr>
            <w:r>
              <w:rPr>
                <w:lang w:val="lv-LV"/>
              </w:rPr>
              <w:t>Tarifikācijas atbalsta nodrošināšana</w:t>
            </w:r>
          </w:p>
          <w:p w:rsidR="00B524AD" w:rsidRDefault="00B524AD" w:rsidP="007F6251">
            <w:pPr>
              <w:pStyle w:val="TableText"/>
              <w:rPr>
                <w:lang w:val="lv-LV"/>
              </w:rPr>
            </w:pPr>
          </w:p>
          <w:p w:rsidR="00B524AD" w:rsidRPr="000B3720" w:rsidRDefault="00B524AD" w:rsidP="007F6251">
            <w:pPr>
              <w:pStyle w:val="TableText"/>
              <w:rPr>
                <w:lang w:val="lv-LV"/>
              </w:rPr>
            </w:pPr>
            <w:r>
              <w:rPr>
                <w:lang w:val="lv-LV"/>
              </w:rPr>
              <w:t>Pārzinis: izglītības iestādes, pašvaldības, IZM</w:t>
            </w:r>
          </w:p>
        </w:tc>
        <w:tc>
          <w:tcPr>
            <w:tcW w:w="5195" w:type="dxa"/>
          </w:tcPr>
          <w:p w:rsidR="0015422D" w:rsidRPr="000B3720" w:rsidRDefault="0015422D" w:rsidP="007F6251">
            <w:pPr>
              <w:pStyle w:val="TableText"/>
              <w:cnfStyle w:val="000000100000" w:firstRow="0" w:lastRow="0" w:firstColumn="0" w:lastColumn="0" w:oddVBand="0" w:evenVBand="0" w:oddHBand="1" w:evenHBand="0" w:firstRowFirstColumn="0" w:firstRowLastColumn="0" w:lastRowFirstColumn="0" w:lastRowLastColumn="0"/>
              <w:rPr>
                <w:lang w:val="lv-LV"/>
              </w:rPr>
            </w:pPr>
            <w:r w:rsidRPr="000B3720">
              <w:rPr>
                <w:lang w:val="lv-LV"/>
              </w:rPr>
              <w:t>Tarifikācijas procesa atbalsts vispārējās izglītības, profesionālās izglītības, profesionālās ievirzes un interešu izglītības iestādēs; tarifikācijas rezultātu pārbaudīšana pret izglītības iestāžu akreditēto programmu datiem, izglītības iestāžu tarifikācijas nosacījumu pārvaldība un aprēķinu rezultātu uzskaite</w:t>
            </w:r>
            <w:r w:rsidR="00B524AD">
              <w:rPr>
                <w:lang w:val="lv-LV"/>
              </w:rPr>
              <w:t>.</w:t>
            </w:r>
          </w:p>
        </w:tc>
        <w:tc>
          <w:tcPr>
            <w:tcW w:w="2096" w:type="dxa"/>
          </w:tcPr>
          <w:p w:rsidR="0015422D" w:rsidRDefault="00002630" w:rsidP="00DC6387">
            <w:pPr>
              <w:pStyle w:val="TableText"/>
              <w:cnfStyle w:val="000000100000" w:firstRow="0" w:lastRow="0" w:firstColumn="0" w:lastColumn="0" w:oddVBand="0" w:evenVBand="0" w:oddHBand="1" w:evenHBand="0" w:firstRowFirstColumn="0" w:firstRowLastColumn="0" w:lastRowFirstColumn="0" w:lastRowLastColumn="0"/>
              <w:rPr>
                <w:lang w:val="lv-LV"/>
              </w:rPr>
            </w:pPr>
            <w:r>
              <w:rPr>
                <w:lang w:val="lv-LV"/>
              </w:rPr>
              <w:t>Īstenots izglītības iestāžu personāla tarifikācijas process</w:t>
            </w:r>
          </w:p>
        </w:tc>
      </w:tr>
      <w:tr w:rsidR="0015422D" w:rsidRPr="003F75C2" w:rsidTr="009B0B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2" w:type="dxa"/>
          </w:tcPr>
          <w:p w:rsidR="0015422D" w:rsidRPr="003F75C2" w:rsidRDefault="0015422D" w:rsidP="007F6251">
            <w:pPr>
              <w:pStyle w:val="TableText"/>
              <w:rPr>
                <w:lang w:val="lv-LV"/>
              </w:rPr>
            </w:pPr>
            <w:r w:rsidRPr="003F75C2">
              <w:rPr>
                <w:lang w:val="lv-LV"/>
              </w:rPr>
              <w:t>Stipendiju pārvaldība</w:t>
            </w:r>
            <w:r w:rsidR="00002630">
              <w:rPr>
                <w:lang w:val="lv-LV"/>
              </w:rPr>
              <w:t>s nodrošināšana</w:t>
            </w:r>
          </w:p>
          <w:p w:rsidR="00B524AD" w:rsidRPr="003F75C2" w:rsidRDefault="00B524AD" w:rsidP="007F6251">
            <w:pPr>
              <w:pStyle w:val="TableText"/>
              <w:rPr>
                <w:lang w:val="lv-LV"/>
              </w:rPr>
            </w:pPr>
          </w:p>
          <w:p w:rsidR="00B524AD" w:rsidRPr="003F75C2" w:rsidRDefault="00B524AD" w:rsidP="007F6251">
            <w:pPr>
              <w:pStyle w:val="TableText"/>
              <w:rPr>
                <w:lang w:val="lv-LV"/>
              </w:rPr>
            </w:pPr>
            <w:r w:rsidRPr="003F75C2">
              <w:rPr>
                <w:lang w:val="lv-LV"/>
              </w:rPr>
              <w:t xml:space="preserve">Pārzinis: </w:t>
            </w:r>
            <w:r w:rsidR="00002630">
              <w:rPr>
                <w:lang w:val="lv-LV"/>
              </w:rPr>
              <w:t>izglītības iestādes, pašvaldības, IZM</w:t>
            </w:r>
          </w:p>
        </w:tc>
        <w:tc>
          <w:tcPr>
            <w:tcW w:w="5195" w:type="dxa"/>
          </w:tcPr>
          <w:p w:rsidR="0015422D" w:rsidRPr="003F75C2" w:rsidRDefault="00002630" w:rsidP="00002630">
            <w:pPr>
              <w:pStyle w:val="TableText"/>
              <w:cnfStyle w:val="000000010000" w:firstRow="0" w:lastRow="0" w:firstColumn="0" w:lastColumn="0" w:oddVBand="0" w:evenVBand="0" w:oddHBand="0" w:evenHBand="1" w:firstRowFirstColumn="0" w:firstRowLastColumn="0" w:lastRowFirstColumn="0" w:lastRowLastColumn="0"/>
              <w:rPr>
                <w:lang w:val="lv-LV"/>
              </w:rPr>
            </w:pPr>
            <w:r>
              <w:rPr>
                <w:lang w:val="lv-LV"/>
              </w:rPr>
              <w:t>P</w:t>
            </w:r>
            <w:r w:rsidR="0015422D" w:rsidRPr="003F75C2">
              <w:rPr>
                <w:lang w:val="lv-LV"/>
              </w:rPr>
              <w:t>rofesionālās izglītības iestāžu izglītoj</w:t>
            </w:r>
            <w:r>
              <w:rPr>
                <w:lang w:val="lv-LV"/>
              </w:rPr>
              <w:t xml:space="preserve">amo stipendiju uzskaite </w:t>
            </w:r>
            <w:r w:rsidR="0015422D" w:rsidRPr="003F75C2">
              <w:rPr>
                <w:lang w:val="lv-LV"/>
              </w:rPr>
              <w:t>un apskate</w:t>
            </w:r>
            <w:r>
              <w:rPr>
                <w:lang w:val="lv-LV"/>
              </w:rPr>
              <w:t>,</w:t>
            </w:r>
            <w:r w:rsidR="0015422D" w:rsidRPr="003F75C2">
              <w:rPr>
                <w:lang w:val="lv-LV"/>
              </w:rPr>
              <w:t xml:space="preserve"> </w:t>
            </w:r>
            <w:r>
              <w:rPr>
                <w:lang w:val="lv-LV"/>
              </w:rPr>
              <w:t>kas ietver</w:t>
            </w:r>
            <w:r w:rsidR="0015422D" w:rsidRPr="003F75C2">
              <w:rPr>
                <w:lang w:val="lv-LV"/>
              </w:rPr>
              <w:t xml:space="preserve"> gan </w:t>
            </w:r>
            <w:r w:rsidR="00804EC4" w:rsidRPr="003F75C2">
              <w:rPr>
                <w:lang w:val="lv-LV"/>
              </w:rPr>
              <w:t>v</w:t>
            </w:r>
            <w:r w:rsidR="0015422D" w:rsidRPr="003F75C2">
              <w:rPr>
                <w:lang w:val="lv-LV"/>
              </w:rPr>
              <w:t>alsts, gan privāto un Eiropa fondu piešķirto stipendiju administrēšanu</w:t>
            </w:r>
            <w:r w:rsidR="00804EC4" w:rsidRPr="003F75C2">
              <w:rPr>
                <w:lang w:val="lv-LV"/>
              </w:rPr>
              <w:t>.</w:t>
            </w:r>
          </w:p>
        </w:tc>
        <w:tc>
          <w:tcPr>
            <w:tcW w:w="2096" w:type="dxa"/>
          </w:tcPr>
          <w:p w:rsidR="0015422D" w:rsidRPr="003F75C2" w:rsidRDefault="00002630" w:rsidP="00DC6387">
            <w:pPr>
              <w:pStyle w:val="TableText"/>
              <w:cnfStyle w:val="000000010000" w:firstRow="0" w:lastRow="0" w:firstColumn="0" w:lastColumn="0" w:oddVBand="0" w:evenVBand="0" w:oddHBand="0" w:evenHBand="1" w:firstRowFirstColumn="0" w:firstRowLastColumn="0" w:lastRowFirstColumn="0" w:lastRowLastColumn="0"/>
              <w:rPr>
                <w:lang w:val="lv-LV"/>
              </w:rPr>
            </w:pPr>
            <w:r>
              <w:rPr>
                <w:lang w:val="lv-LV"/>
              </w:rPr>
              <w:t>Īstenota stipendiju pārvaldība</w:t>
            </w:r>
          </w:p>
        </w:tc>
      </w:tr>
    </w:tbl>
    <w:p w:rsidR="00777E33" w:rsidRPr="00777E33" w:rsidRDefault="00777E33">
      <w:pPr>
        <w:pStyle w:val="BodyText"/>
      </w:pPr>
    </w:p>
    <w:p w:rsidR="00946610" w:rsidRPr="00946610" w:rsidRDefault="00946610" w:rsidP="00946610">
      <w:pPr>
        <w:pStyle w:val="Heading2"/>
      </w:pPr>
      <w:bookmarkStart w:id="7" w:name="_Toc388454840"/>
      <w:r w:rsidRPr="00946610">
        <w:t>Esošajos procesos iesaistītās personas</w:t>
      </w:r>
      <w:bookmarkEnd w:id="7"/>
    </w:p>
    <w:p w:rsidR="00804EC4" w:rsidRDefault="003E193A" w:rsidP="00E7122C">
      <w:pPr>
        <w:pStyle w:val="BodyText"/>
      </w:pPr>
      <w:r>
        <w:t xml:space="preserve">Esošajos procesos ir iesaistītas </w:t>
      </w:r>
      <w:r w:rsidR="0081323D">
        <w:t>vairākas</w:t>
      </w:r>
      <w:r>
        <w:t xml:space="preserve"> lietotāju grupas</w:t>
      </w:r>
      <w:r w:rsidR="00995AC5">
        <w:t>, kas ietver esošo personālu, esošos klientus un ieinteresētās personas</w:t>
      </w:r>
      <w:r>
        <w:t>.</w:t>
      </w:r>
      <w:r w:rsidR="0081323D">
        <w:t xml:space="preserve"> </w:t>
      </w:r>
    </w:p>
    <w:p w:rsidR="00960B98" w:rsidRPr="00960B98" w:rsidRDefault="003E193A" w:rsidP="005370CF">
      <w:pPr>
        <w:pStyle w:val="BodyText"/>
        <w:numPr>
          <w:ilvl w:val="0"/>
          <w:numId w:val="12"/>
        </w:numPr>
        <w:rPr>
          <w:b/>
        </w:rPr>
      </w:pPr>
      <w:r w:rsidRPr="003E193A">
        <w:rPr>
          <w:b/>
        </w:rPr>
        <w:t>Esošais personāls</w:t>
      </w:r>
    </w:p>
    <w:p w:rsidR="00960B98" w:rsidRDefault="00777E33" w:rsidP="006D7464">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4</w:t>
      </w:r>
      <w:r w:rsidR="002B7ACB">
        <w:rPr>
          <w:noProof/>
        </w:rPr>
        <w:fldChar w:fldCharType="end"/>
      </w:r>
      <w:r>
        <w:t>. Esošā personāla raksturojums</w:t>
      </w:r>
    </w:p>
    <w:tbl>
      <w:tblPr>
        <w:tblStyle w:val="TableGridComplex"/>
        <w:tblW w:w="5000" w:type="pct"/>
        <w:tblBorders>
          <w:top w:val="single" w:sz="8" w:space="0" w:color="auto"/>
          <w:bottom w:val="single" w:sz="8" w:space="0" w:color="auto"/>
          <w:insideH w:val="single" w:sz="8" w:space="0" w:color="auto"/>
        </w:tblBorders>
        <w:tblLook w:val="0420" w:firstRow="1" w:lastRow="0" w:firstColumn="0" w:lastColumn="0" w:noHBand="0" w:noVBand="1"/>
      </w:tblPr>
      <w:tblGrid>
        <w:gridCol w:w="1982"/>
        <w:gridCol w:w="7401"/>
      </w:tblGrid>
      <w:tr w:rsidR="0081323D" w:rsidRPr="00295E2C" w:rsidTr="00976F4C">
        <w:trPr>
          <w:cnfStyle w:val="100000000000" w:firstRow="1" w:lastRow="0" w:firstColumn="0" w:lastColumn="0" w:oddVBand="0" w:evenVBand="0" w:oddHBand="0" w:evenHBand="0" w:firstRowFirstColumn="0" w:firstRowLastColumn="0" w:lastRowFirstColumn="0" w:lastRowLastColumn="0"/>
          <w:cantSplit/>
          <w:tblHeader/>
        </w:trPr>
        <w:tc>
          <w:tcPr>
            <w:tcW w:w="1056" w:type="pct"/>
            <w:tcBorders>
              <w:top w:val="none" w:sz="0" w:space="0" w:color="auto"/>
              <w:bottom w:val="none" w:sz="0" w:space="0" w:color="auto"/>
            </w:tcBorders>
            <w:shd w:val="clear" w:color="auto" w:fill="BFBFBF" w:themeFill="background1" w:themeFillShade="BF"/>
          </w:tcPr>
          <w:p w:rsidR="0081323D" w:rsidRPr="00295E2C" w:rsidRDefault="0081323D" w:rsidP="00247E48">
            <w:pPr>
              <w:pStyle w:val="TableText"/>
              <w:rPr>
                <w:lang w:val="lv-LV"/>
              </w:rPr>
            </w:pPr>
            <w:r w:rsidRPr="00295E2C">
              <w:rPr>
                <w:lang w:val="lv-LV"/>
              </w:rPr>
              <w:t>Lietotāju grupa</w:t>
            </w:r>
          </w:p>
        </w:tc>
        <w:tc>
          <w:tcPr>
            <w:tcW w:w="3944" w:type="pct"/>
            <w:tcBorders>
              <w:top w:val="none" w:sz="0" w:space="0" w:color="auto"/>
              <w:bottom w:val="none" w:sz="0" w:space="0" w:color="auto"/>
            </w:tcBorders>
            <w:shd w:val="clear" w:color="auto" w:fill="BFBFBF" w:themeFill="background1" w:themeFillShade="BF"/>
          </w:tcPr>
          <w:p w:rsidR="0081323D" w:rsidRPr="00295E2C" w:rsidRDefault="0081323D" w:rsidP="0081323D">
            <w:pPr>
              <w:pStyle w:val="TableText"/>
              <w:rPr>
                <w:lang w:val="lv-LV"/>
              </w:rPr>
            </w:pPr>
            <w:r>
              <w:rPr>
                <w:lang w:val="lv-LV"/>
              </w:rPr>
              <w:t>Grupas a</w:t>
            </w:r>
            <w:r w:rsidRPr="00295E2C">
              <w:rPr>
                <w:lang w:val="lv-LV"/>
              </w:rPr>
              <w:t>praksts</w:t>
            </w:r>
          </w:p>
        </w:tc>
      </w:tr>
      <w:tr w:rsidR="0081323D" w:rsidRPr="00295E2C" w:rsidTr="00976F4C">
        <w:trPr>
          <w:cnfStyle w:val="000000100000" w:firstRow="0" w:lastRow="0" w:firstColumn="0" w:lastColumn="0" w:oddVBand="0" w:evenVBand="0" w:oddHBand="1" w:evenHBand="0" w:firstRowFirstColumn="0" w:firstRowLastColumn="0" w:lastRowFirstColumn="0" w:lastRowLastColumn="0"/>
          <w:cantSplit/>
        </w:trPr>
        <w:tc>
          <w:tcPr>
            <w:tcW w:w="1056" w:type="pct"/>
            <w:tcBorders>
              <w:top w:val="none" w:sz="0" w:space="0" w:color="auto"/>
              <w:bottom w:val="none" w:sz="0" w:space="0" w:color="auto"/>
            </w:tcBorders>
          </w:tcPr>
          <w:p w:rsidR="0081323D" w:rsidRPr="00295E2C" w:rsidRDefault="0081323D" w:rsidP="00247E48">
            <w:pPr>
              <w:pStyle w:val="TableText"/>
              <w:rPr>
                <w:lang w:val="lv-LV"/>
              </w:rPr>
            </w:pPr>
            <w:r>
              <w:rPr>
                <w:lang w:val="lv-LV"/>
              </w:rPr>
              <w:t>IZM darbinieki</w:t>
            </w:r>
          </w:p>
        </w:tc>
        <w:tc>
          <w:tcPr>
            <w:tcW w:w="3944" w:type="pct"/>
            <w:tcBorders>
              <w:top w:val="none" w:sz="0" w:space="0" w:color="auto"/>
              <w:bottom w:val="none" w:sz="0" w:space="0" w:color="auto"/>
            </w:tcBorders>
          </w:tcPr>
          <w:p w:rsidR="0081323D" w:rsidRDefault="0081323D" w:rsidP="00247E48">
            <w:pPr>
              <w:pStyle w:val="TableText"/>
              <w:rPr>
                <w:lang w:val="lv-LV"/>
              </w:rPr>
            </w:pPr>
            <w:r>
              <w:rPr>
                <w:lang w:val="lv-LV"/>
              </w:rPr>
              <w:t>IZM darbiniek</w:t>
            </w:r>
            <w:r w:rsidR="00826DC8">
              <w:rPr>
                <w:lang w:val="lv-LV"/>
              </w:rPr>
              <w:t>i</w:t>
            </w:r>
            <w:r>
              <w:rPr>
                <w:lang w:val="lv-LV"/>
              </w:rPr>
              <w:t>, kas iesaistīti</w:t>
            </w:r>
            <w:r w:rsidR="007437A1">
              <w:rPr>
                <w:lang w:val="lv-LV"/>
              </w:rPr>
              <w:t xml:space="preserve"> esošo procesu īsteno</w:t>
            </w:r>
            <w:r w:rsidR="00B830E0">
              <w:rPr>
                <w:lang w:val="lv-LV"/>
              </w:rPr>
              <w:t>šanā</w:t>
            </w:r>
            <w:r w:rsidR="007437A1">
              <w:rPr>
                <w:lang w:val="lv-LV"/>
              </w:rPr>
              <w:t>, t.sk.:</w:t>
            </w:r>
          </w:p>
          <w:p w:rsidR="007437A1" w:rsidRDefault="001E1F3A" w:rsidP="005418DE">
            <w:pPr>
              <w:pStyle w:val="TableText"/>
              <w:numPr>
                <w:ilvl w:val="0"/>
                <w:numId w:val="26"/>
              </w:numPr>
              <w:rPr>
                <w:rFonts w:cs="Times New Roman"/>
                <w:lang w:val="lv-LV"/>
              </w:rPr>
            </w:pPr>
            <w:r>
              <w:rPr>
                <w:lang w:val="lv-LV"/>
              </w:rPr>
              <w:t>I</w:t>
            </w:r>
            <w:r w:rsidR="007437A1">
              <w:rPr>
                <w:lang w:val="lv-LV"/>
              </w:rPr>
              <w:t>evada un aktualizē informāciju VIIS;</w:t>
            </w:r>
          </w:p>
          <w:p w:rsidR="007437A1" w:rsidRDefault="001E1F3A" w:rsidP="005418DE">
            <w:pPr>
              <w:pStyle w:val="TableText"/>
              <w:numPr>
                <w:ilvl w:val="0"/>
                <w:numId w:val="26"/>
              </w:numPr>
              <w:rPr>
                <w:rFonts w:cs="Times New Roman"/>
                <w:lang w:val="lv-LV"/>
              </w:rPr>
            </w:pPr>
            <w:r>
              <w:rPr>
                <w:lang w:val="lv-LV"/>
              </w:rPr>
              <w:t>S</w:t>
            </w:r>
            <w:r w:rsidR="007437A1">
              <w:rPr>
                <w:lang w:val="lv-LV"/>
              </w:rPr>
              <w:t>lēdz</w:t>
            </w:r>
            <w:r w:rsidR="007437A1" w:rsidRPr="007437A1">
              <w:rPr>
                <w:lang w:val="lv-LV"/>
              </w:rPr>
              <w:t xml:space="preserve"> vienošanos ar publiskajām personām un privāto tiesību juridiskajām personām par datu automātisku apmaiņu</w:t>
            </w:r>
            <w:r w:rsidR="007437A1">
              <w:rPr>
                <w:lang w:val="lv-LV"/>
              </w:rPr>
              <w:t xml:space="preserve"> starp VIIS un šo personu rīcībā esošajām sistēmām;</w:t>
            </w:r>
          </w:p>
          <w:p w:rsidR="007437A1" w:rsidRDefault="001E1F3A" w:rsidP="005418DE">
            <w:pPr>
              <w:pStyle w:val="TableText"/>
              <w:numPr>
                <w:ilvl w:val="0"/>
                <w:numId w:val="26"/>
              </w:numPr>
              <w:rPr>
                <w:rFonts w:cs="Times New Roman"/>
                <w:lang w:val="lv-LV"/>
              </w:rPr>
            </w:pPr>
            <w:r>
              <w:rPr>
                <w:lang w:val="lv-LV"/>
              </w:rPr>
              <w:t>N</w:t>
            </w:r>
            <w:r w:rsidR="007437A1">
              <w:rPr>
                <w:lang w:val="lv-LV"/>
              </w:rPr>
              <w:t>odrošina VIIS</w:t>
            </w:r>
            <w:r w:rsidR="007437A1" w:rsidRPr="007437A1">
              <w:rPr>
                <w:lang w:val="lv-LV"/>
              </w:rPr>
              <w:t xml:space="preserve"> tehnisko resursu uzturēšanu un informācijas arhivēšanu</w:t>
            </w:r>
            <w:r w:rsidR="007437A1">
              <w:rPr>
                <w:lang w:val="lv-LV"/>
              </w:rPr>
              <w:t>;</w:t>
            </w:r>
          </w:p>
          <w:p w:rsidR="007437A1" w:rsidRDefault="001E1F3A" w:rsidP="005418DE">
            <w:pPr>
              <w:pStyle w:val="TableText"/>
              <w:numPr>
                <w:ilvl w:val="0"/>
                <w:numId w:val="26"/>
              </w:numPr>
              <w:rPr>
                <w:rFonts w:cs="Times New Roman"/>
                <w:lang w:val="lv-LV"/>
              </w:rPr>
            </w:pPr>
            <w:r>
              <w:rPr>
                <w:lang w:val="lv-LV"/>
              </w:rPr>
              <w:t>N</w:t>
            </w:r>
            <w:r w:rsidR="007437A1">
              <w:rPr>
                <w:lang w:val="lv-LV"/>
              </w:rPr>
              <w:t>odrošina VIIS</w:t>
            </w:r>
            <w:r w:rsidR="007437A1" w:rsidRPr="007437A1">
              <w:rPr>
                <w:lang w:val="lv-LV"/>
              </w:rPr>
              <w:t xml:space="preserve"> esošās informācij</w:t>
            </w:r>
            <w:r w:rsidR="007437A1">
              <w:rPr>
                <w:lang w:val="lv-LV"/>
              </w:rPr>
              <w:t>as drošības pasākumu īstenošanu;</w:t>
            </w:r>
          </w:p>
          <w:p w:rsidR="00B830E0" w:rsidRDefault="001E1F3A" w:rsidP="005418DE">
            <w:pPr>
              <w:pStyle w:val="TableText"/>
              <w:numPr>
                <w:ilvl w:val="0"/>
                <w:numId w:val="26"/>
              </w:numPr>
              <w:rPr>
                <w:rFonts w:cs="Times New Roman"/>
                <w:lang w:val="lv-LV"/>
              </w:rPr>
            </w:pPr>
            <w:r>
              <w:rPr>
                <w:lang w:val="lv-LV"/>
              </w:rPr>
              <w:t>S</w:t>
            </w:r>
            <w:r w:rsidR="00B830E0">
              <w:rPr>
                <w:lang w:val="lv-LV"/>
              </w:rPr>
              <w:t>niedz atbalstu citām lietotāju grupām;</w:t>
            </w:r>
          </w:p>
          <w:p w:rsidR="00B830E0" w:rsidRPr="00B830E0" w:rsidRDefault="001E1F3A" w:rsidP="005418DE">
            <w:pPr>
              <w:pStyle w:val="TableText"/>
              <w:numPr>
                <w:ilvl w:val="0"/>
                <w:numId w:val="26"/>
              </w:numPr>
              <w:rPr>
                <w:rFonts w:cs="Times New Roman"/>
                <w:lang w:val="lv-LV"/>
              </w:rPr>
            </w:pPr>
            <w:r>
              <w:rPr>
                <w:lang w:val="lv-LV"/>
              </w:rPr>
              <w:t>U</w:t>
            </w:r>
            <w:r w:rsidR="007437A1">
              <w:rPr>
                <w:lang w:val="lv-LV"/>
              </w:rPr>
              <w:t xml:space="preserve">n veic citus ar </w:t>
            </w:r>
            <w:r w:rsidR="00B830E0">
              <w:rPr>
                <w:lang w:val="lv-LV"/>
              </w:rPr>
              <w:t xml:space="preserve">esošo </w:t>
            </w:r>
            <w:r w:rsidR="007437A1">
              <w:rPr>
                <w:lang w:val="lv-LV"/>
              </w:rPr>
              <w:t>procesu izpildes nodrošināšanu saistītus uzdevumus</w:t>
            </w:r>
            <w:r w:rsidR="00B830E0">
              <w:rPr>
                <w:lang w:val="lv-LV"/>
              </w:rPr>
              <w:t>.</w:t>
            </w:r>
          </w:p>
        </w:tc>
      </w:tr>
      <w:tr w:rsidR="007437A1" w:rsidRPr="00295E2C" w:rsidTr="00976F4C">
        <w:trPr>
          <w:cnfStyle w:val="000000010000" w:firstRow="0" w:lastRow="0" w:firstColumn="0" w:lastColumn="0" w:oddVBand="0" w:evenVBand="0" w:oddHBand="0" w:evenHBand="1" w:firstRowFirstColumn="0" w:firstRowLastColumn="0" w:lastRowFirstColumn="0" w:lastRowLastColumn="0"/>
          <w:cantSplit/>
        </w:trPr>
        <w:tc>
          <w:tcPr>
            <w:tcW w:w="1056" w:type="pct"/>
          </w:tcPr>
          <w:p w:rsidR="007437A1" w:rsidRDefault="007437A1" w:rsidP="00B830E0">
            <w:pPr>
              <w:pStyle w:val="TableText"/>
              <w:rPr>
                <w:lang w:val="lv-LV"/>
              </w:rPr>
            </w:pPr>
            <w:r>
              <w:rPr>
                <w:lang w:val="lv-LV"/>
              </w:rPr>
              <w:t>IKVD darbinieki</w:t>
            </w:r>
          </w:p>
        </w:tc>
        <w:tc>
          <w:tcPr>
            <w:tcW w:w="3944" w:type="pct"/>
          </w:tcPr>
          <w:p w:rsidR="00B830E0" w:rsidRDefault="00B830E0" w:rsidP="00B830E0">
            <w:pPr>
              <w:pStyle w:val="TableText"/>
              <w:rPr>
                <w:lang w:val="lv-LV"/>
              </w:rPr>
            </w:pPr>
            <w:r>
              <w:rPr>
                <w:lang w:val="lv-LV"/>
              </w:rPr>
              <w:t>IKVD darbinieki</w:t>
            </w:r>
            <w:r w:rsidR="007437A1">
              <w:rPr>
                <w:lang w:val="lv-LV"/>
              </w:rPr>
              <w:t xml:space="preserve">, kas </w:t>
            </w:r>
            <w:r>
              <w:rPr>
                <w:lang w:val="lv-LV"/>
              </w:rPr>
              <w:t>ievada un aktualizē informāciju VIIS atbilstoši normatīvajos aktos noteiktajam, kā arī veic citus ar esošo procesu izpildes nodrošināšanu saistītus uzdevumus.</w:t>
            </w:r>
          </w:p>
        </w:tc>
      </w:tr>
      <w:tr w:rsidR="00B830E0" w:rsidRPr="00295E2C" w:rsidTr="00976F4C">
        <w:trPr>
          <w:cnfStyle w:val="000000100000" w:firstRow="0" w:lastRow="0" w:firstColumn="0" w:lastColumn="0" w:oddVBand="0" w:evenVBand="0" w:oddHBand="1" w:evenHBand="0" w:firstRowFirstColumn="0" w:firstRowLastColumn="0" w:lastRowFirstColumn="0" w:lastRowLastColumn="0"/>
          <w:cantSplit/>
        </w:trPr>
        <w:tc>
          <w:tcPr>
            <w:tcW w:w="1056" w:type="pct"/>
            <w:tcBorders>
              <w:top w:val="none" w:sz="0" w:space="0" w:color="auto"/>
              <w:bottom w:val="none" w:sz="0" w:space="0" w:color="auto"/>
            </w:tcBorders>
          </w:tcPr>
          <w:p w:rsidR="00B830E0" w:rsidRPr="00295E2C" w:rsidRDefault="00B830E0" w:rsidP="00247E48">
            <w:pPr>
              <w:pStyle w:val="TableText"/>
              <w:rPr>
                <w:lang w:val="lv-LV"/>
              </w:rPr>
            </w:pPr>
            <w:r w:rsidRPr="00295E2C">
              <w:rPr>
                <w:lang w:val="lv-LV"/>
              </w:rPr>
              <w:lastRenderedPageBreak/>
              <w:t>Izglītības iestāžu dibinātāju pārstāvji</w:t>
            </w:r>
          </w:p>
        </w:tc>
        <w:tc>
          <w:tcPr>
            <w:tcW w:w="3944" w:type="pct"/>
            <w:tcBorders>
              <w:top w:val="none" w:sz="0" w:space="0" w:color="auto"/>
              <w:bottom w:val="none" w:sz="0" w:space="0" w:color="auto"/>
            </w:tcBorders>
          </w:tcPr>
          <w:p w:rsidR="00B830E0" w:rsidRPr="00295E2C" w:rsidRDefault="00B830E0" w:rsidP="00247E48">
            <w:pPr>
              <w:pStyle w:val="TableText"/>
              <w:rPr>
                <w:iCs/>
                <w:smallCaps/>
                <w:color w:val="FFFFFF"/>
                <w:lang w:val="lv-LV"/>
              </w:rPr>
            </w:pPr>
            <w:r w:rsidRPr="00295E2C">
              <w:rPr>
                <w:lang w:val="lv-LV"/>
              </w:rPr>
              <w:t>Pašvaldību, privātu uzņēmumu, ministriju pārstāvji, kas dibina izglītības iestādes un piedalās procesos, kur nepieciešama dibinātāja līdzdalība (piemēram, dažāda veida lēmumu saskaņošana).</w:t>
            </w:r>
          </w:p>
        </w:tc>
      </w:tr>
      <w:tr w:rsidR="00B830E0" w:rsidRPr="00295E2C" w:rsidTr="00976F4C">
        <w:trPr>
          <w:cnfStyle w:val="000000010000" w:firstRow="0" w:lastRow="0" w:firstColumn="0" w:lastColumn="0" w:oddVBand="0" w:evenVBand="0" w:oddHBand="0" w:evenHBand="1" w:firstRowFirstColumn="0" w:firstRowLastColumn="0" w:lastRowFirstColumn="0" w:lastRowLastColumn="0"/>
          <w:cantSplit/>
        </w:trPr>
        <w:tc>
          <w:tcPr>
            <w:tcW w:w="1056" w:type="pct"/>
          </w:tcPr>
          <w:p w:rsidR="00B830E0" w:rsidRPr="00295E2C" w:rsidRDefault="00B830E0" w:rsidP="00247E48">
            <w:pPr>
              <w:pStyle w:val="TableText"/>
              <w:rPr>
                <w:lang w:val="lv-LV"/>
              </w:rPr>
            </w:pPr>
            <w:r w:rsidRPr="00295E2C">
              <w:rPr>
                <w:lang w:val="lv-LV"/>
              </w:rPr>
              <w:t>Izglītības iestāžu administrācijas darbinieki</w:t>
            </w:r>
          </w:p>
        </w:tc>
        <w:tc>
          <w:tcPr>
            <w:tcW w:w="3944" w:type="pct"/>
          </w:tcPr>
          <w:p w:rsidR="00B830E0" w:rsidRPr="00295E2C" w:rsidRDefault="00B830E0" w:rsidP="00B830E0">
            <w:pPr>
              <w:pStyle w:val="TableText"/>
              <w:rPr>
                <w:iCs/>
                <w:smallCaps/>
                <w:color w:val="FFFFFF"/>
                <w:lang w:val="lv-LV"/>
              </w:rPr>
            </w:pPr>
            <w:r>
              <w:rPr>
                <w:lang w:val="lv-LV"/>
              </w:rPr>
              <w:t>Vispārējo</w:t>
            </w:r>
            <w:r w:rsidRPr="00B830E0">
              <w:rPr>
                <w:lang w:val="lv-LV"/>
              </w:rPr>
              <w:t xml:space="preserve"> izglītības</w:t>
            </w:r>
            <w:r>
              <w:rPr>
                <w:lang w:val="lv-LV"/>
              </w:rPr>
              <w:t xml:space="preserve"> iestāžu</w:t>
            </w:r>
            <w:r w:rsidRPr="00B830E0">
              <w:rPr>
                <w:lang w:val="lv-LV"/>
              </w:rPr>
              <w:t xml:space="preserve"> (tai skaitā</w:t>
            </w:r>
            <w:r>
              <w:rPr>
                <w:lang w:val="lv-LV"/>
              </w:rPr>
              <w:t xml:space="preserve"> pirmsskolas izglītības iestāžu</w:t>
            </w:r>
            <w:r w:rsidRPr="00B830E0">
              <w:rPr>
                <w:lang w:val="lv-LV"/>
              </w:rPr>
              <w:t>), p</w:t>
            </w:r>
            <w:r>
              <w:rPr>
                <w:lang w:val="lv-LV"/>
              </w:rPr>
              <w:t>rofesionālās izglītības iestāžu</w:t>
            </w:r>
            <w:r w:rsidRPr="00B830E0">
              <w:rPr>
                <w:lang w:val="lv-LV"/>
              </w:rPr>
              <w:t xml:space="preserve">, interešu izglītības </w:t>
            </w:r>
            <w:r>
              <w:rPr>
                <w:lang w:val="lv-LV"/>
              </w:rPr>
              <w:t>iestāžu</w:t>
            </w:r>
            <w:r w:rsidRPr="00B830E0">
              <w:rPr>
                <w:lang w:val="lv-LV"/>
              </w:rPr>
              <w:t xml:space="preserve">, profesionālās ievirzes izglītības </w:t>
            </w:r>
            <w:r>
              <w:rPr>
                <w:lang w:val="lv-LV"/>
              </w:rPr>
              <w:t>iestāžu darbinieki,</w:t>
            </w:r>
            <w:r w:rsidRPr="00295E2C">
              <w:rPr>
                <w:lang w:val="lv-LV"/>
              </w:rPr>
              <w:t xml:space="preserve"> kas iesaistīti skolas administrēšanas procesos un administratīvajos procesos, kas saistīti ar sadarbību ar IZM un izglītības pārvaldēm.</w:t>
            </w:r>
            <w:r>
              <w:rPr>
                <w:lang w:val="lv-LV"/>
              </w:rPr>
              <w:t xml:space="preserve"> </w:t>
            </w:r>
          </w:p>
        </w:tc>
      </w:tr>
      <w:tr w:rsidR="00B830E0" w:rsidRPr="00295E2C" w:rsidTr="00976F4C">
        <w:trPr>
          <w:cnfStyle w:val="000000100000" w:firstRow="0" w:lastRow="0" w:firstColumn="0" w:lastColumn="0" w:oddVBand="0" w:evenVBand="0" w:oddHBand="1" w:evenHBand="0" w:firstRowFirstColumn="0" w:firstRowLastColumn="0" w:lastRowFirstColumn="0" w:lastRowLastColumn="0"/>
          <w:cantSplit/>
        </w:trPr>
        <w:tc>
          <w:tcPr>
            <w:tcW w:w="1056" w:type="pct"/>
            <w:tcBorders>
              <w:top w:val="none" w:sz="0" w:space="0" w:color="auto"/>
              <w:bottom w:val="none" w:sz="0" w:space="0" w:color="auto"/>
            </w:tcBorders>
          </w:tcPr>
          <w:p w:rsidR="00B830E0" w:rsidRPr="00295E2C" w:rsidRDefault="00B830E0" w:rsidP="00247E48">
            <w:pPr>
              <w:pStyle w:val="TableText"/>
              <w:rPr>
                <w:lang w:val="lv-LV"/>
              </w:rPr>
            </w:pPr>
            <w:r w:rsidRPr="00295E2C">
              <w:rPr>
                <w:lang w:val="lv-LV"/>
              </w:rPr>
              <w:t>Eksperti</w:t>
            </w:r>
          </w:p>
        </w:tc>
        <w:tc>
          <w:tcPr>
            <w:tcW w:w="3944" w:type="pct"/>
            <w:tcBorders>
              <w:top w:val="none" w:sz="0" w:space="0" w:color="auto"/>
              <w:bottom w:val="none" w:sz="0" w:space="0" w:color="auto"/>
            </w:tcBorders>
          </w:tcPr>
          <w:p w:rsidR="00B830E0" w:rsidRPr="00295E2C" w:rsidRDefault="00B830E0" w:rsidP="00247E48">
            <w:pPr>
              <w:pStyle w:val="TableText"/>
              <w:rPr>
                <w:lang w:val="lv-LV"/>
              </w:rPr>
            </w:pPr>
            <w:r w:rsidRPr="00295E2C">
              <w:rPr>
                <w:lang w:val="lv-LV"/>
              </w:rPr>
              <w:t>Mācību vai izglītības pārvaldības procesos iesaistītie eksperti, piemēram, akreditācijas ekspertu komisijas dalībnieki, kuri VIIS saglabā akreditācijas novērtējuma informāciju.</w:t>
            </w:r>
          </w:p>
        </w:tc>
      </w:tr>
    </w:tbl>
    <w:p w:rsidR="0081323D" w:rsidRDefault="00B830E0" w:rsidP="005370CF">
      <w:pPr>
        <w:pStyle w:val="BodyText"/>
        <w:numPr>
          <w:ilvl w:val="0"/>
          <w:numId w:val="12"/>
        </w:numPr>
        <w:rPr>
          <w:b/>
        </w:rPr>
      </w:pPr>
      <w:r w:rsidRPr="00B830E0">
        <w:rPr>
          <w:b/>
        </w:rPr>
        <w:t>Esošie klienti</w:t>
      </w:r>
      <w:r w:rsidR="00537B97">
        <w:rPr>
          <w:b/>
        </w:rPr>
        <w:t xml:space="preserve"> un ieinteresētās personas</w:t>
      </w:r>
    </w:p>
    <w:p w:rsidR="00960B98" w:rsidRDefault="00777E33" w:rsidP="006D7464">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5</w:t>
      </w:r>
      <w:r w:rsidR="002B7ACB">
        <w:rPr>
          <w:noProof/>
        </w:rPr>
        <w:fldChar w:fldCharType="end"/>
      </w:r>
      <w:r>
        <w:t>. Esošo klientu un ieinteresēto personu raksturojums</w:t>
      </w:r>
    </w:p>
    <w:tbl>
      <w:tblPr>
        <w:tblStyle w:val="TableGridComplex"/>
        <w:tblW w:w="5000" w:type="pct"/>
        <w:tblBorders>
          <w:top w:val="single" w:sz="8" w:space="0" w:color="auto"/>
          <w:bottom w:val="single" w:sz="8" w:space="0" w:color="auto"/>
          <w:insideH w:val="single" w:sz="8" w:space="0" w:color="auto"/>
        </w:tblBorders>
        <w:tblLook w:val="0420" w:firstRow="1" w:lastRow="0" w:firstColumn="0" w:lastColumn="0" w:noHBand="0" w:noVBand="1"/>
      </w:tblPr>
      <w:tblGrid>
        <w:gridCol w:w="1982"/>
        <w:gridCol w:w="7401"/>
      </w:tblGrid>
      <w:tr w:rsidR="00804EC4" w:rsidRPr="00295E2C" w:rsidTr="00976F4C">
        <w:trPr>
          <w:cnfStyle w:val="100000000000" w:firstRow="1" w:lastRow="0" w:firstColumn="0" w:lastColumn="0" w:oddVBand="0" w:evenVBand="0" w:oddHBand="0" w:evenHBand="0" w:firstRowFirstColumn="0" w:firstRowLastColumn="0" w:lastRowFirstColumn="0" w:lastRowLastColumn="0"/>
        </w:trPr>
        <w:tc>
          <w:tcPr>
            <w:tcW w:w="1056" w:type="pct"/>
            <w:tcBorders>
              <w:top w:val="none" w:sz="0" w:space="0" w:color="auto"/>
              <w:bottom w:val="none" w:sz="0" w:space="0" w:color="auto"/>
            </w:tcBorders>
            <w:shd w:val="clear" w:color="auto" w:fill="BFBFBF" w:themeFill="background1" w:themeFillShade="BF"/>
          </w:tcPr>
          <w:p w:rsidR="00804EC4" w:rsidRPr="00295E2C" w:rsidRDefault="00804EC4" w:rsidP="007F6251">
            <w:pPr>
              <w:pStyle w:val="TableText"/>
              <w:rPr>
                <w:lang w:val="lv-LV"/>
              </w:rPr>
            </w:pPr>
            <w:r w:rsidRPr="00295E2C">
              <w:rPr>
                <w:lang w:val="lv-LV"/>
              </w:rPr>
              <w:t>Lietotāju grupa</w:t>
            </w:r>
          </w:p>
        </w:tc>
        <w:tc>
          <w:tcPr>
            <w:tcW w:w="3944" w:type="pct"/>
            <w:tcBorders>
              <w:top w:val="none" w:sz="0" w:space="0" w:color="auto"/>
              <w:bottom w:val="none" w:sz="0" w:space="0" w:color="auto"/>
            </w:tcBorders>
            <w:shd w:val="clear" w:color="auto" w:fill="BFBFBF" w:themeFill="background1" w:themeFillShade="BF"/>
          </w:tcPr>
          <w:p w:rsidR="00804EC4" w:rsidRPr="00295E2C" w:rsidRDefault="00537B97" w:rsidP="007F6251">
            <w:pPr>
              <w:pStyle w:val="TableText"/>
              <w:rPr>
                <w:lang w:val="lv-LV"/>
              </w:rPr>
            </w:pPr>
            <w:r>
              <w:rPr>
                <w:lang w:val="lv-LV"/>
              </w:rPr>
              <w:t>Grupas a</w:t>
            </w:r>
            <w:r w:rsidRPr="00295E2C">
              <w:rPr>
                <w:lang w:val="lv-LV"/>
              </w:rPr>
              <w:t>praksts</w:t>
            </w:r>
          </w:p>
        </w:tc>
      </w:tr>
      <w:tr w:rsidR="00804EC4" w:rsidRPr="00295E2C" w:rsidTr="00976F4C">
        <w:trPr>
          <w:cnfStyle w:val="000000100000" w:firstRow="0" w:lastRow="0" w:firstColumn="0" w:lastColumn="0" w:oddVBand="0" w:evenVBand="0" w:oddHBand="1" w:evenHBand="0" w:firstRowFirstColumn="0" w:firstRowLastColumn="0" w:lastRowFirstColumn="0" w:lastRowLastColumn="0"/>
        </w:trPr>
        <w:tc>
          <w:tcPr>
            <w:tcW w:w="1056" w:type="pct"/>
            <w:tcBorders>
              <w:top w:val="none" w:sz="0" w:space="0" w:color="auto"/>
              <w:bottom w:val="none" w:sz="0" w:space="0" w:color="auto"/>
            </w:tcBorders>
          </w:tcPr>
          <w:p w:rsidR="00804EC4" w:rsidRPr="00295E2C" w:rsidRDefault="00804EC4" w:rsidP="007F6251">
            <w:pPr>
              <w:pStyle w:val="TableText"/>
              <w:rPr>
                <w:lang w:val="lv-LV"/>
              </w:rPr>
            </w:pPr>
            <w:r w:rsidRPr="00295E2C">
              <w:rPr>
                <w:lang w:val="lv-LV"/>
              </w:rPr>
              <w:t xml:space="preserve">Citu </w:t>
            </w:r>
            <w:r w:rsidR="00826DC8">
              <w:rPr>
                <w:lang w:val="lv-LV"/>
              </w:rPr>
              <w:t>v</w:t>
            </w:r>
            <w:r w:rsidRPr="00295E2C">
              <w:rPr>
                <w:lang w:val="lv-LV"/>
              </w:rPr>
              <w:t>alsts iestāžu pārstāvji</w:t>
            </w:r>
          </w:p>
        </w:tc>
        <w:tc>
          <w:tcPr>
            <w:tcW w:w="3944" w:type="pct"/>
            <w:tcBorders>
              <w:top w:val="none" w:sz="0" w:space="0" w:color="auto"/>
              <w:bottom w:val="none" w:sz="0" w:space="0" w:color="auto"/>
            </w:tcBorders>
          </w:tcPr>
          <w:p w:rsidR="00804EC4" w:rsidRPr="00295E2C" w:rsidRDefault="00804EC4" w:rsidP="00537B97">
            <w:pPr>
              <w:pStyle w:val="TableText"/>
              <w:rPr>
                <w:lang w:val="lv-LV"/>
              </w:rPr>
            </w:pPr>
            <w:r w:rsidRPr="00295E2C">
              <w:rPr>
                <w:lang w:val="lv-LV"/>
              </w:rPr>
              <w:t>Valsts iestāžu pārstāvji, kuriem nepieciešama piekļuve izglītības reģistriem savu pienākumu veikšanai, piemēram, lai pārbaudītu, no kura līdz kuram datumam personai bija izglītojamā statuss vispārizglītojošā izglītības iestādē.</w:t>
            </w:r>
          </w:p>
        </w:tc>
      </w:tr>
      <w:tr w:rsidR="00804EC4" w:rsidRPr="00295E2C" w:rsidTr="00976F4C">
        <w:trPr>
          <w:cnfStyle w:val="000000010000" w:firstRow="0" w:lastRow="0" w:firstColumn="0" w:lastColumn="0" w:oddVBand="0" w:evenVBand="0" w:oddHBand="0" w:evenHBand="1" w:firstRowFirstColumn="0" w:firstRowLastColumn="0" w:lastRowFirstColumn="0" w:lastRowLastColumn="0"/>
        </w:trPr>
        <w:tc>
          <w:tcPr>
            <w:tcW w:w="1056" w:type="pct"/>
          </w:tcPr>
          <w:p w:rsidR="00804EC4" w:rsidRPr="00295E2C" w:rsidRDefault="0089160F" w:rsidP="007F6251">
            <w:pPr>
              <w:pStyle w:val="TableText"/>
              <w:rPr>
                <w:lang w:val="lv-LV"/>
              </w:rPr>
            </w:pPr>
            <w:r>
              <w:rPr>
                <w:lang w:val="lv-LV"/>
              </w:rPr>
              <w:t>Citas privātas un juridiskas personas un to pārstāvji</w:t>
            </w:r>
          </w:p>
        </w:tc>
        <w:tc>
          <w:tcPr>
            <w:tcW w:w="3944" w:type="pct"/>
          </w:tcPr>
          <w:p w:rsidR="00804EC4" w:rsidRPr="00295E2C" w:rsidRDefault="00537B97">
            <w:pPr>
              <w:pStyle w:val="TableText"/>
              <w:rPr>
                <w:rFonts w:cs="Times New Roman"/>
                <w:lang w:val="lv-LV"/>
              </w:rPr>
            </w:pPr>
            <w:r>
              <w:rPr>
                <w:lang w:val="lv-LV"/>
              </w:rPr>
              <w:t xml:space="preserve">Izglītojamie, pedagogi, vecāki un citas ieinteresētās privātas un juridiskas personas, kuras </w:t>
            </w:r>
            <w:r w:rsidR="00804EC4" w:rsidRPr="00295E2C">
              <w:rPr>
                <w:lang w:val="lv-LV"/>
              </w:rPr>
              <w:t xml:space="preserve">interesē publiskā informācija par izglītības sistēmu, iespējām, mērķiem un sasniegumiem, </w:t>
            </w:r>
            <w:r>
              <w:rPr>
                <w:lang w:val="lv-LV"/>
              </w:rPr>
              <w:t xml:space="preserve">statistiku, </w:t>
            </w:r>
            <w:r w:rsidR="00804EC4" w:rsidRPr="00295E2C">
              <w:rPr>
                <w:lang w:val="lv-LV"/>
              </w:rPr>
              <w:t xml:space="preserve">piemēram, no VIIS publicētā informācija par izglītības iestādēm, </w:t>
            </w:r>
            <w:r>
              <w:rPr>
                <w:lang w:val="lv-LV"/>
              </w:rPr>
              <w:t xml:space="preserve">izglītojamo skaitu </w:t>
            </w:r>
            <w:r w:rsidR="00826DC8">
              <w:rPr>
                <w:lang w:val="lv-LV"/>
              </w:rPr>
              <w:t>un cita</w:t>
            </w:r>
            <w:r w:rsidR="00247E48">
              <w:rPr>
                <w:lang w:val="lv-LV"/>
              </w:rPr>
              <w:t xml:space="preserve"> informācija.</w:t>
            </w:r>
          </w:p>
        </w:tc>
      </w:tr>
    </w:tbl>
    <w:p w:rsidR="00960B98" w:rsidRDefault="00960B98" w:rsidP="00960B98">
      <w:pPr>
        <w:pStyle w:val="BodyText"/>
      </w:pPr>
    </w:p>
    <w:p w:rsidR="002C6C52" w:rsidRDefault="002C6C52" w:rsidP="002C6C52">
      <w:pPr>
        <w:pStyle w:val="Heading2"/>
      </w:pPr>
      <w:bookmarkStart w:id="8" w:name="_Toc388454841"/>
      <w:r>
        <w:t>Esošā sistēma</w:t>
      </w:r>
      <w:bookmarkEnd w:id="8"/>
    </w:p>
    <w:p w:rsidR="00002630" w:rsidRDefault="00693A4B" w:rsidP="00002630">
      <w:pPr>
        <w:pStyle w:val="BodyText"/>
      </w:pPr>
      <w:r>
        <w:t>Pirmo divu projekta kārtu ietvaros izstrādātās galvenās VIIS komponentes shematiski atspoguļotas attēlā</w:t>
      </w:r>
      <w:r w:rsidR="00826DC8">
        <w:t xml:space="preserve"> (skatīt attēlu)</w:t>
      </w:r>
      <w:r>
        <w:t>.</w:t>
      </w:r>
    </w:p>
    <w:p w:rsidR="00002630" w:rsidRDefault="00826DC8" w:rsidP="00002630">
      <w:pPr>
        <w:pStyle w:val="BodyText"/>
      </w:pPr>
      <w:r>
        <w:object w:dxaOrig="10016" w:dyaOrig="5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9pt;height:251.3pt" o:ole="">
            <v:imagedata r:id="rId10" o:title=""/>
          </v:shape>
          <o:OLEObject Type="Embed" ProgID="Visio.Drawing.11" ShapeID="_x0000_i1025" DrawAspect="Content" ObjectID="_1462941907" r:id="rId11"/>
        </w:object>
      </w:r>
    </w:p>
    <w:p w:rsidR="00960B98" w:rsidRPr="00960B98" w:rsidRDefault="00777E33" w:rsidP="00976F4C">
      <w:pPr>
        <w:pStyle w:val="Caption"/>
        <w:jc w:val="center"/>
      </w:pPr>
      <w:r>
        <w:t xml:space="preserve">Attēls </w:t>
      </w:r>
      <w:r w:rsidR="002B7ACB">
        <w:fldChar w:fldCharType="begin"/>
      </w:r>
      <w:r w:rsidR="006865B2">
        <w:instrText xml:space="preserve"> SEQ Attēls \* ARABIC </w:instrText>
      </w:r>
      <w:r w:rsidR="002B7ACB">
        <w:fldChar w:fldCharType="separate"/>
      </w:r>
      <w:r>
        <w:rPr>
          <w:noProof/>
        </w:rPr>
        <w:t>1</w:t>
      </w:r>
      <w:r w:rsidR="002B7ACB">
        <w:rPr>
          <w:noProof/>
        </w:rPr>
        <w:fldChar w:fldCharType="end"/>
      </w:r>
      <w:r>
        <w:t>. Esošās VIIS komponentes</w:t>
      </w:r>
    </w:p>
    <w:p w:rsidR="00002630" w:rsidRDefault="00693A4B" w:rsidP="00002630">
      <w:pPr>
        <w:pStyle w:val="BodyText"/>
      </w:pPr>
      <w:r>
        <w:t>VIIS komponentes nosacīti var tik iedalītas divās daļās</w:t>
      </w:r>
      <w:r w:rsidR="00860A47">
        <w:t>:</w:t>
      </w:r>
    </w:p>
    <w:p w:rsidR="00960B98" w:rsidRDefault="007919FA" w:rsidP="005418DE">
      <w:pPr>
        <w:pStyle w:val="BodyText"/>
        <w:numPr>
          <w:ilvl w:val="0"/>
          <w:numId w:val="35"/>
        </w:numPr>
      </w:pPr>
      <w:r>
        <w:t>P</w:t>
      </w:r>
      <w:r w:rsidR="00826DC8">
        <w:t xml:space="preserve">amatdarbības </w:t>
      </w:r>
      <w:r w:rsidR="00693A4B">
        <w:t>procesu atbalsta nodrošināšanas komponentes</w:t>
      </w:r>
      <w:r w:rsidR="00995AC5">
        <w:t>;</w:t>
      </w:r>
    </w:p>
    <w:p w:rsidR="00960B98" w:rsidRDefault="007919FA" w:rsidP="005418DE">
      <w:pPr>
        <w:pStyle w:val="BodyText"/>
        <w:numPr>
          <w:ilvl w:val="0"/>
          <w:numId w:val="35"/>
        </w:numPr>
      </w:pPr>
      <w:r>
        <w:t>K</w:t>
      </w:r>
      <w:r w:rsidR="00693A4B">
        <w:t>oplietošanas un administrēšanas komponentes (skatīt tabulu).</w:t>
      </w:r>
    </w:p>
    <w:p w:rsidR="00960B98" w:rsidRDefault="00960B98" w:rsidP="00960B98">
      <w:pPr>
        <w:pStyle w:val="BodyText"/>
      </w:pPr>
      <w:r>
        <w:lastRenderedPageBreak/>
        <w:t>E</w:t>
      </w:r>
      <w:r w:rsidRPr="00960B98">
        <w:t xml:space="preserve">sošo procesu </w:t>
      </w:r>
      <w:r>
        <w:t>un attiecīgi arī VIIS nodrošinātais procesu īstenošanas atbalsta raksturojums</w:t>
      </w:r>
      <w:r w:rsidRPr="00960B98">
        <w:t xml:space="preserve"> </w:t>
      </w:r>
      <w:r>
        <w:t xml:space="preserve">sniegts </w:t>
      </w:r>
      <w:r w:rsidR="00826DC8">
        <w:t>3.1</w:t>
      </w:r>
      <w:r>
        <w:t>. nodaļā. Koplietošanas un administrēšanas komponenšu raksturojums sniegts turpinājumā</w:t>
      </w:r>
      <w:r w:rsidR="00860A47">
        <w:rPr>
          <w:rStyle w:val="FootnoteReference"/>
        </w:rPr>
        <w:footnoteReference w:id="3"/>
      </w:r>
      <w:r>
        <w:t>.</w:t>
      </w:r>
    </w:p>
    <w:p w:rsidR="00693A4B" w:rsidRDefault="00777E33" w:rsidP="006D7464">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6</w:t>
      </w:r>
      <w:r w:rsidR="002B7ACB">
        <w:rPr>
          <w:noProof/>
        </w:rPr>
        <w:fldChar w:fldCharType="end"/>
      </w:r>
      <w:r>
        <w:t>. VIIS koplietošanas un administrēšanas komponenšu raksturojums</w:t>
      </w:r>
    </w:p>
    <w:tbl>
      <w:tblPr>
        <w:tblStyle w:val="TableGridComplex"/>
        <w:tblW w:w="0" w:type="auto"/>
        <w:tblBorders>
          <w:top w:val="single" w:sz="8" w:space="0" w:color="auto"/>
          <w:bottom w:val="single" w:sz="8" w:space="0" w:color="auto"/>
          <w:insideH w:val="single" w:sz="8" w:space="0" w:color="auto"/>
        </w:tblBorders>
        <w:tblLook w:val="0420" w:firstRow="1" w:lastRow="0" w:firstColumn="0" w:lastColumn="0" w:noHBand="0" w:noVBand="1"/>
      </w:tblPr>
      <w:tblGrid>
        <w:gridCol w:w="2325"/>
        <w:gridCol w:w="6815"/>
      </w:tblGrid>
      <w:tr w:rsidR="00693A4B" w:rsidRPr="00295E2C" w:rsidTr="00976F4C">
        <w:trPr>
          <w:cnfStyle w:val="100000000000" w:firstRow="1" w:lastRow="0" w:firstColumn="0" w:lastColumn="0" w:oddVBand="0" w:evenVBand="0" w:oddHBand="0" w:evenHBand="0" w:firstRowFirstColumn="0" w:firstRowLastColumn="0" w:lastRowFirstColumn="0" w:lastRowLastColumn="0"/>
        </w:trPr>
        <w:tc>
          <w:tcPr>
            <w:tcW w:w="2325" w:type="dxa"/>
            <w:tcBorders>
              <w:top w:val="none" w:sz="0" w:space="0" w:color="auto"/>
              <w:bottom w:val="none" w:sz="0" w:space="0" w:color="auto"/>
            </w:tcBorders>
            <w:shd w:val="clear" w:color="auto" w:fill="BFBFBF" w:themeFill="background1" w:themeFillShade="BF"/>
          </w:tcPr>
          <w:p w:rsidR="00693A4B" w:rsidRPr="00295E2C" w:rsidRDefault="00693A4B" w:rsidP="00A20605">
            <w:pPr>
              <w:pStyle w:val="TableText"/>
              <w:rPr>
                <w:lang w:val="lv-LV"/>
              </w:rPr>
            </w:pPr>
            <w:r>
              <w:rPr>
                <w:lang w:val="lv-LV"/>
              </w:rPr>
              <w:t>Komponente</w:t>
            </w:r>
          </w:p>
        </w:tc>
        <w:tc>
          <w:tcPr>
            <w:tcW w:w="6815" w:type="dxa"/>
            <w:tcBorders>
              <w:top w:val="none" w:sz="0" w:space="0" w:color="auto"/>
              <w:bottom w:val="none" w:sz="0" w:space="0" w:color="auto"/>
            </w:tcBorders>
            <w:shd w:val="clear" w:color="auto" w:fill="BFBFBF" w:themeFill="background1" w:themeFillShade="BF"/>
          </w:tcPr>
          <w:p w:rsidR="00693A4B" w:rsidRPr="00295E2C" w:rsidRDefault="00693A4B" w:rsidP="00A20605">
            <w:pPr>
              <w:pStyle w:val="TableText"/>
              <w:rPr>
                <w:lang w:val="lv-LV"/>
              </w:rPr>
            </w:pPr>
            <w:r>
              <w:rPr>
                <w:lang w:val="lv-LV"/>
              </w:rPr>
              <w:t>Komponentes a</w:t>
            </w:r>
            <w:r w:rsidRPr="00295E2C">
              <w:rPr>
                <w:lang w:val="lv-LV"/>
              </w:rPr>
              <w:t>praksts</w:t>
            </w:r>
          </w:p>
        </w:tc>
      </w:tr>
      <w:tr w:rsidR="00693A4B" w:rsidRPr="00295E2C" w:rsidTr="00693A4B">
        <w:trPr>
          <w:cnfStyle w:val="000000100000" w:firstRow="0" w:lastRow="0" w:firstColumn="0" w:lastColumn="0" w:oddVBand="0" w:evenVBand="0" w:oddHBand="1" w:evenHBand="0" w:firstRowFirstColumn="0" w:firstRowLastColumn="0" w:lastRowFirstColumn="0" w:lastRowLastColumn="0"/>
        </w:trPr>
        <w:tc>
          <w:tcPr>
            <w:tcW w:w="2325" w:type="dxa"/>
            <w:tcBorders>
              <w:top w:val="none" w:sz="0" w:space="0" w:color="auto"/>
              <w:bottom w:val="none" w:sz="0" w:space="0" w:color="auto"/>
            </w:tcBorders>
          </w:tcPr>
          <w:p w:rsidR="00693A4B" w:rsidRPr="00295E2C" w:rsidRDefault="00693A4B" w:rsidP="00A20605">
            <w:pPr>
              <w:pStyle w:val="TableText"/>
              <w:rPr>
                <w:lang w:val="lv-LV"/>
              </w:rPr>
            </w:pPr>
            <w:r w:rsidRPr="00693A4B">
              <w:rPr>
                <w:lang w:val="lv-LV"/>
              </w:rPr>
              <w:t>Datu apmaiņa ar citām IS</w:t>
            </w:r>
          </w:p>
        </w:tc>
        <w:tc>
          <w:tcPr>
            <w:tcW w:w="6815" w:type="dxa"/>
            <w:tcBorders>
              <w:top w:val="none" w:sz="0" w:space="0" w:color="auto"/>
              <w:bottom w:val="none" w:sz="0" w:space="0" w:color="auto"/>
            </w:tcBorders>
          </w:tcPr>
          <w:p w:rsidR="00693A4B" w:rsidRPr="00295E2C" w:rsidRDefault="00693A4B" w:rsidP="00A20605">
            <w:pPr>
              <w:pStyle w:val="TableText"/>
              <w:rPr>
                <w:lang w:val="lv-LV"/>
              </w:rPr>
            </w:pPr>
            <w:r>
              <w:rPr>
                <w:lang w:val="lv-LV"/>
              </w:rPr>
              <w:t>Ā</w:t>
            </w:r>
            <w:r w:rsidRPr="00693A4B">
              <w:rPr>
                <w:lang w:val="lv-LV"/>
              </w:rPr>
              <w:t>rējās saskarnes, ar kuru palīdzību tiek sniegta iespēja ārējām sistēmām iegūt datus no VIIS</w:t>
            </w:r>
            <w:r w:rsidR="00695C22">
              <w:rPr>
                <w:lang w:val="lv-LV"/>
              </w:rPr>
              <w:t>.</w:t>
            </w:r>
          </w:p>
        </w:tc>
      </w:tr>
      <w:tr w:rsidR="00693A4B" w:rsidRPr="00295E2C" w:rsidTr="00693A4B">
        <w:trPr>
          <w:cnfStyle w:val="000000010000" w:firstRow="0" w:lastRow="0" w:firstColumn="0" w:lastColumn="0" w:oddVBand="0" w:evenVBand="0" w:oddHBand="0" w:evenHBand="1" w:firstRowFirstColumn="0" w:firstRowLastColumn="0" w:lastRowFirstColumn="0" w:lastRowLastColumn="0"/>
        </w:trPr>
        <w:tc>
          <w:tcPr>
            <w:tcW w:w="2325" w:type="dxa"/>
          </w:tcPr>
          <w:p w:rsidR="00693A4B" w:rsidRPr="00693A4B" w:rsidRDefault="00693A4B" w:rsidP="00A20605">
            <w:pPr>
              <w:pStyle w:val="TableText"/>
              <w:rPr>
                <w:lang w:val="lv-LV"/>
              </w:rPr>
            </w:pPr>
            <w:r w:rsidRPr="00693A4B">
              <w:rPr>
                <w:lang w:val="lv-LV"/>
              </w:rPr>
              <w:t>Personas kontaktu pārvaldība</w:t>
            </w:r>
          </w:p>
        </w:tc>
        <w:tc>
          <w:tcPr>
            <w:tcW w:w="6815" w:type="dxa"/>
          </w:tcPr>
          <w:p w:rsidR="00693A4B" w:rsidRDefault="00693A4B" w:rsidP="00A20605">
            <w:pPr>
              <w:pStyle w:val="TableText"/>
              <w:rPr>
                <w:lang w:val="lv-LV"/>
              </w:rPr>
            </w:pPr>
            <w:r>
              <w:rPr>
                <w:lang w:val="lv-LV"/>
              </w:rPr>
              <w:t>K</w:t>
            </w:r>
            <w:r w:rsidRPr="00693A4B">
              <w:rPr>
                <w:lang w:val="lv-LV"/>
              </w:rPr>
              <w:t>omponente, kas nodrošina centralizētu personu kontaktinformācijas uzturēšanu</w:t>
            </w:r>
            <w:r w:rsidR="00695C22">
              <w:rPr>
                <w:lang w:val="lv-LV"/>
              </w:rPr>
              <w:t>.</w:t>
            </w:r>
          </w:p>
        </w:tc>
      </w:tr>
      <w:tr w:rsidR="00693A4B" w:rsidRPr="00295E2C" w:rsidTr="00693A4B">
        <w:trPr>
          <w:cnfStyle w:val="000000100000" w:firstRow="0" w:lastRow="0" w:firstColumn="0" w:lastColumn="0" w:oddVBand="0" w:evenVBand="0" w:oddHBand="1" w:evenHBand="0" w:firstRowFirstColumn="0" w:firstRowLastColumn="0" w:lastRowFirstColumn="0" w:lastRowLastColumn="0"/>
        </w:trPr>
        <w:tc>
          <w:tcPr>
            <w:tcW w:w="2325" w:type="dxa"/>
          </w:tcPr>
          <w:p w:rsidR="00693A4B" w:rsidRPr="00295E2C" w:rsidRDefault="00693A4B" w:rsidP="00A20605">
            <w:pPr>
              <w:pStyle w:val="TableText"/>
              <w:rPr>
                <w:lang w:val="lv-LV"/>
              </w:rPr>
            </w:pPr>
            <w:r w:rsidRPr="00693A4B">
              <w:rPr>
                <w:lang w:val="lv-LV"/>
              </w:rPr>
              <w:t>Autentifikācija un autorizācija</w:t>
            </w:r>
          </w:p>
        </w:tc>
        <w:tc>
          <w:tcPr>
            <w:tcW w:w="6815" w:type="dxa"/>
          </w:tcPr>
          <w:p w:rsidR="00693A4B" w:rsidRPr="00295E2C" w:rsidRDefault="00693A4B" w:rsidP="00A20605">
            <w:pPr>
              <w:pStyle w:val="TableText"/>
              <w:rPr>
                <w:lang w:val="lv-LV"/>
              </w:rPr>
            </w:pPr>
            <w:r>
              <w:rPr>
                <w:lang w:val="lv-LV"/>
              </w:rPr>
              <w:t>K</w:t>
            </w:r>
            <w:r w:rsidRPr="00693A4B">
              <w:rPr>
                <w:lang w:val="lv-LV"/>
              </w:rPr>
              <w:t>omponente, kas nodrošina vienotu autentifikācijas un autorizācijas mehānismu</w:t>
            </w:r>
            <w:r w:rsidR="00695C22">
              <w:rPr>
                <w:lang w:val="lv-LV"/>
              </w:rPr>
              <w:t>.</w:t>
            </w:r>
          </w:p>
        </w:tc>
      </w:tr>
      <w:tr w:rsidR="00693A4B" w:rsidRPr="00295E2C" w:rsidTr="00693A4B">
        <w:trPr>
          <w:cnfStyle w:val="000000010000" w:firstRow="0" w:lastRow="0" w:firstColumn="0" w:lastColumn="0" w:oddVBand="0" w:evenVBand="0" w:oddHBand="0" w:evenHBand="1" w:firstRowFirstColumn="0" w:firstRowLastColumn="0" w:lastRowFirstColumn="0" w:lastRowLastColumn="0"/>
        </w:trPr>
        <w:tc>
          <w:tcPr>
            <w:tcW w:w="2325" w:type="dxa"/>
          </w:tcPr>
          <w:p w:rsidR="00693A4B" w:rsidRPr="00693A4B" w:rsidRDefault="00693A4B" w:rsidP="00A20605">
            <w:pPr>
              <w:pStyle w:val="TableText"/>
              <w:rPr>
                <w:lang w:val="lv-LV"/>
              </w:rPr>
            </w:pPr>
            <w:r w:rsidRPr="00693A4B">
              <w:rPr>
                <w:lang w:val="lv-LV"/>
              </w:rPr>
              <w:t>Audita žurnāla uzturēšana</w:t>
            </w:r>
          </w:p>
        </w:tc>
        <w:tc>
          <w:tcPr>
            <w:tcW w:w="6815" w:type="dxa"/>
          </w:tcPr>
          <w:p w:rsidR="00693A4B" w:rsidRDefault="00693A4B" w:rsidP="00693A4B">
            <w:pPr>
              <w:pStyle w:val="TableText"/>
              <w:tabs>
                <w:tab w:val="left" w:pos="2166"/>
              </w:tabs>
              <w:rPr>
                <w:lang w:val="lv-LV"/>
              </w:rPr>
            </w:pPr>
            <w:r>
              <w:rPr>
                <w:lang w:val="lv-LV"/>
              </w:rPr>
              <w:t>K</w:t>
            </w:r>
            <w:r w:rsidRPr="00693A4B">
              <w:rPr>
                <w:lang w:val="lv-LV"/>
              </w:rPr>
              <w:t>omponente, kas nodrošina audita pierakstu saglabāšanu, kā arī auditācijas konfigurēšanu un audita pierakstu apskati</w:t>
            </w:r>
            <w:r w:rsidR="00695C22">
              <w:rPr>
                <w:lang w:val="lv-LV"/>
              </w:rPr>
              <w:t>.</w:t>
            </w:r>
          </w:p>
        </w:tc>
      </w:tr>
      <w:tr w:rsidR="00693A4B" w:rsidRPr="00295E2C" w:rsidTr="00693A4B">
        <w:trPr>
          <w:cnfStyle w:val="000000100000" w:firstRow="0" w:lastRow="0" w:firstColumn="0" w:lastColumn="0" w:oddVBand="0" w:evenVBand="0" w:oddHBand="1" w:evenHBand="0" w:firstRowFirstColumn="0" w:firstRowLastColumn="0" w:lastRowFirstColumn="0" w:lastRowLastColumn="0"/>
        </w:trPr>
        <w:tc>
          <w:tcPr>
            <w:tcW w:w="2325" w:type="dxa"/>
          </w:tcPr>
          <w:p w:rsidR="00693A4B" w:rsidRPr="00693A4B" w:rsidRDefault="00693A4B" w:rsidP="00A20605">
            <w:pPr>
              <w:pStyle w:val="TableText"/>
              <w:rPr>
                <w:lang w:val="lv-LV"/>
              </w:rPr>
            </w:pPr>
            <w:r w:rsidRPr="00693A4B">
              <w:rPr>
                <w:lang w:val="lv-LV"/>
              </w:rPr>
              <w:t>Papildu atribūtu pārvaldība</w:t>
            </w:r>
          </w:p>
        </w:tc>
        <w:tc>
          <w:tcPr>
            <w:tcW w:w="6815" w:type="dxa"/>
          </w:tcPr>
          <w:p w:rsidR="00693A4B" w:rsidRDefault="00693A4B" w:rsidP="00693A4B">
            <w:pPr>
              <w:pStyle w:val="TableText"/>
              <w:tabs>
                <w:tab w:val="left" w:pos="2166"/>
              </w:tabs>
              <w:rPr>
                <w:lang w:val="lv-LV"/>
              </w:rPr>
            </w:pPr>
            <w:r>
              <w:rPr>
                <w:lang w:val="lv-LV"/>
              </w:rPr>
              <w:t>P</w:t>
            </w:r>
            <w:r w:rsidRPr="00693A4B">
              <w:rPr>
                <w:lang w:val="lv-LV"/>
              </w:rPr>
              <w:t>apildu atribūtu pievienošanas mehānisms, kas nodrošina iepriekš neparedzētas informācijas uzskaiti par izglītības sistēmas objektiem, t.sk. izglītojamajiem, pedagogiem un izglītības iestādēm</w:t>
            </w:r>
            <w:r w:rsidR="00695C22">
              <w:rPr>
                <w:lang w:val="lv-LV"/>
              </w:rPr>
              <w:t>.</w:t>
            </w:r>
          </w:p>
        </w:tc>
      </w:tr>
      <w:tr w:rsidR="00693A4B" w:rsidRPr="00295E2C" w:rsidTr="00693A4B">
        <w:trPr>
          <w:cnfStyle w:val="000000010000" w:firstRow="0" w:lastRow="0" w:firstColumn="0" w:lastColumn="0" w:oddVBand="0" w:evenVBand="0" w:oddHBand="0" w:evenHBand="1" w:firstRowFirstColumn="0" w:firstRowLastColumn="0" w:lastRowFirstColumn="0" w:lastRowLastColumn="0"/>
        </w:trPr>
        <w:tc>
          <w:tcPr>
            <w:tcW w:w="2325" w:type="dxa"/>
          </w:tcPr>
          <w:p w:rsidR="00693A4B" w:rsidRPr="00693A4B" w:rsidRDefault="00693A4B" w:rsidP="00A20605">
            <w:pPr>
              <w:pStyle w:val="TableText"/>
              <w:rPr>
                <w:lang w:val="lv-LV"/>
              </w:rPr>
            </w:pPr>
            <w:r w:rsidRPr="00693A4B">
              <w:rPr>
                <w:lang w:val="lv-LV"/>
              </w:rPr>
              <w:t>Paziņojumu nosūtīšana</w:t>
            </w:r>
          </w:p>
        </w:tc>
        <w:tc>
          <w:tcPr>
            <w:tcW w:w="6815" w:type="dxa"/>
          </w:tcPr>
          <w:p w:rsidR="00693A4B" w:rsidRDefault="00693A4B" w:rsidP="00693A4B">
            <w:pPr>
              <w:pStyle w:val="TableText"/>
              <w:tabs>
                <w:tab w:val="left" w:pos="2166"/>
              </w:tabs>
              <w:rPr>
                <w:lang w:val="lv-LV"/>
              </w:rPr>
            </w:pPr>
            <w:r>
              <w:rPr>
                <w:lang w:val="lv-LV"/>
              </w:rPr>
              <w:t>C</w:t>
            </w:r>
            <w:r w:rsidRPr="00693A4B">
              <w:rPr>
                <w:lang w:val="lv-LV"/>
              </w:rPr>
              <w:t>entralizēts paziņojumu nosūtīšanas modulis, kas nodrošina centralizētu paziņojumu nosūtīšanu (gan lietotāju, gan sistēmas ģenerētu) un saņemto paziņojumu  apskati</w:t>
            </w:r>
            <w:r w:rsidR="00695C22">
              <w:rPr>
                <w:lang w:val="lv-LV"/>
              </w:rPr>
              <w:t>.</w:t>
            </w:r>
          </w:p>
        </w:tc>
      </w:tr>
      <w:tr w:rsidR="00766BF9" w:rsidRPr="00295E2C" w:rsidTr="00693A4B">
        <w:trPr>
          <w:cnfStyle w:val="000000100000" w:firstRow="0" w:lastRow="0" w:firstColumn="0" w:lastColumn="0" w:oddVBand="0" w:evenVBand="0" w:oddHBand="1" w:evenHBand="0" w:firstRowFirstColumn="0" w:firstRowLastColumn="0" w:lastRowFirstColumn="0" w:lastRowLastColumn="0"/>
        </w:trPr>
        <w:tc>
          <w:tcPr>
            <w:tcW w:w="2325" w:type="dxa"/>
          </w:tcPr>
          <w:p w:rsidR="00766BF9" w:rsidRPr="00693A4B" w:rsidRDefault="00766BF9" w:rsidP="00A20605">
            <w:pPr>
              <w:pStyle w:val="TableText"/>
              <w:rPr>
                <w:lang w:val="lv-LV"/>
              </w:rPr>
            </w:pPr>
            <w:r>
              <w:rPr>
                <w:lang w:val="lv-LV"/>
              </w:rPr>
              <w:t>Pārskati un analīze</w:t>
            </w:r>
          </w:p>
        </w:tc>
        <w:tc>
          <w:tcPr>
            <w:tcW w:w="6815" w:type="dxa"/>
          </w:tcPr>
          <w:p w:rsidR="00766BF9" w:rsidRDefault="00766BF9" w:rsidP="00693A4B">
            <w:pPr>
              <w:pStyle w:val="TableText"/>
              <w:tabs>
                <w:tab w:val="left" w:pos="2166"/>
              </w:tabs>
              <w:rPr>
                <w:lang w:val="lv-LV"/>
              </w:rPr>
            </w:pPr>
            <w:r>
              <w:rPr>
                <w:lang w:val="lv-LV"/>
              </w:rPr>
              <w:t>Komponente, kas nodrošina operatīvo, statistisko pārskatu pieejamību, kā arī datu analīzes iespējas, izmantojot datu analīzes kubus</w:t>
            </w:r>
            <w:r w:rsidR="00695C22">
              <w:rPr>
                <w:lang w:val="lv-LV"/>
              </w:rPr>
              <w:t>.</w:t>
            </w:r>
          </w:p>
        </w:tc>
      </w:tr>
      <w:tr w:rsidR="00766BF9" w:rsidRPr="00295E2C" w:rsidTr="00693A4B">
        <w:trPr>
          <w:cnfStyle w:val="000000010000" w:firstRow="0" w:lastRow="0" w:firstColumn="0" w:lastColumn="0" w:oddVBand="0" w:evenVBand="0" w:oddHBand="0" w:evenHBand="1" w:firstRowFirstColumn="0" w:firstRowLastColumn="0" w:lastRowFirstColumn="0" w:lastRowLastColumn="0"/>
        </w:trPr>
        <w:tc>
          <w:tcPr>
            <w:tcW w:w="2325" w:type="dxa"/>
          </w:tcPr>
          <w:p w:rsidR="00766BF9" w:rsidRPr="00693A4B" w:rsidRDefault="00766BF9" w:rsidP="00A20605">
            <w:pPr>
              <w:pStyle w:val="TableText"/>
              <w:rPr>
                <w:lang w:val="lv-LV"/>
              </w:rPr>
            </w:pPr>
            <w:r w:rsidRPr="00693A4B">
              <w:rPr>
                <w:lang w:val="lv-LV"/>
              </w:rPr>
              <w:t>Administrēšana un lietotāja darba vides nodrošināšana</w:t>
            </w:r>
          </w:p>
        </w:tc>
        <w:tc>
          <w:tcPr>
            <w:tcW w:w="6815" w:type="dxa"/>
          </w:tcPr>
          <w:p w:rsidR="00766BF9" w:rsidRPr="00693A4B" w:rsidRDefault="00766BF9" w:rsidP="00960B98">
            <w:pPr>
              <w:pStyle w:val="TableText"/>
              <w:tabs>
                <w:tab w:val="left" w:pos="2166"/>
              </w:tabs>
              <w:rPr>
                <w:lang w:val="lv-LV"/>
              </w:rPr>
            </w:pPr>
            <w:r>
              <w:rPr>
                <w:lang w:val="lv-LV"/>
              </w:rPr>
              <w:t>B</w:t>
            </w:r>
            <w:r w:rsidRPr="00693A4B">
              <w:rPr>
                <w:lang w:val="lv-LV"/>
              </w:rPr>
              <w:t>loks satur administratīvās funkcijas sistēmas parametru un sistēmas līmeņa klasifikatoru uzturēšanai, speciālo lietotāju tiesību administrēšanai (lomu piešķiršanai un atņemšanai), lietotājam specifiskas informācijas attēlošanai, kas atbilst gan lietotāja tiesībām sistēmā, gan uz lietotāju attiecināmajiem notikumiem, gan datu elementiem, ar kuriem lietotājs strādājis</w:t>
            </w:r>
            <w:r w:rsidR="00695C22">
              <w:rPr>
                <w:lang w:val="lv-LV"/>
              </w:rPr>
              <w:t>.</w:t>
            </w:r>
          </w:p>
        </w:tc>
      </w:tr>
    </w:tbl>
    <w:p w:rsidR="00777E33" w:rsidRPr="00777E33" w:rsidRDefault="00777E33">
      <w:pPr>
        <w:pStyle w:val="BodyText"/>
      </w:pPr>
    </w:p>
    <w:p w:rsidR="002C6C52" w:rsidRDefault="002C6C52" w:rsidP="002C6C52">
      <w:pPr>
        <w:pStyle w:val="Heading2"/>
      </w:pPr>
      <w:bookmarkStart w:id="9" w:name="_Toc388454842"/>
      <w:r>
        <w:t>Esošais tiesiskais regulējums</w:t>
      </w:r>
      <w:r w:rsidR="00401358">
        <w:t xml:space="preserve"> un politikas dokumenti</w:t>
      </w:r>
      <w:bookmarkEnd w:id="9"/>
    </w:p>
    <w:p w:rsidR="00401358" w:rsidRDefault="00401358" w:rsidP="00401358">
      <w:pPr>
        <w:pStyle w:val="Heading3"/>
      </w:pPr>
      <w:bookmarkStart w:id="10" w:name="_Toc388454843"/>
      <w:r>
        <w:t>Tiesiskais regulējums</w:t>
      </w:r>
      <w:bookmarkEnd w:id="10"/>
    </w:p>
    <w:p w:rsidR="004D3E77" w:rsidRDefault="004D3E77" w:rsidP="004D3E77">
      <w:pPr>
        <w:pStyle w:val="BodyText"/>
      </w:pPr>
      <w:r>
        <w:t>Izglītības sistēmu un esošos ar koncepcijas izstrādi saistītos procesus regulē šādi normatīvie akti.</w:t>
      </w:r>
    </w:p>
    <w:p w:rsidR="00CD486F" w:rsidRDefault="00CD486F" w:rsidP="00CD486F">
      <w:pPr>
        <w:pStyle w:val="BodyText"/>
        <w:rPr>
          <w:b/>
        </w:rPr>
      </w:pPr>
      <w:r w:rsidRPr="006441DC">
        <w:rPr>
          <w:b/>
        </w:rPr>
        <w:t>Valsts informācijas sistēmu likums</w:t>
      </w:r>
      <w:r>
        <w:rPr>
          <w:b/>
        </w:rPr>
        <w:t xml:space="preserve"> (spēkā no 2002.gada 5.jūnija)</w:t>
      </w:r>
    </w:p>
    <w:p w:rsidR="00CD486F" w:rsidRPr="00F914B3" w:rsidRDefault="00CD486F" w:rsidP="00CD486F">
      <w:pPr>
        <w:pStyle w:val="BodyText"/>
      </w:pPr>
      <w:r w:rsidRPr="00F914B3">
        <w:t>Likuma mērķis ir nodrošināt valsts un pašvaldību institūciju sniedzamās informācijas pieejamību un kvalitāti valsts informācijas sistēmās. Likums attiecas uz valsts informācijas sistēmām</w:t>
      </w:r>
      <w:r w:rsidR="007A486B">
        <w:t xml:space="preserve"> (t.sk., VIIS)</w:t>
      </w:r>
      <w:r w:rsidRPr="00F914B3">
        <w:t xml:space="preserve"> kuras lietojot tiek nodrošināta informācijas aprite normatīvajos aktos un Latvijai saistošos starptautiskajos līgumos noteikto funkciju izpildei.</w:t>
      </w:r>
    </w:p>
    <w:p w:rsidR="0022483F" w:rsidRDefault="0022483F" w:rsidP="0022483F">
      <w:pPr>
        <w:pStyle w:val="BodyText"/>
      </w:pPr>
      <w:r w:rsidRPr="004D3E77">
        <w:rPr>
          <w:b/>
        </w:rPr>
        <w:t>Izglītības</w:t>
      </w:r>
      <w:r w:rsidR="004D3E77" w:rsidRPr="004D3E77">
        <w:rPr>
          <w:b/>
        </w:rPr>
        <w:t xml:space="preserve"> </w:t>
      </w:r>
      <w:r w:rsidR="004D3E77" w:rsidRPr="00ED498B">
        <w:rPr>
          <w:b/>
        </w:rPr>
        <w:t xml:space="preserve">likums (spēkā no </w:t>
      </w:r>
      <w:r w:rsidR="004B5368" w:rsidRPr="00ED498B">
        <w:rPr>
          <w:b/>
        </w:rPr>
        <w:t>1998.</w:t>
      </w:r>
      <w:r w:rsidR="004B5368">
        <w:rPr>
          <w:b/>
        </w:rPr>
        <w:t xml:space="preserve">gada </w:t>
      </w:r>
      <w:r w:rsidR="004D3E77" w:rsidRPr="00ED498B">
        <w:rPr>
          <w:b/>
        </w:rPr>
        <w:t>29.</w:t>
      </w:r>
      <w:r w:rsidR="004B5368">
        <w:rPr>
          <w:b/>
        </w:rPr>
        <w:t>oktobra</w:t>
      </w:r>
      <w:r w:rsidR="004D3E77" w:rsidRPr="00ED498B">
        <w:rPr>
          <w:b/>
        </w:rPr>
        <w:t>)</w:t>
      </w:r>
    </w:p>
    <w:p w:rsidR="004D3E77" w:rsidRDefault="004D3E77" w:rsidP="0022483F">
      <w:pPr>
        <w:pStyle w:val="BodyText"/>
      </w:pPr>
      <w:r>
        <w:t>Likuma mērķis ir n</w:t>
      </w:r>
      <w:r w:rsidRPr="004D3E77">
        <w:t>odrošināt katram Latvijas iedzīvotājam iespēju attīstīt savu garīgo un fizisko potenciālu, lai veidotos par patstāvīgu un attīstītu personību, demokrātiskas Latvijas valsts un sabiedrības locekli</w:t>
      </w:r>
      <w:r>
        <w:t>.</w:t>
      </w:r>
    </w:p>
    <w:p w:rsidR="004D3E77" w:rsidRDefault="004D3E77" w:rsidP="0022483F">
      <w:pPr>
        <w:pStyle w:val="BodyText"/>
      </w:pPr>
      <w:r>
        <w:t>Izglītības likumā ir definēts VIIS status</w:t>
      </w:r>
      <w:r w:rsidR="00B00DC8">
        <w:t>s</w:t>
      </w:r>
      <w:r>
        <w:t xml:space="preserve">, nosakot, ka VIIS ir </w:t>
      </w:r>
      <w:r w:rsidRPr="004D3E77">
        <w:t>datubāze, kurā apkopota informācija par izglītības iestādēm, licencētām un akreditētām izglītības programmām, izglītojamiem, pedagogiem, augstskolu un koledžu akadēmisko personālu, izglītības d</w:t>
      </w:r>
      <w:r>
        <w:t>okumentiem un valsts statistiku.</w:t>
      </w:r>
    </w:p>
    <w:p w:rsidR="004D3E77" w:rsidRDefault="004D3E77" w:rsidP="0022483F">
      <w:pPr>
        <w:pStyle w:val="BodyText"/>
      </w:pPr>
      <w:r>
        <w:t xml:space="preserve">Tāpat likums nosaka </w:t>
      </w:r>
      <w:r w:rsidR="005E6CB4">
        <w:t xml:space="preserve">MK </w:t>
      </w:r>
      <w:r>
        <w:t xml:space="preserve">kompetenci noteikt VIIS </w:t>
      </w:r>
      <w:r w:rsidRPr="004D3E77">
        <w:t>saturu</w:t>
      </w:r>
      <w:r w:rsidR="00695C22">
        <w:t xml:space="preserve">, </w:t>
      </w:r>
      <w:r w:rsidRPr="004D3E77">
        <w:t>uzturēšanas un aktualizācijas kārtību</w:t>
      </w:r>
      <w:r>
        <w:t xml:space="preserve"> un IZM kompetenci nodrošināt VIIS uzturēšanu un aktualizāciju. Saskaņā ar Izglītības likumu Izglītības iestāžu reģistrs, Izglītības programmu reģistrs un Pedagogu reģistrs ir VIIS sastāvdaļa.</w:t>
      </w:r>
    </w:p>
    <w:p w:rsidR="0022483F" w:rsidRPr="007800A4" w:rsidRDefault="0022483F" w:rsidP="0022483F">
      <w:pPr>
        <w:pStyle w:val="BodyText"/>
      </w:pPr>
      <w:r w:rsidRPr="00CE5CCD">
        <w:rPr>
          <w:b/>
        </w:rPr>
        <w:lastRenderedPageBreak/>
        <w:t>Vispārējās</w:t>
      </w:r>
      <w:r w:rsidRPr="007800A4">
        <w:rPr>
          <w:b/>
        </w:rPr>
        <w:t xml:space="preserve"> izglītības</w:t>
      </w:r>
      <w:r w:rsidR="004D3E77" w:rsidRPr="007800A4">
        <w:rPr>
          <w:b/>
        </w:rPr>
        <w:t xml:space="preserve"> likums (</w:t>
      </w:r>
      <w:r w:rsidR="00657A96" w:rsidRPr="007800A4">
        <w:rPr>
          <w:b/>
        </w:rPr>
        <w:t>spēkā no</w:t>
      </w:r>
      <w:r w:rsidR="004D3E77" w:rsidRPr="007800A4">
        <w:rPr>
          <w:b/>
        </w:rPr>
        <w:t xml:space="preserve"> </w:t>
      </w:r>
      <w:r w:rsidR="004B5368" w:rsidRPr="007800A4">
        <w:rPr>
          <w:b/>
        </w:rPr>
        <w:t xml:space="preserve">1999.gada </w:t>
      </w:r>
      <w:r w:rsidR="004D3E77" w:rsidRPr="007800A4">
        <w:rPr>
          <w:b/>
        </w:rPr>
        <w:t>10.</w:t>
      </w:r>
      <w:r w:rsidR="004B5368" w:rsidRPr="007800A4">
        <w:rPr>
          <w:b/>
        </w:rPr>
        <w:t>jūnija</w:t>
      </w:r>
      <w:r w:rsidR="004D3E77" w:rsidRPr="007800A4">
        <w:rPr>
          <w:b/>
        </w:rPr>
        <w:t>)</w:t>
      </w:r>
    </w:p>
    <w:p w:rsidR="004D3E77" w:rsidRPr="007800A4" w:rsidRDefault="004D3E77" w:rsidP="0022483F">
      <w:pPr>
        <w:pStyle w:val="BodyText"/>
      </w:pPr>
      <w:r w:rsidRPr="007800A4">
        <w:t>Likuma mērķis ir reglamentēt valsts, pašvaldību izglītības iestāžu un citu vispārējās izglītības īstenošanas procesā iesaistīto personu darbību, noteikt to tiesības un pienākumus.</w:t>
      </w:r>
    </w:p>
    <w:p w:rsidR="00657A96" w:rsidRPr="007800A4" w:rsidRDefault="004D3E77" w:rsidP="0022483F">
      <w:pPr>
        <w:pStyle w:val="BodyText"/>
      </w:pPr>
      <w:r w:rsidRPr="007800A4">
        <w:t>Likums nosaka vispārējās izglītības organizācijas kārtību, vispārējās izglītības iestāžu darbības pamatus, vispārējās izglītības satura jautājumus. Tāpat likumā definētas vispārējās izglītības pakāpes (pirms</w:t>
      </w:r>
      <w:r w:rsidR="001D75E5" w:rsidRPr="007800A4">
        <w:t>s</w:t>
      </w:r>
      <w:r w:rsidRPr="007800A4">
        <w:t>kolas izglītības, pamatizglītīb</w:t>
      </w:r>
      <w:r w:rsidR="00657A96" w:rsidRPr="007800A4">
        <w:t>a, vispārējā vidējā izglītība) un vispārējās izglītības speciālās pakāpes (speciālā izglītība, sociālā un pedagoģiskā korekcija), kā arī vispārējās izglītības finansēšanas avoti un kārtība.</w:t>
      </w:r>
      <w:r w:rsidR="00B00DC8" w:rsidRPr="007800A4">
        <w:t xml:space="preserve"> </w:t>
      </w:r>
      <w:r w:rsidR="00FE0193" w:rsidRPr="007800A4">
        <w:t xml:space="preserve">Tā kā VIIS </w:t>
      </w:r>
      <w:r w:rsidR="007800A4" w:rsidRPr="007800A4">
        <w:t xml:space="preserve">tiek </w:t>
      </w:r>
      <w:r w:rsidR="00FE0193" w:rsidRPr="007800A4">
        <w:t>apkopota informācija par vispārējās izglītības iestādēm, izglītības programmām, izglītojamiem, pedagogiem un citiem ar vispārējās izglītības organizāciju saistītiem jautājumiem, l</w:t>
      </w:r>
      <w:r w:rsidR="007800A4" w:rsidRPr="007800A4">
        <w:t>ikuma regulējums ir būtisks, lai nodrošinātu VIIS darbību saskaņā ar spēkā esošo normatīvo bāzi.</w:t>
      </w:r>
    </w:p>
    <w:p w:rsidR="0022483F" w:rsidRPr="00ED498B" w:rsidRDefault="0022483F" w:rsidP="0022483F">
      <w:pPr>
        <w:pStyle w:val="BodyText"/>
        <w:rPr>
          <w:b/>
        </w:rPr>
      </w:pPr>
      <w:r w:rsidRPr="007800A4">
        <w:rPr>
          <w:b/>
        </w:rPr>
        <w:t>Profesionālās izglītības</w:t>
      </w:r>
      <w:r w:rsidR="00657A96" w:rsidRPr="007800A4">
        <w:rPr>
          <w:b/>
        </w:rPr>
        <w:t xml:space="preserve"> likums (spēkā no </w:t>
      </w:r>
      <w:r w:rsidR="004B5368" w:rsidRPr="007800A4">
        <w:rPr>
          <w:b/>
        </w:rPr>
        <w:t xml:space="preserve">1999.gada </w:t>
      </w:r>
      <w:r w:rsidR="00657A96" w:rsidRPr="007800A4">
        <w:rPr>
          <w:b/>
        </w:rPr>
        <w:t>10.</w:t>
      </w:r>
      <w:r w:rsidR="004B5368" w:rsidRPr="007800A4">
        <w:rPr>
          <w:b/>
        </w:rPr>
        <w:t>jūnija</w:t>
      </w:r>
      <w:r w:rsidR="00657A96" w:rsidRPr="007800A4">
        <w:rPr>
          <w:b/>
        </w:rPr>
        <w:t>)</w:t>
      </w:r>
    </w:p>
    <w:p w:rsidR="00657A96" w:rsidRDefault="00657A96" w:rsidP="0022483F">
      <w:pPr>
        <w:pStyle w:val="BodyText"/>
      </w:pPr>
      <w:r>
        <w:t xml:space="preserve">Likuma </w:t>
      </w:r>
      <w:r w:rsidRPr="00657A96">
        <w:t>mērķis ir nodrošināt valsts profesionālās izglītības politikas īstenošanu un profesionālās izglītības sistēmas darbību, vadību un attīstību.</w:t>
      </w:r>
    </w:p>
    <w:p w:rsidR="00657A96" w:rsidRDefault="00657A96" w:rsidP="0022483F">
      <w:pPr>
        <w:pStyle w:val="BodyText"/>
      </w:pPr>
      <w:r>
        <w:t xml:space="preserve">Likumā definētas profesionālās izglītības pakāpes, profesionālās kvalifikācijas līmeņi un izglītību apliecinošie dokumenti. </w:t>
      </w:r>
      <w:r w:rsidR="00695C22">
        <w:t>L</w:t>
      </w:r>
      <w:r>
        <w:t>ikums nosaka izglītības organizācijas kārtības jautājumus, profesionālās izglītības iestāžu darbības pamatus, nosaka profesionālās izglītības satura, kā arī profesionālās izglītības finansēšanas kārtības jautājumus.</w:t>
      </w:r>
      <w:r w:rsidR="007800A4" w:rsidRPr="007800A4">
        <w:t xml:space="preserve"> </w:t>
      </w:r>
      <w:r w:rsidR="007800A4">
        <w:t>Tā kā VIIS</w:t>
      </w:r>
      <w:r w:rsidR="007800A4" w:rsidRPr="00FE0193">
        <w:t xml:space="preserve"> </w:t>
      </w:r>
      <w:r w:rsidR="007800A4">
        <w:t xml:space="preserve">tiek </w:t>
      </w:r>
      <w:r w:rsidR="007800A4" w:rsidRPr="00FE0193">
        <w:t xml:space="preserve">apkopota informācija par </w:t>
      </w:r>
      <w:r w:rsidR="007800A4">
        <w:t xml:space="preserve">profesionālās  </w:t>
      </w:r>
      <w:r w:rsidR="007800A4" w:rsidRPr="00FE0193">
        <w:t>izglītības iestādēm, izglītības programmām, izglītojamiem, pedagogiem</w:t>
      </w:r>
      <w:r w:rsidR="007800A4">
        <w:t xml:space="preserve"> un citiem ar vispārējās izglītības organizāciju saistītiem jautājumiem, likuma regulējums ir būtisks, lai nodrošinātu VIIS darbību saskaņā ar spēkā esošo normatīvo bāzi.</w:t>
      </w:r>
    </w:p>
    <w:p w:rsidR="0022483F" w:rsidRDefault="0022483F" w:rsidP="0022483F">
      <w:pPr>
        <w:pStyle w:val="BodyText"/>
      </w:pPr>
      <w:r w:rsidRPr="00657A96">
        <w:rPr>
          <w:b/>
        </w:rPr>
        <w:t xml:space="preserve">Augstskolu </w:t>
      </w:r>
      <w:r w:rsidRPr="00ED498B">
        <w:rPr>
          <w:b/>
        </w:rPr>
        <w:t>likums (</w:t>
      </w:r>
      <w:r w:rsidR="00657A96" w:rsidRPr="00ED498B">
        <w:rPr>
          <w:b/>
        </w:rPr>
        <w:t>spēkā no</w:t>
      </w:r>
      <w:r w:rsidRPr="00ED498B">
        <w:rPr>
          <w:b/>
        </w:rPr>
        <w:t xml:space="preserve"> </w:t>
      </w:r>
      <w:r w:rsidR="004B5368" w:rsidRPr="00ED498B">
        <w:rPr>
          <w:b/>
        </w:rPr>
        <w:t>1995.</w:t>
      </w:r>
      <w:r w:rsidR="004B5368">
        <w:rPr>
          <w:b/>
        </w:rPr>
        <w:t xml:space="preserve">gada </w:t>
      </w:r>
      <w:r w:rsidRPr="00ED498B">
        <w:rPr>
          <w:b/>
        </w:rPr>
        <w:t>2.</w:t>
      </w:r>
      <w:r w:rsidR="004B5368">
        <w:rPr>
          <w:b/>
        </w:rPr>
        <w:t>novembra</w:t>
      </w:r>
      <w:r w:rsidRPr="00ED498B">
        <w:rPr>
          <w:b/>
        </w:rPr>
        <w:t>)</w:t>
      </w:r>
    </w:p>
    <w:p w:rsidR="00657A96" w:rsidRDefault="00657A96" w:rsidP="0022483F">
      <w:pPr>
        <w:pStyle w:val="BodyText"/>
      </w:pPr>
      <w:r>
        <w:t>Augstskolu likums</w:t>
      </w:r>
      <w:r w:rsidRPr="00657A96">
        <w:t xml:space="preserve"> regulē augstskolu un koledžu darbības tiesisko pamatu, nosaka un aizsargā augstskolu autonomiju</w:t>
      </w:r>
      <w:r>
        <w:t>. Likums r</w:t>
      </w:r>
      <w:r w:rsidRPr="00657A96">
        <w:t>eglamentē augstskolu un valsts institūciju sadarbību, lai saskaņotu augstskolu autonomiju ar sabiedrības un valsts interesēm</w:t>
      </w:r>
      <w:r>
        <w:t>.</w:t>
      </w:r>
    </w:p>
    <w:p w:rsidR="00657A96" w:rsidRDefault="00C25D3C" w:rsidP="0022483F">
      <w:pPr>
        <w:pStyle w:val="BodyText"/>
      </w:pPr>
      <w:r>
        <w:t>Likums nosaka a</w:t>
      </w:r>
      <w:r w:rsidRPr="00C25D3C">
        <w:t>ugstskolu dibināšana</w:t>
      </w:r>
      <w:r>
        <w:t>s</w:t>
      </w:r>
      <w:r w:rsidRPr="00C25D3C">
        <w:t>, reorganizācija</w:t>
      </w:r>
      <w:r>
        <w:t>s</w:t>
      </w:r>
      <w:r w:rsidRPr="00C25D3C">
        <w:t xml:space="preserve"> un to </w:t>
      </w:r>
      <w:r>
        <w:t>darbības tiesisko pamatu, definē augstskolu pašpārvaldi</w:t>
      </w:r>
      <w:r w:rsidRPr="00C25D3C">
        <w:t xml:space="preserve"> un struktūrvienības</w:t>
      </w:r>
      <w:r>
        <w:t>, augstskolas personālu, augstskolās un koledžās studējošos</w:t>
      </w:r>
      <w:r w:rsidR="00695C22">
        <w:t xml:space="preserve"> un </w:t>
      </w:r>
      <w:r>
        <w:t xml:space="preserve">studiju programmu jautājumus. Tāpat likumā definēta zinātniskā pētniecība kā </w:t>
      </w:r>
      <w:r w:rsidRPr="00C25D3C">
        <w:t>augstskolas darba neatņemama sastāvdaļa</w:t>
      </w:r>
      <w:r>
        <w:t>. Likums nosaka arī a</w:t>
      </w:r>
      <w:r w:rsidRPr="00C25D3C">
        <w:t>ugstskolu sadarbīb</w:t>
      </w:r>
      <w:r>
        <w:t>u</w:t>
      </w:r>
      <w:r w:rsidRPr="00C25D3C">
        <w:t xml:space="preserve"> ar valsts un sabiedriskajām institūcijām</w:t>
      </w:r>
      <w:r>
        <w:t>, Augstākās izglītības padomes statusu un darbības pamatus, kā arī augstskolu īpašumu, budžetu un saimnieciskās darbības pamatus.</w:t>
      </w:r>
    </w:p>
    <w:p w:rsidR="00C25D3C" w:rsidRDefault="00C25D3C" w:rsidP="0022483F">
      <w:pPr>
        <w:pStyle w:val="BodyText"/>
      </w:pPr>
      <w:r>
        <w:t xml:space="preserve">Likums nosaka, ka </w:t>
      </w:r>
      <w:r w:rsidRPr="00A36DE0">
        <w:t xml:space="preserve">Akadēmiskā personāla reģistrs, kurā tiek ierakstītas ziņas par personām, kuras ieņem akadēmiskos amatus augstskolās un koledžās, ir </w:t>
      </w:r>
      <w:r w:rsidR="004B5368">
        <w:t>VIIS</w:t>
      </w:r>
      <w:r w:rsidRPr="00A36DE0">
        <w:t xml:space="preserve"> </w:t>
      </w:r>
      <w:r w:rsidRPr="00C25D3C">
        <w:t>sastāvd</w:t>
      </w:r>
      <w:r>
        <w:t>aļa.</w:t>
      </w:r>
    </w:p>
    <w:p w:rsidR="0015422D" w:rsidRPr="0015422D" w:rsidRDefault="0015422D" w:rsidP="0022483F">
      <w:pPr>
        <w:pStyle w:val="BodyText"/>
        <w:rPr>
          <w:b/>
        </w:rPr>
      </w:pPr>
      <w:r w:rsidRPr="0015422D">
        <w:rPr>
          <w:b/>
        </w:rPr>
        <w:t xml:space="preserve">2003.gada 16.septembra </w:t>
      </w:r>
      <w:r w:rsidR="005E6CB4">
        <w:rPr>
          <w:b/>
        </w:rPr>
        <w:t>MK</w:t>
      </w:r>
      <w:r w:rsidRPr="0015422D">
        <w:rPr>
          <w:b/>
        </w:rPr>
        <w:t xml:space="preserve"> noteikumi Nr.528 „Izglītības </w:t>
      </w:r>
      <w:r w:rsidRPr="00CE5CCD">
        <w:rPr>
          <w:b/>
        </w:rPr>
        <w:t xml:space="preserve">un zinātnes </w:t>
      </w:r>
      <w:r w:rsidRPr="007800A4">
        <w:rPr>
          <w:b/>
        </w:rPr>
        <w:t>ministrijas nolikums”</w:t>
      </w:r>
    </w:p>
    <w:p w:rsidR="0015422D" w:rsidRDefault="0015422D" w:rsidP="0022483F">
      <w:pPr>
        <w:pStyle w:val="BodyText"/>
      </w:pPr>
      <w:r>
        <w:t>Noteikumi nosaka IZM funkcijas, uzdevumus un kompetences, IZM struktūru un amatpersonu kompetences, kā arī apkopo IZM padotībā esoš</w:t>
      </w:r>
      <w:r w:rsidR="004B5368">
        <w:t>o</w:t>
      </w:r>
      <w:r>
        <w:t xml:space="preserve"> valsts pārvaldes iestā</w:t>
      </w:r>
      <w:r w:rsidR="004B5368">
        <w:t>žu</w:t>
      </w:r>
      <w:r>
        <w:t>, kapitālsabiedrīb</w:t>
      </w:r>
      <w:r w:rsidR="004B5368">
        <w:t>u</w:t>
      </w:r>
      <w:r>
        <w:t>, kurās IZM ir valsts kapitāla daļu turētāja</w:t>
      </w:r>
      <w:r w:rsidR="004B5368">
        <w:t>, uzskaitījumu</w:t>
      </w:r>
      <w:r>
        <w:t>.</w:t>
      </w:r>
      <w:r w:rsidR="007800A4">
        <w:t xml:space="preserve"> Atbilstoši nolikumam IZM funkcijas, uzdevumi un kompetence ietver izglītības informatizācijas sistēmas, t.sk. VIIS pilnveides nodrošināšanu.</w:t>
      </w:r>
    </w:p>
    <w:p w:rsidR="005157E9" w:rsidRPr="005157E9" w:rsidRDefault="005157E9" w:rsidP="005157E9">
      <w:pPr>
        <w:pStyle w:val="BodyText"/>
        <w:rPr>
          <w:b/>
        </w:rPr>
      </w:pPr>
      <w:r w:rsidRPr="005157E9">
        <w:rPr>
          <w:b/>
        </w:rPr>
        <w:t xml:space="preserve">2010.gada 17.augusta </w:t>
      </w:r>
      <w:r w:rsidR="005E6CB4">
        <w:rPr>
          <w:b/>
        </w:rPr>
        <w:t>MK</w:t>
      </w:r>
      <w:r w:rsidRPr="005157E9">
        <w:rPr>
          <w:b/>
        </w:rPr>
        <w:t xml:space="preserve"> noteikumi Nr.788 „Valsts izglītības informācijas sistēmas saturs, uzturēšanas un aktualizācijas kārtība”</w:t>
      </w:r>
    </w:p>
    <w:p w:rsidR="005157E9" w:rsidRDefault="005157E9" w:rsidP="005157E9">
      <w:pPr>
        <w:pStyle w:val="BodyText"/>
      </w:pPr>
      <w:r>
        <w:t>N</w:t>
      </w:r>
      <w:r w:rsidRPr="005157E9">
        <w:t xml:space="preserve">oteikumi nosaka </w:t>
      </w:r>
      <w:r>
        <w:t>VIIS</w:t>
      </w:r>
      <w:r w:rsidRPr="005157E9">
        <w:t xml:space="preserve"> saturu, uzturē</w:t>
      </w:r>
      <w:r>
        <w:t>šanas un aktualizācijas kārtību, definējot informāciju, kāda VIIS reģistros iekļaujama par izglītības iestādi, izglītības programmu, izglītojamo, pedagogu, kā arī citu VIIS iekļaujamo ziņu saturu.</w:t>
      </w:r>
    </w:p>
    <w:p w:rsidR="005157E9" w:rsidRDefault="005157E9" w:rsidP="005157E9">
      <w:pPr>
        <w:pStyle w:val="BodyText"/>
      </w:pPr>
      <w:r>
        <w:t>Atbilstoši noteikumiem p</w:t>
      </w:r>
      <w:r w:rsidRPr="005157E9">
        <w:t xml:space="preserve">ar informācijas ievadīšanu un aktualizēšanu sistēmā atbild </w:t>
      </w:r>
      <w:r w:rsidR="005E6CB4">
        <w:t>IZM</w:t>
      </w:r>
      <w:r w:rsidRPr="005157E9">
        <w:t xml:space="preserve">, </w:t>
      </w:r>
      <w:r w:rsidR="005E6CB4">
        <w:t>IKVD</w:t>
      </w:r>
      <w:r w:rsidRPr="005157E9">
        <w:t xml:space="preserve">, pašvaldības un izglītības </w:t>
      </w:r>
      <w:r>
        <w:t xml:space="preserve">iestādes atbilstoši kompetencei, savukārt VIIS </w:t>
      </w:r>
      <w:r w:rsidRPr="005157E9">
        <w:t>tehnisko resursu uzturēšanu un informācijas arhivēšanu nodrošina</w:t>
      </w:r>
      <w:r>
        <w:t xml:space="preserve"> IZM.</w:t>
      </w:r>
    </w:p>
    <w:p w:rsidR="007C2A12" w:rsidRPr="00C25D3C" w:rsidRDefault="007C2A12" w:rsidP="007C2A12">
      <w:pPr>
        <w:pStyle w:val="BodyText"/>
        <w:rPr>
          <w:b/>
        </w:rPr>
      </w:pPr>
      <w:r w:rsidRPr="00C25D3C">
        <w:rPr>
          <w:b/>
        </w:rPr>
        <w:t xml:space="preserve">2008. gada 12. jūnija </w:t>
      </w:r>
      <w:r w:rsidR="005E6CB4">
        <w:rPr>
          <w:b/>
        </w:rPr>
        <w:t>MK</w:t>
      </w:r>
      <w:r w:rsidRPr="00C25D3C">
        <w:rPr>
          <w:b/>
        </w:rPr>
        <w:t xml:space="preserve"> noteikumi Nr.990 „Noteikumi par Latvijas </w:t>
      </w:r>
      <w:r w:rsidRPr="00CE5CCD">
        <w:rPr>
          <w:b/>
        </w:rPr>
        <w:t xml:space="preserve">izglītības </w:t>
      </w:r>
      <w:r w:rsidRPr="002E550C">
        <w:rPr>
          <w:b/>
        </w:rPr>
        <w:t>klasifikāciju”</w:t>
      </w:r>
    </w:p>
    <w:p w:rsidR="00C25D3C" w:rsidRDefault="00C25D3C" w:rsidP="007C2A12">
      <w:pPr>
        <w:pStyle w:val="BodyText"/>
      </w:pPr>
      <w:r>
        <w:t xml:space="preserve">Noteikumi nosaka Latvijas izglītības klasifikāciju, nosakot līmeņus, kas veido izglītības klasifikācijas struktūru, kā arī </w:t>
      </w:r>
      <w:r w:rsidR="002E2682">
        <w:t>to atbilstību E</w:t>
      </w:r>
      <w:r w:rsidR="002E2682" w:rsidRPr="002E2682">
        <w:t>irop</w:t>
      </w:r>
      <w:r w:rsidR="002E2682">
        <w:t xml:space="preserve">as kvalifikāciju </w:t>
      </w:r>
      <w:proofErr w:type="spellStart"/>
      <w:r w:rsidR="002E2682">
        <w:t>ietvarstruktūras</w:t>
      </w:r>
      <w:proofErr w:type="spellEnd"/>
      <w:r w:rsidR="002E2682">
        <w:t xml:space="preserve"> līmeņiem.</w:t>
      </w:r>
      <w:r w:rsidR="007800A4">
        <w:t xml:space="preserve"> VIIS</w:t>
      </w:r>
      <w:r w:rsidR="002E550C">
        <w:t xml:space="preserve"> informācija par izglītības līmeņiem tiek uzkrāta saskaņā ar šiem noteikumiem.</w:t>
      </w:r>
    </w:p>
    <w:p w:rsidR="002E550C" w:rsidRDefault="002E550C" w:rsidP="007C2A12">
      <w:pPr>
        <w:pStyle w:val="BodyText"/>
      </w:pPr>
    </w:p>
    <w:p w:rsidR="00366B87" w:rsidRPr="00366B87" w:rsidRDefault="00366B87" w:rsidP="007C2A12">
      <w:pPr>
        <w:pStyle w:val="BodyText"/>
        <w:rPr>
          <w:b/>
        </w:rPr>
      </w:pPr>
      <w:r>
        <w:rPr>
          <w:b/>
        </w:rPr>
        <w:lastRenderedPageBreak/>
        <w:t xml:space="preserve">2004.gada 23.novembra </w:t>
      </w:r>
      <w:r w:rsidR="005E6CB4">
        <w:rPr>
          <w:b/>
        </w:rPr>
        <w:t>MK</w:t>
      </w:r>
      <w:r>
        <w:rPr>
          <w:b/>
        </w:rPr>
        <w:t xml:space="preserve"> </w:t>
      </w:r>
      <w:r w:rsidRPr="00366B87">
        <w:rPr>
          <w:b/>
        </w:rPr>
        <w:t xml:space="preserve">noteikumi Nr.965 „Izglītības iestāžu </w:t>
      </w:r>
      <w:r w:rsidRPr="00CE5CCD">
        <w:rPr>
          <w:b/>
        </w:rPr>
        <w:t>reģistrācijas kārtība</w:t>
      </w:r>
      <w:r w:rsidRPr="002E550C">
        <w:rPr>
          <w:b/>
        </w:rPr>
        <w:t>”</w:t>
      </w:r>
    </w:p>
    <w:p w:rsidR="00366B87" w:rsidRDefault="00366B87" w:rsidP="007C2A12">
      <w:pPr>
        <w:pStyle w:val="BodyText"/>
      </w:pPr>
      <w:r w:rsidRPr="00366B87">
        <w:t>Noteikumi nosaka izglītības iestāžu (izņemot augstskol</w:t>
      </w:r>
      <w:r w:rsidR="004B5368">
        <w:t>u</w:t>
      </w:r>
      <w:r w:rsidRPr="00366B87">
        <w:t xml:space="preserve"> un to filiā</w:t>
      </w:r>
      <w:r w:rsidR="004B5368">
        <w:t>ļu</w:t>
      </w:r>
      <w:r w:rsidRPr="00366B87">
        <w:t>) reģistrācijas kārtību</w:t>
      </w:r>
      <w:r w:rsidR="002E550C">
        <w:t>, kā arī Izglītības iestāžu reģistrā iekļaujamo informāciju</w:t>
      </w:r>
      <w:r w:rsidRPr="00366B87">
        <w:t>.</w:t>
      </w:r>
      <w:r w:rsidR="002E550C">
        <w:t xml:space="preserve"> Izglītības iestāžu reģistrs ir VIIS sastāvdaļa.</w:t>
      </w:r>
    </w:p>
    <w:p w:rsidR="007C2A12" w:rsidRPr="002E2682" w:rsidRDefault="007C2A12" w:rsidP="007C2A12">
      <w:pPr>
        <w:pStyle w:val="BodyText"/>
        <w:rPr>
          <w:b/>
        </w:rPr>
      </w:pPr>
      <w:r w:rsidRPr="002E2682">
        <w:rPr>
          <w:b/>
        </w:rPr>
        <w:t xml:space="preserve">2010.gada 14.septembra </w:t>
      </w:r>
      <w:r w:rsidR="005E6CB4">
        <w:rPr>
          <w:b/>
        </w:rPr>
        <w:t>MK</w:t>
      </w:r>
      <w:r w:rsidRPr="002E2682">
        <w:rPr>
          <w:b/>
        </w:rPr>
        <w:t xml:space="preserve"> noteikumi Nr.852 „Kārtība, </w:t>
      </w:r>
      <w:r w:rsidRPr="00CE5CCD">
        <w:rPr>
          <w:b/>
        </w:rPr>
        <w:t xml:space="preserve">kādā akreditē vispārējās un profesionālās izglītības programmas, izglītības iestādes un eksaminācijas </w:t>
      </w:r>
      <w:r w:rsidRPr="002E550C">
        <w:rPr>
          <w:b/>
        </w:rPr>
        <w:t>centrus”</w:t>
      </w:r>
    </w:p>
    <w:p w:rsidR="0061488D" w:rsidRDefault="0061488D" w:rsidP="007C2A12">
      <w:pPr>
        <w:pStyle w:val="BodyText"/>
      </w:pPr>
      <w:r>
        <w:t>N</w:t>
      </w:r>
      <w:r w:rsidRPr="0061488D">
        <w:t>oteikumi nosaka kārtību, kādā akreditē</w:t>
      </w:r>
      <w:r>
        <w:t xml:space="preserve"> </w:t>
      </w:r>
      <w:r w:rsidRPr="0061488D">
        <w:t>vispārējās un profesionālās izglītības programmas</w:t>
      </w:r>
      <w:r>
        <w:t xml:space="preserve">, </w:t>
      </w:r>
      <w:r w:rsidRPr="0061488D">
        <w:t>izglītības iestādes</w:t>
      </w:r>
      <w:r>
        <w:t xml:space="preserve"> (</w:t>
      </w:r>
      <w:r w:rsidRPr="0061488D">
        <w:t>izņemot pirmsskolas izglītības ie</w:t>
      </w:r>
      <w:r>
        <w:t xml:space="preserve">stādes, augstskolas un koledžas) un </w:t>
      </w:r>
      <w:r w:rsidRPr="0061488D">
        <w:t>eksaminācijas centrus, kuros kārtojami centralizētie profesionālās kvalifikācijas eksāmen</w:t>
      </w:r>
      <w:r>
        <w:t>i. Noteikumi regulē a</w:t>
      </w:r>
      <w:r w:rsidRPr="0061488D">
        <w:t>k</w:t>
      </w:r>
      <w:r>
        <w:t>reditācijas norises organizēšanas kārtību, ekspertu komisijas izveidi un kārtību, akreditācijas komisijas izveidi un darbību, kā arī akreditācijas finansēšanas kartību.</w:t>
      </w:r>
      <w:r w:rsidR="002E550C">
        <w:t xml:space="preserve"> Informācija par akreditētām vispārējās un profesionālās izglītības programmām un izglītības iestādēm tiek iekļauta VIIS.</w:t>
      </w:r>
    </w:p>
    <w:p w:rsidR="00366B87" w:rsidRPr="0061488D" w:rsidRDefault="00366B87" w:rsidP="00366B87">
      <w:pPr>
        <w:pStyle w:val="BodyText"/>
        <w:rPr>
          <w:b/>
        </w:rPr>
      </w:pPr>
      <w:r w:rsidRPr="00CE5CCD">
        <w:rPr>
          <w:b/>
        </w:rPr>
        <w:t xml:space="preserve">2009. gada 14. jūlija </w:t>
      </w:r>
      <w:r w:rsidR="005E6CB4" w:rsidRPr="00CE5CCD">
        <w:rPr>
          <w:b/>
        </w:rPr>
        <w:t>MK</w:t>
      </w:r>
      <w:r w:rsidRPr="002E550C">
        <w:rPr>
          <w:b/>
        </w:rPr>
        <w:t xml:space="preserve"> noteikumi Nr.775 „Vispārējās un profesionālās izglītības programmu licencēšanas kārtība”</w:t>
      </w:r>
    </w:p>
    <w:p w:rsidR="00366B87" w:rsidRPr="002E550C" w:rsidRDefault="00366B87" w:rsidP="00366B87">
      <w:pPr>
        <w:pStyle w:val="BodyText"/>
      </w:pPr>
      <w:r w:rsidRPr="0061488D">
        <w:t>Noteikumi nosaka kārtību, kādā licencējamas vispārējās izglītības, profesionālās pamatizglītības, arodizglītības, profesionālās vidējās izglītības, profesionālās ievirzes izglītības, profesionālās pilnveides un profesionālās tālākizglītības programmas</w:t>
      </w:r>
      <w:r>
        <w:t>.</w:t>
      </w:r>
      <w:r w:rsidR="002E550C" w:rsidRPr="002E550C">
        <w:t xml:space="preserve"> </w:t>
      </w:r>
      <w:r w:rsidR="002E550C">
        <w:t xml:space="preserve">Informācija par licencētām vispārējās un profesionālās </w:t>
      </w:r>
      <w:r w:rsidR="002E550C" w:rsidRPr="00CE5CCD">
        <w:t>izglīt</w:t>
      </w:r>
      <w:r w:rsidR="002E550C" w:rsidRPr="002E550C">
        <w:t>ības programmām tiek iekļauta VIIS.</w:t>
      </w:r>
    </w:p>
    <w:p w:rsidR="0061488D" w:rsidRPr="002E550C" w:rsidRDefault="0061488D" w:rsidP="0061488D">
      <w:pPr>
        <w:pStyle w:val="BodyText"/>
        <w:rPr>
          <w:b/>
        </w:rPr>
      </w:pPr>
      <w:r w:rsidRPr="002E550C">
        <w:rPr>
          <w:b/>
        </w:rPr>
        <w:t xml:space="preserve">2013.gada 6.augusta </w:t>
      </w:r>
      <w:r w:rsidR="005E6CB4" w:rsidRPr="002E550C">
        <w:rPr>
          <w:b/>
        </w:rPr>
        <w:t>MK</w:t>
      </w:r>
      <w:r w:rsidRPr="002E550C">
        <w:rPr>
          <w:b/>
        </w:rPr>
        <w:t xml:space="preserve"> noteikumi Nr.530 „Noteikumi par valsts pamatizglītības standartu, pamatizglītības mācību priekšmetu standartiem un pamatizglītības programmu paraugiem”</w:t>
      </w:r>
    </w:p>
    <w:p w:rsidR="002E550C" w:rsidRPr="002E550C" w:rsidRDefault="0061488D" w:rsidP="002E550C">
      <w:pPr>
        <w:pStyle w:val="BodyText"/>
      </w:pPr>
      <w:r w:rsidRPr="002E550C">
        <w:t>Noteikumi nosaka valsts standartu pamatizglītībā, pamatizglītības mācību priekšmetu standartus, kā arī pamatizglītības programmu paraugus atbilstoši izglītības ieguves formām un izglītības programmu īpašajiem veidiem.</w:t>
      </w:r>
      <w:r w:rsidR="002E550C" w:rsidRPr="002E550C">
        <w:t xml:space="preserve"> Tā kā VIIS tiek apkopota informācija par pamatizglītības programmām, noteikumu regulējums ir būtisks, lai nodrošinātu VIIS darbību saskaņā ar spēkā esošo normatīvo bāzi.</w:t>
      </w:r>
    </w:p>
    <w:p w:rsidR="007C2A12" w:rsidRPr="002E550C" w:rsidRDefault="007C2A12" w:rsidP="007C2A12">
      <w:pPr>
        <w:pStyle w:val="BodyText"/>
        <w:rPr>
          <w:b/>
        </w:rPr>
      </w:pPr>
      <w:r w:rsidRPr="002E550C">
        <w:rPr>
          <w:b/>
        </w:rPr>
        <w:t xml:space="preserve">2013.gada 21.maija </w:t>
      </w:r>
      <w:r w:rsidR="005E6CB4" w:rsidRPr="002E550C">
        <w:rPr>
          <w:b/>
        </w:rPr>
        <w:t>MK</w:t>
      </w:r>
      <w:r w:rsidRPr="002E550C">
        <w:rPr>
          <w:b/>
        </w:rPr>
        <w:t xml:space="preserve"> noteikumi Nr.281 „Noteikumi par valsts vispārējās vidējās izglītības standartu, mācību priekšmetu standartiem un izglītības programmu paraugiem”</w:t>
      </w:r>
    </w:p>
    <w:p w:rsidR="0061488D" w:rsidRDefault="0061488D" w:rsidP="007C2A12">
      <w:pPr>
        <w:pStyle w:val="BodyText"/>
      </w:pPr>
      <w:r w:rsidRPr="002E550C">
        <w:t xml:space="preserve">Noteikumi nosaka valsts vispārējās vidējās izglītības standartu, vispārējās vidējās izglītības mācību priekšmetu standartus, kā arī valsts vispārējās vidējās izglītības standarta prasībām atbilstošus izglītības programmu paraugus atbilstoši izglītības programmu virzieniem, izglītības ieguves formām un izglītības programmu veidiem. </w:t>
      </w:r>
      <w:r w:rsidR="002E550C" w:rsidRPr="002E550C">
        <w:t>Tā kā VIIS tiek apkopota informācija par vispārējās vidējās programmām,</w:t>
      </w:r>
      <w:r w:rsidR="002E550C">
        <w:t xml:space="preserve"> noteikumu regulējums ir būtisks, lai nodrošinātu VIIS darbību saskaņā ar spēkā esošo normatīvo bāzi.</w:t>
      </w:r>
    </w:p>
    <w:p w:rsidR="007C2A12" w:rsidRPr="002E550C" w:rsidRDefault="007C2A12" w:rsidP="007C2A12">
      <w:pPr>
        <w:pStyle w:val="BodyText"/>
        <w:rPr>
          <w:b/>
        </w:rPr>
      </w:pPr>
      <w:r w:rsidRPr="0061488D">
        <w:rPr>
          <w:b/>
        </w:rPr>
        <w:t xml:space="preserve">2000. gada </w:t>
      </w:r>
      <w:r w:rsidR="002743FC" w:rsidRPr="0061488D">
        <w:rPr>
          <w:b/>
        </w:rPr>
        <w:t>27.jūnija</w:t>
      </w:r>
      <w:r w:rsidRPr="0061488D">
        <w:rPr>
          <w:b/>
        </w:rPr>
        <w:t xml:space="preserve"> </w:t>
      </w:r>
      <w:r w:rsidR="005E6CB4">
        <w:rPr>
          <w:b/>
        </w:rPr>
        <w:t>MK</w:t>
      </w:r>
      <w:r w:rsidRPr="0061488D">
        <w:rPr>
          <w:b/>
        </w:rPr>
        <w:t xml:space="preserve"> </w:t>
      </w:r>
      <w:r w:rsidRPr="00CE5CCD">
        <w:rPr>
          <w:b/>
        </w:rPr>
        <w:t>noteikumi Nr.211 „Noteikumi</w:t>
      </w:r>
      <w:r w:rsidRPr="002E550C">
        <w:rPr>
          <w:b/>
        </w:rPr>
        <w:t xml:space="preserve"> par valsts profesionālās vidējās izglītības standartu un v</w:t>
      </w:r>
      <w:r w:rsidR="002743FC" w:rsidRPr="002E550C">
        <w:rPr>
          <w:b/>
        </w:rPr>
        <w:t>alsts arodizglītības standartu”</w:t>
      </w:r>
    </w:p>
    <w:p w:rsidR="0061488D" w:rsidRDefault="0061488D" w:rsidP="002743FC">
      <w:pPr>
        <w:pStyle w:val="BodyText"/>
      </w:pPr>
      <w:r w:rsidRPr="002E550C">
        <w:t>Noteikumi nosaka valsts profesionālās vidējās izglītības standartu un valsts arodizglītības standartu.</w:t>
      </w:r>
      <w:r w:rsidR="002E550C" w:rsidRPr="002E550C">
        <w:t xml:space="preserve"> Tā kā VIIS tiek apkopota informācija par profesionālās vidējās un arodizglītības programmām</w:t>
      </w:r>
      <w:r w:rsidR="002E550C">
        <w:t xml:space="preserve"> </w:t>
      </w:r>
      <w:proofErr w:type="spellStart"/>
      <w:r w:rsidR="002E550C">
        <w:t>programmām</w:t>
      </w:r>
      <w:proofErr w:type="spellEnd"/>
      <w:r w:rsidR="002E550C">
        <w:t>, noteikumu regulējums ir būtisks, lai nodrošinātu VIIS darbību saskaņā ar spēkā esošo normatīvo bāzi.</w:t>
      </w:r>
    </w:p>
    <w:p w:rsidR="007C2A12" w:rsidRPr="00ED498B" w:rsidRDefault="00ED498B" w:rsidP="007C2A12">
      <w:pPr>
        <w:pStyle w:val="BodyText"/>
        <w:rPr>
          <w:b/>
        </w:rPr>
      </w:pPr>
      <w:r w:rsidRPr="00ED498B">
        <w:rPr>
          <w:b/>
        </w:rPr>
        <w:t xml:space="preserve">2013.gada 20.augusta </w:t>
      </w:r>
      <w:r w:rsidR="005E6CB4">
        <w:rPr>
          <w:b/>
        </w:rPr>
        <w:t>MK</w:t>
      </w:r>
      <w:r w:rsidR="00366B87" w:rsidRPr="00ED498B">
        <w:rPr>
          <w:b/>
        </w:rPr>
        <w:t xml:space="preserve"> </w:t>
      </w:r>
      <w:r w:rsidRPr="00ED498B">
        <w:rPr>
          <w:b/>
        </w:rPr>
        <w:t>noteikumi Nr.596</w:t>
      </w:r>
      <w:r w:rsidR="007C2A12" w:rsidRPr="00ED498B">
        <w:rPr>
          <w:b/>
        </w:rPr>
        <w:t xml:space="preserve"> </w:t>
      </w:r>
      <w:r w:rsidR="004B5368">
        <w:rPr>
          <w:b/>
        </w:rPr>
        <w:t>„</w:t>
      </w:r>
      <w:r w:rsidRPr="00ED498B">
        <w:rPr>
          <w:b/>
        </w:rPr>
        <w:t>Noteikumi par valsts statistikas pārskatu veidlapu paraugiem izglītības jomā</w:t>
      </w:r>
      <w:r w:rsidR="002743FC" w:rsidRPr="00ED498B">
        <w:rPr>
          <w:b/>
        </w:rPr>
        <w:t>"</w:t>
      </w:r>
    </w:p>
    <w:p w:rsidR="00ED498B" w:rsidRDefault="00ED498B" w:rsidP="007C2A12">
      <w:pPr>
        <w:pStyle w:val="BodyText"/>
      </w:pPr>
      <w:r>
        <w:t>N</w:t>
      </w:r>
      <w:r w:rsidRPr="00ED498B">
        <w:t>oteikumi nosaka valsts statistikas pārskatu veidlapas izglītības jomā, kā arī to iesniegšanas un aizpildīšanas kārtību.</w:t>
      </w:r>
      <w:r>
        <w:t xml:space="preserve"> Noteikumi apstiprina šādas valsts statistikas pārskatu veidlapas izglītības jomā: v</w:t>
      </w:r>
      <w:r w:rsidRPr="00ED498B">
        <w:t>ispārējās izglītības iestādes pārskats</w:t>
      </w:r>
      <w:r>
        <w:t>, p</w:t>
      </w:r>
      <w:r w:rsidRPr="00ED498B">
        <w:t>irmsskolas izglītības iestādes pārskats</w:t>
      </w:r>
      <w:r>
        <w:t>, i</w:t>
      </w:r>
      <w:r w:rsidRPr="00ED498B">
        <w:t>zglītības iestādē īstenoto interešu izglītības programmu pārskats</w:t>
      </w:r>
      <w:r>
        <w:t xml:space="preserve"> un p</w:t>
      </w:r>
      <w:r w:rsidRPr="00ED498B">
        <w:t>rofesionālās ievirzes sporta izglītības iestādes pārskats</w:t>
      </w:r>
      <w:r>
        <w:t>.</w:t>
      </w:r>
    </w:p>
    <w:p w:rsidR="007C2A12" w:rsidRDefault="00ED498B" w:rsidP="00401358">
      <w:pPr>
        <w:pStyle w:val="BodyText"/>
      </w:pPr>
      <w:r>
        <w:t>Noteikumi nosaka, ka v</w:t>
      </w:r>
      <w:r w:rsidRPr="00ED498B">
        <w:t xml:space="preserve">alsts statistikas pārskatus izglītības jomā respondenti iesniedz elektroniski, </w:t>
      </w:r>
      <w:r w:rsidR="004B5368" w:rsidRPr="00ED498B">
        <w:t xml:space="preserve">datus </w:t>
      </w:r>
      <w:r w:rsidRPr="00ED498B">
        <w:t xml:space="preserve">ievadot </w:t>
      </w:r>
      <w:r>
        <w:t>VIIS.</w:t>
      </w:r>
    </w:p>
    <w:p w:rsidR="00366B87" w:rsidRPr="00D05765" w:rsidRDefault="00366B87" w:rsidP="00401358">
      <w:pPr>
        <w:pStyle w:val="BodyText"/>
        <w:rPr>
          <w:b/>
        </w:rPr>
      </w:pPr>
      <w:r w:rsidRPr="00CE5CCD">
        <w:rPr>
          <w:b/>
        </w:rPr>
        <w:t>20</w:t>
      </w:r>
      <w:r w:rsidRPr="00D05765">
        <w:rPr>
          <w:b/>
        </w:rPr>
        <w:t xml:space="preserve">09.gada 28.jūlija </w:t>
      </w:r>
      <w:r w:rsidR="005E6CB4" w:rsidRPr="00D05765">
        <w:rPr>
          <w:b/>
        </w:rPr>
        <w:t>MK</w:t>
      </w:r>
      <w:r w:rsidRPr="00D05765">
        <w:rPr>
          <w:b/>
        </w:rPr>
        <w:t xml:space="preserve"> noteikumi Nr.836 „Pedagogu darba samaksas noteikumi”</w:t>
      </w:r>
    </w:p>
    <w:p w:rsidR="00366B87" w:rsidRDefault="00366B87" w:rsidP="00401358">
      <w:pPr>
        <w:pStyle w:val="BodyText"/>
      </w:pPr>
      <w:r w:rsidRPr="00D05765">
        <w:t>Noteikumi nosaka pedagogu darba samaksas noteikšanas kārtību, darba samaksas apmēru un pedagogu darba slodzes lielumu.</w:t>
      </w:r>
      <w:r w:rsidR="00D05765" w:rsidRPr="00D05765">
        <w:t xml:space="preserve"> Pedagogu darba algu katru gadu nosaka izglītības iestādes vadītājs pēc stāvokļa uz 1.septembri, veicot tarifikāciju, kurā norāda katra pedagoga slodzi, kā arī vakantās pedagogu darba likmes un stundu skaitu mācību priekšmetos atbilstoši izglītības programmas mācību priekšmetu stundu plānam un pedagogam noteiktajiem papildu pienākumiem</w:t>
      </w:r>
      <w:r w:rsidR="00D05765">
        <w:t xml:space="preserve">. </w:t>
      </w:r>
      <w:r w:rsidR="00D05765" w:rsidRPr="00D05765">
        <w:t xml:space="preserve">Lai nodrošinātu tarifikācijas atbilstību piešķirtajai valsts budžeta mērķdotācijai un dotācijai, vispārējās izglītības iestādes vadītājs atbilstoši izglītības iestādes padotībai saskaņo tarifikāciju ar attiecīgo novada (republikas </w:t>
      </w:r>
      <w:r w:rsidR="00D05765" w:rsidRPr="00D05765">
        <w:lastRenderedPageBreak/>
        <w:t>pilsētas) pašvaldību vai ministriju.</w:t>
      </w:r>
      <w:r w:rsidR="00D05765">
        <w:t xml:space="preserve"> Tarifikācija pedagogu darba samaksas noteikšanai tiek realizēta, izmantojot VIIS funkcionalitāti.</w:t>
      </w:r>
    </w:p>
    <w:p w:rsidR="00366B87" w:rsidRPr="00D05765" w:rsidRDefault="00366B87" w:rsidP="00401358">
      <w:pPr>
        <w:pStyle w:val="BodyText"/>
        <w:rPr>
          <w:b/>
        </w:rPr>
      </w:pPr>
      <w:r w:rsidRPr="00CE5CCD">
        <w:rPr>
          <w:b/>
        </w:rPr>
        <w:t xml:space="preserve">2013.gada 2.jūlija </w:t>
      </w:r>
      <w:r w:rsidR="005E6CB4" w:rsidRPr="00D05765">
        <w:rPr>
          <w:b/>
        </w:rPr>
        <w:t>MK</w:t>
      </w:r>
      <w:r w:rsidRPr="00D05765">
        <w:rPr>
          <w:b/>
        </w:rPr>
        <w:t xml:space="preserve"> noteikumi Nr.363 „Noteikumi par pedagogiem nepieciešamo izglītību un profesionālo kvalifikāciju un pedagogu profesionālās kvalifikācijas pilnveides kārtību”</w:t>
      </w:r>
    </w:p>
    <w:p w:rsidR="00D05765" w:rsidRDefault="00366B87" w:rsidP="00D05765">
      <w:pPr>
        <w:pStyle w:val="BodyText"/>
      </w:pPr>
      <w:r w:rsidRPr="00D05765">
        <w:t>Noteikumi nosaka pedagogiem nepieciešamo izglītību un profesionālo kvalifikāciju un pedagogu profesionālās kvalifikācijas pilnveides kārtību.</w:t>
      </w:r>
      <w:r w:rsidR="00D05765" w:rsidRPr="00D05765">
        <w:t xml:space="preserve"> Tā kā VIIS tiek apkopota informācija par pedagogiem, t.sk. pedagogu profesionālo kvalifikāciju, noteikumu regulējums ir būtisks, lai nodrošinātu VIIS darbību saskaņā ar spēkā esošo normatīvo bāzi.</w:t>
      </w:r>
    </w:p>
    <w:p w:rsidR="00CE21D5" w:rsidRPr="005370CF" w:rsidRDefault="00CE21D5" w:rsidP="00401358">
      <w:pPr>
        <w:pStyle w:val="BodyText"/>
        <w:rPr>
          <w:b/>
        </w:rPr>
      </w:pPr>
      <w:r w:rsidRPr="005370CF">
        <w:rPr>
          <w:b/>
        </w:rPr>
        <w:t xml:space="preserve">2013. gada 16. jūlija </w:t>
      </w:r>
      <w:r w:rsidR="005E6CB4">
        <w:rPr>
          <w:b/>
        </w:rPr>
        <w:t>MK</w:t>
      </w:r>
      <w:r w:rsidRPr="005370CF">
        <w:rPr>
          <w:b/>
        </w:rPr>
        <w:t xml:space="preserve"> noteikumi Nr.404 „Prasības bērnu uzraudzības pakalpojuma sniedzējiem un bērnu uzraudzības pakalpojuma sniedzēju reģistrēšanas kārtība”</w:t>
      </w:r>
    </w:p>
    <w:p w:rsidR="004B5368" w:rsidRDefault="00CE21D5" w:rsidP="00401358">
      <w:pPr>
        <w:pStyle w:val="BodyText"/>
      </w:pPr>
      <w:r w:rsidRPr="00CE21D5">
        <w:t>Noteikumi nosaka profesionālās kvalifikācijas un drošības prasības, sniedzot bērnu uzraudzības pakalpojumu, pakalpojuma sniedzēju reģistrēšanas kārtību Bērnu uzraudzības pakalpojuma sniedzēju reģistrā, reģistra pārzini un reģistrā iekļaujamo informāciju.</w:t>
      </w:r>
    </w:p>
    <w:p w:rsidR="00366B87" w:rsidRDefault="00CE21D5" w:rsidP="00401358">
      <w:pPr>
        <w:pStyle w:val="BodyText"/>
      </w:pPr>
      <w:r>
        <w:t xml:space="preserve">Noteikumi nosaka, ka </w:t>
      </w:r>
      <w:r w:rsidR="004B5368" w:rsidRPr="00CE21D5">
        <w:t>Bērnu uzraudzības pakalpojuma sniedzēju reģistr</w:t>
      </w:r>
      <w:r w:rsidR="004B5368">
        <w:t xml:space="preserve">s </w:t>
      </w:r>
      <w:r>
        <w:t>ir VIIS sastāvdaļa.</w:t>
      </w:r>
    </w:p>
    <w:p w:rsidR="00C97B45" w:rsidRDefault="00C97B45" w:rsidP="00401358">
      <w:pPr>
        <w:pStyle w:val="BodyText"/>
        <w:rPr>
          <w:b/>
        </w:rPr>
      </w:pPr>
      <w:r w:rsidRPr="00C97B45">
        <w:rPr>
          <w:b/>
        </w:rPr>
        <w:t>Ministru kabineta 2010.gada 10.augusta noteikum</w:t>
      </w:r>
      <w:r>
        <w:rPr>
          <w:b/>
        </w:rPr>
        <w:t>i</w:t>
      </w:r>
      <w:r w:rsidRPr="00C97B45">
        <w:rPr>
          <w:b/>
        </w:rPr>
        <w:t xml:space="preserve"> Nr.766 "Noteikumi par darbības programmas "Infrastruktūra un pakalpojumi" papildinājuma 3.2.2.1.1. </w:t>
      </w:r>
      <w:proofErr w:type="spellStart"/>
      <w:r w:rsidRPr="00C97B45">
        <w:rPr>
          <w:b/>
        </w:rPr>
        <w:t>apakšaktivitātes</w:t>
      </w:r>
      <w:proofErr w:type="spellEnd"/>
      <w:r w:rsidRPr="00C97B45">
        <w:rPr>
          <w:b/>
        </w:rPr>
        <w:t xml:space="preserve"> "Informācijas sistēmu un elektronisko pakalpojumu attīstība" projektu iesniegumu atlases otro, trešo, ceturto un piekto kārtu""</w:t>
      </w:r>
      <w:r>
        <w:rPr>
          <w:b/>
        </w:rPr>
        <w:t xml:space="preserve"> (ar grozījumiem 26.05.2014.)</w:t>
      </w:r>
    </w:p>
    <w:p w:rsidR="00C97B45" w:rsidRPr="005A208F" w:rsidRDefault="00C97B45" w:rsidP="00401358">
      <w:pPr>
        <w:pStyle w:val="BodyText"/>
      </w:pPr>
      <w:r w:rsidRPr="003561F8">
        <w:t>Noteikumi nosaka kārtību, kādā īsteno darbības programmas "Infrastruktūra un pakalpojumi" papildinājuma 3.2.2.1.1.apakšaktivitātes "Informācijas sistēmu un elektronisko pakalpojumu attīstība" projektu iesniegumu atlases otro, trešo, ceturto un piekto kārtu</w:t>
      </w:r>
      <w:r w:rsidR="005A208F" w:rsidRPr="003561F8">
        <w:t>. Ņemot vērā 2014.gada 26.maijā apstiprinātos grozījumus noteikumu 1.</w:t>
      </w:r>
      <w:r w:rsidR="005A208F" w:rsidRPr="003561F8">
        <w:rPr>
          <w:vertAlign w:val="superscript"/>
        </w:rPr>
        <w:t>4</w:t>
      </w:r>
      <w:r w:rsidR="005A208F" w:rsidRPr="003561F8">
        <w:t xml:space="preserve"> pielikum</w:t>
      </w:r>
      <w:r w:rsidR="005A208F">
        <w:t>a</w:t>
      </w:r>
      <w:r w:rsidR="005A208F" w:rsidRPr="003561F8">
        <w:t>,</w:t>
      </w:r>
      <w:r w:rsidR="005A208F">
        <w:t xml:space="preserve"> 9.punktā</w:t>
      </w:r>
      <w:r w:rsidR="005A208F" w:rsidRPr="003561F8">
        <w:t xml:space="preserve"> noteikumi nosaka VIIS attīstības projekta izstrādes tiesisko pamatu.</w:t>
      </w:r>
    </w:p>
    <w:p w:rsidR="00401358" w:rsidRDefault="00401358" w:rsidP="00401358">
      <w:pPr>
        <w:pStyle w:val="Heading3"/>
      </w:pPr>
      <w:bookmarkStart w:id="11" w:name="_Toc378944996"/>
      <w:bookmarkStart w:id="12" w:name="_Toc378956670"/>
      <w:bookmarkStart w:id="13" w:name="_Toc388454844"/>
      <w:bookmarkEnd w:id="11"/>
      <w:bookmarkEnd w:id="12"/>
      <w:r>
        <w:t>Politikas plānošanas dokumenti</w:t>
      </w:r>
      <w:bookmarkEnd w:id="13"/>
    </w:p>
    <w:p w:rsidR="00CD3859" w:rsidRPr="00CD3859" w:rsidRDefault="00CD3859" w:rsidP="00CD3859">
      <w:pPr>
        <w:pStyle w:val="BodyText"/>
        <w:rPr>
          <w:b/>
        </w:rPr>
      </w:pPr>
      <w:r w:rsidRPr="00CD3859">
        <w:rPr>
          <w:b/>
        </w:rPr>
        <w:t xml:space="preserve">Latvijas ilgtspējīgas attīstības stratēģija līdz 2030.gadam (apstiprināta </w:t>
      </w:r>
      <w:r>
        <w:rPr>
          <w:b/>
        </w:rPr>
        <w:t>2010.gada 10.jūnijā)</w:t>
      </w:r>
    </w:p>
    <w:p w:rsidR="00CD3859" w:rsidRDefault="00CD3859" w:rsidP="00CD3859">
      <w:pPr>
        <w:pStyle w:val="BodyText"/>
      </w:pPr>
      <w:r>
        <w:t xml:space="preserve">„Latvija 2030” ir hierarhiski augstākais nacionālā līmeņa ilgtermiņa attīstības plānošanas dokuments. Tajā ir noteikta nepieciešamā paradigmas maiņa izglītībā. Tai jābūt kvalitatīvai, visa mūža garumā pieejamai un uz radošumu orientētai izglītībai, kas ļauj reaģēt uz globālās konkurences un demogrāfijas izaicinājumiem un ir viens no priekšnoteikumiem ekonomikas modeļa maiņai. </w:t>
      </w:r>
    </w:p>
    <w:p w:rsidR="00CD3859" w:rsidRDefault="00CD3859" w:rsidP="00CD3859">
      <w:pPr>
        <w:pStyle w:val="BodyText"/>
      </w:pPr>
      <w:r>
        <w:t xml:space="preserve">Prioritārie ilgtermiņa rīcības virzieni: izglītības pieejamība un pārmaiņas izglītības procesa organizācijā, skola kā sociālā tīklojuma centrs, kontekstuāla izglītība un skolotāja profesijas maiņa, e-skola un informācijas tehnoloģiju izmantošana, izglītošanās mūža garumā. </w:t>
      </w:r>
    </w:p>
    <w:p w:rsidR="00CD3859" w:rsidRPr="00CD3859" w:rsidRDefault="00CD3859" w:rsidP="00CD3859">
      <w:pPr>
        <w:pStyle w:val="BodyText"/>
        <w:rPr>
          <w:b/>
        </w:rPr>
      </w:pPr>
      <w:r w:rsidRPr="00CD3859">
        <w:rPr>
          <w:b/>
        </w:rPr>
        <w:t>Latvijas Nacionālais attīstības plāns 2014.–2020.gadam (apstiprināts 2012.gada 20.decembrī)</w:t>
      </w:r>
    </w:p>
    <w:p w:rsidR="00CD3859" w:rsidRDefault="00CD3859" w:rsidP="00CD3859">
      <w:pPr>
        <w:pStyle w:val="BodyText"/>
      </w:pPr>
      <w:r>
        <w:t xml:space="preserve">NAP 2020 ir hierarhiski augstākais nacionālā līmeņa vidējā termiņa attīstības plānošanas dokuments. Tas nosaka vidējā termiņa prioritātes arī izglītības un zinātnes jomā, akcentējot rīcības virzienus: kompetenču attīstību un pētniecības, inovāciju un augstākās izglītības attīstību. </w:t>
      </w:r>
    </w:p>
    <w:p w:rsidR="00CD3859" w:rsidRDefault="00CD3859" w:rsidP="00CD3859">
      <w:pPr>
        <w:pStyle w:val="BodyText"/>
      </w:pPr>
      <w:r>
        <w:t xml:space="preserve">Starp galvenajiem uzdevumiem ir noteikta kvalitatīva pirmsskolas izglītība; iekļaujošā izglītība; mācību satura pilnveide; atbalsts talantu izkopšanai; radošu un kvalificētu pedagogu sagatavošana un piesaiste; profesionālās izglītības attīstība atbilstoši darba tirgus tendencēm; augstākās izglītības pieejamība, </w:t>
      </w:r>
      <w:proofErr w:type="spellStart"/>
      <w:r>
        <w:t>eksportspēja</w:t>
      </w:r>
      <w:proofErr w:type="spellEnd"/>
      <w:r>
        <w:t xml:space="preserve">, konkurētspēja un konsolidācija; jauniešu iesaistīšanās neformālajā izglītībā un brīvprātīgajā darbā; jauniešu nodarbinātības veicināšana, t.sk. karjeras izglītības sistēmas attīstība; izglītības iestāžu pilnveide, t.sk. mazo lauku skolu saglabāšana, atbalstot to funkciju paplašināšanu, u.c. </w:t>
      </w:r>
    </w:p>
    <w:p w:rsidR="00CD3859" w:rsidRDefault="00CD3859" w:rsidP="00CD3859">
      <w:pPr>
        <w:pStyle w:val="BodyText"/>
      </w:pPr>
      <w:r w:rsidRPr="00CD3859">
        <w:rPr>
          <w:b/>
        </w:rPr>
        <w:t xml:space="preserve">Latvijas nacionālā reformu programma „ES 2020” stratēģijas īstenošanai (apstiprināta ar 2011.gada 26.aprīļa MK sēdes </w:t>
      </w:r>
      <w:proofErr w:type="spellStart"/>
      <w:r w:rsidRPr="00CD3859">
        <w:rPr>
          <w:b/>
        </w:rPr>
        <w:t>protokollēmumu</w:t>
      </w:r>
      <w:proofErr w:type="spellEnd"/>
      <w:r w:rsidRPr="00CD3859">
        <w:rPr>
          <w:b/>
        </w:rPr>
        <w:t>)</w:t>
      </w:r>
    </w:p>
    <w:p w:rsidR="00CD3859" w:rsidRDefault="00CD3859" w:rsidP="00CD3859">
      <w:pPr>
        <w:pStyle w:val="BodyText"/>
      </w:pPr>
      <w:r>
        <w:t>Lai nodrošinātu stratēģijā „Eiropa 2020” noteikto mērķu sasniegšanu, tajā ir iekļauti pasākumi, kas veicina mūžizglītības principa ieviešanu, strukturālas izmaiņas profesionālajā izglītībā, augstākās izglītības modernizāciju, zinātniskās darbības potenciāla attīstību, augstākās izglītības institūciju materiālās un tehniskās bāzes modernizēšanu un resursu izmantošanas efektivitātes paaugstināšanu, augstākās izglītības vienlīdzīgas pieejamības nodrošināšanu, studiju un zinātniskās darbības kvalitātes uzlabošanu, pamata un vidējās izglītības pieejamības nodrošināšanu, modernu mācību metožu ieviešanu.</w:t>
      </w:r>
    </w:p>
    <w:p w:rsidR="00CD3859" w:rsidRPr="00CD3859" w:rsidRDefault="00CD3859" w:rsidP="00CD3859">
      <w:pPr>
        <w:pStyle w:val="BodyText"/>
        <w:rPr>
          <w:b/>
        </w:rPr>
      </w:pPr>
      <w:r w:rsidRPr="00CD3859">
        <w:rPr>
          <w:b/>
        </w:rPr>
        <w:lastRenderedPageBreak/>
        <w:t xml:space="preserve">Latvijas Konverģences programma 2013.–2016.gadam (apstiprināta ar 2013.gada 29.aprīļa MK </w:t>
      </w:r>
      <w:proofErr w:type="spellStart"/>
      <w:r w:rsidRPr="00CD3859">
        <w:rPr>
          <w:b/>
        </w:rPr>
        <w:t>protokollēmumu</w:t>
      </w:r>
      <w:proofErr w:type="spellEnd"/>
      <w:r w:rsidRPr="00CD3859">
        <w:rPr>
          <w:b/>
        </w:rPr>
        <w:t xml:space="preserve"> (prot.Nr.25, 1.paragrāfs)</w:t>
      </w:r>
    </w:p>
    <w:p w:rsidR="00CD3859" w:rsidRDefault="00CD3859" w:rsidP="00CD3859">
      <w:pPr>
        <w:pStyle w:val="BodyText"/>
      </w:pPr>
      <w:r>
        <w:t>Lai sasniegtu vispārējos valdības budžeta mērķus, vienlaikus nodrošinot apstākļus ekonomikas izaugsmei vidējā termiņā, Latvijas valdība turpina īstenot strukturālās reformas, t.sk. izglītībā un zinātnē. Ir uzsvērta pamata un vidējās izglītības pieejamības nodrošināšana, strukturālās izmaiņas profesionālajā izglītībā, augstākās izglītības modernizācija, augstāko izglītību ieguvušo īpatsvara palielināšana, ārvalstu studentu piesaistīšana un valsts zinātnisko institūciju konsolidācija.</w:t>
      </w:r>
    </w:p>
    <w:p w:rsidR="0089160F" w:rsidRPr="0089160F" w:rsidRDefault="0089160F" w:rsidP="0089160F">
      <w:pPr>
        <w:pStyle w:val="BodyText"/>
        <w:rPr>
          <w:b/>
        </w:rPr>
      </w:pPr>
      <w:r w:rsidRPr="0089160F">
        <w:rPr>
          <w:b/>
        </w:rPr>
        <w:t>Informācijas sabiedrības attīstības pamatnostādnes 2014.-2020.gadam (apstiprinātas ar 2013.gada 14.oktobra MK rīkojumu Nr.468)</w:t>
      </w:r>
    </w:p>
    <w:p w:rsidR="0089160F" w:rsidRDefault="0089160F" w:rsidP="0089160F">
      <w:pPr>
        <w:pStyle w:val="BodyText"/>
      </w:pPr>
      <w:r>
        <w:t xml:space="preserve">Šī dokumenta mērķis ir, nodrošinot iespēju ikvienam izmantot informācijas un komunikācijas tehnoloģiju </w:t>
      </w:r>
      <w:r w:rsidR="005E6CB4">
        <w:t xml:space="preserve">(turpmāk – IKT) </w:t>
      </w:r>
      <w:r>
        <w:t>sniegtās iespējas, veidot uz zināšanām balstītu ekonomiku un uzlabot kopējo dzīves kvalitāti, sniedzot ieguldījumu publiskās pārvaldes efektivitātes un valsts konkurētspējas, ekonomiskās izaugsmes paaugstināšanā un darba vietu radīšanā. Šī mērķa sasniegšanai tajā skaitā tiks sekmēta IKT izglītība un e-prasmes, kas atbilsts Izglītības attīstības pamatnostādņu 2014.–2020.gadam ietvaram.</w:t>
      </w:r>
    </w:p>
    <w:p w:rsidR="002C6C52" w:rsidRPr="00CF7690" w:rsidRDefault="002743FC" w:rsidP="002C6C52">
      <w:pPr>
        <w:pStyle w:val="BodyText"/>
        <w:rPr>
          <w:b/>
        </w:rPr>
      </w:pPr>
      <w:r w:rsidRPr="00CF7690">
        <w:rPr>
          <w:b/>
        </w:rPr>
        <w:t>Izglītības attīstības pamatnostādnes 2014.-</w:t>
      </w:r>
      <w:r w:rsidR="00E329D8" w:rsidRPr="00CF7690">
        <w:rPr>
          <w:b/>
        </w:rPr>
        <w:t>2020.gadam</w:t>
      </w:r>
      <w:r w:rsidR="00CD486F">
        <w:rPr>
          <w:b/>
        </w:rPr>
        <w:t xml:space="preserve"> </w:t>
      </w:r>
      <w:r w:rsidR="00CD486F" w:rsidRPr="00CD486F">
        <w:rPr>
          <w:b/>
        </w:rPr>
        <w:t>(atbalstītas MK 2014.gada 7.janvārī)</w:t>
      </w:r>
    </w:p>
    <w:p w:rsidR="00E329D8" w:rsidRDefault="007F6251" w:rsidP="00E329D8">
      <w:pPr>
        <w:pStyle w:val="BodyText"/>
      </w:pPr>
      <w:r w:rsidRPr="007F6251">
        <w:t xml:space="preserve">Izglītības attīstības pamatnostādnes 2014.-2020.gadam ir vidēja termiņa attīstības plānošanas dokuments, kas nosaka izglītības jomas attīstības struktūru un perspektīvas nākamajiem septiņiem gadiem: izglītības politikas </w:t>
      </w:r>
      <w:proofErr w:type="spellStart"/>
      <w:r w:rsidRPr="007F6251">
        <w:t>virsmērķi</w:t>
      </w:r>
      <w:proofErr w:type="spellEnd"/>
      <w:r w:rsidRPr="007F6251">
        <w:t xml:space="preserve">, </w:t>
      </w:r>
      <w:proofErr w:type="spellStart"/>
      <w:r w:rsidRPr="007F6251">
        <w:t>apakšmērķus</w:t>
      </w:r>
      <w:proofErr w:type="spellEnd"/>
      <w:r w:rsidRPr="007F6251">
        <w:t xml:space="preserve"> un tiem pakārtotos rīcības virzienus, kuri savukārt balstīti konkrētās iesaistīto pušu aktivitātēs. Pamatnostādņu </w:t>
      </w:r>
      <w:proofErr w:type="spellStart"/>
      <w:r w:rsidRPr="007F6251">
        <w:t>virsmērķis</w:t>
      </w:r>
      <w:proofErr w:type="spellEnd"/>
      <w:r w:rsidRPr="007F6251">
        <w:t xml:space="preserve"> 2020.gadam ir kvalitatīva un iekļaujoša izglītība personības attīstībai, cilvēku labklājībai un ilgtspējīgai valsts izaugsmei.</w:t>
      </w:r>
    </w:p>
    <w:p w:rsidR="007F6251" w:rsidRDefault="005157E9" w:rsidP="00E329D8">
      <w:pPr>
        <w:pStyle w:val="BodyText"/>
      </w:pPr>
      <w:r>
        <w:t>Kā viens no pamatnostādnes noteiktajiem rīcības virzieniem ir noteikta izglītības kvalitātes monitoringa sistēmas pilnveide, rīcības virziena ietvaros paredzot arī VIIS pilnveidi, tajā skaitā sistēmas sasaistes nodrošināšanu ar augstāk</w:t>
      </w:r>
      <w:r w:rsidR="00106D32">
        <w:t>o</w:t>
      </w:r>
      <w:r>
        <w:t xml:space="preserve"> izglītību.</w:t>
      </w:r>
    </w:p>
    <w:p w:rsidR="000774FC" w:rsidRPr="00CD3859" w:rsidRDefault="000774FC" w:rsidP="00CD3859">
      <w:pPr>
        <w:pStyle w:val="BodyText"/>
        <w:rPr>
          <w:b/>
        </w:rPr>
      </w:pPr>
      <w:r w:rsidRPr="000774FC">
        <w:rPr>
          <w:b/>
        </w:rPr>
        <w:t>Augstākās izglītības un zinātnes attīstības pasākumu plānu laikposmam no 2013.gada 20.novembra līdz 2014.gada 31.decembrim</w:t>
      </w:r>
      <w:r>
        <w:rPr>
          <w:b/>
        </w:rPr>
        <w:t xml:space="preserve"> (apstiprināts ar MK rīkojumu Nr. 560 2013.gada 22.novembrī)</w:t>
      </w:r>
    </w:p>
    <w:p w:rsidR="00CD3859" w:rsidRDefault="00CD3859" w:rsidP="00E329D8">
      <w:pPr>
        <w:pStyle w:val="BodyText"/>
      </w:pPr>
      <w:r>
        <w:t>P</w:t>
      </w:r>
      <w:r w:rsidRPr="00CD3859">
        <w:t>asākumu plāns ir virzīts uz galveno mērķi - nodrošināt kvalitatīvu, starptautiski konkurētspējīgu un zinātnē balstītu augstāko izglītību, ko īsteno efektīvi pārvaldītas institūcijas ar konsolidētiem resursiem.</w:t>
      </w:r>
    </w:p>
    <w:p w:rsidR="00CD3859" w:rsidRDefault="00CD3859" w:rsidP="00CD3859">
      <w:pPr>
        <w:pStyle w:val="BodyText"/>
      </w:pPr>
      <w:r>
        <w:t>Trīs galvenie rīcības virzieni paredz studiju un zinātniskās darbības kvalitātes paaugstināšanu; augstākās izglītības sektora resursu efektīvu izmantošanu un integrāciju ar zinātni, kā arī augstākās izglītības un zinātnes internacionalizāciju un starptautiskās konkurētspējas paaugstināšanu.</w:t>
      </w:r>
    </w:p>
    <w:p w:rsidR="00CD486F" w:rsidRPr="009602EC" w:rsidRDefault="00CD486F" w:rsidP="00CD486F">
      <w:pPr>
        <w:pStyle w:val="BodyText"/>
        <w:rPr>
          <w:b/>
        </w:rPr>
      </w:pPr>
      <w:r w:rsidRPr="009602EC">
        <w:rPr>
          <w:b/>
        </w:rPr>
        <w:t>Darbības programma "Izaugsme un nodarbinātība" 2014.-2020.gada plānošanas periodam" (apstiprināta MK 2014.gada 11.februārī)</w:t>
      </w:r>
    </w:p>
    <w:p w:rsidR="004A3721" w:rsidRDefault="00CD486F" w:rsidP="00CD486F">
      <w:pPr>
        <w:pStyle w:val="BodyText"/>
      </w:pPr>
      <w:r>
        <w:t>Darbības programmā ir ievērota sasaiste ar ES 2020 gudras, ilgtspējīgas un iekļaujošas izaugsmes stratēģiju, NAP, kā arī citiem plānošanas dokumentiem. Stratēģiskais redzējums balstīts uz trūkumu un vajadzību analīzi, savukārt risinājumi vērsti uz efektīvu, ilgtspējīgu attīstību un rezultātiem. Definētie prioritārie virzieni un specifiskie atbalsta mērķi koncentrēti uz konkrētu rezultātu sasniegšanu, kas dos vislielāko atdevi ekonomikas attīstībai un iedzīvotāju dzīves kvalitātes celšanai. Darbības programma nosaka Eiropas Savienības fondu investīciju principus, sasniedzamos rezultātus un atbalsta jomas nākamajiem septiņiem gadiem.</w:t>
      </w:r>
    </w:p>
    <w:p w:rsidR="005157E9" w:rsidRPr="00E329D8" w:rsidRDefault="005157E9" w:rsidP="00E329D8">
      <w:pPr>
        <w:pStyle w:val="BodyText"/>
      </w:pPr>
    </w:p>
    <w:p w:rsidR="002C6C52" w:rsidRDefault="002C6C52">
      <w:r>
        <w:br w:type="page"/>
      </w:r>
    </w:p>
    <w:p w:rsidR="002C6C52" w:rsidRDefault="002C6C52" w:rsidP="002C6C52">
      <w:pPr>
        <w:pStyle w:val="Heading1"/>
      </w:pPr>
      <w:bookmarkStart w:id="14" w:name="_Toc388454845"/>
      <w:r>
        <w:lastRenderedPageBreak/>
        <w:t>Izmaiņu pamatojums un būtība</w:t>
      </w:r>
      <w:bookmarkEnd w:id="14"/>
    </w:p>
    <w:p w:rsidR="00AC4013" w:rsidRDefault="00AC4013" w:rsidP="00AC4013">
      <w:pPr>
        <w:pStyle w:val="BodyText"/>
      </w:pPr>
      <w:r>
        <w:t>Koncepcijas izstrādes un plānoto izmaiņu sākotnējās ietekmes novērtēšanas ietvaros veikta kā IZM, tā citu iesaistīto personu viedokļu apzināšana, ar mērķi novērtēt atbilstošākos risinājumus, to potenciālo ietekmi un sagaidāmās izmaiņas. Konsultāciju procesā realizētas šādas aktivitātes:</w:t>
      </w:r>
    </w:p>
    <w:p w:rsidR="00AC4013" w:rsidRDefault="00AC4013" w:rsidP="00AC4013">
      <w:pPr>
        <w:pStyle w:val="BodyText"/>
        <w:numPr>
          <w:ilvl w:val="0"/>
          <w:numId w:val="51"/>
        </w:numPr>
      </w:pPr>
      <w:r>
        <w:t xml:space="preserve">Intervijas ar IZM, </w:t>
      </w:r>
      <w:r w:rsidRPr="00742F3F">
        <w:t>iesaistīto valsts pārvaldes</w:t>
      </w:r>
      <w:r>
        <w:t xml:space="preserve"> iestāžu</w:t>
      </w:r>
      <w:r w:rsidRPr="00742F3F">
        <w:t xml:space="preserve"> un citu institūciju pārstāvjiem, t.sk. Valsts izglītības attīstības aģentūras, Valsts izglītības satura centra</w:t>
      </w:r>
      <w:r>
        <w:t xml:space="preserve">, </w:t>
      </w:r>
      <w:r w:rsidRPr="00742F3F">
        <w:t>Studiju un zinātnes administrācijas, Izglītības kvalitātes valsts dienesta, Rīgas Tehniskās universitātes, Rīgas domes un citu institūciju pārstāvjiem</w:t>
      </w:r>
      <w:r>
        <w:t>.</w:t>
      </w:r>
    </w:p>
    <w:p w:rsidR="00AC4013" w:rsidRDefault="00AC4013" w:rsidP="00AC4013">
      <w:pPr>
        <w:pStyle w:val="BodyText"/>
        <w:numPr>
          <w:ilvl w:val="0"/>
          <w:numId w:val="51"/>
        </w:numPr>
      </w:pPr>
      <w:r>
        <w:t>Izglītības iestāžu pārstāvju aptauja</w:t>
      </w:r>
      <w:r w:rsidRPr="00742F3F">
        <w:t xml:space="preserve">, lūdzot </w:t>
      </w:r>
      <w:r>
        <w:t>novērtēt</w:t>
      </w:r>
      <w:r w:rsidRPr="00742F3F">
        <w:t xml:space="preserve"> esošo VIIS funkcionalitāti</w:t>
      </w:r>
      <w:r>
        <w:t>, iespējamos uzlabojumus un to sagaidāmo ietekmi uz esošo procesu realizāciju.</w:t>
      </w:r>
    </w:p>
    <w:p w:rsidR="00AC4013" w:rsidRDefault="00AC4013" w:rsidP="003561F8">
      <w:pPr>
        <w:pStyle w:val="BodyText"/>
        <w:numPr>
          <w:ilvl w:val="0"/>
          <w:numId w:val="51"/>
        </w:numPr>
      </w:pPr>
      <w:r>
        <w:t>I</w:t>
      </w:r>
      <w:r w:rsidRPr="00742F3F">
        <w:t>esaistīto valsts pārvaldes</w:t>
      </w:r>
      <w:r>
        <w:t xml:space="preserve"> iestāžu un citu institūciju pārstāvju f</w:t>
      </w:r>
      <w:r w:rsidRPr="00742F3F">
        <w:t>okusgrupu diskusijas</w:t>
      </w:r>
      <w:r>
        <w:t xml:space="preserve"> izvirzīto risinājuma variantu un to ietekmes apspriešanai un novērtēšanai.</w:t>
      </w:r>
    </w:p>
    <w:p w:rsidR="0063354B" w:rsidRDefault="0063354B" w:rsidP="004E4BF7">
      <w:pPr>
        <w:pStyle w:val="BodyText"/>
      </w:pPr>
      <w:r>
        <w:t>VIIS attīstībai atbilstoši esošās situācijas analīzes</w:t>
      </w:r>
      <w:r w:rsidR="00AC4013">
        <w:t>, sākotnējās ietekmes novērtēšanas</w:t>
      </w:r>
      <w:r>
        <w:t xml:space="preserve"> rezultātiem un politikas plānošanas dokumentos izvirzītajiem pamatprincipiem izvirzīti četri VIIS attīstības virzieni:</w:t>
      </w:r>
    </w:p>
    <w:p w:rsidR="0063354B" w:rsidRPr="0063354B" w:rsidRDefault="0063354B" w:rsidP="005418DE">
      <w:pPr>
        <w:pStyle w:val="BodyText"/>
        <w:numPr>
          <w:ilvl w:val="0"/>
          <w:numId w:val="37"/>
        </w:numPr>
      </w:pPr>
      <w:r w:rsidRPr="004E4BF7">
        <w:rPr>
          <w:b/>
        </w:rPr>
        <w:t>VIIS izmantošanas paplašināšana augstākās izglītības sektorā</w:t>
      </w:r>
      <w:r>
        <w:t xml:space="preserve"> – studējošo reģistra izveide, apkopojot un centralizēti uzkrājot </w:t>
      </w:r>
      <w:r w:rsidR="00413564">
        <w:t xml:space="preserve">VIIS </w:t>
      </w:r>
      <w:r>
        <w:t>augstākās izglītības iestādēs esošo informāciju par studējošajiem.</w:t>
      </w:r>
    </w:p>
    <w:p w:rsidR="0063354B" w:rsidRPr="0063354B" w:rsidRDefault="0063354B" w:rsidP="005418DE">
      <w:pPr>
        <w:pStyle w:val="BodyText"/>
        <w:numPr>
          <w:ilvl w:val="0"/>
          <w:numId w:val="37"/>
        </w:numPr>
      </w:pPr>
      <w:r w:rsidRPr="004E4BF7">
        <w:rPr>
          <w:b/>
        </w:rPr>
        <w:t>VIIS e-pakalpojumu izstrāde</w:t>
      </w:r>
      <w:r>
        <w:t xml:space="preserve"> – trīs e-pakalpojumu izstrāde („Mani dati izglītības reģistros”, „</w:t>
      </w:r>
      <w:r w:rsidRPr="0063354B">
        <w:t>Informācija par aukles statusu reģistrā”,</w:t>
      </w:r>
      <w:r>
        <w:t xml:space="preserve"> automatizēta datu apmaiņa starp VIIS un Valsts ieņēmumu dienesta IS), veicinot elektronisku informācijas un pakalpojumu sniegšanu iedzīvotājiem un citām ieinteresētajām </w:t>
      </w:r>
      <w:r w:rsidR="00413564">
        <w:t>pusēm</w:t>
      </w:r>
      <w:r>
        <w:t>.</w:t>
      </w:r>
    </w:p>
    <w:p w:rsidR="0063354B" w:rsidRDefault="0063354B" w:rsidP="005418DE">
      <w:pPr>
        <w:pStyle w:val="BodyText"/>
        <w:numPr>
          <w:ilvl w:val="0"/>
          <w:numId w:val="37"/>
        </w:numPr>
      </w:pPr>
      <w:r w:rsidRPr="004E4BF7">
        <w:rPr>
          <w:b/>
        </w:rPr>
        <w:t>VIIS uzkrāto datu izguves uzlabošana</w:t>
      </w:r>
      <w:r w:rsidR="00AC3A0F">
        <w:t xml:space="preserve"> – </w:t>
      </w:r>
      <w:r w:rsidR="00AC3A0F" w:rsidRPr="00AC3A0F">
        <w:t>esošā risināju</w:t>
      </w:r>
      <w:r w:rsidR="00AC3A0F">
        <w:t xml:space="preserve">ma datu analīzes kubu dimensiju paplašināšana, nodrošinot pēc iespējas </w:t>
      </w:r>
      <w:r w:rsidR="00AC3A0F" w:rsidRPr="00AC3A0F">
        <w:t>VIIS uzkrāto datu izmantošanu analīzes un pārskatu sagatavošanai</w:t>
      </w:r>
      <w:r w:rsidR="00AC3A0F">
        <w:t>.</w:t>
      </w:r>
    </w:p>
    <w:p w:rsidR="00AC3A0F" w:rsidRPr="00AC3A0F" w:rsidRDefault="0063354B" w:rsidP="005418DE">
      <w:pPr>
        <w:pStyle w:val="ListParagraph"/>
        <w:numPr>
          <w:ilvl w:val="0"/>
          <w:numId w:val="37"/>
        </w:numPr>
        <w:rPr>
          <w:rFonts w:ascii="Arial" w:eastAsia="Times New Roman" w:hAnsi="Arial" w:cs="Times New Roman"/>
          <w:sz w:val="20"/>
          <w:szCs w:val="24"/>
          <w:lang w:eastAsia="lv-LV"/>
        </w:rPr>
      </w:pPr>
      <w:r w:rsidRPr="004E4BF7">
        <w:rPr>
          <w:rFonts w:ascii="Arial" w:eastAsia="Times New Roman" w:hAnsi="Arial" w:cs="Times New Roman"/>
          <w:b/>
          <w:sz w:val="20"/>
          <w:szCs w:val="24"/>
          <w:lang w:eastAsia="lv-LV"/>
        </w:rPr>
        <w:t>VIIS datu apmaiņas risinājuma attīstība</w:t>
      </w:r>
      <w:r w:rsidR="00AC3A0F">
        <w:rPr>
          <w:rFonts w:ascii="Arial" w:eastAsia="Times New Roman" w:hAnsi="Arial" w:cs="Times New Roman"/>
          <w:sz w:val="20"/>
          <w:szCs w:val="24"/>
          <w:lang w:eastAsia="lv-LV"/>
        </w:rPr>
        <w:t xml:space="preserve"> – esošo datu kopu un ieinteresēto pušu datu ieguves vajadzību analīze un tīmekļa </w:t>
      </w:r>
      <w:proofErr w:type="spellStart"/>
      <w:r w:rsidR="00AC3A0F">
        <w:rPr>
          <w:rFonts w:ascii="Arial" w:eastAsia="Times New Roman" w:hAnsi="Arial" w:cs="Times New Roman"/>
          <w:sz w:val="20"/>
          <w:szCs w:val="24"/>
          <w:lang w:eastAsia="lv-LV"/>
        </w:rPr>
        <w:t>pakalpju</w:t>
      </w:r>
      <w:proofErr w:type="spellEnd"/>
      <w:r w:rsidR="00AC3A0F">
        <w:rPr>
          <w:rFonts w:ascii="Arial" w:eastAsia="Times New Roman" w:hAnsi="Arial" w:cs="Times New Roman"/>
          <w:sz w:val="20"/>
          <w:szCs w:val="24"/>
          <w:lang w:eastAsia="lv-LV"/>
        </w:rPr>
        <w:t xml:space="preserve"> kopas izstrāde </w:t>
      </w:r>
      <w:r w:rsidR="00AC3A0F" w:rsidRPr="00AC3A0F">
        <w:rPr>
          <w:rFonts w:ascii="Arial" w:eastAsia="Times New Roman" w:hAnsi="Arial" w:cs="Times New Roman"/>
          <w:sz w:val="20"/>
          <w:szCs w:val="24"/>
          <w:lang w:eastAsia="lv-LV"/>
        </w:rPr>
        <w:t>(līdz 100 biežāk iz</w:t>
      </w:r>
      <w:r w:rsidR="00AC3A0F">
        <w:rPr>
          <w:rFonts w:ascii="Arial" w:eastAsia="Times New Roman" w:hAnsi="Arial" w:cs="Times New Roman"/>
          <w:sz w:val="20"/>
          <w:szCs w:val="24"/>
          <w:lang w:eastAsia="lv-LV"/>
        </w:rPr>
        <w:t>mantotajiem VIIS datu objektiem).</w:t>
      </w:r>
    </w:p>
    <w:p w:rsidR="0063354B" w:rsidRDefault="00392CE4" w:rsidP="004E4BF7">
      <w:pPr>
        <w:pStyle w:val="BodyText"/>
      </w:pPr>
      <w:r>
        <w:t>A</w:t>
      </w:r>
      <w:r w:rsidR="0063354B">
        <w:t>ttīstības virzienu būtība un pamatojums sniegts turpmākajās nodaļās.</w:t>
      </w:r>
      <w:r>
        <w:t xml:space="preserve"> Īstenojot koncepcijā atspoguļoto</w:t>
      </w:r>
      <w:r w:rsidRPr="00392CE4">
        <w:t>s VIIS attīstības pasākumus, tiks nodrošināta demarkācija un sinerģija ar plānotajiem pasākumiem ES fondu 2014.–2020.gada plānošanas perioda darbības programmas “Izaugsme un nodarbinātība” ietvaros</w:t>
      </w:r>
      <w:r>
        <w:t>.</w:t>
      </w:r>
    </w:p>
    <w:p w:rsidR="00537B97" w:rsidRDefault="0089160F" w:rsidP="0089160F">
      <w:pPr>
        <w:pStyle w:val="Heading2"/>
      </w:pPr>
      <w:bookmarkStart w:id="15" w:name="_Toc380412380"/>
      <w:bookmarkStart w:id="16" w:name="_Toc388454846"/>
      <w:bookmarkEnd w:id="15"/>
      <w:r w:rsidRPr="0089160F">
        <w:t>VIIS izmantošanas paplašināšana augstākās izglītības sektorā</w:t>
      </w:r>
      <w:bookmarkEnd w:id="16"/>
    </w:p>
    <w:p w:rsidR="0089160F" w:rsidRDefault="0089160F" w:rsidP="0089160F">
      <w:pPr>
        <w:pStyle w:val="BodyText"/>
      </w:pPr>
      <w:r>
        <w:t xml:space="preserve">Atbilstoši pamatnostādnēm izglītības politika ir vērsta uz cilvēka personīgo izaugsmi, </w:t>
      </w:r>
      <w:proofErr w:type="spellStart"/>
      <w:r>
        <w:t>pašpilnveidi</w:t>
      </w:r>
      <w:proofErr w:type="spellEnd"/>
      <w:r>
        <w:t xml:space="preserve"> katrā dzīves posmā, visās dzīves jomās mūža garumā. Par to arī liecina vairāki pamatnostādnēs ietvertie mērķi, piemēram, veicināt profesionālās augstākās izglītības programmās studējošo īpatsvara celšanos, veicināt pieaugušo izglītībā iesaistīto personu īpatsvaru u.c. Dažādo visas dzīves garumā paredzēto izglītības pasākumu efektīvai plānošanai, kā arī to rezultātu uzraudzībai, nepieciešama vienlīdz pastāvīga katra indivīda izglītības aktivitāšu uzskaite un uzraudzība jeb monitorings. Arī pamatnostādnēs uzsvērts mērķis par efektīvāku izglītības politikas pārvaldību, kas ietver resursu pārvaldības efektivitātes uzlabošanu un izglītības kvalitātes monitoringu, kas dod visām ieinteresētajām pusēm iespēju izsekot, novērtēt un, izrietoši, ietekmēt ar izglītību saistītos procesus un rezultātus. Pamatnostādnēs dažādi monitoringa rezultāti paredz analizēt izglītojamo sasniegumus, kā arī noteikt cēloņsakarības starp mācību rezultātiem un dažādiem sekmību ietekmējošajiem faktoriem. Šādai indivīda izglītības gaitu uzraudzībai visa mūža garumā nepieciešami vienkopus apkopoti dati un </w:t>
      </w:r>
      <w:r w:rsidRPr="00984302">
        <w:t>informācija par katra indivīda iesaisti izglītības programmās.</w:t>
      </w:r>
    </w:p>
    <w:p w:rsidR="00EB758D" w:rsidRPr="00EB758D" w:rsidRDefault="00EB758D" w:rsidP="0089160F">
      <w:pPr>
        <w:pStyle w:val="BodyText"/>
      </w:pPr>
      <w:r w:rsidRPr="00EB758D">
        <w:t>201</w:t>
      </w:r>
      <w:r>
        <w:t>4.-2020.gada plānošanas perioda 10.2.</w:t>
      </w:r>
      <w:r w:rsidRPr="004A636E">
        <w:rPr>
          <w:i/>
        </w:rPr>
        <w:t>ex-ante</w:t>
      </w:r>
      <w:r>
        <w:t xml:space="preserve"> nosacījums </w:t>
      </w:r>
      <w:r w:rsidRPr="004A636E">
        <w:rPr>
          <w:i/>
        </w:rPr>
        <w:t xml:space="preserve">“Augstākā izglītība: ir izstrādāts valsts vai reģionāls stratēģisks politikas satvars augstākās izglītības apguves rādītāju, kvalitātes un efektivitātes </w:t>
      </w:r>
      <w:r w:rsidRPr="004A636E">
        <w:rPr>
          <w:i/>
        </w:rPr>
        <w:lastRenderedPageBreak/>
        <w:t>paaugstināšanai, ņemot vērā LESD 165.pantā noteiktos ierobežojumus”</w:t>
      </w:r>
      <w:r>
        <w:rPr>
          <w:i/>
        </w:rPr>
        <w:t xml:space="preserve"> cita starpā</w:t>
      </w:r>
      <w:r w:rsidRPr="004A636E">
        <w:rPr>
          <w:i/>
        </w:rPr>
        <w:t xml:space="preserve"> </w:t>
      </w:r>
      <w:r>
        <w:t>paredz nepieciešamību nodrošināt pasākumus un mehānismus mācības priekšlaicīgas pārtraukšanas mazināšanai un izglītības ieguves rādītāju uzlabošanai.</w:t>
      </w:r>
      <w:r w:rsidR="00CF45AB">
        <w:t xml:space="preserve"> Lai nodrošinātu šī nosacījuma izpildi pamatnostādnēs noteikti konkrēti nosacījuma izpildes kritēriji, t.sk. ar priekšlaicīgu mācību pārtraukšanu saistītu datu, informācijas analīzes un politiku veidošanas sistēmas esamība, kā arī ar pierādījumiem pamatotas stratēģiskās politikas sistēmas izveide. </w:t>
      </w:r>
      <w:r w:rsidR="006B4B64">
        <w:t xml:space="preserve">Būtisks priekšnosacījums šādu </w:t>
      </w:r>
      <w:r w:rsidR="00CF45AB">
        <w:t>sistēmu izveide</w:t>
      </w:r>
      <w:r w:rsidR="007F2179">
        <w:t>i</w:t>
      </w:r>
      <w:r w:rsidR="00CF45AB">
        <w:t xml:space="preserve"> un ieviešanai</w:t>
      </w:r>
      <w:r w:rsidR="006B4B64">
        <w:t xml:space="preserve"> ir </w:t>
      </w:r>
      <w:r w:rsidR="00CF45AB">
        <w:t>precīzu un aktuālu datu</w:t>
      </w:r>
      <w:r w:rsidR="006B4B64">
        <w:t xml:space="preserve"> pieejamība par izglītības sistēmā iesaistītaj</w:t>
      </w:r>
      <w:r w:rsidR="00A12E13">
        <w:t>iem</w:t>
      </w:r>
      <w:r w:rsidR="006B4B64">
        <w:t xml:space="preserve"> </w:t>
      </w:r>
      <w:r w:rsidR="00A12E13">
        <w:t xml:space="preserve">indivīdiem </w:t>
      </w:r>
      <w:r w:rsidR="006B4B64">
        <w:t xml:space="preserve">un kopējo potenciāli apmācāmo </w:t>
      </w:r>
      <w:r w:rsidR="00CF45AB">
        <w:t xml:space="preserve">personu </w:t>
      </w:r>
      <w:r w:rsidR="006B4B64">
        <w:t>skaitu</w:t>
      </w:r>
      <w:r w:rsidR="00CF45AB">
        <w:t>, tādejādi nosakot nepieciešamību nodrošināt informācijas bāzi iepriekšminēto sistēmu un politiku veidošanai.</w:t>
      </w:r>
      <w:r w:rsidR="00DE211F">
        <w:t xml:space="preserve"> </w:t>
      </w:r>
      <w:r w:rsidR="006E3BA4">
        <w:t xml:space="preserve">Līdz ar to jāuzsver, ka </w:t>
      </w:r>
      <w:r w:rsidR="006E3BA4" w:rsidRPr="00DE211F">
        <w:t>ir nepieciešami pilnveidojumi 10.2.ex-ante nosacījuma izpildei atbilstoši Eiropas Komisijas komentāram par 10.1.ex-ante nosacījumu “Priekšlaicīga mācību pārtraukšana: ir izstrādāts stratēģisks politikas satvars, lai mazinātu priekšlaicīgu mācību pārtraukšanu (PMP), ņemot vērā LESD 165. pantā noteiktos ierobežojumus, pilnveidojot uzskaites sistēmu arī augstākās izglītības jomā.</w:t>
      </w:r>
    </w:p>
    <w:p w:rsidR="0089160F" w:rsidRDefault="0089160F" w:rsidP="0089160F">
      <w:pPr>
        <w:pStyle w:val="BodyText"/>
      </w:pPr>
      <w:r>
        <w:t xml:space="preserve">Informācija par vispārējā </w:t>
      </w:r>
      <w:r w:rsidR="003F75C2">
        <w:t xml:space="preserve">un profesionālajā </w:t>
      </w:r>
      <w:r>
        <w:t xml:space="preserve">izglītībā iesaistītajiem indivīdiem </w:t>
      </w:r>
      <w:r w:rsidR="007F2179">
        <w:t xml:space="preserve">jau </w:t>
      </w:r>
      <w:r>
        <w:t xml:space="preserve">šobrīd ir apkopota VIIS, </w:t>
      </w:r>
      <w:r w:rsidR="0099566A">
        <w:t xml:space="preserve">tomēr informācija </w:t>
      </w:r>
      <w:r>
        <w:t xml:space="preserve">par šo indivīdu tālākajām izglītības gaitām </w:t>
      </w:r>
      <w:r w:rsidR="00A12E13">
        <w:t xml:space="preserve">augstākās izglītības sistēmā </w:t>
      </w:r>
      <w:r>
        <w:t>nav pieejama vienkopus. Tas ierobežo pamatnostādnēs noteikto mērķu sasniegšanu</w:t>
      </w:r>
      <w:r w:rsidR="00A12E13">
        <w:t>, kā arī 10.2. </w:t>
      </w:r>
      <w:proofErr w:type="spellStart"/>
      <w:r w:rsidR="00A12E13" w:rsidRPr="004A636E">
        <w:rPr>
          <w:i/>
        </w:rPr>
        <w:t>ex-ante</w:t>
      </w:r>
      <w:proofErr w:type="spellEnd"/>
      <w:r w:rsidR="00A12E13">
        <w:t xml:space="preserve"> nosacījuma izpildes kritēriju sasniegšanu</w:t>
      </w:r>
      <w:r>
        <w:t xml:space="preserve">. Šī iemesla dēļ pamatnostādnēs noteikta nepieciešamība veidot vienotas </w:t>
      </w:r>
      <w:r w:rsidR="009B7F6A">
        <w:t>IS</w:t>
      </w:r>
      <w:r>
        <w:t xml:space="preserve"> par pieaugušo izglītībā iesaistītajiem, par personām ar invaliditāti vispārējās izglītības, profesionālās izglītības un augstākās izglītības iestādēs, kā arī par vienota akadēmiskā un zinātniskā personāla, studējošo un diplomu reģistru.</w:t>
      </w:r>
    </w:p>
    <w:p w:rsidR="0089160F" w:rsidRDefault="0089160F" w:rsidP="0089160F">
      <w:pPr>
        <w:pStyle w:val="BodyText"/>
      </w:pPr>
      <w:r>
        <w:t>Atbilstoši Izglītības likumā noteiktajai VIIS funkcijai kalpot par datubāzi, kurā apkopota informācija par izglītības iestādēm, licencētām un akreditētām izglītības programmām, izglītojamiem, pedagogiem, augstskolu un koledžu akadēmisko personālu, izglītības dokumentiem un valsts statistiku, ir tikai pašsaprotami, ka VIIS var kalpot par vienotu datubāzi arī augstākajā izglītībā un citos mūžizglītības pasākumos iesaistīto indivīdu un ar tiem saistīt</w:t>
      </w:r>
      <w:r w:rsidR="0099566A">
        <w:t>ā</w:t>
      </w:r>
      <w:r>
        <w:t>s informācijas uzkrāšanai. Šāda VIIS attīstība augstākās izglītības informācijas uzkrāšanas virzienā realizētu loģisku VIIS kā vienotas izglītības sistēmas datubāzes pilnveidi, kā arī kalpotu par noderīgu rīku pamatnostādnēs minēto mērķu</w:t>
      </w:r>
      <w:r w:rsidR="0055740F">
        <w:t xml:space="preserve"> un</w:t>
      </w:r>
      <w:r>
        <w:t xml:space="preserve"> </w:t>
      </w:r>
      <w:r w:rsidR="0055740F">
        <w:t>10.2. </w:t>
      </w:r>
      <w:proofErr w:type="spellStart"/>
      <w:r w:rsidR="0055740F" w:rsidRPr="002918ED">
        <w:rPr>
          <w:i/>
        </w:rPr>
        <w:t>ex-ante</w:t>
      </w:r>
      <w:proofErr w:type="spellEnd"/>
      <w:r w:rsidR="0055740F">
        <w:t xml:space="preserve"> nosacījuma izpildes kritēriju </w:t>
      </w:r>
      <w:r>
        <w:t>sasniegšanai par indivīdu izglītības aktivitāšu izsekošanu un uzraudzību.</w:t>
      </w:r>
    </w:p>
    <w:p w:rsidR="0089160F" w:rsidRDefault="0089160F" w:rsidP="0089160F">
      <w:pPr>
        <w:pStyle w:val="BodyText"/>
      </w:pPr>
      <w:r>
        <w:t>Augstākās izglītības institūcijās studējošo reģistru, kas šobrīd tiek uzturēt</w:t>
      </w:r>
      <w:r w:rsidR="0099566A">
        <w:t>i</w:t>
      </w:r>
      <w:r>
        <w:t xml:space="preserve"> katrā </w:t>
      </w:r>
      <w:r w:rsidR="00835264">
        <w:t xml:space="preserve">augstākās izglītības institūcijā </w:t>
      </w:r>
      <w:r>
        <w:t>atsevišķi, centralizēšana VIIS būs kā viens no pirmajiem soļiem VIIS lietošanas paplašināšanai augstākās izglītības sektorā, kā arī būtisks atspaids politikas plānošanā iesaistīto institūciju pamata funkciju izpildē, kurām šobrīd informācija par studējošajiem jāpieprasa katrai augstākās izglītības institūcijai atsevišķi. Tas sniegtu būtisku izziņu par vispārējās izglītības absolventu turpmākajām izglītības gaitām, iestājoties augstākās izglītības institūcijās, kā arī ļautu veikt analīzi par augstākās izglītības sasaisti ar vispārējo izglītību</w:t>
      </w:r>
      <w:r w:rsidR="0055740F">
        <w:t xml:space="preserve"> un mācību priekšlaicīgi pārtraukušo personu skaitu augstākajā izglītībā</w:t>
      </w:r>
      <w:r w:rsidR="00167600">
        <w:t>, tādejādi veidojot pamatu 10.2. </w:t>
      </w:r>
      <w:proofErr w:type="spellStart"/>
      <w:r w:rsidR="00167600" w:rsidRPr="002918ED">
        <w:rPr>
          <w:i/>
        </w:rPr>
        <w:t>ex-ante</w:t>
      </w:r>
      <w:proofErr w:type="spellEnd"/>
      <w:r w:rsidR="00167600">
        <w:t xml:space="preserve"> nosacījuma izpildes kritēriju sasniegšanai</w:t>
      </w:r>
      <w:r>
        <w:t>.</w:t>
      </w:r>
    </w:p>
    <w:p w:rsidR="00CB72BE" w:rsidRDefault="00C10D82" w:rsidP="0089160F">
      <w:pPr>
        <w:pStyle w:val="BodyText"/>
      </w:pPr>
      <w:r>
        <w:t xml:space="preserve">Lai nodrošinātu iepriekš minēto mērķu sasniegšanu, VIIS attīstības ietvaros plānota </w:t>
      </w:r>
      <w:r w:rsidRPr="004A636E">
        <w:rPr>
          <w:b/>
        </w:rPr>
        <w:t>vienota studējošo reģistra izveide un informācijas</w:t>
      </w:r>
      <w:r w:rsidR="007B1A18" w:rsidRPr="004A636E">
        <w:rPr>
          <w:b/>
        </w:rPr>
        <w:t xml:space="preserve"> ievades/</w:t>
      </w:r>
      <w:r w:rsidRPr="004A636E">
        <w:rPr>
          <w:b/>
        </w:rPr>
        <w:t xml:space="preserve"> atjaunošanas kārtības un sistēmas izveide</w:t>
      </w:r>
      <w:r>
        <w:t xml:space="preserve">. </w:t>
      </w:r>
      <w:r w:rsidR="007B1A18">
        <w:t xml:space="preserve">VIIS attīstības ietvaros jānodrošina automatizēta datu apmaiņa starp VIIS un augstākās izglītības </w:t>
      </w:r>
      <w:r w:rsidR="00D810F2">
        <w:t>iestāžu IS</w:t>
      </w:r>
      <w:r w:rsidR="0089160F">
        <w:t xml:space="preserve">, tomēr, ņemot vērā augstākās izglītības </w:t>
      </w:r>
      <w:r w:rsidR="00D810F2">
        <w:t xml:space="preserve">iestāžu </w:t>
      </w:r>
      <w:r w:rsidR="0089160F">
        <w:t xml:space="preserve">dažādo informatizācijas pakāpi, paralēli </w:t>
      </w:r>
      <w:r w:rsidR="00AE5297">
        <w:t>automatizēta datu apmaiņas risinājuma izstrādei, jāveido arī manuāls datu ievades interfeiss, dodot iespēju datus ievadīt manuāli vai augšupielādējot iepriekš definēta formāta failu</w:t>
      </w:r>
      <w:r w:rsidR="0089160F">
        <w:t xml:space="preserve">. </w:t>
      </w:r>
      <w:r w:rsidR="00CB72BE">
        <w:t>Lai nodrošinātu datu regulāru ievadi (apmaiņu) un atjaunošanu, paralēli risinājuma attīstībai ir jāveic izmaiņas saistošajos normatīvajos aktos, paredzot augstākās izglītības iestāžu datu nodošanu un saņemšanu, izmantojot VIIS.</w:t>
      </w:r>
    </w:p>
    <w:p w:rsidR="00CB72BE" w:rsidRDefault="001072D4" w:rsidP="0089160F">
      <w:pPr>
        <w:pStyle w:val="BodyText"/>
      </w:pPr>
      <w:r>
        <w:t>Ņ</w:t>
      </w:r>
      <w:r w:rsidR="0089160F">
        <w:t xml:space="preserve">emot vērā VIIS uzkrāto informāciju par </w:t>
      </w:r>
      <w:r w:rsidR="00C10D82">
        <w:t>vispārējā</w:t>
      </w:r>
      <w:r>
        <w:t xml:space="preserve"> un profesionālajā</w:t>
      </w:r>
      <w:r w:rsidR="00C10D82">
        <w:t xml:space="preserve"> iz</w:t>
      </w:r>
      <w:r w:rsidR="007B1A18">
        <w:t>glītībā iesaistītajiem</w:t>
      </w:r>
      <w:r w:rsidR="0089160F">
        <w:t xml:space="preserve">, </w:t>
      </w:r>
      <w:r>
        <w:t xml:space="preserve">šīs VIIS attīstības kārtas ietvaros ir jānodrošina arī izveidotā </w:t>
      </w:r>
      <w:r w:rsidR="0089160F">
        <w:t>studējošo reģistr</w:t>
      </w:r>
      <w:r>
        <w:t>a</w:t>
      </w:r>
      <w:r w:rsidR="0089160F">
        <w:t xml:space="preserve"> </w:t>
      </w:r>
      <w:r>
        <w:t xml:space="preserve">sinhronizēšana </w:t>
      </w:r>
      <w:r w:rsidR="0089160F">
        <w:t xml:space="preserve">ar esošo </w:t>
      </w:r>
      <w:r>
        <w:t>vispārējās un profesionālās izglītības audzēkņu reģistriem</w:t>
      </w:r>
      <w:r w:rsidR="0089160F">
        <w:t xml:space="preserve">, pievienojot </w:t>
      </w:r>
      <w:r>
        <w:t xml:space="preserve">konkrētas </w:t>
      </w:r>
      <w:r w:rsidR="0089160F">
        <w:t>pazīmes</w:t>
      </w:r>
      <w:r>
        <w:t xml:space="preserve"> par izglītības turpināšanu</w:t>
      </w:r>
      <w:r w:rsidR="0089160F">
        <w:t xml:space="preserve"> (piemēram, par studiju uzsākšanu noteiktā augstākās izglītības institūcijā</w:t>
      </w:r>
      <w:r w:rsidR="00FB6481">
        <w:t>, par programmu, kurā uzsāktas mācības</w:t>
      </w:r>
      <w:r w:rsidR="0089160F">
        <w:t>)</w:t>
      </w:r>
      <w:r>
        <w:t xml:space="preserve">, </w:t>
      </w:r>
      <w:r w:rsidR="0089160F">
        <w:t xml:space="preserve">tādējādi </w:t>
      </w:r>
      <w:r>
        <w:t xml:space="preserve">sinhronizējot izglītības sistēmā iesaistīto personu reģistrus un nodrošinot iespēju izsekot personu gaitām </w:t>
      </w:r>
      <w:r w:rsidR="00E2481E">
        <w:t xml:space="preserve">visas </w:t>
      </w:r>
      <w:r>
        <w:t xml:space="preserve">izglītības sistēmas ietvaros. </w:t>
      </w:r>
    </w:p>
    <w:p w:rsidR="0089160F" w:rsidRDefault="00E2481E" w:rsidP="0089160F">
      <w:pPr>
        <w:pStyle w:val="BodyText"/>
      </w:pPr>
      <w:r>
        <w:t xml:space="preserve">Pēc šī attīstības etapa realizēšanas – studējošo reģistra izveides un darbības nodrošināšanas – nākamajās attīstības kārtās </w:t>
      </w:r>
      <w:r w:rsidR="0089160F">
        <w:t xml:space="preserve">VIIS paplašināšana augstākās izglītības </w:t>
      </w:r>
      <w:r>
        <w:t xml:space="preserve">sektorā var </w:t>
      </w:r>
      <w:r w:rsidR="0089160F">
        <w:t xml:space="preserve">tikt turpināta, </w:t>
      </w:r>
      <w:r>
        <w:t xml:space="preserve">piemēram, </w:t>
      </w:r>
      <w:r w:rsidR="0089160F">
        <w:t xml:space="preserve">VIIS </w:t>
      </w:r>
      <w:r>
        <w:t xml:space="preserve">apkopojot </w:t>
      </w:r>
      <w:r w:rsidR="0089160F">
        <w:t xml:space="preserve">datus par </w:t>
      </w:r>
      <w:r w:rsidR="00835264">
        <w:t xml:space="preserve">augstākās izglītības iestāžu </w:t>
      </w:r>
      <w:r w:rsidR="0089160F">
        <w:t>absolventiem (piemēram, ienākumu līmenis, darbības joma utt.)</w:t>
      </w:r>
      <w:r>
        <w:t>.</w:t>
      </w:r>
    </w:p>
    <w:p w:rsidR="00247E48" w:rsidRDefault="00247E48" w:rsidP="00247E48">
      <w:pPr>
        <w:pStyle w:val="Heading2"/>
      </w:pPr>
      <w:bookmarkStart w:id="17" w:name="_Toc380412382"/>
      <w:bookmarkStart w:id="18" w:name="_Toc380412383"/>
      <w:bookmarkStart w:id="19" w:name="_Toc388454847"/>
      <w:bookmarkEnd w:id="17"/>
      <w:bookmarkEnd w:id="18"/>
      <w:r w:rsidRPr="00247E48">
        <w:lastRenderedPageBreak/>
        <w:t>VIIS e-pakalpojumu izstrāde</w:t>
      </w:r>
      <w:bookmarkEnd w:id="19"/>
    </w:p>
    <w:p w:rsidR="00247E48" w:rsidRDefault="00247E48" w:rsidP="00247E48">
      <w:pPr>
        <w:pStyle w:val="BodyText"/>
      </w:pPr>
      <w:r>
        <w:t xml:space="preserve">E-pārvaldes risinājumi sniedz iespēju iestādēm piedāvāt iedzīvotājiem un citām institūcijām pieejamākus un ērtākus valsts, t.sk. izglītības pakalpojumus un saturu, kā arī radīt priekšnosacījumus atbalstošai uzņēmējdarbības videi, sabiedriskajiem procesiem, jaunām sabiedrības līdzdalības un </w:t>
      </w:r>
      <w:proofErr w:type="spellStart"/>
      <w:r>
        <w:t>koprades</w:t>
      </w:r>
      <w:proofErr w:type="spellEnd"/>
      <w:r>
        <w:t xml:space="preserve"> iespējām, kā arī sadarbībai pāri robežām. Atbilstoši Informācijas sabiedrības attīstības pamatnostādnēm 2014.-2020.</w:t>
      </w:r>
      <w:r w:rsidR="009A67E2">
        <w:t xml:space="preserve"> </w:t>
      </w:r>
      <w:r>
        <w:t>gadam (turpmāk</w:t>
      </w:r>
      <w:r w:rsidR="005E6CB4">
        <w:t xml:space="preserve"> – </w:t>
      </w:r>
      <w:r>
        <w:t xml:space="preserve">ISAP) pārdomāta elektroniskā kanāla </w:t>
      </w:r>
      <w:proofErr w:type="spellStart"/>
      <w:r>
        <w:t>prioritizēšana</w:t>
      </w:r>
      <w:proofErr w:type="spellEnd"/>
      <w:r>
        <w:t xml:space="preserve"> un pašapkalpošanās risinājumu attīstība nodrošinās institūcijām (un valstij kopumā) iespēju samazināt ar pakalpojumu piegādi saistītos resursus, ļaujot tos novirzīt pamatfunkciju pilnveidei. Publiskajai pārvaldei un uzņēmējiem veidotajiem pakalpojumiem jau primāri jābūt orientētiem tikai uz elektronisku informācijas saņemšanas veidu, savukārt, iedzīvotājiem paredzētajiem pakalpojumiem tam ir jākļūst par prioritāro pakalpojumu sniegšanas kanālu. 2014.-2020.</w:t>
      </w:r>
      <w:r w:rsidR="009A67E2">
        <w:t xml:space="preserve"> </w:t>
      </w:r>
      <w:r>
        <w:t xml:space="preserve">gada attīstības plānošanas periodā procesu optimizāciju plānots izvirzīt par vadmotīvu, savukārt IKT, </w:t>
      </w:r>
      <w:r w:rsidR="009B7F6A">
        <w:t>IS</w:t>
      </w:r>
      <w:r>
        <w:t xml:space="preserve"> un e-pakalpojumu attīstība būs publiskās pārvaldes procesu optimizācijas līdzeklis un veicinātājs.</w:t>
      </w:r>
    </w:p>
    <w:p w:rsidR="00452971" w:rsidRDefault="00247E48" w:rsidP="00247E48">
      <w:pPr>
        <w:pStyle w:val="BodyText"/>
      </w:pPr>
      <w:r>
        <w:t xml:space="preserve">VIIS, kā centrālajai izglītības sektora </w:t>
      </w:r>
      <w:r w:rsidR="007919FA">
        <w:t>informācijas sistēmai</w:t>
      </w:r>
      <w:r>
        <w:t>, kurā atbilstoši Izglītības likumam nepieciešams apkopot informāciju par izglītības iestādēm, licencētām un akreditētām izglītības programmām, izglītojamiem, pedagogiem, augstskolu un koledžu akadēmisko personālu, izglītības dokumentiem un valsts statistiku, jākļūst arī par centralizētu platformu, kas kalpotu kā galvenais resurss aktuālāko datu par izglītības sistēmu apkopošanai, uzkrāšanai un sniegšanai pašai IZM, citām institūcijām un jebkuram sabiedrības loceklim. Šāda VIIS attīstība saskan ar ISAP mērķi valsts pārvaldē virzīties uz centralizētu platformu izstrādi daudzkanālu pakalpojumu sniegšanas ieviešanai vai datu izplatīšanai.</w:t>
      </w:r>
    </w:p>
    <w:p w:rsidR="00793923" w:rsidRDefault="008B1E3F" w:rsidP="00247E48">
      <w:pPr>
        <w:pStyle w:val="BodyText"/>
      </w:pPr>
      <w:r>
        <w:t>Saskaņā ar</w:t>
      </w:r>
      <w:r w:rsidR="007D4ADB">
        <w:t xml:space="preserve"> I</w:t>
      </w:r>
      <w:r w:rsidR="00792787">
        <w:t>nformācijas atklāt</w:t>
      </w:r>
      <w:r>
        <w:t xml:space="preserve">ības likumu </w:t>
      </w:r>
      <w:r w:rsidR="007D4ADB">
        <w:t xml:space="preserve">jebkurai valsts pārvaldes iestādei ir pienākums sniegt tās rīcībā esošo informāciju kā pēc savas iniciatīvas, tā pēc privātpersonas pieprasījuma. Attiecīgi arī IZM kā VIIS turētāja pienākumi ietver VIIS </w:t>
      </w:r>
      <w:r w:rsidR="00B534E8">
        <w:t>uzkrātās</w:t>
      </w:r>
      <w:r w:rsidR="007D4ADB">
        <w:t xml:space="preserve"> informācijas izplatīšanu, nodrošinot kā informācijas publisku pieejamību, tā arī informācijas sniegšanu </w:t>
      </w:r>
      <w:r w:rsidR="00B534E8">
        <w:t>pēc pieprasījuma, ievērojot Informācijas atklātības likumā noteiktos informācijas izplatīšanas ierobežojumus.</w:t>
      </w:r>
      <w:r w:rsidR="00C46C89">
        <w:t xml:space="preserve"> </w:t>
      </w:r>
    </w:p>
    <w:p w:rsidR="00CE5CCD" w:rsidRDefault="00C46C89" w:rsidP="00247E48">
      <w:pPr>
        <w:pStyle w:val="BodyText"/>
      </w:pPr>
      <w:r>
        <w:t xml:space="preserve">Lai atbilstoši ISAP noteiktajam veicinātu pašapkalpošanās risinājumu attīstību, VIIS attīstības ietvaros </w:t>
      </w:r>
      <w:r w:rsidRPr="00793923">
        <w:t>plānota</w:t>
      </w:r>
      <w:r w:rsidRPr="004E4BF7">
        <w:rPr>
          <w:b/>
        </w:rPr>
        <w:t xml:space="preserve"> e-pakalpojuma „Mani dati </w:t>
      </w:r>
      <w:r w:rsidR="007516BA">
        <w:rPr>
          <w:b/>
        </w:rPr>
        <w:t>izglītības reģistros</w:t>
      </w:r>
      <w:r w:rsidRPr="004E4BF7">
        <w:rPr>
          <w:b/>
        </w:rPr>
        <w:t>” izveide</w:t>
      </w:r>
      <w:r w:rsidR="00452971">
        <w:rPr>
          <w:b/>
        </w:rPr>
        <w:t xml:space="preserve"> </w:t>
      </w:r>
      <w:r w:rsidR="00452971">
        <w:t>4. elektronizācijas līmenī</w:t>
      </w:r>
      <w:r>
        <w:t xml:space="preserve">, </w:t>
      </w:r>
      <w:r w:rsidR="00737403">
        <w:t xml:space="preserve">kas nodrošinās </w:t>
      </w:r>
      <w:r w:rsidR="00737403" w:rsidRPr="00CE5CCD">
        <w:t>iespēju</w:t>
      </w:r>
      <w:r w:rsidRPr="00CE5CCD">
        <w:t xml:space="preserve"> fiziskām </w:t>
      </w:r>
      <w:r w:rsidRPr="00D05765">
        <w:t xml:space="preserve">personām </w:t>
      </w:r>
      <w:r w:rsidR="00452971" w:rsidRPr="00D05765">
        <w:t xml:space="preserve">tiešsaistē </w:t>
      </w:r>
      <w:r w:rsidRPr="00D05765">
        <w:t>iegūt par sevi</w:t>
      </w:r>
      <w:r w:rsidR="00737403" w:rsidRPr="00D05765">
        <w:t xml:space="preserve"> reģistrētu informāciju VIIS</w:t>
      </w:r>
      <w:r w:rsidRPr="00D05765">
        <w:t>.</w:t>
      </w:r>
      <w:r w:rsidR="00793923" w:rsidRPr="00D05765">
        <w:t xml:space="preserve"> </w:t>
      </w:r>
    </w:p>
    <w:p w:rsidR="00CE5CCD" w:rsidRDefault="00CE5CCD" w:rsidP="00CE5CCD">
      <w:pPr>
        <w:pStyle w:val="BodyText"/>
      </w:pPr>
      <w:r>
        <w:t xml:space="preserve">E-pakalpojumu plānots publicēt </w:t>
      </w:r>
      <w:proofErr w:type="spellStart"/>
      <w:r w:rsidRPr="004E4BF7">
        <w:t>www.latvija.lv</w:t>
      </w:r>
      <w:proofErr w:type="spellEnd"/>
      <w:r>
        <w:t xml:space="preserve"> vietnē un tas ieinteresētajām personām būs pieejams, izmantojot </w:t>
      </w:r>
      <w:proofErr w:type="spellStart"/>
      <w:r w:rsidRPr="004E4BF7">
        <w:t>www.latvija.lv</w:t>
      </w:r>
      <w:proofErr w:type="spellEnd"/>
      <w:r>
        <w:t xml:space="preserve"> autentifikācijas risinājumus. Pēc pakalpojuma pieprasīšanas personai tiks attēlota aktuālā informācija, kas uz pieprasīšanas brīdi par konkrēto personu ir reģistrēta VIIS, dodot iespēju operatīvi saņemt interesējošo informāciju. </w:t>
      </w:r>
    </w:p>
    <w:p w:rsidR="00452971" w:rsidRDefault="00D05765" w:rsidP="00247E48">
      <w:pPr>
        <w:pStyle w:val="BodyText"/>
      </w:pPr>
      <w:r w:rsidRPr="00CE5CCD">
        <w:t>Šobr</w:t>
      </w:r>
      <w:r w:rsidRPr="00D05765">
        <w:t xml:space="preserve">īd personai, kas vēlas </w:t>
      </w:r>
      <w:r w:rsidR="00CE5CCD">
        <w:t xml:space="preserve">iegūt informāciju par datiem, kas par konkrēto personu reģistrēti VIIS, piemēram, absolvētās izglītības iestādes un izglītības programmas, informācija par izsniegto izglītības diplomu (izsniegšanas datums, numurs) un citiem VIIS reģistrētiem datiem, informācijas pieprasījums ir rakstiski jāiesniedz IZM. E-pakalpojuma izveide būtiski samazinātu informācijas iegūšanai nepieciešamo laiku un resursus, sniedzot iespēju personai pašai piekļūt par sevi reģistrētajiem datiem izglītības reģistros (VIIS). </w:t>
      </w:r>
      <w:r w:rsidR="00737403">
        <w:t>E</w:t>
      </w:r>
      <w:r w:rsidR="007516BA">
        <w:t>-pakalpojuma izveide</w:t>
      </w:r>
      <w:r w:rsidR="00737403">
        <w:t xml:space="preserve"> ne vien samazinās informācijas iegūšanai nepieciešamo laiku pieprasītāja pusē, bet arī samazinās informācijas pieprasījumu apstrādei, informācijas sagatavošanai un nodošanai līdz šim izmantot</w:t>
      </w:r>
      <w:r w:rsidR="007E30DE">
        <w:t>o</w:t>
      </w:r>
      <w:r w:rsidR="00737403">
        <w:t>s resursus IZM, dodot iespēju tos novirzīt iestādes pamatfunkciju izpildei.</w:t>
      </w:r>
    </w:p>
    <w:p w:rsidR="006A17C7" w:rsidRDefault="00A17F94" w:rsidP="006A17C7">
      <w:pPr>
        <w:pStyle w:val="BodyText"/>
      </w:pPr>
      <w:r>
        <w:t xml:space="preserve">Cits </w:t>
      </w:r>
      <w:r w:rsidR="00793923">
        <w:t>VIIS attīstības ietvaros plānota</w:t>
      </w:r>
      <w:r w:rsidR="009C2460">
        <w:t>is</w:t>
      </w:r>
      <w:r w:rsidR="006A17C7">
        <w:t xml:space="preserve"> </w:t>
      </w:r>
      <w:r w:rsidR="00793923">
        <w:t>e-</w:t>
      </w:r>
      <w:r w:rsidR="006A17C7">
        <w:t>pakalpojum</w:t>
      </w:r>
      <w:r w:rsidR="009C2460">
        <w:t>s</w:t>
      </w:r>
      <w:r w:rsidR="006A17C7">
        <w:t xml:space="preserve"> </w:t>
      </w:r>
      <w:r w:rsidR="0099566A">
        <w:t xml:space="preserve">ir </w:t>
      </w:r>
      <w:r w:rsidR="006A17C7">
        <w:t xml:space="preserve">saistīts ar </w:t>
      </w:r>
      <w:r w:rsidR="007E30DE">
        <w:t xml:space="preserve">MK noteikumiem Nr.404 </w:t>
      </w:r>
      <w:r w:rsidR="006A17C7">
        <w:t>par bērna uzraudzības pakalpojumu sniegšanu. Bērnu uzraudzības pakalpojums ir kvalificēts uzraudzības un aprūpes pakalpojums, kura mērķis ir nodrošināt bērna atrašanos pieaugušā klātbūtnē un drošu, saturīgu un lietderīgu dienas organizēšanu bērnam, sekmējot bērna vispusīgu attīstību. Bērnu uzraudzības pakalpojuma sniegšanai MK noteikumos Nr.404 noteiktas profesionālās kvalifikācijas un drošības prasības. Par šo prasību ievērošanu atbildīgas visas personas (juridiskās un fiziskās), kas reģistrējušās IKVD. Šobrīd bērna uzraudzības pakalpojumu sniedzēji reģistrēti publiski pieejamā MS Excel datnē, bet atbilstoši MK noteikumiem</w:t>
      </w:r>
      <w:r w:rsidR="0099566A">
        <w:t xml:space="preserve"> Nr.</w:t>
      </w:r>
      <w:r w:rsidR="006A17C7">
        <w:t>404 šis reģistrs no 2015.gada kļūs par VIIS sastāvdaļu. Tādējādi atbilstoši normatīvajiem aktiem ir nepieciešams izveidot jaunu reģistru VIIS un saglabāt šī reģistra publisko pieejamību</w:t>
      </w:r>
      <w:r w:rsidR="0099566A">
        <w:t xml:space="preserve">, </w:t>
      </w:r>
      <w:r w:rsidR="006A17C7">
        <w:t>sniedzot iespēju ar ikvienam saņemt informāciju par personām, kas nodarbojas ar bērna uzraudzības pakalpojumu sniegšanu. Nepieciešamību pēc jauna reģistra nosaka MK noteikumi</w:t>
      </w:r>
      <w:r w:rsidR="0099566A">
        <w:t xml:space="preserve"> Nr.</w:t>
      </w:r>
      <w:r w:rsidR="006A17C7">
        <w:t xml:space="preserve">404, kas nosaka specifisku informāciju, kas apkopojama par katru pakalpojuma sniedzēju. Bet informācijas pieejamība sabiedrībai ir būtiska, jo, piemēram, izbeidzoties darba tiesiskajām attiecībām ar privātpersonām, kuras nodarbina juridiska persona, beidzas arī šo privātpersonu tiesības nodarboties ar bērna uzraudzības pakalpojumu sniegšanu. Šāda informācija tiek regulāri aktualizēta minētajā reģistrā </w:t>
      </w:r>
      <w:r w:rsidR="006A17C7">
        <w:lastRenderedPageBreak/>
        <w:t>un tās pieejamība sabiedrībai ir būtiska publiskajai ticamībai par person</w:t>
      </w:r>
      <w:r w:rsidR="0099566A">
        <w:t>as</w:t>
      </w:r>
      <w:r w:rsidR="006A17C7">
        <w:t>, kas nodarbojas ar bērna uzraudzības pakalpojumu sniegšanu, kompetencēm un atbilstību amatam.</w:t>
      </w:r>
    </w:p>
    <w:p w:rsidR="00793923" w:rsidRDefault="006A17C7" w:rsidP="006A17C7">
      <w:pPr>
        <w:pStyle w:val="BodyText"/>
      </w:pPr>
      <w:r>
        <w:t xml:space="preserve">Pēc reģistra pārnešanas uz VIIS </w:t>
      </w:r>
      <w:r w:rsidR="00793923">
        <w:t xml:space="preserve">plānots </w:t>
      </w:r>
      <w:r>
        <w:t xml:space="preserve">izveidot </w:t>
      </w:r>
      <w:r w:rsidR="00793923">
        <w:t>e-pakalpojumu</w:t>
      </w:r>
      <w:r w:rsidR="007E30DE">
        <w:t xml:space="preserve"> 4.elektronizācijas līmenī</w:t>
      </w:r>
      <w:r w:rsidR="00793923">
        <w:t xml:space="preserve"> </w:t>
      </w:r>
      <w:r w:rsidR="00793923" w:rsidRPr="004E4BF7">
        <w:rPr>
          <w:b/>
        </w:rPr>
        <w:t>„Informācija par aukles statusu reģistrā”</w:t>
      </w:r>
      <w:r w:rsidRPr="00793923">
        <w:t>,</w:t>
      </w:r>
      <w:r>
        <w:t xml:space="preserve"> ar kura palīdzību, piemēram, identificējot bērna uzraudzības pakalpojuma sniedzēju, ikvienam būtu iespējams pārliecināties par šīs personas tiesīb</w:t>
      </w:r>
      <w:r w:rsidR="0099566A">
        <w:t>u statusu</w:t>
      </w:r>
      <w:r>
        <w:t xml:space="preserve"> sniegt bērnu uzraudzības pakalpojumus (pakalpojuma sniegšanas reģistrācijas lēmuma datums, veiktie grozījumi reģistrā u.c.).</w:t>
      </w:r>
      <w:r w:rsidR="00793923">
        <w:t xml:space="preserve"> Piekļūstot e-pakalpojumam (izmantojot </w:t>
      </w:r>
      <w:proofErr w:type="spellStart"/>
      <w:r w:rsidR="007516BA" w:rsidRPr="004E4BF7">
        <w:t>www.latvija.lv</w:t>
      </w:r>
      <w:proofErr w:type="spellEnd"/>
      <w:r w:rsidR="00793923">
        <w:t xml:space="preserve"> autentifikācijas risinājumus), personai būs iespējas meklēt bērnu uzraudzības pakalpojumu sniedzējus vismaz pēc tādām pazīmēm kā juridiskas personas nosaukums vai fiziskas</w:t>
      </w:r>
      <w:r w:rsidR="00793923" w:rsidRPr="00793923">
        <w:t xml:space="preserve"> personas vārd</w:t>
      </w:r>
      <w:r w:rsidR="00793923">
        <w:t>s,</w:t>
      </w:r>
      <w:r w:rsidR="00793923" w:rsidRPr="00793923">
        <w:t xml:space="preserve"> uzvārd</w:t>
      </w:r>
      <w:r w:rsidR="00793923">
        <w:t>s; atrašanās vieta, adrese vai daļēja adrese u.c.</w:t>
      </w:r>
      <w:r w:rsidR="007516BA">
        <w:t xml:space="preserve"> Tādejādi ieinteresētajām personām būs pieejama aktuāla informācija par oficiāli reģistrētiem bērnu uzraudzības pakalpojumu sniedzējiem.</w:t>
      </w:r>
    </w:p>
    <w:p w:rsidR="00C21487" w:rsidRDefault="00CB2710" w:rsidP="006A17C7">
      <w:pPr>
        <w:pStyle w:val="BodyText"/>
      </w:pPr>
      <w:r>
        <w:t>Saskaņā ar Centrālās statistikas pārvaldes datiem</w:t>
      </w:r>
      <w:r>
        <w:rPr>
          <w:rStyle w:val="FootnoteReference"/>
        </w:rPr>
        <w:footnoteReference w:id="4"/>
      </w:r>
      <w:r>
        <w:t xml:space="preserve"> 2013.gadā bērnu skaits Latvijā vecumā no 0 līdz 7 gadiem sasniedza </w:t>
      </w:r>
      <w:r w:rsidRPr="00CB2710">
        <w:t>164</w:t>
      </w:r>
      <w:r>
        <w:t> </w:t>
      </w:r>
      <w:r w:rsidRPr="00CB2710">
        <w:t>234</w:t>
      </w:r>
      <w:r>
        <w:t xml:space="preserve"> bērnu, no kuriem vairāk kā 30 % </w:t>
      </w:r>
      <w:r w:rsidR="00C21487">
        <w:t>jeb aptuveni 49 tūkstoši bērnu reģistrēti Rīgas reģionā. Ņemot vērā nepietiekošo vietu skaitu pirms</w:t>
      </w:r>
      <w:r w:rsidR="001D75E5">
        <w:t>s</w:t>
      </w:r>
      <w:r w:rsidR="00C21487">
        <w:t>kolas izglītības iestādēs, Rīgas pašvaldība nodrošina līdzfinansējumu bērn</w:t>
      </w:r>
      <w:r w:rsidR="001D75E5">
        <w:t xml:space="preserve">u pirmsskolas izglītībai. </w:t>
      </w:r>
      <w:r w:rsidR="00C21487">
        <w:t xml:space="preserve">Saskaņā ar Rīgas domes sniegtajiem datiem </w:t>
      </w:r>
      <w:r w:rsidR="00C21487" w:rsidRPr="00C21487">
        <w:t xml:space="preserve">Rīgas pilsētas pašvaldības līdzfinansējuma izmaksu 2014.gada martā </w:t>
      </w:r>
      <w:r w:rsidR="00C21487">
        <w:t xml:space="preserve">saņēmuši 4 659 bērni pirmsskolas vecumā. </w:t>
      </w:r>
      <w:r w:rsidR="001D75E5">
        <w:t xml:space="preserve">Pirmsskolas vecuma bērnu, kas neapmeklē pašvaldības pirmsskolas izglītības iestādes, vecāki ir uzskatāmi par tiešo bērnu uzraudzības pakalpojuma un attiecīgi arī paredzētā e-pakalpojuma lietotājiem. Tādejādi pieņemot, ka katra pašvaldības pirmsskolas izglītības iestādi neapmeklējošā bērna vecāki pirms bērnu uzraudzības pakalpojuma sniedzēja izvēles pārbauda vismaz 3 pretendentus, tad izveidojamā e-pakalpojuma pieprasījumu skaits jau </w:t>
      </w:r>
      <w:r w:rsidR="00486ED1">
        <w:t xml:space="preserve">tikai </w:t>
      </w:r>
      <w:r w:rsidR="001D75E5">
        <w:t xml:space="preserve">Rīgas pašvaldībā </w:t>
      </w:r>
      <w:r w:rsidR="00486ED1">
        <w:t>varētu pārsniegt</w:t>
      </w:r>
      <w:r w:rsidR="001D75E5">
        <w:t xml:space="preserve"> 10 000 pieprasījumu. Par pakalpojuma pieprasījumu un tā pieaugumu liecina arī valsts atbalsta saņēmēju</w:t>
      </w:r>
      <w:r w:rsidR="00486ED1">
        <w:rPr>
          <w:rStyle w:val="FootnoteReference"/>
        </w:rPr>
        <w:footnoteReference w:id="5"/>
      </w:r>
      <w:r w:rsidR="001D75E5">
        <w:t xml:space="preserve"> skaita pieaugums, kas no 960 bērniem 2014.gada 1.martā ir pieaudzis līdz 1 100 bērniem 2014.gada 1.aprīlī un turpina pieaugt.</w:t>
      </w:r>
    </w:p>
    <w:p w:rsidR="006A17C7" w:rsidRDefault="006A17C7" w:rsidP="006A17C7">
      <w:pPr>
        <w:pStyle w:val="BodyText"/>
      </w:pPr>
      <w:r>
        <w:t xml:space="preserve">Šajā gadījumā nepieciešamību pēc atsevišķu VIIS papildinājumu izstrādes nosaka normatīvie akti. </w:t>
      </w:r>
      <w:r w:rsidR="00CB2710">
        <w:t>Tāpat šī</w:t>
      </w:r>
      <w:r>
        <w:t xml:space="preserve"> pieeja saskan</w:t>
      </w:r>
      <w:r w:rsidR="0099566A" w:rsidRPr="0099566A">
        <w:t xml:space="preserve"> </w:t>
      </w:r>
      <w:r w:rsidR="0099566A">
        <w:t>arī</w:t>
      </w:r>
      <w:r>
        <w:t xml:space="preserve"> ar ISAP mērķi virzīties uz centralizētu platformu veidošanu resoros nevis attīstīt decentralizētas datu uzkrāšanas platformas atsevišķās iestādēs.</w:t>
      </w:r>
    </w:p>
    <w:p w:rsidR="00ED51A0" w:rsidRDefault="00A17F94" w:rsidP="00ED51A0">
      <w:pPr>
        <w:pStyle w:val="BodyText"/>
      </w:pPr>
      <w:r>
        <w:t xml:space="preserve">Vēl viena e-pakalpojuma izveide saistīta </w:t>
      </w:r>
      <w:r w:rsidR="00ED51A0">
        <w:t>ar likumu „Par iedzīvotāju ienākumu nodokli”</w:t>
      </w:r>
      <w:r>
        <w:t>;</w:t>
      </w:r>
      <w:r w:rsidR="00ED51A0">
        <w:t xml:space="preserve"> lai studējošā vecāks (attiecībā uz studentiem vecumā no 18 līdz 24 gadiem) varētu saņemt </w:t>
      </w:r>
      <w:r w:rsidR="007E30DE">
        <w:t xml:space="preserve">iedzīvotāju ienākuma </w:t>
      </w:r>
      <w:r w:rsidR="00ED51A0">
        <w:t xml:space="preserve">nodokļa atvieglojumus, nepieciešams </w:t>
      </w:r>
      <w:r w:rsidR="007E30DE">
        <w:t xml:space="preserve">VID </w:t>
      </w:r>
      <w:r w:rsidR="00ED51A0">
        <w:t xml:space="preserve">iesniegt izziņu no izglītības iestādes, kas apliecina, ka aizgādībā esošā persona ir pilna laika students. Izziņas saņemšanai </w:t>
      </w:r>
      <w:r w:rsidR="007E30DE">
        <w:t>tā</w:t>
      </w:r>
      <w:r w:rsidR="00ED51A0">
        <w:t xml:space="preserve"> ir pieprasāma izglītības iestādē, kurā aizgādībā esošā persona studē, un papīra formā </w:t>
      </w:r>
      <w:r w:rsidR="007E30DE">
        <w:t>jāiesniedz VID</w:t>
      </w:r>
      <w:r w:rsidR="00ED51A0">
        <w:t>.</w:t>
      </w:r>
    </w:p>
    <w:p w:rsidR="00ED51A0" w:rsidRDefault="00EC5291" w:rsidP="00ED51A0">
      <w:pPr>
        <w:pStyle w:val="BodyText"/>
      </w:pPr>
      <w:r>
        <w:t>Informācija par personām, kas izglītību iegūst profesionālajās izglītības iestādes, jau šobrīd ir pieejama VIIS. Līdz ar VIIS paplašināšanu un studējošo reģistra izstrādi, VIIS būs pieejama informācija arī par augstākās izglītības iestādēs studējošajiem. Tādejādi VIIS būs elektroniski pieejama informācija, kuras iegūšana un snie</w:t>
      </w:r>
      <w:r w:rsidR="007E30DE">
        <w:t>gšana šobrīd tiek veikta manuāli</w:t>
      </w:r>
      <w:r>
        <w:t xml:space="preserve">, iesaistoties kā izglītības iestādēm, tā iedzīvotājiem. Līdz ar to VIIS attīstības ietvaros plānota </w:t>
      </w:r>
      <w:r w:rsidRPr="004E4BF7">
        <w:t xml:space="preserve">5. elektronizācijas līmeņa </w:t>
      </w:r>
      <w:r w:rsidRPr="004E4BF7">
        <w:rPr>
          <w:b/>
        </w:rPr>
        <w:t>e-pakalpojuma izveide, nodrošinot automatizētu datu apmaiņu starp VIIS un VID IS par personām, kas turpina izglītošanos pēc 18 gadu vecuma sasniegšanas un līdz 24 gadiem.</w:t>
      </w:r>
    </w:p>
    <w:p w:rsidR="00737403" w:rsidRDefault="007E30DE" w:rsidP="00ED51A0">
      <w:pPr>
        <w:pStyle w:val="BodyText"/>
      </w:pPr>
      <w:r>
        <w:t>Lai nodrošinātu minētā e-pakalpojuma darbību, VIIS attīstības ietvaros plānota sadarbības līguma noslēgšana ar VID</w:t>
      </w:r>
      <w:r w:rsidR="00A11441">
        <w:rPr>
          <w:rStyle w:val="FootnoteReference"/>
        </w:rPr>
        <w:footnoteReference w:id="6"/>
      </w:r>
      <w:r>
        <w:t>, definējot starp iestādēm nododamo un saņemamo informāciju, tās apmaiņas biežumu un citus būtiskus jautājumus. Tā kā e-pakalpojuma izpildes nodrošināšanai ir būtiska profesionālajās izglītības iestādēs un augstākajās izglītības iestādēs studējošo reģistru atjaunošana, tad attīstības ietvaros paredzēta ar</w:t>
      </w:r>
      <w:r w:rsidR="00A17F94">
        <w:t>ī</w:t>
      </w:r>
      <w:r>
        <w:t xml:space="preserve"> reģistru atjaunošanas kārtības pārskatīšana, nodrošinot aktuālus datus par izglītības iestādēs studējošajiem, kas var tikt nodot</w:t>
      </w:r>
      <w:r w:rsidR="00A17F94">
        <w:t>i</w:t>
      </w:r>
      <w:r>
        <w:t xml:space="preserve"> VID iedzīvotāju ienākuma nodokļu atvieglojumu aprēķināšanai. </w:t>
      </w:r>
    </w:p>
    <w:p w:rsidR="00247E48" w:rsidRDefault="00247E48" w:rsidP="00247E48">
      <w:pPr>
        <w:pStyle w:val="Heading2"/>
      </w:pPr>
      <w:bookmarkStart w:id="20" w:name="_Toc380412385"/>
      <w:bookmarkStart w:id="21" w:name="_Toc378872762"/>
      <w:bookmarkStart w:id="22" w:name="_Toc378891328"/>
      <w:bookmarkStart w:id="23" w:name="_Toc378891367"/>
      <w:bookmarkStart w:id="24" w:name="_Toc378917010"/>
      <w:bookmarkStart w:id="25" w:name="_Toc378918406"/>
      <w:bookmarkStart w:id="26" w:name="_Toc388454848"/>
      <w:bookmarkEnd w:id="20"/>
      <w:bookmarkEnd w:id="21"/>
      <w:bookmarkEnd w:id="22"/>
      <w:bookmarkEnd w:id="23"/>
      <w:bookmarkEnd w:id="24"/>
      <w:bookmarkEnd w:id="25"/>
      <w:r>
        <w:lastRenderedPageBreak/>
        <w:t xml:space="preserve">VIIS </w:t>
      </w:r>
      <w:r w:rsidR="00DC45B8">
        <w:t>uzkrāto datu izguves uzlabošana</w:t>
      </w:r>
      <w:bookmarkEnd w:id="26"/>
      <w:r w:rsidR="00DC45B8">
        <w:t xml:space="preserve"> </w:t>
      </w:r>
    </w:p>
    <w:p w:rsidR="00247E48" w:rsidRDefault="0055630A" w:rsidP="00834F57">
      <w:pPr>
        <w:pStyle w:val="BodyText"/>
      </w:pPr>
      <w:r>
        <w:t xml:space="preserve">Viens no </w:t>
      </w:r>
      <w:r w:rsidR="00D7083E">
        <w:t>pamatnostādnēs</w:t>
      </w:r>
      <w:r w:rsidR="00D7083E" w:rsidRPr="00D7083E">
        <w:t xml:space="preserve"> </w:t>
      </w:r>
      <w:r>
        <w:t xml:space="preserve">izvirzītajiem mērķiem paredz uzlabot resursu pārvaldības efektivitāti, attīstot izglītības iestāžu institucionālo izcilību. Tā īstenošanai izvirzīti vairāki rīcības virzieni, tajā skaitā </w:t>
      </w:r>
      <w:r w:rsidR="00D7083E">
        <w:t>i</w:t>
      </w:r>
      <w:r w:rsidR="00D7083E" w:rsidRPr="00D7083E">
        <w:t>zglītības kvalitātes monitoringa sistēmas pilnveide</w:t>
      </w:r>
      <w:r>
        <w:t>, kas visām ieinteresētajām pusēm dod iespēju izsekot, novērtēt un, izrietoši, ietekmēt ar izglītību saistītos procesus un rezultātus.</w:t>
      </w:r>
      <w:r w:rsidR="00834F57">
        <w:t xml:space="preserve"> Rīcības virziena ietvaros veicamo uzdevumu rezultātā tiks veicināta izglītības procesu un rezultātu pārskatāmība un caurspīdīgums, tādejādi dodot iespēju tos salīdzināt institucionālā, nacionālā un starptautiskā līmenī, lai identificētu spēcīgās un vājās puses un uzlabotu izglītības kvalitāti.</w:t>
      </w:r>
    </w:p>
    <w:p w:rsidR="0068126D" w:rsidRDefault="0068126D" w:rsidP="00834F57">
      <w:pPr>
        <w:pStyle w:val="BodyText"/>
      </w:pPr>
      <w:r>
        <w:t xml:space="preserve">Saskaņā ar </w:t>
      </w:r>
      <w:r w:rsidRPr="00EB758D">
        <w:t>201</w:t>
      </w:r>
      <w:r>
        <w:t>4.-2020.gada plānošanas perioda 10.2.</w:t>
      </w:r>
      <w:r w:rsidRPr="002918ED">
        <w:rPr>
          <w:i/>
        </w:rPr>
        <w:t>ex-ante</w:t>
      </w:r>
      <w:r>
        <w:t xml:space="preserve"> nosacījuma izpildes kritērijiem, Latvijai ir jānodrošina mehānismi mācības priekšlaicīgas pārtraukšanas mazināšanai un izglītības ieguves rādītāju uzlabošanai, </w:t>
      </w:r>
      <w:proofErr w:type="spellStart"/>
      <w:r>
        <w:t>t.k</w:t>
      </w:r>
      <w:proofErr w:type="spellEnd"/>
      <w:r>
        <w:t xml:space="preserve">. jānodrošina priekšlaicīgu mācību pārtraukšanu saistītu datu, informācijas analīzes un politiku veidošanas sistēmas esamība. </w:t>
      </w:r>
      <w:r w:rsidR="0091788F">
        <w:t xml:space="preserve">Tādejādi, lai nodrošinātu kritēriju izpildi, vispirms ir būtiski nodrošināt uzticamus un aktuālus datus </w:t>
      </w:r>
      <w:r w:rsidR="0091788F" w:rsidRPr="0091788F">
        <w:t>politikas plānotāj</w:t>
      </w:r>
      <w:r w:rsidR="0091788F">
        <w:t>iem</w:t>
      </w:r>
      <w:r w:rsidR="0091788F" w:rsidRPr="0091788F">
        <w:t xml:space="preserve"> priekšlaicīgi skolu pametušo bērnu un jauniešu problemātikas analīzei</w:t>
      </w:r>
      <w:r w:rsidR="0091788F">
        <w:t xml:space="preserve"> un politikas veidošanai</w:t>
      </w:r>
      <w:r w:rsidR="00D810F2">
        <w:t xml:space="preserve"> un atbilstošus šo datu iegūšanas instrumentus</w:t>
      </w:r>
      <w:r w:rsidR="0091788F">
        <w:t>.</w:t>
      </w:r>
    </w:p>
    <w:p w:rsidR="0055630A" w:rsidRDefault="00834F57" w:rsidP="0055630A">
      <w:pPr>
        <w:pStyle w:val="BodyText"/>
      </w:pPr>
      <w:r>
        <w:t xml:space="preserve">Kā IZM, tā tās padotības iestādēm, pašvaldībām, izglītības iestādēm un citām iesaistītajām pusēm savu funkciju un uzdevumu sekmīgai īstenošanai ir būtiska uzticamas un pilnīgas informācijas pieejamība par esošo situāciju un tās vēsturisko attīstību, kas var tikt izmantota situācijas novērtēšanā un turpmāko lēmumu pieņemšanā. </w:t>
      </w:r>
      <w:r w:rsidR="0055630A">
        <w:t xml:space="preserve">VIIS kā valsts </w:t>
      </w:r>
      <w:r w:rsidR="009B7F6A">
        <w:t>IS</w:t>
      </w:r>
      <w:r w:rsidR="0055630A">
        <w:t xml:space="preserve"> pamatmērķis ir </w:t>
      </w:r>
      <w:r w:rsidR="0055630A" w:rsidRPr="0055630A">
        <w:t>nodrošināt valsts, pašvaldību un izglītības iestāžu funkciju īstenošanu izglītības jomā</w:t>
      </w:r>
      <w:r>
        <w:t>, tādejādi būtiska VIIS loma ir pilnīgas un uzticamas informācijas pieejamības nodrošināšanā.</w:t>
      </w:r>
    </w:p>
    <w:p w:rsidR="00834F57" w:rsidRDefault="00834F57" w:rsidP="0055630A">
      <w:pPr>
        <w:pStyle w:val="BodyText"/>
      </w:pPr>
      <w:r>
        <w:t xml:space="preserve">Informācijas </w:t>
      </w:r>
      <w:r w:rsidR="00860A47">
        <w:t xml:space="preserve">apkopošanas un analīzes vajadzībām VIIS </w:t>
      </w:r>
      <w:r w:rsidR="001D265B">
        <w:t xml:space="preserve">2.kārtas ietvaros </w:t>
      </w:r>
      <w:r w:rsidR="00860A47">
        <w:t xml:space="preserve">ir izstrādāts pārskatu un analīzes risinājums, kas nodrošina iespēju ģenerēt pārskatus dažādām lietotāju grupām un vajadzībām. </w:t>
      </w:r>
      <w:r w:rsidR="00860A47" w:rsidRPr="00860A47">
        <w:t xml:space="preserve">Pārskatus un analīzi </w:t>
      </w:r>
      <w:r w:rsidR="001D265B">
        <w:t xml:space="preserve">šobrīd </w:t>
      </w:r>
      <w:r w:rsidR="00860A47" w:rsidRPr="00860A47">
        <w:t xml:space="preserve">iespējams </w:t>
      </w:r>
      <w:r w:rsidR="00860A47">
        <w:t>realizēt</w:t>
      </w:r>
      <w:r w:rsidR="00860A47" w:rsidRPr="00860A47">
        <w:t xml:space="preserve"> šādos veidos:</w:t>
      </w:r>
    </w:p>
    <w:p w:rsidR="00860A47" w:rsidRDefault="007919FA" w:rsidP="005418DE">
      <w:pPr>
        <w:pStyle w:val="BodyText"/>
        <w:numPr>
          <w:ilvl w:val="0"/>
          <w:numId w:val="27"/>
        </w:numPr>
        <w:tabs>
          <w:tab w:val="clear" w:pos="720"/>
        </w:tabs>
        <w:ind w:left="426" w:hanging="426"/>
      </w:pPr>
      <w:r>
        <w:t>A</w:t>
      </w:r>
      <w:r w:rsidR="00860A47">
        <w:t>pskatot operatīvos statiskos pārskatus, kuri kā informācijas avotu izmanto sistēmu ietvaros izveidotās operatīvās datu bāzes;</w:t>
      </w:r>
    </w:p>
    <w:p w:rsidR="00860A47" w:rsidRDefault="007919FA" w:rsidP="005418DE">
      <w:pPr>
        <w:pStyle w:val="BodyText"/>
        <w:numPr>
          <w:ilvl w:val="0"/>
          <w:numId w:val="27"/>
        </w:numPr>
        <w:tabs>
          <w:tab w:val="clear" w:pos="720"/>
        </w:tabs>
        <w:ind w:left="426" w:hanging="426"/>
      </w:pPr>
      <w:r>
        <w:t>A</w:t>
      </w:r>
      <w:r w:rsidR="00860A47">
        <w:t>pskatot statiskos vai veidojot un apskatot dinamiskos pārskatus, kuri kā informācijas avotu izmanto datu noliktavu;</w:t>
      </w:r>
    </w:p>
    <w:p w:rsidR="001D265B" w:rsidRDefault="007919FA" w:rsidP="005418DE">
      <w:pPr>
        <w:pStyle w:val="BodyText"/>
        <w:numPr>
          <w:ilvl w:val="0"/>
          <w:numId w:val="27"/>
        </w:numPr>
        <w:tabs>
          <w:tab w:val="clear" w:pos="720"/>
        </w:tabs>
        <w:ind w:left="426" w:hanging="426"/>
      </w:pPr>
      <w:r>
        <w:t>A</w:t>
      </w:r>
      <w:r w:rsidR="001D265B">
        <w:t xml:space="preserve">pskatot statiskus pārskatus, kas veidoti no </w:t>
      </w:r>
      <w:proofErr w:type="spellStart"/>
      <w:r w:rsidR="001D265B" w:rsidRPr="001D265B">
        <w:t>On-Line</w:t>
      </w:r>
      <w:proofErr w:type="spellEnd"/>
      <w:r w:rsidR="001D265B" w:rsidRPr="001D265B">
        <w:t xml:space="preserve"> </w:t>
      </w:r>
      <w:proofErr w:type="spellStart"/>
      <w:r w:rsidR="001D265B" w:rsidRPr="001D265B">
        <w:t>Analytical</w:t>
      </w:r>
      <w:proofErr w:type="spellEnd"/>
      <w:r w:rsidR="001D265B" w:rsidRPr="001D265B">
        <w:t xml:space="preserve"> </w:t>
      </w:r>
      <w:proofErr w:type="spellStart"/>
      <w:r w:rsidR="001D265B" w:rsidRPr="001D265B">
        <w:t>Processing</w:t>
      </w:r>
      <w:proofErr w:type="spellEnd"/>
      <w:r w:rsidR="001D265B" w:rsidRPr="001D265B">
        <w:t xml:space="preserve"> </w:t>
      </w:r>
      <w:r w:rsidR="001D265B">
        <w:t>(OLAP)</w:t>
      </w:r>
      <w:r w:rsidR="001D265B">
        <w:rPr>
          <w:rStyle w:val="FootnoteReference"/>
        </w:rPr>
        <w:footnoteReference w:id="7"/>
      </w:r>
      <w:r w:rsidR="001D265B">
        <w:t xml:space="preserve"> sistēmas dažādiem datu griezumiem;</w:t>
      </w:r>
    </w:p>
    <w:p w:rsidR="001D265B" w:rsidRDefault="007919FA" w:rsidP="005418DE">
      <w:pPr>
        <w:pStyle w:val="BodyText"/>
        <w:numPr>
          <w:ilvl w:val="0"/>
          <w:numId w:val="27"/>
        </w:numPr>
        <w:tabs>
          <w:tab w:val="clear" w:pos="720"/>
        </w:tabs>
        <w:ind w:left="426" w:hanging="426"/>
      </w:pPr>
      <w:r>
        <w:t>V</w:t>
      </w:r>
      <w:r w:rsidR="001D265B">
        <w:t>eicot datu analīzi, izmantojot datu analīzei un dažādu griezumu apskatīšanai piemērotus rīkus; kā datu avotu izmantojot datu analīzes kubus.</w:t>
      </w:r>
    </w:p>
    <w:p w:rsidR="001D265B" w:rsidRDefault="0051599E" w:rsidP="00247E48">
      <w:pPr>
        <w:pStyle w:val="BodyText"/>
      </w:pPr>
      <w:r>
        <w:t>Ņemot vērā izglītības kvalitātes monitoringa sistēmas pilnveidošanu kā vienu no būtiskajām izglītības sistēmas attīstības prioritātēm 2014.-2020.gadam, pieaug nepieciešamība pēc datu analīzes iespēju paplašināšanas. Līdz ar to VIIS attīstības iepriekšējās kārtas ietvaros datu analīzes kubos definētās dimensijas, kas nodrošina tikai daļēju VIIS uzkrāto datu izmantošanu analīzes un pārskatu sagatavošanai, nav pietiekamas pieaugošo analīzes vajadzību apmierināšanai.</w:t>
      </w:r>
      <w:r w:rsidR="00DE211F">
        <w:t xml:space="preserve"> </w:t>
      </w:r>
      <w:r w:rsidR="006E3BA4">
        <w:t>L</w:t>
      </w:r>
      <w:r w:rsidR="006E3BA4" w:rsidRPr="00DE211F">
        <w:t xml:space="preserve">ai mazinātu priekšlaicīgu mācību pārtraukšanu (PMP), ņemot vērā LESD 165. pantā noteiktos ierobežojumus, </w:t>
      </w:r>
      <w:r w:rsidR="006E3BA4">
        <w:t>ir jā</w:t>
      </w:r>
      <w:r w:rsidR="006E3BA4" w:rsidRPr="00DE211F">
        <w:t>pilnveido</w:t>
      </w:r>
      <w:r w:rsidR="006E3BA4">
        <w:t xml:space="preserve"> arī</w:t>
      </w:r>
      <w:r w:rsidR="006E3BA4" w:rsidRPr="00DE211F">
        <w:t xml:space="preserve"> uzskaites sistēmu augstākās izglītības jomā</w:t>
      </w:r>
      <w:r w:rsidR="006E3BA4">
        <w:t xml:space="preserve"> saistībā ar</w:t>
      </w:r>
      <w:r w:rsidR="006E3BA4" w:rsidRPr="00DE211F">
        <w:t xml:space="preserve"> 10.2.ex-ante nosacījuma izpildei atbilstoši Eiropas Komisijas komentāram par 10.1.ex-ante nosacījumu “Priekšlaicīga mācību pārtraukšana: ir izstrādāts stratēģisks politikas satvars</w:t>
      </w:r>
      <w:r w:rsidR="006E3BA4">
        <w:t>.</w:t>
      </w:r>
    </w:p>
    <w:p w:rsidR="0051599E" w:rsidRDefault="0051599E" w:rsidP="00247E48">
      <w:pPr>
        <w:pStyle w:val="BodyText"/>
      </w:pPr>
      <w:r>
        <w:t xml:space="preserve">Tādejādi pilnvērtīgai VIIS uzkrāto datu izmantošanai kvalitātes monitoringa nodrošināšanas vajadzībām ir nepieciešama </w:t>
      </w:r>
      <w:r w:rsidRPr="0051599E">
        <w:rPr>
          <w:b/>
        </w:rPr>
        <w:t xml:space="preserve">VIIS </w:t>
      </w:r>
      <w:r w:rsidR="00CE5CA1">
        <w:rPr>
          <w:b/>
        </w:rPr>
        <w:t>uzkrāto datu izguves</w:t>
      </w:r>
      <w:r w:rsidRPr="0051599E">
        <w:rPr>
          <w:b/>
        </w:rPr>
        <w:t xml:space="preserve"> </w:t>
      </w:r>
      <w:r w:rsidR="00CE5CA1">
        <w:rPr>
          <w:b/>
        </w:rPr>
        <w:t>uzlabošana</w:t>
      </w:r>
      <w:r w:rsidRPr="0051599E">
        <w:rPr>
          <w:b/>
        </w:rPr>
        <w:t xml:space="preserve">, paplašinot esošā risinājuma datu analīzes kubu dimensijas </w:t>
      </w:r>
      <w:r>
        <w:t>tā, lai varētu tikt nodrošināta pilnvērtīga uzkrāto datu analīze.</w:t>
      </w:r>
      <w:r w:rsidR="0091788F">
        <w:t xml:space="preserve"> </w:t>
      </w:r>
      <w:r w:rsidR="0091788F" w:rsidRPr="0091788F">
        <w:t>VIIS datu izguves uzlabošanas rezultātā izstrādātais risinājums nodrošinās iespējas izgūt politikas plānotāju vajadzībām nepieciešamos datus turpmākai apstrādei un analīzei, t.sk. priekšlaicīgi skolu pametušo bērnu un jauniešu problemātikas analīzei.</w:t>
      </w:r>
    </w:p>
    <w:p w:rsidR="00EF0B47" w:rsidRDefault="0051599E" w:rsidP="00247E48">
      <w:pPr>
        <w:pStyle w:val="BodyText"/>
      </w:pPr>
      <w:r>
        <w:t>Lai nodrošinātu</w:t>
      </w:r>
      <w:r w:rsidR="0044200C">
        <w:t xml:space="preserve"> VIIS uzkrāto datu pilnvērtīgu izmantošanu, jāveic:</w:t>
      </w:r>
    </w:p>
    <w:p w:rsidR="0044200C" w:rsidRDefault="001A4A47" w:rsidP="005418DE">
      <w:pPr>
        <w:pStyle w:val="BodyText"/>
        <w:numPr>
          <w:ilvl w:val="0"/>
          <w:numId w:val="28"/>
        </w:numPr>
        <w:tabs>
          <w:tab w:val="clear" w:pos="720"/>
          <w:tab w:val="num" w:pos="426"/>
          <w:tab w:val="num" w:pos="12191"/>
        </w:tabs>
        <w:ind w:left="426" w:hanging="426"/>
      </w:pPr>
      <w:r>
        <w:t>E</w:t>
      </w:r>
      <w:r w:rsidR="0044200C">
        <w:t>sošo VIIS uzkrāto datu kopu pārskatīšana un definēto datu kubu dimensiju analīze;</w:t>
      </w:r>
    </w:p>
    <w:p w:rsidR="0044200C" w:rsidRDefault="001A4A47" w:rsidP="005418DE">
      <w:pPr>
        <w:pStyle w:val="BodyText"/>
        <w:numPr>
          <w:ilvl w:val="0"/>
          <w:numId w:val="28"/>
        </w:numPr>
        <w:tabs>
          <w:tab w:val="clear" w:pos="720"/>
          <w:tab w:val="num" w:pos="426"/>
          <w:tab w:val="num" w:pos="12191"/>
        </w:tabs>
        <w:ind w:left="426" w:hanging="426"/>
      </w:pPr>
      <w:r>
        <w:t>D</w:t>
      </w:r>
      <w:r w:rsidR="0044200C">
        <w:t>atu analīzes un pieejamības vajadzību apzināšana;</w:t>
      </w:r>
    </w:p>
    <w:p w:rsidR="0044200C" w:rsidRDefault="001A4A47" w:rsidP="005418DE">
      <w:pPr>
        <w:pStyle w:val="BodyText"/>
        <w:numPr>
          <w:ilvl w:val="0"/>
          <w:numId w:val="28"/>
        </w:numPr>
        <w:tabs>
          <w:tab w:val="clear" w:pos="720"/>
          <w:tab w:val="num" w:pos="426"/>
          <w:tab w:val="num" w:pos="12191"/>
        </w:tabs>
        <w:ind w:left="426" w:hanging="426"/>
      </w:pPr>
      <w:r>
        <w:lastRenderedPageBreak/>
        <w:t>J</w:t>
      </w:r>
      <w:r w:rsidR="0044200C">
        <w:t>aunu datu kubu dimensiju definēšana;</w:t>
      </w:r>
    </w:p>
    <w:p w:rsidR="0044200C" w:rsidRDefault="001A4A47" w:rsidP="005418DE">
      <w:pPr>
        <w:pStyle w:val="BodyText"/>
        <w:numPr>
          <w:ilvl w:val="0"/>
          <w:numId w:val="28"/>
        </w:numPr>
        <w:tabs>
          <w:tab w:val="clear" w:pos="720"/>
          <w:tab w:val="num" w:pos="426"/>
          <w:tab w:val="num" w:pos="12191"/>
        </w:tabs>
        <w:ind w:left="426" w:hanging="426"/>
      </w:pPr>
      <w:r>
        <w:t>A</w:t>
      </w:r>
      <w:r w:rsidR="0044200C">
        <w:t>tskaišu publicēšanas mehānisma papildināšana, nodrošinot atskaišu publicēšanas iespējas atbilstošā sistēmas modulī.</w:t>
      </w:r>
    </w:p>
    <w:p w:rsidR="0091788F" w:rsidRDefault="0091788F" w:rsidP="004A636E">
      <w:pPr>
        <w:pStyle w:val="BodyText"/>
        <w:tabs>
          <w:tab w:val="num" w:pos="12191"/>
        </w:tabs>
      </w:pPr>
    </w:p>
    <w:p w:rsidR="00247E48" w:rsidRDefault="00247E48" w:rsidP="00247E48">
      <w:pPr>
        <w:pStyle w:val="Heading2"/>
      </w:pPr>
      <w:bookmarkStart w:id="27" w:name="_Toc378872764"/>
      <w:bookmarkStart w:id="28" w:name="_Toc378891330"/>
      <w:bookmarkStart w:id="29" w:name="_Toc378891369"/>
      <w:bookmarkStart w:id="30" w:name="_Toc378917012"/>
      <w:bookmarkStart w:id="31" w:name="_Toc378918408"/>
      <w:bookmarkStart w:id="32" w:name="_Toc378872765"/>
      <w:bookmarkStart w:id="33" w:name="_Toc378891331"/>
      <w:bookmarkStart w:id="34" w:name="_Toc378891370"/>
      <w:bookmarkStart w:id="35" w:name="_Toc378917013"/>
      <w:bookmarkStart w:id="36" w:name="_Toc378918409"/>
      <w:bookmarkStart w:id="37" w:name="_Toc388454849"/>
      <w:bookmarkEnd w:id="27"/>
      <w:bookmarkEnd w:id="28"/>
      <w:bookmarkEnd w:id="29"/>
      <w:bookmarkEnd w:id="30"/>
      <w:bookmarkEnd w:id="31"/>
      <w:bookmarkEnd w:id="32"/>
      <w:bookmarkEnd w:id="33"/>
      <w:bookmarkEnd w:id="34"/>
      <w:bookmarkEnd w:id="35"/>
      <w:bookmarkEnd w:id="36"/>
      <w:r w:rsidRPr="00247E48">
        <w:t>VIIS datu apmaiņas risinājuma attīstība</w:t>
      </w:r>
      <w:bookmarkEnd w:id="37"/>
    </w:p>
    <w:p w:rsidR="00247E48" w:rsidRDefault="00247E48" w:rsidP="00247E48">
      <w:pPr>
        <w:pStyle w:val="BodyText"/>
      </w:pPr>
      <w:r>
        <w:t xml:space="preserve">Lai nodrošinātu VIIS datu apmaiņu ar ārējām, kā arī IZM iekšējām </w:t>
      </w:r>
      <w:r w:rsidR="009B7F6A">
        <w:t>IS</w:t>
      </w:r>
      <w:r>
        <w:t xml:space="preserve">, VIIS ir izstrādātas un publicētas 55 tīmekļa </w:t>
      </w:r>
      <w:proofErr w:type="spellStart"/>
      <w:r>
        <w:t>pakalpes</w:t>
      </w:r>
      <w:proofErr w:type="spellEnd"/>
      <w:r>
        <w:t xml:space="preserve">. </w:t>
      </w:r>
      <w:proofErr w:type="spellStart"/>
      <w:r>
        <w:t>Pakalpes</w:t>
      </w:r>
      <w:proofErr w:type="spellEnd"/>
      <w:r>
        <w:t xml:space="preserve"> veidotas pakāpeniski, </w:t>
      </w:r>
      <w:proofErr w:type="spellStart"/>
      <w:r>
        <w:t>VIIS</w:t>
      </w:r>
      <w:proofErr w:type="spellEnd"/>
      <w:r>
        <w:t xml:space="preserve"> izstrādes gaitā, ņemot vērā gan sākotnēji </w:t>
      </w:r>
      <w:r w:rsidR="00F245B6">
        <w:t>programmatūras prasību specifikācijā</w:t>
      </w:r>
      <w:r>
        <w:t xml:space="preserve"> definētās prasības, gan ekspluatācijas gaitā identificētās vajadzības datu apmaiņai. Tīmekļa </w:t>
      </w:r>
      <w:proofErr w:type="spellStart"/>
      <w:r>
        <w:t>pakalpes</w:t>
      </w:r>
      <w:proofErr w:type="spellEnd"/>
      <w:r>
        <w:t xml:space="preserve"> paš</w:t>
      </w:r>
      <w:r w:rsidR="003F75C2">
        <w:t>lai</w:t>
      </w:r>
      <w:r w:rsidR="005527C0">
        <w:t>k</w:t>
      </w:r>
      <w:r w:rsidR="003F75C2">
        <w:t xml:space="preserve"> nodrošina tādas iespējas kā:</w:t>
      </w:r>
    </w:p>
    <w:p w:rsidR="00247E48" w:rsidRDefault="00247E48" w:rsidP="005418DE">
      <w:pPr>
        <w:pStyle w:val="BodyText"/>
        <w:numPr>
          <w:ilvl w:val="0"/>
          <w:numId w:val="29"/>
        </w:numPr>
        <w:tabs>
          <w:tab w:val="num" w:pos="360"/>
        </w:tabs>
      </w:pPr>
      <w:r>
        <w:t>VIIS uzturēto klasifikatoru iegūšana  (institūcijas, institūciju veidi, institūcijas apmācību personāls, amati u.c.)</w:t>
      </w:r>
      <w:r w:rsidR="003F75C2">
        <w:t>;</w:t>
      </w:r>
    </w:p>
    <w:p w:rsidR="00247E48" w:rsidRDefault="001A4A47" w:rsidP="005418DE">
      <w:pPr>
        <w:pStyle w:val="BodyText"/>
        <w:numPr>
          <w:ilvl w:val="0"/>
          <w:numId w:val="29"/>
        </w:numPr>
        <w:tabs>
          <w:tab w:val="num" w:pos="360"/>
        </w:tabs>
      </w:pPr>
      <w:r>
        <w:t>D</w:t>
      </w:r>
      <w:r w:rsidR="00247E48">
        <w:t>arbības ar izglītību apliecinošiem dokumentiem (iegūt, atcelt, labot)</w:t>
      </w:r>
      <w:r w:rsidR="003F75C2">
        <w:t>;</w:t>
      </w:r>
    </w:p>
    <w:p w:rsidR="00247E48" w:rsidRDefault="001A4A47" w:rsidP="005418DE">
      <w:pPr>
        <w:pStyle w:val="BodyText"/>
        <w:numPr>
          <w:ilvl w:val="0"/>
          <w:numId w:val="29"/>
        </w:numPr>
        <w:tabs>
          <w:tab w:val="num" w:pos="360"/>
        </w:tabs>
      </w:pPr>
      <w:r>
        <w:t>P</w:t>
      </w:r>
      <w:r w:rsidR="00247E48">
        <w:t>ārbaude, vai persona ir reģistrēta, kā apmācāmā persona</w:t>
      </w:r>
      <w:r w:rsidR="003F75C2">
        <w:t>;</w:t>
      </w:r>
    </w:p>
    <w:p w:rsidR="00247E48" w:rsidRDefault="001A4A47" w:rsidP="005418DE">
      <w:pPr>
        <w:pStyle w:val="BodyText"/>
        <w:numPr>
          <w:ilvl w:val="0"/>
          <w:numId w:val="29"/>
        </w:numPr>
        <w:tabs>
          <w:tab w:val="num" w:pos="360"/>
        </w:tabs>
      </w:pPr>
      <w:r>
        <w:t>I</w:t>
      </w:r>
      <w:r w:rsidR="00247E48">
        <w:t>nformācijas saņemšana par iestādes tarifikācijas vienībām</w:t>
      </w:r>
      <w:r w:rsidR="003F75C2">
        <w:t>.</w:t>
      </w:r>
    </w:p>
    <w:p w:rsidR="00247E48" w:rsidRDefault="00247E48" w:rsidP="00247E48">
      <w:pPr>
        <w:pStyle w:val="BodyText"/>
      </w:pPr>
      <w:r>
        <w:t xml:space="preserve">Aktuālo </w:t>
      </w:r>
      <w:proofErr w:type="spellStart"/>
      <w:r>
        <w:t>VIIS</w:t>
      </w:r>
      <w:proofErr w:type="spellEnd"/>
      <w:r>
        <w:t xml:space="preserve"> tīmekļa </w:t>
      </w:r>
      <w:proofErr w:type="spellStart"/>
      <w:r>
        <w:t>pakalpju</w:t>
      </w:r>
      <w:proofErr w:type="spellEnd"/>
      <w:r>
        <w:t xml:space="preserve"> saraksts pieejams vietnē </w:t>
      </w:r>
      <w:hyperlink r:id="rId12" w:history="1">
        <w:r w:rsidR="00E91567" w:rsidRPr="00741194">
          <w:rPr>
            <w:rStyle w:val="Hyperlink"/>
          </w:rPr>
          <w:t>https://viis.lv:444/viiswebservice.asmx</w:t>
        </w:r>
      </w:hyperlink>
      <w:r>
        <w:t xml:space="preserve">. </w:t>
      </w:r>
    </w:p>
    <w:p w:rsidR="003561F8" w:rsidRDefault="00247E48" w:rsidP="00247E48">
      <w:pPr>
        <w:pStyle w:val="BodyText"/>
      </w:pPr>
      <w:r>
        <w:t xml:space="preserve">VIIS ekspluatācijas un uzturēšanas gaitā </w:t>
      </w:r>
      <w:r w:rsidR="00C33B22">
        <w:t xml:space="preserve">no dažādām ieinteresētajām pusēm </w:t>
      </w:r>
      <w:r w:rsidR="000705A8">
        <w:t xml:space="preserve">ir </w:t>
      </w:r>
      <w:r>
        <w:t xml:space="preserve">secināts, ka pastāvīgi rodas jaunas vajadzības datu apmaiņas nodrošināšanai starp VIIS un ārējām </w:t>
      </w:r>
      <w:r w:rsidR="009B7F6A">
        <w:t>IS</w:t>
      </w:r>
      <w:r w:rsidR="00B904D5">
        <w:t>. Uz koncepcijas izstrādes brīdi uzsāktas sarunas par</w:t>
      </w:r>
      <w:r w:rsidR="0019553E">
        <w:t xml:space="preserve"> iespējamu</w:t>
      </w:r>
      <w:r w:rsidR="00B904D5">
        <w:t xml:space="preserve"> datu apmaiņas nodrošināšanu starp VIIS un ārējām IS ar, p</w:t>
      </w:r>
      <w:r w:rsidR="00B904D5" w:rsidRPr="00B904D5">
        <w:t>iemēram</w:t>
      </w:r>
      <w:r w:rsidR="00B904D5">
        <w:t>,</w:t>
      </w:r>
      <w:r w:rsidR="00B904D5" w:rsidRPr="00B904D5">
        <w:t xml:space="preserve"> </w:t>
      </w:r>
      <w:r w:rsidR="00B904D5">
        <w:t>Finanšu ministriju</w:t>
      </w:r>
      <w:r w:rsidR="00B904D5" w:rsidRPr="00B904D5">
        <w:t xml:space="preserve">, </w:t>
      </w:r>
      <w:r w:rsidR="00B904D5">
        <w:t>Iekšlietu ministriju, Veselības ministriju, Centrālās statistikas pārvaldi</w:t>
      </w:r>
      <w:r w:rsidR="00B904D5" w:rsidRPr="00B904D5">
        <w:t xml:space="preserve">, </w:t>
      </w:r>
      <w:r w:rsidR="00B904D5">
        <w:t>Kultūras ministriju</w:t>
      </w:r>
      <w:r w:rsidR="00B904D5" w:rsidRPr="00B904D5">
        <w:t>, Veselības un darbspēju e</w:t>
      </w:r>
      <w:r w:rsidR="00B904D5">
        <w:t>kspertīzes ārstu valsts komisiju</w:t>
      </w:r>
      <w:r w:rsidR="00B904D5" w:rsidRPr="00B904D5">
        <w:t xml:space="preserve">, Valsts </w:t>
      </w:r>
      <w:r w:rsidR="00B904D5">
        <w:t>sociālās apdrošināšanas aģentūru  un citām iestādēm un institūcijām.</w:t>
      </w:r>
      <w:r w:rsidR="000705A8">
        <w:t xml:space="preserve"> </w:t>
      </w:r>
    </w:p>
    <w:p w:rsidR="00185964" w:rsidRDefault="0019553E" w:rsidP="00247E48">
      <w:pPr>
        <w:pStyle w:val="BodyText"/>
      </w:pPr>
      <w:r>
        <w:t xml:space="preserve">Turpmāko iespējamo </w:t>
      </w:r>
      <w:r w:rsidR="00185964">
        <w:t>starpsistēmu saskarņu un datu apmaiņas risinājumu</w:t>
      </w:r>
      <w:r>
        <w:t xml:space="preserve"> attīstība būs iespējama</w:t>
      </w:r>
      <w:r w:rsidR="000705A8">
        <w:t>, veicot attiecīgas izmaiņas</w:t>
      </w:r>
      <w:r>
        <w:t xml:space="preserve"> </w:t>
      </w:r>
      <w:r w:rsidR="000705A8">
        <w:t>normatīvajā</w:t>
      </w:r>
      <w:r>
        <w:t xml:space="preserve"> regulējumā, īpaši </w:t>
      </w:r>
      <w:r w:rsidR="000705A8">
        <w:t xml:space="preserve">ņemot vērā normatīvo regulējumu </w:t>
      </w:r>
      <w:r>
        <w:t>fizisko personu da</w:t>
      </w:r>
      <w:r w:rsidR="000705A8">
        <w:t>t</w:t>
      </w:r>
      <w:r>
        <w:t>u aizsardzības jom</w:t>
      </w:r>
      <w:r w:rsidR="000705A8">
        <w:t>ā</w:t>
      </w:r>
      <w:r>
        <w:t xml:space="preserve">. </w:t>
      </w:r>
    </w:p>
    <w:p w:rsidR="00247E48" w:rsidRDefault="00247E48" w:rsidP="00247E48">
      <w:pPr>
        <w:pStyle w:val="BodyText"/>
      </w:pPr>
      <w:r>
        <w:t xml:space="preserve">Katras šādas datu apmaiņas realizācija prasa IZM administratīvo resursu, kā arī laika un finanšu resursu patēriņu. Datu apmaiņas nodrošināšanai, ja citai iestādei nododamā vai no tās saņemamā informācija nav pilnībā identiska jau realizētās saskarnes iespējām – piemēram ar </w:t>
      </w:r>
      <w:proofErr w:type="spellStart"/>
      <w:r>
        <w:t>pakalpi</w:t>
      </w:r>
      <w:proofErr w:type="spellEnd"/>
      <w:r>
        <w:t xml:space="preserve"> nodrošinātiem datiem nepieciešams papildus parametrs, jāiesaista izstrādātāji un jāaktivizē salīdzinoši komplicēts izmaiņu pārvaldības process.</w:t>
      </w:r>
    </w:p>
    <w:p w:rsidR="00247E48" w:rsidRDefault="00247E48" w:rsidP="00247E48">
      <w:pPr>
        <w:pStyle w:val="BodyText"/>
      </w:pPr>
      <w:r>
        <w:t xml:space="preserve">Aktuālajai ar MS.NET un IIS 7.5 standarta iespējām realizētajai </w:t>
      </w:r>
      <w:proofErr w:type="spellStart"/>
      <w:r>
        <w:t>VIIS</w:t>
      </w:r>
      <w:proofErr w:type="spellEnd"/>
      <w:r>
        <w:t xml:space="preserve"> tīmekļa </w:t>
      </w:r>
      <w:proofErr w:type="spellStart"/>
      <w:r>
        <w:t>pakalpju</w:t>
      </w:r>
      <w:proofErr w:type="spellEnd"/>
      <w:r>
        <w:t xml:space="preserve"> nodrošināšanas platformai identificētas šādas nepilnības:</w:t>
      </w:r>
    </w:p>
    <w:p w:rsidR="00247E48" w:rsidRDefault="001A4A47" w:rsidP="005418DE">
      <w:pPr>
        <w:pStyle w:val="BodyText"/>
        <w:numPr>
          <w:ilvl w:val="0"/>
          <w:numId w:val="30"/>
        </w:numPr>
        <w:tabs>
          <w:tab w:val="clear" w:pos="720"/>
        </w:tabs>
        <w:ind w:left="426" w:hanging="426"/>
      </w:pPr>
      <w:r>
        <w:t>J</w:t>
      </w:r>
      <w:r w:rsidR="00247E48">
        <w:t xml:space="preserve">aunu tīmekļa </w:t>
      </w:r>
      <w:proofErr w:type="spellStart"/>
      <w:r w:rsidR="00247E48">
        <w:t>pakalpju</w:t>
      </w:r>
      <w:proofErr w:type="spellEnd"/>
      <w:r w:rsidR="00247E48">
        <w:t xml:space="preserve"> izstrāde, izvietošana un labošana ir pil</w:t>
      </w:r>
      <w:r w:rsidR="003F75C2">
        <w:t>nībā manuāls process; j</w:t>
      </w:r>
      <w:r w:rsidR="00247E48">
        <w:t>ebkādu izmaiņu realizācijai jāiesa</w:t>
      </w:r>
      <w:r w:rsidR="003F75C2">
        <w:t>ista profesionāli programmētāji;</w:t>
      </w:r>
    </w:p>
    <w:p w:rsidR="00247E48" w:rsidRDefault="001A4A47" w:rsidP="005418DE">
      <w:pPr>
        <w:pStyle w:val="BodyText"/>
        <w:numPr>
          <w:ilvl w:val="0"/>
          <w:numId w:val="30"/>
        </w:numPr>
        <w:tabs>
          <w:tab w:val="clear" w:pos="720"/>
        </w:tabs>
        <w:ind w:left="426" w:hanging="426"/>
      </w:pPr>
      <w:r>
        <w:t>N</w:t>
      </w:r>
      <w:r w:rsidR="00247E48">
        <w:t>etiek nodrošināta izstrādā</w:t>
      </w:r>
      <w:r w:rsidR="003F75C2">
        <w:t xml:space="preserve">to tīmekļa </w:t>
      </w:r>
      <w:proofErr w:type="spellStart"/>
      <w:r w:rsidR="003F75C2">
        <w:t>pakalpju</w:t>
      </w:r>
      <w:proofErr w:type="spellEnd"/>
      <w:r w:rsidR="003F75C2">
        <w:t xml:space="preserve"> uzraudzība, p</w:t>
      </w:r>
      <w:r w:rsidR="00247E48">
        <w:t xml:space="preserve">iemēram – VIIS administratoriem ir ierobežotas iespējas uzraudzīt un kontrolēt kādā tīmekļa </w:t>
      </w:r>
      <w:proofErr w:type="spellStart"/>
      <w:r w:rsidR="00247E48">
        <w:t>pakalpes</w:t>
      </w:r>
      <w:proofErr w:type="spellEnd"/>
      <w:r w:rsidR="00247E48">
        <w:t xml:space="preserve"> apjom</w:t>
      </w:r>
      <w:r w:rsidR="003F75C2">
        <w:t>ā tiek izmantotas;</w:t>
      </w:r>
    </w:p>
    <w:p w:rsidR="00247E48" w:rsidRDefault="001A4A47" w:rsidP="005418DE">
      <w:pPr>
        <w:pStyle w:val="BodyText"/>
        <w:numPr>
          <w:ilvl w:val="0"/>
          <w:numId w:val="30"/>
        </w:numPr>
        <w:tabs>
          <w:tab w:val="clear" w:pos="720"/>
        </w:tabs>
        <w:ind w:left="426" w:hanging="426"/>
      </w:pPr>
      <w:r>
        <w:t>E</w:t>
      </w:r>
      <w:r w:rsidR="00247E48">
        <w:t>sošā piekļuves kontroles realizācija tīmekļa apkalpēm nenodrošina pietiekošu granularitāti – t.i. tīmekļa apkalpei iespējams atļaut vai aizliegt piekļuvi, bet nav iespējams ierobežot piekļuves apjomu datiem (piemēram- tikai par savu organizāciju, tikai par noteiktu periodu u.tml.)</w:t>
      </w:r>
      <w:r w:rsidR="003F75C2">
        <w:t>.</w:t>
      </w:r>
    </w:p>
    <w:p w:rsidR="00247E48" w:rsidRDefault="00247E48" w:rsidP="00247E48">
      <w:pPr>
        <w:pStyle w:val="BodyText"/>
      </w:pPr>
      <w:r>
        <w:t xml:space="preserve">Identificētās situācijas risināšanai, ņemot vērā ka pieprasījums pēc automatizētas datu apmaiņas ar VIIS pieaugs, nepieciešams </w:t>
      </w:r>
      <w:r w:rsidR="00A36DE0">
        <w:rPr>
          <w:b/>
        </w:rPr>
        <w:t>pilnveidot</w:t>
      </w:r>
      <w:r w:rsidRPr="00A36DE0">
        <w:rPr>
          <w:b/>
        </w:rPr>
        <w:t xml:space="preserve"> VIIS datu apmaiņas risinājumu</w:t>
      </w:r>
      <w:r>
        <w:t>, nodrošinot</w:t>
      </w:r>
      <w:r w:rsidR="00CD486F">
        <w:t>:</w:t>
      </w:r>
    </w:p>
    <w:p w:rsidR="00247E48" w:rsidRDefault="00247E48" w:rsidP="005418DE">
      <w:pPr>
        <w:pStyle w:val="BodyText"/>
        <w:numPr>
          <w:ilvl w:val="0"/>
          <w:numId w:val="13"/>
        </w:numPr>
      </w:pPr>
      <w:r>
        <w:t>Iespēju VIIS administratoriem, k</w:t>
      </w:r>
      <w:r w:rsidR="003F75C2">
        <w:t xml:space="preserve">uri pārzina </w:t>
      </w:r>
      <w:r>
        <w:t>VIIS datu struktūras</w:t>
      </w:r>
      <w:r w:rsidR="00411C02">
        <w:t>,</w:t>
      </w:r>
      <w:r>
        <w:t xml:space="preserve"> (t.i. var nodefinēt SQL datu pieprasījumu datu bāzei un mainīgos parametrus)</w:t>
      </w:r>
      <w:r w:rsidR="00E0123D">
        <w:t xml:space="preserve">, situācijās kad tīmekļa </w:t>
      </w:r>
      <w:proofErr w:type="spellStart"/>
      <w:r w:rsidR="00E0123D">
        <w:t>pakalpju</w:t>
      </w:r>
      <w:proofErr w:type="spellEnd"/>
      <w:r w:rsidR="00E0123D">
        <w:t xml:space="preserve"> </w:t>
      </w:r>
      <w:r w:rsidR="008A1928">
        <w:t>saņemamo un atgriezto datu struktūrā nepieciešamas izmai</w:t>
      </w:r>
      <w:r w:rsidR="00C902FF">
        <w:t>ņas (piemēram, jauni parametri un datu objekti)</w:t>
      </w:r>
      <w:r w:rsidR="00E0123D">
        <w:t>,</w:t>
      </w:r>
      <w:r>
        <w:t xml:space="preserve"> ģenerēt un publicēt, kā arī labot publicētās tīmekļa </w:t>
      </w:r>
      <w:proofErr w:type="spellStart"/>
      <w:r>
        <w:t>pakalpes</w:t>
      </w:r>
      <w:proofErr w:type="spellEnd"/>
      <w:r w:rsidR="00411C02">
        <w:t xml:space="preserve">, izmantojot </w:t>
      </w:r>
      <w:r w:rsidR="00005359">
        <w:t>projekta realizācijas gaitā sagatavotos</w:t>
      </w:r>
      <w:r w:rsidR="00411C02" w:rsidRPr="00411C02">
        <w:t xml:space="preserve"> paraugus</w:t>
      </w:r>
      <w:r w:rsidR="00BD2EE0">
        <w:t>, instrukcijas un ve</w:t>
      </w:r>
      <w:r w:rsidR="009602EC">
        <w:t>i</w:t>
      </w:r>
      <w:r w:rsidR="00BD2EE0">
        <w:t>dņus</w:t>
      </w:r>
      <w:r w:rsidR="009602EC">
        <w:t>.</w:t>
      </w:r>
    </w:p>
    <w:p w:rsidR="00247E48" w:rsidRDefault="00247E48" w:rsidP="005418DE">
      <w:pPr>
        <w:pStyle w:val="BodyText"/>
        <w:numPr>
          <w:ilvl w:val="0"/>
          <w:numId w:val="13"/>
        </w:numPr>
      </w:pPr>
      <w:r>
        <w:t xml:space="preserve">Iespēju veidot </w:t>
      </w:r>
      <w:proofErr w:type="spellStart"/>
      <w:r>
        <w:t>granulāras</w:t>
      </w:r>
      <w:proofErr w:type="spellEnd"/>
      <w:r>
        <w:t xml:space="preserve"> piekļuves tiesības tīmekļa </w:t>
      </w:r>
      <w:proofErr w:type="spellStart"/>
      <w:r>
        <w:t>pakalpēm</w:t>
      </w:r>
      <w:proofErr w:type="spellEnd"/>
      <w:r>
        <w:t xml:space="preserve"> - ierobežot piekļuves apjomu datiem (piemēram</w:t>
      </w:r>
      <w:r w:rsidR="009602EC">
        <w:t>,</w:t>
      </w:r>
      <w:r>
        <w:t xml:space="preserve"> iegūt datus tikai par savu organizāciju, tikai par noteiktu periodu). Piekļuves risinājumam jābūt balstītam uz vienoto </w:t>
      </w:r>
      <w:r w:rsidR="00995AC5" w:rsidRPr="00995AC5">
        <w:t>Izglītības sistēmas informatizācijas programma</w:t>
      </w:r>
      <w:r w:rsidR="00995AC5">
        <w:t>s</w:t>
      </w:r>
      <w:r w:rsidR="00995AC5" w:rsidRPr="00995AC5">
        <w:t xml:space="preserve"> „Informācijas un komunikācijas tehnoloģijas izglītības kvalitātei”</w:t>
      </w:r>
      <w:r w:rsidR="00995AC5">
        <w:t xml:space="preserve"> (turpmāk – </w:t>
      </w:r>
      <w:r>
        <w:t>IKTIK</w:t>
      </w:r>
      <w:r w:rsidR="00995AC5">
        <w:t>)</w:t>
      </w:r>
      <w:r>
        <w:t xml:space="preserve"> autentifikācijas </w:t>
      </w:r>
      <w:r>
        <w:lastRenderedPageBreak/>
        <w:t>un tiesību pārvaldības platformu (jānodrošina centralizēta lietotāju pārvaldība). Nepieciešamības gadījumā jāveic pielāgojumi IKTIK autentifikācijas platformā.</w:t>
      </w:r>
    </w:p>
    <w:p w:rsidR="00247E48" w:rsidRDefault="00247E48" w:rsidP="005418DE">
      <w:pPr>
        <w:pStyle w:val="BodyText"/>
        <w:numPr>
          <w:ilvl w:val="0"/>
          <w:numId w:val="13"/>
        </w:numPr>
      </w:pPr>
      <w:r>
        <w:t xml:space="preserve">Nodrošināt automatizētu tīmekļa </w:t>
      </w:r>
      <w:proofErr w:type="spellStart"/>
      <w:r>
        <w:t>pakalpju</w:t>
      </w:r>
      <w:proofErr w:type="spellEnd"/>
      <w:r>
        <w:t xml:space="preserve"> uzraudzību, nodrošinot iespēju uzraudzīt un noteikt brīdināšanas sliekšņus par administratoru definētajiem parametriem – tajā skaitā</w:t>
      </w:r>
      <w:r w:rsidR="00CD486F">
        <w:t>:</w:t>
      </w:r>
    </w:p>
    <w:p w:rsidR="00247E48" w:rsidRDefault="00247E48" w:rsidP="005418DE">
      <w:pPr>
        <w:pStyle w:val="BodyText"/>
        <w:numPr>
          <w:ilvl w:val="0"/>
          <w:numId w:val="14"/>
        </w:numPr>
      </w:pPr>
      <w:r>
        <w:t>piekļūts ierakstiem periodā (no organizācijas kopā/konkrēta lietotāja konta)</w:t>
      </w:r>
      <w:r w:rsidR="003F75C2">
        <w:t>;</w:t>
      </w:r>
    </w:p>
    <w:p w:rsidR="00247E48" w:rsidRDefault="00247E48" w:rsidP="005418DE">
      <w:pPr>
        <w:pStyle w:val="BodyText"/>
        <w:numPr>
          <w:ilvl w:val="0"/>
          <w:numId w:val="14"/>
        </w:numPr>
      </w:pPr>
      <w:r>
        <w:t>laboti ieraksti periodā  (no organizācijas kopā/konkrēta lietotāja konta)</w:t>
      </w:r>
      <w:r w:rsidR="003F75C2">
        <w:t>;</w:t>
      </w:r>
    </w:p>
    <w:p w:rsidR="00247E48" w:rsidRDefault="00247E48" w:rsidP="005418DE">
      <w:pPr>
        <w:pStyle w:val="BodyText"/>
        <w:numPr>
          <w:ilvl w:val="0"/>
          <w:numId w:val="14"/>
        </w:numPr>
      </w:pPr>
      <w:r>
        <w:t>sekmīgi/nesekmīgi autentifikācijas mēģinājumi periodā</w:t>
      </w:r>
      <w:r w:rsidR="003F75C2">
        <w:t>;</w:t>
      </w:r>
    </w:p>
    <w:p w:rsidR="00247E48" w:rsidRDefault="00247E48" w:rsidP="005418DE">
      <w:pPr>
        <w:pStyle w:val="BodyText"/>
        <w:numPr>
          <w:ilvl w:val="0"/>
          <w:numId w:val="14"/>
        </w:numPr>
      </w:pPr>
      <w:r>
        <w:t>kļūdu paziņojumi (kopā/konkrēta veida kļūdas)</w:t>
      </w:r>
      <w:r w:rsidR="003F75C2">
        <w:t>.</w:t>
      </w:r>
    </w:p>
    <w:p w:rsidR="00247E48" w:rsidRDefault="00247E48" w:rsidP="005418DE">
      <w:pPr>
        <w:pStyle w:val="BodyText"/>
        <w:numPr>
          <w:ilvl w:val="0"/>
          <w:numId w:val="13"/>
        </w:numPr>
      </w:pPr>
      <w:r>
        <w:t>Projekta ietvaros nepieciešams</w:t>
      </w:r>
      <w:r w:rsidR="00CD486F">
        <w:t>:</w:t>
      </w:r>
      <w:r>
        <w:t xml:space="preserve"> </w:t>
      </w:r>
    </w:p>
    <w:p w:rsidR="00247E48" w:rsidRPr="00123E4E" w:rsidRDefault="00247E48" w:rsidP="005418DE">
      <w:pPr>
        <w:pStyle w:val="BodyText"/>
        <w:numPr>
          <w:ilvl w:val="0"/>
          <w:numId w:val="14"/>
        </w:numPr>
      </w:pPr>
      <w:r>
        <w:t xml:space="preserve">veikt esošo tīmekļa </w:t>
      </w:r>
      <w:proofErr w:type="spellStart"/>
      <w:r>
        <w:t>pakalpju</w:t>
      </w:r>
      <w:proofErr w:type="spellEnd"/>
      <w:r>
        <w:t xml:space="preserve"> inventarizāciju (t.i. apzināt izstrādāto tīmekļa </w:t>
      </w:r>
      <w:proofErr w:type="spellStart"/>
      <w:r>
        <w:t>pakalpju</w:t>
      </w:r>
      <w:proofErr w:type="spellEnd"/>
      <w:r>
        <w:t xml:space="preserve"> nepieciešamību, optimizācijas iespējas)</w:t>
      </w:r>
      <w:r w:rsidR="00794B95">
        <w:t xml:space="preserve">, </w:t>
      </w:r>
      <w:r>
        <w:t>optimizēt</w:t>
      </w:r>
      <w:r w:rsidR="00794B95">
        <w:t xml:space="preserve"> un</w:t>
      </w:r>
      <w:r w:rsidRPr="00123E4E">
        <w:t xml:space="preserve"> migrēt tās uz izstrādāto datu apmaiņas pārval</w:t>
      </w:r>
      <w:r w:rsidR="003F75C2" w:rsidRPr="00123E4E">
        <w:t>dības risinājumu;</w:t>
      </w:r>
    </w:p>
    <w:p w:rsidR="00247E48" w:rsidRDefault="003F75C2" w:rsidP="005418DE">
      <w:pPr>
        <w:pStyle w:val="BodyText"/>
        <w:numPr>
          <w:ilvl w:val="0"/>
          <w:numId w:val="14"/>
        </w:numPr>
      </w:pPr>
      <w:r>
        <w:t>a</w:t>
      </w:r>
      <w:r w:rsidR="00247E48">
        <w:t xml:space="preserve">pzināt VIIS izvietotās datu kopas un IZM sadarbības iestāžu prasības datu apmaiņai un izstrādāt tīmekļa </w:t>
      </w:r>
      <w:proofErr w:type="spellStart"/>
      <w:r w:rsidR="00247E48">
        <w:t>pakalpju</w:t>
      </w:r>
      <w:proofErr w:type="spellEnd"/>
      <w:r w:rsidR="00247E48">
        <w:t xml:space="preserve"> kopu (līdz 100 biežāk izmantotajiem VIIS datu objektiem, katram objektam vidēji 50 parametriem skatīšanai un labošanai).</w:t>
      </w:r>
    </w:p>
    <w:p w:rsidR="005D57E1" w:rsidRDefault="005D57E1" w:rsidP="005370CF">
      <w:pPr>
        <w:pStyle w:val="BodyText"/>
      </w:pPr>
      <w:proofErr w:type="spellStart"/>
      <w:r w:rsidRPr="005D57E1">
        <w:t>VIIS</w:t>
      </w:r>
      <w:proofErr w:type="spellEnd"/>
      <w:r w:rsidRPr="005D57E1">
        <w:t xml:space="preserve"> tīmekļa </w:t>
      </w:r>
      <w:proofErr w:type="spellStart"/>
      <w:r w:rsidRPr="005D57E1">
        <w:t>pakalpju</w:t>
      </w:r>
      <w:proofErr w:type="spellEnd"/>
      <w:r w:rsidRPr="005D57E1">
        <w:t xml:space="preserve"> nodrošināšanas platformai veikto uzlabojum</w:t>
      </w:r>
      <w:r>
        <w:t>u rezultātā</w:t>
      </w:r>
      <w:r w:rsidRPr="005D57E1">
        <w:t xml:space="preserve"> jānodrošina iespēja tās nodrošināto </w:t>
      </w:r>
      <w:proofErr w:type="spellStart"/>
      <w:r w:rsidRPr="005D57E1">
        <w:t>pakalpju</w:t>
      </w:r>
      <w:proofErr w:type="spellEnd"/>
      <w:r w:rsidRPr="005D57E1">
        <w:t xml:space="preserve"> publicēšana VISS</w:t>
      </w:r>
      <w:r>
        <w:t>.</w:t>
      </w:r>
    </w:p>
    <w:p w:rsidR="00C33B22" w:rsidRDefault="00C33B22" w:rsidP="005370CF">
      <w:pPr>
        <w:pStyle w:val="BodyText"/>
      </w:pPr>
      <w:r>
        <w:t xml:space="preserve">Turpmākā sistēmas attīstība, kas saistīta ar funkcionalitāti ārpus šīs koncepcijas ietvara, skatāma </w:t>
      </w:r>
      <w:r w:rsidR="000705A8">
        <w:t>kontekstā</w:t>
      </w:r>
      <w:r>
        <w:t xml:space="preserve"> ar plānotajām izmaiņām attiecīgās politikas īstenošanā (t.sk. </w:t>
      </w:r>
      <w:r w:rsidR="000705A8">
        <w:t>starp resoru līmenī</w:t>
      </w:r>
      <w:r>
        <w:t>).</w:t>
      </w:r>
    </w:p>
    <w:p w:rsidR="002C6C52" w:rsidRDefault="002C6C52" w:rsidP="002C6C52">
      <w:pPr>
        <w:pStyle w:val="Heading1"/>
      </w:pPr>
      <w:bookmarkStart w:id="38" w:name="_Toc378891334"/>
      <w:bookmarkStart w:id="39" w:name="_Toc378891373"/>
      <w:bookmarkStart w:id="40" w:name="_Toc378917016"/>
      <w:bookmarkStart w:id="41" w:name="_Toc378918412"/>
      <w:bookmarkStart w:id="42" w:name="_Toc388454850"/>
      <w:bookmarkEnd w:id="38"/>
      <w:bookmarkEnd w:id="39"/>
      <w:bookmarkEnd w:id="40"/>
      <w:bookmarkEnd w:id="41"/>
      <w:r>
        <w:lastRenderedPageBreak/>
        <w:t>Plānotās situācijas apraksts</w:t>
      </w:r>
      <w:bookmarkEnd w:id="42"/>
    </w:p>
    <w:p w:rsidR="002C6C52" w:rsidRDefault="002C6C52" w:rsidP="002C6C52">
      <w:pPr>
        <w:pStyle w:val="Heading2"/>
      </w:pPr>
      <w:bookmarkStart w:id="43" w:name="_Toc388454851"/>
      <w:r>
        <w:t>Plānotie procesi</w:t>
      </w:r>
      <w:bookmarkEnd w:id="43"/>
    </w:p>
    <w:p w:rsidR="00247E48" w:rsidRDefault="00247E48" w:rsidP="00247E48">
      <w:pPr>
        <w:pStyle w:val="BodyText"/>
      </w:pPr>
      <w:r>
        <w:t>Koncepcijas realizācijas ietvaros ir plānoti šādi procesi:</w:t>
      </w:r>
    </w:p>
    <w:p w:rsidR="00247E48" w:rsidRDefault="00777E33" w:rsidP="006D7464">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7</w:t>
      </w:r>
      <w:r w:rsidR="002B7ACB">
        <w:rPr>
          <w:noProof/>
        </w:rPr>
        <w:fldChar w:fldCharType="end"/>
      </w:r>
      <w:r>
        <w:t>. Plānoto procesu raksturojums</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00"/>
        <w:gridCol w:w="2040"/>
        <w:gridCol w:w="2877"/>
        <w:gridCol w:w="1768"/>
        <w:gridCol w:w="2149"/>
      </w:tblGrid>
      <w:tr w:rsidR="00247E48" w:rsidRPr="00976F4C" w:rsidTr="004E4BF7">
        <w:trPr>
          <w:cantSplit/>
          <w:tblHeader/>
        </w:trPr>
        <w:tc>
          <w:tcPr>
            <w:tcW w:w="318" w:type="pct"/>
            <w:shd w:val="clear" w:color="auto" w:fill="BFBFBF" w:themeFill="background1" w:themeFillShade="BF"/>
            <w:tcMar>
              <w:left w:w="57" w:type="dxa"/>
              <w:right w:w="57" w:type="dxa"/>
            </w:tcMar>
            <w:vAlign w:val="center"/>
            <w:hideMark/>
          </w:tcPr>
          <w:p w:rsidR="00247E48" w:rsidRPr="00976F4C" w:rsidRDefault="00247E48" w:rsidP="00247E48">
            <w:pPr>
              <w:pStyle w:val="TableText"/>
              <w:jc w:val="center"/>
              <w:rPr>
                <w:rFonts w:ascii="Times New Roman" w:hAnsi="Times New Roman"/>
                <w:b/>
                <w:szCs w:val="18"/>
                <w:lang w:val="lv-LV"/>
              </w:rPr>
            </w:pPr>
            <w:r w:rsidRPr="00976F4C">
              <w:rPr>
                <w:b/>
                <w:szCs w:val="18"/>
                <w:lang w:val="lv-LV"/>
              </w:rPr>
              <w:t>Nr. p.k.</w:t>
            </w:r>
          </w:p>
        </w:tc>
        <w:tc>
          <w:tcPr>
            <w:tcW w:w="1081" w:type="pct"/>
            <w:shd w:val="clear" w:color="auto" w:fill="BFBFBF" w:themeFill="background1" w:themeFillShade="BF"/>
            <w:tcMar>
              <w:left w:w="57" w:type="dxa"/>
              <w:right w:w="57" w:type="dxa"/>
            </w:tcMar>
            <w:vAlign w:val="center"/>
            <w:hideMark/>
          </w:tcPr>
          <w:p w:rsidR="00247E48" w:rsidRPr="00976F4C" w:rsidRDefault="00247E48" w:rsidP="00247E48">
            <w:pPr>
              <w:pStyle w:val="TableText"/>
              <w:jc w:val="center"/>
              <w:rPr>
                <w:rFonts w:ascii="Times New Roman" w:hAnsi="Times New Roman"/>
                <w:b/>
                <w:szCs w:val="18"/>
                <w:lang w:val="lv-LV"/>
              </w:rPr>
            </w:pPr>
            <w:r w:rsidRPr="00976F4C">
              <w:rPr>
                <w:b/>
                <w:szCs w:val="18"/>
                <w:lang w:val="lv-LV"/>
              </w:rPr>
              <w:t>Procesa nosaukums, apraksts un pārzinis</w:t>
            </w:r>
          </w:p>
        </w:tc>
        <w:tc>
          <w:tcPr>
            <w:tcW w:w="1525" w:type="pct"/>
            <w:shd w:val="clear" w:color="auto" w:fill="BFBFBF" w:themeFill="background1" w:themeFillShade="BF"/>
            <w:tcMar>
              <w:left w:w="57" w:type="dxa"/>
              <w:right w:w="57" w:type="dxa"/>
            </w:tcMar>
            <w:vAlign w:val="center"/>
            <w:hideMark/>
          </w:tcPr>
          <w:p w:rsidR="00247E48" w:rsidRPr="00976F4C" w:rsidRDefault="00247E48" w:rsidP="00247E48">
            <w:pPr>
              <w:pStyle w:val="TableText"/>
              <w:jc w:val="center"/>
              <w:rPr>
                <w:rFonts w:ascii="Times New Roman" w:hAnsi="Times New Roman"/>
                <w:b/>
                <w:szCs w:val="18"/>
                <w:lang w:val="lv-LV"/>
              </w:rPr>
            </w:pPr>
            <w:r w:rsidRPr="00976F4C">
              <w:rPr>
                <w:b/>
                <w:szCs w:val="18"/>
                <w:lang w:val="lv-LV"/>
              </w:rPr>
              <w:t>Procesa mērķi</w:t>
            </w:r>
          </w:p>
        </w:tc>
        <w:tc>
          <w:tcPr>
            <w:tcW w:w="937" w:type="pct"/>
            <w:shd w:val="clear" w:color="auto" w:fill="BFBFBF" w:themeFill="background1" w:themeFillShade="BF"/>
            <w:tcMar>
              <w:left w:w="57" w:type="dxa"/>
              <w:right w:w="57" w:type="dxa"/>
            </w:tcMar>
            <w:vAlign w:val="center"/>
            <w:hideMark/>
          </w:tcPr>
          <w:p w:rsidR="00247E48" w:rsidRPr="00976F4C" w:rsidRDefault="00247E48" w:rsidP="00247E48">
            <w:pPr>
              <w:pStyle w:val="TableText"/>
              <w:jc w:val="center"/>
              <w:rPr>
                <w:rFonts w:ascii="Times New Roman" w:hAnsi="Times New Roman"/>
                <w:b/>
                <w:szCs w:val="18"/>
                <w:lang w:val="lv-LV"/>
              </w:rPr>
            </w:pPr>
            <w:r w:rsidRPr="00976F4C">
              <w:rPr>
                <w:b/>
                <w:szCs w:val="18"/>
                <w:lang w:val="lv-LV"/>
              </w:rPr>
              <w:t>Procesa rezultāti</w:t>
            </w:r>
          </w:p>
        </w:tc>
        <w:tc>
          <w:tcPr>
            <w:tcW w:w="1139" w:type="pct"/>
            <w:shd w:val="clear" w:color="auto" w:fill="BFBFBF" w:themeFill="background1" w:themeFillShade="BF"/>
            <w:vAlign w:val="center"/>
          </w:tcPr>
          <w:p w:rsidR="00247E48" w:rsidRPr="00976F4C" w:rsidRDefault="00247E48" w:rsidP="00247E48">
            <w:pPr>
              <w:pStyle w:val="TableText"/>
              <w:jc w:val="center"/>
              <w:rPr>
                <w:b/>
                <w:szCs w:val="18"/>
                <w:lang w:val="lv-LV"/>
              </w:rPr>
            </w:pPr>
            <w:r w:rsidRPr="00976F4C">
              <w:rPr>
                <w:b/>
                <w:szCs w:val="18"/>
                <w:lang w:val="lv-LV"/>
              </w:rPr>
              <w:t>Sasaiste ar citām sistēmām/ procesiem</w:t>
            </w:r>
          </w:p>
        </w:tc>
      </w:tr>
      <w:tr w:rsidR="00247E48" w:rsidRPr="00976F4C" w:rsidTr="004E4BF7">
        <w:trPr>
          <w:cantSplit/>
        </w:trPr>
        <w:tc>
          <w:tcPr>
            <w:tcW w:w="318" w:type="pct"/>
          </w:tcPr>
          <w:p w:rsidR="00247E48" w:rsidRPr="00976F4C" w:rsidRDefault="00247E48" w:rsidP="005418DE">
            <w:pPr>
              <w:pStyle w:val="TableText"/>
              <w:numPr>
                <w:ilvl w:val="0"/>
                <w:numId w:val="31"/>
              </w:numPr>
              <w:ind w:left="375" w:hanging="142"/>
              <w:rPr>
                <w:rFonts w:cs="Arial"/>
                <w:szCs w:val="18"/>
                <w:lang w:val="lv-LV" w:eastAsia="lv-LV"/>
              </w:rPr>
            </w:pPr>
          </w:p>
        </w:tc>
        <w:tc>
          <w:tcPr>
            <w:tcW w:w="1081" w:type="pct"/>
            <w:hideMark/>
          </w:tcPr>
          <w:p w:rsidR="00247E48" w:rsidRPr="00976F4C" w:rsidRDefault="00247E48" w:rsidP="00247E48">
            <w:pPr>
              <w:pStyle w:val="TableText"/>
              <w:rPr>
                <w:rFonts w:cs="Arial"/>
                <w:szCs w:val="18"/>
                <w:lang w:val="lv-LV"/>
              </w:rPr>
            </w:pPr>
            <w:r w:rsidRPr="00976F4C">
              <w:rPr>
                <w:rFonts w:cs="Arial"/>
                <w:szCs w:val="18"/>
                <w:lang w:val="lv-LV"/>
              </w:rPr>
              <w:t>Studējošo reģistrēšana augstākās izglītības institūciju studējošo reģistros</w:t>
            </w:r>
          </w:p>
          <w:p w:rsidR="00247E48" w:rsidRPr="00976F4C" w:rsidRDefault="00247E48" w:rsidP="00247E48">
            <w:pPr>
              <w:pStyle w:val="TableText"/>
              <w:rPr>
                <w:rFonts w:cs="Arial"/>
                <w:szCs w:val="18"/>
                <w:lang w:val="lv-LV"/>
              </w:rPr>
            </w:pPr>
          </w:p>
          <w:p w:rsidR="00247E48" w:rsidRPr="00976F4C" w:rsidRDefault="00247E48" w:rsidP="00247E48">
            <w:pPr>
              <w:pStyle w:val="TableText"/>
              <w:rPr>
                <w:rFonts w:cs="Arial"/>
                <w:szCs w:val="18"/>
                <w:lang w:val="lv-LV"/>
              </w:rPr>
            </w:pPr>
            <w:r w:rsidRPr="00976F4C">
              <w:rPr>
                <w:rFonts w:cs="Arial"/>
                <w:szCs w:val="18"/>
                <w:lang w:val="lv-LV"/>
              </w:rPr>
              <w:t>Pārzinis: Augstākās izglītības institūcijas</w:t>
            </w:r>
          </w:p>
        </w:tc>
        <w:tc>
          <w:tcPr>
            <w:tcW w:w="1525" w:type="pct"/>
            <w:hideMark/>
          </w:tcPr>
          <w:p w:rsidR="00247E48" w:rsidRPr="00976F4C" w:rsidRDefault="00247E48" w:rsidP="00247E48">
            <w:pPr>
              <w:pStyle w:val="TableText"/>
              <w:rPr>
                <w:rFonts w:cs="Arial"/>
                <w:szCs w:val="18"/>
                <w:lang w:val="lv-LV"/>
              </w:rPr>
            </w:pPr>
            <w:r w:rsidRPr="00976F4C">
              <w:rPr>
                <w:rFonts w:cs="Arial"/>
                <w:szCs w:val="18"/>
                <w:lang w:val="lv-LV"/>
              </w:rPr>
              <w:t>Augstākās izglītības institūcijas, reģistrē uzņemtos studentus, tostarp noteiktā formā apkopo datus par katru studentu, kas pēc tam nosūtāmi uz VIIS</w:t>
            </w:r>
          </w:p>
        </w:tc>
        <w:tc>
          <w:tcPr>
            <w:tcW w:w="937" w:type="pct"/>
            <w:hideMark/>
          </w:tcPr>
          <w:p w:rsidR="00247E48" w:rsidRPr="00976F4C" w:rsidRDefault="00247E48" w:rsidP="00247E48">
            <w:pPr>
              <w:pStyle w:val="TableText"/>
              <w:rPr>
                <w:rFonts w:cs="Arial"/>
                <w:szCs w:val="18"/>
                <w:lang w:val="lv-LV"/>
              </w:rPr>
            </w:pPr>
            <w:r w:rsidRPr="00976F4C">
              <w:rPr>
                <w:rFonts w:cs="Arial"/>
                <w:szCs w:val="18"/>
                <w:lang w:val="lv-LV"/>
              </w:rPr>
              <w:t>Apkopota informācija par studējošajiem noteiktā griezumā</w:t>
            </w:r>
          </w:p>
        </w:tc>
        <w:tc>
          <w:tcPr>
            <w:tcW w:w="1139" w:type="pct"/>
          </w:tcPr>
          <w:p w:rsidR="00247E48" w:rsidRPr="00976F4C" w:rsidRDefault="00247E48" w:rsidP="00247E48">
            <w:pPr>
              <w:pStyle w:val="TableText"/>
              <w:rPr>
                <w:rFonts w:cs="Arial"/>
                <w:szCs w:val="18"/>
                <w:lang w:val="lv-LV"/>
              </w:rPr>
            </w:pPr>
            <w:r w:rsidRPr="00976F4C">
              <w:rPr>
                <w:rFonts w:cs="Arial"/>
                <w:szCs w:val="18"/>
                <w:lang w:val="lv-LV"/>
              </w:rPr>
              <w:t>Sasaiste ar augstākās izglītības institūciju lokālajiem studējošo reģistriem</w:t>
            </w:r>
          </w:p>
        </w:tc>
      </w:tr>
      <w:tr w:rsidR="00247E48" w:rsidRPr="00976F4C" w:rsidTr="004E4BF7">
        <w:trPr>
          <w:cantSplit/>
        </w:trPr>
        <w:tc>
          <w:tcPr>
            <w:tcW w:w="318" w:type="pct"/>
          </w:tcPr>
          <w:p w:rsidR="00247E48" w:rsidRPr="00976F4C" w:rsidRDefault="00247E48" w:rsidP="005418DE">
            <w:pPr>
              <w:pStyle w:val="TableText"/>
              <w:numPr>
                <w:ilvl w:val="0"/>
                <w:numId w:val="31"/>
              </w:numPr>
              <w:ind w:left="375" w:hanging="142"/>
              <w:rPr>
                <w:rFonts w:cs="Arial"/>
                <w:szCs w:val="18"/>
                <w:lang w:val="lv-LV" w:eastAsia="lv-LV"/>
              </w:rPr>
            </w:pPr>
          </w:p>
        </w:tc>
        <w:tc>
          <w:tcPr>
            <w:tcW w:w="1081" w:type="pct"/>
            <w:hideMark/>
          </w:tcPr>
          <w:p w:rsidR="00247E48" w:rsidRPr="00976F4C" w:rsidRDefault="00247E48" w:rsidP="00247E48">
            <w:pPr>
              <w:pStyle w:val="TableText"/>
              <w:rPr>
                <w:rFonts w:cs="Arial"/>
                <w:szCs w:val="18"/>
                <w:lang w:val="lv-LV"/>
              </w:rPr>
            </w:pPr>
            <w:r w:rsidRPr="00976F4C">
              <w:rPr>
                <w:rFonts w:cs="Arial"/>
                <w:szCs w:val="18"/>
                <w:lang w:val="lv-LV"/>
              </w:rPr>
              <w:t>VIIS studējošo reģistra  datu nodrošināšana un atjaunināšana</w:t>
            </w:r>
          </w:p>
          <w:p w:rsidR="00247E48" w:rsidRPr="00976F4C" w:rsidRDefault="00247E48" w:rsidP="00247E48">
            <w:pPr>
              <w:pStyle w:val="TableText"/>
              <w:rPr>
                <w:rFonts w:cs="Arial"/>
                <w:szCs w:val="18"/>
                <w:lang w:val="lv-LV"/>
              </w:rPr>
            </w:pPr>
          </w:p>
          <w:p w:rsidR="00247E48" w:rsidRPr="00976F4C" w:rsidRDefault="00247E48" w:rsidP="00247E48">
            <w:pPr>
              <w:pStyle w:val="TableText"/>
              <w:rPr>
                <w:rFonts w:cs="Arial"/>
                <w:szCs w:val="18"/>
                <w:lang w:val="lv-LV"/>
              </w:rPr>
            </w:pPr>
            <w:r w:rsidRPr="00976F4C">
              <w:rPr>
                <w:rFonts w:cs="Arial"/>
                <w:szCs w:val="18"/>
                <w:lang w:val="lv-LV"/>
              </w:rPr>
              <w:t>Pārzinis: Augstākās izglītības institūcijas</w:t>
            </w:r>
          </w:p>
        </w:tc>
        <w:tc>
          <w:tcPr>
            <w:tcW w:w="1525" w:type="pct"/>
            <w:hideMark/>
          </w:tcPr>
          <w:p w:rsidR="00247E48" w:rsidRPr="00976F4C" w:rsidRDefault="00247E48" w:rsidP="00247E48">
            <w:pPr>
              <w:pStyle w:val="TableText"/>
              <w:rPr>
                <w:rFonts w:cs="Arial"/>
                <w:szCs w:val="18"/>
                <w:lang w:val="lv-LV"/>
              </w:rPr>
            </w:pPr>
            <w:r w:rsidRPr="00976F4C">
              <w:rPr>
                <w:rFonts w:cs="Arial"/>
                <w:szCs w:val="18"/>
                <w:lang w:val="lv-LV"/>
              </w:rPr>
              <w:t>Augstākās izglītības institūcijas nodrošina iepriekš noteiktas informācijas par studējošajiem automatizētu pārsūtīšanu no saviem lokālajiem studējošo reģistriem uz VIIS studējošo reģistru tiešsaistes režīmā</w:t>
            </w:r>
          </w:p>
        </w:tc>
        <w:tc>
          <w:tcPr>
            <w:tcW w:w="937" w:type="pct"/>
            <w:hideMark/>
          </w:tcPr>
          <w:p w:rsidR="00247E48" w:rsidRPr="00976F4C" w:rsidRDefault="00247E48" w:rsidP="00247E48">
            <w:pPr>
              <w:pStyle w:val="TableText"/>
              <w:rPr>
                <w:rFonts w:cs="Arial"/>
                <w:szCs w:val="18"/>
                <w:lang w:val="lv-LV"/>
              </w:rPr>
            </w:pPr>
            <w:r w:rsidRPr="00976F4C">
              <w:rPr>
                <w:rFonts w:cs="Arial"/>
                <w:szCs w:val="18"/>
                <w:lang w:val="lv-LV"/>
              </w:rPr>
              <w:t>VIIS studējošo reģistrs tiek piepildīts ar aktuālajiem datiem par studējošajiem un dati tiek pastāvīgi atjaunināti</w:t>
            </w:r>
          </w:p>
        </w:tc>
        <w:tc>
          <w:tcPr>
            <w:tcW w:w="1139" w:type="pct"/>
          </w:tcPr>
          <w:p w:rsidR="00247E48" w:rsidRPr="00976F4C" w:rsidRDefault="00247E48" w:rsidP="00976F4C">
            <w:pPr>
              <w:pStyle w:val="TableText"/>
              <w:rPr>
                <w:rFonts w:cs="Arial"/>
                <w:szCs w:val="18"/>
                <w:lang w:val="lv-LV"/>
              </w:rPr>
            </w:pPr>
            <w:r w:rsidRPr="00976F4C">
              <w:rPr>
                <w:rFonts w:cs="Arial"/>
                <w:szCs w:val="18"/>
                <w:lang w:val="lv-LV"/>
              </w:rPr>
              <w:t xml:space="preserve">Sasaiste ar </w:t>
            </w:r>
            <w:r w:rsidR="00835264" w:rsidRPr="00976F4C">
              <w:rPr>
                <w:rFonts w:cs="Arial"/>
                <w:szCs w:val="18"/>
                <w:lang w:val="lv-LV"/>
              </w:rPr>
              <w:t xml:space="preserve">augstākās izglītības iestāžu </w:t>
            </w:r>
            <w:r w:rsidRPr="00976F4C">
              <w:rPr>
                <w:rFonts w:cs="Arial"/>
                <w:szCs w:val="18"/>
                <w:lang w:val="lv-LV"/>
              </w:rPr>
              <w:t>uzturēto studējošo reģistr</w:t>
            </w:r>
            <w:r w:rsidR="00835264" w:rsidRPr="00976F4C">
              <w:rPr>
                <w:rFonts w:cs="Arial"/>
                <w:szCs w:val="18"/>
                <w:lang w:val="lv-LV"/>
              </w:rPr>
              <w:t>iem</w:t>
            </w:r>
          </w:p>
        </w:tc>
      </w:tr>
      <w:tr w:rsidR="00CD726F" w:rsidRPr="00976F4C" w:rsidTr="004E4BF7">
        <w:trPr>
          <w:cantSplit/>
        </w:trPr>
        <w:tc>
          <w:tcPr>
            <w:tcW w:w="318" w:type="pct"/>
          </w:tcPr>
          <w:p w:rsidR="00CD726F" w:rsidRPr="00976F4C" w:rsidRDefault="00CD726F" w:rsidP="005418DE">
            <w:pPr>
              <w:pStyle w:val="TableText"/>
              <w:numPr>
                <w:ilvl w:val="0"/>
                <w:numId w:val="31"/>
              </w:numPr>
              <w:ind w:left="375" w:hanging="142"/>
              <w:rPr>
                <w:rFonts w:cs="Arial"/>
                <w:szCs w:val="18"/>
                <w:lang w:val="lv-LV" w:eastAsia="lv-LV"/>
              </w:rPr>
            </w:pPr>
          </w:p>
        </w:tc>
        <w:tc>
          <w:tcPr>
            <w:tcW w:w="1081" w:type="pct"/>
          </w:tcPr>
          <w:p w:rsidR="00CD726F" w:rsidRDefault="00CD726F" w:rsidP="00247E48">
            <w:pPr>
              <w:pStyle w:val="TableText"/>
              <w:rPr>
                <w:szCs w:val="18"/>
                <w:lang w:val="lv-LV"/>
              </w:rPr>
            </w:pPr>
            <w:r>
              <w:rPr>
                <w:szCs w:val="18"/>
                <w:lang w:val="lv-LV"/>
              </w:rPr>
              <w:t>E</w:t>
            </w:r>
            <w:r w:rsidRPr="00CD726F">
              <w:rPr>
                <w:szCs w:val="18"/>
                <w:lang w:val="lv-LV"/>
              </w:rPr>
              <w:t>-pakalpojuma „Mani dati izglītības reģistros” izveide</w:t>
            </w:r>
          </w:p>
          <w:p w:rsidR="00CD726F" w:rsidRDefault="00CD726F" w:rsidP="00247E48">
            <w:pPr>
              <w:pStyle w:val="TableText"/>
              <w:rPr>
                <w:szCs w:val="18"/>
                <w:lang w:val="lv-LV"/>
              </w:rPr>
            </w:pPr>
          </w:p>
          <w:p w:rsidR="00CD726F" w:rsidRPr="004E4BF7" w:rsidRDefault="00CD726F" w:rsidP="00247E48">
            <w:pPr>
              <w:pStyle w:val="TableText"/>
              <w:rPr>
                <w:szCs w:val="18"/>
                <w:highlight w:val="yellow"/>
                <w:lang w:val="lv-LV"/>
              </w:rPr>
            </w:pPr>
            <w:r>
              <w:rPr>
                <w:szCs w:val="18"/>
                <w:lang w:val="lv-LV"/>
              </w:rPr>
              <w:t>Pārzinis: IZM</w:t>
            </w:r>
          </w:p>
        </w:tc>
        <w:tc>
          <w:tcPr>
            <w:tcW w:w="1525" w:type="pct"/>
          </w:tcPr>
          <w:p w:rsidR="00CD726F" w:rsidRPr="00976F4C" w:rsidRDefault="00CD726F" w:rsidP="00247E48">
            <w:pPr>
              <w:pStyle w:val="TableText"/>
              <w:rPr>
                <w:rFonts w:cs="Arial"/>
                <w:szCs w:val="18"/>
                <w:lang w:val="lv-LV"/>
              </w:rPr>
            </w:pPr>
            <w:r>
              <w:rPr>
                <w:rFonts w:cs="Arial"/>
                <w:szCs w:val="18"/>
                <w:lang w:val="lv-LV"/>
              </w:rPr>
              <w:t xml:space="preserve">E-pakalpojuma izstrāde, kas nodrošina iespēju fiziskām personām tiešsaistē iegūt </w:t>
            </w:r>
            <w:r w:rsidRPr="00CD726F">
              <w:rPr>
                <w:rFonts w:cs="Arial"/>
                <w:szCs w:val="18"/>
                <w:lang w:val="lv-LV"/>
              </w:rPr>
              <w:t>par sevi reģistrētu informāciju VIIS</w:t>
            </w:r>
            <w:r>
              <w:rPr>
                <w:rFonts w:cs="Arial"/>
                <w:szCs w:val="18"/>
                <w:lang w:val="lv-LV"/>
              </w:rPr>
              <w:t xml:space="preserve"> esošajos reģistros</w:t>
            </w:r>
          </w:p>
        </w:tc>
        <w:tc>
          <w:tcPr>
            <w:tcW w:w="937" w:type="pct"/>
          </w:tcPr>
          <w:p w:rsidR="00CD726F" w:rsidRPr="00976F4C" w:rsidRDefault="00135722" w:rsidP="00135722">
            <w:pPr>
              <w:pStyle w:val="TableText"/>
              <w:rPr>
                <w:szCs w:val="18"/>
                <w:lang w:val="lv-LV"/>
              </w:rPr>
            </w:pPr>
            <w:r>
              <w:rPr>
                <w:rFonts w:cs="Arial"/>
                <w:szCs w:val="18"/>
                <w:lang w:val="lv-LV"/>
              </w:rPr>
              <w:t xml:space="preserve">Funkcionējošs </w:t>
            </w:r>
            <w:r w:rsidR="003D6D8C">
              <w:rPr>
                <w:rFonts w:cs="Arial"/>
                <w:szCs w:val="18"/>
                <w:lang w:val="lv-LV"/>
              </w:rPr>
              <w:t>4.elektronizācijas līmeņa e</w:t>
            </w:r>
            <w:r w:rsidR="003D6D8C" w:rsidRPr="00CD726F">
              <w:rPr>
                <w:szCs w:val="18"/>
                <w:lang w:val="lv-LV"/>
              </w:rPr>
              <w:t xml:space="preserve"> </w:t>
            </w:r>
            <w:r w:rsidR="00CD726F" w:rsidRPr="00CD726F">
              <w:rPr>
                <w:szCs w:val="18"/>
                <w:lang w:val="lv-LV"/>
              </w:rPr>
              <w:t>-pakalpojum</w:t>
            </w:r>
            <w:r>
              <w:rPr>
                <w:szCs w:val="18"/>
                <w:lang w:val="lv-LV"/>
              </w:rPr>
              <w:t>s</w:t>
            </w:r>
            <w:r w:rsidR="00CD726F" w:rsidRPr="00CD726F">
              <w:rPr>
                <w:szCs w:val="18"/>
                <w:lang w:val="lv-LV"/>
              </w:rPr>
              <w:t xml:space="preserve"> „Mani dati izglītības reģistros”</w:t>
            </w:r>
          </w:p>
        </w:tc>
        <w:tc>
          <w:tcPr>
            <w:tcW w:w="1139" w:type="pct"/>
          </w:tcPr>
          <w:p w:rsidR="00CD726F" w:rsidRDefault="00CD726F" w:rsidP="00247E48">
            <w:pPr>
              <w:pStyle w:val="TableText"/>
              <w:rPr>
                <w:rFonts w:cs="Arial"/>
                <w:szCs w:val="18"/>
                <w:lang w:val="lv-LV"/>
              </w:rPr>
            </w:pPr>
            <w:r>
              <w:rPr>
                <w:rFonts w:cs="Arial"/>
                <w:szCs w:val="18"/>
                <w:lang w:val="lv-LV"/>
              </w:rPr>
              <w:t>Sasaiste ar VIIS esošajos reģistros uzturētajiem datiem par izglītības procesos iesaistītajām personām</w:t>
            </w:r>
          </w:p>
          <w:p w:rsidR="00CD726F" w:rsidRPr="004E4BF7" w:rsidRDefault="00CD726F" w:rsidP="00247E48">
            <w:pPr>
              <w:pStyle w:val="TableText"/>
              <w:rPr>
                <w:rFonts w:cs="Arial"/>
                <w:szCs w:val="18"/>
              </w:rPr>
            </w:pPr>
            <w:r w:rsidRPr="00976F4C">
              <w:rPr>
                <w:rFonts w:cs="Arial"/>
                <w:szCs w:val="18"/>
                <w:lang w:val="lv-LV"/>
              </w:rPr>
              <w:t>Integrētā valsts informācijas sistēma (turpmāk – IVIS) – VIIS administratoriem nodrošināta iespēja publicēt e-pakalpojumus IVIS</w:t>
            </w:r>
          </w:p>
        </w:tc>
      </w:tr>
      <w:tr w:rsidR="00483AF2" w:rsidRPr="00976F4C" w:rsidTr="004E4BF7">
        <w:trPr>
          <w:cantSplit/>
        </w:trPr>
        <w:tc>
          <w:tcPr>
            <w:tcW w:w="318" w:type="pct"/>
          </w:tcPr>
          <w:p w:rsidR="00483AF2" w:rsidRPr="00976F4C" w:rsidRDefault="00483AF2" w:rsidP="005418DE">
            <w:pPr>
              <w:pStyle w:val="TableText"/>
              <w:numPr>
                <w:ilvl w:val="0"/>
                <w:numId w:val="31"/>
              </w:numPr>
              <w:ind w:left="375" w:hanging="142"/>
              <w:rPr>
                <w:rFonts w:cs="Arial"/>
                <w:szCs w:val="18"/>
                <w:lang w:val="lv-LV" w:eastAsia="lv-LV"/>
              </w:rPr>
            </w:pPr>
          </w:p>
        </w:tc>
        <w:tc>
          <w:tcPr>
            <w:tcW w:w="1081" w:type="pct"/>
          </w:tcPr>
          <w:p w:rsidR="00483AF2" w:rsidRPr="00976F4C" w:rsidRDefault="00483AF2" w:rsidP="00E13283">
            <w:pPr>
              <w:pStyle w:val="TableText"/>
              <w:rPr>
                <w:szCs w:val="18"/>
                <w:lang w:val="lv-LV"/>
              </w:rPr>
            </w:pPr>
            <w:r w:rsidRPr="00976F4C">
              <w:rPr>
                <w:szCs w:val="18"/>
                <w:lang w:val="lv-LV"/>
              </w:rPr>
              <w:t>B</w:t>
            </w:r>
            <w:r w:rsidR="00F953BD" w:rsidRPr="00976F4C">
              <w:rPr>
                <w:szCs w:val="18"/>
                <w:lang w:val="lv-LV"/>
              </w:rPr>
              <w:t>ērnu uzraudzības pakalpojumu sniedzēju reģistrēšana VIIS</w:t>
            </w:r>
          </w:p>
          <w:p w:rsidR="00F953BD" w:rsidRPr="00976F4C" w:rsidRDefault="00F953BD" w:rsidP="00E13283">
            <w:pPr>
              <w:pStyle w:val="TableText"/>
              <w:rPr>
                <w:szCs w:val="18"/>
                <w:lang w:val="lv-LV"/>
              </w:rPr>
            </w:pPr>
          </w:p>
          <w:p w:rsidR="00F953BD" w:rsidRPr="00976F4C" w:rsidRDefault="00F953BD" w:rsidP="00E13283">
            <w:pPr>
              <w:pStyle w:val="TableText"/>
              <w:rPr>
                <w:szCs w:val="18"/>
                <w:lang w:val="lv-LV"/>
              </w:rPr>
            </w:pPr>
            <w:r w:rsidRPr="00976F4C">
              <w:rPr>
                <w:szCs w:val="18"/>
                <w:lang w:val="lv-LV"/>
              </w:rPr>
              <w:t>Pārzinis: IKVD</w:t>
            </w:r>
          </w:p>
        </w:tc>
        <w:tc>
          <w:tcPr>
            <w:tcW w:w="1525" w:type="pct"/>
          </w:tcPr>
          <w:p w:rsidR="00483AF2" w:rsidRPr="00976F4C" w:rsidRDefault="00F953BD" w:rsidP="00247E48">
            <w:pPr>
              <w:pStyle w:val="TableText"/>
              <w:rPr>
                <w:rFonts w:cs="Arial"/>
                <w:szCs w:val="18"/>
                <w:lang w:val="lv-LV"/>
              </w:rPr>
            </w:pPr>
            <w:r w:rsidRPr="00976F4C">
              <w:rPr>
                <w:rFonts w:cs="Arial"/>
                <w:szCs w:val="18"/>
                <w:lang w:val="lv-LV"/>
              </w:rPr>
              <w:t>IKVD pieņem bērnu uzraudzības pakalpojuma sniedzēju reģistrācijas pieteikumus un reģistrē pakalpojumu sniedzējus VIIS, kā arī veic šo datu atjaunināšanu</w:t>
            </w:r>
          </w:p>
        </w:tc>
        <w:tc>
          <w:tcPr>
            <w:tcW w:w="937" w:type="pct"/>
          </w:tcPr>
          <w:p w:rsidR="00483AF2" w:rsidRPr="00976F4C" w:rsidRDefault="00F953BD" w:rsidP="00247E48">
            <w:pPr>
              <w:pStyle w:val="TableText"/>
              <w:rPr>
                <w:szCs w:val="18"/>
                <w:lang w:val="lv-LV"/>
              </w:rPr>
            </w:pPr>
            <w:r w:rsidRPr="00976F4C">
              <w:rPr>
                <w:szCs w:val="18"/>
                <w:lang w:val="lv-LV"/>
              </w:rPr>
              <w:t>Bērnu uzraudzības pakalpojumu sniedzēji reģistrēti VIIS</w:t>
            </w:r>
          </w:p>
        </w:tc>
        <w:tc>
          <w:tcPr>
            <w:tcW w:w="1139" w:type="pct"/>
          </w:tcPr>
          <w:p w:rsidR="00CD726F" w:rsidRPr="004E4BF7" w:rsidRDefault="00F953BD" w:rsidP="004E4BF7">
            <w:pPr>
              <w:pStyle w:val="TableText"/>
              <w:rPr>
                <w:rFonts w:cs="Arial"/>
                <w:szCs w:val="18"/>
                <w:lang w:val="lv-LV"/>
              </w:rPr>
            </w:pPr>
            <w:r w:rsidRPr="00976F4C">
              <w:rPr>
                <w:rFonts w:cs="Arial"/>
                <w:szCs w:val="18"/>
                <w:lang w:val="lv-LV"/>
              </w:rPr>
              <w:t>Sasaiste ar bērnu uzraudzības pakalpojumu sniedzēju informācijas e-pakalpojuma izstrādes procesu</w:t>
            </w:r>
          </w:p>
        </w:tc>
      </w:tr>
      <w:tr w:rsidR="00F953BD" w:rsidRPr="00976F4C" w:rsidTr="004E4BF7">
        <w:trPr>
          <w:cantSplit/>
        </w:trPr>
        <w:tc>
          <w:tcPr>
            <w:tcW w:w="318" w:type="pct"/>
          </w:tcPr>
          <w:p w:rsidR="00F953BD" w:rsidRPr="00976F4C" w:rsidRDefault="00F953BD" w:rsidP="005418DE">
            <w:pPr>
              <w:pStyle w:val="TableText"/>
              <w:numPr>
                <w:ilvl w:val="0"/>
                <w:numId w:val="31"/>
              </w:numPr>
              <w:ind w:left="375" w:hanging="142"/>
              <w:rPr>
                <w:rFonts w:cs="Arial"/>
                <w:szCs w:val="18"/>
                <w:lang w:val="lv-LV" w:eastAsia="lv-LV"/>
              </w:rPr>
            </w:pPr>
          </w:p>
        </w:tc>
        <w:tc>
          <w:tcPr>
            <w:tcW w:w="1081" w:type="pct"/>
          </w:tcPr>
          <w:p w:rsidR="00CD726F" w:rsidRDefault="00CD726F" w:rsidP="00F953BD">
            <w:pPr>
              <w:pStyle w:val="TableText"/>
              <w:rPr>
                <w:rFonts w:cs="Arial"/>
                <w:szCs w:val="18"/>
                <w:lang w:val="lv-LV"/>
              </w:rPr>
            </w:pPr>
            <w:r>
              <w:rPr>
                <w:rFonts w:cs="Arial"/>
                <w:szCs w:val="18"/>
                <w:lang w:val="lv-LV"/>
              </w:rPr>
              <w:t xml:space="preserve">E-pakalpojuma </w:t>
            </w:r>
            <w:r w:rsidRPr="00CD726F">
              <w:rPr>
                <w:rFonts w:cs="Arial"/>
                <w:szCs w:val="18"/>
                <w:lang w:val="lv-LV"/>
              </w:rPr>
              <w:t>„Informācija par aukles statusu reģistrā”</w:t>
            </w:r>
            <w:r>
              <w:rPr>
                <w:rFonts w:cs="Arial"/>
                <w:szCs w:val="18"/>
                <w:lang w:val="lv-LV"/>
              </w:rPr>
              <w:t xml:space="preserve"> izveide</w:t>
            </w:r>
          </w:p>
          <w:p w:rsidR="00F953BD" w:rsidRPr="00976F4C" w:rsidRDefault="00F953BD" w:rsidP="00F953BD">
            <w:pPr>
              <w:pStyle w:val="TableText"/>
              <w:rPr>
                <w:rFonts w:cs="Arial"/>
                <w:szCs w:val="18"/>
                <w:lang w:val="lv-LV"/>
              </w:rPr>
            </w:pPr>
          </w:p>
          <w:p w:rsidR="00F953BD" w:rsidRPr="00976F4C" w:rsidRDefault="00F953BD" w:rsidP="00F953BD">
            <w:pPr>
              <w:pStyle w:val="TableText"/>
              <w:rPr>
                <w:rFonts w:cs="Arial"/>
                <w:szCs w:val="18"/>
                <w:lang w:val="lv-LV"/>
              </w:rPr>
            </w:pPr>
            <w:r w:rsidRPr="00976F4C">
              <w:rPr>
                <w:rFonts w:cs="Arial"/>
                <w:szCs w:val="18"/>
                <w:lang w:val="lv-LV"/>
              </w:rPr>
              <w:t>Pārzinis: IZM</w:t>
            </w:r>
          </w:p>
        </w:tc>
        <w:tc>
          <w:tcPr>
            <w:tcW w:w="1525" w:type="pct"/>
          </w:tcPr>
          <w:p w:rsidR="00F953BD" w:rsidRPr="00976F4C" w:rsidRDefault="00F953BD" w:rsidP="00F953BD">
            <w:pPr>
              <w:pStyle w:val="TableText"/>
              <w:rPr>
                <w:rFonts w:cs="Arial"/>
                <w:szCs w:val="18"/>
                <w:lang w:val="lv-LV"/>
              </w:rPr>
            </w:pPr>
            <w:r w:rsidRPr="00976F4C">
              <w:rPr>
                <w:rFonts w:cs="Arial"/>
                <w:szCs w:val="18"/>
                <w:lang w:val="lv-LV"/>
              </w:rPr>
              <w:t>E-pakalpojuma izstrāde, kas nodrošinās publiskās ticamības statusu par bērna uzraudzības pakalpojuma sniedzēju tiesību statusu</w:t>
            </w:r>
          </w:p>
        </w:tc>
        <w:tc>
          <w:tcPr>
            <w:tcW w:w="937" w:type="pct"/>
          </w:tcPr>
          <w:p w:rsidR="00CD726F" w:rsidRPr="00976F4C" w:rsidRDefault="003D6D8C" w:rsidP="004E4BF7">
            <w:pPr>
              <w:pStyle w:val="TableText"/>
              <w:rPr>
                <w:rFonts w:cs="Arial"/>
                <w:szCs w:val="18"/>
                <w:lang w:val="lv-LV"/>
              </w:rPr>
            </w:pPr>
            <w:r>
              <w:rPr>
                <w:rFonts w:cs="Arial"/>
                <w:szCs w:val="18"/>
                <w:lang w:val="lv-LV"/>
              </w:rPr>
              <w:t>4.elektronizācijas līmeņa e</w:t>
            </w:r>
            <w:r w:rsidR="00F953BD" w:rsidRPr="00976F4C">
              <w:rPr>
                <w:rFonts w:cs="Arial"/>
                <w:szCs w:val="18"/>
                <w:lang w:val="lv-LV"/>
              </w:rPr>
              <w:t>-pakalpojums</w:t>
            </w:r>
            <w:r w:rsidR="00CD726F">
              <w:rPr>
                <w:rFonts w:cs="Arial"/>
                <w:szCs w:val="18"/>
                <w:lang w:val="lv-LV"/>
              </w:rPr>
              <w:t xml:space="preserve"> </w:t>
            </w:r>
            <w:r w:rsidR="00CD726F" w:rsidRPr="00CD726F">
              <w:rPr>
                <w:rFonts w:cs="Arial"/>
                <w:szCs w:val="18"/>
                <w:lang w:val="lv-LV"/>
              </w:rPr>
              <w:t>„Informācija par aukles statusu reģistrā”</w:t>
            </w:r>
          </w:p>
        </w:tc>
        <w:tc>
          <w:tcPr>
            <w:tcW w:w="1139" w:type="pct"/>
          </w:tcPr>
          <w:p w:rsidR="00F953BD" w:rsidRDefault="00F953BD" w:rsidP="00247E48">
            <w:pPr>
              <w:pStyle w:val="TableText"/>
              <w:rPr>
                <w:szCs w:val="18"/>
                <w:lang w:val="lv-LV"/>
              </w:rPr>
            </w:pPr>
            <w:r w:rsidRPr="00976F4C">
              <w:rPr>
                <w:rFonts w:cs="Arial"/>
                <w:szCs w:val="18"/>
                <w:lang w:val="lv-LV"/>
              </w:rPr>
              <w:t xml:space="preserve">Sasaiste ar </w:t>
            </w:r>
            <w:r w:rsidRPr="00976F4C">
              <w:rPr>
                <w:szCs w:val="18"/>
                <w:lang w:val="lv-LV"/>
              </w:rPr>
              <w:t>bērnu uzraudzības pakalpojumu sniedzēju reģistrēšanas procesu VIIS</w:t>
            </w:r>
          </w:p>
          <w:p w:rsidR="00CD726F" w:rsidRPr="00976F4C" w:rsidRDefault="00CD726F" w:rsidP="00247E48">
            <w:pPr>
              <w:pStyle w:val="TableText"/>
              <w:rPr>
                <w:rFonts w:cs="Arial"/>
                <w:szCs w:val="18"/>
                <w:lang w:val="lv-LV"/>
              </w:rPr>
            </w:pPr>
            <w:r w:rsidRPr="00976F4C">
              <w:rPr>
                <w:rFonts w:cs="Arial"/>
                <w:szCs w:val="18"/>
                <w:lang w:val="lv-LV"/>
              </w:rPr>
              <w:t xml:space="preserve">Integrētā </w:t>
            </w:r>
            <w:r>
              <w:rPr>
                <w:rFonts w:cs="Arial"/>
                <w:szCs w:val="18"/>
                <w:lang w:val="lv-LV"/>
              </w:rPr>
              <w:t xml:space="preserve">IVIS </w:t>
            </w:r>
            <w:r w:rsidRPr="00976F4C">
              <w:rPr>
                <w:rFonts w:cs="Arial"/>
                <w:szCs w:val="18"/>
                <w:lang w:val="lv-LV"/>
              </w:rPr>
              <w:t>– VIIS administratoriem nodrošināta iespēja publicēt e-pakalpojumus IVIS</w:t>
            </w:r>
          </w:p>
        </w:tc>
      </w:tr>
      <w:tr w:rsidR="00CD726F" w:rsidRPr="00976F4C" w:rsidTr="00CD726F">
        <w:trPr>
          <w:cantSplit/>
        </w:trPr>
        <w:tc>
          <w:tcPr>
            <w:tcW w:w="318" w:type="pct"/>
          </w:tcPr>
          <w:p w:rsidR="00CD726F" w:rsidRPr="00976F4C" w:rsidRDefault="00CD726F" w:rsidP="005418DE">
            <w:pPr>
              <w:pStyle w:val="TableText"/>
              <w:numPr>
                <w:ilvl w:val="0"/>
                <w:numId w:val="31"/>
              </w:numPr>
              <w:ind w:left="375" w:hanging="142"/>
              <w:rPr>
                <w:rFonts w:cs="Arial"/>
                <w:szCs w:val="18"/>
                <w:lang w:val="lv-LV" w:eastAsia="lv-LV"/>
              </w:rPr>
            </w:pPr>
          </w:p>
        </w:tc>
        <w:tc>
          <w:tcPr>
            <w:tcW w:w="1081" w:type="pct"/>
          </w:tcPr>
          <w:p w:rsidR="00CD726F" w:rsidRDefault="00CD726F" w:rsidP="004E4BF7">
            <w:pPr>
              <w:pStyle w:val="TableText"/>
              <w:rPr>
                <w:rFonts w:cs="Arial"/>
                <w:szCs w:val="18"/>
                <w:lang w:val="lv-LV"/>
              </w:rPr>
            </w:pPr>
            <w:r>
              <w:rPr>
                <w:rFonts w:cs="Arial"/>
                <w:szCs w:val="18"/>
                <w:lang w:val="lv-LV"/>
              </w:rPr>
              <w:t>Automatizētas datu apmaiņas izveide</w:t>
            </w:r>
            <w:r w:rsidRPr="00CD726F">
              <w:rPr>
                <w:rFonts w:cs="Arial"/>
                <w:szCs w:val="18"/>
                <w:lang w:val="lv-LV"/>
              </w:rPr>
              <w:t xml:space="preserve"> starp VIIS un VID IS </w:t>
            </w:r>
          </w:p>
          <w:p w:rsidR="003D6D8C" w:rsidRDefault="003D6D8C" w:rsidP="004E4BF7">
            <w:pPr>
              <w:pStyle w:val="TableText"/>
              <w:rPr>
                <w:rFonts w:cs="Arial"/>
                <w:szCs w:val="18"/>
                <w:lang w:val="lv-LV"/>
              </w:rPr>
            </w:pPr>
          </w:p>
          <w:p w:rsidR="00CD726F" w:rsidRPr="004E4BF7" w:rsidRDefault="00CD726F" w:rsidP="004E4BF7">
            <w:pPr>
              <w:pStyle w:val="TableText"/>
              <w:rPr>
                <w:rFonts w:cs="Arial"/>
                <w:szCs w:val="18"/>
                <w:lang w:val="lv-LV"/>
              </w:rPr>
            </w:pPr>
            <w:r>
              <w:rPr>
                <w:rFonts w:cs="Arial"/>
                <w:szCs w:val="18"/>
                <w:lang w:val="lv-LV"/>
              </w:rPr>
              <w:t>Pārzinis: IZM</w:t>
            </w:r>
          </w:p>
        </w:tc>
        <w:tc>
          <w:tcPr>
            <w:tcW w:w="1525" w:type="pct"/>
          </w:tcPr>
          <w:p w:rsidR="00CD726F" w:rsidRPr="00976F4C" w:rsidRDefault="003D6D8C" w:rsidP="00F953BD">
            <w:pPr>
              <w:pStyle w:val="TableText"/>
              <w:rPr>
                <w:rFonts w:cs="Arial"/>
                <w:szCs w:val="18"/>
                <w:lang w:val="lv-LV"/>
              </w:rPr>
            </w:pPr>
            <w:r>
              <w:rPr>
                <w:rFonts w:cs="Arial"/>
                <w:szCs w:val="18"/>
                <w:lang w:val="lv-LV"/>
              </w:rPr>
              <w:t xml:space="preserve">E-pakalpojuma izstāde 5. elektronizācijas līmenī, </w:t>
            </w:r>
            <w:r w:rsidR="00CD726F" w:rsidRPr="00CD726F">
              <w:rPr>
                <w:rFonts w:cs="Arial"/>
                <w:szCs w:val="18"/>
                <w:lang w:val="lv-LV"/>
              </w:rPr>
              <w:t>nodrošinot automatizētu datu apmaiņu starp VIIS un VID IS par personām, kas turpina izglītošanos pēc 18 gadu vecuma sasniegšanas un līdz 24 gadiem</w:t>
            </w:r>
          </w:p>
        </w:tc>
        <w:tc>
          <w:tcPr>
            <w:tcW w:w="937" w:type="pct"/>
          </w:tcPr>
          <w:p w:rsidR="00CD726F" w:rsidRPr="00976F4C" w:rsidRDefault="00CD726F" w:rsidP="004E4BF7">
            <w:pPr>
              <w:pStyle w:val="TableText"/>
              <w:rPr>
                <w:rFonts w:cs="Arial"/>
                <w:szCs w:val="18"/>
                <w:lang w:val="lv-LV"/>
              </w:rPr>
            </w:pPr>
            <w:r>
              <w:rPr>
                <w:rFonts w:cs="Arial"/>
                <w:szCs w:val="18"/>
                <w:lang w:val="lv-LV"/>
              </w:rPr>
              <w:t>5.</w:t>
            </w:r>
            <w:r w:rsidR="003D6D8C">
              <w:rPr>
                <w:rFonts w:cs="Arial"/>
                <w:szCs w:val="18"/>
                <w:lang w:val="lv-LV"/>
              </w:rPr>
              <w:t> </w:t>
            </w:r>
            <w:r>
              <w:rPr>
                <w:rFonts w:cs="Arial"/>
                <w:szCs w:val="18"/>
                <w:lang w:val="lv-LV"/>
              </w:rPr>
              <w:t>elektronizācijas līmeņa e-pakalpojums ”Automatizēta datu apmaiņa izveide</w:t>
            </w:r>
            <w:r w:rsidRPr="00CD726F">
              <w:rPr>
                <w:rFonts w:cs="Arial"/>
                <w:szCs w:val="18"/>
                <w:lang w:val="lv-LV"/>
              </w:rPr>
              <w:t xml:space="preserve"> starp VIIS un VID IS</w:t>
            </w:r>
            <w:r>
              <w:rPr>
                <w:rFonts w:cs="Arial"/>
                <w:szCs w:val="18"/>
                <w:lang w:val="lv-LV"/>
              </w:rPr>
              <w:t>”</w:t>
            </w:r>
          </w:p>
        </w:tc>
        <w:tc>
          <w:tcPr>
            <w:tcW w:w="1139" w:type="pct"/>
          </w:tcPr>
          <w:p w:rsidR="00CD726F" w:rsidRPr="00976F4C" w:rsidRDefault="003D6D8C" w:rsidP="00247E48">
            <w:pPr>
              <w:pStyle w:val="TableText"/>
              <w:rPr>
                <w:rFonts w:cs="Arial"/>
                <w:szCs w:val="18"/>
                <w:lang w:val="lv-LV"/>
              </w:rPr>
            </w:pPr>
            <w:r>
              <w:rPr>
                <w:rFonts w:cs="Arial"/>
                <w:szCs w:val="18"/>
                <w:lang w:val="lv-LV"/>
              </w:rPr>
              <w:t>Sasaiste ar VID esošajām IS</w:t>
            </w:r>
          </w:p>
        </w:tc>
      </w:tr>
      <w:tr w:rsidR="00766BF9" w:rsidRPr="00976F4C" w:rsidTr="004E4BF7">
        <w:trPr>
          <w:cantSplit/>
        </w:trPr>
        <w:tc>
          <w:tcPr>
            <w:tcW w:w="318" w:type="pct"/>
          </w:tcPr>
          <w:p w:rsidR="00766BF9" w:rsidRPr="00976F4C" w:rsidRDefault="00766BF9" w:rsidP="005418DE">
            <w:pPr>
              <w:pStyle w:val="TableText"/>
              <w:numPr>
                <w:ilvl w:val="0"/>
                <w:numId w:val="31"/>
              </w:numPr>
              <w:ind w:left="375" w:hanging="142"/>
              <w:rPr>
                <w:rFonts w:cs="Arial"/>
                <w:szCs w:val="18"/>
                <w:lang w:val="lv-LV" w:eastAsia="lv-LV"/>
              </w:rPr>
            </w:pPr>
          </w:p>
        </w:tc>
        <w:tc>
          <w:tcPr>
            <w:tcW w:w="1081" w:type="pct"/>
          </w:tcPr>
          <w:p w:rsidR="00CD726F" w:rsidRDefault="00CE5CA1" w:rsidP="00E13283">
            <w:pPr>
              <w:pStyle w:val="TableText"/>
              <w:rPr>
                <w:szCs w:val="18"/>
                <w:lang w:val="lv-LV"/>
              </w:rPr>
            </w:pPr>
            <w:r>
              <w:rPr>
                <w:szCs w:val="18"/>
                <w:lang w:val="lv-LV"/>
              </w:rPr>
              <w:t>VIIS uzkrāto datu izguves uzlabošana</w:t>
            </w:r>
          </w:p>
          <w:p w:rsidR="00766BF9" w:rsidRPr="00976F4C" w:rsidRDefault="00766BF9" w:rsidP="00E13283">
            <w:pPr>
              <w:pStyle w:val="TableText"/>
              <w:rPr>
                <w:szCs w:val="18"/>
                <w:lang w:val="lv-LV"/>
              </w:rPr>
            </w:pPr>
          </w:p>
          <w:p w:rsidR="00766BF9" w:rsidRPr="00976F4C" w:rsidRDefault="00766BF9" w:rsidP="00247E48">
            <w:pPr>
              <w:pStyle w:val="TableText"/>
              <w:rPr>
                <w:szCs w:val="18"/>
                <w:lang w:val="lv-LV"/>
              </w:rPr>
            </w:pPr>
            <w:r w:rsidRPr="00976F4C">
              <w:rPr>
                <w:szCs w:val="18"/>
                <w:lang w:val="lv-LV"/>
              </w:rPr>
              <w:t>Pārzinis: IZM</w:t>
            </w:r>
          </w:p>
        </w:tc>
        <w:tc>
          <w:tcPr>
            <w:tcW w:w="1525" w:type="pct"/>
          </w:tcPr>
          <w:p w:rsidR="00766BF9" w:rsidRPr="00976F4C" w:rsidRDefault="00766BF9" w:rsidP="00247E48">
            <w:pPr>
              <w:pStyle w:val="TableText"/>
              <w:rPr>
                <w:rFonts w:cs="Arial"/>
                <w:szCs w:val="18"/>
                <w:lang w:val="lv-LV"/>
              </w:rPr>
            </w:pPr>
            <w:r w:rsidRPr="00976F4C">
              <w:rPr>
                <w:rFonts w:cs="Arial"/>
                <w:szCs w:val="18"/>
                <w:lang w:val="lv-LV"/>
              </w:rPr>
              <w:t>Esošā risinājuma datu analīzes kubu dimensiju papildināšana ar jaunām dimensijām, tādejādi paplašinot datu analīzes un pārskatu veidošanas iespējas atbilstoši vajadzībām</w:t>
            </w:r>
          </w:p>
        </w:tc>
        <w:tc>
          <w:tcPr>
            <w:tcW w:w="937" w:type="pct"/>
          </w:tcPr>
          <w:p w:rsidR="00766BF9" w:rsidRPr="00976F4C" w:rsidRDefault="00766BF9" w:rsidP="00CE5CA1">
            <w:pPr>
              <w:pStyle w:val="TableText"/>
              <w:rPr>
                <w:szCs w:val="18"/>
                <w:lang w:val="lv-LV"/>
              </w:rPr>
            </w:pPr>
            <w:r w:rsidRPr="00976F4C">
              <w:rPr>
                <w:szCs w:val="18"/>
                <w:lang w:val="lv-LV"/>
              </w:rPr>
              <w:t xml:space="preserve">Pilnveidota un </w:t>
            </w:r>
            <w:r w:rsidR="00CE5CA1">
              <w:rPr>
                <w:szCs w:val="18"/>
                <w:lang w:val="lv-LV"/>
              </w:rPr>
              <w:t>uzlabota VIIS uzkrāto datu izguve</w:t>
            </w:r>
          </w:p>
        </w:tc>
        <w:tc>
          <w:tcPr>
            <w:tcW w:w="1139" w:type="pct"/>
          </w:tcPr>
          <w:p w:rsidR="00766BF9" w:rsidRPr="00976F4C" w:rsidRDefault="00766BF9" w:rsidP="00247E48">
            <w:pPr>
              <w:pStyle w:val="TableText"/>
              <w:rPr>
                <w:rFonts w:cs="Arial"/>
                <w:szCs w:val="18"/>
                <w:lang w:val="lv-LV"/>
              </w:rPr>
            </w:pPr>
            <w:r w:rsidRPr="00976F4C">
              <w:rPr>
                <w:rFonts w:cs="Arial"/>
                <w:szCs w:val="18"/>
                <w:lang w:val="lv-LV"/>
              </w:rPr>
              <w:t>Sasaiste ar VIIS datu noliktavā uzkrātajiem datiem</w:t>
            </w:r>
          </w:p>
          <w:p w:rsidR="00272D73" w:rsidRPr="00976F4C" w:rsidRDefault="00272D73" w:rsidP="00976F4C">
            <w:pPr>
              <w:pStyle w:val="TableText"/>
              <w:rPr>
                <w:rFonts w:cs="Arial"/>
                <w:szCs w:val="18"/>
                <w:lang w:val="lv-LV"/>
              </w:rPr>
            </w:pPr>
            <w:r w:rsidRPr="00976F4C">
              <w:rPr>
                <w:rFonts w:cs="Arial"/>
                <w:szCs w:val="18"/>
                <w:lang w:val="lv-LV"/>
              </w:rPr>
              <w:t>Sasaiste ar pārskatu un analīzes risinājumā esošo atskaišu veidošanas funkcionalitāti</w:t>
            </w:r>
          </w:p>
        </w:tc>
      </w:tr>
      <w:tr w:rsidR="00A33415" w:rsidRPr="00976F4C" w:rsidTr="004E4BF7">
        <w:trPr>
          <w:cantSplit/>
        </w:trPr>
        <w:tc>
          <w:tcPr>
            <w:tcW w:w="318" w:type="pct"/>
          </w:tcPr>
          <w:p w:rsidR="00A33415" w:rsidRPr="00976F4C" w:rsidRDefault="00A33415" w:rsidP="005418DE">
            <w:pPr>
              <w:pStyle w:val="TableText"/>
              <w:numPr>
                <w:ilvl w:val="0"/>
                <w:numId w:val="31"/>
              </w:numPr>
              <w:ind w:left="375" w:hanging="142"/>
              <w:rPr>
                <w:rFonts w:cs="Arial"/>
                <w:szCs w:val="18"/>
                <w:lang w:val="lv-LV" w:eastAsia="lv-LV"/>
              </w:rPr>
            </w:pPr>
          </w:p>
        </w:tc>
        <w:tc>
          <w:tcPr>
            <w:tcW w:w="1081" w:type="pct"/>
          </w:tcPr>
          <w:p w:rsidR="00A33415" w:rsidRPr="00976F4C" w:rsidRDefault="00A33415" w:rsidP="005370CF">
            <w:pPr>
              <w:pStyle w:val="TableText"/>
              <w:rPr>
                <w:rFonts w:cs="Arial"/>
                <w:szCs w:val="18"/>
              </w:rPr>
            </w:pPr>
            <w:r w:rsidRPr="00976F4C">
              <w:rPr>
                <w:rFonts w:cs="Arial"/>
                <w:szCs w:val="18"/>
                <w:lang w:val="lv-LV"/>
              </w:rPr>
              <w:t xml:space="preserve">Automatizēta VIIS apkopotās informācijas sniegšana ieinteresētajām institūcijām </w:t>
            </w:r>
          </w:p>
          <w:p w:rsidR="00A33415" w:rsidRPr="00976F4C" w:rsidRDefault="00A33415" w:rsidP="005370CF">
            <w:pPr>
              <w:pStyle w:val="TableText"/>
              <w:rPr>
                <w:rFonts w:cs="Arial"/>
                <w:szCs w:val="18"/>
              </w:rPr>
            </w:pPr>
          </w:p>
          <w:p w:rsidR="00A33415" w:rsidRPr="00976F4C" w:rsidRDefault="00A33415">
            <w:pPr>
              <w:pStyle w:val="TableText"/>
              <w:rPr>
                <w:rFonts w:cs="Arial"/>
                <w:szCs w:val="18"/>
                <w:lang w:val="lv-LV"/>
              </w:rPr>
            </w:pPr>
            <w:r w:rsidRPr="00976F4C">
              <w:rPr>
                <w:rFonts w:cs="Arial"/>
                <w:szCs w:val="18"/>
                <w:lang w:val="lv-LV"/>
              </w:rPr>
              <w:t>Pārzinis: IZM</w:t>
            </w:r>
          </w:p>
        </w:tc>
        <w:tc>
          <w:tcPr>
            <w:tcW w:w="1525" w:type="pct"/>
          </w:tcPr>
          <w:p w:rsidR="00A33415" w:rsidRPr="00976F4C" w:rsidRDefault="00A33415">
            <w:pPr>
              <w:pStyle w:val="TableText"/>
              <w:rPr>
                <w:rFonts w:cs="Arial"/>
                <w:szCs w:val="18"/>
                <w:lang w:val="lv-LV"/>
              </w:rPr>
            </w:pPr>
            <w:r w:rsidRPr="00976F4C">
              <w:rPr>
                <w:rFonts w:cs="Arial"/>
                <w:szCs w:val="18"/>
                <w:lang w:val="lv-LV"/>
              </w:rPr>
              <w:t>Nodrošināta iespēja operatīvai VIIS datu apmaiņas saskarņu izveidei, labošanai un publicēšanai atbilstoši ieinteresēto institūciju pieprasījumiem</w:t>
            </w:r>
          </w:p>
        </w:tc>
        <w:tc>
          <w:tcPr>
            <w:tcW w:w="937" w:type="pct"/>
          </w:tcPr>
          <w:p w:rsidR="00A33415" w:rsidRPr="00976F4C" w:rsidRDefault="00A33415">
            <w:pPr>
              <w:pStyle w:val="TableText"/>
              <w:rPr>
                <w:rFonts w:cs="Arial"/>
                <w:szCs w:val="18"/>
                <w:lang w:val="lv-LV"/>
              </w:rPr>
            </w:pPr>
            <w:r w:rsidRPr="00976F4C">
              <w:rPr>
                <w:rFonts w:cs="Arial"/>
                <w:szCs w:val="18"/>
                <w:lang w:val="lv-LV"/>
              </w:rPr>
              <w:t>Būtiski samazināts laiks, finanšu un administratīvo resursu patēriņš datu sniegšanai ieinteresētajām institūcijām</w:t>
            </w:r>
          </w:p>
        </w:tc>
        <w:tc>
          <w:tcPr>
            <w:tcW w:w="1139" w:type="pct"/>
          </w:tcPr>
          <w:p w:rsidR="00A33415" w:rsidRPr="00976F4C" w:rsidRDefault="00A33415" w:rsidP="005370CF">
            <w:pPr>
              <w:pStyle w:val="TableText"/>
              <w:rPr>
                <w:rFonts w:cs="Arial"/>
                <w:szCs w:val="18"/>
              </w:rPr>
            </w:pPr>
            <w:r w:rsidRPr="00976F4C">
              <w:rPr>
                <w:rFonts w:cs="Arial"/>
                <w:szCs w:val="18"/>
                <w:lang w:val="lv-LV"/>
              </w:rPr>
              <w:t xml:space="preserve">Integrētā </w:t>
            </w:r>
            <w:r w:rsidR="00F245B6" w:rsidRPr="00976F4C">
              <w:rPr>
                <w:rFonts w:cs="Arial"/>
                <w:szCs w:val="18"/>
                <w:lang w:val="lv-LV"/>
              </w:rPr>
              <w:t>IVIS</w:t>
            </w:r>
            <w:r w:rsidR="00CD726F">
              <w:rPr>
                <w:rFonts w:cs="Arial"/>
                <w:szCs w:val="18"/>
                <w:lang w:val="lv-LV"/>
              </w:rPr>
              <w:t xml:space="preserve"> </w:t>
            </w:r>
            <w:r w:rsidRPr="00976F4C">
              <w:rPr>
                <w:rFonts w:cs="Arial"/>
                <w:szCs w:val="18"/>
                <w:lang w:val="lv-LV"/>
              </w:rPr>
              <w:t>– VIIS administratoriem nodrošināta iespēja publicēt e-pakalpojumus IVIS</w:t>
            </w:r>
          </w:p>
          <w:p w:rsidR="00A33415" w:rsidRPr="00976F4C" w:rsidRDefault="00272D73" w:rsidP="005370CF">
            <w:pPr>
              <w:pStyle w:val="TableText"/>
              <w:rPr>
                <w:rFonts w:cs="Arial"/>
                <w:szCs w:val="18"/>
              </w:rPr>
            </w:pPr>
            <w:r w:rsidRPr="00976F4C">
              <w:rPr>
                <w:rFonts w:cs="Arial"/>
                <w:szCs w:val="18"/>
                <w:lang w:val="lv-LV"/>
              </w:rPr>
              <w:t>U</w:t>
            </w:r>
            <w:r w:rsidR="00A33415" w:rsidRPr="00976F4C">
              <w:rPr>
                <w:rFonts w:cs="Arial"/>
                <w:szCs w:val="18"/>
                <w:lang w:val="lv-LV"/>
              </w:rPr>
              <w:t xml:space="preserve">zlabotas IZM iespējas sniegt informāciju MK noteikumu </w:t>
            </w:r>
            <w:r w:rsidRPr="00976F4C">
              <w:rPr>
                <w:rFonts w:cs="Arial"/>
                <w:szCs w:val="18"/>
                <w:lang w:val="lv-LV"/>
              </w:rPr>
              <w:t xml:space="preserve">"Kārtība, kādā iestādes sadarbojoties sniedz informāciju elektroniskā veidā, kā arī nodrošina un apliecina šādas informācijas patiesumu” </w:t>
            </w:r>
            <w:r w:rsidR="00A33415" w:rsidRPr="00976F4C">
              <w:rPr>
                <w:rFonts w:cs="Arial"/>
                <w:szCs w:val="18"/>
                <w:lang w:val="lv-LV"/>
              </w:rPr>
              <w:t>4.1.1 punktā noteiktajā kārtībā</w:t>
            </w:r>
          </w:p>
          <w:p w:rsidR="00A33415" w:rsidRPr="00976F4C" w:rsidRDefault="00A33415">
            <w:pPr>
              <w:pStyle w:val="TableText"/>
              <w:rPr>
                <w:rFonts w:cs="Arial"/>
                <w:szCs w:val="18"/>
                <w:lang w:val="lv-LV"/>
              </w:rPr>
            </w:pPr>
            <w:r w:rsidRPr="00976F4C">
              <w:rPr>
                <w:rFonts w:cs="Arial"/>
                <w:szCs w:val="18"/>
                <w:lang w:val="lv-LV"/>
              </w:rPr>
              <w:t>VIIS izmaiņu pārvaldības process – jāveic izmaiņas procesā, paredzot VIIS administratoriem kontrolēti veikt pielāgojumus datu apmaiņas saskarnēs</w:t>
            </w:r>
          </w:p>
        </w:tc>
      </w:tr>
    </w:tbl>
    <w:p w:rsidR="002C6C52" w:rsidRDefault="002C6C52" w:rsidP="002C6C52">
      <w:pPr>
        <w:pStyle w:val="Heading2"/>
      </w:pPr>
      <w:bookmarkStart w:id="44" w:name="_Toc378945005"/>
      <w:bookmarkStart w:id="45" w:name="_Toc378956679"/>
      <w:bookmarkStart w:id="46" w:name="_Toc378945006"/>
      <w:bookmarkStart w:id="47" w:name="_Toc378956680"/>
      <w:bookmarkStart w:id="48" w:name="_Toc388454852"/>
      <w:bookmarkEnd w:id="44"/>
      <w:bookmarkEnd w:id="45"/>
      <w:bookmarkEnd w:id="46"/>
      <w:bookmarkEnd w:id="47"/>
      <w:r>
        <w:t>Plānotajos procesos iesaistītās personas</w:t>
      </w:r>
      <w:bookmarkEnd w:id="48"/>
    </w:p>
    <w:p w:rsidR="00247E48" w:rsidRDefault="00247E48" w:rsidP="00247E48">
      <w:pPr>
        <w:pStyle w:val="Heading3"/>
      </w:pPr>
      <w:bookmarkStart w:id="49" w:name="_Toc388454853"/>
      <w:r>
        <w:t>IZM</w:t>
      </w:r>
      <w:bookmarkEnd w:id="49"/>
    </w:p>
    <w:p w:rsidR="00247E48" w:rsidRDefault="00247E48" w:rsidP="00247E48">
      <w:pPr>
        <w:pStyle w:val="BodyText"/>
      </w:pPr>
      <w:r w:rsidRPr="00247E48">
        <w:t>IZM ir ieinteresēta izglītības sistēmas monitoringa pasākumos IZM funkciju izpildei, lai īstenotu mērķi par efektīvāku izglītības sistēmas pārvaldību. IZM uzturētā VIIS kalpos par vienotu datubāzi, kurā automatizētā veidā tiks apkopota augstākās izglītības institūciju individuālo studējošo reģistros ievadītā informācija. Dažāda līmeņa izglītības institūciju iesaiste informācijas centralizētā uzkrāšanā VIIS tiks nodrošināta ar atbilstošiem normatīvajiem aktiem, sniedzot šīm institūcijām iespēju izmantot VIIS reģistrā apkopoto informāciju savu funkciju nodrošināšanai. IZM līdzdalība plānotajos procesos tiks nodrošināta ar iekšējo normatīvo aktu palīdzību. Paredzēts, ka IZM kā VIIS pārzinim būs pieejama visa VIIS funkcionalitāte un iespējas bez ierobežojošiem nosacījumiem.</w:t>
      </w:r>
    </w:p>
    <w:p w:rsidR="00247E48" w:rsidRDefault="00247E48" w:rsidP="00247E48">
      <w:pPr>
        <w:pStyle w:val="Heading3"/>
      </w:pPr>
      <w:bookmarkStart w:id="50" w:name="_Toc388454854"/>
      <w:r w:rsidRPr="00247E48">
        <w:t>Augstākās izglītības institūcijas</w:t>
      </w:r>
      <w:bookmarkEnd w:id="50"/>
    </w:p>
    <w:p w:rsidR="00247E48" w:rsidRDefault="00CE30E4" w:rsidP="00247E48">
      <w:pPr>
        <w:pStyle w:val="BodyText"/>
      </w:pPr>
      <w:r>
        <w:t xml:space="preserve">Lai nodrošinātu augstākās izglītības iestādēs studējošo datu uzkrāšanu un aktualitāti VIIS, </w:t>
      </w:r>
      <w:r w:rsidR="00247E48" w:rsidRPr="00247E48">
        <w:t>augstākās izglītības iestādēm ar normatīvo aktu palīdzību tiks noteikts pienākums sniegt noteiktus datus VIIS reģistru uzturēšanai (automatizētā vai manuālā veidā)</w:t>
      </w:r>
      <w:r>
        <w:t xml:space="preserve">. </w:t>
      </w:r>
      <w:r w:rsidR="00392CE4">
        <w:t xml:space="preserve">Izmantojot automatizētu datu apmaiņu starp VIIS </w:t>
      </w:r>
      <w:r w:rsidR="00392CE4">
        <w:lastRenderedPageBreak/>
        <w:t xml:space="preserve">un augstākās izglītības iestāžu IS vai </w:t>
      </w:r>
      <w:r w:rsidR="00392CE4" w:rsidRPr="004A636E">
        <w:t>augšupielādējot</w:t>
      </w:r>
      <w:r w:rsidR="00392CE4" w:rsidRPr="00422534">
        <w:t xml:space="preserve"> datus, </w:t>
      </w:r>
      <w:r w:rsidR="00392CE4" w:rsidRPr="004A636E">
        <w:t>izmantojot iepriekš definētu faila formātu, tiks mazināts augstākās izglītības iest</w:t>
      </w:r>
      <w:r w:rsidR="00392CE4" w:rsidRPr="00D810F2">
        <w:t>āžu laika un resursu patēriņš manuālu pārskatu sagatavošanai.</w:t>
      </w:r>
    </w:p>
    <w:p w:rsidR="00247E48" w:rsidRPr="005370CF" w:rsidRDefault="00766BF9" w:rsidP="00247E48">
      <w:pPr>
        <w:pStyle w:val="Heading3"/>
      </w:pPr>
      <w:bookmarkStart w:id="51" w:name="_Toc388454855"/>
      <w:r w:rsidRPr="005370CF">
        <w:t xml:space="preserve">Citu </w:t>
      </w:r>
      <w:r w:rsidR="00003754">
        <w:t>publiskās pārvaldes</w:t>
      </w:r>
      <w:r w:rsidR="00003754" w:rsidRPr="005370CF">
        <w:t xml:space="preserve"> </w:t>
      </w:r>
      <w:r w:rsidRPr="005370CF">
        <w:t>iestāžu pārstāvji</w:t>
      </w:r>
      <w:bookmarkEnd w:id="51"/>
    </w:p>
    <w:p w:rsidR="00766BF9" w:rsidRDefault="00B2124B" w:rsidP="005370CF">
      <w:pPr>
        <w:pStyle w:val="BodyText"/>
      </w:pPr>
      <w:r>
        <w:t>Attīstot VIIS datu apmaiņas risinājumu</w:t>
      </w:r>
      <w:r w:rsidR="00766BF9" w:rsidRPr="00766BF9">
        <w:t xml:space="preserve">, kas paredz izstrādāt </w:t>
      </w:r>
      <w:proofErr w:type="spellStart"/>
      <w:r w:rsidR="00766BF9" w:rsidRPr="00766BF9">
        <w:t>VIIS</w:t>
      </w:r>
      <w:proofErr w:type="spellEnd"/>
      <w:r w:rsidR="00766BF9" w:rsidRPr="00766BF9">
        <w:t xml:space="preserve"> tīmekļa </w:t>
      </w:r>
      <w:proofErr w:type="spellStart"/>
      <w:r w:rsidR="00766BF9" w:rsidRPr="00766BF9">
        <w:t>pakalpju</w:t>
      </w:r>
      <w:proofErr w:type="spellEnd"/>
      <w:r w:rsidR="00766BF9" w:rsidRPr="00766BF9">
        <w:t xml:space="preserve"> kopu līdz 100 biežāk izmantotajiem VIIS datu objektiem, tiks būtiski uzlabotas datu apmaiņas iespējas starp VIIS un ārējām </w:t>
      </w:r>
      <w:r w:rsidR="009B7F6A">
        <w:t>IS</w:t>
      </w:r>
      <w:r w:rsidR="00766BF9" w:rsidRPr="00766BF9">
        <w:t xml:space="preserve"> kā datu nodošanai, tā saņemšanai. Tādejādi plānotajos procesos tiks iesaistītas jaunas personas – citas valsts iestādes – kuras ir ieinteresētas saņemt datus no IZM uzturētās VIIS vai arī kuru uzturētajās IS ir pieejama IZM un tās padotības iestāžu darbībai nepieciešamā informācija un dati. </w:t>
      </w:r>
      <w:r w:rsidR="00F953BD">
        <w:t xml:space="preserve">Tāpat atsevišķas valsts iestādes, piemēram, IKVD, līdz ar VIIS paplašinājumiem varēs veikt savu līdz šim lokāli uzkrāto datu glabāšanu VIIS. </w:t>
      </w:r>
      <w:r w:rsidR="00B533DC">
        <w:t xml:space="preserve">Tāpat VIIS attīstības ietvaros paredzēta informācijas apmaiņas izveide ar VID IS par personām, kas turpina izglītības iegūšanu pēc 18 gadu vecuma un līdz 24 gadu vecuma sasniegšanai. </w:t>
      </w:r>
      <w:r w:rsidR="00766BF9" w:rsidRPr="00766BF9">
        <w:t xml:space="preserve">Datu apmaiņas risinājuma pilnveidošana sniegs iespēju nodrošināt automātisku datu apmaiņu starp sistēmām, izmantojot tīmekļa </w:t>
      </w:r>
      <w:proofErr w:type="spellStart"/>
      <w:r w:rsidR="00766BF9" w:rsidRPr="00766BF9">
        <w:t>pakalpes</w:t>
      </w:r>
      <w:proofErr w:type="spellEnd"/>
      <w:r w:rsidR="00766BF9" w:rsidRPr="00766BF9">
        <w:t>.</w:t>
      </w:r>
    </w:p>
    <w:p w:rsidR="00A33415" w:rsidRPr="005370CF" w:rsidRDefault="00A33415">
      <w:pPr>
        <w:pStyle w:val="Heading3"/>
      </w:pPr>
      <w:bookmarkStart w:id="52" w:name="_Toc388454856"/>
      <w:r w:rsidRPr="00B2124B">
        <w:t>Cita ieinteresētās personas</w:t>
      </w:r>
      <w:r w:rsidR="00003754">
        <w:t xml:space="preserve"> (trešās puses)</w:t>
      </w:r>
      <w:bookmarkEnd w:id="52"/>
    </w:p>
    <w:p w:rsidR="00B2124B" w:rsidRDefault="00B2124B" w:rsidP="004E4BF7">
      <w:pPr>
        <w:pStyle w:val="BodyText"/>
      </w:pPr>
      <w:r>
        <w:t>Līdz ar jaunu e-pakalpojumu izveidi, kas paredz informācijas sniegšanu par</w:t>
      </w:r>
      <w:r w:rsidR="00B533DC">
        <w:t xml:space="preserve"> izglītības reģistros pieejamo informāciju </w:t>
      </w:r>
      <w:r>
        <w:t xml:space="preserve">un bērnu uzraudzības pakalpojumu sniedzējiem, </w:t>
      </w:r>
      <w:r w:rsidR="004740D3">
        <w:t xml:space="preserve">paplašināsies VIIS klientu un ieinteresēto personu loks. Ieinteresēto personu loku veidos personas, kuras vēlēsies saņemt informāciju par </w:t>
      </w:r>
      <w:r w:rsidR="00B533DC">
        <w:t>sevi reģistrētajiem datiem izglītības reģistros</w:t>
      </w:r>
      <w:r w:rsidR="004740D3">
        <w:t>, kā arī par reģistrētiem bērnu uzraudzības pakalpojumu sniedzējiem (piemēram, vecāki, ģimenes locekļi).</w:t>
      </w:r>
    </w:p>
    <w:p w:rsidR="002C6C52" w:rsidRDefault="002C6C52" w:rsidP="002C6C52">
      <w:pPr>
        <w:pStyle w:val="Heading2"/>
      </w:pPr>
      <w:bookmarkStart w:id="53" w:name="_Toc378945012"/>
      <w:bookmarkStart w:id="54" w:name="_Toc378956686"/>
      <w:bookmarkStart w:id="55" w:name="_Toc388454857"/>
      <w:bookmarkEnd w:id="53"/>
      <w:bookmarkEnd w:id="54"/>
      <w:r>
        <w:t>Plānotā sistēma</w:t>
      </w:r>
      <w:bookmarkEnd w:id="55"/>
    </w:p>
    <w:p w:rsidR="00766BF9" w:rsidRDefault="00B9728D" w:rsidP="00766BF9">
      <w:pPr>
        <w:pStyle w:val="BodyText"/>
      </w:pPr>
      <w:r>
        <w:t>Esošās un p</w:t>
      </w:r>
      <w:r w:rsidR="00766BF9">
        <w:t xml:space="preserve">lānotās VIIS </w:t>
      </w:r>
      <w:r w:rsidR="00766BF9" w:rsidRPr="0034316E">
        <w:t>galvenās komponentes shematiski atspoguļotas attēlā.</w:t>
      </w:r>
      <w:r>
        <w:t xml:space="preserve"> Komponentes, kuras plānots izstrādāt no jauna vai arī kuras plānots pilnveidot VIIS attīstības ietvaros, attēlā vizuāli izceltas.</w:t>
      </w:r>
    </w:p>
    <w:p w:rsidR="00794B95" w:rsidRDefault="00794B95" w:rsidP="00766BF9">
      <w:pPr>
        <w:pStyle w:val="BodyText"/>
      </w:pPr>
      <w:r w:rsidRPr="00794B95">
        <w:rPr>
          <w:noProof/>
        </w:rPr>
        <w:drawing>
          <wp:inline distT="0" distB="0" distL="0" distR="0" wp14:anchorId="28605C8E" wp14:editId="13CB8735">
            <wp:extent cx="5530850" cy="278013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3201" cy="2781316"/>
                    </a:xfrm>
                    <a:prstGeom prst="rect">
                      <a:avLst/>
                    </a:prstGeom>
                    <a:noFill/>
                    <a:ln>
                      <a:noFill/>
                    </a:ln>
                  </pic:spPr>
                </pic:pic>
              </a:graphicData>
            </a:graphic>
          </wp:inline>
        </w:drawing>
      </w:r>
    </w:p>
    <w:p w:rsidR="00766BF9" w:rsidRDefault="00777E33" w:rsidP="004A636E">
      <w:pPr>
        <w:pStyle w:val="BodyText"/>
        <w:jc w:val="center"/>
      </w:pPr>
      <w:r>
        <w:t xml:space="preserve">Attēls </w:t>
      </w:r>
      <w:r w:rsidR="002B7ACB">
        <w:fldChar w:fldCharType="begin"/>
      </w:r>
      <w:r w:rsidR="006865B2">
        <w:instrText xml:space="preserve"> SEQ Attēls \* ARABIC </w:instrText>
      </w:r>
      <w:r w:rsidR="002B7ACB">
        <w:fldChar w:fldCharType="separate"/>
      </w:r>
      <w:r>
        <w:rPr>
          <w:noProof/>
        </w:rPr>
        <w:t>2</w:t>
      </w:r>
      <w:r w:rsidR="002B7ACB">
        <w:rPr>
          <w:noProof/>
        </w:rPr>
        <w:fldChar w:fldCharType="end"/>
      </w:r>
      <w:r>
        <w:t>. Esošās un plānotās VIIS komponentes</w:t>
      </w:r>
    </w:p>
    <w:p w:rsidR="00766BF9" w:rsidRDefault="00525625" w:rsidP="00766BF9">
      <w:pPr>
        <w:pStyle w:val="BodyText"/>
      </w:pPr>
      <w:r>
        <w:t xml:space="preserve">Viena </w:t>
      </w:r>
      <w:r w:rsidR="00B9728D">
        <w:t xml:space="preserve">no jaunizstrādājamajām </w:t>
      </w:r>
      <w:r w:rsidR="007469FC">
        <w:t xml:space="preserve">VIIS komponentēm ir </w:t>
      </w:r>
      <w:r w:rsidR="007469FC" w:rsidRPr="005370CF">
        <w:rPr>
          <w:b/>
        </w:rPr>
        <w:t>augstākās izglītības iestādēs s</w:t>
      </w:r>
      <w:r w:rsidR="00766BF9" w:rsidRPr="005370CF">
        <w:rPr>
          <w:b/>
        </w:rPr>
        <w:t xml:space="preserve">tudējošo </w:t>
      </w:r>
      <w:r w:rsidR="007469FC" w:rsidRPr="005370CF">
        <w:rPr>
          <w:b/>
        </w:rPr>
        <w:t>reģistrs</w:t>
      </w:r>
      <w:r w:rsidR="007469FC">
        <w:t>.</w:t>
      </w:r>
      <w:r w:rsidR="004A3E40">
        <w:t xml:space="preserve"> Šobrīd informācija par studējošajiem tiek uzturēta ka</w:t>
      </w:r>
      <w:r w:rsidR="00CE4DD2">
        <w:t>t</w:t>
      </w:r>
      <w:r w:rsidR="004A3E40">
        <w:t xml:space="preserve">rā augstākās izglītības iestādē atsevišķi, informācijas uzglabāšanai izmantojot </w:t>
      </w:r>
      <w:r w:rsidR="00835264">
        <w:t xml:space="preserve">augstākās izglītības institūciju </w:t>
      </w:r>
      <w:r w:rsidR="004A3E40">
        <w:t>IS un datu bāzes.</w:t>
      </w:r>
    </w:p>
    <w:p w:rsidR="004A3E40" w:rsidRDefault="004A3E40" w:rsidP="00766BF9">
      <w:pPr>
        <w:pStyle w:val="BodyText"/>
      </w:pPr>
      <w:r>
        <w:t xml:space="preserve">Lai nodrošinātu datu ievadīšanu un atjaunošanu studējošo reģistrā plānota VIIS integrācija ar </w:t>
      </w:r>
      <w:r w:rsidR="00835264">
        <w:t xml:space="preserve">augstākās izglītības institūciju </w:t>
      </w:r>
      <w:proofErr w:type="spellStart"/>
      <w:r>
        <w:t>IS</w:t>
      </w:r>
      <w:proofErr w:type="spellEnd"/>
      <w:r>
        <w:t xml:space="preserve">, izmantojot tīmekļa </w:t>
      </w:r>
      <w:proofErr w:type="spellStart"/>
      <w:r>
        <w:t>pakalpes</w:t>
      </w:r>
      <w:proofErr w:type="spellEnd"/>
      <w:r>
        <w:t>, tādejādi nodrošinot automātisku datu apmaiņu un atjaunošanu, vai, gadījumos, kuros tas nav iespējams, datu ievadīšana VIIS, izmantojot citus datu apmaiņas veidus.</w:t>
      </w:r>
    </w:p>
    <w:p w:rsidR="00766BF9" w:rsidRDefault="00766BF9" w:rsidP="004E4BF7">
      <w:pPr>
        <w:pStyle w:val="BodyText"/>
      </w:pPr>
      <w:r w:rsidRPr="006309D9">
        <w:t xml:space="preserve">Jaunu </w:t>
      </w:r>
      <w:r w:rsidRPr="005370CF">
        <w:rPr>
          <w:b/>
        </w:rPr>
        <w:t>e-</w:t>
      </w:r>
      <w:r w:rsidRPr="004E4BF7">
        <w:rPr>
          <w:b/>
        </w:rPr>
        <w:t>pakalpojumu izstrāde</w:t>
      </w:r>
      <w:r w:rsidRPr="004E4BF7">
        <w:t xml:space="preserve"> </w:t>
      </w:r>
      <w:r w:rsidR="00CE4DD2" w:rsidRPr="004E4BF7">
        <w:t xml:space="preserve">nodrošinās ērtāku </w:t>
      </w:r>
      <w:r w:rsidR="00B533DC" w:rsidRPr="004E4BF7">
        <w:t xml:space="preserve">pieeju VIIS uzkrātajai informācijai. Piemēram, e-pakalpojuma „Mani dati izglītības reģistros” izveide 4. elektronizācijas līmenī nodrošinās iespēju fiziskām </w:t>
      </w:r>
      <w:r w:rsidR="00B533DC" w:rsidRPr="004E4BF7">
        <w:lastRenderedPageBreak/>
        <w:t>personām tiešsaistē iegūt par sevi reģistrētu informāciju VIIS. Savukārt automātiska datu apmaiņas risinājuma izveide starp IZM un VID IS nodrošinās 5. elektronizācijas līmeņa darb</w:t>
      </w:r>
      <w:r w:rsidR="00185FEF" w:rsidRPr="004E4BF7">
        <w:t>ību</w:t>
      </w:r>
      <w:r w:rsidR="00185FEF">
        <w:t xml:space="preserve">. </w:t>
      </w:r>
      <w:r w:rsidR="00CE4DD2" w:rsidRPr="004E4BF7">
        <w:t>Tāpat arī VIIS no 2015.gada nepieciešams apkopot būtisku informāciju par bērnu uzraudzības pakalpojumu sniedzējiem, kuras pieejamība vecākiem ir būtiska, lai pārliecinātos par pakalpojumu sniedzēju ticamību.</w:t>
      </w:r>
    </w:p>
    <w:p w:rsidR="00766BF9" w:rsidRDefault="00766BF9" w:rsidP="00766BF9">
      <w:pPr>
        <w:pStyle w:val="BodyText"/>
      </w:pPr>
      <w:r>
        <w:t xml:space="preserve">VIIS attīstības ietvaros paredzēta </w:t>
      </w:r>
      <w:r w:rsidR="00CE5CA1" w:rsidRPr="004E4BF7">
        <w:rPr>
          <w:b/>
        </w:rPr>
        <w:t>VIIS uzkrāto datu izguves uzlabošana</w:t>
      </w:r>
      <w:r w:rsidR="00CE5CA1">
        <w:t xml:space="preserve"> </w:t>
      </w:r>
      <w:r>
        <w:t>, nodrošinot VIIS uzkrāto datu pilnvērtīgu izmantošanu kvalitātes monitoringa nodrošināšanas un citām vajadzībām.</w:t>
      </w:r>
    </w:p>
    <w:p w:rsidR="00766BF9" w:rsidRDefault="00CE5CA1" w:rsidP="00766BF9">
      <w:pPr>
        <w:pStyle w:val="BodyText"/>
      </w:pPr>
      <w:r>
        <w:t xml:space="preserve">VIIS uzkrāto datu izguves uzlabošanas ietvaros </w:t>
      </w:r>
      <w:r w:rsidR="00766BF9">
        <w:t xml:space="preserve">paredzēta </w:t>
      </w:r>
      <w:r w:rsidR="00766BF9" w:rsidRPr="00806B48">
        <w:t>esošo VIIS</w:t>
      </w:r>
      <w:r w:rsidR="00766BF9">
        <w:t xml:space="preserve"> uzkrāto datu kopu pārskatīšana, kā arī jau šobrīd </w:t>
      </w:r>
      <w:r w:rsidR="00766BF9" w:rsidRPr="00806B48">
        <w:t>definēto datu kubu dimensiju analīze</w:t>
      </w:r>
      <w:r w:rsidR="00766BF9">
        <w:t xml:space="preserve">, nosakot, kāda daļa no VIIS uzkrātajiem datiem šobrīd pieejama datu analīzes un pārskatu veidošanas vajadzībām. Lai nodrošinātu sistemātisku pieeju jaunu datu dimensiju definēšanā esošajos datu kubos, tiks veikta </w:t>
      </w:r>
      <w:r w:rsidR="00766BF9" w:rsidRPr="00806B48">
        <w:t>datu analīzes un pieejamības vajadzību apzināšana</w:t>
      </w:r>
      <w:r w:rsidR="00766BF9">
        <w:t xml:space="preserve">, noskaidrojot datu kopas, kuras nepieciešamas darbu izpildei un analīzes veikšanai. Ņemot vērā analīzes rezultātus, tiks veikta jaunu </w:t>
      </w:r>
      <w:r w:rsidR="00766BF9" w:rsidRPr="00806B48">
        <w:t>datu kubu dimensiju definēšana</w:t>
      </w:r>
      <w:r w:rsidR="00766BF9">
        <w:t xml:space="preserve">, tādejādi nodrošinot tādu VIIS uzkrāto datu kopu izmantošanu analīzes vajadzībām, kādas līdz šim analīzes un pārskatu risinājumā netiek izmantotas. Līdz ar datu kubu dimensiju un attiecīgi arī analīzes un pārskatu kopas paplašināšanu tiks papildināts atskaišu publicēšanas mehānisms, </w:t>
      </w:r>
      <w:r w:rsidR="00766BF9" w:rsidRPr="0040629C">
        <w:t>nodrošinot atskaišu publicēšanas iespējas atbilstošā sistēmas modulī.</w:t>
      </w:r>
    </w:p>
    <w:p w:rsidR="00766BF9" w:rsidRPr="00E13283" w:rsidRDefault="004A3E40" w:rsidP="00766BF9">
      <w:pPr>
        <w:pStyle w:val="BodyText"/>
      </w:pPr>
      <w:r>
        <w:t xml:space="preserve">Ņemot vērā pieaugošo pieprasījums pēc automatizētas datu apmaiņas ar VIIS, VIIS attīstības ietvaros plānota esošā </w:t>
      </w:r>
      <w:r w:rsidRPr="005370CF">
        <w:rPr>
          <w:b/>
        </w:rPr>
        <w:t>d</w:t>
      </w:r>
      <w:r w:rsidRPr="00E13283">
        <w:rPr>
          <w:b/>
        </w:rPr>
        <w:t>a</w:t>
      </w:r>
      <w:r>
        <w:rPr>
          <w:b/>
        </w:rPr>
        <w:t>t</w:t>
      </w:r>
      <w:r w:rsidR="00766BF9" w:rsidRPr="005370CF">
        <w:rPr>
          <w:b/>
        </w:rPr>
        <w:t>u apmaiņas risinājuma attīstī</w:t>
      </w:r>
      <w:r>
        <w:rPr>
          <w:b/>
        </w:rPr>
        <w:t>ba</w:t>
      </w:r>
      <w:r>
        <w:t xml:space="preserve">. Datu apmaiņas risinājuma attīstības ietvaros plānota </w:t>
      </w:r>
      <w:r w:rsidRPr="004A3E40">
        <w:t xml:space="preserve">esošo tīmekļa </w:t>
      </w:r>
      <w:proofErr w:type="spellStart"/>
      <w:r w:rsidRPr="004A3E40">
        <w:t>pakalpju</w:t>
      </w:r>
      <w:proofErr w:type="spellEnd"/>
      <w:r>
        <w:t xml:space="preserve"> inventarizācija un optimizācija, VIIS izveidoto datu kopu IZM sadarbības iestāžu prasību apzināšana, tā rezultātā izstrādājot tīmekļa </w:t>
      </w:r>
      <w:proofErr w:type="spellStart"/>
      <w:r>
        <w:t>pakalpju</w:t>
      </w:r>
      <w:proofErr w:type="spellEnd"/>
      <w:r>
        <w:t xml:space="preserve"> kopu. Tāpat attīstības ietvaros paredzēta datu apmaiņas pārvaldības risinājuma izveide, nodrošinot i</w:t>
      </w:r>
      <w:r w:rsidRPr="004A3E40">
        <w:t>espēju VIIS administratoriem</w:t>
      </w:r>
      <w:r>
        <w:t xml:space="preserve"> </w:t>
      </w:r>
      <w:r w:rsidRPr="004A3E40">
        <w:t xml:space="preserve">ģenerēt un publicēt, kā arī labot publicētās tīmekļa </w:t>
      </w:r>
      <w:proofErr w:type="spellStart"/>
      <w:r w:rsidRPr="004A3E40">
        <w:t>tīmekļa</w:t>
      </w:r>
      <w:proofErr w:type="spellEnd"/>
      <w:r w:rsidRPr="004A3E40">
        <w:t xml:space="preserve"> </w:t>
      </w:r>
      <w:proofErr w:type="spellStart"/>
      <w:r w:rsidRPr="004A3E40">
        <w:t>pakalpes</w:t>
      </w:r>
      <w:proofErr w:type="spellEnd"/>
      <w:r>
        <w:t xml:space="preserve">, </w:t>
      </w:r>
      <w:r w:rsidRPr="004A3E40">
        <w:t xml:space="preserve">veidot </w:t>
      </w:r>
      <w:proofErr w:type="spellStart"/>
      <w:r w:rsidRPr="004A3E40">
        <w:t>granulāras</w:t>
      </w:r>
      <w:proofErr w:type="spellEnd"/>
      <w:r w:rsidRPr="004A3E40">
        <w:t xml:space="preserve"> piekļuves tiesības tīmekļa </w:t>
      </w:r>
      <w:r>
        <w:t xml:space="preserve">apkalpēm, kā arī nodrošinot </w:t>
      </w:r>
      <w:r w:rsidRPr="004A3E40">
        <w:t xml:space="preserve">automatizētu tīmekļa </w:t>
      </w:r>
      <w:proofErr w:type="spellStart"/>
      <w:r w:rsidRPr="004A3E40">
        <w:t>pakalpju</w:t>
      </w:r>
      <w:proofErr w:type="spellEnd"/>
      <w:r w:rsidRPr="004A3E40">
        <w:t xml:space="preserve"> uzraudzību</w:t>
      </w:r>
      <w:r>
        <w:t>.</w:t>
      </w:r>
    </w:p>
    <w:p w:rsidR="00247E48" w:rsidRDefault="00247E48" w:rsidP="00247E48">
      <w:pPr>
        <w:pStyle w:val="BodyText"/>
      </w:pPr>
      <w:r>
        <w:t>Lai nodrošinātu plānotās sistēmas darbību, paredzēts iegūt šādu informāciju.</w:t>
      </w:r>
    </w:p>
    <w:p w:rsidR="00D810F2" w:rsidRDefault="00D810F2" w:rsidP="00247E48">
      <w:pPr>
        <w:pStyle w:val="BodyText"/>
      </w:pPr>
    </w:p>
    <w:p w:rsidR="00247E48" w:rsidRDefault="00777E33" w:rsidP="006D7464">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8</w:t>
      </w:r>
      <w:r w:rsidR="002B7ACB">
        <w:rPr>
          <w:noProof/>
        </w:rPr>
        <w:fldChar w:fldCharType="end"/>
      </w:r>
      <w:r>
        <w:t>. Plānotā iegūstamā informācija</w:t>
      </w:r>
    </w:p>
    <w:tbl>
      <w:tblPr>
        <w:tblStyle w:val="TableGrid"/>
        <w:tblW w:w="4962"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2"/>
        <w:gridCol w:w="1656"/>
        <w:gridCol w:w="3164"/>
        <w:gridCol w:w="4010"/>
      </w:tblGrid>
      <w:tr w:rsidR="00247E48" w:rsidRPr="006309D9" w:rsidTr="00976F4C">
        <w:trPr>
          <w:cantSplit/>
          <w:tblHeader/>
        </w:trPr>
        <w:tc>
          <w:tcPr>
            <w:tcW w:w="259" w:type="pct"/>
            <w:shd w:val="clear" w:color="auto" w:fill="BFBFBF" w:themeFill="background1" w:themeFillShade="BF"/>
            <w:tcMar>
              <w:left w:w="57" w:type="dxa"/>
              <w:right w:w="57" w:type="dxa"/>
            </w:tcMar>
            <w:vAlign w:val="center"/>
            <w:hideMark/>
          </w:tcPr>
          <w:p w:rsidR="00247E48" w:rsidRPr="005370CF" w:rsidRDefault="00247E48" w:rsidP="00247E48">
            <w:pPr>
              <w:pStyle w:val="TableText"/>
              <w:jc w:val="center"/>
              <w:rPr>
                <w:rFonts w:ascii="Times New Roman" w:hAnsi="Times New Roman"/>
                <w:b/>
                <w:sz w:val="22"/>
                <w:szCs w:val="22"/>
                <w:lang w:val="lv-LV"/>
              </w:rPr>
            </w:pPr>
            <w:r w:rsidRPr="005370CF">
              <w:rPr>
                <w:b/>
                <w:lang w:val="lv-LV"/>
              </w:rPr>
              <w:t>Nr. p.k.</w:t>
            </w:r>
          </w:p>
        </w:tc>
        <w:tc>
          <w:tcPr>
            <w:tcW w:w="889" w:type="pct"/>
            <w:shd w:val="clear" w:color="auto" w:fill="BFBFBF" w:themeFill="background1" w:themeFillShade="BF"/>
            <w:tcMar>
              <w:left w:w="57" w:type="dxa"/>
              <w:right w:w="57" w:type="dxa"/>
            </w:tcMar>
            <w:vAlign w:val="center"/>
            <w:hideMark/>
          </w:tcPr>
          <w:p w:rsidR="00247E48" w:rsidRPr="005370CF" w:rsidRDefault="00247E48" w:rsidP="00247E48">
            <w:pPr>
              <w:pStyle w:val="TableText"/>
              <w:jc w:val="center"/>
              <w:rPr>
                <w:rFonts w:ascii="Times New Roman" w:hAnsi="Times New Roman"/>
                <w:b/>
                <w:sz w:val="22"/>
                <w:szCs w:val="22"/>
                <w:lang w:val="lv-LV"/>
              </w:rPr>
            </w:pPr>
            <w:r w:rsidRPr="005370CF">
              <w:rPr>
                <w:b/>
                <w:lang w:val="lv-LV"/>
              </w:rPr>
              <w:t>Iegūstamā informācija</w:t>
            </w:r>
          </w:p>
        </w:tc>
        <w:tc>
          <w:tcPr>
            <w:tcW w:w="1699" w:type="pct"/>
            <w:shd w:val="clear" w:color="auto" w:fill="BFBFBF" w:themeFill="background1" w:themeFillShade="BF"/>
            <w:tcMar>
              <w:left w:w="57" w:type="dxa"/>
              <w:right w:w="57" w:type="dxa"/>
            </w:tcMar>
            <w:vAlign w:val="center"/>
            <w:hideMark/>
          </w:tcPr>
          <w:p w:rsidR="00247E48" w:rsidRPr="005370CF" w:rsidRDefault="00247E48" w:rsidP="005A572F">
            <w:pPr>
              <w:pStyle w:val="TableText"/>
              <w:jc w:val="center"/>
              <w:rPr>
                <w:b/>
                <w:lang w:val="lv-LV"/>
              </w:rPr>
            </w:pPr>
            <w:r w:rsidRPr="005370CF">
              <w:rPr>
                <w:b/>
                <w:lang w:val="lv-LV"/>
              </w:rPr>
              <w:t xml:space="preserve">Informācijas avots </w:t>
            </w:r>
          </w:p>
        </w:tc>
        <w:tc>
          <w:tcPr>
            <w:tcW w:w="2153" w:type="pct"/>
            <w:shd w:val="clear" w:color="auto" w:fill="BFBFBF" w:themeFill="background1" w:themeFillShade="BF"/>
            <w:tcMar>
              <w:left w:w="57" w:type="dxa"/>
              <w:right w:w="57" w:type="dxa"/>
            </w:tcMar>
            <w:vAlign w:val="center"/>
            <w:hideMark/>
          </w:tcPr>
          <w:p w:rsidR="00247E48" w:rsidRPr="005370CF" w:rsidRDefault="00247E48" w:rsidP="00247E48">
            <w:pPr>
              <w:pStyle w:val="TableText"/>
              <w:jc w:val="center"/>
              <w:rPr>
                <w:rFonts w:ascii="Times New Roman" w:hAnsi="Times New Roman"/>
                <w:b/>
                <w:sz w:val="22"/>
                <w:szCs w:val="22"/>
                <w:lang w:val="lv-LV"/>
              </w:rPr>
            </w:pPr>
            <w:r w:rsidRPr="005370CF">
              <w:rPr>
                <w:b/>
                <w:lang w:val="lv-LV"/>
              </w:rPr>
              <w:t>Informācijas izmantotājs</w:t>
            </w:r>
          </w:p>
        </w:tc>
      </w:tr>
      <w:tr w:rsidR="00185FEF" w:rsidRPr="006309D9" w:rsidTr="00976F4C">
        <w:trPr>
          <w:cantSplit/>
          <w:trHeight w:val="645"/>
        </w:trPr>
        <w:tc>
          <w:tcPr>
            <w:tcW w:w="259" w:type="pct"/>
            <w:vMerge w:val="restart"/>
          </w:tcPr>
          <w:p w:rsidR="00185FEF" w:rsidRPr="005370CF" w:rsidRDefault="00185FEF" w:rsidP="005418DE">
            <w:pPr>
              <w:pStyle w:val="TableText"/>
              <w:numPr>
                <w:ilvl w:val="0"/>
                <w:numId w:val="32"/>
              </w:numPr>
              <w:ind w:left="233" w:hanging="233"/>
              <w:rPr>
                <w:rFonts w:cs="Arial"/>
                <w:lang w:val="lv-LV" w:eastAsia="lv-LV"/>
              </w:rPr>
            </w:pPr>
          </w:p>
        </w:tc>
        <w:tc>
          <w:tcPr>
            <w:tcW w:w="889" w:type="pct"/>
            <w:vMerge w:val="restart"/>
            <w:hideMark/>
          </w:tcPr>
          <w:p w:rsidR="00185FEF" w:rsidRPr="007C2309" w:rsidRDefault="00185FEF" w:rsidP="004E4BF7">
            <w:pPr>
              <w:pStyle w:val="TableText"/>
              <w:rPr>
                <w:rFonts w:cs="Arial"/>
                <w:szCs w:val="18"/>
                <w:lang w:val="lv-LV"/>
              </w:rPr>
            </w:pPr>
            <w:r w:rsidRPr="007C2309">
              <w:rPr>
                <w:rFonts w:cs="Arial"/>
                <w:szCs w:val="18"/>
                <w:lang w:val="lv-LV"/>
              </w:rPr>
              <w:t>Studējošo saraksts (vārds, uzvārds, personas kods</w:t>
            </w:r>
            <w:r>
              <w:rPr>
                <w:rFonts w:cs="Arial"/>
                <w:szCs w:val="18"/>
                <w:lang w:val="lv-LV"/>
              </w:rPr>
              <w:t>, izglītības programma, izglītības joma, ieguves periods, informācija par izsniegtajiem izglītības dokumentiem u.c.</w:t>
            </w:r>
            <w:r w:rsidRPr="007C2309">
              <w:rPr>
                <w:rFonts w:cs="Arial"/>
                <w:szCs w:val="18"/>
                <w:lang w:val="lv-LV"/>
              </w:rPr>
              <w:t>)</w:t>
            </w:r>
          </w:p>
        </w:tc>
        <w:tc>
          <w:tcPr>
            <w:tcW w:w="1699" w:type="pct"/>
            <w:vMerge w:val="restart"/>
            <w:hideMark/>
          </w:tcPr>
          <w:p w:rsidR="00185FEF" w:rsidRPr="007C2309" w:rsidRDefault="00185FEF" w:rsidP="00247E48">
            <w:pPr>
              <w:pStyle w:val="TableText"/>
              <w:rPr>
                <w:szCs w:val="18"/>
                <w:lang w:val="lv-LV"/>
              </w:rPr>
            </w:pPr>
            <w:r w:rsidRPr="007C2309">
              <w:rPr>
                <w:szCs w:val="18"/>
                <w:lang w:val="lv-LV"/>
              </w:rPr>
              <w:t>Augstākās izglītības institūcijas</w:t>
            </w:r>
          </w:p>
          <w:p w:rsidR="00185FEF" w:rsidRPr="007C2309" w:rsidRDefault="00185FEF" w:rsidP="00247E48">
            <w:pPr>
              <w:pStyle w:val="TableText"/>
              <w:rPr>
                <w:rFonts w:cs="Arial"/>
                <w:szCs w:val="18"/>
                <w:lang w:val="lv-LV"/>
              </w:rPr>
            </w:pPr>
            <w:r w:rsidRPr="007C2309">
              <w:rPr>
                <w:szCs w:val="18"/>
                <w:u w:val="single"/>
                <w:lang w:val="lv-LV"/>
              </w:rPr>
              <w:t>Informācijas saņemšanas veids:</w:t>
            </w:r>
            <w:r w:rsidRPr="007C2309">
              <w:rPr>
                <w:szCs w:val="18"/>
                <w:lang w:val="lv-LV"/>
              </w:rPr>
              <w:t xml:space="preserve"> automātiska informācijas nosūtīšana no institūciju reģistriem uz VIIS vai manuāla datu ievade VIIS uz normatīvo aktu pamata</w:t>
            </w:r>
          </w:p>
        </w:tc>
        <w:tc>
          <w:tcPr>
            <w:tcW w:w="2153" w:type="pct"/>
            <w:hideMark/>
          </w:tcPr>
          <w:p w:rsidR="00185FEF" w:rsidRPr="007C2309" w:rsidRDefault="00185FEF" w:rsidP="00247E48">
            <w:pPr>
              <w:pStyle w:val="TableText"/>
              <w:rPr>
                <w:rFonts w:cs="Arial"/>
                <w:szCs w:val="18"/>
                <w:lang w:val="lv-LV"/>
              </w:rPr>
            </w:pPr>
            <w:r w:rsidRPr="007C2309">
              <w:rPr>
                <w:rFonts w:cs="Arial"/>
                <w:szCs w:val="18"/>
                <w:lang w:val="lv-LV"/>
              </w:rPr>
              <w:t>Augstākās izglītības iestādes</w:t>
            </w:r>
          </w:p>
          <w:p w:rsidR="00185FEF" w:rsidRPr="007C2309" w:rsidRDefault="00185FEF" w:rsidP="00247E48">
            <w:pPr>
              <w:pStyle w:val="TableText"/>
              <w:rPr>
                <w:rFonts w:cs="Arial"/>
                <w:szCs w:val="18"/>
                <w:lang w:val="lv-LV"/>
              </w:rPr>
            </w:pPr>
            <w:r w:rsidRPr="007C2309">
              <w:rPr>
                <w:rFonts w:cs="Arial"/>
                <w:szCs w:val="18"/>
                <w:u w:val="single"/>
                <w:lang w:val="lv-LV"/>
              </w:rPr>
              <w:t>Informācijas sniegšanas veids:</w:t>
            </w:r>
            <w:r w:rsidRPr="007C2309">
              <w:rPr>
                <w:rFonts w:cs="Arial"/>
                <w:szCs w:val="18"/>
                <w:lang w:val="lv-LV"/>
              </w:rPr>
              <w:t xml:space="preserve"> Piekļuve datubāzes meklētājam – informācija pieejama, ievadot meklējamā indivīda personas kodu</w:t>
            </w:r>
          </w:p>
        </w:tc>
      </w:tr>
      <w:tr w:rsidR="00185FEF" w:rsidRPr="006309D9" w:rsidTr="00976F4C">
        <w:trPr>
          <w:cantSplit/>
          <w:trHeight w:val="645"/>
        </w:trPr>
        <w:tc>
          <w:tcPr>
            <w:tcW w:w="259" w:type="pct"/>
            <w:vMerge/>
          </w:tcPr>
          <w:p w:rsidR="00185FEF" w:rsidRPr="005370CF" w:rsidRDefault="00185FEF" w:rsidP="00247E48">
            <w:pPr>
              <w:pStyle w:val="TableText"/>
              <w:rPr>
                <w:rFonts w:cs="Arial"/>
                <w:lang w:val="lv-LV" w:eastAsia="lv-LV"/>
              </w:rPr>
            </w:pPr>
          </w:p>
        </w:tc>
        <w:tc>
          <w:tcPr>
            <w:tcW w:w="889" w:type="pct"/>
            <w:vMerge/>
          </w:tcPr>
          <w:p w:rsidR="00185FEF" w:rsidRPr="007C2309" w:rsidRDefault="00185FEF" w:rsidP="00247E48">
            <w:pPr>
              <w:pStyle w:val="TableText"/>
              <w:rPr>
                <w:rFonts w:cs="Arial"/>
                <w:szCs w:val="18"/>
                <w:lang w:val="lv-LV"/>
              </w:rPr>
            </w:pPr>
          </w:p>
        </w:tc>
        <w:tc>
          <w:tcPr>
            <w:tcW w:w="1699" w:type="pct"/>
            <w:vMerge/>
          </w:tcPr>
          <w:p w:rsidR="00185FEF" w:rsidRPr="007C2309" w:rsidRDefault="00185FEF" w:rsidP="00247E48">
            <w:pPr>
              <w:pStyle w:val="TableText"/>
              <w:rPr>
                <w:szCs w:val="18"/>
                <w:lang w:val="lv-LV"/>
              </w:rPr>
            </w:pPr>
          </w:p>
        </w:tc>
        <w:tc>
          <w:tcPr>
            <w:tcW w:w="2153" w:type="pct"/>
          </w:tcPr>
          <w:p w:rsidR="00185FEF" w:rsidRPr="007C2309" w:rsidRDefault="00185FEF" w:rsidP="00247E48">
            <w:pPr>
              <w:pStyle w:val="TableText"/>
              <w:rPr>
                <w:rFonts w:cs="Arial"/>
                <w:szCs w:val="18"/>
                <w:lang w:val="lv-LV"/>
              </w:rPr>
            </w:pPr>
            <w:r w:rsidRPr="007C2309">
              <w:rPr>
                <w:rFonts w:cs="Arial"/>
                <w:szCs w:val="18"/>
                <w:lang w:val="lv-LV"/>
              </w:rPr>
              <w:t>IZM</w:t>
            </w:r>
          </w:p>
          <w:p w:rsidR="00185FEF" w:rsidRPr="007C2309" w:rsidRDefault="00185FEF" w:rsidP="00247E48">
            <w:pPr>
              <w:pStyle w:val="TableText"/>
              <w:rPr>
                <w:rFonts w:cs="Arial"/>
                <w:szCs w:val="18"/>
                <w:lang w:val="lv-LV"/>
              </w:rPr>
            </w:pPr>
            <w:r w:rsidRPr="007C2309">
              <w:rPr>
                <w:rFonts w:cs="Arial"/>
                <w:szCs w:val="18"/>
                <w:u w:val="single"/>
                <w:lang w:val="lv-LV"/>
              </w:rPr>
              <w:t>Informācijas sniegšanas veids:</w:t>
            </w:r>
            <w:r w:rsidRPr="007C2309">
              <w:rPr>
                <w:rFonts w:cs="Arial"/>
                <w:szCs w:val="18"/>
                <w:lang w:val="lv-LV"/>
              </w:rPr>
              <w:t xml:space="preserve"> Piekļuve datubāzei </w:t>
            </w:r>
          </w:p>
        </w:tc>
      </w:tr>
      <w:tr w:rsidR="00185FEF" w:rsidRPr="006309D9" w:rsidTr="00976F4C">
        <w:trPr>
          <w:cantSplit/>
          <w:trHeight w:val="645"/>
        </w:trPr>
        <w:tc>
          <w:tcPr>
            <w:tcW w:w="259" w:type="pct"/>
            <w:vMerge/>
          </w:tcPr>
          <w:p w:rsidR="00185FEF" w:rsidRPr="005370CF" w:rsidRDefault="00185FEF" w:rsidP="00247E48">
            <w:pPr>
              <w:pStyle w:val="TableText"/>
              <w:rPr>
                <w:rFonts w:cs="Arial"/>
                <w:lang w:val="lv-LV" w:eastAsia="lv-LV"/>
              </w:rPr>
            </w:pPr>
          </w:p>
        </w:tc>
        <w:tc>
          <w:tcPr>
            <w:tcW w:w="889" w:type="pct"/>
            <w:vMerge/>
          </w:tcPr>
          <w:p w:rsidR="00185FEF" w:rsidRPr="007C2309" w:rsidRDefault="00185FEF" w:rsidP="00247E48">
            <w:pPr>
              <w:pStyle w:val="TableText"/>
              <w:rPr>
                <w:rFonts w:cs="Arial"/>
                <w:szCs w:val="18"/>
                <w:lang w:val="lv-LV"/>
              </w:rPr>
            </w:pPr>
          </w:p>
        </w:tc>
        <w:tc>
          <w:tcPr>
            <w:tcW w:w="1699" w:type="pct"/>
            <w:vMerge/>
          </w:tcPr>
          <w:p w:rsidR="00185FEF" w:rsidRPr="007C2309" w:rsidRDefault="00185FEF" w:rsidP="00247E48">
            <w:pPr>
              <w:pStyle w:val="TableText"/>
              <w:rPr>
                <w:szCs w:val="18"/>
                <w:lang w:val="lv-LV"/>
              </w:rPr>
            </w:pPr>
          </w:p>
        </w:tc>
        <w:tc>
          <w:tcPr>
            <w:tcW w:w="2153" w:type="pct"/>
          </w:tcPr>
          <w:p w:rsidR="00185FEF" w:rsidRPr="007C2309" w:rsidRDefault="00185FEF" w:rsidP="00185FEF">
            <w:pPr>
              <w:pStyle w:val="TableText"/>
              <w:rPr>
                <w:rFonts w:cs="Arial"/>
                <w:szCs w:val="18"/>
                <w:lang w:val="lv-LV"/>
              </w:rPr>
            </w:pPr>
            <w:r w:rsidRPr="007C2309">
              <w:rPr>
                <w:rFonts w:cs="Arial"/>
                <w:szCs w:val="18"/>
                <w:lang w:val="lv-LV"/>
              </w:rPr>
              <w:t>Sabiedrība</w:t>
            </w:r>
          </w:p>
          <w:p w:rsidR="00185FEF" w:rsidRPr="007C2309" w:rsidRDefault="00185FEF" w:rsidP="004E4BF7">
            <w:pPr>
              <w:pStyle w:val="TableText"/>
              <w:rPr>
                <w:rFonts w:cs="Arial"/>
                <w:szCs w:val="18"/>
                <w:lang w:val="lv-LV"/>
              </w:rPr>
            </w:pPr>
            <w:r w:rsidRPr="007C2309">
              <w:rPr>
                <w:rFonts w:cs="Arial"/>
                <w:szCs w:val="18"/>
                <w:u w:val="single"/>
                <w:lang w:val="lv-LV"/>
              </w:rPr>
              <w:t>Informācijas sniegšanas veids:</w:t>
            </w:r>
            <w:r w:rsidRPr="007C2309">
              <w:rPr>
                <w:rFonts w:cs="Arial"/>
                <w:szCs w:val="18"/>
                <w:lang w:val="lv-LV"/>
              </w:rPr>
              <w:t xml:space="preserve"> Piekļuve</w:t>
            </w:r>
            <w:r>
              <w:rPr>
                <w:rFonts w:cs="Arial"/>
                <w:szCs w:val="18"/>
                <w:lang w:val="lv-LV"/>
              </w:rPr>
              <w:t xml:space="preserve"> informācijai par sevi, izmantojot </w:t>
            </w:r>
            <w:proofErr w:type="spellStart"/>
            <w:r w:rsidRPr="004E4BF7">
              <w:rPr>
                <w:rFonts w:cs="Arial"/>
                <w:szCs w:val="18"/>
                <w:lang w:val="lv-LV"/>
              </w:rPr>
              <w:t>www.latvija.lv</w:t>
            </w:r>
            <w:proofErr w:type="spellEnd"/>
            <w:r>
              <w:rPr>
                <w:rFonts w:cs="Arial"/>
                <w:szCs w:val="18"/>
                <w:lang w:val="lv-LV"/>
              </w:rPr>
              <w:t xml:space="preserve"> autentifikācijas risinājums</w:t>
            </w:r>
          </w:p>
        </w:tc>
      </w:tr>
      <w:tr w:rsidR="006142B6" w:rsidRPr="006309D9" w:rsidTr="00976F4C">
        <w:trPr>
          <w:cantSplit/>
          <w:trHeight w:val="359"/>
        </w:trPr>
        <w:tc>
          <w:tcPr>
            <w:tcW w:w="259" w:type="pct"/>
            <w:vMerge w:val="restart"/>
          </w:tcPr>
          <w:p w:rsidR="006142B6" w:rsidRPr="006309D9" w:rsidRDefault="006142B6" w:rsidP="005418DE">
            <w:pPr>
              <w:pStyle w:val="TableText"/>
              <w:numPr>
                <w:ilvl w:val="0"/>
                <w:numId w:val="32"/>
              </w:numPr>
              <w:ind w:left="233" w:hanging="233"/>
              <w:rPr>
                <w:rFonts w:cs="Arial"/>
                <w:lang w:val="lv-LV" w:eastAsia="lv-LV"/>
              </w:rPr>
            </w:pPr>
          </w:p>
        </w:tc>
        <w:tc>
          <w:tcPr>
            <w:tcW w:w="889" w:type="pct"/>
            <w:vMerge w:val="restart"/>
          </w:tcPr>
          <w:p w:rsidR="006142B6" w:rsidRPr="007C2309" w:rsidRDefault="006142B6" w:rsidP="006142B6">
            <w:pPr>
              <w:pStyle w:val="TableText"/>
              <w:rPr>
                <w:rFonts w:cs="Arial"/>
                <w:szCs w:val="18"/>
                <w:lang w:val="lv-LV"/>
              </w:rPr>
            </w:pPr>
            <w:r w:rsidRPr="007C2309">
              <w:rPr>
                <w:rFonts w:cs="Arial"/>
                <w:szCs w:val="18"/>
                <w:lang w:val="lv-LV"/>
              </w:rPr>
              <w:t>Informācija par bērnu uzraudzības pakalpojuma sniedzējiem</w:t>
            </w:r>
          </w:p>
        </w:tc>
        <w:tc>
          <w:tcPr>
            <w:tcW w:w="1699" w:type="pct"/>
            <w:vMerge w:val="restart"/>
          </w:tcPr>
          <w:p w:rsidR="006142B6" w:rsidRPr="007C2309" w:rsidRDefault="006142B6" w:rsidP="006142B6">
            <w:pPr>
              <w:pStyle w:val="TableText"/>
              <w:rPr>
                <w:rStyle w:val="CommentReference"/>
                <w:sz w:val="18"/>
                <w:szCs w:val="18"/>
                <w:lang w:val="lv-LV" w:eastAsia="lv-LV"/>
              </w:rPr>
            </w:pPr>
            <w:r w:rsidRPr="007C2309">
              <w:rPr>
                <w:rStyle w:val="CommentReference"/>
                <w:sz w:val="18"/>
                <w:szCs w:val="18"/>
                <w:lang w:val="lv-LV" w:eastAsia="lv-LV"/>
              </w:rPr>
              <w:t>IKVD</w:t>
            </w:r>
          </w:p>
          <w:p w:rsidR="006142B6" w:rsidRPr="007C2309" w:rsidRDefault="006142B6" w:rsidP="006309D9">
            <w:pPr>
              <w:pStyle w:val="TableText"/>
              <w:rPr>
                <w:rStyle w:val="CommentReference"/>
                <w:sz w:val="18"/>
                <w:szCs w:val="18"/>
                <w:lang w:val="lv-LV" w:eastAsia="lv-LV"/>
              </w:rPr>
            </w:pPr>
            <w:r w:rsidRPr="007C2309">
              <w:rPr>
                <w:szCs w:val="18"/>
                <w:u w:val="single"/>
                <w:lang w:val="lv-LV"/>
              </w:rPr>
              <w:t>Informācijas saņemšanas veids:</w:t>
            </w:r>
            <w:r w:rsidRPr="007C2309">
              <w:rPr>
                <w:szCs w:val="18"/>
                <w:lang w:val="lv-LV"/>
              </w:rPr>
              <w:t xml:space="preserve"> automātiska informācijas nosūtīšana no IKVD reģistra uz VIIS vai manuāla datu ievade VIIS uz normatīvo aktu pamata</w:t>
            </w:r>
          </w:p>
        </w:tc>
        <w:tc>
          <w:tcPr>
            <w:tcW w:w="2153" w:type="pct"/>
          </w:tcPr>
          <w:p w:rsidR="006142B6" w:rsidRPr="007C2309" w:rsidRDefault="006142B6" w:rsidP="006142B6">
            <w:pPr>
              <w:pStyle w:val="TableText"/>
              <w:rPr>
                <w:rFonts w:cs="Arial"/>
                <w:szCs w:val="18"/>
                <w:lang w:val="lv-LV"/>
              </w:rPr>
            </w:pPr>
            <w:r w:rsidRPr="007C2309">
              <w:rPr>
                <w:rFonts w:cs="Arial"/>
                <w:szCs w:val="18"/>
                <w:lang w:val="lv-LV"/>
              </w:rPr>
              <w:t>IZM, IKVD</w:t>
            </w:r>
          </w:p>
          <w:p w:rsidR="006142B6" w:rsidRPr="007C2309" w:rsidRDefault="006142B6" w:rsidP="006142B6">
            <w:pPr>
              <w:pStyle w:val="TableText"/>
              <w:rPr>
                <w:rFonts w:cs="Arial"/>
                <w:szCs w:val="18"/>
                <w:lang w:val="lv-LV"/>
              </w:rPr>
            </w:pPr>
            <w:r w:rsidRPr="007C2309">
              <w:rPr>
                <w:rFonts w:cs="Arial"/>
                <w:szCs w:val="18"/>
                <w:u w:val="single"/>
                <w:lang w:val="lv-LV"/>
              </w:rPr>
              <w:t>Informācijas sniegšanas veids:</w:t>
            </w:r>
            <w:r w:rsidRPr="007C2309">
              <w:rPr>
                <w:rFonts w:cs="Arial"/>
                <w:szCs w:val="18"/>
                <w:lang w:val="lv-LV"/>
              </w:rPr>
              <w:t xml:space="preserve"> Piekļuve datubāzei</w:t>
            </w:r>
          </w:p>
        </w:tc>
      </w:tr>
      <w:tr w:rsidR="006142B6" w:rsidRPr="006309D9" w:rsidTr="00976F4C">
        <w:trPr>
          <w:cantSplit/>
          <w:trHeight w:val="724"/>
        </w:trPr>
        <w:tc>
          <w:tcPr>
            <w:tcW w:w="259" w:type="pct"/>
            <w:vMerge/>
          </w:tcPr>
          <w:p w:rsidR="006142B6" w:rsidRPr="006309D9" w:rsidRDefault="006142B6" w:rsidP="005418DE">
            <w:pPr>
              <w:pStyle w:val="TableText"/>
              <w:numPr>
                <w:ilvl w:val="0"/>
                <w:numId w:val="32"/>
              </w:numPr>
              <w:ind w:left="233" w:hanging="233"/>
              <w:rPr>
                <w:rFonts w:cs="Arial"/>
                <w:lang w:val="lv-LV" w:eastAsia="lv-LV"/>
              </w:rPr>
            </w:pPr>
          </w:p>
        </w:tc>
        <w:tc>
          <w:tcPr>
            <w:tcW w:w="889" w:type="pct"/>
            <w:vMerge/>
          </w:tcPr>
          <w:p w:rsidR="006142B6" w:rsidRPr="007C2309" w:rsidRDefault="006142B6" w:rsidP="006142B6">
            <w:pPr>
              <w:pStyle w:val="TableText"/>
              <w:rPr>
                <w:rFonts w:cs="Arial"/>
                <w:szCs w:val="18"/>
                <w:lang w:val="lv-LV"/>
              </w:rPr>
            </w:pPr>
          </w:p>
        </w:tc>
        <w:tc>
          <w:tcPr>
            <w:tcW w:w="1699" w:type="pct"/>
            <w:vMerge/>
          </w:tcPr>
          <w:p w:rsidR="006142B6" w:rsidRPr="007C2309" w:rsidRDefault="006142B6" w:rsidP="006142B6">
            <w:pPr>
              <w:pStyle w:val="TableText"/>
              <w:rPr>
                <w:rStyle w:val="CommentReference"/>
                <w:sz w:val="18"/>
                <w:szCs w:val="18"/>
                <w:lang w:val="lv-LV" w:eastAsia="lv-LV"/>
              </w:rPr>
            </w:pPr>
          </w:p>
        </w:tc>
        <w:tc>
          <w:tcPr>
            <w:tcW w:w="2153" w:type="pct"/>
          </w:tcPr>
          <w:p w:rsidR="006142B6" w:rsidRPr="007C2309" w:rsidRDefault="006142B6" w:rsidP="006142B6">
            <w:pPr>
              <w:pStyle w:val="TableText"/>
              <w:rPr>
                <w:rFonts w:cs="Arial"/>
                <w:szCs w:val="18"/>
                <w:lang w:val="lv-LV"/>
              </w:rPr>
            </w:pPr>
            <w:r w:rsidRPr="007C2309">
              <w:rPr>
                <w:rFonts w:cs="Arial"/>
                <w:szCs w:val="18"/>
                <w:lang w:val="lv-LV"/>
              </w:rPr>
              <w:t>Sabiedrība</w:t>
            </w:r>
          </w:p>
          <w:p w:rsidR="006142B6" w:rsidRPr="007C2309" w:rsidRDefault="006142B6" w:rsidP="006309D9">
            <w:pPr>
              <w:pStyle w:val="TableText"/>
              <w:rPr>
                <w:rFonts w:cs="Arial"/>
                <w:szCs w:val="18"/>
                <w:lang w:val="lv-LV"/>
              </w:rPr>
            </w:pPr>
            <w:r w:rsidRPr="007C2309">
              <w:rPr>
                <w:rFonts w:cs="Arial"/>
                <w:szCs w:val="18"/>
                <w:u w:val="single"/>
                <w:lang w:val="lv-LV"/>
              </w:rPr>
              <w:t>Informācijas sniegšanas veids:</w:t>
            </w:r>
            <w:r w:rsidRPr="007C2309">
              <w:rPr>
                <w:rFonts w:cs="Arial"/>
                <w:szCs w:val="18"/>
                <w:lang w:val="lv-LV"/>
              </w:rPr>
              <w:t xml:space="preserve"> Piekļuve datubāzes meklētājam – informācija pieejama, ievadot meklējamās personas vārdu un uzvārdu (privātpersona) vai nosaukumu (juridiska persona)</w:t>
            </w:r>
          </w:p>
        </w:tc>
      </w:tr>
    </w:tbl>
    <w:p w:rsidR="004E4BF7" w:rsidRDefault="004E4BF7" w:rsidP="004E4BF7">
      <w:pPr>
        <w:pStyle w:val="BodyText"/>
      </w:pPr>
      <w:bookmarkStart w:id="56" w:name="_Toc378945014"/>
      <w:bookmarkStart w:id="57" w:name="_Toc378956688"/>
      <w:bookmarkEnd w:id="56"/>
      <w:bookmarkEnd w:id="57"/>
    </w:p>
    <w:p w:rsidR="00D810F2" w:rsidRDefault="00D810F2" w:rsidP="004E4BF7">
      <w:pPr>
        <w:pStyle w:val="BodyText"/>
      </w:pPr>
    </w:p>
    <w:p w:rsidR="00E329D8" w:rsidRDefault="002C6C52" w:rsidP="005370CF">
      <w:pPr>
        <w:pStyle w:val="Heading2"/>
      </w:pPr>
      <w:bookmarkStart w:id="58" w:name="_Toc388454858"/>
      <w:r>
        <w:lastRenderedPageBreak/>
        <w:t>Plānotais tiesiskais regulējums</w:t>
      </w:r>
      <w:bookmarkEnd w:id="58"/>
      <w:r w:rsidR="00E329D8">
        <w:t xml:space="preserve"> </w:t>
      </w:r>
    </w:p>
    <w:p w:rsidR="00E329D8" w:rsidRDefault="00247E48" w:rsidP="00E329D8">
      <w:pPr>
        <w:pStyle w:val="BodyText"/>
      </w:pPr>
      <w:r w:rsidRPr="00247E48">
        <w:t xml:space="preserve">Koncepcijas realizācijas ietvaros ir plānots </w:t>
      </w:r>
      <w:r w:rsidR="00174FD4">
        <w:t>papildināt</w:t>
      </w:r>
      <w:r w:rsidR="00174FD4" w:rsidRPr="00247E48">
        <w:t xml:space="preserve"> </w:t>
      </w:r>
      <w:r w:rsidRPr="00247E48">
        <w:t>šādu tiesisko regulējumu:</w:t>
      </w:r>
    </w:p>
    <w:p w:rsidR="00247E48" w:rsidRDefault="00777E33" w:rsidP="006D7464">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9</w:t>
      </w:r>
      <w:r w:rsidR="002B7ACB">
        <w:rPr>
          <w:noProof/>
        </w:rPr>
        <w:fldChar w:fldCharType="end"/>
      </w:r>
      <w:r>
        <w:t>. Plānotais tiesiskais regulējums</w:t>
      </w:r>
    </w:p>
    <w:tbl>
      <w:tblPr>
        <w:tblStyle w:val="TableGrid"/>
        <w:tblW w:w="500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84"/>
        <w:gridCol w:w="1416"/>
        <w:gridCol w:w="3969"/>
        <w:gridCol w:w="1701"/>
        <w:gridCol w:w="1881"/>
      </w:tblGrid>
      <w:tr w:rsidR="00ED3550" w:rsidRPr="00247E48" w:rsidTr="00976F4C">
        <w:tc>
          <w:tcPr>
            <w:tcW w:w="256" w:type="pct"/>
            <w:shd w:val="clear" w:color="auto" w:fill="BFBFBF" w:themeFill="background1" w:themeFillShade="BF"/>
            <w:tcMar>
              <w:left w:w="57" w:type="dxa"/>
              <w:right w:w="57" w:type="dxa"/>
            </w:tcMar>
            <w:vAlign w:val="center"/>
            <w:hideMark/>
          </w:tcPr>
          <w:p w:rsidR="00247E48" w:rsidRPr="00247E48" w:rsidRDefault="00247E48" w:rsidP="00247E48">
            <w:pPr>
              <w:pStyle w:val="TableText"/>
              <w:jc w:val="center"/>
              <w:rPr>
                <w:b/>
                <w:lang w:val="lv-LV"/>
              </w:rPr>
            </w:pPr>
            <w:r w:rsidRPr="00247E48">
              <w:rPr>
                <w:b/>
                <w:lang w:val="lv-LV"/>
              </w:rPr>
              <w:t>Nr. p.k.</w:t>
            </w:r>
          </w:p>
        </w:tc>
        <w:tc>
          <w:tcPr>
            <w:tcW w:w="749" w:type="pct"/>
            <w:shd w:val="clear" w:color="auto" w:fill="BFBFBF" w:themeFill="background1" w:themeFillShade="BF"/>
            <w:tcMar>
              <w:left w:w="57" w:type="dxa"/>
              <w:right w:w="57" w:type="dxa"/>
            </w:tcMar>
            <w:vAlign w:val="center"/>
            <w:hideMark/>
          </w:tcPr>
          <w:p w:rsidR="00247E48" w:rsidRPr="00247E48" w:rsidRDefault="00247E48" w:rsidP="00247E48">
            <w:pPr>
              <w:pStyle w:val="TableText"/>
              <w:jc w:val="center"/>
              <w:rPr>
                <w:b/>
                <w:lang w:val="lv-LV"/>
              </w:rPr>
            </w:pPr>
            <w:r w:rsidRPr="00247E48">
              <w:rPr>
                <w:b/>
                <w:lang w:val="lv-LV"/>
              </w:rPr>
              <w:t>Plānotais tiesiskais regulējums</w:t>
            </w:r>
          </w:p>
        </w:tc>
        <w:tc>
          <w:tcPr>
            <w:tcW w:w="2100" w:type="pct"/>
            <w:shd w:val="clear" w:color="auto" w:fill="BFBFBF" w:themeFill="background1" w:themeFillShade="BF"/>
            <w:tcMar>
              <w:left w:w="57" w:type="dxa"/>
              <w:right w:w="57" w:type="dxa"/>
            </w:tcMar>
            <w:vAlign w:val="center"/>
            <w:hideMark/>
          </w:tcPr>
          <w:p w:rsidR="00247E48" w:rsidRPr="00247E48" w:rsidRDefault="00247E48" w:rsidP="00247E48">
            <w:pPr>
              <w:pStyle w:val="TableText"/>
              <w:jc w:val="center"/>
              <w:rPr>
                <w:b/>
                <w:lang w:val="lv-LV"/>
              </w:rPr>
            </w:pPr>
            <w:r w:rsidRPr="00247E48">
              <w:rPr>
                <w:b/>
                <w:lang w:val="lv-LV"/>
              </w:rPr>
              <w:t>Normatīvā akta būtību un ietekme</w:t>
            </w:r>
          </w:p>
        </w:tc>
        <w:tc>
          <w:tcPr>
            <w:tcW w:w="900" w:type="pct"/>
            <w:shd w:val="clear" w:color="auto" w:fill="BFBFBF" w:themeFill="background1" w:themeFillShade="BF"/>
            <w:tcMar>
              <w:left w:w="57" w:type="dxa"/>
              <w:right w:w="57" w:type="dxa"/>
            </w:tcMar>
            <w:vAlign w:val="center"/>
            <w:hideMark/>
          </w:tcPr>
          <w:p w:rsidR="00247E48" w:rsidRPr="00247E48" w:rsidRDefault="00247E48" w:rsidP="00247E48">
            <w:pPr>
              <w:pStyle w:val="TableText"/>
              <w:jc w:val="center"/>
              <w:rPr>
                <w:b/>
                <w:lang w:val="lv-LV"/>
              </w:rPr>
            </w:pPr>
            <w:r w:rsidRPr="00247E48">
              <w:rPr>
                <w:b/>
                <w:lang w:val="lv-LV"/>
              </w:rPr>
              <w:t>Turpmākā rīcība</w:t>
            </w:r>
          </w:p>
        </w:tc>
        <w:tc>
          <w:tcPr>
            <w:tcW w:w="995" w:type="pct"/>
            <w:shd w:val="clear" w:color="auto" w:fill="BFBFBF" w:themeFill="background1" w:themeFillShade="BF"/>
            <w:vAlign w:val="center"/>
          </w:tcPr>
          <w:p w:rsidR="00247E48" w:rsidRPr="00247E48" w:rsidRDefault="00247E48" w:rsidP="00247E48">
            <w:pPr>
              <w:pStyle w:val="TableText"/>
              <w:jc w:val="center"/>
              <w:rPr>
                <w:b/>
                <w:lang w:val="lv-LV"/>
              </w:rPr>
            </w:pPr>
            <w:r w:rsidRPr="00247E48">
              <w:rPr>
                <w:b/>
                <w:lang w:val="lv-LV"/>
              </w:rPr>
              <w:t>Termiņš normatīvā akta izstrādei un pieņemšanai</w:t>
            </w:r>
          </w:p>
        </w:tc>
      </w:tr>
      <w:tr w:rsidR="00ED3550" w:rsidRPr="00247E48" w:rsidTr="00976F4C">
        <w:tc>
          <w:tcPr>
            <w:tcW w:w="256" w:type="pct"/>
          </w:tcPr>
          <w:p w:rsidR="00247E48" w:rsidRPr="00247E48" w:rsidRDefault="00247E48" w:rsidP="005418DE">
            <w:pPr>
              <w:pStyle w:val="TableText"/>
              <w:numPr>
                <w:ilvl w:val="0"/>
                <w:numId w:val="33"/>
              </w:numPr>
              <w:ind w:left="375" w:hanging="284"/>
              <w:rPr>
                <w:lang w:val="lv-LV"/>
              </w:rPr>
            </w:pPr>
          </w:p>
        </w:tc>
        <w:tc>
          <w:tcPr>
            <w:tcW w:w="749" w:type="pct"/>
            <w:hideMark/>
          </w:tcPr>
          <w:p w:rsidR="00247E48" w:rsidRPr="00247E48" w:rsidRDefault="00174FD4" w:rsidP="00174FD4">
            <w:pPr>
              <w:pStyle w:val="TableText"/>
              <w:rPr>
                <w:lang w:val="lv-LV"/>
              </w:rPr>
            </w:pPr>
            <w:r>
              <w:rPr>
                <w:lang w:val="lv-LV"/>
              </w:rPr>
              <w:t>Papildinājumi</w:t>
            </w:r>
            <w:r w:rsidR="00CB72BE" w:rsidRPr="000703A8">
              <w:rPr>
                <w:lang w:val="lv-LV"/>
              </w:rPr>
              <w:t xml:space="preserve"> </w:t>
            </w:r>
            <w:r w:rsidR="00CB72BE">
              <w:rPr>
                <w:lang w:val="lv-LV"/>
              </w:rPr>
              <w:t>2010.gada 17.augusta</w:t>
            </w:r>
            <w:r>
              <w:rPr>
                <w:lang w:val="lv-LV"/>
              </w:rPr>
              <w:t xml:space="preserve"> </w:t>
            </w:r>
            <w:r w:rsidR="00247E48" w:rsidRPr="00247E48">
              <w:rPr>
                <w:lang w:val="lv-LV"/>
              </w:rPr>
              <w:t>MK noteikum</w:t>
            </w:r>
            <w:r>
              <w:rPr>
                <w:lang w:val="lv-LV"/>
              </w:rPr>
              <w:t>os Nr.788</w:t>
            </w:r>
            <w:r w:rsidR="00CB72BE">
              <w:rPr>
                <w:lang w:val="lv-LV"/>
              </w:rPr>
              <w:t xml:space="preserve"> „</w:t>
            </w:r>
            <w:r w:rsidR="00CB72BE" w:rsidRPr="00CB72BE">
              <w:rPr>
                <w:lang w:val="lv-LV"/>
              </w:rPr>
              <w:t>Valsts izglītības informācijas sistēmas saturs, uzturēšanas un aktualizācijas kārtība</w:t>
            </w:r>
            <w:r w:rsidR="00CB72BE">
              <w:rPr>
                <w:lang w:val="lv-LV"/>
              </w:rPr>
              <w:t>”</w:t>
            </w:r>
          </w:p>
        </w:tc>
        <w:tc>
          <w:tcPr>
            <w:tcW w:w="2100" w:type="pct"/>
            <w:hideMark/>
          </w:tcPr>
          <w:p w:rsidR="00247E48" w:rsidRDefault="00247E48" w:rsidP="00247E48">
            <w:pPr>
              <w:pStyle w:val="TableText"/>
              <w:rPr>
                <w:lang w:val="lv-LV"/>
              </w:rPr>
            </w:pPr>
            <w:r w:rsidRPr="00976F4C">
              <w:rPr>
                <w:lang w:val="lv-LV"/>
              </w:rPr>
              <w:t>Normatīvaj</w:t>
            </w:r>
            <w:r w:rsidR="00174FD4" w:rsidRPr="00976F4C">
              <w:rPr>
                <w:lang w:val="lv-LV"/>
              </w:rPr>
              <w:t>ā</w:t>
            </w:r>
            <w:r w:rsidRPr="00976F4C">
              <w:rPr>
                <w:lang w:val="lv-LV"/>
              </w:rPr>
              <w:t xml:space="preserve"> akt</w:t>
            </w:r>
            <w:r w:rsidR="00174FD4" w:rsidRPr="00976F4C">
              <w:rPr>
                <w:lang w:val="lv-LV"/>
              </w:rPr>
              <w:t>ā</w:t>
            </w:r>
            <w:r w:rsidRPr="00976F4C">
              <w:rPr>
                <w:lang w:val="lv-LV"/>
              </w:rPr>
              <w:t xml:space="preserve"> </w:t>
            </w:r>
            <w:r w:rsidR="00525625">
              <w:rPr>
                <w:lang w:val="lv-LV"/>
              </w:rPr>
              <w:t>jāparedz</w:t>
            </w:r>
            <w:r w:rsidR="00525625" w:rsidRPr="00976F4C">
              <w:rPr>
                <w:lang w:val="lv-LV"/>
              </w:rPr>
              <w:t xml:space="preserve"> </w:t>
            </w:r>
            <w:r w:rsidRPr="00976F4C">
              <w:rPr>
                <w:lang w:val="lv-LV"/>
              </w:rPr>
              <w:t>dažādās inst</w:t>
            </w:r>
            <w:r w:rsidR="00A36DE0" w:rsidRPr="00976F4C">
              <w:rPr>
                <w:lang w:val="lv-LV"/>
              </w:rPr>
              <w:t>itūcijās (piemēram, augstskolās</w:t>
            </w:r>
            <w:r w:rsidRPr="00777E33">
              <w:rPr>
                <w:lang w:val="lv-LV"/>
              </w:rPr>
              <w:t>) uzkrātās informācijas</w:t>
            </w:r>
            <w:r w:rsidRPr="00247E48">
              <w:rPr>
                <w:lang w:val="lv-LV"/>
              </w:rPr>
              <w:t xml:space="preserve"> </w:t>
            </w:r>
            <w:r w:rsidR="006142B6">
              <w:rPr>
                <w:lang w:val="lv-LV"/>
              </w:rPr>
              <w:t xml:space="preserve">(piemēram, datiem par studējošajiem, izsniegtie izglītības dokumenti u.c.) </w:t>
            </w:r>
            <w:r w:rsidRPr="00247E48">
              <w:rPr>
                <w:lang w:val="lv-LV"/>
              </w:rPr>
              <w:t>sniegšan</w:t>
            </w:r>
            <w:r w:rsidR="00525625">
              <w:rPr>
                <w:lang w:val="lv-LV"/>
              </w:rPr>
              <w:t xml:space="preserve">a </w:t>
            </w:r>
            <w:r w:rsidRPr="00247E48">
              <w:rPr>
                <w:lang w:val="lv-LV"/>
              </w:rPr>
              <w:t>VIIS</w:t>
            </w:r>
            <w:r w:rsidR="00525625">
              <w:rPr>
                <w:lang w:val="lv-LV"/>
              </w:rPr>
              <w:t xml:space="preserve">, paredzot </w:t>
            </w:r>
            <w:r w:rsidRPr="00247E48">
              <w:rPr>
                <w:lang w:val="lv-LV"/>
              </w:rPr>
              <w:t xml:space="preserve">informācijas sniegšanas formātu, mehānismu u.c. </w:t>
            </w:r>
            <w:r w:rsidR="00525625">
              <w:rPr>
                <w:lang w:val="lv-LV"/>
              </w:rPr>
              <w:t>būtiskus nosacījumus.</w:t>
            </w:r>
          </w:p>
          <w:p w:rsidR="00174FD4" w:rsidRPr="00247E48" w:rsidRDefault="00174FD4" w:rsidP="00247E48">
            <w:pPr>
              <w:pStyle w:val="TableText"/>
              <w:rPr>
                <w:lang w:val="lv-LV"/>
              </w:rPr>
            </w:pPr>
            <w:r>
              <w:rPr>
                <w:lang w:val="lv-LV"/>
              </w:rPr>
              <w:t xml:space="preserve">Tāpat normatīvajā aktā jānosaka VIIS </w:t>
            </w:r>
            <w:r w:rsidR="00525625">
              <w:rPr>
                <w:lang w:val="lv-LV"/>
              </w:rPr>
              <w:t xml:space="preserve">uzkrātās </w:t>
            </w:r>
            <w:r>
              <w:rPr>
                <w:lang w:val="lv-LV"/>
              </w:rPr>
              <w:t xml:space="preserve">informācijas saņemšanas </w:t>
            </w:r>
            <w:r w:rsidR="00525625">
              <w:rPr>
                <w:lang w:val="lv-LV"/>
              </w:rPr>
              <w:t xml:space="preserve">izplatīšanas </w:t>
            </w:r>
            <w:r>
              <w:rPr>
                <w:lang w:val="lv-LV"/>
              </w:rPr>
              <w:t>e-pakalpojum</w:t>
            </w:r>
            <w:r w:rsidR="00777E33">
              <w:rPr>
                <w:lang w:val="lv-LV"/>
              </w:rPr>
              <w:t>u formā</w:t>
            </w:r>
            <w:r>
              <w:rPr>
                <w:lang w:val="lv-LV"/>
              </w:rPr>
              <w:t xml:space="preserve"> (iespējas, tiesības, saturs u.c.)</w:t>
            </w:r>
            <w:r w:rsidR="00525625">
              <w:rPr>
                <w:lang w:val="lv-LV"/>
              </w:rPr>
              <w:t>.</w:t>
            </w:r>
          </w:p>
          <w:p w:rsidR="00174FD4" w:rsidRPr="00247E48" w:rsidRDefault="00247E48" w:rsidP="00247E48">
            <w:pPr>
              <w:pStyle w:val="TableText"/>
              <w:rPr>
                <w:lang w:val="lv-LV"/>
              </w:rPr>
            </w:pPr>
            <w:r w:rsidRPr="00247E48">
              <w:rPr>
                <w:lang w:val="lv-LV"/>
              </w:rPr>
              <w:t>Normatīvajam aktam būs tieša ietekme uz plānoto sistēmas papildinājumu darbību (pielietojamību)</w:t>
            </w:r>
            <w:r w:rsidR="00525625">
              <w:rPr>
                <w:lang w:val="lv-LV"/>
              </w:rPr>
              <w:t>.</w:t>
            </w:r>
          </w:p>
        </w:tc>
        <w:tc>
          <w:tcPr>
            <w:tcW w:w="900" w:type="pct"/>
            <w:hideMark/>
          </w:tcPr>
          <w:p w:rsidR="00247E48" w:rsidRPr="00247E48" w:rsidRDefault="00247E48" w:rsidP="00174FD4">
            <w:pPr>
              <w:pStyle w:val="TableText"/>
              <w:rPr>
                <w:lang w:val="lv-LV"/>
              </w:rPr>
            </w:pPr>
            <w:r w:rsidRPr="00247E48">
              <w:rPr>
                <w:lang w:val="lv-LV"/>
              </w:rPr>
              <w:t xml:space="preserve">MK noteikumu </w:t>
            </w:r>
            <w:r w:rsidR="00174FD4">
              <w:rPr>
                <w:lang w:val="lv-LV"/>
              </w:rPr>
              <w:t>papildināšana</w:t>
            </w:r>
            <w:r w:rsidR="00174FD4" w:rsidRPr="00247E48">
              <w:rPr>
                <w:lang w:val="lv-LV"/>
              </w:rPr>
              <w:t xml:space="preserve"> </w:t>
            </w:r>
            <w:r w:rsidRPr="00247E48">
              <w:rPr>
                <w:lang w:val="lv-LV"/>
              </w:rPr>
              <w:t>atbilstoši plānotajiem VIIS apkopojamajiem datiem</w:t>
            </w:r>
            <w:r w:rsidR="00174FD4">
              <w:rPr>
                <w:lang w:val="lv-LV"/>
              </w:rPr>
              <w:t xml:space="preserve"> un jaunizstrādātajiem e-pakalpojumiem</w:t>
            </w:r>
          </w:p>
        </w:tc>
        <w:tc>
          <w:tcPr>
            <w:tcW w:w="995" w:type="pct"/>
          </w:tcPr>
          <w:p w:rsidR="00247E48" w:rsidRPr="00247E48" w:rsidRDefault="00247E48" w:rsidP="00247E48">
            <w:pPr>
              <w:pStyle w:val="TableText"/>
              <w:rPr>
                <w:lang w:val="lv-LV"/>
              </w:rPr>
            </w:pPr>
            <w:r w:rsidRPr="00247E48">
              <w:rPr>
                <w:lang w:val="lv-LV"/>
              </w:rPr>
              <w:t>20.07.2015.</w:t>
            </w:r>
          </w:p>
        </w:tc>
      </w:tr>
      <w:tr w:rsidR="00CB72BE" w:rsidRPr="00247E48" w:rsidTr="00976F4C">
        <w:tc>
          <w:tcPr>
            <w:tcW w:w="256" w:type="pct"/>
          </w:tcPr>
          <w:p w:rsidR="00CB72BE" w:rsidRPr="00247E48" w:rsidRDefault="00CB72BE" w:rsidP="005418DE">
            <w:pPr>
              <w:pStyle w:val="TableText"/>
              <w:numPr>
                <w:ilvl w:val="0"/>
                <w:numId w:val="33"/>
              </w:numPr>
              <w:ind w:left="375" w:hanging="284"/>
              <w:rPr>
                <w:lang w:val="lv-LV"/>
              </w:rPr>
            </w:pPr>
          </w:p>
        </w:tc>
        <w:tc>
          <w:tcPr>
            <w:tcW w:w="749" w:type="pct"/>
          </w:tcPr>
          <w:p w:rsidR="00CB72BE" w:rsidRDefault="00CB72BE" w:rsidP="00174FD4">
            <w:pPr>
              <w:pStyle w:val="TableText"/>
              <w:rPr>
                <w:lang w:val="lv-LV"/>
              </w:rPr>
            </w:pPr>
            <w:r>
              <w:rPr>
                <w:lang w:val="lv-LV"/>
              </w:rPr>
              <w:t xml:space="preserve">Papildinājumi </w:t>
            </w:r>
            <w:r w:rsidRPr="00CB72BE">
              <w:rPr>
                <w:lang w:val="lv-LV"/>
              </w:rPr>
              <w:t>2006.gada 2.maijā</w:t>
            </w:r>
            <w:r>
              <w:rPr>
                <w:lang w:val="lv-LV"/>
              </w:rPr>
              <w:t xml:space="preserve"> MK noteikumos Nr.348 „</w:t>
            </w:r>
            <w:r w:rsidRPr="00CB72BE">
              <w:rPr>
                <w:lang w:val="lv-LV"/>
              </w:rPr>
              <w:t>Kārtība, kādā augstskola un koledža iesniedz Izglītības un zinātnes ministrijā informāciju par savu darbību</w:t>
            </w:r>
            <w:r>
              <w:rPr>
                <w:lang w:val="lv-LV"/>
              </w:rPr>
              <w:t>”</w:t>
            </w:r>
          </w:p>
        </w:tc>
        <w:tc>
          <w:tcPr>
            <w:tcW w:w="2100" w:type="pct"/>
          </w:tcPr>
          <w:p w:rsidR="00CB72BE" w:rsidRDefault="00CB72BE" w:rsidP="00247E48">
            <w:pPr>
              <w:pStyle w:val="TableText"/>
              <w:rPr>
                <w:lang w:val="lv-LV"/>
              </w:rPr>
            </w:pPr>
            <w:r>
              <w:rPr>
                <w:lang w:val="lv-LV"/>
              </w:rPr>
              <w:t>Normatīvajā aktā jāparedz, kādu informāciju (datus) augstākās izglītības iestādes (augstskolas un koledžas) sniedz IZM, izmantojot VIIS.</w:t>
            </w:r>
          </w:p>
          <w:p w:rsidR="00CB72BE" w:rsidRPr="00976F4C" w:rsidRDefault="00CB72BE" w:rsidP="00CB72BE">
            <w:pPr>
              <w:pStyle w:val="TableText"/>
              <w:rPr>
                <w:lang w:val="lv-LV"/>
              </w:rPr>
            </w:pPr>
            <w:r>
              <w:rPr>
                <w:lang w:val="lv-LV"/>
              </w:rPr>
              <w:t>Normatīvajā aktā jāparedz arī informācijas (datu) sniegšanas formāts, mehānisms, regularitāte u.c. būtiski nosacījumi.</w:t>
            </w:r>
          </w:p>
        </w:tc>
        <w:tc>
          <w:tcPr>
            <w:tcW w:w="900" w:type="pct"/>
          </w:tcPr>
          <w:p w:rsidR="00CB72BE" w:rsidRPr="00247E48" w:rsidRDefault="00CB72BE" w:rsidP="00174FD4">
            <w:pPr>
              <w:pStyle w:val="TableText"/>
              <w:rPr>
                <w:lang w:val="lv-LV"/>
              </w:rPr>
            </w:pPr>
            <w:r w:rsidRPr="00247E48">
              <w:rPr>
                <w:lang w:val="lv-LV"/>
              </w:rPr>
              <w:t xml:space="preserve">MK noteikumu </w:t>
            </w:r>
            <w:r>
              <w:rPr>
                <w:lang w:val="lv-LV"/>
              </w:rPr>
              <w:t>papildināšana</w:t>
            </w:r>
            <w:r w:rsidRPr="00247E48">
              <w:rPr>
                <w:lang w:val="lv-LV"/>
              </w:rPr>
              <w:t xml:space="preserve"> atbilstoši plānotajiem VIIS apkopojamajiem datiem</w:t>
            </w:r>
            <w:r>
              <w:rPr>
                <w:lang w:val="lv-LV"/>
              </w:rPr>
              <w:t xml:space="preserve"> un jaunizstrādātajiem e-pakalpojumiem</w:t>
            </w:r>
          </w:p>
        </w:tc>
        <w:tc>
          <w:tcPr>
            <w:tcW w:w="995" w:type="pct"/>
          </w:tcPr>
          <w:p w:rsidR="00CB72BE" w:rsidRPr="00247E48" w:rsidRDefault="00CB72BE" w:rsidP="00247E48">
            <w:pPr>
              <w:pStyle w:val="TableText"/>
              <w:rPr>
                <w:lang w:val="lv-LV"/>
              </w:rPr>
            </w:pPr>
            <w:r w:rsidRPr="00247E48">
              <w:rPr>
                <w:lang w:val="lv-LV"/>
              </w:rPr>
              <w:t>20.07.2015.</w:t>
            </w:r>
          </w:p>
        </w:tc>
      </w:tr>
    </w:tbl>
    <w:p w:rsidR="002C6C52" w:rsidRDefault="00247E48" w:rsidP="002C6C52">
      <w:pPr>
        <w:pStyle w:val="BodyText"/>
      </w:pPr>
      <w:r w:rsidRPr="00247E48">
        <w:t>Citi izglītības sistēmas normatīvie akti paliek spēkā bez grozījumiem pēc plānotās sistēmas pilnveidošanas.</w:t>
      </w:r>
    </w:p>
    <w:p w:rsidR="002C6C52" w:rsidRPr="005370CF" w:rsidRDefault="002C6C52" w:rsidP="002C6C52">
      <w:pPr>
        <w:pStyle w:val="Heading1"/>
      </w:pPr>
      <w:bookmarkStart w:id="59" w:name="_Toc388454859"/>
      <w:r w:rsidRPr="005370CF">
        <w:lastRenderedPageBreak/>
        <w:t>Plānotās sistēmas konceptuālā risinājuma analīzes kopsavilkums</w:t>
      </w:r>
      <w:bookmarkEnd w:id="59"/>
    </w:p>
    <w:p w:rsidR="00A33415" w:rsidRDefault="001B4953" w:rsidP="005370CF">
      <w:pPr>
        <w:pStyle w:val="Heading2"/>
      </w:pPr>
      <w:bookmarkStart w:id="60" w:name="_Toc388454860"/>
      <w:r>
        <w:t>I</w:t>
      </w:r>
      <w:r w:rsidR="00A33415">
        <w:t>nformācijas apmaiņa un sadarbspēja</w:t>
      </w:r>
      <w:bookmarkEnd w:id="60"/>
    </w:p>
    <w:p w:rsidR="00B05E0C" w:rsidRDefault="00B05E0C">
      <w:pPr>
        <w:pStyle w:val="BodyText"/>
      </w:pPr>
      <w:r>
        <w:t xml:space="preserve">VIIS attīstības konceptuālais risinājums paredz vairākas būtiskas izmaiņas informācijas apmaiņā un </w:t>
      </w:r>
      <w:r w:rsidR="009B7F6A">
        <w:t>IS</w:t>
      </w:r>
      <w:r>
        <w:t xml:space="preserve"> savstarpējā sadarbspējā.</w:t>
      </w:r>
      <w:r w:rsidR="00B81870">
        <w:t xml:space="preserve"> </w:t>
      </w:r>
      <w:r>
        <w:t>Viena no būtiskā</w:t>
      </w:r>
      <w:r w:rsidR="00F374FB">
        <w:t>kajā</w:t>
      </w:r>
      <w:r>
        <w:t xml:space="preserve">m komponentēm VIIS attīstības konceptuālā risinājuma ietvaros ir esošā datu apmaiņas risinājuma attīstība, veicinot automatizētu </w:t>
      </w:r>
      <w:r w:rsidRPr="00B05E0C">
        <w:t>datu apmaiņas nodrošināšan</w:t>
      </w:r>
      <w:r w:rsidR="00F374FB">
        <w:t>u</w:t>
      </w:r>
      <w:r w:rsidRPr="00B05E0C">
        <w:t xml:space="preserve"> starp VIIS un ārējām </w:t>
      </w:r>
      <w:r w:rsidR="009B7F6A">
        <w:t>IS</w:t>
      </w:r>
      <w:r>
        <w:t>.</w:t>
      </w:r>
      <w:r w:rsidRPr="00B05E0C">
        <w:t xml:space="preserve"> Datu apmaiņas risinājuma attīstības ietvaros plānota esošo tīmekļa </w:t>
      </w:r>
      <w:proofErr w:type="spellStart"/>
      <w:r w:rsidRPr="00B05E0C">
        <w:t>pakalpju</w:t>
      </w:r>
      <w:proofErr w:type="spellEnd"/>
      <w:r w:rsidRPr="00B05E0C">
        <w:t xml:space="preserve"> inventarizācija un optimizācija, VIIS izveidoto datu kopu</w:t>
      </w:r>
      <w:r w:rsidR="00835264">
        <w:t xml:space="preserve"> un</w:t>
      </w:r>
      <w:r w:rsidRPr="00B05E0C">
        <w:t xml:space="preserve"> IZM sadarbības iestāžu prasību apzināšana, tā rezultātā izstrādājot tīmekļa </w:t>
      </w:r>
      <w:proofErr w:type="spellStart"/>
      <w:r w:rsidRPr="00B05E0C">
        <w:t>pakalpju</w:t>
      </w:r>
      <w:proofErr w:type="spellEnd"/>
      <w:r w:rsidRPr="00B05E0C">
        <w:t xml:space="preserve"> kopu</w:t>
      </w:r>
      <w:r>
        <w:t xml:space="preserve"> un </w:t>
      </w:r>
      <w:r w:rsidRPr="00B05E0C">
        <w:t>datu</w:t>
      </w:r>
      <w:r>
        <w:t xml:space="preserve"> apmaiņas pārvaldības risinājumu</w:t>
      </w:r>
      <w:r w:rsidR="006A104C">
        <w:t xml:space="preserve">. Tīmekļa </w:t>
      </w:r>
      <w:proofErr w:type="spellStart"/>
      <w:r w:rsidR="006A104C">
        <w:t>pakalpju</w:t>
      </w:r>
      <w:proofErr w:type="spellEnd"/>
      <w:r w:rsidR="006A104C">
        <w:t xml:space="preserve"> kopas izstrāde samazinās administratīvo, finanšu un laika resursu patēriņu jaunu datu apmaiņas vajadzību nodrošināšanai, rezultātā veicinot informācijas apmaiņu starp VIIS un ārējām sistēmām.</w:t>
      </w:r>
    </w:p>
    <w:p w:rsidR="00B05E0C" w:rsidRDefault="006A104C" w:rsidP="00B05E0C">
      <w:pPr>
        <w:pStyle w:val="BodyText"/>
      </w:pPr>
      <w:r>
        <w:t>VIIS attīstības ietvaros paredzēta arī augstākās izglītības iestādēs studējoš</w:t>
      </w:r>
      <w:r w:rsidR="00F374FB">
        <w:t>o</w:t>
      </w:r>
      <w:r>
        <w:t xml:space="preserve"> reģistra </w:t>
      </w:r>
      <w:r w:rsidR="00835264">
        <w:t>izstrāde VIIS</w:t>
      </w:r>
      <w:r>
        <w:t xml:space="preserve">. </w:t>
      </w:r>
      <w:r w:rsidR="00B05E0C">
        <w:t xml:space="preserve">Lai nodrošinātu datu ievadīšanu un atjaunošanu studējošo reģistrā plānota VIIS </w:t>
      </w:r>
      <w:r>
        <w:t>sasaiste</w:t>
      </w:r>
      <w:r w:rsidR="00B05E0C">
        <w:t xml:space="preserve"> ar </w:t>
      </w:r>
      <w:r w:rsidR="00835264">
        <w:t xml:space="preserve">augstākās izglītības institūciju </w:t>
      </w:r>
      <w:proofErr w:type="spellStart"/>
      <w:r w:rsidR="00B05E0C">
        <w:t>IS</w:t>
      </w:r>
      <w:proofErr w:type="spellEnd"/>
      <w:r>
        <w:t xml:space="preserve">, izmantojot tīmekļa </w:t>
      </w:r>
      <w:proofErr w:type="spellStart"/>
      <w:r>
        <w:t>pakalpes</w:t>
      </w:r>
      <w:proofErr w:type="spellEnd"/>
      <w:r>
        <w:t xml:space="preserve"> vai citus datu apmaiņas risinājumus, tādejādi veicinot sistēmu savstarpējo informācijas apmaiņu un sadarbspēju. </w:t>
      </w:r>
    </w:p>
    <w:p w:rsidR="00FB0F83" w:rsidRDefault="00FB0F83" w:rsidP="00FB0F83">
      <w:pPr>
        <w:pStyle w:val="BodyText"/>
      </w:pPr>
      <w:r>
        <w:t xml:space="preserve">Datu apmaiņai starp VIIS un citu iestāžu </w:t>
      </w:r>
      <w:r w:rsidR="009B7F6A">
        <w:t>IS</w:t>
      </w:r>
      <w:r>
        <w:t xml:space="preserve"> tiks izmantots Valsts informācijas sistēmu savietotājs (VISS). Datu apmaiņai ar IZM iekšējām sistēmām, vai izņēmuma situācijās, kad IZM sadarbības iestādei jānodrošina piekļuve īpašai (šai iestādei specifiskai datu kopai), VISS netiks izmantots veiktspējas un datu konfidencialitātes aizsardzības nodrošināšanai.</w:t>
      </w:r>
    </w:p>
    <w:p w:rsidR="00197BE9" w:rsidRDefault="00197BE9" w:rsidP="00B05E0C">
      <w:pPr>
        <w:pStyle w:val="BodyText"/>
      </w:pPr>
      <w:r w:rsidRPr="005D57E1">
        <w:t xml:space="preserve">VIIS sadarbspējas informācija (apmaiņai pieejamās informācijas </w:t>
      </w:r>
      <w:proofErr w:type="spellStart"/>
      <w:r w:rsidRPr="005D57E1">
        <w:t>XML</w:t>
      </w:r>
      <w:proofErr w:type="spellEnd"/>
      <w:r w:rsidRPr="005D57E1">
        <w:t xml:space="preserve"> shēmas, </w:t>
      </w:r>
      <w:proofErr w:type="spellStart"/>
      <w:r w:rsidR="009B7F6A">
        <w:t>IS</w:t>
      </w:r>
      <w:proofErr w:type="spellEnd"/>
      <w:r w:rsidRPr="005D57E1">
        <w:t xml:space="preserve"> </w:t>
      </w:r>
      <w:proofErr w:type="spellStart"/>
      <w:r w:rsidRPr="005D57E1">
        <w:t>pakalpju</w:t>
      </w:r>
      <w:proofErr w:type="spellEnd"/>
      <w:r w:rsidRPr="005D57E1">
        <w:t xml:space="preserve"> saraksti u.c.) tiks publicēta </w:t>
      </w:r>
      <w:r w:rsidR="00F245B6">
        <w:t xml:space="preserve">Valsts reģionālās attīstības aģentūras (turpmāk – </w:t>
      </w:r>
      <w:r w:rsidRPr="005D57E1">
        <w:t>VRAA</w:t>
      </w:r>
      <w:r w:rsidR="00F245B6">
        <w:t>)</w:t>
      </w:r>
      <w:r w:rsidRPr="005D57E1">
        <w:t xml:space="preserve"> pārziņā esošajos sadarbspējas katalogos.</w:t>
      </w:r>
    </w:p>
    <w:p w:rsidR="00A33415" w:rsidRDefault="001B4953" w:rsidP="005370CF">
      <w:pPr>
        <w:pStyle w:val="Heading2"/>
      </w:pPr>
      <w:bookmarkStart w:id="61" w:name="_Toc388454861"/>
      <w:r>
        <w:t>E</w:t>
      </w:r>
      <w:r w:rsidR="00A33415">
        <w:t>lektronisko pakalpojumu sniegšanas vide</w:t>
      </w:r>
      <w:bookmarkEnd w:id="61"/>
    </w:p>
    <w:p w:rsidR="00197BE9" w:rsidRPr="005D57E1" w:rsidRDefault="00197BE9" w:rsidP="00197BE9">
      <w:pPr>
        <w:pStyle w:val="BodyText"/>
      </w:pPr>
      <w:r w:rsidRPr="005D57E1">
        <w:t xml:space="preserve">Elektronisko pakalpojumu sniegšanai tiks izmantota koplietošanas platforma, ko veido vienotais pakalpojumu portāls </w:t>
      </w:r>
      <w:proofErr w:type="spellStart"/>
      <w:r w:rsidRPr="005D57E1">
        <w:t>www.latvija.lv</w:t>
      </w:r>
      <w:proofErr w:type="spellEnd"/>
      <w:r w:rsidRPr="005D57E1">
        <w:t xml:space="preserve"> un VISS. IZM un padotības iestāžu interneta vietnes saturēs nozares un attiecīgo iestāžu darbības profilu ietvaros strukturētas saites uz attiecīgajiem elektroniskajiem pakalpojumiem vienotajā pakalpojumu portālā </w:t>
      </w:r>
      <w:proofErr w:type="spellStart"/>
      <w:r w:rsidRPr="005D57E1">
        <w:t>www.latvija.lv</w:t>
      </w:r>
      <w:proofErr w:type="spellEnd"/>
      <w:r w:rsidRPr="005D57E1">
        <w:t>.</w:t>
      </w:r>
    </w:p>
    <w:p w:rsidR="00A33415" w:rsidRDefault="00197BE9" w:rsidP="00197BE9">
      <w:pPr>
        <w:pStyle w:val="BodyText"/>
      </w:pPr>
      <w:r w:rsidRPr="005D57E1">
        <w:t>Iedzīvotājiem un uzņēmējiem paredzēto elektronisko pakalpojumu apraksti tiks uzturēti VRAA pārziņā esošajā Publisko pakalpojumu katalogā.</w:t>
      </w:r>
    </w:p>
    <w:p w:rsidR="00A33415" w:rsidRDefault="001B4953" w:rsidP="005370CF">
      <w:pPr>
        <w:pStyle w:val="Heading2"/>
      </w:pPr>
      <w:bookmarkStart w:id="62" w:name="_Toc388454862"/>
      <w:r>
        <w:t>C</w:t>
      </w:r>
      <w:r w:rsidR="00A33415">
        <w:t>itas elektroniskās pārvaldes risinājumu koplietošanas komponentes</w:t>
      </w:r>
      <w:bookmarkEnd w:id="62"/>
    </w:p>
    <w:p w:rsidR="00FB0F83" w:rsidRDefault="00F61138">
      <w:pPr>
        <w:pStyle w:val="BodyText"/>
      </w:pPr>
      <w:r>
        <w:t xml:space="preserve">Izglītības nozares </w:t>
      </w:r>
      <w:r w:rsidR="009B7F6A">
        <w:t>IS</w:t>
      </w:r>
      <w:r>
        <w:t xml:space="preserve"> vēsturiski izveidots vienots lietotāju autentifikācijas risinājums, </w:t>
      </w:r>
      <w:r w:rsidR="00FB0F83" w:rsidRPr="00FB0F83">
        <w:t xml:space="preserve">kas autentifikācijai kā vienu no iespējām nodrošina izmantot </w:t>
      </w:r>
      <w:proofErr w:type="spellStart"/>
      <w:r w:rsidR="00FB0F83">
        <w:t>www.</w:t>
      </w:r>
      <w:r w:rsidR="00FB0F83" w:rsidRPr="00FB0F83">
        <w:t>latvija.lv</w:t>
      </w:r>
      <w:proofErr w:type="spellEnd"/>
      <w:r w:rsidR="00FB0F83" w:rsidRPr="00FB0F83">
        <w:t xml:space="preserve"> autentifikācijas risinājuma izmantošanu</w:t>
      </w:r>
      <w:r w:rsidR="00FB0F83">
        <w:t>. Ietekme uz citām elektroniskās pārvaldes risinājumu koplietošanas komponentēm nav identificēta.</w:t>
      </w:r>
    </w:p>
    <w:p w:rsidR="005E72F7" w:rsidRDefault="001B4953" w:rsidP="005370CF">
      <w:pPr>
        <w:pStyle w:val="Heading2"/>
      </w:pPr>
      <w:bookmarkStart w:id="63" w:name="_Toc388454863"/>
      <w:r>
        <w:t>F</w:t>
      </w:r>
      <w:r w:rsidR="00A33415">
        <w:t>unkciju un informācijas sistēmu dublēšanās novēršana</w:t>
      </w:r>
      <w:bookmarkEnd w:id="63"/>
    </w:p>
    <w:p w:rsidR="00B81870" w:rsidRDefault="0021030D">
      <w:pPr>
        <w:pStyle w:val="BodyText"/>
      </w:pPr>
      <w:r w:rsidRPr="0021030D">
        <w:t xml:space="preserve">Informācija par vispārējā un profesionālajā izglītībā iesaistītajiem indivīdiem šobrīd ir </w:t>
      </w:r>
      <w:r w:rsidR="00B81870">
        <w:t>pieejama</w:t>
      </w:r>
      <w:r w:rsidRPr="0021030D">
        <w:t xml:space="preserve"> VIIS, </w:t>
      </w:r>
      <w:r>
        <w:t>tomēr informācija</w:t>
      </w:r>
      <w:r w:rsidRPr="0021030D">
        <w:t xml:space="preserve"> par šo indivīdu tālākajām izglītības gaitām nav pieejama vienkopus. Šobrīd informācija par </w:t>
      </w:r>
      <w:r>
        <w:t xml:space="preserve">augstākās izglītības iestādēs </w:t>
      </w:r>
      <w:r w:rsidRPr="0021030D">
        <w:t>studējošajiem tiek uzturēta katrā augstākās izglītības iestādē atsevišķi, informācijas uzglab</w:t>
      </w:r>
      <w:r>
        <w:t xml:space="preserve">āšanai izmantojot </w:t>
      </w:r>
      <w:r w:rsidR="00835264">
        <w:t xml:space="preserve">pašu iestāžu </w:t>
      </w:r>
      <w:r>
        <w:t>IS.</w:t>
      </w:r>
      <w:r w:rsidR="00F374FB">
        <w:t xml:space="preserve"> Tāpat šī informācija tiek manuāli apkopota IZM – tādējādi dublējot informāciju.</w:t>
      </w:r>
      <w:r>
        <w:t xml:space="preserve"> Lai nodrošinātu datu pieejamību </w:t>
      </w:r>
      <w:r w:rsidR="00B81870">
        <w:t xml:space="preserve">VIIS arī par augstākās izglītības iestādēs </w:t>
      </w:r>
      <w:r>
        <w:t xml:space="preserve">izglītojamajiem, darba ietvaros paredzēta studējošo reģistra </w:t>
      </w:r>
      <w:r w:rsidR="00B81870">
        <w:t>komponentes</w:t>
      </w:r>
      <w:r>
        <w:t xml:space="preserve"> izstrāde VIIS</w:t>
      </w:r>
      <w:r w:rsidR="00B81870">
        <w:t xml:space="preserve">. </w:t>
      </w:r>
      <w:r w:rsidR="00B81870" w:rsidRPr="00B81870">
        <w:t>Tāpat, ņemot vērā VIIS</w:t>
      </w:r>
      <w:r w:rsidR="00B81870">
        <w:t xml:space="preserve"> jau</w:t>
      </w:r>
      <w:r w:rsidR="00B81870" w:rsidRPr="00B81870">
        <w:t xml:space="preserve"> uzkrāto informāciju par skolēniem, </w:t>
      </w:r>
      <w:r w:rsidR="00B81870">
        <w:t>tiek plānota</w:t>
      </w:r>
      <w:r w:rsidR="00B81870" w:rsidRPr="00B81870">
        <w:t xml:space="preserve"> </w:t>
      </w:r>
      <w:r w:rsidR="00B81870">
        <w:t>studējošo reģistra</w:t>
      </w:r>
      <w:r w:rsidR="00B81870" w:rsidRPr="00B81870">
        <w:t xml:space="preserve"> </w:t>
      </w:r>
      <w:r w:rsidR="00B81870">
        <w:t>sasaiste ar</w:t>
      </w:r>
      <w:r w:rsidR="00B81870" w:rsidRPr="00B81870">
        <w:t xml:space="preserve"> </w:t>
      </w:r>
      <w:r w:rsidR="00B81870">
        <w:t xml:space="preserve">VIIS jau </w:t>
      </w:r>
      <w:r w:rsidR="00B81870">
        <w:lastRenderedPageBreak/>
        <w:t>esošajiem reģistriem</w:t>
      </w:r>
      <w:r w:rsidR="00B81870" w:rsidRPr="00B81870">
        <w:t xml:space="preserve">, </w:t>
      </w:r>
      <w:r w:rsidR="00B81870">
        <w:t>tādejādi nodrošinot pēc iespējas pilnīgu informāciju par indivīda gaitām Latvijas izglītības sistēmas ietvaros vienotā IS</w:t>
      </w:r>
      <w:r w:rsidR="00F374FB">
        <w:t xml:space="preserve"> un novēršot informācijas manuālu dublēšanu</w:t>
      </w:r>
      <w:r w:rsidR="00B81870">
        <w:t>.</w:t>
      </w:r>
    </w:p>
    <w:p w:rsidR="0021030D" w:rsidRDefault="00B81870">
      <w:pPr>
        <w:pStyle w:val="BodyText"/>
      </w:pPr>
      <w:r>
        <w:t xml:space="preserve">Lai nodrošinātu datu ievadīšanu un atjaunošanu studējošo reģistrā plānota VIIS sasaiste ar </w:t>
      </w:r>
      <w:r w:rsidR="00835264">
        <w:t xml:space="preserve">augstākās izglītības institūciju </w:t>
      </w:r>
      <w:proofErr w:type="spellStart"/>
      <w:r>
        <w:t>IS</w:t>
      </w:r>
      <w:proofErr w:type="spellEnd"/>
      <w:r>
        <w:t xml:space="preserve">, izmantojot tīmekļa </w:t>
      </w:r>
      <w:proofErr w:type="spellStart"/>
      <w:r>
        <w:t>pakalpes</w:t>
      </w:r>
      <w:proofErr w:type="spellEnd"/>
      <w:r>
        <w:t xml:space="preserve"> vai citus datu apmaiņas risinājumus</w:t>
      </w:r>
      <w:r w:rsidR="00FB0F83">
        <w:t>.</w:t>
      </w:r>
    </w:p>
    <w:p w:rsidR="002C6C52" w:rsidRPr="00535CB5" w:rsidRDefault="002C6C52" w:rsidP="002C6C52">
      <w:pPr>
        <w:pStyle w:val="Heading1"/>
      </w:pPr>
      <w:bookmarkStart w:id="64" w:name="_Toc378917032"/>
      <w:bookmarkStart w:id="65" w:name="_Toc378918428"/>
      <w:bookmarkStart w:id="66" w:name="_Toc388454864"/>
      <w:bookmarkEnd w:id="64"/>
      <w:bookmarkEnd w:id="65"/>
      <w:r w:rsidRPr="00535CB5">
        <w:lastRenderedPageBreak/>
        <w:t>Projekta izmaksu efektivitātes analīzes kopsavilkums</w:t>
      </w:r>
      <w:bookmarkEnd w:id="66"/>
    </w:p>
    <w:p w:rsidR="00535CB5" w:rsidRDefault="00535CB5" w:rsidP="00535CB5">
      <w:pPr>
        <w:pStyle w:val="BodyText"/>
      </w:pPr>
      <w:r>
        <w:t xml:space="preserve">Šajā dokumenta sadaļā aprakstīta projekta izmaksu efektivitātes analīze. </w:t>
      </w:r>
      <w:r w:rsidR="006D7464">
        <w:t xml:space="preserve">Zemāk esošajā tabulā </w:t>
      </w:r>
      <w:r>
        <w:t>atspoguļo</w:t>
      </w:r>
      <w:r w:rsidR="006D7464">
        <w:t>ti</w:t>
      </w:r>
      <w:r>
        <w:t xml:space="preserve"> projektu izmaksu efektivitātes analīzes rezultāt</w:t>
      </w:r>
      <w:r w:rsidR="006D7464">
        <w:t>i</w:t>
      </w:r>
      <w:r>
        <w:t xml:space="preserve">. </w:t>
      </w:r>
    </w:p>
    <w:p w:rsidR="00535CB5" w:rsidRDefault="00FF19E9" w:rsidP="00535CB5">
      <w:pPr>
        <w:pStyle w:val="BodyText"/>
      </w:pPr>
      <w:r>
        <w:t>Izmaksu efektivitātes analīzes</w:t>
      </w:r>
      <w:r w:rsidDel="00FF19E9">
        <w:t xml:space="preserve"> </w:t>
      </w:r>
      <w:r>
        <w:t xml:space="preserve">rezultātā </w:t>
      </w:r>
      <w:r w:rsidR="00535CB5">
        <w:t xml:space="preserve">identificēti </w:t>
      </w:r>
      <w:r w:rsidR="00535CB5">
        <w:rPr>
          <w:b/>
        </w:rPr>
        <w:t>trīs</w:t>
      </w:r>
      <w:r w:rsidR="00535CB5" w:rsidRPr="008621E4">
        <w:rPr>
          <w:b/>
        </w:rPr>
        <w:t xml:space="preserve"> galvenie sociālekonomiskie ieguvumi</w:t>
      </w:r>
      <w:r w:rsidR="00535CB5">
        <w:t xml:space="preserve">, kuri novērtēti, </w:t>
      </w:r>
      <w:r>
        <w:t xml:space="preserve">ņemot vērā turpmāk </w:t>
      </w:r>
      <w:r w:rsidR="00535CB5">
        <w:t>tekstā aprakstīto pieeju.</w:t>
      </w:r>
    </w:p>
    <w:p w:rsidR="00535CB5" w:rsidRPr="008621E4" w:rsidRDefault="00535CB5" w:rsidP="00535CB5">
      <w:pPr>
        <w:pStyle w:val="BodyText"/>
        <w:rPr>
          <w:b/>
        </w:rPr>
      </w:pPr>
      <w:r w:rsidRPr="008621E4">
        <w:rPr>
          <w:b/>
        </w:rPr>
        <w:t>Sociālekonomisk</w:t>
      </w:r>
      <w:r w:rsidR="00FF19E9">
        <w:rPr>
          <w:b/>
        </w:rPr>
        <w:t>ie</w:t>
      </w:r>
      <w:r w:rsidRPr="008621E4">
        <w:rPr>
          <w:b/>
        </w:rPr>
        <w:t xml:space="preserve"> ieguvum</w:t>
      </w:r>
      <w:r w:rsidR="00FF19E9">
        <w:rPr>
          <w:b/>
        </w:rPr>
        <w:t>i</w:t>
      </w:r>
      <w:r w:rsidRPr="008621E4">
        <w:rPr>
          <w:b/>
        </w:rPr>
        <w:t xml:space="preserve"> iestādēm un pašvaldībām.</w:t>
      </w:r>
    </w:p>
    <w:p w:rsidR="00535CB5" w:rsidRPr="008621E4" w:rsidRDefault="00535CB5" w:rsidP="005418DE">
      <w:pPr>
        <w:pStyle w:val="BodyText"/>
        <w:numPr>
          <w:ilvl w:val="6"/>
          <w:numId w:val="15"/>
        </w:numPr>
        <w:tabs>
          <w:tab w:val="clear" w:pos="2520"/>
          <w:tab w:val="num" w:pos="426"/>
        </w:tabs>
        <w:ind w:left="426" w:hanging="426"/>
        <w:rPr>
          <w:u w:val="single"/>
        </w:rPr>
      </w:pPr>
      <w:r w:rsidRPr="008621E4">
        <w:rPr>
          <w:u w:val="single"/>
        </w:rPr>
        <w:t>Publiskā</w:t>
      </w:r>
      <w:r w:rsidR="00213F29">
        <w:rPr>
          <w:u w:val="single"/>
        </w:rPr>
        <w:t>s</w:t>
      </w:r>
      <w:r w:rsidRPr="008621E4">
        <w:rPr>
          <w:u w:val="single"/>
        </w:rPr>
        <w:t xml:space="preserve"> pārvaldes iestādē</w:t>
      </w:r>
      <w:r w:rsidR="00794B95">
        <w:rPr>
          <w:u w:val="single"/>
        </w:rPr>
        <w:t>s</w:t>
      </w:r>
      <w:r w:rsidRPr="008621E4">
        <w:rPr>
          <w:u w:val="single"/>
        </w:rPr>
        <w:t xml:space="preserve"> ir pieejama pilnīga, ticama informācija. </w:t>
      </w:r>
    </w:p>
    <w:p w:rsidR="00535CB5" w:rsidRDefault="00535CB5" w:rsidP="00535CB5">
      <w:pPr>
        <w:pStyle w:val="BodyText"/>
      </w:pPr>
      <w:r>
        <w:t>Paredzams, ka, izveidojot VIIS kā vienotas izglītības sistēmas datubāzi, tiktu realizēts Izglītības attīstības pamatnostādnes 2014.-2020. gadam mērķis</w:t>
      </w:r>
      <w:r w:rsidR="00D810F2">
        <w:t xml:space="preserve"> – </w:t>
      </w:r>
      <w:r>
        <w:t>izveidot efektīvu izglītības politikas pārvaldību.</w:t>
      </w:r>
    </w:p>
    <w:p w:rsidR="00535CB5" w:rsidRDefault="00535CB5" w:rsidP="00535CB5">
      <w:pPr>
        <w:pStyle w:val="BodyText"/>
      </w:pPr>
      <w:r>
        <w:t xml:space="preserve">Iestādēm un pašvaldībām tas dotu iespēju veikt izglītības kvalitātes monitoringu, jo vienā </w:t>
      </w:r>
      <w:r w:rsidR="00FF19E9">
        <w:t>IS</w:t>
      </w:r>
      <w:r>
        <w:t xml:space="preserve"> būtu pieejama informācija par personas izglītības attīstību, sākot no sākumskolas līdz pat augstākajai izglītībai. </w:t>
      </w:r>
      <w:r w:rsidRPr="008621E4">
        <w:t xml:space="preserve">Šādas analītiskas informācijas </w:t>
      </w:r>
      <w:r w:rsidR="00FF19E9">
        <w:t>pieejamība</w:t>
      </w:r>
      <w:r w:rsidR="00FF19E9" w:rsidRPr="008621E4">
        <w:t xml:space="preserve"> </w:t>
      </w:r>
      <w:r w:rsidRPr="008621E4">
        <w:t>palīdzētu iestādēm un pašvaldībām realizēt efektīvu</w:t>
      </w:r>
      <w:r w:rsidR="006345FC">
        <w:t xml:space="preserve"> izglītības sistēmas pārvaldību</w:t>
      </w:r>
      <w:r w:rsidRPr="008621E4">
        <w:t>.</w:t>
      </w:r>
    </w:p>
    <w:p w:rsidR="00535CB5" w:rsidRDefault="00535CB5" w:rsidP="00535CB5">
      <w:pPr>
        <w:pStyle w:val="BodyText"/>
      </w:pPr>
      <w:r w:rsidRPr="008621E4">
        <w:t xml:space="preserve">Līdz šim, saskaņā ar IZM </w:t>
      </w:r>
      <w:r w:rsidR="00FF19E9">
        <w:t>pieejamo</w:t>
      </w:r>
      <w:r w:rsidR="00FF19E9" w:rsidRPr="008621E4">
        <w:t xml:space="preserve"> </w:t>
      </w:r>
      <w:r w:rsidRPr="008621E4">
        <w:t>informāciju, nepieciešamās analītiskās informācijas apkopošanai bija nepieciešamas 448 darba stundas</w:t>
      </w:r>
      <w:r>
        <w:t xml:space="preserve"> (tie ir četri mēneši viena darbinieka laika resursi, pieņemot, ka informācijas apkopošanai tiek veltīti 70% no kopējās darbinieka noslodzes)</w:t>
      </w:r>
      <w:r w:rsidRPr="008621E4">
        <w:t>.</w:t>
      </w:r>
    </w:p>
    <w:p w:rsidR="00535CB5" w:rsidRPr="008621E4" w:rsidRDefault="00535CB5" w:rsidP="00535CB5">
      <w:pPr>
        <w:pStyle w:val="BodyText"/>
      </w:pPr>
      <w:r>
        <w:t>P</w:t>
      </w:r>
      <w:r w:rsidRPr="008621E4">
        <w:t xml:space="preserve">ārskats par augstāko izglītību ir jāveido </w:t>
      </w:r>
      <w:r w:rsidR="00FF19E9">
        <w:t xml:space="preserve">vienu </w:t>
      </w:r>
      <w:r w:rsidRPr="008621E4">
        <w:t>reizi gadā</w:t>
      </w:r>
      <w:r w:rsidR="00FF19E9">
        <w:t xml:space="preserve">, tādejādi </w:t>
      </w:r>
      <w:r w:rsidRPr="008621E4">
        <w:t>laika</w:t>
      </w:r>
      <w:r>
        <w:t xml:space="preserve"> resursu</w:t>
      </w:r>
      <w:r w:rsidRPr="008621E4">
        <w:t xml:space="preserve"> ietaupījum</w:t>
      </w:r>
      <w:r w:rsidR="00FF19E9">
        <w:t>s</w:t>
      </w:r>
      <w:r w:rsidRPr="008621E4">
        <w:t xml:space="preserve"> gadā no VIIS papildu funkcionalitātes ieviešanas ir 448 stundas. Vidējā mēneša alga personai, kas veic šo datu apkopošanu, saskaņā ar IZM publiski pieejamo informāciju par ierēdņu darba algām ir EUR 871</w:t>
      </w:r>
      <w:r>
        <w:t>,</w:t>
      </w:r>
      <w:r w:rsidRPr="008621E4">
        <w:t>22 mēnesī</w:t>
      </w:r>
      <w:r>
        <w:t>.</w:t>
      </w:r>
      <w:r w:rsidRPr="008621E4">
        <w:t xml:space="preserve"> Izmaksas nepieciešamās informācijas apkopošan</w:t>
      </w:r>
      <w:r w:rsidR="00FF19E9">
        <w:t>ai</w:t>
      </w:r>
      <w:r w:rsidRPr="008621E4">
        <w:t xml:space="preserve"> ir </w:t>
      </w:r>
      <w:r w:rsidR="00C34322">
        <w:rPr>
          <w:b/>
        </w:rPr>
        <w:t xml:space="preserve">EUR 3 049.29 </w:t>
      </w:r>
      <w:r w:rsidRPr="008621E4">
        <w:rPr>
          <w:b/>
        </w:rPr>
        <w:t>gadā</w:t>
      </w:r>
      <w:r w:rsidR="00777494">
        <w:rPr>
          <w:b/>
        </w:rPr>
        <w:t xml:space="preserve"> </w:t>
      </w:r>
      <w:r w:rsidR="00777494" w:rsidRPr="00777494">
        <w:t>(ar pieņēmumu, ka pieskaitāmās izmaksas sastāda 25% no darbinieka algas apmēra</w:t>
      </w:r>
      <w:r w:rsidR="00777494">
        <w:t>)</w:t>
      </w:r>
      <w:r w:rsidRPr="008621E4">
        <w:t xml:space="preserve">. </w:t>
      </w:r>
      <w:r>
        <w:t>Katru gadu šīs izmaksas palielinās atbilstoši prognozētajai inflācijas</w:t>
      </w:r>
      <w:r w:rsidR="00E513E9">
        <w:rPr>
          <w:rStyle w:val="FootnoteReference"/>
        </w:rPr>
        <w:footnoteReference w:id="8"/>
      </w:r>
      <w:r>
        <w:t xml:space="preserve"> likmei 2</w:t>
      </w:r>
      <w:r w:rsidR="00FF19E9">
        <w:t>,</w:t>
      </w:r>
      <w:r>
        <w:t>3% gadā.</w:t>
      </w:r>
    </w:p>
    <w:p w:rsidR="00535CB5" w:rsidRPr="008621E4" w:rsidRDefault="00535CB5" w:rsidP="005418DE">
      <w:pPr>
        <w:pStyle w:val="BodyText"/>
        <w:numPr>
          <w:ilvl w:val="6"/>
          <w:numId w:val="15"/>
        </w:numPr>
        <w:tabs>
          <w:tab w:val="clear" w:pos="2520"/>
          <w:tab w:val="num" w:pos="426"/>
        </w:tabs>
        <w:ind w:left="426" w:hanging="426"/>
        <w:rPr>
          <w:u w:val="single"/>
        </w:rPr>
      </w:pPr>
      <w:proofErr w:type="spellStart"/>
      <w:r w:rsidRPr="008621E4">
        <w:rPr>
          <w:u w:val="single"/>
        </w:rPr>
        <w:t>VIIS</w:t>
      </w:r>
      <w:proofErr w:type="spellEnd"/>
      <w:r w:rsidRPr="008621E4">
        <w:rPr>
          <w:u w:val="single"/>
        </w:rPr>
        <w:t xml:space="preserve"> piedāvāto tīmekļa </w:t>
      </w:r>
      <w:proofErr w:type="spellStart"/>
      <w:r w:rsidRPr="008621E4">
        <w:rPr>
          <w:u w:val="single"/>
        </w:rPr>
        <w:t>pakalpju</w:t>
      </w:r>
      <w:proofErr w:type="spellEnd"/>
      <w:r w:rsidRPr="008621E4">
        <w:rPr>
          <w:u w:val="single"/>
        </w:rPr>
        <w:t xml:space="preserve"> automatizēšana samazinās nepieciešamību veidot jaunas tīmekļa </w:t>
      </w:r>
      <w:proofErr w:type="spellStart"/>
      <w:r w:rsidRPr="008621E4">
        <w:rPr>
          <w:u w:val="single"/>
        </w:rPr>
        <w:t>pakalpes</w:t>
      </w:r>
      <w:proofErr w:type="spellEnd"/>
      <w:r>
        <w:rPr>
          <w:u w:val="single"/>
        </w:rPr>
        <w:t>,</w:t>
      </w:r>
      <w:r w:rsidRPr="008621E4">
        <w:rPr>
          <w:u w:val="single"/>
        </w:rPr>
        <w:t xml:space="preserve"> vai veikt izmaiņas jau esošajās 55 tīmekļa </w:t>
      </w:r>
      <w:proofErr w:type="spellStart"/>
      <w:r w:rsidRPr="008621E4">
        <w:rPr>
          <w:u w:val="single"/>
        </w:rPr>
        <w:t>pakalpēs</w:t>
      </w:r>
      <w:proofErr w:type="spellEnd"/>
      <w:r w:rsidRPr="008621E4">
        <w:rPr>
          <w:u w:val="single"/>
        </w:rPr>
        <w:t xml:space="preserve">. </w:t>
      </w:r>
    </w:p>
    <w:p w:rsidR="00535CB5" w:rsidRDefault="00535CB5" w:rsidP="00535CB5">
      <w:pPr>
        <w:pStyle w:val="BodyText"/>
      </w:pPr>
      <w:r w:rsidRPr="008621E4">
        <w:t xml:space="preserve">Šobrīd, lai veiktu izmaiņas esošajās tīmekļa </w:t>
      </w:r>
      <w:proofErr w:type="spellStart"/>
      <w:r w:rsidRPr="008621E4">
        <w:t>pakalpēs</w:t>
      </w:r>
      <w:proofErr w:type="spellEnd"/>
      <w:r w:rsidRPr="008621E4">
        <w:t xml:space="preserve"> vai izveidotu jaunas</w:t>
      </w:r>
      <w:r w:rsidR="00FF19E9" w:rsidRPr="00FF19E9">
        <w:t xml:space="preserve"> </w:t>
      </w:r>
      <w:r w:rsidR="00FF19E9">
        <w:t xml:space="preserve">tīmekļa </w:t>
      </w:r>
      <w:proofErr w:type="spellStart"/>
      <w:r w:rsidR="00FF19E9">
        <w:t>pakalpe</w:t>
      </w:r>
      <w:r w:rsidR="00FF19E9" w:rsidRPr="008621E4">
        <w:t>s</w:t>
      </w:r>
      <w:proofErr w:type="spellEnd"/>
      <w:r w:rsidRPr="008621E4">
        <w:t xml:space="preserve">, nepieciešams piesaistīt sistēmas izstrādātāju. Izmaiņas esošajās tīmekļa </w:t>
      </w:r>
      <w:proofErr w:type="spellStart"/>
      <w:r w:rsidRPr="008621E4">
        <w:t>pakalpēs</w:t>
      </w:r>
      <w:proofErr w:type="spellEnd"/>
      <w:r w:rsidRPr="008621E4">
        <w:t xml:space="preserve"> ir jāveic katru gad</w:t>
      </w:r>
      <w:r w:rsidR="007C2309">
        <w:t>u. Saskaņā ar ekspertu viedokli</w:t>
      </w:r>
      <w:r w:rsidRPr="008621E4">
        <w:t xml:space="preserve"> vienas </w:t>
      </w:r>
      <w:proofErr w:type="spellStart"/>
      <w:r w:rsidRPr="008621E4">
        <w:t>pakalpes</w:t>
      </w:r>
      <w:proofErr w:type="spellEnd"/>
      <w:r w:rsidRPr="008621E4">
        <w:t xml:space="preserve"> izmaiņu veikšanai </w:t>
      </w:r>
      <w:r w:rsidR="007C2309">
        <w:t xml:space="preserve">vidēji </w:t>
      </w:r>
      <w:r w:rsidRPr="008621E4">
        <w:t xml:space="preserve">nepieciešamas 30 darba stundas. </w:t>
      </w:r>
    </w:p>
    <w:p w:rsidR="00535CB5" w:rsidRDefault="00535CB5" w:rsidP="00535CB5">
      <w:pPr>
        <w:pStyle w:val="BodyText"/>
      </w:pPr>
      <w:r w:rsidRPr="008621E4">
        <w:t>Saskaņā ar C</w:t>
      </w:r>
      <w:r>
        <w:t>entrālās statistikas pārvaldes</w:t>
      </w:r>
      <w:r w:rsidRPr="008621E4">
        <w:t xml:space="preserve"> pieejamie</w:t>
      </w:r>
      <w:r>
        <w:t>m</w:t>
      </w:r>
      <w:r w:rsidRPr="008621E4">
        <w:t xml:space="preserve"> datiem (2012. gads), vidējā mēneša alga informācijas un komunikācijas nozarē </w:t>
      </w:r>
      <w:r>
        <w:t>nodarbinātām personām</w:t>
      </w:r>
      <w:r w:rsidRPr="008621E4">
        <w:t xml:space="preserve"> ir EUR 1</w:t>
      </w:r>
      <w:r w:rsidR="00FF19E9">
        <w:t> </w:t>
      </w:r>
      <w:r w:rsidRPr="008621E4">
        <w:t>121</w:t>
      </w:r>
      <w:r w:rsidR="00FF19E9">
        <w:t>,00</w:t>
      </w:r>
      <w:r w:rsidR="00777494">
        <w:t xml:space="preserve"> </w:t>
      </w:r>
      <w:r w:rsidR="00777494" w:rsidRPr="00777494">
        <w:t>(ar pieņēmumu, ka pieskaitāmās izmaksas sastāda 25% no darbinieka algas apmēra</w:t>
      </w:r>
      <w:r w:rsidR="00777494">
        <w:t>)</w:t>
      </w:r>
      <w:r w:rsidRPr="008621E4">
        <w:t>. Tādējādi, izmaksas par izmaiņu veikšanu esošaj</w:t>
      </w:r>
      <w:r w:rsidR="00FF19E9">
        <w:t>ās</w:t>
      </w:r>
      <w:r w:rsidRPr="008621E4">
        <w:t xml:space="preserve"> 55 tīmekļ</w:t>
      </w:r>
      <w:r w:rsidR="00FF19E9">
        <w:t xml:space="preserve">a </w:t>
      </w:r>
      <w:proofErr w:type="spellStart"/>
      <w:r w:rsidR="00FF19E9">
        <w:t>pakalpēs</w:t>
      </w:r>
      <w:proofErr w:type="spellEnd"/>
      <w:r w:rsidRPr="008621E4">
        <w:t xml:space="preserve"> sastāda </w:t>
      </w:r>
      <w:r w:rsidRPr="008621E4">
        <w:rPr>
          <w:b/>
        </w:rPr>
        <w:t xml:space="preserve">EUR </w:t>
      </w:r>
      <w:r w:rsidR="00777494">
        <w:rPr>
          <w:b/>
        </w:rPr>
        <w:t>14 450.39</w:t>
      </w:r>
      <w:r w:rsidRPr="008621E4">
        <w:rPr>
          <w:b/>
        </w:rPr>
        <w:t xml:space="preserve"> gadā</w:t>
      </w:r>
      <w:r w:rsidR="00777494">
        <w:rPr>
          <w:b/>
        </w:rPr>
        <w:t xml:space="preserve"> </w:t>
      </w:r>
      <w:r w:rsidRPr="008621E4">
        <w:t>.</w:t>
      </w:r>
      <w:r>
        <w:t xml:space="preserve"> Katru gadu šīs izmaksas palielinās atbilstoši prognozētajai inflācijas</w:t>
      </w:r>
      <w:r w:rsidR="00E513E9">
        <w:rPr>
          <w:rStyle w:val="FootnoteReference"/>
        </w:rPr>
        <w:footnoteReference w:id="9"/>
      </w:r>
      <w:r>
        <w:t xml:space="preserve"> likmei 2</w:t>
      </w:r>
      <w:r w:rsidR="00FF19E9">
        <w:t>,</w:t>
      </w:r>
      <w:r>
        <w:t>3% gadā.</w:t>
      </w:r>
      <w:r w:rsidRPr="008621E4">
        <w:t xml:space="preserve"> </w:t>
      </w:r>
    </w:p>
    <w:p w:rsidR="00535CB5" w:rsidRDefault="00535CB5" w:rsidP="00535CB5">
      <w:pPr>
        <w:pStyle w:val="BodyText"/>
      </w:pPr>
      <w:r w:rsidRPr="008621E4">
        <w:t xml:space="preserve">Saskaņā ar IZM </w:t>
      </w:r>
      <w:r w:rsidR="00FF19E9">
        <w:t>pieejamo</w:t>
      </w:r>
      <w:r w:rsidR="00FF19E9" w:rsidRPr="008621E4">
        <w:t xml:space="preserve"> </w:t>
      </w:r>
      <w:r w:rsidRPr="008621E4">
        <w:t xml:space="preserve">informāciju, </w:t>
      </w:r>
      <w:r>
        <w:t>ja projekts netiek īstenots</w:t>
      </w:r>
      <w:r w:rsidRPr="008621E4">
        <w:t>, nākotnē</w:t>
      </w:r>
      <w:r>
        <w:t xml:space="preserve"> iespējams</w:t>
      </w:r>
      <w:r w:rsidRPr="008621E4">
        <w:t xml:space="preserve"> būs nepieciešams izveidot vismaz 111 jaun</w:t>
      </w:r>
      <w:r w:rsidR="00FF19E9">
        <w:t>u</w:t>
      </w:r>
      <w:r w:rsidRPr="008621E4">
        <w:t xml:space="preserve"> tīmekļa </w:t>
      </w:r>
      <w:proofErr w:type="spellStart"/>
      <w:r w:rsidRPr="008621E4">
        <w:t>pakalp</w:t>
      </w:r>
      <w:r w:rsidR="00FF19E9">
        <w:t>i</w:t>
      </w:r>
      <w:proofErr w:type="spellEnd"/>
      <w:r w:rsidRPr="008621E4">
        <w:t xml:space="preserve"> valsts pārvaldes institūcijām. Jaunas </w:t>
      </w:r>
      <w:proofErr w:type="spellStart"/>
      <w:r w:rsidRPr="008621E4">
        <w:t>pakalpes</w:t>
      </w:r>
      <w:proofErr w:type="spellEnd"/>
      <w:r w:rsidRPr="008621E4">
        <w:t xml:space="preserve"> izveidošanai ir nepieciešamas </w:t>
      </w:r>
      <w:r w:rsidR="00FF19E9">
        <w:t xml:space="preserve">vismaz </w:t>
      </w:r>
      <w:r w:rsidRPr="008621E4">
        <w:t>80 darba stundas. Paredzams, ka bez projekta realizācijas šīs</w:t>
      </w:r>
      <w:r>
        <w:t xml:space="preserve"> tīmekļa</w:t>
      </w:r>
      <w:r w:rsidRPr="008621E4">
        <w:t xml:space="preserve"> </w:t>
      </w:r>
      <w:proofErr w:type="spellStart"/>
      <w:r w:rsidRPr="008621E4">
        <w:t>pakalpes</w:t>
      </w:r>
      <w:proofErr w:type="spellEnd"/>
      <w:r w:rsidRPr="008621E4">
        <w:t xml:space="preserve"> būtu jāizveido nākamo trīs gadu laikā</w:t>
      </w:r>
      <w:r>
        <w:t>.</w:t>
      </w:r>
      <w:r w:rsidRPr="008621E4">
        <w:t xml:space="preserve"> </w:t>
      </w:r>
      <w:r>
        <w:t>Paredzams, ka</w:t>
      </w:r>
      <w:r w:rsidRPr="008621E4">
        <w:t xml:space="preserve"> </w:t>
      </w:r>
      <w:proofErr w:type="spellStart"/>
      <w:r w:rsidRPr="008621E4">
        <w:t>pakalpju</w:t>
      </w:r>
      <w:proofErr w:type="spellEnd"/>
      <w:r w:rsidRPr="008621E4">
        <w:t xml:space="preserve"> izveides kopējās izmaksas būtu </w:t>
      </w:r>
      <w:r w:rsidRPr="008621E4">
        <w:rPr>
          <w:b/>
        </w:rPr>
        <w:t>EUR</w:t>
      </w:r>
      <w:r w:rsidR="00FF19E9">
        <w:rPr>
          <w:b/>
        </w:rPr>
        <w:t> </w:t>
      </w:r>
      <w:r w:rsidR="00A83664">
        <w:rPr>
          <w:b/>
        </w:rPr>
        <w:t>77 769.38</w:t>
      </w:r>
      <w:r w:rsidRPr="008621E4">
        <w:t>.</w:t>
      </w:r>
    </w:p>
    <w:p w:rsidR="00535CB5" w:rsidRDefault="00535CB5" w:rsidP="00535CB5">
      <w:pPr>
        <w:pStyle w:val="BodyText"/>
      </w:pPr>
      <w:r w:rsidRPr="008621E4">
        <w:t>Tā rezultātā</w:t>
      </w:r>
      <w:r>
        <w:t>,</w:t>
      </w:r>
      <w:r w:rsidRPr="008621E4">
        <w:t xml:space="preserve"> ar VIIS papildu funkcionalitātes ieviešanu</w:t>
      </w:r>
      <w:r>
        <w:t>,</w:t>
      </w:r>
      <w:r w:rsidRPr="008621E4">
        <w:t xml:space="preserve"> būtu</w:t>
      </w:r>
      <w:r>
        <w:t xml:space="preserve"> iespējams katru gadu ietaupīt EUR</w:t>
      </w:r>
      <w:r w:rsidR="00FF19E9">
        <w:t> </w:t>
      </w:r>
      <w:r w:rsidR="003062AE">
        <w:t>14 450.39</w:t>
      </w:r>
      <w:r>
        <w:t xml:space="preserve"> </w:t>
      </w:r>
      <w:r w:rsidR="00FF19E9">
        <w:t>trīs gadu laikā ietaupot</w:t>
      </w:r>
      <w:r>
        <w:t xml:space="preserve"> EUR </w:t>
      </w:r>
      <w:r w:rsidR="003062AE">
        <w:t>77 769.38</w:t>
      </w:r>
      <w:r>
        <w:t>.</w:t>
      </w:r>
    </w:p>
    <w:p w:rsidR="00994A47" w:rsidRDefault="00994A47" w:rsidP="005418DE">
      <w:pPr>
        <w:pStyle w:val="BodyText"/>
        <w:numPr>
          <w:ilvl w:val="6"/>
          <w:numId w:val="15"/>
        </w:numPr>
        <w:tabs>
          <w:tab w:val="clear" w:pos="2520"/>
          <w:tab w:val="num" w:pos="426"/>
        </w:tabs>
        <w:ind w:left="426" w:hanging="426"/>
        <w:rPr>
          <w:u w:val="single"/>
        </w:rPr>
      </w:pPr>
      <w:r w:rsidRPr="004E4BF7">
        <w:rPr>
          <w:u w:val="single"/>
        </w:rPr>
        <w:t>E-pakalpojumu ieviešana samazinās augstākās izglītības iestāžu administratīvo slogu sagatavot izziņas par studentiem.</w:t>
      </w:r>
    </w:p>
    <w:p w:rsidR="00994A47" w:rsidRDefault="00994A47" w:rsidP="00994A47">
      <w:pPr>
        <w:pStyle w:val="BodyText"/>
      </w:pPr>
      <w:r w:rsidRPr="004E4BF7">
        <w:lastRenderedPageBreak/>
        <w:t>Šobrīd, lai studējošā vecāks (attiecībā uz studentiem vecumā no 18 līdz 24 gadiem) varētu saņemt nodokļa atvieglojumus, nepieciešams Valsts ieņēmuma dienestā iesniegt izziņu no augstākās izglītības iestādes, kas apliecina, ka aizgādībā esoš</w:t>
      </w:r>
      <w:r w:rsidR="00BC4CBE">
        <w:t xml:space="preserve">ā persona tiešām ir pilna laika students. </w:t>
      </w:r>
    </w:p>
    <w:p w:rsidR="00BC4CBE" w:rsidRDefault="00BC4CBE" w:rsidP="00994A47">
      <w:pPr>
        <w:pStyle w:val="BodyText"/>
      </w:pPr>
      <w:r>
        <w:t>Lai šādu izziņu saņemtu</w:t>
      </w:r>
      <w:r w:rsidR="007E5856">
        <w:t>,</w:t>
      </w:r>
      <w:r>
        <w:t xml:space="preserve"> studentam izziņa ir jāpieprasa universitātes administratīvajā </w:t>
      </w:r>
      <w:r w:rsidR="007E5856">
        <w:t>pārvaldē, kuras darbiniekiem</w:t>
      </w:r>
      <w:r>
        <w:t xml:space="preserve"> šī izziņa ir jāsagatavo. Saskaņā ar ekspertu sniegto informāciju, šā</w:t>
      </w:r>
      <w:r w:rsidR="007E5856">
        <w:t>da</w:t>
      </w:r>
      <w:r>
        <w:t>s izziņas sagatavošanai, lietvedim nepieciešamas 3</w:t>
      </w:r>
      <w:r w:rsidR="00B02B7F">
        <w:t>5</w:t>
      </w:r>
      <w:r>
        <w:t xml:space="preserve"> minūtes (informācija</w:t>
      </w:r>
      <w:r w:rsidR="007E5856">
        <w:t>s</w:t>
      </w:r>
      <w:r>
        <w:t xml:space="preserve"> par noteikto studentu sameklēšana informācijas sistēmā, izziņas sagatavošana un drukāšana, paraksta iegūšana no dekāna vai citas </w:t>
      </w:r>
      <w:proofErr w:type="spellStart"/>
      <w:r>
        <w:t>paraksttiesīgas</w:t>
      </w:r>
      <w:proofErr w:type="spellEnd"/>
      <w:r>
        <w:t xml:space="preserve"> personas). Saskaņā ar Rīgas Tehniskās universitātes Senāta </w:t>
      </w:r>
      <w:r w:rsidRPr="00BC4CBE">
        <w:t>2013. gada 27.maija</w:t>
      </w:r>
      <w:r>
        <w:t xml:space="preserve"> lēmumu „</w:t>
      </w:r>
      <w:r w:rsidRPr="00BC4CBE">
        <w:t>Par Rīgas Tehniskās universitātes Vienotās darba s</w:t>
      </w:r>
      <w:r>
        <w:t xml:space="preserve">amaksas kārtības apstiprināšanu”, universitātes lietveža vidējā darba samaksa mēnesī ir EUR 500. Papildu tiek veikts pieņēmums, ka  </w:t>
      </w:r>
      <w:r w:rsidRPr="00BC4CBE">
        <w:t>pieskaitāmās izmaksas sastāda 25% no darbinieka algas</w:t>
      </w:r>
      <w:r>
        <w:t xml:space="preserve">, tādējādi kopējās universitātes izmaksas par viena lietveža </w:t>
      </w:r>
      <w:r w:rsidR="00B02B7F">
        <w:t>darba vietas nodrošināšanu</w:t>
      </w:r>
      <w:r>
        <w:t xml:space="preserve"> ir EUR 625 mēnesī. </w:t>
      </w:r>
    </w:p>
    <w:p w:rsidR="00BC4CBE" w:rsidRDefault="00BC4CBE" w:rsidP="00BC4CBE">
      <w:pPr>
        <w:pStyle w:val="BodyText"/>
      </w:pPr>
      <w:r>
        <w:t>Saskaņā ar Izglītības un zinātnes ministrijas - Augstākās izglītības, zinātnes un inovāciju departamenta – pārskatu „Par Latvijas augstāko izglītību 2012.gadā (galvenie statistikas dati)”,</w:t>
      </w:r>
      <w:r w:rsidR="002109DD">
        <w:t xml:space="preserve"> 2012. gadā</w:t>
      </w:r>
      <w:r>
        <w:t xml:space="preserve"> augstākajās izglītības iestādēs studēja 45 968 studenti vecumā no 18 līdz 24 gadiem. </w:t>
      </w:r>
    </w:p>
    <w:p w:rsidR="00BC4CBE" w:rsidRDefault="00BC4CBE" w:rsidP="00BC4CBE">
      <w:pPr>
        <w:pStyle w:val="BodyText"/>
      </w:pPr>
      <w:r>
        <w:t>Ņemot vērā studējošo skaitu un nepieciešamo laiku, lai sagatavotu izziņu par</w:t>
      </w:r>
      <w:r w:rsidR="00B02B7F">
        <w:t xml:space="preserve"> vienu</w:t>
      </w:r>
      <w:r>
        <w:t xml:space="preserve"> studējošo, kopējās dokumentu sagatavošanas izmaksas gadā ir </w:t>
      </w:r>
      <w:r w:rsidRPr="004E4BF7">
        <w:rPr>
          <w:b/>
        </w:rPr>
        <w:t>EUR 104 744, 79</w:t>
      </w:r>
      <w:r>
        <w:t>. Katru gadu šīs izmaksas palielinās atbilstoši prognozētajai inflācijas</w:t>
      </w:r>
      <w:r w:rsidR="00E513E9">
        <w:rPr>
          <w:rStyle w:val="FootnoteReference"/>
        </w:rPr>
        <w:footnoteReference w:id="10"/>
      </w:r>
      <w:r>
        <w:t xml:space="preserve"> likmei 2,3% gadā.</w:t>
      </w:r>
      <w:r w:rsidRPr="008621E4">
        <w:t xml:space="preserve"> </w:t>
      </w:r>
    </w:p>
    <w:p w:rsidR="00535CB5" w:rsidRPr="008621E4" w:rsidRDefault="00535CB5" w:rsidP="00535CB5">
      <w:pPr>
        <w:pStyle w:val="BodyText"/>
        <w:rPr>
          <w:b/>
        </w:rPr>
      </w:pPr>
      <w:r w:rsidRPr="008621E4">
        <w:rPr>
          <w:b/>
        </w:rPr>
        <w:t>Sociālekonomiskais ieguvums iedzīvotājiem.</w:t>
      </w:r>
    </w:p>
    <w:p w:rsidR="00535CB5" w:rsidRPr="008621E4" w:rsidRDefault="00535CB5" w:rsidP="005418DE">
      <w:pPr>
        <w:pStyle w:val="BodyText"/>
        <w:numPr>
          <w:ilvl w:val="6"/>
          <w:numId w:val="15"/>
        </w:numPr>
        <w:tabs>
          <w:tab w:val="clear" w:pos="2520"/>
          <w:tab w:val="num" w:pos="426"/>
        </w:tabs>
        <w:ind w:left="426" w:hanging="426"/>
        <w:rPr>
          <w:u w:val="single"/>
        </w:rPr>
      </w:pPr>
      <w:r w:rsidRPr="008621E4">
        <w:rPr>
          <w:u w:val="single"/>
        </w:rPr>
        <w:t xml:space="preserve">E-pakalpojumu ieviešana nodrošinātu iespēju iedzīvotājiem </w:t>
      </w:r>
      <w:r w:rsidR="00584EDC">
        <w:rPr>
          <w:u w:val="single"/>
        </w:rPr>
        <w:t>ietaupīt savus laika resursus.</w:t>
      </w:r>
      <w:r w:rsidRPr="008621E4">
        <w:rPr>
          <w:u w:val="single"/>
        </w:rPr>
        <w:t xml:space="preserve"> </w:t>
      </w:r>
    </w:p>
    <w:p w:rsidR="00535CB5" w:rsidRPr="008621E4" w:rsidRDefault="00584EDC" w:rsidP="00535CB5">
      <w:pPr>
        <w:pStyle w:val="BodyText"/>
      </w:pPr>
      <w:r>
        <w:t>Augstākās izglītības iestāžu studentiem (vecumā no 18 līdz 24gadiem)</w:t>
      </w:r>
      <w:r w:rsidR="00B02B7F">
        <w:t xml:space="preserve"> katru gadu ir</w:t>
      </w:r>
      <w:r w:rsidR="00535CB5" w:rsidRPr="008621E4">
        <w:t xml:space="preserve"> nepieciešams </w:t>
      </w:r>
      <w:r>
        <w:t>pieprasīt</w:t>
      </w:r>
      <w:r w:rsidR="00535CB5" w:rsidRPr="008621E4">
        <w:t xml:space="preserve"> </w:t>
      </w:r>
      <w:r>
        <w:t>studējošā statusu apliecino</w:t>
      </w:r>
      <w:r w:rsidR="00B02B7F">
        <w:t>šu</w:t>
      </w:r>
      <w:r>
        <w:t xml:space="preserve"> </w:t>
      </w:r>
      <w:r w:rsidR="00535CB5" w:rsidRPr="008621E4">
        <w:t xml:space="preserve">dokumentu, piemēram, </w:t>
      </w:r>
      <w:r>
        <w:t>gadījumos, kad studējošā vecākiem šāda izziņa ir nepieciešama, lai saņemtu nodokļu atvieglojumus</w:t>
      </w:r>
      <w:r w:rsidR="00535CB5" w:rsidRPr="008621E4">
        <w:t xml:space="preserve">. </w:t>
      </w:r>
      <w:r w:rsidR="00535CB5">
        <w:t>Tiek pieņemts, ka</w:t>
      </w:r>
      <w:r w:rsidR="00535CB5" w:rsidRPr="008621E4">
        <w:t xml:space="preserve"> </w:t>
      </w:r>
      <w:r>
        <w:t>studenti ar nepabeigtu augstāko izglītību</w:t>
      </w:r>
      <w:r w:rsidR="00535CB5" w:rsidRPr="008621E4">
        <w:t xml:space="preserve"> varētu </w:t>
      </w:r>
      <w:r w:rsidR="00535CB5">
        <w:t>iegūt</w:t>
      </w:r>
      <w:r w:rsidR="00535CB5" w:rsidRPr="008621E4">
        <w:t xml:space="preserve"> darbu, kura samaksa ir vienāda ar minimālo darba algu, kas ir</w:t>
      </w:r>
      <w:r w:rsidR="00535CB5">
        <w:t xml:space="preserve"> noteikta</w:t>
      </w:r>
      <w:r w:rsidR="00535CB5" w:rsidRPr="008621E4">
        <w:t xml:space="preserve"> EUR 320</w:t>
      </w:r>
      <w:r w:rsidR="00535CB5">
        <w:t xml:space="preserve"> apmērā</w:t>
      </w:r>
      <w:r w:rsidR="00535CB5" w:rsidRPr="008621E4">
        <w:t xml:space="preserve"> mēnesī. Izglītības dokumentu </w:t>
      </w:r>
      <w:r>
        <w:t>pieprasīšanai un saņemšanai nepieciešamas</w:t>
      </w:r>
      <w:r w:rsidRPr="008621E4">
        <w:t xml:space="preserve"> </w:t>
      </w:r>
      <w:r w:rsidR="00535CB5" w:rsidRPr="008621E4">
        <w:t>vidēji 1</w:t>
      </w:r>
      <w:r>
        <w:t>5</w:t>
      </w:r>
      <w:r w:rsidR="00535CB5" w:rsidRPr="008621E4">
        <w:t xml:space="preserve"> minūtes</w:t>
      </w:r>
      <w:r w:rsidR="00535CB5">
        <w:t>. Saskaņā ar pārskatu par augstāko izglītību 2012. gadā, augstākajās izglītības iestādēs</w:t>
      </w:r>
      <w:r>
        <w:t xml:space="preserve"> vecumā no 18 līdz 24</w:t>
      </w:r>
      <w:r w:rsidR="00B02B7F">
        <w:t xml:space="preserve"> </w:t>
      </w:r>
      <w:r>
        <w:t>gadiem</w:t>
      </w:r>
      <w:r w:rsidR="00535CB5">
        <w:t xml:space="preserve"> kopā </w:t>
      </w:r>
      <w:r>
        <w:t>studē</w:t>
      </w:r>
      <w:r w:rsidR="002109DD">
        <w:t>ja</w:t>
      </w:r>
      <w:r>
        <w:t xml:space="preserve"> 45 968  </w:t>
      </w:r>
      <w:r w:rsidR="00535CB5">
        <w:t xml:space="preserve">studenti. Ja tiktu nodrošināts VIIS plānotais e-pakalpojums, studentiem nerastos vajadzība </w:t>
      </w:r>
      <w:r w:rsidR="00630047">
        <w:t>studējošā statusu apliecinošus dokumentus</w:t>
      </w:r>
      <w:r w:rsidR="00535CB5">
        <w:t xml:space="preserve"> </w:t>
      </w:r>
      <w:r>
        <w:t xml:space="preserve">pieprasīt un saņemt </w:t>
      </w:r>
      <w:r w:rsidR="00535CB5">
        <w:t xml:space="preserve">klātienē, tādējādi tiktu ietaupīti viņu laika resursi. Gadā šādi laika ietaupījumi ir </w:t>
      </w:r>
      <w:r w:rsidR="00535CB5" w:rsidRPr="008621E4">
        <w:rPr>
          <w:b/>
        </w:rPr>
        <w:t>EUR</w:t>
      </w:r>
      <w:r w:rsidR="00B02B7F">
        <w:rPr>
          <w:b/>
        </w:rPr>
        <w:t xml:space="preserve"> </w:t>
      </w:r>
      <w:r>
        <w:rPr>
          <w:b/>
        </w:rPr>
        <w:t>22 984,00</w:t>
      </w:r>
      <w:r w:rsidR="00535CB5" w:rsidRPr="008621E4">
        <w:t xml:space="preserve">. </w:t>
      </w:r>
      <w:r w:rsidR="00535CB5">
        <w:t>Katru gadu šie ietaupījumi palielinās atbilstoši prognozētajai inflācijas likmei 2</w:t>
      </w:r>
      <w:r w:rsidR="00FF19E9">
        <w:t>,</w:t>
      </w:r>
      <w:r w:rsidR="00535CB5">
        <w:t>3% gadā.</w:t>
      </w:r>
    </w:p>
    <w:p w:rsidR="00535CB5" w:rsidRDefault="00535CB5" w:rsidP="00535CB5">
      <w:pPr>
        <w:pStyle w:val="BodyText"/>
      </w:pPr>
    </w:p>
    <w:p w:rsidR="00535CB5" w:rsidRDefault="00535CB5" w:rsidP="00535CB5">
      <w:pPr>
        <w:pStyle w:val="BodyText"/>
      </w:pPr>
    </w:p>
    <w:p w:rsidR="00535CB5" w:rsidRDefault="00535CB5" w:rsidP="00535CB5">
      <w:pPr>
        <w:pStyle w:val="BodyText"/>
        <w:sectPr w:rsidR="00535CB5" w:rsidSect="004F0892">
          <w:headerReference w:type="default" r:id="rId14"/>
          <w:footerReference w:type="default" r:id="rId15"/>
          <w:pgSz w:w="11906" w:h="16838"/>
          <w:pgMar w:top="1440" w:right="1276" w:bottom="1440" w:left="1361" w:header="709" w:footer="709" w:gutter="0"/>
          <w:cols w:space="708"/>
          <w:docGrid w:linePitch="360"/>
        </w:sectPr>
      </w:pPr>
    </w:p>
    <w:p w:rsidR="00535CB5" w:rsidRDefault="00535CB5" w:rsidP="004A636E">
      <w:pPr>
        <w:pStyle w:val="Heading2"/>
      </w:pPr>
      <w:bookmarkStart w:id="67" w:name="_Toc378918430"/>
      <w:bookmarkStart w:id="68" w:name="_Toc388454865"/>
      <w:r>
        <w:lastRenderedPageBreak/>
        <w:t>Alternatīvu analīze</w:t>
      </w:r>
      <w:bookmarkEnd w:id="67"/>
      <w:bookmarkEnd w:id="68"/>
    </w:p>
    <w:p w:rsidR="00535CB5" w:rsidRDefault="00535CB5" w:rsidP="00535CB5">
      <w:pPr>
        <w:pStyle w:val="BodyText"/>
      </w:pPr>
      <w:r w:rsidRPr="002D0EA7">
        <w:t xml:space="preserve">Nākamajā tabulā ir atspoguļota projekta īstenošanas alternatīvu analīze, salīdzinot divus projekta īstenošanas scenārijus - situāciju „ar projektu” un situāciju „bez projekta” - un izvērtējot tādus aspektus kā sociālekonomiskā ietekme, finanšu izmaksas un ilgtspēja, tehniskā iespējamība un institucionālā iespējamība, saskaņā ar projekta izmaksu efektivitātes </w:t>
      </w:r>
      <w:r>
        <w:t xml:space="preserve">novērtējuma metodikas sadaļu – „Projekta izmaksu efektivitātes analīze”. </w:t>
      </w:r>
    </w:p>
    <w:p w:rsidR="00535CB5" w:rsidRDefault="00535CB5" w:rsidP="00535CB5">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10</w:t>
      </w:r>
      <w:r w:rsidR="002B7ACB">
        <w:rPr>
          <w:noProof/>
        </w:rPr>
        <w:fldChar w:fldCharType="end"/>
      </w:r>
      <w:r w:rsidRPr="00247E48">
        <w:t xml:space="preserve"> – </w:t>
      </w:r>
      <w:r>
        <w:t>Alternatīvu analīze</w:t>
      </w:r>
    </w:p>
    <w:tbl>
      <w:tblPr>
        <w:tblW w:w="14866" w:type="dxa"/>
        <w:tblInd w:w="13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000" w:firstRow="0" w:lastRow="0" w:firstColumn="0" w:lastColumn="0" w:noHBand="0" w:noVBand="0"/>
      </w:tblPr>
      <w:tblGrid>
        <w:gridCol w:w="1967"/>
        <w:gridCol w:w="4536"/>
        <w:gridCol w:w="4961"/>
        <w:gridCol w:w="3402"/>
      </w:tblGrid>
      <w:tr w:rsidR="00535CB5" w:rsidRPr="00976F4C" w:rsidTr="00976F4C">
        <w:trPr>
          <w:cantSplit/>
          <w:trHeight w:val="475"/>
          <w:tblHeader/>
        </w:trPr>
        <w:tc>
          <w:tcPr>
            <w:tcW w:w="1967" w:type="dxa"/>
            <w:vMerge w:val="restart"/>
            <w:shd w:val="clear" w:color="auto" w:fill="BFBFBF" w:themeFill="background1" w:themeFillShade="BF"/>
            <w:vAlign w:val="center"/>
          </w:tcPr>
          <w:p w:rsidR="00535CB5" w:rsidRPr="00976F4C" w:rsidRDefault="00535CB5" w:rsidP="00AA1147">
            <w:pPr>
              <w:pStyle w:val="EYTableHeading"/>
              <w:jc w:val="center"/>
              <w:rPr>
                <w:rFonts w:ascii="Arial" w:eastAsia="Arial Unicode MS" w:hAnsi="Arial" w:cs="Arial"/>
                <w:color w:val="000000" w:themeColor="text1"/>
                <w:szCs w:val="16"/>
              </w:rPr>
            </w:pPr>
            <w:r w:rsidRPr="00976F4C">
              <w:rPr>
                <w:rFonts w:ascii="Arial" w:hAnsi="Arial" w:cs="Arial"/>
                <w:color w:val="000000" w:themeColor="text1"/>
                <w:szCs w:val="16"/>
              </w:rPr>
              <w:t>Aspekti</w:t>
            </w:r>
          </w:p>
        </w:tc>
        <w:tc>
          <w:tcPr>
            <w:tcW w:w="9497" w:type="dxa"/>
            <w:gridSpan w:val="2"/>
            <w:shd w:val="clear" w:color="auto" w:fill="BFBFBF" w:themeFill="background1" w:themeFillShade="BF"/>
            <w:vAlign w:val="center"/>
          </w:tcPr>
          <w:p w:rsidR="00535CB5" w:rsidRPr="00976F4C" w:rsidRDefault="00535CB5" w:rsidP="00AA1147">
            <w:pPr>
              <w:pStyle w:val="EYTableHeading"/>
              <w:jc w:val="center"/>
              <w:rPr>
                <w:rFonts w:ascii="Arial" w:hAnsi="Arial" w:cs="Arial"/>
                <w:color w:val="000000" w:themeColor="text1"/>
                <w:szCs w:val="16"/>
              </w:rPr>
            </w:pPr>
            <w:r w:rsidRPr="00976F4C">
              <w:rPr>
                <w:rFonts w:ascii="Arial" w:hAnsi="Arial" w:cs="Arial"/>
                <w:color w:val="000000" w:themeColor="text1"/>
                <w:szCs w:val="16"/>
              </w:rPr>
              <w:t>Projekta alternatīvas</w:t>
            </w:r>
          </w:p>
        </w:tc>
        <w:tc>
          <w:tcPr>
            <w:tcW w:w="3402" w:type="dxa"/>
            <w:vMerge w:val="restart"/>
            <w:shd w:val="clear" w:color="auto" w:fill="BFBFBF" w:themeFill="background1" w:themeFillShade="BF"/>
            <w:vAlign w:val="center"/>
          </w:tcPr>
          <w:p w:rsidR="00535CB5" w:rsidRPr="00976F4C" w:rsidRDefault="00535CB5" w:rsidP="00976F4C">
            <w:pPr>
              <w:pStyle w:val="EYTableHeading"/>
              <w:jc w:val="center"/>
              <w:rPr>
                <w:rFonts w:ascii="Arial" w:hAnsi="Arial" w:cs="Arial"/>
                <w:b w:val="0"/>
                <w:color w:val="000000" w:themeColor="text1"/>
                <w:szCs w:val="16"/>
                <w:lang w:eastAsia="lv-LV"/>
              </w:rPr>
            </w:pPr>
            <w:r w:rsidRPr="00976F4C">
              <w:rPr>
                <w:rFonts w:ascii="Arial" w:hAnsi="Arial" w:cs="Arial"/>
                <w:color w:val="000000" w:themeColor="text1"/>
                <w:szCs w:val="16"/>
              </w:rPr>
              <w:t>Ieguvumi projekta dzīves ciklā (naudas izteiksmē)</w:t>
            </w:r>
          </w:p>
        </w:tc>
      </w:tr>
      <w:tr w:rsidR="00535CB5" w:rsidRPr="00976F4C" w:rsidTr="00976F4C">
        <w:trPr>
          <w:cantSplit/>
          <w:trHeight w:val="345"/>
        </w:trPr>
        <w:tc>
          <w:tcPr>
            <w:tcW w:w="1967" w:type="dxa"/>
            <w:vMerge/>
            <w:noWrap/>
            <w:vAlign w:val="center"/>
          </w:tcPr>
          <w:p w:rsidR="00535CB5" w:rsidRPr="00976F4C" w:rsidRDefault="00535CB5" w:rsidP="005418DE">
            <w:pPr>
              <w:pStyle w:val="EYNumber"/>
              <w:numPr>
                <w:ilvl w:val="0"/>
                <w:numId w:val="17"/>
              </w:numPr>
              <w:rPr>
                <w:rFonts w:ascii="Arial" w:hAnsi="Arial" w:cs="Arial"/>
                <w:sz w:val="16"/>
                <w:szCs w:val="16"/>
              </w:rPr>
            </w:pPr>
          </w:p>
        </w:tc>
        <w:tc>
          <w:tcPr>
            <w:tcW w:w="4536" w:type="dxa"/>
            <w:noWrap/>
            <w:vAlign w:val="center"/>
          </w:tcPr>
          <w:p w:rsidR="00535CB5" w:rsidRPr="00976F4C" w:rsidRDefault="00535CB5" w:rsidP="00AA1147">
            <w:pPr>
              <w:pStyle w:val="EYTableNormal"/>
              <w:jc w:val="center"/>
              <w:rPr>
                <w:rFonts w:ascii="Arial" w:hAnsi="Arial" w:cs="Arial"/>
                <w:szCs w:val="16"/>
              </w:rPr>
            </w:pPr>
            <w:r w:rsidRPr="00976F4C">
              <w:rPr>
                <w:rFonts w:ascii="Arial" w:hAnsi="Arial" w:cs="Arial"/>
                <w:szCs w:val="16"/>
              </w:rPr>
              <w:t>„ar projektu”</w:t>
            </w:r>
          </w:p>
        </w:tc>
        <w:tc>
          <w:tcPr>
            <w:tcW w:w="4961" w:type="dxa"/>
            <w:noWrap/>
            <w:vAlign w:val="center"/>
          </w:tcPr>
          <w:p w:rsidR="00535CB5" w:rsidRPr="00976F4C" w:rsidRDefault="00535CB5" w:rsidP="00AA1147">
            <w:pPr>
              <w:pStyle w:val="EYTableNormal"/>
              <w:jc w:val="center"/>
              <w:rPr>
                <w:rFonts w:ascii="Arial" w:hAnsi="Arial" w:cs="Arial"/>
                <w:szCs w:val="16"/>
              </w:rPr>
            </w:pPr>
            <w:r w:rsidRPr="00976F4C">
              <w:rPr>
                <w:rFonts w:ascii="Arial" w:hAnsi="Arial" w:cs="Arial"/>
                <w:szCs w:val="16"/>
              </w:rPr>
              <w:t>„bez projekta”</w:t>
            </w:r>
          </w:p>
        </w:tc>
        <w:tc>
          <w:tcPr>
            <w:tcW w:w="3402" w:type="dxa"/>
            <w:vMerge/>
            <w:noWrap/>
          </w:tcPr>
          <w:p w:rsidR="00535CB5" w:rsidRPr="00976F4C" w:rsidRDefault="00535CB5" w:rsidP="00AA1147">
            <w:pPr>
              <w:pStyle w:val="EYTableNormal"/>
              <w:rPr>
                <w:rFonts w:ascii="Arial" w:hAnsi="Arial" w:cs="Arial"/>
                <w:szCs w:val="16"/>
              </w:rPr>
            </w:pPr>
          </w:p>
        </w:tc>
      </w:tr>
      <w:tr w:rsidR="00535CB5" w:rsidRPr="00976F4C" w:rsidTr="00976F4C">
        <w:trPr>
          <w:cantSplit/>
          <w:trHeight w:val="315"/>
        </w:trPr>
        <w:tc>
          <w:tcPr>
            <w:tcW w:w="1967" w:type="dxa"/>
            <w:noWrap/>
          </w:tcPr>
          <w:p w:rsidR="00535CB5" w:rsidRPr="00976F4C" w:rsidRDefault="00535CB5" w:rsidP="00AA1147">
            <w:pPr>
              <w:pStyle w:val="EYTableText"/>
              <w:rPr>
                <w:rFonts w:ascii="Arial" w:hAnsi="Arial" w:cs="Arial"/>
                <w:szCs w:val="16"/>
              </w:rPr>
            </w:pPr>
            <w:r w:rsidRPr="00976F4C">
              <w:rPr>
                <w:rFonts w:ascii="Arial" w:hAnsi="Arial" w:cs="Arial"/>
                <w:szCs w:val="16"/>
              </w:rPr>
              <w:t>Sociālekonomiskā ietekme</w:t>
            </w:r>
          </w:p>
        </w:tc>
        <w:tc>
          <w:tcPr>
            <w:tcW w:w="4536" w:type="dxa"/>
            <w:noWrap/>
          </w:tcPr>
          <w:p w:rsidR="00535CB5" w:rsidRPr="00976F4C" w:rsidRDefault="00535CB5" w:rsidP="005418DE">
            <w:pPr>
              <w:pStyle w:val="Default"/>
              <w:numPr>
                <w:ilvl w:val="0"/>
                <w:numId w:val="18"/>
              </w:numPr>
              <w:spacing w:after="120"/>
              <w:ind w:left="170" w:hanging="170"/>
              <w:rPr>
                <w:rFonts w:ascii="Arial" w:hAnsi="Arial" w:cs="Arial"/>
                <w:color w:val="auto"/>
                <w:sz w:val="16"/>
                <w:szCs w:val="16"/>
              </w:rPr>
            </w:pPr>
            <w:r w:rsidRPr="00976F4C">
              <w:rPr>
                <w:rFonts w:ascii="Arial" w:hAnsi="Arial" w:cs="Arial"/>
                <w:color w:val="auto"/>
                <w:sz w:val="16"/>
                <w:szCs w:val="16"/>
              </w:rPr>
              <w:t>Tiek veicināta Izglītības attīstības pamatnostādnēs 2014.-2020</w:t>
            </w:r>
            <w:r w:rsidR="00FF19E9" w:rsidRPr="00976F4C">
              <w:rPr>
                <w:rFonts w:ascii="Arial" w:hAnsi="Arial" w:cs="Arial"/>
                <w:color w:val="auto"/>
                <w:sz w:val="16"/>
                <w:szCs w:val="16"/>
              </w:rPr>
              <w:t>.</w:t>
            </w:r>
            <w:r w:rsidRPr="00976F4C">
              <w:rPr>
                <w:rFonts w:ascii="Arial" w:hAnsi="Arial" w:cs="Arial"/>
                <w:color w:val="auto"/>
                <w:sz w:val="16"/>
                <w:szCs w:val="16"/>
              </w:rPr>
              <w:t xml:space="preserve"> gadam ietvertā mērķa par efektīvu izglītības politikas pārvaldību sasniegšana. </w:t>
            </w:r>
          </w:p>
          <w:p w:rsidR="00535CB5" w:rsidRPr="00976F4C" w:rsidRDefault="00535CB5" w:rsidP="005418DE">
            <w:pPr>
              <w:pStyle w:val="Default"/>
              <w:numPr>
                <w:ilvl w:val="0"/>
                <w:numId w:val="18"/>
              </w:numPr>
              <w:spacing w:after="120"/>
              <w:ind w:left="170" w:hanging="170"/>
              <w:rPr>
                <w:rFonts w:ascii="Arial" w:hAnsi="Arial" w:cs="Arial"/>
                <w:color w:val="auto"/>
                <w:sz w:val="16"/>
                <w:szCs w:val="16"/>
              </w:rPr>
            </w:pPr>
            <w:r w:rsidRPr="00976F4C">
              <w:rPr>
                <w:rFonts w:ascii="Arial" w:hAnsi="Arial" w:cs="Arial"/>
                <w:sz w:val="16"/>
                <w:szCs w:val="16"/>
              </w:rPr>
              <w:t xml:space="preserve">Izglītības sistēmas pakalpojumi un informācija, kas saistīta ar izglītības sistēmu, integrēta vienotā </w:t>
            </w:r>
            <w:r w:rsidR="006D7464" w:rsidRPr="00976F4C">
              <w:rPr>
                <w:rFonts w:ascii="Arial" w:hAnsi="Arial" w:cs="Arial"/>
                <w:sz w:val="16"/>
                <w:szCs w:val="16"/>
              </w:rPr>
              <w:t>IS.</w:t>
            </w:r>
          </w:p>
          <w:p w:rsidR="00535CB5" w:rsidRPr="00976F4C" w:rsidRDefault="00535CB5" w:rsidP="005418DE">
            <w:pPr>
              <w:pStyle w:val="Default"/>
              <w:numPr>
                <w:ilvl w:val="0"/>
                <w:numId w:val="18"/>
              </w:numPr>
              <w:spacing w:after="120"/>
              <w:ind w:left="170" w:hanging="170"/>
              <w:rPr>
                <w:rFonts w:ascii="Arial" w:hAnsi="Arial" w:cs="Arial"/>
                <w:color w:val="auto"/>
                <w:sz w:val="16"/>
                <w:szCs w:val="16"/>
              </w:rPr>
            </w:pPr>
            <w:r w:rsidRPr="00976F4C">
              <w:rPr>
                <w:rFonts w:ascii="Arial" w:hAnsi="Arial" w:cs="Arial"/>
                <w:color w:val="auto"/>
                <w:sz w:val="16"/>
                <w:szCs w:val="16"/>
              </w:rPr>
              <w:t>Sabiedrība iestādes un pašvaldības iegūs pilnvērtīgus rīkus, kas pilnveidos izglītības sistēmas kvalitāti:</w:t>
            </w:r>
          </w:p>
          <w:p w:rsidR="00535CB5" w:rsidRPr="00976F4C" w:rsidRDefault="006D7464" w:rsidP="005418DE">
            <w:pPr>
              <w:pStyle w:val="Default"/>
              <w:numPr>
                <w:ilvl w:val="1"/>
                <w:numId w:val="36"/>
              </w:numPr>
              <w:ind w:left="594"/>
              <w:rPr>
                <w:rFonts w:ascii="Arial" w:hAnsi="Arial" w:cs="Arial"/>
                <w:sz w:val="16"/>
                <w:szCs w:val="16"/>
              </w:rPr>
            </w:pPr>
            <w:r w:rsidRPr="00976F4C">
              <w:rPr>
                <w:rFonts w:ascii="Arial" w:hAnsi="Arial" w:cs="Arial"/>
                <w:sz w:val="16"/>
                <w:szCs w:val="16"/>
              </w:rPr>
              <w:t>j</w:t>
            </w:r>
            <w:r w:rsidR="00535CB5" w:rsidRPr="00976F4C">
              <w:rPr>
                <w:rFonts w:ascii="Arial" w:hAnsi="Arial" w:cs="Arial"/>
                <w:sz w:val="16"/>
                <w:szCs w:val="16"/>
              </w:rPr>
              <w:t xml:space="preserve">auni e-pakalpojumi nodrošinās iespēju iegūt informāciju  par  </w:t>
            </w:r>
            <w:r w:rsidR="00B02B7F">
              <w:rPr>
                <w:rFonts w:ascii="Arial" w:hAnsi="Arial" w:cs="Arial"/>
                <w:sz w:val="16"/>
                <w:szCs w:val="16"/>
              </w:rPr>
              <w:t>studējošā statusu;</w:t>
            </w:r>
          </w:p>
          <w:p w:rsidR="00535CB5" w:rsidRPr="00976F4C" w:rsidRDefault="006D7464" w:rsidP="005418DE">
            <w:pPr>
              <w:pStyle w:val="Default"/>
              <w:numPr>
                <w:ilvl w:val="1"/>
                <w:numId w:val="36"/>
              </w:numPr>
              <w:ind w:left="594"/>
              <w:rPr>
                <w:rFonts w:ascii="Arial" w:hAnsi="Arial" w:cs="Arial"/>
                <w:sz w:val="16"/>
                <w:szCs w:val="16"/>
              </w:rPr>
            </w:pPr>
            <w:r w:rsidRPr="00976F4C">
              <w:rPr>
                <w:rFonts w:ascii="Arial" w:hAnsi="Arial" w:cs="Arial"/>
                <w:sz w:val="16"/>
                <w:szCs w:val="16"/>
              </w:rPr>
              <w:t>e</w:t>
            </w:r>
            <w:r w:rsidR="00535CB5" w:rsidRPr="00976F4C">
              <w:rPr>
                <w:rFonts w:ascii="Arial" w:hAnsi="Arial" w:cs="Arial"/>
                <w:sz w:val="16"/>
                <w:szCs w:val="16"/>
              </w:rPr>
              <w:t>fektivitātes uzlabojumi valsts atbalsta funkciju nodrošināšanā</w:t>
            </w:r>
            <w:r w:rsidRPr="00976F4C">
              <w:rPr>
                <w:rFonts w:ascii="Arial" w:hAnsi="Arial" w:cs="Arial"/>
                <w:sz w:val="16"/>
                <w:szCs w:val="16"/>
              </w:rPr>
              <w:t>;</w:t>
            </w:r>
          </w:p>
          <w:p w:rsidR="00535CB5" w:rsidRPr="00976F4C" w:rsidRDefault="006D7464" w:rsidP="005418DE">
            <w:pPr>
              <w:pStyle w:val="Default"/>
              <w:numPr>
                <w:ilvl w:val="1"/>
                <w:numId w:val="36"/>
              </w:numPr>
              <w:spacing w:after="120"/>
              <w:ind w:left="594"/>
              <w:rPr>
                <w:rFonts w:ascii="Arial" w:hAnsi="Arial" w:cs="Arial"/>
                <w:sz w:val="16"/>
                <w:szCs w:val="16"/>
              </w:rPr>
            </w:pPr>
            <w:r w:rsidRPr="00976F4C">
              <w:rPr>
                <w:rFonts w:ascii="Arial" w:hAnsi="Arial" w:cs="Arial"/>
                <w:sz w:val="16"/>
                <w:szCs w:val="16"/>
              </w:rPr>
              <w:t>a</w:t>
            </w:r>
            <w:r w:rsidR="00535CB5" w:rsidRPr="00976F4C">
              <w:rPr>
                <w:rFonts w:ascii="Arial" w:hAnsi="Arial" w:cs="Arial"/>
                <w:sz w:val="16"/>
                <w:szCs w:val="16"/>
              </w:rPr>
              <w:t>dministratīvā sloga mazināšanās.</w:t>
            </w:r>
          </w:p>
          <w:p w:rsidR="00535CB5" w:rsidRPr="00976F4C" w:rsidRDefault="00535CB5" w:rsidP="005418DE">
            <w:pPr>
              <w:pStyle w:val="Default"/>
              <w:numPr>
                <w:ilvl w:val="0"/>
                <w:numId w:val="18"/>
              </w:numPr>
              <w:ind w:left="168" w:hanging="168"/>
              <w:rPr>
                <w:rFonts w:ascii="Arial" w:hAnsi="Arial" w:cs="Arial"/>
                <w:sz w:val="16"/>
                <w:szCs w:val="16"/>
              </w:rPr>
            </w:pPr>
            <w:r w:rsidRPr="00976F4C">
              <w:rPr>
                <w:rFonts w:ascii="Arial" w:hAnsi="Arial" w:cs="Arial"/>
                <w:color w:val="auto"/>
                <w:sz w:val="16"/>
                <w:szCs w:val="16"/>
              </w:rPr>
              <w:t>Iedzīvotāju laika ietaupījumi.</w:t>
            </w:r>
          </w:p>
        </w:tc>
        <w:tc>
          <w:tcPr>
            <w:tcW w:w="4961" w:type="dxa"/>
            <w:noWrap/>
          </w:tcPr>
          <w:p w:rsidR="00535CB5" w:rsidRPr="00976F4C" w:rsidRDefault="00535CB5" w:rsidP="005418DE">
            <w:pPr>
              <w:pStyle w:val="Default"/>
              <w:numPr>
                <w:ilvl w:val="0"/>
                <w:numId w:val="19"/>
              </w:numPr>
              <w:spacing w:after="120"/>
              <w:ind w:left="168" w:hanging="168"/>
              <w:rPr>
                <w:rFonts w:ascii="Arial" w:hAnsi="Arial" w:cs="Arial"/>
                <w:sz w:val="16"/>
                <w:szCs w:val="16"/>
              </w:rPr>
            </w:pPr>
            <w:r w:rsidRPr="00976F4C">
              <w:rPr>
                <w:rFonts w:ascii="Arial" w:hAnsi="Arial" w:cs="Arial"/>
                <w:color w:val="auto"/>
                <w:sz w:val="16"/>
                <w:szCs w:val="16"/>
              </w:rPr>
              <w:t>Nav iespējams pilnvērtīgi sasniegt Izglītības attīstības pamatnostādnes 2014.-2020. gadam mērķi</w:t>
            </w:r>
            <w:r w:rsidR="006D7464" w:rsidRPr="00976F4C">
              <w:rPr>
                <w:rFonts w:ascii="Arial" w:hAnsi="Arial" w:cs="Arial"/>
                <w:color w:val="auto"/>
                <w:sz w:val="16"/>
                <w:szCs w:val="16"/>
              </w:rPr>
              <w:t xml:space="preserve"> – </w:t>
            </w:r>
            <w:r w:rsidRPr="00976F4C">
              <w:rPr>
                <w:rFonts w:ascii="Arial" w:hAnsi="Arial" w:cs="Arial"/>
                <w:color w:val="auto"/>
                <w:sz w:val="16"/>
                <w:szCs w:val="16"/>
              </w:rPr>
              <w:t>izveidot efektīvu izglītības politikas pārvaldību.</w:t>
            </w:r>
          </w:p>
          <w:p w:rsidR="00535CB5" w:rsidRPr="00976F4C" w:rsidRDefault="00535CB5" w:rsidP="005418DE">
            <w:pPr>
              <w:pStyle w:val="Default"/>
              <w:numPr>
                <w:ilvl w:val="0"/>
                <w:numId w:val="19"/>
              </w:numPr>
              <w:spacing w:after="120"/>
              <w:ind w:left="168" w:hanging="168"/>
              <w:rPr>
                <w:rFonts w:ascii="Arial" w:hAnsi="Arial" w:cs="Arial"/>
                <w:sz w:val="16"/>
                <w:szCs w:val="16"/>
              </w:rPr>
            </w:pPr>
            <w:r w:rsidRPr="00976F4C">
              <w:rPr>
                <w:rFonts w:ascii="Arial" w:hAnsi="Arial" w:cs="Arial"/>
                <w:color w:val="auto"/>
                <w:sz w:val="16"/>
                <w:szCs w:val="16"/>
              </w:rPr>
              <w:t xml:space="preserve">Izglītības sistēmas pakalpojumi un informācija, kas saistīta ar izglītības sistēmu, nebūs integrēta vienotā </w:t>
            </w:r>
            <w:r w:rsidR="006D7464" w:rsidRPr="00976F4C">
              <w:rPr>
                <w:rFonts w:ascii="Arial" w:hAnsi="Arial" w:cs="Arial"/>
                <w:color w:val="auto"/>
                <w:sz w:val="16"/>
                <w:szCs w:val="16"/>
              </w:rPr>
              <w:t>IS</w:t>
            </w:r>
            <w:r w:rsidRPr="00976F4C">
              <w:rPr>
                <w:rFonts w:ascii="Arial" w:hAnsi="Arial" w:cs="Arial"/>
                <w:color w:val="auto"/>
                <w:sz w:val="16"/>
                <w:szCs w:val="16"/>
              </w:rPr>
              <w:t xml:space="preserve">. </w:t>
            </w:r>
          </w:p>
          <w:p w:rsidR="00535CB5" w:rsidRPr="00976F4C" w:rsidRDefault="00535CB5" w:rsidP="005418DE">
            <w:pPr>
              <w:pStyle w:val="Default"/>
              <w:numPr>
                <w:ilvl w:val="0"/>
                <w:numId w:val="19"/>
              </w:numPr>
              <w:spacing w:after="120"/>
              <w:ind w:left="168" w:hanging="168"/>
              <w:rPr>
                <w:rFonts w:ascii="Arial" w:hAnsi="Arial" w:cs="Arial"/>
                <w:sz w:val="16"/>
                <w:szCs w:val="16"/>
              </w:rPr>
            </w:pPr>
            <w:r w:rsidRPr="00976F4C">
              <w:rPr>
                <w:rFonts w:ascii="Arial" w:hAnsi="Arial" w:cs="Arial"/>
                <w:color w:val="auto"/>
                <w:sz w:val="16"/>
                <w:szCs w:val="16"/>
              </w:rPr>
              <w:t xml:space="preserve">Atsevišķās izglītības iestādēs uzglabāta informācija var nebūt vienveidīga, nenodrošinot nepieciešamās informācijas iegūšanu viendabīgā detalizācijas pakāpē </w:t>
            </w:r>
            <w:r w:rsidR="006D7464" w:rsidRPr="00976F4C">
              <w:rPr>
                <w:rFonts w:ascii="Arial" w:hAnsi="Arial" w:cs="Arial"/>
                <w:color w:val="auto"/>
                <w:sz w:val="16"/>
                <w:szCs w:val="16"/>
              </w:rPr>
              <w:t>un/</w:t>
            </w:r>
            <w:r w:rsidRPr="00976F4C">
              <w:rPr>
                <w:rFonts w:ascii="Arial" w:hAnsi="Arial" w:cs="Arial"/>
                <w:color w:val="auto"/>
                <w:sz w:val="16"/>
                <w:szCs w:val="16"/>
              </w:rPr>
              <w:t xml:space="preserve">vai laika griezumā. </w:t>
            </w:r>
          </w:p>
          <w:p w:rsidR="00535CB5" w:rsidRPr="00976F4C" w:rsidRDefault="006D7464" w:rsidP="005418DE">
            <w:pPr>
              <w:pStyle w:val="Default"/>
              <w:numPr>
                <w:ilvl w:val="1"/>
                <w:numId w:val="36"/>
              </w:numPr>
              <w:ind w:left="594"/>
              <w:rPr>
                <w:rFonts w:ascii="Arial" w:hAnsi="Arial" w:cs="Arial"/>
                <w:sz w:val="16"/>
                <w:szCs w:val="16"/>
              </w:rPr>
            </w:pPr>
            <w:r w:rsidRPr="00976F4C">
              <w:rPr>
                <w:rFonts w:ascii="Arial" w:hAnsi="Arial" w:cs="Arial"/>
                <w:sz w:val="16"/>
                <w:szCs w:val="16"/>
              </w:rPr>
              <w:t>i</w:t>
            </w:r>
            <w:r w:rsidR="00535CB5" w:rsidRPr="00976F4C">
              <w:rPr>
                <w:rFonts w:ascii="Arial" w:hAnsi="Arial" w:cs="Arial"/>
                <w:sz w:val="16"/>
                <w:szCs w:val="16"/>
              </w:rPr>
              <w:t xml:space="preserve">nformācija par </w:t>
            </w:r>
            <w:r w:rsidR="00B02B7F">
              <w:rPr>
                <w:rFonts w:ascii="Arial" w:hAnsi="Arial" w:cs="Arial"/>
                <w:sz w:val="16"/>
                <w:szCs w:val="16"/>
              </w:rPr>
              <w:t>studējošā statusu pieejama pēc informācijas pieprasījuma</w:t>
            </w:r>
            <w:r w:rsidR="002109DD">
              <w:rPr>
                <w:rFonts w:ascii="Arial" w:hAnsi="Arial" w:cs="Arial"/>
                <w:sz w:val="16"/>
                <w:szCs w:val="16"/>
              </w:rPr>
              <w:t>;</w:t>
            </w:r>
          </w:p>
          <w:p w:rsidR="00535CB5" w:rsidRPr="00976F4C" w:rsidRDefault="006D7464" w:rsidP="005418DE">
            <w:pPr>
              <w:pStyle w:val="Default"/>
              <w:numPr>
                <w:ilvl w:val="1"/>
                <w:numId w:val="36"/>
              </w:numPr>
              <w:ind w:left="594"/>
              <w:rPr>
                <w:rFonts w:ascii="Arial" w:hAnsi="Arial" w:cs="Arial"/>
                <w:sz w:val="16"/>
                <w:szCs w:val="16"/>
              </w:rPr>
            </w:pPr>
            <w:r w:rsidRPr="00976F4C">
              <w:rPr>
                <w:rFonts w:ascii="Arial" w:hAnsi="Arial" w:cs="Arial"/>
                <w:sz w:val="16"/>
                <w:szCs w:val="16"/>
              </w:rPr>
              <w:t>v</w:t>
            </w:r>
            <w:r w:rsidR="00535CB5" w:rsidRPr="00976F4C">
              <w:rPr>
                <w:rFonts w:ascii="Arial" w:hAnsi="Arial" w:cs="Arial"/>
                <w:sz w:val="16"/>
                <w:szCs w:val="16"/>
              </w:rPr>
              <w:t>alsts atbalsta funkcijas nodrošinātas esošajā efektivitātes līmenī</w:t>
            </w:r>
            <w:r w:rsidRPr="00976F4C">
              <w:rPr>
                <w:rFonts w:ascii="Arial" w:hAnsi="Arial" w:cs="Arial"/>
                <w:sz w:val="16"/>
                <w:szCs w:val="16"/>
              </w:rPr>
              <w:t>;</w:t>
            </w:r>
          </w:p>
          <w:p w:rsidR="00535CB5" w:rsidRPr="00976F4C" w:rsidRDefault="006D7464" w:rsidP="005418DE">
            <w:pPr>
              <w:pStyle w:val="Default"/>
              <w:numPr>
                <w:ilvl w:val="1"/>
                <w:numId w:val="36"/>
              </w:numPr>
              <w:ind w:left="594"/>
              <w:rPr>
                <w:rFonts w:ascii="Arial" w:hAnsi="Arial" w:cs="Arial"/>
                <w:sz w:val="16"/>
                <w:szCs w:val="16"/>
              </w:rPr>
            </w:pPr>
            <w:r w:rsidRPr="00976F4C">
              <w:rPr>
                <w:rFonts w:ascii="Arial" w:hAnsi="Arial" w:cs="Arial"/>
                <w:sz w:val="16"/>
                <w:szCs w:val="16"/>
              </w:rPr>
              <w:t>a</w:t>
            </w:r>
            <w:r w:rsidR="00535CB5" w:rsidRPr="00976F4C">
              <w:rPr>
                <w:rFonts w:ascii="Arial" w:hAnsi="Arial" w:cs="Arial"/>
                <w:sz w:val="16"/>
                <w:szCs w:val="16"/>
              </w:rPr>
              <w:t>dministratīvais slogs saglabājās esošajā līmenī.</w:t>
            </w:r>
          </w:p>
          <w:p w:rsidR="00535CB5" w:rsidRPr="00976F4C" w:rsidRDefault="00535CB5" w:rsidP="005418DE">
            <w:pPr>
              <w:pStyle w:val="Default"/>
              <w:numPr>
                <w:ilvl w:val="0"/>
                <w:numId w:val="19"/>
              </w:numPr>
              <w:spacing w:after="120"/>
              <w:ind w:left="168" w:hanging="168"/>
              <w:rPr>
                <w:rFonts w:ascii="Arial" w:hAnsi="Arial" w:cs="Arial"/>
                <w:sz w:val="16"/>
                <w:szCs w:val="16"/>
              </w:rPr>
            </w:pPr>
            <w:r w:rsidRPr="00976F4C">
              <w:rPr>
                <w:rFonts w:ascii="Arial" w:hAnsi="Arial" w:cs="Arial"/>
                <w:color w:val="auto"/>
                <w:sz w:val="16"/>
                <w:szCs w:val="16"/>
              </w:rPr>
              <w:t xml:space="preserve">Netiek panākti iedzīvotāju laika resursu ietaupījumi. Personām klātienē jāsniedz informācijas pieprasījums. </w:t>
            </w:r>
          </w:p>
        </w:tc>
        <w:tc>
          <w:tcPr>
            <w:tcW w:w="3402" w:type="dxa"/>
            <w:noWrap/>
          </w:tcPr>
          <w:p w:rsidR="00535CB5" w:rsidRPr="00976F4C" w:rsidRDefault="00535CB5">
            <w:pPr>
              <w:pStyle w:val="EYTableText"/>
              <w:rPr>
                <w:rFonts w:ascii="Arial" w:hAnsi="Arial" w:cs="Arial"/>
                <w:b/>
                <w:szCs w:val="16"/>
              </w:rPr>
            </w:pPr>
            <w:r w:rsidRPr="003062AE">
              <w:rPr>
                <w:rFonts w:ascii="Arial" w:hAnsi="Arial" w:cs="Arial"/>
                <w:b/>
                <w:szCs w:val="16"/>
              </w:rPr>
              <w:t>Kopējie sociālekonomiskie ieguvumi pirmos trīs gadus ir EUR</w:t>
            </w:r>
            <w:r w:rsidR="00B02B7F">
              <w:rPr>
                <w:rFonts w:ascii="Arial" w:hAnsi="Arial" w:cs="Arial"/>
                <w:b/>
                <w:szCs w:val="16"/>
              </w:rPr>
              <w:t xml:space="preserve"> 171 152</w:t>
            </w:r>
            <w:r w:rsidR="006D7464" w:rsidRPr="003062AE">
              <w:rPr>
                <w:rFonts w:ascii="Arial" w:hAnsi="Arial" w:cs="Arial"/>
                <w:b/>
                <w:szCs w:val="16"/>
              </w:rPr>
              <w:t>,00</w:t>
            </w:r>
            <w:r w:rsidRPr="003062AE">
              <w:rPr>
                <w:rFonts w:ascii="Arial" w:hAnsi="Arial" w:cs="Arial"/>
                <w:b/>
                <w:szCs w:val="16"/>
              </w:rPr>
              <w:t xml:space="preserve"> (katru gadu pielāgojot inflācijas</w:t>
            </w:r>
            <w:r w:rsidR="00596C3B">
              <w:rPr>
                <w:rStyle w:val="FootnoteReference"/>
                <w:rFonts w:ascii="Arial" w:hAnsi="Arial" w:cs="Arial"/>
                <w:b/>
                <w:szCs w:val="16"/>
              </w:rPr>
              <w:footnoteReference w:id="11"/>
            </w:r>
            <w:r w:rsidRPr="003062AE">
              <w:rPr>
                <w:rFonts w:ascii="Arial" w:hAnsi="Arial" w:cs="Arial"/>
                <w:b/>
                <w:szCs w:val="16"/>
              </w:rPr>
              <w:t xml:space="preserve"> prognozei 2</w:t>
            </w:r>
            <w:r w:rsidR="006D7464" w:rsidRPr="003062AE">
              <w:rPr>
                <w:rFonts w:ascii="Arial" w:hAnsi="Arial" w:cs="Arial"/>
                <w:b/>
                <w:szCs w:val="16"/>
              </w:rPr>
              <w:t>,</w:t>
            </w:r>
            <w:r w:rsidRPr="003062AE">
              <w:rPr>
                <w:rFonts w:ascii="Arial" w:hAnsi="Arial" w:cs="Arial"/>
                <w:b/>
                <w:szCs w:val="16"/>
              </w:rPr>
              <w:t>3% apjomā). Pēc trešā gada sociālekonomisko ieguvumu apj</w:t>
            </w:r>
            <w:r w:rsidR="00372F99" w:rsidRPr="003062AE">
              <w:rPr>
                <w:rFonts w:ascii="Arial" w:hAnsi="Arial" w:cs="Arial"/>
                <w:b/>
                <w:szCs w:val="16"/>
              </w:rPr>
              <w:t xml:space="preserve">oms ir EUR </w:t>
            </w:r>
            <w:r w:rsidR="00B02B7F">
              <w:rPr>
                <w:rFonts w:ascii="Arial" w:hAnsi="Arial" w:cs="Arial"/>
                <w:b/>
                <w:szCs w:val="16"/>
              </w:rPr>
              <w:t>183 235</w:t>
            </w:r>
            <w:r w:rsidR="006D7464" w:rsidRPr="003062AE">
              <w:rPr>
                <w:rFonts w:ascii="Arial" w:hAnsi="Arial" w:cs="Arial"/>
                <w:b/>
                <w:szCs w:val="16"/>
              </w:rPr>
              <w:t>,00</w:t>
            </w:r>
            <w:r w:rsidRPr="003062AE">
              <w:rPr>
                <w:rFonts w:ascii="Arial" w:hAnsi="Arial" w:cs="Arial"/>
                <w:b/>
                <w:szCs w:val="16"/>
              </w:rPr>
              <w:t>, katru gadu šo summu pielāgojot inflācijas apjomam 2</w:t>
            </w:r>
            <w:r w:rsidR="006D7464" w:rsidRPr="003062AE">
              <w:rPr>
                <w:rFonts w:ascii="Arial" w:hAnsi="Arial" w:cs="Arial"/>
                <w:b/>
                <w:szCs w:val="16"/>
              </w:rPr>
              <w:t>,</w:t>
            </w:r>
            <w:r w:rsidRPr="003062AE">
              <w:rPr>
                <w:rFonts w:ascii="Arial" w:hAnsi="Arial" w:cs="Arial"/>
                <w:b/>
                <w:szCs w:val="16"/>
              </w:rPr>
              <w:t>3% apmērā.</w:t>
            </w:r>
            <w:r w:rsidRPr="00976F4C">
              <w:rPr>
                <w:rFonts w:ascii="Arial" w:hAnsi="Arial" w:cs="Arial"/>
                <w:b/>
                <w:szCs w:val="16"/>
              </w:rPr>
              <w:t xml:space="preserve"> </w:t>
            </w:r>
          </w:p>
        </w:tc>
      </w:tr>
      <w:tr w:rsidR="00535CB5" w:rsidRPr="00976F4C" w:rsidTr="00976F4C">
        <w:trPr>
          <w:cantSplit/>
          <w:trHeight w:val="315"/>
        </w:trPr>
        <w:tc>
          <w:tcPr>
            <w:tcW w:w="1967" w:type="dxa"/>
            <w:noWrap/>
          </w:tcPr>
          <w:p w:rsidR="00535CB5" w:rsidRPr="00976F4C" w:rsidRDefault="00535CB5" w:rsidP="00AA1147">
            <w:pPr>
              <w:pStyle w:val="EYTableText"/>
              <w:rPr>
                <w:rFonts w:ascii="Arial" w:hAnsi="Arial" w:cs="Arial"/>
                <w:szCs w:val="16"/>
              </w:rPr>
            </w:pPr>
            <w:r w:rsidRPr="00976F4C">
              <w:rPr>
                <w:rFonts w:ascii="Arial" w:hAnsi="Arial" w:cs="Arial"/>
                <w:szCs w:val="16"/>
              </w:rPr>
              <w:t>Finanšu izmaksas un ilgtspēja</w:t>
            </w:r>
          </w:p>
        </w:tc>
        <w:tc>
          <w:tcPr>
            <w:tcW w:w="4536" w:type="dxa"/>
            <w:noWrap/>
          </w:tcPr>
          <w:p w:rsidR="00535CB5" w:rsidRPr="00976F4C" w:rsidRDefault="00535CB5" w:rsidP="005418DE">
            <w:pPr>
              <w:pStyle w:val="Default"/>
              <w:numPr>
                <w:ilvl w:val="0"/>
                <w:numId w:val="20"/>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Pilnā apjomā realizēta VI</w:t>
            </w:r>
            <w:r w:rsidR="006D7464" w:rsidRPr="00976F4C">
              <w:rPr>
                <w:rFonts w:ascii="Arial" w:hAnsi="Arial" w:cs="Arial"/>
                <w:color w:val="auto"/>
                <w:sz w:val="16"/>
                <w:szCs w:val="16"/>
              </w:rPr>
              <w:t>I</w:t>
            </w:r>
            <w:r w:rsidRPr="00976F4C">
              <w:rPr>
                <w:rFonts w:ascii="Arial" w:hAnsi="Arial" w:cs="Arial"/>
                <w:color w:val="auto"/>
                <w:sz w:val="16"/>
                <w:szCs w:val="16"/>
              </w:rPr>
              <w:t xml:space="preserve">S ieviešana dod tiešus ietaupījumus izglītības sistēmas </w:t>
            </w:r>
            <w:proofErr w:type="spellStart"/>
            <w:r w:rsidRPr="00976F4C">
              <w:rPr>
                <w:rFonts w:ascii="Arial" w:hAnsi="Arial" w:cs="Arial"/>
                <w:color w:val="auto"/>
                <w:sz w:val="16"/>
                <w:szCs w:val="16"/>
              </w:rPr>
              <w:t>efektivizācijas</w:t>
            </w:r>
            <w:proofErr w:type="spellEnd"/>
            <w:r w:rsidRPr="00976F4C">
              <w:rPr>
                <w:rFonts w:ascii="Arial" w:hAnsi="Arial" w:cs="Arial"/>
                <w:color w:val="auto"/>
                <w:sz w:val="16"/>
                <w:szCs w:val="16"/>
              </w:rPr>
              <w:t xml:space="preserve"> īstenošanā un Izglītības pamatnostādnes 2014.-2020. gadam mērķu sasniegšanā. </w:t>
            </w:r>
          </w:p>
          <w:p w:rsidR="00535CB5" w:rsidRPr="00976F4C" w:rsidRDefault="00535CB5" w:rsidP="005418DE">
            <w:pPr>
              <w:pStyle w:val="Default"/>
              <w:numPr>
                <w:ilvl w:val="0"/>
                <w:numId w:val="20"/>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Informācijas uzglabāšanas un pilnveidošanas funkciju iespējams centralizēt.</w:t>
            </w:r>
          </w:p>
          <w:p w:rsidR="00535CB5" w:rsidRPr="00976F4C" w:rsidRDefault="00535CB5" w:rsidP="005418DE">
            <w:pPr>
              <w:pStyle w:val="Default"/>
              <w:numPr>
                <w:ilvl w:val="0"/>
                <w:numId w:val="20"/>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Vienota izglītības sistēmas informācijas pārvaldība un IKT atbalsts sniedz iespēju efektīvi centralizēt pārējās atbalsta funkcijas.</w:t>
            </w:r>
          </w:p>
        </w:tc>
        <w:tc>
          <w:tcPr>
            <w:tcW w:w="4961" w:type="dxa"/>
            <w:noWrap/>
          </w:tcPr>
          <w:p w:rsidR="00535CB5" w:rsidRPr="00976F4C" w:rsidRDefault="00535CB5" w:rsidP="005418DE">
            <w:pPr>
              <w:pStyle w:val="Default"/>
              <w:numPr>
                <w:ilvl w:val="0"/>
                <w:numId w:val="21"/>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Neefektīvas investīcijas, kas ieguldītas VIIS izstrādes sākotnējos posmos, jo realizēta tikai daļēja procesu restrukturizācija un informatizācija. Rodas papildus izmaksas paralēlām datu plūsmām.</w:t>
            </w:r>
          </w:p>
          <w:p w:rsidR="00535CB5" w:rsidRPr="00976F4C" w:rsidRDefault="00535CB5" w:rsidP="005418DE">
            <w:pPr>
              <w:pStyle w:val="Default"/>
              <w:numPr>
                <w:ilvl w:val="0"/>
                <w:numId w:val="21"/>
              </w:numPr>
              <w:tabs>
                <w:tab w:val="left" w:pos="310"/>
              </w:tabs>
              <w:spacing w:after="120"/>
              <w:ind w:left="310" w:hanging="283"/>
              <w:rPr>
                <w:rFonts w:ascii="Arial" w:hAnsi="Arial" w:cs="Arial"/>
                <w:color w:val="auto"/>
                <w:sz w:val="16"/>
                <w:szCs w:val="16"/>
              </w:rPr>
            </w:pPr>
            <w:r w:rsidRPr="00976F4C">
              <w:rPr>
                <w:rFonts w:ascii="Arial" w:hAnsi="Arial" w:cs="Arial"/>
                <w:color w:val="auto"/>
                <w:sz w:val="16"/>
                <w:szCs w:val="16"/>
              </w:rPr>
              <w:t xml:space="preserve">Informācijas uzglabāšana un pilnveidošana ir decentralizēta. </w:t>
            </w:r>
          </w:p>
          <w:p w:rsidR="00535CB5" w:rsidRPr="00976F4C" w:rsidRDefault="00535CB5" w:rsidP="005418DE">
            <w:pPr>
              <w:pStyle w:val="Default"/>
              <w:numPr>
                <w:ilvl w:val="0"/>
                <w:numId w:val="21"/>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 xml:space="preserve">Izglītības sistēmas informācijas pārvaldība ir decentralizēta. Informācijas apkopošanai, aktualizācijai un uzglabāšanai nepieciešams liels skaits pārvaldības sistēmas darbinieku. </w:t>
            </w:r>
          </w:p>
        </w:tc>
        <w:tc>
          <w:tcPr>
            <w:tcW w:w="3402" w:type="dxa"/>
            <w:noWrap/>
          </w:tcPr>
          <w:p w:rsidR="00535CB5" w:rsidRPr="00976F4C" w:rsidRDefault="00535CB5" w:rsidP="00AA1147">
            <w:pPr>
              <w:pStyle w:val="EYTableText"/>
              <w:rPr>
                <w:rFonts w:ascii="Arial" w:hAnsi="Arial" w:cs="Arial"/>
                <w:szCs w:val="16"/>
              </w:rPr>
            </w:pPr>
          </w:p>
        </w:tc>
      </w:tr>
      <w:tr w:rsidR="00535CB5" w:rsidRPr="00976F4C" w:rsidTr="00976F4C">
        <w:trPr>
          <w:cantSplit/>
          <w:trHeight w:val="315"/>
        </w:trPr>
        <w:tc>
          <w:tcPr>
            <w:tcW w:w="1967" w:type="dxa"/>
            <w:noWrap/>
          </w:tcPr>
          <w:p w:rsidR="00535CB5" w:rsidRPr="00976F4C" w:rsidRDefault="00535CB5" w:rsidP="00AA1147">
            <w:pPr>
              <w:pStyle w:val="EYTableText"/>
              <w:rPr>
                <w:rFonts w:ascii="Arial" w:hAnsi="Arial" w:cs="Arial"/>
                <w:szCs w:val="16"/>
              </w:rPr>
            </w:pPr>
            <w:r w:rsidRPr="00976F4C">
              <w:rPr>
                <w:rFonts w:ascii="Arial" w:hAnsi="Arial" w:cs="Arial"/>
                <w:szCs w:val="16"/>
              </w:rPr>
              <w:lastRenderedPageBreak/>
              <w:t>Tehniskie aspekti</w:t>
            </w:r>
          </w:p>
        </w:tc>
        <w:tc>
          <w:tcPr>
            <w:tcW w:w="4536" w:type="dxa"/>
            <w:noWrap/>
          </w:tcPr>
          <w:p w:rsidR="00535CB5" w:rsidRPr="00976F4C" w:rsidRDefault="00535CB5" w:rsidP="005418DE">
            <w:pPr>
              <w:pStyle w:val="Default"/>
              <w:numPr>
                <w:ilvl w:val="0"/>
                <w:numId w:val="22"/>
              </w:numPr>
              <w:tabs>
                <w:tab w:val="left" w:pos="310"/>
              </w:tabs>
              <w:spacing w:after="120"/>
              <w:ind w:left="310" w:hanging="283"/>
              <w:rPr>
                <w:rFonts w:ascii="Arial" w:hAnsi="Arial" w:cs="Arial"/>
                <w:color w:val="auto"/>
                <w:sz w:val="16"/>
                <w:szCs w:val="16"/>
              </w:rPr>
            </w:pPr>
            <w:r w:rsidRPr="00976F4C">
              <w:rPr>
                <w:rFonts w:ascii="Arial" w:hAnsi="Arial" w:cs="Arial"/>
                <w:color w:val="auto"/>
                <w:sz w:val="16"/>
                <w:szCs w:val="16"/>
              </w:rPr>
              <w:t>Izveidots piln</w:t>
            </w:r>
            <w:r w:rsidR="006D7464" w:rsidRPr="00976F4C">
              <w:rPr>
                <w:rFonts w:ascii="Arial" w:hAnsi="Arial" w:cs="Arial"/>
                <w:color w:val="auto"/>
                <w:sz w:val="16"/>
                <w:szCs w:val="16"/>
              </w:rPr>
              <w:t xml:space="preserve">īgs </w:t>
            </w:r>
            <w:r w:rsidRPr="00976F4C">
              <w:rPr>
                <w:rFonts w:ascii="Arial" w:hAnsi="Arial" w:cs="Arial"/>
                <w:color w:val="auto"/>
                <w:sz w:val="16"/>
                <w:szCs w:val="16"/>
              </w:rPr>
              <w:t>funkcionāls VI</w:t>
            </w:r>
            <w:r w:rsidR="006D7464" w:rsidRPr="00976F4C">
              <w:rPr>
                <w:rFonts w:ascii="Arial" w:hAnsi="Arial" w:cs="Arial"/>
                <w:color w:val="auto"/>
                <w:sz w:val="16"/>
                <w:szCs w:val="16"/>
              </w:rPr>
              <w:t>I</w:t>
            </w:r>
            <w:r w:rsidRPr="00976F4C">
              <w:rPr>
                <w:rFonts w:ascii="Arial" w:hAnsi="Arial" w:cs="Arial"/>
                <w:color w:val="auto"/>
                <w:sz w:val="16"/>
                <w:szCs w:val="16"/>
              </w:rPr>
              <w:t>S risinājums, integrēti izglītības iestāžu (ieskaitot augstāko izglītību) dati izglītojamo griezumā.</w:t>
            </w:r>
          </w:p>
          <w:p w:rsidR="00535CB5" w:rsidRPr="00976F4C" w:rsidRDefault="00535CB5" w:rsidP="005418DE">
            <w:pPr>
              <w:pStyle w:val="Default"/>
              <w:numPr>
                <w:ilvl w:val="0"/>
                <w:numId w:val="22"/>
              </w:numPr>
              <w:tabs>
                <w:tab w:val="left" w:pos="310"/>
              </w:tabs>
              <w:spacing w:after="120"/>
              <w:ind w:left="310" w:hanging="283"/>
              <w:rPr>
                <w:rFonts w:ascii="Arial" w:hAnsi="Arial" w:cs="Arial"/>
                <w:color w:val="auto"/>
                <w:sz w:val="16"/>
                <w:szCs w:val="16"/>
              </w:rPr>
            </w:pPr>
            <w:r w:rsidRPr="00976F4C">
              <w:rPr>
                <w:rFonts w:ascii="Arial" w:hAnsi="Arial" w:cs="Arial"/>
                <w:color w:val="auto"/>
                <w:sz w:val="16"/>
                <w:szCs w:val="16"/>
              </w:rPr>
              <w:t>Nozares informācijas sistēmu turpmākā attīstība ir koordinēta gan tehnoloģiskās un metodiskās vadības, gan institucionālās pakļautības nozīmē.</w:t>
            </w:r>
          </w:p>
          <w:p w:rsidR="00535CB5" w:rsidRPr="00976F4C" w:rsidRDefault="00535CB5" w:rsidP="005418DE">
            <w:pPr>
              <w:pStyle w:val="Default"/>
              <w:numPr>
                <w:ilvl w:val="0"/>
                <w:numId w:val="22"/>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Tiek novērsta IS funkcionalitātes un uzkrājamo datu nelietderīga dublēšana.</w:t>
            </w:r>
          </w:p>
        </w:tc>
        <w:tc>
          <w:tcPr>
            <w:tcW w:w="4961" w:type="dxa"/>
            <w:noWrap/>
          </w:tcPr>
          <w:p w:rsidR="00535CB5" w:rsidRPr="00976F4C" w:rsidRDefault="00535CB5" w:rsidP="005418DE">
            <w:pPr>
              <w:pStyle w:val="Default"/>
              <w:numPr>
                <w:ilvl w:val="0"/>
                <w:numId w:val="23"/>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 xml:space="preserve">Nodrošināta </w:t>
            </w:r>
            <w:proofErr w:type="spellStart"/>
            <w:r w:rsidRPr="00976F4C">
              <w:rPr>
                <w:rFonts w:ascii="Arial" w:hAnsi="Arial" w:cs="Arial"/>
                <w:color w:val="auto"/>
                <w:sz w:val="16"/>
                <w:szCs w:val="16"/>
              </w:rPr>
              <w:t>VIIS</w:t>
            </w:r>
            <w:proofErr w:type="spellEnd"/>
            <w:r w:rsidRPr="00976F4C">
              <w:rPr>
                <w:rFonts w:ascii="Arial" w:hAnsi="Arial" w:cs="Arial"/>
                <w:color w:val="auto"/>
                <w:sz w:val="16"/>
                <w:szCs w:val="16"/>
              </w:rPr>
              <w:t xml:space="preserve"> sistēmas </w:t>
            </w:r>
            <w:proofErr w:type="spellStart"/>
            <w:r w:rsidRPr="00976F4C">
              <w:rPr>
                <w:rFonts w:ascii="Arial" w:hAnsi="Arial" w:cs="Arial"/>
                <w:color w:val="auto"/>
                <w:sz w:val="16"/>
                <w:szCs w:val="16"/>
              </w:rPr>
              <w:t>pamatfunkcionalitāte</w:t>
            </w:r>
            <w:proofErr w:type="spellEnd"/>
            <w:r w:rsidRPr="00976F4C">
              <w:rPr>
                <w:rFonts w:ascii="Arial" w:hAnsi="Arial" w:cs="Arial"/>
                <w:color w:val="auto"/>
                <w:sz w:val="16"/>
                <w:szCs w:val="16"/>
              </w:rPr>
              <w:t>, bet nav realizēta sistēmu integrācija un savstarpējā datu apmaiņa ar nozares pakalpojumu sniedzēju informācijas sistēmām (augstākās izglītības iestāžu datu avotiem).</w:t>
            </w:r>
          </w:p>
          <w:p w:rsidR="00535CB5" w:rsidRPr="00976F4C" w:rsidRDefault="00535CB5" w:rsidP="005418DE">
            <w:pPr>
              <w:pStyle w:val="Default"/>
              <w:numPr>
                <w:ilvl w:val="0"/>
                <w:numId w:val="23"/>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Atšķirīgo konceptuālo un tehnoloģisko risinājumu dēļ nozares IS sadarbspēja ir ļoti ierobežota.</w:t>
            </w:r>
          </w:p>
          <w:p w:rsidR="00535CB5" w:rsidRPr="00976F4C" w:rsidRDefault="00535CB5" w:rsidP="005418DE">
            <w:pPr>
              <w:pStyle w:val="Default"/>
              <w:numPr>
                <w:ilvl w:val="0"/>
                <w:numId w:val="23"/>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Informācijas sistēmu funkcionalitātes un uzkrājamo datu nepamatota dublēšanās, kas paaugstina uzturēšanas izmaksas un rada papildus riskus datu integritātei un kvalitātei.</w:t>
            </w:r>
          </w:p>
        </w:tc>
        <w:tc>
          <w:tcPr>
            <w:tcW w:w="3402" w:type="dxa"/>
            <w:noWrap/>
          </w:tcPr>
          <w:p w:rsidR="00535CB5" w:rsidRPr="00976F4C" w:rsidRDefault="00535CB5" w:rsidP="00AA1147">
            <w:pPr>
              <w:pStyle w:val="EYTableText"/>
              <w:rPr>
                <w:rFonts w:ascii="Arial" w:hAnsi="Arial" w:cs="Arial"/>
                <w:szCs w:val="16"/>
              </w:rPr>
            </w:pPr>
          </w:p>
        </w:tc>
      </w:tr>
      <w:tr w:rsidR="00535CB5" w:rsidRPr="00976F4C" w:rsidTr="00976F4C">
        <w:trPr>
          <w:cantSplit/>
          <w:trHeight w:val="315"/>
        </w:trPr>
        <w:tc>
          <w:tcPr>
            <w:tcW w:w="1967" w:type="dxa"/>
            <w:noWrap/>
          </w:tcPr>
          <w:p w:rsidR="00535CB5" w:rsidRPr="00976F4C" w:rsidRDefault="00535CB5" w:rsidP="00AA1147">
            <w:pPr>
              <w:pStyle w:val="EYTableText"/>
              <w:rPr>
                <w:rFonts w:ascii="Arial" w:hAnsi="Arial" w:cs="Arial"/>
                <w:szCs w:val="16"/>
              </w:rPr>
            </w:pPr>
            <w:r w:rsidRPr="00976F4C">
              <w:rPr>
                <w:rFonts w:ascii="Arial" w:hAnsi="Arial" w:cs="Arial"/>
                <w:szCs w:val="16"/>
              </w:rPr>
              <w:t>Institucionālā iespējamība</w:t>
            </w:r>
          </w:p>
        </w:tc>
        <w:tc>
          <w:tcPr>
            <w:tcW w:w="4536" w:type="dxa"/>
            <w:noWrap/>
          </w:tcPr>
          <w:p w:rsidR="00535CB5" w:rsidRPr="00976F4C" w:rsidRDefault="00535CB5" w:rsidP="005418DE">
            <w:pPr>
              <w:pStyle w:val="Default"/>
              <w:numPr>
                <w:ilvl w:val="0"/>
                <w:numId w:val="24"/>
              </w:numPr>
              <w:tabs>
                <w:tab w:val="left" w:pos="310"/>
              </w:tabs>
              <w:spacing w:after="120"/>
              <w:ind w:left="310" w:hanging="310"/>
              <w:rPr>
                <w:rFonts w:ascii="Arial" w:hAnsi="Arial" w:cs="Arial"/>
                <w:sz w:val="16"/>
                <w:szCs w:val="16"/>
              </w:rPr>
            </w:pPr>
            <w:r w:rsidRPr="00976F4C">
              <w:rPr>
                <w:rFonts w:ascii="Arial" w:hAnsi="Arial" w:cs="Arial"/>
                <w:color w:val="auto"/>
                <w:sz w:val="16"/>
                <w:szCs w:val="16"/>
              </w:rPr>
              <w:t>Iespēja konsolidēt nozares atbalsta funkcijas vienotā informācijas sistēmā.</w:t>
            </w:r>
          </w:p>
        </w:tc>
        <w:tc>
          <w:tcPr>
            <w:tcW w:w="4961" w:type="dxa"/>
            <w:noWrap/>
          </w:tcPr>
          <w:p w:rsidR="00535CB5" w:rsidRPr="00976F4C" w:rsidRDefault="00535CB5" w:rsidP="005418DE">
            <w:pPr>
              <w:pStyle w:val="Default"/>
              <w:numPr>
                <w:ilvl w:val="0"/>
                <w:numId w:val="25"/>
              </w:numPr>
              <w:tabs>
                <w:tab w:val="left" w:pos="310"/>
              </w:tabs>
              <w:spacing w:after="120"/>
              <w:ind w:left="310" w:hanging="283"/>
              <w:rPr>
                <w:rFonts w:ascii="Arial" w:hAnsi="Arial" w:cs="Arial"/>
                <w:sz w:val="16"/>
                <w:szCs w:val="16"/>
              </w:rPr>
            </w:pPr>
            <w:r w:rsidRPr="00976F4C">
              <w:rPr>
                <w:rFonts w:ascii="Arial" w:hAnsi="Arial" w:cs="Arial"/>
                <w:color w:val="auto"/>
                <w:sz w:val="16"/>
                <w:szCs w:val="16"/>
              </w:rPr>
              <w:t>Netiek turpinātas nozarē jau sekmīgi uzsāktās atbalsta funkciju informācijas uzglabāšanas un analītikas centralizācijas aktivitātes, bet saglabāta pašreizējā informācijas uzkrāšanas funkcija vairāku iestāžu griezumā.</w:t>
            </w:r>
          </w:p>
        </w:tc>
        <w:tc>
          <w:tcPr>
            <w:tcW w:w="3402" w:type="dxa"/>
            <w:noWrap/>
          </w:tcPr>
          <w:p w:rsidR="00535CB5" w:rsidRPr="00976F4C" w:rsidRDefault="00535CB5" w:rsidP="00AA1147">
            <w:pPr>
              <w:pStyle w:val="EYTableText"/>
              <w:rPr>
                <w:rFonts w:ascii="Arial" w:hAnsi="Arial" w:cs="Arial"/>
                <w:szCs w:val="16"/>
              </w:rPr>
            </w:pPr>
          </w:p>
        </w:tc>
      </w:tr>
    </w:tbl>
    <w:p w:rsidR="00535CB5" w:rsidRDefault="00535CB5" w:rsidP="00535CB5">
      <w:pPr>
        <w:pStyle w:val="BodyText"/>
        <w:sectPr w:rsidR="00535CB5" w:rsidSect="005A572F">
          <w:pgSz w:w="16838" w:h="11906" w:orient="landscape"/>
          <w:pgMar w:top="1361" w:right="1440" w:bottom="1276" w:left="1440" w:header="709" w:footer="709" w:gutter="0"/>
          <w:cols w:space="708"/>
          <w:docGrid w:linePitch="360"/>
        </w:sectPr>
      </w:pPr>
    </w:p>
    <w:p w:rsidR="00535CB5" w:rsidRDefault="00535CB5" w:rsidP="00535CB5">
      <w:pPr>
        <w:pStyle w:val="BodyText"/>
      </w:pPr>
    </w:p>
    <w:p w:rsidR="00535CB5" w:rsidRDefault="00535CB5" w:rsidP="004A636E">
      <w:pPr>
        <w:pStyle w:val="Heading2"/>
      </w:pPr>
      <w:bookmarkStart w:id="69" w:name="_Toc378918431"/>
      <w:bookmarkStart w:id="70" w:name="_Toc388454866"/>
      <w:r>
        <w:t>Projekta dzīves cikla naudas plūsmas un izmaksu efektivitātes novērtējums</w:t>
      </w:r>
      <w:bookmarkEnd w:id="69"/>
      <w:bookmarkEnd w:id="70"/>
    </w:p>
    <w:p w:rsidR="00535CB5" w:rsidRDefault="00535CB5" w:rsidP="00535CB5">
      <w:pPr>
        <w:pStyle w:val="BodyText"/>
      </w:pPr>
      <w:r>
        <w:t>Projekta dzīves cikla naudas plūsma (skat</w:t>
      </w:r>
      <w:r w:rsidR="006D7464">
        <w:t>īt</w:t>
      </w:r>
      <w:r>
        <w:t xml:space="preserve"> </w:t>
      </w:r>
      <w:r w:rsidR="006D7464">
        <w:t>tabulu</w:t>
      </w:r>
      <w:r w:rsidRPr="008621E4">
        <w:t>)</w:t>
      </w:r>
      <w:r>
        <w:t xml:space="preserve"> sastādīta</w:t>
      </w:r>
      <w:r w:rsidR="006D7464">
        <w:t>,</w:t>
      </w:r>
      <w:r>
        <w:t xml:space="preserve"> ņemot vērā divas iepriekš aprakstītās situācijas: 1) situācija „bez projekta” (uzlabojumi VIIS netiek veikti); 2) situācija „ar projektu” (tiek īstenoti VIIS uzlabojumi).</w:t>
      </w:r>
    </w:p>
    <w:p w:rsidR="00535CB5" w:rsidRDefault="00535CB5" w:rsidP="00535CB5">
      <w:pPr>
        <w:pStyle w:val="BodyText"/>
      </w:pPr>
      <w:r>
        <w:t>Zemāk esošajās tabulās attēloti izejas dati, balstoties uz kuriem izveidots projekta dzīves cikla naudas plūsmas grafiks.</w:t>
      </w:r>
    </w:p>
    <w:p w:rsidR="006D7464" w:rsidRDefault="006D7464" w:rsidP="00976F4C">
      <w:pPr>
        <w:pStyle w:val="Caption"/>
        <w:jc w:val="right"/>
      </w:pPr>
      <w:r>
        <w:t xml:space="preserve">Tabula </w:t>
      </w:r>
      <w:r w:rsidR="002B7ACB">
        <w:fldChar w:fldCharType="begin"/>
      </w:r>
      <w:r w:rsidR="006865B2">
        <w:instrText xml:space="preserve"> SEQ Tabula \* ARABIC </w:instrText>
      </w:r>
      <w:r w:rsidR="002B7ACB">
        <w:fldChar w:fldCharType="separate"/>
      </w:r>
      <w:r w:rsidR="00520315">
        <w:rPr>
          <w:noProof/>
        </w:rPr>
        <w:t>11</w:t>
      </w:r>
      <w:r w:rsidR="002B7ACB">
        <w:rPr>
          <w:noProof/>
        </w:rPr>
        <w:fldChar w:fldCharType="end"/>
      </w:r>
      <w:r>
        <w:t>. Pieņēmumu raksturojums</w:t>
      </w:r>
    </w:p>
    <w:tbl>
      <w:tblPr>
        <w:tblStyle w:val="TableGrid"/>
        <w:tblW w:w="9585" w:type="dxa"/>
        <w:tblBorders>
          <w:left w:val="none" w:sz="0" w:space="0" w:color="auto"/>
          <w:right w:val="none" w:sz="0" w:space="0" w:color="auto"/>
          <w:insideV w:val="none" w:sz="0" w:space="0" w:color="auto"/>
        </w:tblBorders>
        <w:tblLook w:val="04A0" w:firstRow="1" w:lastRow="0" w:firstColumn="1" w:lastColumn="0" w:noHBand="0" w:noVBand="1"/>
      </w:tblPr>
      <w:tblGrid>
        <w:gridCol w:w="1977"/>
        <w:gridCol w:w="3733"/>
        <w:gridCol w:w="320"/>
        <w:gridCol w:w="3555"/>
      </w:tblGrid>
      <w:tr w:rsidR="00535CB5" w:rsidRPr="00C335C2" w:rsidTr="00AA1147">
        <w:trPr>
          <w:cantSplit/>
          <w:tblHeader/>
        </w:trPr>
        <w:tc>
          <w:tcPr>
            <w:tcW w:w="1977" w:type="dxa"/>
            <w:shd w:val="clear" w:color="auto" w:fill="646464"/>
            <w:vAlign w:val="center"/>
          </w:tcPr>
          <w:p w:rsidR="00535CB5" w:rsidRPr="008621E4" w:rsidRDefault="00535CB5" w:rsidP="00AA1147">
            <w:pPr>
              <w:widowControl w:val="0"/>
              <w:autoSpaceDE w:val="0"/>
              <w:autoSpaceDN w:val="0"/>
              <w:adjustRightInd w:val="0"/>
              <w:spacing w:before="120" w:after="120"/>
              <w:rPr>
                <w:rFonts w:cs="Arial"/>
                <w:b/>
                <w:color w:val="FFFFFF"/>
                <w:sz w:val="16"/>
                <w:szCs w:val="16"/>
                <w:lang w:eastAsia="en-US"/>
              </w:rPr>
            </w:pPr>
            <w:r w:rsidRPr="008621E4">
              <w:rPr>
                <w:rFonts w:cs="Arial"/>
                <w:b/>
                <w:color w:val="FFFFFF"/>
                <w:sz w:val="16"/>
                <w:szCs w:val="16"/>
                <w:lang w:eastAsia="en-US"/>
              </w:rPr>
              <w:t>Pieņēmumu grupa</w:t>
            </w:r>
          </w:p>
        </w:tc>
        <w:tc>
          <w:tcPr>
            <w:tcW w:w="7608" w:type="dxa"/>
            <w:gridSpan w:val="3"/>
            <w:shd w:val="clear" w:color="auto" w:fill="646464"/>
            <w:vAlign w:val="center"/>
          </w:tcPr>
          <w:p w:rsidR="00535CB5" w:rsidRPr="008621E4" w:rsidRDefault="00535CB5" w:rsidP="00AA1147">
            <w:pPr>
              <w:widowControl w:val="0"/>
              <w:autoSpaceDE w:val="0"/>
              <w:autoSpaceDN w:val="0"/>
              <w:adjustRightInd w:val="0"/>
              <w:spacing w:before="120" w:after="120"/>
              <w:jc w:val="center"/>
              <w:rPr>
                <w:rFonts w:cs="Arial"/>
                <w:b/>
                <w:color w:val="FFFFFF"/>
                <w:sz w:val="16"/>
                <w:szCs w:val="16"/>
                <w:lang w:eastAsia="en-US"/>
              </w:rPr>
            </w:pPr>
            <w:r w:rsidRPr="008621E4">
              <w:rPr>
                <w:rFonts w:cs="Arial"/>
                <w:b/>
                <w:color w:val="FFFFFF"/>
                <w:sz w:val="16"/>
                <w:szCs w:val="16"/>
                <w:lang w:eastAsia="en-US"/>
              </w:rPr>
              <w:t>Pieņēmumu raksturojums</w:t>
            </w:r>
          </w:p>
        </w:tc>
      </w:tr>
      <w:tr w:rsidR="00535CB5" w:rsidRPr="00C335C2" w:rsidTr="00AA1147">
        <w:trPr>
          <w:cantSplit/>
        </w:trPr>
        <w:tc>
          <w:tcPr>
            <w:tcW w:w="6030" w:type="dxa"/>
            <w:gridSpan w:val="3"/>
            <w:shd w:val="clear" w:color="auto" w:fill="F2F2F2" w:themeFill="background1" w:themeFillShade="F2"/>
            <w:vAlign w:val="center"/>
          </w:tcPr>
          <w:p w:rsidR="00535CB5" w:rsidRPr="008621E4" w:rsidRDefault="00535CB5" w:rsidP="00AA1147">
            <w:pPr>
              <w:widowControl w:val="0"/>
              <w:autoSpaceDE w:val="0"/>
              <w:autoSpaceDN w:val="0"/>
              <w:adjustRightInd w:val="0"/>
              <w:spacing w:before="120" w:after="120"/>
              <w:rPr>
                <w:rFonts w:cs="Arial"/>
                <w:b/>
                <w:sz w:val="16"/>
                <w:szCs w:val="16"/>
                <w:lang w:eastAsia="en-US"/>
              </w:rPr>
            </w:pPr>
            <w:r w:rsidRPr="008621E4">
              <w:rPr>
                <w:rFonts w:cs="Arial"/>
                <w:b/>
                <w:sz w:val="16"/>
                <w:szCs w:val="16"/>
                <w:lang w:eastAsia="en-US"/>
              </w:rPr>
              <w:t>Pieņēmumi</w:t>
            </w:r>
          </w:p>
        </w:tc>
        <w:tc>
          <w:tcPr>
            <w:tcW w:w="3555" w:type="dxa"/>
            <w:shd w:val="clear" w:color="auto" w:fill="F2F2F2" w:themeFill="background1" w:themeFillShade="F2"/>
          </w:tcPr>
          <w:p w:rsidR="00535CB5" w:rsidRPr="008621E4" w:rsidRDefault="00535CB5" w:rsidP="00AA1147">
            <w:pPr>
              <w:widowControl w:val="0"/>
              <w:autoSpaceDE w:val="0"/>
              <w:autoSpaceDN w:val="0"/>
              <w:adjustRightInd w:val="0"/>
              <w:spacing w:before="120" w:after="120"/>
              <w:rPr>
                <w:rFonts w:cs="Arial"/>
                <w:b/>
                <w:sz w:val="16"/>
                <w:szCs w:val="16"/>
                <w:lang w:eastAsia="en-US"/>
              </w:rPr>
            </w:pP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Finanšu analīzes pieeja</w:t>
            </w:r>
          </w:p>
        </w:tc>
        <w:tc>
          <w:tcPr>
            <w:tcW w:w="7608" w:type="dxa"/>
            <w:gridSpan w:val="3"/>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Atbilstoši metodikai projekta vērtības novērtējums tiek veikts, izmantojot papildu naudas plūsmas metodi, kas paredz salīdzinājumu starp VIIS darbību, veicot sistēmas uzlabojumus un alternatīvu, pieņemot, ka uzlabojumi VI</w:t>
            </w:r>
            <w:r>
              <w:rPr>
                <w:rFonts w:cs="Arial"/>
                <w:sz w:val="16"/>
                <w:szCs w:val="16"/>
                <w:lang w:eastAsia="en-US"/>
              </w:rPr>
              <w:t>I</w:t>
            </w:r>
            <w:r w:rsidRPr="008621E4">
              <w:rPr>
                <w:rFonts w:cs="Arial"/>
                <w:sz w:val="16"/>
                <w:szCs w:val="16"/>
                <w:lang w:eastAsia="en-US"/>
              </w:rPr>
              <w:t>S netiek veikti.</w:t>
            </w:r>
          </w:p>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 xml:space="preserve">Naudas plūsmā ir iekļautas visas ar projekta īstenošanu saistītās izmaksas (gan attiecināmās, gan neattiecināmās). </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Projekta dzīves cikls</w:t>
            </w:r>
          </w:p>
        </w:tc>
        <w:tc>
          <w:tcPr>
            <w:tcW w:w="7608" w:type="dxa"/>
            <w:gridSpan w:val="3"/>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Analīze tiek veikta par visu projekta dzīves ciklu</w:t>
            </w:r>
            <w:r w:rsidR="00D810F2">
              <w:rPr>
                <w:rFonts w:cs="Arial"/>
                <w:sz w:val="16"/>
                <w:szCs w:val="16"/>
                <w:lang w:eastAsia="en-US"/>
              </w:rPr>
              <w:t xml:space="preserve"> – </w:t>
            </w:r>
            <w:r w:rsidRPr="008621E4">
              <w:rPr>
                <w:rFonts w:cs="Arial"/>
                <w:sz w:val="16"/>
                <w:szCs w:val="16"/>
                <w:lang w:eastAsia="en-US"/>
              </w:rPr>
              <w:t xml:space="preserve">15 gadiem (no 2014. gada līdz 2029. gadam). </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Reālā sociālā diskonta likme</w:t>
            </w:r>
          </w:p>
        </w:tc>
        <w:tc>
          <w:tcPr>
            <w:tcW w:w="7608" w:type="dxa"/>
            <w:gridSpan w:val="3"/>
            <w:vAlign w:val="center"/>
          </w:tcPr>
          <w:p w:rsidR="00535CB5" w:rsidRPr="008621E4" w:rsidRDefault="00535CB5" w:rsidP="00AA1147">
            <w:pPr>
              <w:widowControl w:val="0"/>
              <w:autoSpaceDE w:val="0"/>
              <w:autoSpaceDN w:val="0"/>
              <w:adjustRightInd w:val="0"/>
              <w:spacing w:before="120" w:after="120"/>
              <w:rPr>
                <w:rFonts w:cs="Arial"/>
                <w:sz w:val="16"/>
                <w:szCs w:val="16"/>
                <w:u w:val="single"/>
                <w:lang w:eastAsia="en-US"/>
              </w:rPr>
            </w:pPr>
            <w:r w:rsidRPr="008621E4">
              <w:rPr>
                <w:rFonts w:cs="Arial"/>
                <w:sz w:val="16"/>
                <w:szCs w:val="16"/>
                <w:u w:val="single"/>
                <w:lang w:eastAsia="en-US"/>
              </w:rPr>
              <w:t>Naudas plūsmu diskontēšanai izmantota 5,5% diskonta likme</w:t>
            </w:r>
          </w:p>
        </w:tc>
      </w:tr>
      <w:tr w:rsidR="00535CB5" w:rsidRPr="00C335C2" w:rsidTr="00AA1147">
        <w:trPr>
          <w:cantSplit/>
        </w:trPr>
        <w:tc>
          <w:tcPr>
            <w:tcW w:w="1977" w:type="dxa"/>
            <w:shd w:val="clear" w:color="auto" w:fill="F2F2F2" w:themeFill="background1" w:themeFillShade="F2"/>
            <w:vAlign w:val="center"/>
          </w:tcPr>
          <w:p w:rsidR="00535CB5" w:rsidRPr="008621E4" w:rsidRDefault="00535CB5" w:rsidP="00AA1147">
            <w:pPr>
              <w:widowControl w:val="0"/>
              <w:autoSpaceDE w:val="0"/>
              <w:autoSpaceDN w:val="0"/>
              <w:adjustRightInd w:val="0"/>
              <w:spacing w:before="120" w:after="120"/>
              <w:rPr>
                <w:rFonts w:cs="Arial"/>
                <w:b/>
                <w:sz w:val="16"/>
                <w:szCs w:val="16"/>
                <w:lang w:eastAsia="en-US"/>
              </w:rPr>
            </w:pPr>
            <w:r w:rsidRPr="008621E4">
              <w:rPr>
                <w:rFonts w:cs="Arial"/>
                <w:b/>
                <w:sz w:val="16"/>
                <w:szCs w:val="16"/>
                <w:lang w:eastAsia="en-US"/>
              </w:rPr>
              <w:t>Ieņēmumi</w:t>
            </w:r>
          </w:p>
        </w:tc>
        <w:tc>
          <w:tcPr>
            <w:tcW w:w="3733" w:type="dxa"/>
            <w:shd w:val="clear" w:color="auto" w:fill="F2F2F2" w:themeFill="background1" w:themeFillShade="F2"/>
            <w:vAlign w:val="center"/>
          </w:tcPr>
          <w:p w:rsidR="00535CB5" w:rsidRPr="008621E4" w:rsidRDefault="00535CB5" w:rsidP="00AA1147">
            <w:pPr>
              <w:widowControl w:val="0"/>
              <w:autoSpaceDE w:val="0"/>
              <w:autoSpaceDN w:val="0"/>
              <w:adjustRightInd w:val="0"/>
              <w:spacing w:before="120" w:after="120"/>
              <w:jc w:val="center"/>
              <w:rPr>
                <w:rFonts w:cs="Arial"/>
                <w:b/>
                <w:sz w:val="16"/>
                <w:szCs w:val="16"/>
                <w:lang w:eastAsia="en-US"/>
              </w:rPr>
            </w:pPr>
            <w:r w:rsidRPr="008621E4">
              <w:rPr>
                <w:rFonts w:cs="Arial"/>
                <w:b/>
                <w:sz w:val="16"/>
                <w:szCs w:val="16"/>
                <w:lang w:eastAsia="en-US"/>
              </w:rPr>
              <w:t>Alternatīva „bez projekta”</w:t>
            </w:r>
          </w:p>
        </w:tc>
        <w:tc>
          <w:tcPr>
            <w:tcW w:w="3875" w:type="dxa"/>
            <w:gridSpan w:val="2"/>
            <w:shd w:val="clear" w:color="auto" w:fill="F2F2F2" w:themeFill="background1" w:themeFillShade="F2"/>
          </w:tcPr>
          <w:p w:rsidR="00535CB5" w:rsidRPr="008621E4" w:rsidRDefault="00535CB5" w:rsidP="00AA1147">
            <w:pPr>
              <w:widowControl w:val="0"/>
              <w:autoSpaceDE w:val="0"/>
              <w:autoSpaceDN w:val="0"/>
              <w:adjustRightInd w:val="0"/>
              <w:spacing w:before="120" w:after="120"/>
              <w:jc w:val="center"/>
              <w:rPr>
                <w:rFonts w:cs="Arial"/>
                <w:b/>
                <w:sz w:val="16"/>
                <w:szCs w:val="16"/>
                <w:lang w:eastAsia="en-US"/>
              </w:rPr>
            </w:pPr>
            <w:r w:rsidRPr="008621E4">
              <w:rPr>
                <w:rFonts w:cs="Arial"/>
                <w:b/>
                <w:sz w:val="16"/>
                <w:szCs w:val="16"/>
                <w:lang w:eastAsia="en-US"/>
              </w:rPr>
              <w:t>Alternatīva „ar projektu”</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Ieņēmumi</w:t>
            </w:r>
          </w:p>
        </w:tc>
        <w:tc>
          <w:tcPr>
            <w:tcW w:w="3733" w:type="dxa"/>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VI</w:t>
            </w:r>
            <w:r>
              <w:rPr>
                <w:rFonts w:cs="Arial"/>
                <w:sz w:val="16"/>
                <w:szCs w:val="16"/>
                <w:lang w:eastAsia="en-US"/>
              </w:rPr>
              <w:t>I</w:t>
            </w:r>
            <w:r w:rsidRPr="008621E4">
              <w:rPr>
                <w:rFonts w:cs="Arial"/>
                <w:sz w:val="16"/>
                <w:szCs w:val="16"/>
                <w:lang w:eastAsia="en-US"/>
              </w:rPr>
              <w:t>S lietošanas pakalpojumi ir bezmaksas</w:t>
            </w:r>
            <w:r w:rsidR="00541C39">
              <w:rPr>
                <w:rFonts w:cs="Arial"/>
                <w:sz w:val="16"/>
                <w:szCs w:val="16"/>
                <w:lang w:eastAsia="en-US"/>
              </w:rPr>
              <w:t>.</w:t>
            </w:r>
          </w:p>
        </w:tc>
        <w:tc>
          <w:tcPr>
            <w:tcW w:w="3875" w:type="dxa"/>
            <w:gridSpan w:val="2"/>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Ieņēmumu daļa nav paredzēta, e-pakalpojumi un minētie VI</w:t>
            </w:r>
            <w:r>
              <w:rPr>
                <w:rFonts w:cs="Arial"/>
                <w:sz w:val="16"/>
                <w:szCs w:val="16"/>
                <w:lang w:eastAsia="en-US"/>
              </w:rPr>
              <w:t>I</w:t>
            </w:r>
            <w:r w:rsidRPr="008621E4">
              <w:rPr>
                <w:rFonts w:cs="Arial"/>
                <w:sz w:val="16"/>
                <w:szCs w:val="16"/>
                <w:lang w:eastAsia="en-US"/>
              </w:rPr>
              <w:t>S funkcionalitātes uzlabojumi būs daļa no bezmaksas pieejamiem VIIS lietošanas pakalpojumiem.</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Valsts dotācijas</w:t>
            </w:r>
          </w:p>
        </w:tc>
        <w:tc>
          <w:tcPr>
            <w:tcW w:w="3733" w:type="dxa"/>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Pr>
                <w:rFonts w:cs="Arial"/>
                <w:sz w:val="16"/>
                <w:szCs w:val="16"/>
                <w:lang w:eastAsia="en-US"/>
              </w:rPr>
              <w:t>VIIS uzturēšanas izmaksas tiek segtas no valsts pamatbudžeta piešķirtajiem līdzekļiem IZM funkciju nodrošināšanai</w:t>
            </w:r>
            <w:r w:rsidR="00541C39">
              <w:rPr>
                <w:rFonts w:cs="Arial"/>
                <w:sz w:val="16"/>
                <w:szCs w:val="16"/>
                <w:lang w:eastAsia="en-US"/>
              </w:rPr>
              <w:t>.</w:t>
            </w:r>
          </w:p>
        </w:tc>
        <w:tc>
          <w:tcPr>
            <w:tcW w:w="3875" w:type="dxa"/>
            <w:gridSpan w:val="2"/>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Pr>
                <w:rFonts w:cs="Arial"/>
                <w:sz w:val="16"/>
                <w:szCs w:val="16"/>
                <w:lang w:eastAsia="en-US"/>
              </w:rPr>
              <w:t>VIIS uzturēšanas izmaksas tiek segtas no valsts pamatbudžeta piešķirtajiem līdzekļiem IZM funkciju nodrošināšanai</w:t>
            </w:r>
            <w:r w:rsidR="00541C39">
              <w:rPr>
                <w:rFonts w:cs="Arial"/>
                <w:sz w:val="16"/>
                <w:szCs w:val="16"/>
                <w:lang w:eastAsia="en-US"/>
              </w:rPr>
              <w:t>.</w:t>
            </w:r>
          </w:p>
        </w:tc>
      </w:tr>
      <w:tr w:rsidR="00535CB5" w:rsidRPr="00C335C2" w:rsidTr="00AA1147">
        <w:trPr>
          <w:cantSplit/>
        </w:trPr>
        <w:tc>
          <w:tcPr>
            <w:tcW w:w="1977" w:type="dxa"/>
            <w:shd w:val="clear" w:color="auto" w:fill="F2F2F2" w:themeFill="background1" w:themeFillShade="F2"/>
            <w:vAlign w:val="center"/>
          </w:tcPr>
          <w:p w:rsidR="00535CB5" w:rsidRPr="008621E4" w:rsidRDefault="00535CB5" w:rsidP="00AA1147">
            <w:pPr>
              <w:widowControl w:val="0"/>
              <w:autoSpaceDE w:val="0"/>
              <w:autoSpaceDN w:val="0"/>
              <w:adjustRightInd w:val="0"/>
              <w:spacing w:before="120" w:after="120"/>
              <w:rPr>
                <w:rFonts w:cs="Arial"/>
                <w:b/>
                <w:sz w:val="16"/>
                <w:szCs w:val="16"/>
                <w:lang w:eastAsia="en-US"/>
              </w:rPr>
            </w:pPr>
            <w:r w:rsidRPr="008621E4">
              <w:rPr>
                <w:rFonts w:cs="Arial"/>
                <w:b/>
                <w:sz w:val="16"/>
                <w:szCs w:val="16"/>
                <w:lang w:eastAsia="en-US"/>
              </w:rPr>
              <w:t>Izdevumi</w:t>
            </w:r>
          </w:p>
        </w:tc>
        <w:tc>
          <w:tcPr>
            <w:tcW w:w="3733" w:type="dxa"/>
            <w:shd w:val="clear" w:color="auto" w:fill="F2F2F2" w:themeFill="background1" w:themeFillShade="F2"/>
            <w:vAlign w:val="center"/>
          </w:tcPr>
          <w:p w:rsidR="00535CB5" w:rsidRPr="008621E4" w:rsidRDefault="00535CB5" w:rsidP="00AA1147">
            <w:pPr>
              <w:widowControl w:val="0"/>
              <w:autoSpaceDE w:val="0"/>
              <w:autoSpaceDN w:val="0"/>
              <w:adjustRightInd w:val="0"/>
              <w:spacing w:before="120" w:after="120"/>
              <w:jc w:val="center"/>
              <w:rPr>
                <w:rFonts w:cs="Arial"/>
                <w:b/>
                <w:sz w:val="16"/>
                <w:szCs w:val="16"/>
                <w:lang w:eastAsia="en-US"/>
              </w:rPr>
            </w:pPr>
            <w:r w:rsidRPr="008621E4">
              <w:rPr>
                <w:rFonts w:cs="Arial"/>
                <w:b/>
                <w:sz w:val="16"/>
                <w:szCs w:val="16"/>
                <w:lang w:eastAsia="en-US"/>
              </w:rPr>
              <w:t>Alternatīva „bez projekta”</w:t>
            </w:r>
          </w:p>
        </w:tc>
        <w:tc>
          <w:tcPr>
            <w:tcW w:w="3875" w:type="dxa"/>
            <w:gridSpan w:val="2"/>
            <w:shd w:val="clear" w:color="auto" w:fill="F2F2F2" w:themeFill="background1" w:themeFillShade="F2"/>
          </w:tcPr>
          <w:p w:rsidR="00535CB5" w:rsidRPr="008621E4" w:rsidRDefault="00535CB5" w:rsidP="00AA1147">
            <w:pPr>
              <w:widowControl w:val="0"/>
              <w:autoSpaceDE w:val="0"/>
              <w:autoSpaceDN w:val="0"/>
              <w:adjustRightInd w:val="0"/>
              <w:spacing w:before="120" w:after="120"/>
              <w:jc w:val="center"/>
              <w:rPr>
                <w:rFonts w:cs="Arial"/>
                <w:b/>
                <w:sz w:val="16"/>
                <w:szCs w:val="16"/>
                <w:lang w:eastAsia="en-US"/>
              </w:rPr>
            </w:pPr>
            <w:r w:rsidRPr="008621E4">
              <w:rPr>
                <w:rFonts w:cs="Arial"/>
                <w:b/>
                <w:sz w:val="16"/>
                <w:szCs w:val="16"/>
                <w:lang w:eastAsia="en-US"/>
              </w:rPr>
              <w:t>Alternatīva „ar projektu”</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Pr>
                <w:rFonts w:cs="Arial"/>
                <w:sz w:val="16"/>
                <w:szCs w:val="16"/>
                <w:lang w:eastAsia="en-US"/>
              </w:rPr>
              <w:t>Administratīvās izmaksas</w:t>
            </w:r>
          </w:p>
        </w:tc>
        <w:tc>
          <w:tcPr>
            <w:tcW w:w="3733" w:type="dxa"/>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Pr>
                <w:rFonts w:cs="Arial"/>
                <w:sz w:val="16"/>
                <w:szCs w:val="16"/>
                <w:lang w:eastAsia="en-US"/>
              </w:rPr>
              <w:t xml:space="preserve">Administrācijas izmaksas sastāda </w:t>
            </w:r>
            <w:r>
              <w:rPr>
                <w:rFonts w:cs="Arial"/>
                <w:sz w:val="16"/>
                <w:szCs w:val="16"/>
                <w:lang w:eastAsia="en-US"/>
              </w:rPr>
              <w:br/>
              <w:t>EUR 59 760,62 gadā. Administrācijas izmaksas tiek segtas no valsts budžeta</w:t>
            </w:r>
            <w:r w:rsidR="00541C39">
              <w:rPr>
                <w:rFonts w:cs="Arial"/>
                <w:sz w:val="16"/>
                <w:szCs w:val="16"/>
                <w:lang w:eastAsia="en-US"/>
              </w:rPr>
              <w:t>.</w:t>
            </w:r>
          </w:p>
        </w:tc>
        <w:tc>
          <w:tcPr>
            <w:tcW w:w="3875" w:type="dxa"/>
            <w:gridSpan w:val="2"/>
            <w:vAlign w:val="center"/>
          </w:tcPr>
          <w:p w:rsidR="00535CB5" w:rsidRPr="008621E4" w:rsidRDefault="006D7464" w:rsidP="00AA1147">
            <w:pPr>
              <w:widowControl w:val="0"/>
              <w:autoSpaceDE w:val="0"/>
              <w:autoSpaceDN w:val="0"/>
              <w:adjustRightInd w:val="0"/>
              <w:spacing w:before="120" w:after="120"/>
              <w:rPr>
                <w:rFonts w:cs="Arial"/>
                <w:sz w:val="16"/>
                <w:szCs w:val="16"/>
                <w:lang w:eastAsia="en-US"/>
              </w:rPr>
            </w:pPr>
            <w:r>
              <w:rPr>
                <w:rFonts w:cs="Arial"/>
                <w:sz w:val="16"/>
                <w:szCs w:val="16"/>
                <w:lang w:eastAsia="en-US"/>
              </w:rPr>
              <w:t>Administrācijas</w:t>
            </w:r>
            <w:r w:rsidR="00535CB5">
              <w:rPr>
                <w:rFonts w:cs="Arial"/>
                <w:sz w:val="16"/>
                <w:szCs w:val="16"/>
                <w:lang w:eastAsia="en-US"/>
              </w:rPr>
              <w:t xml:space="preserve"> izmaksas tiks saglabātas esošajā līmenī, t.i. EUR 59 760,62 gadā. Administrācijas izmaksas tiek segtas no valsts budžeta</w:t>
            </w:r>
            <w:r w:rsidR="00541C39">
              <w:rPr>
                <w:rFonts w:cs="Arial"/>
                <w:sz w:val="16"/>
                <w:szCs w:val="16"/>
                <w:lang w:eastAsia="en-US"/>
              </w:rPr>
              <w:t>.</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VI</w:t>
            </w:r>
            <w:r>
              <w:rPr>
                <w:rFonts w:cs="Arial"/>
                <w:sz w:val="16"/>
                <w:szCs w:val="16"/>
                <w:lang w:eastAsia="en-US"/>
              </w:rPr>
              <w:t>I</w:t>
            </w:r>
            <w:r w:rsidRPr="008621E4">
              <w:rPr>
                <w:rFonts w:cs="Arial"/>
                <w:sz w:val="16"/>
                <w:szCs w:val="16"/>
                <w:lang w:eastAsia="en-US"/>
              </w:rPr>
              <w:t>S sistēmas izmaksas un komponenšu atjaunošana</w:t>
            </w:r>
            <w:r>
              <w:rPr>
                <w:rFonts w:cs="Arial"/>
                <w:sz w:val="16"/>
                <w:szCs w:val="16"/>
                <w:lang w:eastAsia="en-US"/>
              </w:rPr>
              <w:t xml:space="preserve"> un uzturēšana</w:t>
            </w:r>
          </w:p>
        </w:tc>
        <w:tc>
          <w:tcPr>
            <w:tcW w:w="3733" w:type="dxa"/>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Esošās VI</w:t>
            </w:r>
            <w:r>
              <w:rPr>
                <w:rFonts w:cs="Arial"/>
                <w:sz w:val="16"/>
                <w:szCs w:val="16"/>
                <w:lang w:eastAsia="en-US"/>
              </w:rPr>
              <w:t>I</w:t>
            </w:r>
            <w:r w:rsidRPr="008621E4">
              <w:rPr>
                <w:rFonts w:cs="Arial"/>
                <w:sz w:val="16"/>
                <w:szCs w:val="16"/>
                <w:lang w:eastAsia="en-US"/>
              </w:rPr>
              <w:t xml:space="preserve">S sistēmas izmaksas un komponenšu atjaunošana – attiecīgās izmaksas ik gadu ir EUR </w:t>
            </w:r>
            <w:r w:rsidRPr="00EB5B3E">
              <w:rPr>
                <w:rFonts w:cs="Arial"/>
                <w:sz w:val="16"/>
                <w:szCs w:val="16"/>
                <w:lang w:eastAsia="en-US"/>
              </w:rPr>
              <w:t>8</w:t>
            </w:r>
            <w:r w:rsidRPr="008621E4">
              <w:rPr>
                <w:rFonts w:cs="Arial"/>
                <w:sz w:val="16"/>
                <w:szCs w:val="16"/>
                <w:lang w:eastAsia="en-US"/>
              </w:rPr>
              <w:t>5</w:t>
            </w:r>
            <w:r>
              <w:rPr>
                <w:rFonts w:cs="Arial"/>
                <w:sz w:val="16"/>
                <w:szCs w:val="16"/>
                <w:lang w:eastAsia="en-US"/>
              </w:rPr>
              <w:t> </w:t>
            </w:r>
            <w:r w:rsidRPr="008621E4">
              <w:rPr>
                <w:rFonts w:cs="Arial"/>
                <w:sz w:val="16"/>
                <w:szCs w:val="16"/>
                <w:lang w:eastAsia="en-US"/>
              </w:rPr>
              <w:t>372</w:t>
            </w:r>
            <w:r>
              <w:rPr>
                <w:rFonts w:cs="Arial"/>
                <w:sz w:val="16"/>
                <w:szCs w:val="16"/>
                <w:lang w:eastAsia="en-US"/>
              </w:rPr>
              <w:t>,</w:t>
            </w:r>
            <w:r w:rsidRPr="008621E4">
              <w:rPr>
                <w:rFonts w:cs="Arial"/>
                <w:sz w:val="16"/>
                <w:szCs w:val="16"/>
                <w:lang w:eastAsia="en-US"/>
              </w:rPr>
              <w:t>31</w:t>
            </w:r>
            <w:r w:rsidR="00541C39">
              <w:rPr>
                <w:rFonts w:cs="Arial"/>
                <w:sz w:val="16"/>
                <w:szCs w:val="16"/>
                <w:lang w:eastAsia="en-US"/>
              </w:rPr>
              <w:t xml:space="preserve"> </w:t>
            </w:r>
            <w:r w:rsidRPr="008621E4">
              <w:rPr>
                <w:rFonts w:cs="Arial"/>
                <w:sz w:val="16"/>
                <w:szCs w:val="16"/>
                <w:lang w:eastAsia="en-US"/>
              </w:rPr>
              <w:t>apmērā.</w:t>
            </w:r>
          </w:p>
        </w:tc>
        <w:tc>
          <w:tcPr>
            <w:tcW w:w="3875" w:type="dxa"/>
            <w:gridSpan w:val="2"/>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Palielinoties pieprasījumam pēc VI</w:t>
            </w:r>
            <w:r>
              <w:rPr>
                <w:rFonts w:cs="Arial"/>
                <w:sz w:val="16"/>
                <w:szCs w:val="16"/>
                <w:lang w:eastAsia="en-US"/>
              </w:rPr>
              <w:t>I</w:t>
            </w:r>
            <w:r w:rsidRPr="008621E4">
              <w:rPr>
                <w:rFonts w:cs="Arial"/>
                <w:sz w:val="16"/>
                <w:szCs w:val="16"/>
                <w:lang w:eastAsia="en-US"/>
              </w:rPr>
              <w:t>S sniegtajiem pakalpojumiem un nokalpojušās infrastruktūras komponenšu aizvietošana – attiecīgās izmaksas ik gadu būs EUR 85</w:t>
            </w:r>
            <w:r>
              <w:rPr>
                <w:rFonts w:cs="Arial"/>
                <w:sz w:val="16"/>
                <w:szCs w:val="16"/>
                <w:lang w:eastAsia="en-US"/>
              </w:rPr>
              <w:t> </w:t>
            </w:r>
            <w:r w:rsidRPr="008621E4">
              <w:rPr>
                <w:rFonts w:cs="Arial"/>
                <w:sz w:val="16"/>
                <w:szCs w:val="16"/>
                <w:lang w:eastAsia="en-US"/>
              </w:rPr>
              <w:t>372</w:t>
            </w:r>
            <w:r>
              <w:rPr>
                <w:rFonts w:cs="Arial"/>
                <w:sz w:val="16"/>
                <w:szCs w:val="16"/>
                <w:lang w:eastAsia="en-US"/>
              </w:rPr>
              <w:t>,</w:t>
            </w:r>
            <w:r w:rsidRPr="008621E4">
              <w:rPr>
                <w:rFonts w:cs="Arial"/>
                <w:sz w:val="16"/>
                <w:szCs w:val="16"/>
                <w:lang w:eastAsia="en-US"/>
              </w:rPr>
              <w:t>31 apmērā. Cenas pieaugums</w:t>
            </w:r>
            <w:r w:rsidRPr="00EB5B3E">
              <w:rPr>
                <w:rFonts w:cs="Arial"/>
                <w:sz w:val="16"/>
                <w:szCs w:val="16"/>
                <w:lang w:eastAsia="en-US"/>
              </w:rPr>
              <w:t xml:space="preserve"> sal</w:t>
            </w:r>
            <w:r w:rsidRPr="008621E4">
              <w:rPr>
                <w:rFonts w:cs="Arial"/>
                <w:sz w:val="16"/>
                <w:szCs w:val="16"/>
                <w:lang w:eastAsia="en-US"/>
              </w:rPr>
              <w:t>īdzinājumā ar esošo situāciju netiek paredzēts</w:t>
            </w:r>
            <w:r>
              <w:rPr>
                <w:rFonts w:cs="Arial"/>
                <w:sz w:val="16"/>
                <w:szCs w:val="16"/>
                <w:lang w:eastAsia="en-US"/>
              </w:rPr>
              <w:t xml:space="preserve">. </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lastRenderedPageBreak/>
              <w:t>Papildu funkcionalitātes nodrošināšana</w:t>
            </w:r>
          </w:p>
        </w:tc>
        <w:tc>
          <w:tcPr>
            <w:tcW w:w="3733" w:type="dxa"/>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N/A</w:t>
            </w:r>
          </w:p>
        </w:tc>
        <w:tc>
          <w:tcPr>
            <w:tcW w:w="3875" w:type="dxa"/>
            <w:gridSpan w:val="2"/>
            <w:vAlign w:val="center"/>
          </w:tcPr>
          <w:p w:rsidR="00DD5F62" w:rsidRDefault="00535CB5" w:rsidP="00934B52">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Jaun</w:t>
            </w:r>
            <w:r w:rsidR="008C0A6A">
              <w:rPr>
                <w:rFonts w:cs="Arial"/>
                <w:sz w:val="16"/>
                <w:szCs w:val="16"/>
                <w:lang w:eastAsia="en-US"/>
              </w:rPr>
              <w:t>o</w:t>
            </w:r>
            <w:r w:rsidRPr="008621E4">
              <w:rPr>
                <w:rFonts w:cs="Arial"/>
                <w:sz w:val="16"/>
                <w:szCs w:val="16"/>
                <w:lang w:eastAsia="en-US"/>
              </w:rPr>
              <w:t xml:space="preserve"> e-pakalpojum</w:t>
            </w:r>
            <w:r w:rsidR="008C0A6A">
              <w:rPr>
                <w:rFonts w:cs="Arial"/>
                <w:sz w:val="16"/>
                <w:szCs w:val="16"/>
                <w:lang w:eastAsia="en-US"/>
              </w:rPr>
              <w:t>u</w:t>
            </w:r>
            <w:r w:rsidRPr="008621E4">
              <w:rPr>
                <w:rFonts w:cs="Arial"/>
                <w:sz w:val="16"/>
                <w:szCs w:val="16"/>
                <w:lang w:eastAsia="en-US"/>
              </w:rPr>
              <w:t xml:space="preserve"> iekļaušana VI</w:t>
            </w:r>
            <w:r>
              <w:rPr>
                <w:rFonts w:cs="Arial"/>
                <w:sz w:val="16"/>
                <w:szCs w:val="16"/>
                <w:lang w:eastAsia="en-US"/>
              </w:rPr>
              <w:t>I</w:t>
            </w:r>
            <w:r w:rsidRPr="008621E4">
              <w:rPr>
                <w:rFonts w:cs="Arial"/>
                <w:sz w:val="16"/>
                <w:szCs w:val="16"/>
                <w:lang w:eastAsia="en-US"/>
              </w:rPr>
              <w:t xml:space="preserve">S un jaunās funkcionalitātes nodrošināšana veidos papildu izmaksas EUR </w:t>
            </w:r>
            <w:r w:rsidR="008C0A6A">
              <w:rPr>
                <w:rFonts w:cs="Arial"/>
                <w:sz w:val="16"/>
                <w:szCs w:val="16"/>
                <w:lang w:eastAsia="en-US"/>
              </w:rPr>
              <w:t>1 270 </w:t>
            </w:r>
            <w:r w:rsidR="008C0A6A" w:rsidRPr="008C0A6A">
              <w:rPr>
                <w:rFonts w:cs="Arial"/>
                <w:sz w:val="16"/>
                <w:szCs w:val="16"/>
                <w:lang w:eastAsia="en-US"/>
              </w:rPr>
              <w:t>789</w:t>
            </w:r>
            <w:r w:rsidR="008C0A6A">
              <w:rPr>
                <w:rFonts w:cs="Arial"/>
                <w:sz w:val="16"/>
                <w:szCs w:val="16"/>
                <w:lang w:eastAsia="en-US"/>
              </w:rPr>
              <w:t xml:space="preserve"> </w:t>
            </w:r>
            <w:r w:rsidRPr="008621E4">
              <w:rPr>
                <w:rFonts w:cs="Arial"/>
                <w:sz w:val="16"/>
                <w:szCs w:val="16"/>
                <w:lang w:eastAsia="en-US"/>
              </w:rPr>
              <w:t>apmērā.</w:t>
            </w:r>
          </w:p>
          <w:p w:rsidR="00535CB5" w:rsidRPr="008621E4" w:rsidRDefault="00372F99" w:rsidP="008C76D5">
            <w:pPr>
              <w:widowControl w:val="0"/>
              <w:autoSpaceDE w:val="0"/>
              <w:autoSpaceDN w:val="0"/>
              <w:adjustRightInd w:val="0"/>
              <w:spacing w:before="120" w:after="120"/>
              <w:rPr>
                <w:rFonts w:cs="Arial"/>
                <w:sz w:val="16"/>
                <w:szCs w:val="16"/>
                <w:lang w:eastAsia="en-US"/>
              </w:rPr>
            </w:pPr>
            <w:r>
              <w:rPr>
                <w:rFonts w:cs="Arial"/>
                <w:sz w:val="16"/>
                <w:szCs w:val="16"/>
                <w:lang w:eastAsia="en-US"/>
              </w:rPr>
              <w:t xml:space="preserve">Papildu plānots pieņemt darbā </w:t>
            </w:r>
            <w:r w:rsidR="00D810F2">
              <w:rPr>
                <w:rFonts w:cs="Arial"/>
                <w:sz w:val="16"/>
                <w:szCs w:val="16"/>
                <w:lang w:eastAsia="en-US"/>
              </w:rPr>
              <w:t>2 (</w:t>
            </w:r>
            <w:r>
              <w:rPr>
                <w:rFonts w:cs="Arial"/>
                <w:sz w:val="16"/>
                <w:szCs w:val="16"/>
                <w:lang w:eastAsia="en-US"/>
              </w:rPr>
              <w:t>divus</w:t>
            </w:r>
            <w:r w:rsidR="00D810F2">
              <w:rPr>
                <w:rFonts w:cs="Arial"/>
                <w:sz w:val="16"/>
                <w:szCs w:val="16"/>
                <w:lang w:eastAsia="en-US"/>
              </w:rPr>
              <w:t>)</w:t>
            </w:r>
            <w:r>
              <w:rPr>
                <w:rFonts w:cs="Arial"/>
                <w:sz w:val="16"/>
                <w:szCs w:val="16"/>
                <w:lang w:eastAsia="en-US"/>
              </w:rPr>
              <w:t xml:space="preserve"> darbiniekus. </w:t>
            </w:r>
            <w:r w:rsidR="00541C39">
              <w:rPr>
                <w:rFonts w:cs="Arial"/>
                <w:sz w:val="16"/>
                <w:szCs w:val="16"/>
                <w:lang w:eastAsia="en-US"/>
              </w:rPr>
              <w:t>Š</w:t>
            </w:r>
            <w:r>
              <w:rPr>
                <w:rFonts w:cs="Arial"/>
                <w:sz w:val="16"/>
                <w:szCs w:val="16"/>
                <w:lang w:eastAsia="en-US"/>
              </w:rPr>
              <w:t>o darbinieku izmaksas gadā sastādīs EUR</w:t>
            </w:r>
            <w:r w:rsidR="00DD5F62">
              <w:rPr>
                <w:rFonts w:cs="Arial"/>
                <w:sz w:val="16"/>
                <w:szCs w:val="16"/>
                <w:lang w:eastAsia="en-US"/>
              </w:rPr>
              <w:t> </w:t>
            </w:r>
            <w:r w:rsidR="008C76D5">
              <w:rPr>
                <w:rFonts w:cs="Arial"/>
                <w:sz w:val="16"/>
                <w:szCs w:val="16"/>
                <w:lang w:eastAsia="en-US"/>
              </w:rPr>
              <w:t>29 483,63</w:t>
            </w:r>
            <w:r w:rsidR="00DD5F62">
              <w:rPr>
                <w:rFonts w:cs="Arial"/>
                <w:sz w:val="16"/>
                <w:szCs w:val="16"/>
                <w:lang w:eastAsia="en-US"/>
              </w:rPr>
              <w:t xml:space="preserve">. Plānots, ka minētie darbinieki tiks klasificēti 36.saimē, II līmenī ar amata nosaukumu „eksperts”. </w:t>
            </w:r>
            <w:r w:rsidR="0062347A">
              <w:rPr>
                <w:rFonts w:cs="Arial"/>
                <w:sz w:val="16"/>
                <w:szCs w:val="16"/>
                <w:lang w:eastAsia="en-US"/>
              </w:rPr>
              <w:t>Amatu saimei un līmenim atbilst 9.mēnešalgu grupa. Plānotā mēnešalga EUR </w:t>
            </w:r>
            <w:r w:rsidR="008C76D5">
              <w:rPr>
                <w:rFonts w:cs="Arial"/>
                <w:sz w:val="16"/>
                <w:szCs w:val="16"/>
                <w:lang w:eastAsia="en-US"/>
              </w:rPr>
              <w:t>994</w:t>
            </w:r>
            <w:r w:rsidR="0062347A">
              <w:rPr>
                <w:rFonts w:cs="Arial"/>
                <w:sz w:val="16"/>
                <w:szCs w:val="16"/>
                <w:lang w:eastAsia="en-US"/>
              </w:rPr>
              <w:t>. Valsts sociālās apdrošināšanas iemaksas aprēķinātas saskaņā ar spēkā esošo darba devēja likmi 23,59%.</w:t>
            </w:r>
            <w:r w:rsidR="00536662">
              <w:rPr>
                <w:rStyle w:val="FootnoteReference"/>
                <w:rFonts w:cs="Arial"/>
                <w:sz w:val="16"/>
                <w:szCs w:val="16"/>
                <w:lang w:eastAsia="en-US"/>
              </w:rPr>
              <w:footnoteReference w:id="12"/>
            </w:r>
          </w:p>
        </w:tc>
      </w:tr>
      <w:tr w:rsidR="00535CB5" w:rsidRPr="00C335C2" w:rsidTr="00AA1147">
        <w:trPr>
          <w:cantSplit/>
        </w:trPr>
        <w:tc>
          <w:tcPr>
            <w:tcW w:w="9585" w:type="dxa"/>
            <w:gridSpan w:val="4"/>
            <w:shd w:val="clear" w:color="auto" w:fill="F2F2F2" w:themeFill="background1" w:themeFillShade="F2"/>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b/>
                <w:sz w:val="16"/>
                <w:szCs w:val="16"/>
                <w:lang w:eastAsia="en-US"/>
              </w:rPr>
              <w:t>Investīciju atlikusī vērtība</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Kalpošanas laiks</w:t>
            </w:r>
          </w:p>
        </w:tc>
        <w:tc>
          <w:tcPr>
            <w:tcW w:w="7608" w:type="dxa"/>
            <w:gridSpan w:val="3"/>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Investīciju kalpošanas laiks tiek prognozēts 5 gadu garumā.</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Nolietojuma aprēķināšanas metode</w:t>
            </w:r>
          </w:p>
        </w:tc>
        <w:tc>
          <w:tcPr>
            <w:tcW w:w="7608" w:type="dxa"/>
            <w:gridSpan w:val="3"/>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 xml:space="preserve">Tiek izmantota lineārā nolietojuma metode 5 gadu garumā 20% apmērā. </w:t>
            </w:r>
            <w:r w:rsidR="00372F99">
              <w:rPr>
                <w:rFonts w:cs="Arial"/>
                <w:sz w:val="16"/>
                <w:szCs w:val="16"/>
                <w:lang w:eastAsia="en-US"/>
              </w:rPr>
              <w:t>Sistēmas atlikusī vērtība ir EUR 1 633</w:t>
            </w:r>
            <w:r w:rsidR="00541C39">
              <w:rPr>
                <w:rFonts w:cs="Arial"/>
                <w:sz w:val="16"/>
                <w:szCs w:val="16"/>
                <w:lang w:eastAsia="en-US"/>
              </w:rPr>
              <w:t> </w:t>
            </w:r>
            <w:r w:rsidR="00372F99">
              <w:rPr>
                <w:rFonts w:cs="Arial"/>
                <w:sz w:val="16"/>
                <w:szCs w:val="16"/>
                <w:lang w:eastAsia="en-US"/>
              </w:rPr>
              <w:t>609</w:t>
            </w:r>
            <w:r w:rsidR="00541C39">
              <w:rPr>
                <w:rFonts w:cs="Arial"/>
                <w:sz w:val="16"/>
                <w:szCs w:val="16"/>
                <w:lang w:eastAsia="en-US"/>
              </w:rPr>
              <w:t>,</w:t>
            </w:r>
            <w:r w:rsidR="00372F99">
              <w:rPr>
                <w:rFonts w:cs="Arial"/>
                <w:sz w:val="16"/>
                <w:szCs w:val="16"/>
                <w:lang w:eastAsia="en-US"/>
              </w:rPr>
              <w:t>01.</w:t>
            </w:r>
          </w:p>
        </w:tc>
      </w:tr>
      <w:tr w:rsidR="00535CB5" w:rsidRPr="00C335C2" w:rsidTr="00AA1147">
        <w:trPr>
          <w:cantSplit/>
        </w:trPr>
        <w:tc>
          <w:tcPr>
            <w:tcW w:w="9585" w:type="dxa"/>
            <w:gridSpan w:val="4"/>
            <w:shd w:val="clear" w:color="auto" w:fill="F2F2F2" w:themeFill="background1" w:themeFillShade="F2"/>
            <w:vAlign w:val="center"/>
          </w:tcPr>
          <w:p w:rsidR="00535CB5" w:rsidRPr="008621E4" w:rsidRDefault="00535CB5" w:rsidP="00AA1147">
            <w:pPr>
              <w:widowControl w:val="0"/>
              <w:autoSpaceDE w:val="0"/>
              <w:autoSpaceDN w:val="0"/>
              <w:adjustRightInd w:val="0"/>
              <w:spacing w:before="120" w:after="120"/>
              <w:rPr>
                <w:rFonts w:cs="Arial"/>
                <w:b/>
                <w:sz w:val="16"/>
                <w:szCs w:val="16"/>
                <w:lang w:eastAsia="en-US"/>
              </w:rPr>
            </w:pPr>
            <w:r w:rsidRPr="008621E4">
              <w:rPr>
                <w:rFonts w:cs="Arial"/>
                <w:b/>
                <w:sz w:val="16"/>
                <w:szCs w:val="16"/>
                <w:lang w:eastAsia="en-US"/>
              </w:rPr>
              <w:t>Sociālekonomiskie ieguvumi un zaudējumi</w:t>
            </w:r>
          </w:p>
        </w:tc>
      </w:tr>
      <w:tr w:rsidR="00535CB5" w:rsidRPr="00C335C2" w:rsidTr="00AA1147">
        <w:trPr>
          <w:cantSplit/>
        </w:trPr>
        <w:tc>
          <w:tcPr>
            <w:tcW w:w="1977" w:type="dxa"/>
            <w:shd w:val="clear" w:color="auto" w:fill="auto"/>
            <w:vAlign w:val="center"/>
          </w:tcPr>
          <w:p w:rsidR="00535CB5" w:rsidRPr="008621E4" w:rsidRDefault="00535CB5" w:rsidP="00AA1147">
            <w:pPr>
              <w:widowControl w:val="0"/>
              <w:autoSpaceDE w:val="0"/>
              <w:autoSpaceDN w:val="0"/>
              <w:adjustRightInd w:val="0"/>
              <w:spacing w:before="120" w:after="120"/>
              <w:rPr>
                <w:rFonts w:cs="Arial"/>
                <w:sz w:val="16"/>
                <w:szCs w:val="16"/>
                <w:lang w:eastAsia="en-US"/>
              </w:rPr>
            </w:pPr>
            <w:r w:rsidRPr="008621E4">
              <w:rPr>
                <w:rFonts w:cs="Arial"/>
                <w:sz w:val="16"/>
                <w:szCs w:val="16"/>
                <w:lang w:eastAsia="en-US"/>
              </w:rPr>
              <w:t>Sociālekonomiskie ieguvumi</w:t>
            </w:r>
          </w:p>
        </w:tc>
        <w:tc>
          <w:tcPr>
            <w:tcW w:w="7608" w:type="dxa"/>
            <w:gridSpan w:val="3"/>
            <w:vAlign w:val="center"/>
          </w:tcPr>
          <w:p w:rsidR="00535CB5" w:rsidRPr="008621E4" w:rsidRDefault="00535CB5" w:rsidP="005418DE">
            <w:pPr>
              <w:pStyle w:val="Default"/>
              <w:numPr>
                <w:ilvl w:val="0"/>
                <w:numId w:val="34"/>
              </w:numPr>
              <w:spacing w:after="120"/>
              <w:ind w:left="431" w:hanging="423"/>
              <w:rPr>
                <w:rFonts w:ascii="Arial" w:hAnsi="Arial" w:cs="Arial"/>
                <w:color w:val="auto"/>
                <w:sz w:val="16"/>
                <w:szCs w:val="16"/>
              </w:rPr>
            </w:pPr>
            <w:r w:rsidRPr="008621E4">
              <w:rPr>
                <w:rFonts w:ascii="Arial" w:hAnsi="Arial" w:cs="Arial"/>
                <w:color w:val="auto"/>
                <w:sz w:val="16"/>
                <w:szCs w:val="16"/>
              </w:rPr>
              <w:t xml:space="preserve">Tiek sasniegts Izglītības attīstības pamatnostādnes 2014.-2020, gadam mērķis – izveidot efektīvu izglītības politikas pārvaldību. </w:t>
            </w:r>
          </w:p>
          <w:p w:rsidR="00535CB5" w:rsidRPr="008621E4" w:rsidRDefault="00535CB5" w:rsidP="005418DE">
            <w:pPr>
              <w:pStyle w:val="Default"/>
              <w:numPr>
                <w:ilvl w:val="0"/>
                <w:numId w:val="34"/>
              </w:numPr>
              <w:spacing w:after="120"/>
              <w:ind w:left="431" w:hanging="431"/>
              <w:rPr>
                <w:rFonts w:ascii="Arial" w:hAnsi="Arial" w:cs="Arial"/>
                <w:color w:val="auto"/>
                <w:sz w:val="16"/>
                <w:szCs w:val="16"/>
              </w:rPr>
            </w:pPr>
            <w:r w:rsidRPr="008621E4">
              <w:rPr>
                <w:rFonts w:ascii="Arial" w:hAnsi="Arial" w:cs="Arial"/>
                <w:color w:val="auto"/>
                <w:sz w:val="16"/>
                <w:szCs w:val="16"/>
              </w:rPr>
              <w:t>Izglītības sistēmas pakalpojumi un informācija, kas saistīta ar izglītības sistēmu, integrēta vienotā informācijas sistēmā.</w:t>
            </w:r>
          </w:p>
          <w:p w:rsidR="00535CB5" w:rsidRPr="008621E4" w:rsidRDefault="00535CB5" w:rsidP="005418DE">
            <w:pPr>
              <w:pStyle w:val="Default"/>
              <w:numPr>
                <w:ilvl w:val="0"/>
                <w:numId w:val="34"/>
              </w:numPr>
              <w:spacing w:after="120"/>
              <w:ind w:left="431" w:hanging="431"/>
              <w:rPr>
                <w:rFonts w:ascii="Arial" w:hAnsi="Arial" w:cs="Arial"/>
                <w:color w:val="auto"/>
                <w:sz w:val="16"/>
                <w:szCs w:val="16"/>
              </w:rPr>
            </w:pPr>
            <w:r w:rsidRPr="008621E4">
              <w:rPr>
                <w:rFonts w:ascii="Arial" w:hAnsi="Arial" w:cs="Arial"/>
                <w:color w:val="auto"/>
                <w:sz w:val="16"/>
                <w:szCs w:val="16"/>
              </w:rPr>
              <w:t>Sabiedrība</w:t>
            </w:r>
            <w:r w:rsidR="00213F29">
              <w:rPr>
                <w:rFonts w:ascii="Arial" w:hAnsi="Arial" w:cs="Arial"/>
                <w:color w:val="auto"/>
                <w:sz w:val="16"/>
                <w:szCs w:val="16"/>
              </w:rPr>
              <w:t>,</w:t>
            </w:r>
            <w:r w:rsidRPr="008621E4">
              <w:rPr>
                <w:rFonts w:ascii="Arial" w:hAnsi="Arial" w:cs="Arial"/>
                <w:color w:val="auto"/>
                <w:sz w:val="16"/>
                <w:szCs w:val="16"/>
              </w:rPr>
              <w:t xml:space="preserve"> iestādes un pašvaldības iegūs pilnvērtīgus rīkus, kas pilnveidos izglītības sistēmas kvalitāti:</w:t>
            </w:r>
          </w:p>
          <w:p w:rsidR="00535CB5" w:rsidRPr="008621E4" w:rsidRDefault="00541C39" w:rsidP="005418DE">
            <w:pPr>
              <w:pStyle w:val="Default"/>
              <w:numPr>
                <w:ilvl w:val="1"/>
                <w:numId w:val="36"/>
              </w:numPr>
              <w:ind w:left="594"/>
              <w:rPr>
                <w:rFonts w:ascii="Arial" w:hAnsi="Arial" w:cs="Arial"/>
                <w:sz w:val="16"/>
                <w:szCs w:val="16"/>
              </w:rPr>
            </w:pPr>
            <w:r>
              <w:rPr>
                <w:rFonts w:ascii="Arial" w:hAnsi="Arial" w:cs="Arial"/>
                <w:sz w:val="16"/>
                <w:szCs w:val="16"/>
              </w:rPr>
              <w:t>j</w:t>
            </w:r>
            <w:r w:rsidR="00535CB5" w:rsidRPr="008621E4">
              <w:rPr>
                <w:rFonts w:ascii="Arial" w:hAnsi="Arial" w:cs="Arial"/>
                <w:sz w:val="16"/>
                <w:szCs w:val="16"/>
              </w:rPr>
              <w:t xml:space="preserve">auni e-pakalpojumi nodrošinās iespēju iegūt </w:t>
            </w:r>
            <w:r w:rsidR="00630047">
              <w:rPr>
                <w:rFonts w:ascii="Arial" w:hAnsi="Arial" w:cs="Arial"/>
                <w:sz w:val="16"/>
                <w:szCs w:val="16"/>
              </w:rPr>
              <w:t>saviem datiem izglītības reģistros</w:t>
            </w:r>
            <w:r w:rsidR="00535CB5">
              <w:rPr>
                <w:rFonts w:ascii="Arial" w:hAnsi="Arial" w:cs="Arial"/>
                <w:sz w:val="16"/>
                <w:szCs w:val="16"/>
              </w:rPr>
              <w:t xml:space="preserve"> un bērnu uzraudzības pakalpojumu sniedzējiem</w:t>
            </w:r>
            <w:r>
              <w:rPr>
                <w:rFonts w:ascii="Arial" w:hAnsi="Arial" w:cs="Arial"/>
                <w:sz w:val="16"/>
                <w:szCs w:val="16"/>
              </w:rPr>
              <w:t>;</w:t>
            </w:r>
          </w:p>
          <w:p w:rsidR="00535CB5" w:rsidRPr="006309D9" w:rsidRDefault="00541C39" w:rsidP="005418DE">
            <w:pPr>
              <w:pStyle w:val="Default"/>
              <w:numPr>
                <w:ilvl w:val="1"/>
                <w:numId w:val="36"/>
              </w:numPr>
              <w:ind w:left="594"/>
              <w:rPr>
                <w:rFonts w:ascii="Arial" w:hAnsi="Arial" w:cs="Arial"/>
                <w:sz w:val="16"/>
                <w:szCs w:val="16"/>
              </w:rPr>
            </w:pPr>
            <w:r>
              <w:rPr>
                <w:rFonts w:ascii="Arial" w:hAnsi="Arial" w:cs="Arial"/>
                <w:sz w:val="16"/>
                <w:szCs w:val="16"/>
              </w:rPr>
              <w:t>e</w:t>
            </w:r>
            <w:r w:rsidR="00535CB5" w:rsidRPr="008621E4">
              <w:rPr>
                <w:rFonts w:ascii="Arial" w:hAnsi="Arial" w:cs="Arial"/>
                <w:sz w:val="16"/>
                <w:szCs w:val="16"/>
              </w:rPr>
              <w:t>fektivitātes uzlabojumi valsts atbalsta funkciju nodrošināšanā</w:t>
            </w:r>
            <w:r>
              <w:rPr>
                <w:rFonts w:ascii="Arial" w:hAnsi="Arial" w:cs="Arial"/>
                <w:sz w:val="16"/>
                <w:szCs w:val="16"/>
              </w:rPr>
              <w:t>;</w:t>
            </w:r>
          </w:p>
          <w:p w:rsidR="00535CB5" w:rsidRPr="008621E4" w:rsidRDefault="00541C39" w:rsidP="005418DE">
            <w:pPr>
              <w:pStyle w:val="Default"/>
              <w:numPr>
                <w:ilvl w:val="1"/>
                <w:numId w:val="36"/>
              </w:numPr>
              <w:spacing w:after="120"/>
              <w:ind w:left="589" w:hanging="357"/>
              <w:rPr>
                <w:rFonts w:ascii="Arial" w:hAnsi="Arial" w:cs="Arial"/>
                <w:sz w:val="16"/>
                <w:szCs w:val="16"/>
              </w:rPr>
            </w:pPr>
            <w:r>
              <w:rPr>
                <w:rFonts w:ascii="Arial" w:hAnsi="Arial" w:cs="Arial"/>
                <w:sz w:val="16"/>
                <w:szCs w:val="16"/>
              </w:rPr>
              <w:t>a</w:t>
            </w:r>
            <w:r w:rsidR="00535CB5" w:rsidRPr="008621E4">
              <w:rPr>
                <w:rFonts w:ascii="Arial" w:hAnsi="Arial" w:cs="Arial"/>
                <w:sz w:val="16"/>
                <w:szCs w:val="16"/>
              </w:rPr>
              <w:t>dministratīvā sloga mazināšanās.</w:t>
            </w:r>
          </w:p>
          <w:p w:rsidR="00535CB5" w:rsidRPr="008621E4" w:rsidRDefault="006345FC" w:rsidP="005418DE">
            <w:pPr>
              <w:pStyle w:val="Default"/>
              <w:numPr>
                <w:ilvl w:val="0"/>
                <w:numId w:val="34"/>
              </w:numPr>
              <w:spacing w:after="120"/>
              <w:ind w:left="431" w:hanging="431"/>
              <w:rPr>
                <w:rFonts w:ascii="Arial" w:hAnsi="Arial" w:cs="Arial"/>
                <w:sz w:val="16"/>
                <w:szCs w:val="16"/>
                <w:lang w:eastAsia="en-US"/>
              </w:rPr>
            </w:pPr>
            <w:r>
              <w:rPr>
                <w:rFonts w:ascii="Arial" w:hAnsi="Arial" w:cs="Arial"/>
                <w:color w:val="auto"/>
                <w:sz w:val="16"/>
                <w:szCs w:val="16"/>
              </w:rPr>
              <w:t xml:space="preserve">Iedzīvotāju </w:t>
            </w:r>
            <w:r w:rsidR="00535CB5" w:rsidRPr="008621E4">
              <w:rPr>
                <w:rFonts w:ascii="Arial" w:hAnsi="Arial" w:cs="Arial"/>
                <w:color w:val="auto"/>
                <w:sz w:val="16"/>
                <w:szCs w:val="16"/>
              </w:rPr>
              <w:t>laika ietaupījumi.</w:t>
            </w:r>
          </w:p>
        </w:tc>
      </w:tr>
    </w:tbl>
    <w:p w:rsidR="00535CB5" w:rsidRDefault="00535CB5" w:rsidP="00535CB5">
      <w:pPr>
        <w:pStyle w:val="BodyText"/>
        <w:rPr>
          <w:highlight w:val="yellow"/>
        </w:rPr>
        <w:sectPr w:rsidR="00535CB5" w:rsidSect="004F0892">
          <w:headerReference w:type="even" r:id="rId16"/>
          <w:headerReference w:type="default" r:id="rId17"/>
          <w:footerReference w:type="default" r:id="rId18"/>
          <w:pgSz w:w="11906" w:h="16838"/>
          <w:pgMar w:top="1440" w:right="1276" w:bottom="1440" w:left="1361" w:header="709" w:footer="709" w:gutter="0"/>
          <w:cols w:space="708"/>
          <w:docGrid w:linePitch="360"/>
        </w:sectPr>
      </w:pPr>
    </w:p>
    <w:p w:rsidR="00535CB5" w:rsidRPr="003C61E9" w:rsidRDefault="00535CB5" w:rsidP="00976F4C">
      <w:pPr>
        <w:pStyle w:val="Caption"/>
        <w:jc w:val="right"/>
      </w:pPr>
      <w:bookmarkStart w:id="71" w:name="_Ref378951351"/>
      <w:r>
        <w:lastRenderedPageBreak/>
        <w:t xml:space="preserve">Tabula </w:t>
      </w:r>
      <w:r w:rsidR="002B7ACB">
        <w:fldChar w:fldCharType="begin"/>
      </w:r>
      <w:r w:rsidR="006865B2">
        <w:instrText xml:space="preserve"> SEQ Tabula \* ARABIC </w:instrText>
      </w:r>
      <w:r w:rsidR="002B7ACB">
        <w:fldChar w:fldCharType="separate"/>
      </w:r>
      <w:r w:rsidR="00520315">
        <w:rPr>
          <w:noProof/>
        </w:rPr>
        <w:t>12</w:t>
      </w:r>
      <w:r w:rsidR="002B7ACB">
        <w:rPr>
          <w:noProof/>
        </w:rPr>
        <w:fldChar w:fldCharType="end"/>
      </w:r>
      <w:bookmarkEnd w:id="71"/>
      <w:r w:rsidR="006D7464">
        <w:t xml:space="preserve">. </w:t>
      </w:r>
      <w:r w:rsidRPr="00C328A1">
        <w:t>Projekta alternatīvu un izmaksu efektivitātes novērtējums</w:t>
      </w:r>
    </w:p>
    <w:p w:rsidR="00535CB5" w:rsidRPr="002C6C52" w:rsidRDefault="002D3C34" w:rsidP="004A636E">
      <w:pPr>
        <w:pStyle w:val="BodyText"/>
        <w:ind w:left="-567"/>
        <w:jc w:val="center"/>
      </w:pPr>
      <w:r w:rsidRPr="002D3C34">
        <w:rPr>
          <w:noProof/>
        </w:rPr>
        <w:drawing>
          <wp:inline distT="0" distB="0" distL="0" distR="0" wp14:anchorId="2EAE0D39" wp14:editId="663E0D36">
            <wp:extent cx="9604858" cy="380928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24237" cy="3816975"/>
                    </a:xfrm>
                    <a:prstGeom prst="rect">
                      <a:avLst/>
                    </a:prstGeom>
                    <a:noFill/>
                    <a:ln>
                      <a:noFill/>
                    </a:ln>
                  </pic:spPr>
                </pic:pic>
              </a:graphicData>
            </a:graphic>
          </wp:inline>
        </w:drawing>
      </w:r>
      <w:r w:rsidR="0062347A" w:rsidRPr="0062347A">
        <w:t xml:space="preserve"> </w:t>
      </w:r>
    </w:p>
    <w:p w:rsidR="0062347A" w:rsidRDefault="0062347A" w:rsidP="00535CB5">
      <w:pPr>
        <w:pStyle w:val="BodyText"/>
        <w:rPr>
          <w:highlight w:val="yellow"/>
        </w:rPr>
        <w:sectPr w:rsidR="0062347A" w:rsidSect="00535CB5">
          <w:headerReference w:type="default" r:id="rId20"/>
          <w:footerReference w:type="default" r:id="rId21"/>
          <w:pgSz w:w="16838" w:h="11906" w:orient="landscape"/>
          <w:pgMar w:top="1361" w:right="1440" w:bottom="1276" w:left="1440" w:header="709" w:footer="709" w:gutter="0"/>
          <w:cols w:space="708"/>
          <w:docGrid w:linePitch="360"/>
        </w:sectPr>
      </w:pPr>
    </w:p>
    <w:p w:rsidR="00A14898" w:rsidRDefault="00A14898" w:rsidP="00DE2735">
      <w:pPr>
        <w:pStyle w:val="Heading2"/>
      </w:pPr>
      <w:bookmarkStart w:id="72" w:name="_Toc388454867"/>
      <w:r>
        <w:lastRenderedPageBreak/>
        <w:t xml:space="preserve">Plānotās sistēmas </w:t>
      </w:r>
      <w:r w:rsidR="004F4457">
        <w:t>pilnveides</w:t>
      </w:r>
      <w:r>
        <w:t xml:space="preserve"> un uzturēšanas izmaksas un to ietekme uz valsts budžetu</w:t>
      </w:r>
      <w:bookmarkEnd w:id="72"/>
    </w:p>
    <w:p w:rsidR="004F4457" w:rsidRDefault="00A14898" w:rsidP="00535CB5">
      <w:pPr>
        <w:pStyle w:val="BodyText"/>
      </w:pPr>
      <w:r>
        <w:t xml:space="preserve">Plānotās </w:t>
      </w:r>
      <w:r w:rsidR="004F4457">
        <w:t xml:space="preserve">VIIS pilnveides </w:t>
      </w:r>
      <w:r>
        <w:t xml:space="preserve">izmaksas </w:t>
      </w:r>
      <w:r w:rsidR="004F4457">
        <w:t>sadalījumā pa pozīcijām norādītas turpinājumā (skatīt tabulu zemāk). Izmaksas pilnā apmērā tiks finansētas no ERAF līdzekļiem 3.</w:t>
      </w:r>
      <w:r w:rsidR="004F4457" w:rsidRPr="004F4457">
        <w:t>2.2.1.1.apakšaktivitātes „Informācijas sistēmu un elektronisko pakalpojumu attīstība”</w:t>
      </w:r>
      <w:r w:rsidR="004F4457">
        <w:t xml:space="preserve"> ietvaros.</w:t>
      </w:r>
    </w:p>
    <w:p w:rsidR="004F4457" w:rsidRDefault="004F4457" w:rsidP="004F4457">
      <w:pPr>
        <w:pStyle w:val="Caption"/>
        <w:jc w:val="right"/>
      </w:pPr>
      <w:r>
        <w:t xml:space="preserve">Tabula </w:t>
      </w:r>
      <w:r w:rsidR="00EE2E74">
        <w:fldChar w:fldCharType="begin"/>
      </w:r>
      <w:r w:rsidR="00EE2E74">
        <w:instrText xml:space="preserve"> SEQ Tabula \* ARABIC </w:instrText>
      </w:r>
      <w:r w:rsidR="00EE2E74">
        <w:fldChar w:fldCharType="separate"/>
      </w:r>
      <w:r>
        <w:rPr>
          <w:noProof/>
        </w:rPr>
        <w:t>13</w:t>
      </w:r>
      <w:r w:rsidR="00EE2E74">
        <w:rPr>
          <w:noProof/>
        </w:rPr>
        <w:fldChar w:fldCharType="end"/>
      </w:r>
      <w:r>
        <w:t>. VIIS pilnveides izmaksas</w:t>
      </w:r>
    </w:p>
    <w:tbl>
      <w:tblPr>
        <w:tblW w:w="5000" w:type="pct"/>
        <w:jc w:val="center"/>
        <w:tblLook w:val="04A0" w:firstRow="1" w:lastRow="0" w:firstColumn="1" w:lastColumn="0" w:noHBand="0" w:noVBand="1"/>
      </w:tblPr>
      <w:tblGrid>
        <w:gridCol w:w="740"/>
        <w:gridCol w:w="6806"/>
        <w:gridCol w:w="1939"/>
      </w:tblGrid>
      <w:tr w:rsidR="004F4457" w:rsidRPr="004F4457" w:rsidTr="00DE2735">
        <w:trPr>
          <w:trHeight w:val="230"/>
          <w:jc w:val="center"/>
        </w:trPr>
        <w:tc>
          <w:tcPr>
            <w:tcW w:w="39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F4457" w:rsidRPr="00DE2735" w:rsidRDefault="004F4457">
            <w:pPr>
              <w:jc w:val="center"/>
              <w:rPr>
                <w:b/>
              </w:rPr>
            </w:pPr>
            <w:r w:rsidRPr="00DE2735">
              <w:rPr>
                <w:b/>
              </w:rPr>
              <w:t>Nr.</w:t>
            </w:r>
          </w:p>
        </w:tc>
        <w:tc>
          <w:tcPr>
            <w:tcW w:w="358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F4457" w:rsidRPr="00DE2735" w:rsidRDefault="004F4457">
            <w:pPr>
              <w:jc w:val="center"/>
              <w:rPr>
                <w:b/>
              </w:rPr>
            </w:pPr>
            <w:r w:rsidRPr="00DE2735">
              <w:rPr>
                <w:b/>
              </w:rPr>
              <w:t>Pozīcija</w:t>
            </w:r>
          </w:p>
        </w:tc>
        <w:tc>
          <w:tcPr>
            <w:tcW w:w="102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4457" w:rsidRPr="00DE2735" w:rsidRDefault="004F4457">
            <w:pPr>
              <w:jc w:val="center"/>
              <w:rPr>
                <w:b/>
              </w:rPr>
            </w:pPr>
            <w:r w:rsidRPr="00DE2735">
              <w:rPr>
                <w:b/>
              </w:rPr>
              <w:t>Summa, kopā (EUR)</w:t>
            </w:r>
          </w:p>
        </w:tc>
      </w:tr>
      <w:tr w:rsidR="004F4457" w:rsidRPr="004F4457" w:rsidTr="00DE2735">
        <w:trPr>
          <w:trHeight w:val="230"/>
          <w:jc w:val="center"/>
        </w:trPr>
        <w:tc>
          <w:tcPr>
            <w:tcW w:w="39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4457" w:rsidRPr="004F4457" w:rsidRDefault="004F4457"/>
        </w:tc>
        <w:tc>
          <w:tcPr>
            <w:tcW w:w="358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4457" w:rsidRPr="004F4457" w:rsidRDefault="004F4457"/>
        </w:tc>
        <w:tc>
          <w:tcPr>
            <w:tcW w:w="102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F4457" w:rsidRPr="004F4457" w:rsidRDefault="004F4457"/>
        </w:tc>
      </w:tr>
      <w:tr w:rsidR="004F4457" w:rsidRPr="004F4457" w:rsidTr="00DE2735">
        <w:trPr>
          <w:jc w:val="center"/>
        </w:trPr>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457" w:rsidRPr="004F4457" w:rsidRDefault="004F4457" w:rsidP="00DE2735">
            <w:r w:rsidRPr="004F4457">
              <w:t>1.</w:t>
            </w:r>
          </w:p>
        </w:tc>
        <w:tc>
          <w:tcPr>
            <w:tcW w:w="3588" w:type="pct"/>
            <w:tcBorders>
              <w:top w:val="nil"/>
              <w:left w:val="nil"/>
              <w:bottom w:val="single" w:sz="4" w:space="0" w:color="auto"/>
              <w:right w:val="single" w:sz="4" w:space="0" w:color="auto"/>
            </w:tcBorders>
            <w:shd w:val="clear" w:color="auto" w:fill="auto"/>
            <w:vAlign w:val="center"/>
            <w:hideMark/>
          </w:tcPr>
          <w:p w:rsidR="004F4457" w:rsidRPr="004F4457" w:rsidRDefault="004F4457">
            <w:r w:rsidRPr="004F4457">
              <w:t>Informācijas sistēmu vai komunikāciju sistēmu izstrādes un ieviešanas izmaksas</w:t>
            </w:r>
          </w:p>
        </w:tc>
        <w:tc>
          <w:tcPr>
            <w:tcW w:w="1022" w:type="pct"/>
            <w:tcBorders>
              <w:top w:val="nil"/>
              <w:left w:val="nil"/>
              <w:bottom w:val="single" w:sz="4" w:space="0" w:color="auto"/>
              <w:right w:val="single" w:sz="4" w:space="0" w:color="auto"/>
            </w:tcBorders>
            <w:shd w:val="clear" w:color="auto" w:fill="auto"/>
            <w:noWrap/>
            <w:vAlign w:val="center"/>
            <w:hideMark/>
          </w:tcPr>
          <w:p w:rsidR="004F4457" w:rsidRPr="004F4457" w:rsidRDefault="004F4457">
            <w:pPr>
              <w:jc w:val="right"/>
            </w:pPr>
            <w:r w:rsidRPr="004F4457">
              <w:t>1 068</w:t>
            </w:r>
            <w:r>
              <w:t> </w:t>
            </w:r>
            <w:r w:rsidRPr="004F4457">
              <w:t>711</w:t>
            </w:r>
            <w:r>
              <w:t>,00</w:t>
            </w:r>
          </w:p>
        </w:tc>
      </w:tr>
      <w:tr w:rsidR="004F4457" w:rsidRPr="004F4457" w:rsidTr="00DE2735">
        <w:trPr>
          <w:jc w:val="center"/>
        </w:trPr>
        <w:tc>
          <w:tcPr>
            <w:tcW w:w="390" w:type="pct"/>
            <w:tcBorders>
              <w:top w:val="nil"/>
              <w:left w:val="single" w:sz="4" w:space="0" w:color="auto"/>
              <w:bottom w:val="nil"/>
              <w:right w:val="nil"/>
            </w:tcBorders>
            <w:shd w:val="clear" w:color="auto" w:fill="auto"/>
            <w:noWrap/>
            <w:vAlign w:val="center"/>
            <w:hideMark/>
          </w:tcPr>
          <w:p w:rsidR="004F4457" w:rsidRPr="00DE2735" w:rsidRDefault="004F4457" w:rsidP="00DE2735">
            <w:pPr>
              <w:rPr>
                <w:iCs/>
              </w:rPr>
            </w:pPr>
            <w:r w:rsidRPr="00DE2735">
              <w:rPr>
                <w:iCs/>
              </w:rPr>
              <w:t>1.1.</w:t>
            </w:r>
          </w:p>
        </w:tc>
        <w:tc>
          <w:tcPr>
            <w:tcW w:w="3588" w:type="pct"/>
            <w:tcBorders>
              <w:top w:val="nil"/>
              <w:left w:val="single" w:sz="4" w:space="0" w:color="auto"/>
              <w:bottom w:val="nil"/>
              <w:right w:val="single" w:sz="4" w:space="0" w:color="auto"/>
            </w:tcBorders>
            <w:shd w:val="clear" w:color="auto" w:fill="auto"/>
            <w:noWrap/>
            <w:vAlign w:val="center"/>
            <w:hideMark/>
          </w:tcPr>
          <w:p w:rsidR="004F4457" w:rsidRPr="00DE2735" w:rsidRDefault="004F4457">
            <w:pPr>
              <w:rPr>
                <w:iCs/>
              </w:rPr>
            </w:pPr>
            <w:r w:rsidRPr="00DE2735">
              <w:rPr>
                <w:iCs/>
              </w:rPr>
              <w:t>Augstākās izglītības moduļa izstrāde</w:t>
            </w:r>
          </w:p>
        </w:tc>
        <w:tc>
          <w:tcPr>
            <w:tcW w:w="1022" w:type="pct"/>
            <w:tcBorders>
              <w:top w:val="nil"/>
              <w:left w:val="nil"/>
              <w:bottom w:val="nil"/>
              <w:right w:val="single" w:sz="4" w:space="0" w:color="auto"/>
            </w:tcBorders>
            <w:shd w:val="clear" w:color="auto" w:fill="auto"/>
            <w:noWrap/>
            <w:vAlign w:val="center"/>
            <w:hideMark/>
          </w:tcPr>
          <w:p w:rsidR="004F4457" w:rsidRPr="00DE2735" w:rsidRDefault="004F4457">
            <w:pPr>
              <w:jc w:val="right"/>
              <w:rPr>
                <w:iCs/>
              </w:rPr>
            </w:pPr>
            <w:r w:rsidRPr="00DE2735">
              <w:rPr>
                <w:iCs/>
              </w:rPr>
              <w:t>213</w:t>
            </w:r>
            <w:r>
              <w:rPr>
                <w:iCs/>
              </w:rPr>
              <w:t> </w:t>
            </w:r>
            <w:r w:rsidRPr="00DE2735">
              <w:rPr>
                <w:iCs/>
              </w:rPr>
              <w:t>742</w:t>
            </w:r>
            <w:r>
              <w:rPr>
                <w:iCs/>
              </w:rPr>
              <w:t>,00</w:t>
            </w:r>
          </w:p>
        </w:tc>
      </w:tr>
      <w:tr w:rsidR="004F4457" w:rsidRPr="004F4457" w:rsidTr="00DE2735">
        <w:trPr>
          <w:jc w:val="center"/>
        </w:trPr>
        <w:tc>
          <w:tcPr>
            <w:tcW w:w="390" w:type="pct"/>
            <w:tcBorders>
              <w:top w:val="nil"/>
              <w:left w:val="single" w:sz="4" w:space="0" w:color="auto"/>
              <w:bottom w:val="nil"/>
              <w:right w:val="nil"/>
            </w:tcBorders>
            <w:shd w:val="clear" w:color="auto" w:fill="auto"/>
            <w:noWrap/>
            <w:vAlign w:val="center"/>
            <w:hideMark/>
          </w:tcPr>
          <w:p w:rsidR="004F4457" w:rsidRPr="00DE2735" w:rsidRDefault="004F4457" w:rsidP="00DE2735">
            <w:pPr>
              <w:rPr>
                <w:iCs/>
              </w:rPr>
            </w:pPr>
            <w:r w:rsidRPr="00DE2735">
              <w:rPr>
                <w:iCs/>
              </w:rPr>
              <w:t>1.2.</w:t>
            </w:r>
          </w:p>
        </w:tc>
        <w:tc>
          <w:tcPr>
            <w:tcW w:w="3588" w:type="pct"/>
            <w:tcBorders>
              <w:top w:val="nil"/>
              <w:left w:val="single" w:sz="4" w:space="0" w:color="auto"/>
              <w:bottom w:val="nil"/>
              <w:right w:val="single" w:sz="4" w:space="0" w:color="auto"/>
            </w:tcBorders>
            <w:shd w:val="clear" w:color="auto" w:fill="auto"/>
            <w:noWrap/>
            <w:vAlign w:val="center"/>
            <w:hideMark/>
          </w:tcPr>
          <w:p w:rsidR="004F4457" w:rsidRPr="00DE2735" w:rsidRDefault="004F4457">
            <w:pPr>
              <w:rPr>
                <w:iCs/>
              </w:rPr>
            </w:pPr>
            <w:r w:rsidRPr="00DE2735">
              <w:rPr>
                <w:iCs/>
              </w:rPr>
              <w:t>E-pakalpojumu izstrāde</w:t>
            </w:r>
          </w:p>
        </w:tc>
        <w:tc>
          <w:tcPr>
            <w:tcW w:w="1022" w:type="pct"/>
            <w:tcBorders>
              <w:top w:val="nil"/>
              <w:left w:val="nil"/>
              <w:bottom w:val="nil"/>
              <w:right w:val="single" w:sz="4" w:space="0" w:color="auto"/>
            </w:tcBorders>
            <w:shd w:val="clear" w:color="auto" w:fill="auto"/>
            <w:noWrap/>
            <w:vAlign w:val="center"/>
            <w:hideMark/>
          </w:tcPr>
          <w:p w:rsidR="004F4457" w:rsidRPr="00DE2735" w:rsidRDefault="004F4457">
            <w:pPr>
              <w:jc w:val="right"/>
              <w:rPr>
                <w:iCs/>
              </w:rPr>
            </w:pPr>
            <w:r w:rsidRPr="00DE2735">
              <w:rPr>
                <w:iCs/>
              </w:rPr>
              <w:t>374</w:t>
            </w:r>
            <w:r>
              <w:rPr>
                <w:iCs/>
              </w:rPr>
              <w:t> </w:t>
            </w:r>
            <w:r w:rsidRPr="00DE2735">
              <w:rPr>
                <w:iCs/>
              </w:rPr>
              <w:t>049</w:t>
            </w:r>
            <w:r>
              <w:rPr>
                <w:iCs/>
              </w:rPr>
              <w:t>,00</w:t>
            </w:r>
          </w:p>
        </w:tc>
      </w:tr>
      <w:tr w:rsidR="004F4457" w:rsidRPr="004F4457" w:rsidTr="00DE2735">
        <w:trPr>
          <w:jc w:val="center"/>
        </w:trPr>
        <w:tc>
          <w:tcPr>
            <w:tcW w:w="390" w:type="pct"/>
            <w:tcBorders>
              <w:top w:val="nil"/>
              <w:left w:val="single" w:sz="4" w:space="0" w:color="auto"/>
              <w:bottom w:val="nil"/>
              <w:right w:val="nil"/>
            </w:tcBorders>
            <w:shd w:val="clear" w:color="auto" w:fill="auto"/>
            <w:noWrap/>
            <w:vAlign w:val="center"/>
            <w:hideMark/>
          </w:tcPr>
          <w:p w:rsidR="004F4457" w:rsidRPr="00DE2735" w:rsidRDefault="004F4457" w:rsidP="00DE2735">
            <w:pPr>
              <w:rPr>
                <w:iCs/>
              </w:rPr>
            </w:pPr>
            <w:r w:rsidRPr="00DE2735">
              <w:rPr>
                <w:iCs/>
              </w:rPr>
              <w:t>1.3.</w:t>
            </w:r>
          </w:p>
        </w:tc>
        <w:tc>
          <w:tcPr>
            <w:tcW w:w="3588" w:type="pct"/>
            <w:tcBorders>
              <w:top w:val="nil"/>
              <w:left w:val="single" w:sz="4" w:space="0" w:color="auto"/>
              <w:bottom w:val="nil"/>
              <w:right w:val="single" w:sz="4" w:space="0" w:color="auto"/>
            </w:tcBorders>
            <w:shd w:val="clear" w:color="auto" w:fill="auto"/>
            <w:noWrap/>
            <w:vAlign w:val="center"/>
            <w:hideMark/>
          </w:tcPr>
          <w:p w:rsidR="004F4457" w:rsidRPr="00DE2735" w:rsidRDefault="004F4457">
            <w:pPr>
              <w:rPr>
                <w:iCs/>
              </w:rPr>
            </w:pPr>
            <w:r w:rsidRPr="00DE2735">
              <w:rPr>
                <w:iCs/>
              </w:rPr>
              <w:t>VIIS uzkrāto datu izguves uzlabošana</w:t>
            </w:r>
          </w:p>
        </w:tc>
        <w:tc>
          <w:tcPr>
            <w:tcW w:w="1022" w:type="pct"/>
            <w:tcBorders>
              <w:top w:val="nil"/>
              <w:left w:val="nil"/>
              <w:bottom w:val="nil"/>
              <w:right w:val="single" w:sz="4" w:space="0" w:color="auto"/>
            </w:tcBorders>
            <w:shd w:val="clear" w:color="auto" w:fill="auto"/>
            <w:noWrap/>
            <w:vAlign w:val="center"/>
            <w:hideMark/>
          </w:tcPr>
          <w:p w:rsidR="004F4457" w:rsidRPr="00DE2735" w:rsidRDefault="004F4457">
            <w:pPr>
              <w:jc w:val="right"/>
              <w:rPr>
                <w:iCs/>
              </w:rPr>
            </w:pPr>
            <w:r w:rsidRPr="00DE2735">
              <w:rPr>
                <w:iCs/>
              </w:rPr>
              <w:t>320</w:t>
            </w:r>
            <w:r>
              <w:rPr>
                <w:iCs/>
              </w:rPr>
              <w:t> </w:t>
            </w:r>
            <w:r w:rsidRPr="00DE2735">
              <w:rPr>
                <w:iCs/>
              </w:rPr>
              <w:t>613</w:t>
            </w:r>
            <w:r>
              <w:rPr>
                <w:iCs/>
              </w:rPr>
              <w:t>,00</w:t>
            </w:r>
          </w:p>
        </w:tc>
      </w:tr>
      <w:tr w:rsidR="004F4457" w:rsidRPr="004F4457" w:rsidTr="00DE2735">
        <w:trPr>
          <w:jc w:val="center"/>
        </w:trPr>
        <w:tc>
          <w:tcPr>
            <w:tcW w:w="390" w:type="pct"/>
            <w:tcBorders>
              <w:top w:val="nil"/>
              <w:left w:val="single" w:sz="4" w:space="0" w:color="auto"/>
              <w:bottom w:val="nil"/>
              <w:right w:val="nil"/>
            </w:tcBorders>
            <w:shd w:val="clear" w:color="auto" w:fill="auto"/>
            <w:noWrap/>
            <w:vAlign w:val="center"/>
            <w:hideMark/>
          </w:tcPr>
          <w:p w:rsidR="004F4457" w:rsidRPr="00DE2735" w:rsidRDefault="004F4457" w:rsidP="00DE2735">
            <w:pPr>
              <w:rPr>
                <w:iCs/>
              </w:rPr>
            </w:pPr>
            <w:r w:rsidRPr="00DE2735">
              <w:rPr>
                <w:iCs/>
              </w:rPr>
              <w:t>1.4.</w:t>
            </w:r>
          </w:p>
        </w:tc>
        <w:tc>
          <w:tcPr>
            <w:tcW w:w="3588" w:type="pct"/>
            <w:tcBorders>
              <w:top w:val="nil"/>
              <w:left w:val="single" w:sz="4" w:space="0" w:color="auto"/>
              <w:bottom w:val="nil"/>
              <w:right w:val="single" w:sz="4" w:space="0" w:color="auto"/>
            </w:tcBorders>
            <w:shd w:val="clear" w:color="auto" w:fill="auto"/>
            <w:noWrap/>
            <w:vAlign w:val="center"/>
            <w:hideMark/>
          </w:tcPr>
          <w:p w:rsidR="004F4457" w:rsidRPr="00DE2735" w:rsidRDefault="004F4457">
            <w:pPr>
              <w:rPr>
                <w:iCs/>
              </w:rPr>
            </w:pPr>
            <w:r w:rsidRPr="00DE2735">
              <w:rPr>
                <w:iCs/>
              </w:rPr>
              <w:t>VIIS datu apmaiņas risinājuma attīstība</w:t>
            </w:r>
          </w:p>
        </w:tc>
        <w:tc>
          <w:tcPr>
            <w:tcW w:w="1022" w:type="pct"/>
            <w:tcBorders>
              <w:top w:val="nil"/>
              <w:left w:val="nil"/>
              <w:bottom w:val="nil"/>
              <w:right w:val="single" w:sz="4" w:space="0" w:color="auto"/>
            </w:tcBorders>
            <w:shd w:val="clear" w:color="auto" w:fill="auto"/>
            <w:noWrap/>
            <w:vAlign w:val="center"/>
            <w:hideMark/>
          </w:tcPr>
          <w:p w:rsidR="004F4457" w:rsidRPr="00DE2735" w:rsidRDefault="004F4457">
            <w:pPr>
              <w:jc w:val="right"/>
              <w:rPr>
                <w:iCs/>
              </w:rPr>
            </w:pPr>
            <w:r w:rsidRPr="00DE2735">
              <w:rPr>
                <w:iCs/>
              </w:rPr>
              <w:t>160</w:t>
            </w:r>
            <w:r>
              <w:rPr>
                <w:iCs/>
              </w:rPr>
              <w:t> </w:t>
            </w:r>
            <w:r w:rsidRPr="00DE2735">
              <w:rPr>
                <w:iCs/>
              </w:rPr>
              <w:t>307</w:t>
            </w:r>
            <w:r>
              <w:rPr>
                <w:iCs/>
              </w:rPr>
              <w:t>,00</w:t>
            </w:r>
          </w:p>
        </w:tc>
      </w:tr>
      <w:tr w:rsidR="004F4457" w:rsidRPr="004F4457" w:rsidTr="00DE2735">
        <w:trPr>
          <w:jc w:val="center"/>
        </w:trPr>
        <w:tc>
          <w:tcPr>
            <w:tcW w:w="390" w:type="pct"/>
            <w:tcBorders>
              <w:top w:val="single" w:sz="4" w:space="0" w:color="auto"/>
              <w:left w:val="single" w:sz="4" w:space="0" w:color="auto"/>
              <w:bottom w:val="single" w:sz="4" w:space="0" w:color="auto"/>
              <w:right w:val="nil"/>
            </w:tcBorders>
            <w:shd w:val="clear" w:color="auto" w:fill="auto"/>
            <w:noWrap/>
            <w:vAlign w:val="center"/>
            <w:hideMark/>
          </w:tcPr>
          <w:p w:rsidR="004F4457" w:rsidRPr="004F4457" w:rsidRDefault="004F4457" w:rsidP="00DE2735">
            <w:r w:rsidRPr="004F4457">
              <w:t>2.</w:t>
            </w:r>
          </w:p>
        </w:tc>
        <w:tc>
          <w:tcPr>
            <w:tcW w:w="3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4457" w:rsidRPr="004F4457" w:rsidRDefault="004F4457">
            <w:r w:rsidRPr="004F4457">
              <w:t>Ar projektu saistītās sistēmas programmatūras izstrādes un ieviešanas kvalitātes kontroles veikšanas izmaksas</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4F4457" w:rsidRPr="004F4457" w:rsidRDefault="004F4457">
            <w:pPr>
              <w:jc w:val="right"/>
              <w:rPr>
                <w:i/>
                <w:iCs/>
              </w:rPr>
            </w:pPr>
            <w:r w:rsidRPr="004F4457">
              <w:rPr>
                <w:i/>
                <w:iCs/>
              </w:rPr>
              <w:t>127</w:t>
            </w:r>
            <w:r>
              <w:rPr>
                <w:i/>
                <w:iCs/>
              </w:rPr>
              <w:t> </w:t>
            </w:r>
            <w:r w:rsidRPr="004F4457">
              <w:rPr>
                <w:i/>
                <w:iCs/>
              </w:rPr>
              <w:t>078</w:t>
            </w:r>
            <w:r>
              <w:rPr>
                <w:i/>
                <w:iCs/>
              </w:rPr>
              <w:t>,00</w:t>
            </w:r>
          </w:p>
        </w:tc>
      </w:tr>
      <w:tr w:rsidR="004F4457" w:rsidRPr="004F4457" w:rsidTr="00DE2735">
        <w:trPr>
          <w:jc w:val="center"/>
        </w:trPr>
        <w:tc>
          <w:tcPr>
            <w:tcW w:w="390" w:type="pct"/>
            <w:tcBorders>
              <w:top w:val="single" w:sz="4" w:space="0" w:color="auto"/>
              <w:left w:val="single" w:sz="4" w:space="0" w:color="auto"/>
              <w:bottom w:val="single" w:sz="4" w:space="0" w:color="auto"/>
              <w:right w:val="nil"/>
            </w:tcBorders>
            <w:shd w:val="clear" w:color="auto" w:fill="auto"/>
            <w:noWrap/>
            <w:vAlign w:val="center"/>
            <w:hideMark/>
          </w:tcPr>
          <w:p w:rsidR="004F4457" w:rsidRPr="004F4457" w:rsidRDefault="004F4457" w:rsidP="00DE2735">
            <w:r w:rsidRPr="004F4457">
              <w:t>3.</w:t>
            </w:r>
          </w:p>
        </w:tc>
        <w:tc>
          <w:tcPr>
            <w:tcW w:w="35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4457" w:rsidRPr="004F4457" w:rsidRDefault="004F4457">
            <w:r w:rsidRPr="004F4457">
              <w:t>Tehniskās infrastruktūras un standarta programmatūras iegādes izmaksas</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rsidR="004F4457" w:rsidRPr="004F4457" w:rsidRDefault="004F4457">
            <w:pPr>
              <w:jc w:val="right"/>
            </w:pPr>
            <w:r w:rsidRPr="004F4457">
              <w:t>75</w:t>
            </w:r>
            <w:r>
              <w:t> </w:t>
            </w:r>
            <w:r w:rsidRPr="004F4457">
              <w:t>000</w:t>
            </w:r>
            <w:r>
              <w:t>,00</w:t>
            </w:r>
          </w:p>
        </w:tc>
      </w:tr>
      <w:tr w:rsidR="004F4457" w:rsidRPr="004F4457" w:rsidTr="00DE2735">
        <w:trPr>
          <w:jc w:val="center"/>
        </w:trPr>
        <w:tc>
          <w:tcPr>
            <w:tcW w:w="39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F4457" w:rsidRPr="00DE2735" w:rsidRDefault="004F4457" w:rsidP="004F4457">
            <w:pPr>
              <w:rPr>
                <w:b/>
              </w:rPr>
            </w:pPr>
            <w:r w:rsidRPr="00DE2735">
              <w:rPr>
                <w:b/>
              </w:rPr>
              <w:t>KOPĀ</w:t>
            </w:r>
          </w:p>
        </w:tc>
        <w:tc>
          <w:tcPr>
            <w:tcW w:w="1022" w:type="pct"/>
            <w:tcBorders>
              <w:top w:val="single" w:sz="4" w:space="0" w:color="auto"/>
              <w:left w:val="nil"/>
              <w:bottom w:val="single" w:sz="4" w:space="0" w:color="auto"/>
              <w:right w:val="single" w:sz="4" w:space="0" w:color="auto"/>
            </w:tcBorders>
            <w:shd w:val="clear" w:color="auto" w:fill="auto"/>
            <w:noWrap/>
            <w:vAlign w:val="center"/>
          </w:tcPr>
          <w:p w:rsidR="004F4457" w:rsidRPr="00DE2735" w:rsidRDefault="004F4457" w:rsidP="00DE2735">
            <w:pPr>
              <w:jc w:val="right"/>
              <w:rPr>
                <w:b/>
              </w:rPr>
            </w:pPr>
            <w:r w:rsidRPr="00DE2735">
              <w:rPr>
                <w:b/>
              </w:rPr>
              <w:t>1 270</w:t>
            </w:r>
            <w:r>
              <w:rPr>
                <w:b/>
              </w:rPr>
              <w:t> </w:t>
            </w:r>
            <w:r w:rsidRPr="00DE2735">
              <w:rPr>
                <w:b/>
              </w:rPr>
              <w:t>789</w:t>
            </w:r>
            <w:r>
              <w:rPr>
                <w:b/>
              </w:rPr>
              <w:t>,00</w:t>
            </w:r>
          </w:p>
        </w:tc>
      </w:tr>
    </w:tbl>
    <w:p w:rsidR="00A14898" w:rsidRDefault="004F4457" w:rsidP="00535CB5">
      <w:pPr>
        <w:pStyle w:val="BodyText"/>
      </w:pPr>
      <w:r>
        <w:t>Plānotās VIIS uzturēšanas izmaksas</w:t>
      </w:r>
      <w:r w:rsidRPr="004F4457">
        <w:t xml:space="preserve"> pēc informācijas sistēmas </w:t>
      </w:r>
      <w:r>
        <w:t>un e-pakalpojumu</w:t>
      </w:r>
      <w:r w:rsidRPr="004F4457">
        <w:t xml:space="preserve"> nodošanas produkcijas </w:t>
      </w:r>
      <w:r>
        <w:t xml:space="preserve">vidē atbilstoši </w:t>
      </w:r>
      <w:r w:rsidRPr="004F4457">
        <w:t>Ministru kabineta 2010.gada 10.augusta noteikumu Nr.766 “Noteikumi par darbības programmas “Infrastruktūra un pakalpojumi” papildinājuma 3.2.2.1.1.apakšaktivitātes “Informācijas sistēmu un elektronisko pakalpojumu attīstība” projektu iesniegumu otru, trešo, cet</w:t>
      </w:r>
      <w:r>
        <w:t>urto un piekto kārtu” nosacījumiem tiks finansētas no valsts budžeta līdzekļiem. Plānotās VIIS uzturēšanas izmaksas aprēķinātas, pamatojoties uz šādiem pieņēmumiem</w:t>
      </w:r>
      <w:r w:rsidR="00B54BB6">
        <w:t>:</w:t>
      </w:r>
    </w:p>
    <w:p w:rsidR="00B54BB6" w:rsidRDefault="00B54BB6" w:rsidP="00DE2735">
      <w:pPr>
        <w:pStyle w:val="BodyText"/>
        <w:numPr>
          <w:ilvl w:val="0"/>
          <w:numId w:val="50"/>
        </w:numPr>
      </w:pPr>
      <w:r>
        <w:t>Administrācijas izmaksas pēc VIIS nodošanas produkcijas vidē saglabāsies esošajā (2014.gada) līmenī, katru gadu sastādot EUR 59 760,62.</w:t>
      </w:r>
    </w:p>
    <w:p w:rsidR="00B54BB6" w:rsidRDefault="00B54BB6" w:rsidP="00DE2735">
      <w:pPr>
        <w:pStyle w:val="BodyText"/>
        <w:numPr>
          <w:ilvl w:val="0"/>
          <w:numId w:val="50"/>
        </w:numPr>
      </w:pPr>
      <w:r>
        <w:t>VIIS komponenšu izmaksas uzturēšanas izmaksas pēc VIIS nodošanas produkcijas vidē saglabāsies esošajā (2014.gada) līmenī, katru gadu sastādot EUR 85 372,31.</w:t>
      </w:r>
    </w:p>
    <w:p w:rsidR="00B54BB6" w:rsidRDefault="00B54BB6" w:rsidP="00DE2735">
      <w:pPr>
        <w:pStyle w:val="BodyText"/>
        <w:numPr>
          <w:ilvl w:val="0"/>
          <w:numId w:val="50"/>
        </w:numPr>
      </w:pPr>
      <w:r>
        <w:t>Lai nodrošinātu jaunās VIIS funkcionalitātes darbību un uzturēšanu, plānots pieņemt darba 2 darbiniekus. Šo 2 darbinieku atalgojums VIIS papildinājumu darbības un uzturēšanas nodrošināšanai katru gadu sastādīs EUR 29 483,63. Darbinieku atalgojuma izmaksas aprēķinātas, pieņemot, ka minētie darbinieki tiks klasificēti 36.saimē, II līmenī ar amata nosaukumu „eksperts”. Amatu saimei un līmenim atbilst 9.mēnešalgu grupa. Plānotā mēnešalga EUR 994. Valsts sociālās apdrošināšanas iemaksas aprēķinātas saskaņā ar spēkā esošo darba devēja likmi 23,59%.</w:t>
      </w:r>
    </w:p>
    <w:p w:rsidR="00535CB5" w:rsidRDefault="00BF0645" w:rsidP="00535CB5">
      <w:pPr>
        <w:pStyle w:val="BodyText"/>
      </w:pPr>
      <w:r w:rsidRPr="00BF0645">
        <w:t>Tur</w:t>
      </w:r>
      <w:r>
        <w:t xml:space="preserve">pinājumā sniegta </w:t>
      </w:r>
      <w:r w:rsidRPr="00BF0645">
        <w:t xml:space="preserve">sagaidāmā </w:t>
      </w:r>
      <w:r>
        <w:t>koncepcijas realizēšanas</w:t>
      </w:r>
      <w:r w:rsidRPr="00BF0645">
        <w:t xml:space="preserve"> finansiālā ietekme uz valsts budžetu turpmākajos trīs gados (skatīt tabulu zemāk).</w:t>
      </w:r>
    </w:p>
    <w:p w:rsidR="00BF0645" w:rsidRDefault="00520315" w:rsidP="004A636E">
      <w:pPr>
        <w:pStyle w:val="Caption"/>
        <w:jc w:val="right"/>
      </w:pPr>
      <w:r>
        <w:t xml:space="preserve">Tabula </w:t>
      </w:r>
      <w:r w:rsidR="00EE2E74">
        <w:fldChar w:fldCharType="begin"/>
      </w:r>
      <w:r w:rsidR="00EE2E74">
        <w:instrText xml:space="preserve"> SEQ Tabula \* ARABIC </w:instrText>
      </w:r>
      <w:r w:rsidR="00EE2E74">
        <w:fldChar w:fldCharType="separate"/>
      </w:r>
      <w:r w:rsidR="004F4457">
        <w:rPr>
          <w:noProof/>
        </w:rPr>
        <w:t>14</w:t>
      </w:r>
      <w:r w:rsidR="00EE2E74">
        <w:rPr>
          <w:noProof/>
        </w:rPr>
        <w:fldChar w:fldCharType="end"/>
      </w:r>
      <w:r>
        <w:t xml:space="preserve">. </w:t>
      </w:r>
      <w:r w:rsidRPr="00520315">
        <w:t>Projekta ietekme uz valsts budžetu turpmāko 3 gadu periodā</w:t>
      </w:r>
    </w:p>
    <w:tbl>
      <w:tblPr>
        <w:tblW w:w="5000" w:type="pct"/>
        <w:jc w:val="center"/>
        <w:tblLayout w:type="fixed"/>
        <w:tblCellMar>
          <w:top w:w="15" w:type="dxa"/>
          <w:left w:w="15" w:type="dxa"/>
          <w:bottom w:w="15" w:type="dxa"/>
          <w:right w:w="15" w:type="dxa"/>
        </w:tblCellMar>
        <w:tblLook w:val="0000" w:firstRow="0" w:lastRow="0" w:firstColumn="0" w:lastColumn="0" w:noHBand="0" w:noVBand="0"/>
      </w:tblPr>
      <w:tblGrid>
        <w:gridCol w:w="3983"/>
        <w:gridCol w:w="1702"/>
        <w:gridCol w:w="1843"/>
        <w:gridCol w:w="1771"/>
      </w:tblGrid>
      <w:tr w:rsidR="00BF0645" w:rsidRPr="00BF0645" w:rsidTr="004A636E">
        <w:trPr>
          <w:tblHeader/>
          <w:jc w:val="center"/>
        </w:trPr>
        <w:tc>
          <w:tcPr>
            <w:tcW w:w="2142" w:type="pct"/>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sidRPr="004A636E">
              <w:rPr>
                <w:b/>
                <w:lang w:val="lv-LV"/>
              </w:rPr>
              <w:t>Pozīcijas</w:t>
            </w:r>
          </w:p>
        </w:tc>
        <w:tc>
          <w:tcPr>
            <w:tcW w:w="2858" w:type="pct"/>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sidRPr="004A636E">
              <w:rPr>
                <w:b/>
                <w:lang w:val="lv-LV"/>
              </w:rPr>
              <w:t xml:space="preserve">Turpmākie trīs gadi (tūkst. </w:t>
            </w:r>
            <w:r>
              <w:rPr>
                <w:b/>
                <w:lang w:val="lv-LV"/>
              </w:rPr>
              <w:t>EUR</w:t>
            </w:r>
            <w:r w:rsidRPr="004A636E">
              <w:rPr>
                <w:b/>
                <w:lang w:val="lv-LV"/>
              </w:rPr>
              <w:t>)</w:t>
            </w:r>
          </w:p>
        </w:tc>
      </w:tr>
      <w:tr w:rsidR="00584129" w:rsidRPr="00BF0645" w:rsidTr="004A636E">
        <w:trPr>
          <w:tblHeader/>
          <w:jc w:val="center"/>
        </w:trPr>
        <w:tc>
          <w:tcPr>
            <w:tcW w:w="2142" w:type="pct"/>
            <w:vMerge/>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p>
        </w:tc>
        <w:tc>
          <w:tcPr>
            <w:tcW w:w="915" w:type="pct"/>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Pr>
                <w:b/>
                <w:lang w:val="lv-LV"/>
              </w:rPr>
              <w:t>2015</w:t>
            </w:r>
          </w:p>
        </w:tc>
        <w:tc>
          <w:tcPr>
            <w:tcW w:w="991" w:type="pct"/>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Pr>
                <w:b/>
                <w:lang w:val="lv-LV"/>
              </w:rPr>
              <w:t>2016</w:t>
            </w:r>
          </w:p>
        </w:tc>
        <w:tc>
          <w:tcPr>
            <w:tcW w:w="95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Pr>
                <w:b/>
                <w:lang w:val="lv-LV"/>
              </w:rPr>
              <w:t>2017</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rPr>
                <w:b/>
                <w:lang w:val="lv-LV"/>
              </w:rPr>
            </w:pPr>
            <w:r w:rsidRPr="004A636E">
              <w:rPr>
                <w:b/>
                <w:lang w:val="lv-LV"/>
              </w:rPr>
              <w:t>Kopējās izmaiņas budžeta ieņēmumos t.sk.:</w:t>
            </w:r>
          </w:p>
        </w:tc>
        <w:tc>
          <w:tcPr>
            <w:tcW w:w="915"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rPr>
                <w:b/>
              </w:rPr>
            </w:pPr>
            <w:r w:rsidRPr="004A636E">
              <w:rPr>
                <w:b/>
                <w:lang w:val="lv-LV"/>
              </w:rPr>
              <w:t>0</w:t>
            </w:r>
          </w:p>
        </w:tc>
        <w:tc>
          <w:tcPr>
            <w:tcW w:w="991"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rPr>
                <w:b/>
              </w:rPr>
            </w:pPr>
            <w:r w:rsidRPr="004A636E">
              <w:rPr>
                <w:b/>
                <w:lang w:val="lv-LV"/>
              </w:rPr>
              <w:t>0</w:t>
            </w:r>
          </w:p>
        </w:tc>
        <w:tc>
          <w:tcPr>
            <w:tcW w:w="952" w:type="pct"/>
            <w:tcBorders>
              <w:top w:val="single" w:sz="4" w:space="0" w:color="000000"/>
              <w:left w:val="single" w:sz="4" w:space="0" w:color="000000"/>
              <w:bottom w:val="single" w:sz="4" w:space="0" w:color="000000"/>
              <w:right w:val="single" w:sz="4" w:space="0" w:color="000000"/>
            </w:tcBorders>
            <w:vAlign w:val="center"/>
          </w:tcPr>
          <w:p w:rsidR="00BF0645" w:rsidRPr="004A636E" w:rsidRDefault="00BF0645" w:rsidP="004A636E">
            <w:pPr>
              <w:pStyle w:val="TableText"/>
              <w:rPr>
                <w:b/>
              </w:rPr>
            </w:pPr>
            <w:r w:rsidRPr="004A636E">
              <w:rPr>
                <w:b/>
                <w:lang w:val="lv-LV"/>
              </w:rPr>
              <w:t>0</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Izmaiņas valsts budžeta ieņēmumos</w:t>
            </w:r>
          </w:p>
        </w:tc>
        <w:tc>
          <w:tcPr>
            <w:tcW w:w="915"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0</w:t>
            </w:r>
          </w:p>
        </w:tc>
        <w:tc>
          <w:tcPr>
            <w:tcW w:w="991"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0</w:t>
            </w:r>
          </w:p>
        </w:tc>
        <w:tc>
          <w:tcPr>
            <w:tcW w:w="952" w:type="pct"/>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pPr>
            <w:r w:rsidRPr="004A636E">
              <w:rPr>
                <w:lang w:val="lv-LV"/>
              </w:rPr>
              <w:t>0</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Izmaiņas pašvaldību budžeta ieņēmumos</w:t>
            </w:r>
          </w:p>
        </w:tc>
        <w:tc>
          <w:tcPr>
            <w:tcW w:w="915"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0</w:t>
            </w:r>
          </w:p>
        </w:tc>
        <w:tc>
          <w:tcPr>
            <w:tcW w:w="991"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0</w:t>
            </w:r>
          </w:p>
        </w:tc>
        <w:tc>
          <w:tcPr>
            <w:tcW w:w="952" w:type="pct"/>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pPr>
            <w:r w:rsidRPr="004A636E">
              <w:rPr>
                <w:lang w:val="lv-LV"/>
              </w:rPr>
              <w:t>0</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rPr>
                <w:b/>
                <w:lang w:val="lv-LV"/>
              </w:rPr>
            </w:pPr>
            <w:r w:rsidRPr="004A636E">
              <w:rPr>
                <w:b/>
                <w:lang w:val="lv-LV"/>
              </w:rPr>
              <w:t>Kopējās izmaiņas budžeta izdevumos t.sk.:</w:t>
            </w:r>
          </w:p>
        </w:tc>
        <w:tc>
          <w:tcPr>
            <w:tcW w:w="915"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4A636E">
              <w:rPr>
                <w:b/>
                <w:lang w:val="lv-LV"/>
              </w:rPr>
              <w:t>-</w:t>
            </w:r>
            <w:r>
              <w:rPr>
                <w:b/>
                <w:lang w:val="lv-LV"/>
              </w:rPr>
              <w:t>180,99</w:t>
            </w:r>
          </w:p>
        </w:tc>
        <w:tc>
          <w:tcPr>
            <w:tcW w:w="991"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4A636E">
              <w:rPr>
                <w:b/>
                <w:lang w:val="lv-LV"/>
              </w:rPr>
              <w:t>-</w:t>
            </w:r>
            <w:r>
              <w:rPr>
                <w:b/>
                <w:lang w:val="lv-LV"/>
              </w:rPr>
              <w:t>188,99</w:t>
            </w:r>
          </w:p>
        </w:tc>
        <w:tc>
          <w:tcPr>
            <w:tcW w:w="952" w:type="pct"/>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rPr>
                <w:b/>
              </w:rPr>
            </w:pPr>
            <w:r w:rsidRPr="004A636E">
              <w:rPr>
                <w:b/>
                <w:lang w:val="lv-LV"/>
              </w:rPr>
              <w:t>-</w:t>
            </w:r>
            <w:r>
              <w:rPr>
                <w:b/>
                <w:lang w:val="lv-LV"/>
              </w:rPr>
              <w:t>188,99</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Izmaiņas valsts budžeta izdevumos</w:t>
            </w:r>
          </w:p>
        </w:tc>
        <w:tc>
          <w:tcPr>
            <w:tcW w:w="915"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w:t>
            </w:r>
            <w:r w:rsidRPr="00BF0645">
              <w:rPr>
                <w:lang w:val="lv-LV"/>
              </w:rPr>
              <w:t>188,99</w:t>
            </w:r>
          </w:p>
        </w:tc>
        <w:tc>
          <w:tcPr>
            <w:tcW w:w="991"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w:t>
            </w:r>
            <w:r w:rsidRPr="00BF0645">
              <w:rPr>
                <w:lang w:val="lv-LV"/>
              </w:rPr>
              <w:t>188,99</w:t>
            </w:r>
          </w:p>
        </w:tc>
        <w:tc>
          <w:tcPr>
            <w:tcW w:w="952" w:type="pct"/>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pPr>
            <w:r w:rsidRPr="004A636E">
              <w:rPr>
                <w:lang w:val="lv-LV"/>
              </w:rPr>
              <w:t>-</w:t>
            </w:r>
            <w:r w:rsidRPr="00BF0645">
              <w:rPr>
                <w:lang w:val="lv-LV"/>
              </w:rPr>
              <w:t>188,99</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Izmaiņas pašvaldību budžeta izdevumos</w:t>
            </w:r>
          </w:p>
        </w:tc>
        <w:tc>
          <w:tcPr>
            <w:tcW w:w="915"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0</w:t>
            </w:r>
          </w:p>
        </w:tc>
        <w:tc>
          <w:tcPr>
            <w:tcW w:w="991"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0</w:t>
            </w:r>
          </w:p>
        </w:tc>
        <w:tc>
          <w:tcPr>
            <w:tcW w:w="952" w:type="pct"/>
            <w:tcBorders>
              <w:top w:val="single" w:sz="4" w:space="0" w:color="000000"/>
              <w:left w:val="single" w:sz="4" w:space="0" w:color="000000"/>
              <w:bottom w:val="single" w:sz="4" w:space="0" w:color="000000"/>
              <w:right w:val="single" w:sz="4" w:space="0" w:color="000000"/>
            </w:tcBorders>
            <w:vAlign w:val="center"/>
          </w:tcPr>
          <w:p w:rsidR="00BF0645" w:rsidRPr="004A636E" w:rsidRDefault="00BF0645" w:rsidP="004A636E">
            <w:pPr>
              <w:pStyle w:val="TableText"/>
            </w:pPr>
            <w:r w:rsidRPr="004A636E">
              <w:rPr>
                <w:lang w:val="lv-LV"/>
              </w:rPr>
              <w:t>0</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4A636E">
              <w:rPr>
                <w:b/>
                <w:lang w:val="lv-LV"/>
              </w:rPr>
              <w:t>Kopējā finansiālā ietekme:</w:t>
            </w:r>
          </w:p>
        </w:tc>
        <w:tc>
          <w:tcPr>
            <w:tcW w:w="915"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2918ED">
              <w:rPr>
                <w:b/>
                <w:lang w:val="lv-LV"/>
              </w:rPr>
              <w:t>-</w:t>
            </w:r>
            <w:r>
              <w:rPr>
                <w:b/>
                <w:lang w:val="lv-LV"/>
              </w:rPr>
              <w:t>180,99</w:t>
            </w:r>
          </w:p>
        </w:tc>
        <w:tc>
          <w:tcPr>
            <w:tcW w:w="991"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2918ED">
              <w:rPr>
                <w:b/>
                <w:lang w:val="lv-LV"/>
              </w:rPr>
              <w:t>-</w:t>
            </w:r>
            <w:r>
              <w:rPr>
                <w:b/>
                <w:lang w:val="lv-LV"/>
              </w:rPr>
              <w:t>188,99</w:t>
            </w:r>
          </w:p>
        </w:tc>
        <w:tc>
          <w:tcPr>
            <w:tcW w:w="952" w:type="pct"/>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rPr>
                <w:b/>
              </w:rPr>
            </w:pPr>
            <w:r w:rsidRPr="002918ED">
              <w:rPr>
                <w:b/>
                <w:lang w:val="lv-LV"/>
              </w:rPr>
              <w:t>-</w:t>
            </w:r>
            <w:r>
              <w:rPr>
                <w:b/>
                <w:lang w:val="lv-LV"/>
              </w:rPr>
              <w:t>188,99</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Finansiālā ietekme uz valsts budžetu</w:t>
            </w:r>
          </w:p>
        </w:tc>
        <w:tc>
          <w:tcPr>
            <w:tcW w:w="915"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2918ED">
              <w:rPr>
                <w:lang w:val="lv-LV"/>
              </w:rPr>
              <w:t>-</w:t>
            </w:r>
            <w:r w:rsidRPr="00BF0645">
              <w:rPr>
                <w:lang w:val="lv-LV"/>
              </w:rPr>
              <w:t>188,99</w:t>
            </w:r>
          </w:p>
        </w:tc>
        <w:tc>
          <w:tcPr>
            <w:tcW w:w="991"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2918ED">
              <w:rPr>
                <w:lang w:val="lv-LV"/>
              </w:rPr>
              <w:t>-</w:t>
            </w:r>
            <w:r w:rsidRPr="00BF0645">
              <w:rPr>
                <w:lang w:val="lv-LV"/>
              </w:rPr>
              <w:t>188,99</w:t>
            </w:r>
          </w:p>
        </w:tc>
        <w:tc>
          <w:tcPr>
            <w:tcW w:w="952" w:type="pct"/>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pPr>
            <w:r w:rsidRPr="002918ED">
              <w:rPr>
                <w:lang w:val="lv-LV"/>
              </w:rPr>
              <w:t>-</w:t>
            </w:r>
            <w:r w:rsidRPr="00BF0645">
              <w:rPr>
                <w:lang w:val="lv-LV"/>
              </w:rPr>
              <w:t>188,99</w:t>
            </w:r>
          </w:p>
        </w:tc>
      </w:tr>
      <w:tr w:rsidR="00584129"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rPr>
                <w:lang w:val="lv-LV"/>
              </w:rPr>
            </w:pPr>
            <w:r w:rsidRPr="004A636E">
              <w:rPr>
                <w:lang w:val="lv-LV"/>
              </w:rPr>
              <w:lastRenderedPageBreak/>
              <w:t>Finansiālā ietekme uz pašvaldību budžetu</w:t>
            </w:r>
          </w:p>
        </w:tc>
        <w:tc>
          <w:tcPr>
            <w:tcW w:w="915"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0</w:t>
            </w:r>
          </w:p>
        </w:tc>
        <w:tc>
          <w:tcPr>
            <w:tcW w:w="991"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pPr>
            <w:r w:rsidRPr="004A636E">
              <w:rPr>
                <w:lang w:val="lv-LV"/>
              </w:rPr>
              <w:t>0</w:t>
            </w:r>
          </w:p>
        </w:tc>
        <w:tc>
          <w:tcPr>
            <w:tcW w:w="952" w:type="pct"/>
            <w:tcBorders>
              <w:top w:val="single" w:sz="4" w:space="0" w:color="000000"/>
              <w:left w:val="single" w:sz="4" w:space="0" w:color="000000"/>
              <w:bottom w:val="single" w:sz="4" w:space="0" w:color="000000"/>
              <w:right w:val="single" w:sz="4" w:space="0" w:color="000000"/>
            </w:tcBorders>
            <w:vAlign w:val="center"/>
          </w:tcPr>
          <w:p w:rsidR="00BF0645" w:rsidRPr="004A636E" w:rsidRDefault="00BF0645" w:rsidP="004A636E">
            <w:pPr>
              <w:pStyle w:val="TableText"/>
            </w:pPr>
            <w:r w:rsidRPr="004A636E">
              <w:rPr>
                <w:lang w:val="lv-LV"/>
              </w:rPr>
              <w:t>0</w:t>
            </w:r>
          </w:p>
        </w:tc>
      </w:tr>
      <w:tr w:rsidR="00BF0645" w:rsidRPr="00BF0645" w:rsidTr="004A636E">
        <w:trPr>
          <w:jc w:val="center"/>
        </w:trPr>
        <w:tc>
          <w:tcPr>
            <w:tcW w:w="2142" w:type="pct"/>
            <w:tcBorders>
              <w:top w:val="single" w:sz="4" w:space="0" w:color="000000"/>
              <w:left w:val="single" w:sz="4" w:space="0" w:color="000000"/>
              <w:bottom w:val="single" w:sz="4" w:space="0" w:color="000000"/>
            </w:tcBorders>
            <w:vAlign w:val="center"/>
          </w:tcPr>
          <w:p w:rsidR="00BF0645" w:rsidRPr="004A636E" w:rsidRDefault="00BF0645" w:rsidP="004A636E">
            <w:pPr>
              <w:pStyle w:val="TableText"/>
              <w:rPr>
                <w:lang w:val="lv-LV"/>
              </w:rPr>
            </w:pPr>
            <w:r w:rsidRPr="004A636E">
              <w:rPr>
                <w:lang w:val="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2858" w:type="pct"/>
            <w:gridSpan w:val="3"/>
            <w:tcBorders>
              <w:top w:val="single" w:sz="4" w:space="0" w:color="000000"/>
              <w:left w:val="single" w:sz="4" w:space="0" w:color="000000"/>
              <w:bottom w:val="single" w:sz="4" w:space="0" w:color="000000"/>
              <w:right w:val="single" w:sz="4" w:space="0" w:color="000000"/>
            </w:tcBorders>
            <w:vAlign w:val="center"/>
          </w:tcPr>
          <w:p w:rsidR="00BF0645" w:rsidRPr="004A636E" w:rsidRDefault="00520315" w:rsidP="004A636E">
            <w:pPr>
              <w:pStyle w:val="TableText"/>
              <w:rPr>
                <w:lang w:val="lv-LV"/>
              </w:rPr>
            </w:pPr>
            <w:r>
              <w:rPr>
                <w:lang w:val="lv-LV"/>
              </w:rPr>
              <w:t>Kopējās izmaiņas valsts budžeta izdevumos veido šādas izmaksas:</w:t>
            </w:r>
          </w:p>
          <w:p w:rsidR="00520315" w:rsidRPr="004A636E" w:rsidRDefault="00584129" w:rsidP="004A636E">
            <w:pPr>
              <w:pStyle w:val="TableText"/>
              <w:numPr>
                <w:ilvl w:val="2"/>
                <w:numId w:val="36"/>
              </w:numPr>
              <w:ind w:left="515"/>
              <w:rPr>
                <w:lang w:val="lv-LV"/>
              </w:rPr>
            </w:pPr>
            <w:r w:rsidRPr="00584129">
              <w:rPr>
                <w:lang w:val="lv-LV"/>
              </w:rPr>
              <w:t>Administrācijas izmaksas</w:t>
            </w:r>
            <w:r>
              <w:rPr>
                <w:lang w:val="lv-LV"/>
              </w:rPr>
              <w:t xml:space="preserve">, pieņemot, ka pēc projekta realizācijas </w:t>
            </w:r>
            <w:r w:rsidR="00567CFF">
              <w:rPr>
                <w:lang w:val="lv-LV"/>
              </w:rPr>
              <w:t xml:space="preserve">tās </w:t>
            </w:r>
            <w:r>
              <w:rPr>
                <w:lang w:val="lv-LV"/>
              </w:rPr>
              <w:t>saglabāsies esošajā (2014.gada) līmenī – EUR 59 </w:t>
            </w:r>
            <w:r w:rsidRPr="00584129">
              <w:rPr>
                <w:lang w:val="lv-LV"/>
              </w:rPr>
              <w:t xml:space="preserve">760,62 </w:t>
            </w:r>
            <w:r>
              <w:rPr>
                <w:lang w:val="lv-LV"/>
              </w:rPr>
              <w:t>gadā.</w:t>
            </w:r>
          </w:p>
          <w:p w:rsidR="00584129" w:rsidRPr="004A636E" w:rsidRDefault="00584129" w:rsidP="004A636E">
            <w:pPr>
              <w:pStyle w:val="TableText"/>
              <w:numPr>
                <w:ilvl w:val="2"/>
                <w:numId w:val="36"/>
              </w:numPr>
              <w:ind w:left="515"/>
              <w:rPr>
                <w:lang w:val="lv-LV"/>
              </w:rPr>
            </w:pPr>
            <w:r w:rsidRPr="00584129">
              <w:rPr>
                <w:lang w:val="lv-LV"/>
              </w:rPr>
              <w:t xml:space="preserve">VIIS </w:t>
            </w:r>
            <w:r>
              <w:rPr>
                <w:lang w:val="lv-LV"/>
              </w:rPr>
              <w:t>komponenšu</w:t>
            </w:r>
            <w:r w:rsidRPr="00584129">
              <w:rPr>
                <w:lang w:val="lv-LV"/>
              </w:rPr>
              <w:t xml:space="preserve"> izmaksas </w:t>
            </w:r>
            <w:r>
              <w:rPr>
                <w:lang w:val="lv-LV"/>
              </w:rPr>
              <w:t>uzturēšanas, pie</w:t>
            </w:r>
            <w:r w:rsidR="00567CFF">
              <w:rPr>
                <w:lang w:val="lv-LV"/>
              </w:rPr>
              <w:t>ņemot, ka</w:t>
            </w:r>
            <w:r>
              <w:rPr>
                <w:lang w:val="lv-LV"/>
              </w:rPr>
              <w:t xml:space="preserve"> pēc projekta realizācijas </w:t>
            </w:r>
            <w:r w:rsidR="00567CFF">
              <w:rPr>
                <w:lang w:val="lv-LV"/>
              </w:rPr>
              <w:t xml:space="preserve">tās </w:t>
            </w:r>
            <w:r>
              <w:rPr>
                <w:lang w:val="lv-LV"/>
              </w:rPr>
              <w:t xml:space="preserve">saglabāsies esošajā (2014.gada) līmenī – </w:t>
            </w:r>
            <w:r w:rsidRPr="00584129">
              <w:rPr>
                <w:lang w:val="lv-LV"/>
              </w:rPr>
              <w:t xml:space="preserve">EUR 85 372,31 </w:t>
            </w:r>
            <w:r>
              <w:rPr>
                <w:lang w:val="lv-LV"/>
              </w:rPr>
              <w:t>gadā</w:t>
            </w:r>
            <w:r w:rsidRPr="00584129">
              <w:rPr>
                <w:lang w:val="lv-LV"/>
              </w:rPr>
              <w:t>.</w:t>
            </w:r>
          </w:p>
          <w:p w:rsidR="00584129" w:rsidRPr="004A636E" w:rsidRDefault="00584129" w:rsidP="00DE2735">
            <w:pPr>
              <w:pStyle w:val="TableText"/>
              <w:numPr>
                <w:ilvl w:val="2"/>
                <w:numId w:val="36"/>
              </w:numPr>
              <w:ind w:left="515"/>
              <w:rPr>
                <w:lang w:val="lv-LV"/>
              </w:rPr>
            </w:pPr>
            <w:r>
              <w:rPr>
                <w:lang w:val="lv-LV"/>
              </w:rPr>
              <w:t>2 darbinieku atalgojums VIIS papildinājumu darbības un uzturēšanas nodrošināšanai – EUR </w:t>
            </w:r>
            <w:r w:rsidR="004A1471">
              <w:rPr>
                <w:lang w:val="lv-LV"/>
              </w:rPr>
              <w:t>29 483,63</w:t>
            </w:r>
            <w:r>
              <w:rPr>
                <w:lang w:val="lv-LV"/>
              </w:rPr>
              <w:t xml:space="preserve"> gadā</w:t>
            </w:r>
            <w:r w:rsidRPr="00584129">
              <w:rPr>
                <w:lang w:val="lv-LV"/>
              </w:rPr>
              <w:t xml:space="preserve">. Plānots, ka minētie darbinieki tiks klasificēti 36.saimē, II līmenī ar amata nosaukumu „eksperts”. Amatu saimei un līmenim atbilst 9.mēnešalgu grupa. Plānotā mēnešalga EUR </w:t>
            </w:r>
            <w:r w:rsidR="004A1471">
              <w:rPr>
                <w:lang w:val="lv-LV"/>
              </w:rPr>
              <w:t>994</w:t>
            </w:r>
            <w:r w:rsidRPr="00584129">
              <w:rPr>
                <w:lang w:val="lv-LV"/>
              </w:rPr>
              <w:t>. Valsts sociālās apdrošināšanas iemaksas aprēķinātas saskaņā ar spēkā esošo darba devēja likmi 23,59%.</w:t>
            </w:r>
          </w:p>
        </w:tc>
      </w:tr>
      <w:tr w:rsidR="00BF0645"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Cita informācija</w:t>
            </w:r>
          </w:p>
        </w:tc>
        <w:tc>
          <w:tcPr>
            <w:tcW w:w="2858" w:type="pct"/>
            <w:gridSpan w:val="3"/>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pPr>
            <w:r w:rsidRPr="004A636E">
              <w:rPr>
                <w:lang w:val="lv-LV"/>
              </w:rPr>
              <w:t>-  </w:t>
            </w:r>
          </w:p>
        </w:tc>
      </w:tr>
      <w:tr w:rsidR="00BF0645" w:rsidRPr="00BF0645" w:rsidTr="004A636E">
        <w:trPr>
          <w:jc w:val="center"/>
        </w:trPr>
        <w:tc>
          <w:tcPr>
            <w:tcW w:w="2142" w:type="pct"/>
            <w:tcBorders>
              <w:top w:val="single" w:sz="4" w:space="0" w:color="000000"/>
              <w:left w:val="single" w:sz="4" w:space="0" w:color="000000"/>
              <w:bottom w:val="single" w:sz="4" w:space="0" w:color="000000"/>
            </w:tcBorders>
          </w:tcPr>
          <w:p w:rsidR="00BF0645" w:rsidRPr="004A636E" w:rsidRDefault="00BF0645" w:rsidP="004A636E">
            <w:pPr>
              <w:pStyle w:val="TableText"/>
            </w:pPr>
            <w:r w:rsidRPr="004A636E">
              <w:rPr>
                <w:lang w:val="lv-LV"/>
              </w:rPr>
              <w:t>Izmaiņas budžeta izdevumos no N+4 līdz N+7 gadiem*</w:t>
            </w:r>
          </w:p>
        </w:tc>
        <w:tc>
          <w:tcPr>
            <w:tcW w:w="2858" w:type="pct"/>
            <w:gridSpan w:val="3"/>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pPr>
            <w:r w:rsidRPr="004A636E">
              <w:rPr>
                <w:lang w:val="lv-LV"/>
              </w:rPr>
              <w:t>(Skatīt tabulu zemāk)  </w:t>
            </w:r>
          </w:p>
        </w:tc>
      </w:tr>
    </w:tbl>
    <w:p w:rsidR="00BF0645" w:rsidRDefault="00584129" w:rsidP="00535CB5">
      <w:pPr>
        <w:pStyle w:val="BodyText"/>
        <w:rPr>
          <w:highlight w:val="yellow"/>
        </w:rPr>
      </w:pPr>
      <w:r>
        <w:t xml:space="preserve">Koncepcijas realizācijas ietekme uz budžeta izdevumiem </w:t>
      </w:r>
      <w:r w:rsidRPr="00584129">
        <w:t>laika periodā no 201</w:t>
      </w:r>
      <w:r>
        <w:t>8. līdz 2021</w:t>
      </w:r>
      <w:r w:rsidRPr="00584129">
        <w:t>. gadam sadalījumā pa plānotaj</w:t>
      </w:r>
      <w:r>
        <w:t xml:space="preserve">iem finansēšanas avotiem sniegta turpinājumā </w:t>
      </w:r>
      <w:r w:rsidRPr="00BF0645">
        <w:t>(skatīt tabulu zemāk).</w:t>
      </w:r>
    </w:p>
    <w:p w:rsidR="00520315" w:rsidRDefault="00520315" w:rsidP="004A636E">
      <w:pPr>
        <w:pStyle w:val="Caption"/>
        <w:jc w:val="right"/>
        <w:rPr>
          <w:highlight w:val="yellow"/>
        </w:rPr>
      </w:pPr>
      <w:r>
        <w:t xml:space="preserve">Tabula </w:t>
      </w:r>
      <w:r w:rsidR="00EE2E74">
        <w:fldChar w:fldCharType="begin"/>
      </w:r>
      <w:r w:rsidR="00EE2E74">
        <w:instrText xml:space="preserve"> SEQ Tabula \* ARABIC </w:instrText>
      </w:r>
      <w:r w:rsidR="00EE2E74">
        <w:fldChar w:fldCharType="separate"/>
      </w:r>
      <w:r>
        <w:rPr>
          <w:noProof/>
        </w:rPr>
        <w:t>14</w:t>
      </w:r>
      <w:r w:rsidR="00EE2E74">
        <w:rPr>
          <w:noProof/>
        </w:rPr>
        <w:fldChar w:fldCharType="end"/>
      </w:r>
      <w:r w:rsidRPr="00520315">
        <w:t>. Izmaiņas budžeta izdevumos no 2018. līdz 2021. gadam</w:t>
      </w:r>
    </w:p>
    <w:tbl>
      <w:tblPr>
        <w:tblW w:w="5000" w:type="pct"/>
        <w:tblCellMar>
          <w:top w:w="15" w:type="dxa"/>
          <w:left w:w="15" w:type="dxa"/>
          <w:bottom w:w="15" w:type="dxa"/>
          <w:right w:w="15" w:type="dxa"/>
        </w:tblCellMar>
        <w:tblLook w:val="0000" w:firstRow="0" w:lastRow="0" w:firstColumn="0" w:lastColumn="0" w:noHBand="0" w:noVBand="0"/>
      </w:tblPr>
      <w:tblGrid>
        <w:gridCol w:w="3824"/>
        <w:gridCol w:w="1335"/>
        <w:gridCol w:w="1335"/>
        <w:gridCol w:w="1460"/>
        <w:gridCol w:w="1345"/>
      </w:tblGrid>
      <w:tr w:rsidR="00BF0645" w:rsidRPr="00BF0645" w:rsidTr="004A636E">
        <w:trPr>
          <w:trHeight w:val="306"/>
        </w:trPr>
        <w:tc>
          <w:tcPr>
            <w:tcW w:w="2056" w:type="pct"/>
            <w:vMerge w:val="restart"/>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sidRPr="004A636E">
              <w:rPr>
                <w:b/>
                <w:lang w:val="lv-LV"/>
              </w:rPr>
              <w:t>Finansēšanas avots</w:t>
            </w:r>
          </w:p>
        </w:tc>
        <w:tc>
          <w:tcPr>
            <w:tcW w:w="2944" w:type="pct"/>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F0645" w:rsidRPr="004A636E" w:rsidRDefault="00BF0645" w:rsidP="004A636E">
            <w:pPr>
              <w:pStyle w:val="TableText"/>
              <w:jc w:val="center"/>
              <w:rPr>
                <w:b/>
              </w:rPr>
            </w:pPr>
            <w:r w:rsidRPr="004A636E">
              <w:rPr>
                <w:b/>
                <w:lang w:val="lv-LV"/>
              </w:rPr>
              <w:t>Iz</w:t>
            </w:r>
            <w:r w:rsidRPr="00422534">
              <w:rPr>
                <w:b/>
                <w:lang w:val="lv-LV"/>
              </w:rPr>
              <w:t>maiņas budžeta izdevumos no 201</w:t>
            </w:r>
            <w:r>
              <w:rPr>
                <w:b/>
                <w:lang w:val="lv-LV"/>
              </w:rPr>
              <w:t>8</w:t>
            </w:r>
            <w:r w:rsidRPr="00422534">
              <w:rPr>
                <w:b/>
                <w:lang w:val="lv-LV"/>
              </w:rPr>
              <w:t>. līdz 20</w:t>
            </w:r>
            <w:r>
              <w:rPr>
                <w:b/>
                <w:lang w:val="lv-LV"/>
              </w:rPr>
              <w:t>21</w:t>
            </w:r>
            <w:r w:rsidRPr="004A636E">
              <w:rPr>
                <w:b/>
                <w:lang w:val="lv-LV"/>
              </w:rPr>
              <w:t>. gadam (tūkst. EUR)</w:t>
            </w:r>
          </w:p>
        </w:tc>
      </w:tr>
      <w:tr w:rsidR="00BF0645" w:rsidRPr="00BF0645" w:rsidTr="004A636E">
        <w:trPr>
          <w:trHeight w:val="144"/>
        </w:trPr>
        <w:tc>
          <w:tcPr>
            <w:tcW w:w="2056" w:type="pct"/>
            <w:vMerge/>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p>
        </w:tc>
        <w:tc>
          <w:tcPr>
            <w:tcW w:w="718" w:type="pct"/>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sidRPr="004A636E">
              <w:rPr>
                <w:b/>
                <w:lang w:val="lv-LV"/>
              </w:rPr>
              <w:t>2018</w:t>
            </w:r>
          </w:p>
        </w:tc>
        <w:tc>
          <w:tcPr>
            <w:tcW w:w="718" w:type="pct"/>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sidRPr="004A636E">
              <w:rPr>
                <w:b/>
                <w:lang w:val="lv-LV"/>
              </w:rPr>
              <w:t>2019</w:t>
            </w:r>
          </w:p>
        </w:tc>
        <w:tc>
          <w:tcPr>
            <w:tcW w:w="785" w:type="pct"/>
            <w:tcBorders>
              <w:top w:val="single" w:sz="4" w:space="0" w:color="000000"/>
              <w:left w:val="single" w:sz="4" w:space="0" w:color="000000"/>
              <w:bottom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sidRPr="004A636E">
              <w:rPr>
                <w:b/>
                <w:lang w:val="lv-LV"/>
              </w:rPr>
              <w:t>20</w:t>
            </w:r>
            <w:r w:rsidR="00520315">
              <w:rPr>
                <w:b/>
                <w:lang w:val="lv-LV"/>
              </w:rPr>
              <w:t>20</w:t>
            </w:r>
          </w:p>
        </w:tc>
        <w:tc>
          <w:tcPr>
            <w:tcW w:w="72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F0645" w:rsidRPr="004A636E" w:rsidRDefault="00BF0645" w:rsidP="004A636E">
            <w:pPr>
              <w:pStyle w:val="TableText"/>
              <w:jc w:val="center"/>
              <w:rPr>
                <w:b/>
              </w:rPr>
            </w:pPr>
            <w:r w:rsidRPr="004A636E">
              <w:rPr>
                <w:b/>
                <w:lang w:val="lv-LV"/>
              </w:rPr>
              <w:t>2021</w:t>
            </w:r>
          </w:p>
        </w:tc>
      </w:tr>
      <w:tr w:rsidR="00520315" w:rsidRPr="00BF0645" w:rsidTr="00520315">
        <w:trPr>
          <w:trHeight w:val="255"/>
        </w:trPr>
        <w:tc>
          <w:tcPr>
            <w:tcW w:w="2056"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sidRPr="004A636E">
              <w:rPr>
                <w:b/>
                <w:lang w:val="lv-LV"/>
              </w:rPr>
              <w:t>Valsts budžeta līdzekļi</w:t>
            </w:r>
          </w:p>
        </w:tc>
        <w:tc>
          <w:tcPr>
            <w:tcW w:w="718"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c>
          <w:tcPr>
            <w:tcW w:w="718"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c>
          <w:tcPr>
            <w:tcW w:w="785"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c>
          <w:tcPr>
            <w:tcW w:w="723" w:type="pct"/>
            <w:tcBorders>
              <w:top w:val="single" w:sz="4" w:space="0" w:color="000000"/>
              <w:left w:val="single" w:sz="4" w:space="0" w:color="000000"/>
              <w:bottom w:val="single" w:sz="4" w:space="0" w:color="000000"/>
              <w:right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r>
      <w:tr w:rsidR="00BF0645" w:rsidRPr="00BF0645" w:rsidTr="00520315">
        <w:trPr>
          <w:trHeight w:val="255"/>
        </w:trPr>
        <w:tc>
          <w:tcPr>
            <w:tcW w:w="2056" w:type="pct"/>
            <w:tcBorders>
              <w:top w:val="single" w:sz="4" w:space="0" w:color="000000"/>
              <w:left w:val="single" w:sz="4" w:space="0" w:color="000000"/>
              <w:bottom w:val="single" w:sz="4" w:space="0" w:color="000000"/>
            </w:tcBorders>
          </w:tcPr>
          <w:p w:rsidR="00BF0645" w:rsidRPr="004A636E" w:rsidRDefault="00BF0645" w:rsidP="004A636E">
            <w:pPr>
              <w:pStyle w:val="TableText"/>
              <w:rPr>
                <w:b/>
                <w:lang w:val="lv-LV"/>
              </w:rPr>
            </w:pPr>
            <w:r w:rsidRPr="004A636E">
              <w:rPr>
                <w:b/>
                <w:lang w:val="lv-LV"/>
              </w:rPr>
              <w:t>Ārvalstu finanšu līdzekļi, t.sk.</w:t>
            </w:r>
          </w:p>
        </w:tc>
        <w:tc>
          <w:tcPr>
            <w:tcW w:w="718"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4A636E">
              <w:rPr>
                <w:b/>
                <w:iCs/>
                <w:lang w:val="lv-LV"/>
              </w:rPr>
              <w:t>0</w:t>
            </w:r>
          </w:p>
        </w:tc>
        <w:tc>
          <w:tcPr>
            <w:tcW w:w="718"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4A636E">
              <w:rPr>
                <w:b/>
                <w:iCs/>
                <w:lang w:val="lv-LV"/>
              </w:rPr>
              <w:t>0</w:t>
            </w:r>
          </w:p>
        </w:tc>
        <w:tc>
          <w:tcPr>
            <w:tcW w:w="785" w:type="pct"/>
            <w:tcBorders>
              <w:top w:val="single" w:sz="4" w:space="0" w:color="000000"/>
              <w:left w:val="single" w:sz="4" w:space="0" w:color="000000"/>
              <w:bottom w:val="single" w:sz="4" w:space="0" w:color="000000"/>
            </w:tcBorders>
          </w:tcPr>
          <w:p w:rsidR="00BF0645" w:rsidRPr="004A636E" w:rsidRDefault="00BF0645" w:rsidP="004A636E">
            <w:pPr>
              <w:pStyle w:val="TableText"/>
              <w:rPr>
                <w:b/>
              </w:rPr>
            </w:pPr>
            <w:r w:rsidRPr="004A636E">
              <w:rPr>
                <w:b/>
                <w:iCs/>
                <w:lang w:val="lv-LV"/>
              </w:rPr>
              <w:t>0</w:t>
            </w:r>
          </w:p>
        </w:tc>
        <w:tc>
          <w:tcPr>
            <w:tcW w:w="723" w:type="pct"/>
            <w:tcBorders>
              <w:top w:val="single" w:sz="4" w:space="0" w:color="000000"/>
              <w:left w:val="single" w:sz="4" w:space="0" w:color="000000"/>
              <w:bottom w:val="single" w:sz="4" w:space="0" w:color="000000"/>
              <w:right w:val="single" w:sz="4" w:space="0" w:color="000000"/>
            </w:tcBorders>
          </w:tcPr>
          <w:p w:rsidR="00BF0645" w:rsidRPr="004A636E" w:rsidRDefault="00BF0645" w:rsidP="004A636E">
            <w:pPr>
              <w:pStyle w:val="TableText"/>
              <w:rPr>
                <w:b/>
              </w:rPr>
            </w:pPr>
            <w:r w:rsidRPr="004A636E">
              <w:rPr>
                <w:b/>
                <w:iCs/>
                <w:lang w:val="lv-LV"/>
              </w:rPr>
              <w:t>0</w:t>
            </w:r>
          </w:p>
        </w:tc>
      </w:tr>
      <w:tr w:rsidR="00BF0645" w:rsidRPr="00BF0645" w:rsidTr="00520315">
        <w:trPr>
          <w:trHeight w:val="255"/>
        </w:trPr>
        <w:tc>
          <w:tcPr>
            <w:tcW w:w="2056"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4A636E">
              <w:rPr>
                <w:i/>
                <w:iCs/>
                <w:lang w:val="lv-LV"/>
              </w:rPr>
              <w:t>ESF</w:t>
            </w:r>
          </w:p>
        </w:tc>
        <w:tc>
          <w:tcPr>
            <w:tcW w:w="718"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18"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85"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23" w:type="pct"/>
            <w:tcBorders>
              <w:top w:val="single" w:sz="4" w:space="0" w:color="000000"/>
              <w:left w:val="single" w:sz="4" w:space="0" w:color="000000"/>
              <w:bottom w:val="single" w:sz="4" w:space="0" w:color="000000"/>
              <w:right w:val="single" w:sz="4" w:space="0" w:color="000000"/>
            </w:tcBorders>
          </w:tcPr>
          <w:p w:rsidR="00BF0645" w:rsidRPr="000774FC" w:rsidRDefault="00BF0645" w:rsidP="004A636E">
            <w:pPr>
              <w:pStyle w:val="TableText"/>
              <w:rPr>
                <w:i/>
                <w:iCs/>
              </w:rPr>
            </w:pPr>
            <w:r w:rsidRPr="002918ED">
              <w:rPr>
                <w:i/>
                <w:iCs/>
                <w:lang w:val="lv-LV"/>
              </w:rPr>
              <w:t>0</w:t>
            </w:r>
          </w:p>
        </w:tc>
      </w:tr>
      <w:tr w:rsidR="00BF0645" w:rsidRPr="00BF0645" w:rsidTr="00520315">
        <w:trPr>
          <w:trHeight w:val="255"/>
        </w:trPr>
        <w:tc>
          <w:tcPr>
            <w:tcW w:w="2056"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4A636E">
              <w:rPr>
                <w:i/>
                <w:iCs/>
                <w:lang w:val="lv-LV"/>
              </w:rPr>
              <w:t>ERAF</w:t>
            </w:r>
          </w:p>
        </w:tc>
        <w:tc>
          <w:tcPr>
            <w:tcW w:w="718"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18"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85"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23" w:type="pct"/>
            <w:tcBorders>
              <w:top w:val="single" w:sz="4" w:space="0" w:color="000000"/>
              <w:left w:val="single" w:sz="4" w:space="0" w:color="000000"/>
              <w:bottom w:val="single" w:sz="4" w:space="0" w:color="000000"/>
              <w:right w:val="single" w:sz="4" w:space="0" w:color="000000"/>
            </w:tcBorders>
          </w:tcPr>
          <w:p w:rsidR="00BF0645" w:rsidRPr="000774FC" w:rsidRDefault="00BF0645" w:rsidP="004A636E">
            <w:pPr>
              <w:pStyle w:val="TableText"/>
              <w:rPr>
                <w:i/>
                <w:iCs/>
              </w:rPr>
            </w:pPr>
            <w:r w:rsidRPr="002918ED">
              <w:rPr>
                <w:i/>
                <w:iCs/>
                <w:lang w:val="lv-LV"/>
              </w:rPr>
              <w:t>0</w:t>
            </w:r>
          </w:p>
        </w:tc>
      </w:tr>
      <w:tr w:rsidR="00BF0645" w:rsidRPr="00BF0645" w:rsidTr="00520315">
        <w:trPr>
          <w:trHeight w:val="255"/>
        </w:trPr>
        <w:tc>
          <w:tcPr>
            <w:tcW w:w="2056"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4A636E">
              <w:rPr>
                <w:i/>
                <w:iCs/>
                <w:lang w:val="lv-LV"/>
              </w:rPr>
              <w:t xml:space="preserve">Citi finanšu avoti </w:t>
            </w:r>
          </w:p>
        </w:tc>
        <w:tc>
          <w:tcPr>
            <w:tcW w:w="718"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18"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85" w:type="pct"/>
            <w:tcBorders>
              <w:top w:val="single" w:sz="4" w:space="0" w:color="000000"/>
              <w:left w:val="single" w:sz="4" w:space="0" w:color="000000"/>
              <w:bottom w:val="single" w:sz="4" w:space="0" w:color="000000"/>
            </w:tcBorders>
          </w:tcPr>
          <w:p w:rsidR="00BF0645" w:rsidRPr="000774FC" w:rsidRDefault="00BF0645" w:rsidP="004A636E">
            <w:pPr>
              <w:pStyle w:val="TableText"/>
              <w:rPr>
                <w:i/>
                <w:iCs/>
              </w:rPr>
            </w:pPr>
            <w:r w:rsidRPr="002918ED">
              <w:rPr>
                <w:i/>
                <w:iCs/>
                <w:lang w:val="lv-LV"/>
              </w:rPr>
              <w:t>0</w:t>
            </w:r>
          </w:p>
        </w:tc>
        <w:tc>
          <w:tcPr>
            <w:tcW w:w="723" w:type="pct"/>
            <w:tcBorders>
              <w:top w:val="single" w:sz="4" w:space="0" w:color="000000"/>
              <w:left w:val="single" w:sz="4" w:space="0" w:color="000000"/>
              <w:bottom w:val="single" w:sz="4" w:space="0" w:color="000000"/>
              <w:right w:val="single" w:sz="4" w:space="0" w:color="000000"/>
            </w:tcBorders>
          </w:tcPr>
          <w:p w:rsidR="00BF0645" w:rsidRPr="000774FC" w:rsidRDefault="00BF0645" w:rsidP="004A636E">
            <w:pPr>
              <w:pStyle w:val="TableText"/>
              <w:rPr>
                <w:i/>
                <w:iCs/>
              </w:rPr>
            </w:pPr>
            <w:r w:rsidRPr="004A636E">
              <w:rPr>
                <w:i/>
                <w:iCs/>
                <w:lang w:val="lv-LV"/>
              </w:rPr>
              <w:t>0</w:t>
            </w:r>
          </w:p>
        </w:tc>
      </w:tr>
      <w:tr w:rsidR="00520315" w:rsidRPr="00BF0645" w:rsidTr="00520315">
        <w:trPr>
          <w:trHeight w:val="255"/>
        </w:trPr>
        <w:tc>
          <w:tcPr>
            <w:tcW w:w="2056"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sidRPr="004A636E">
              <w:rPr>
                <w:b/>
                <w:lang w:val="lv-LV"/>
              </w:rPr>
              <w:t>Kopā</w:t>
            </w:r>
          </w:p>
        </w:tc>
        <w:tc>
          <w:tcPr>
            <w:tcW w:w="718"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c>
          <w:tcPr>
            <w:tcW w:w="718"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c>
          <w:tcPr>
            <w:tcW w:w="785" w:type="pct"/>
            <w:tcBorders>
              <w:top w:val="single" w:sz="4" w:space="0" w:color="000000"/>
              <w:left w:val="single" w:sz="4" w:space="0" w:color="000000"/>
              <w:bottom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c>
          <w:tcPr>
            <w:tcW w:w="723" w:type="pct"/>
            <w:tcBorders>
              <w:top w:val="single" w:sz="4" w:space="0" w:color="000000"/>
              <w:left w:val="single" w:sz="4" w:space="0" w:color="000000"/>
              <w:bottom w:val="single" w:sz="4" w:space="0" w:color="000000"/>
              <w:right w:val="single" w:sz="4" w:space="0" w:color="000000"/>
            </w:tcBorders>
          </w:tcPr>
          <w:p w:rsidR="00520315" w:rsidRPr="004A636E" w:rsidRDefault="00520315" w:rsidP="004A636E">
            <w:pPr>
              <w:pStyle w:val="TableText"/>
              <w:rPr>
                <w:b/>
              </w:rPr>
            </w:pPr>
            <w:r>
              <w:rPr>
                <w:b/>
                <w:lang w:val="lv-LV"/>
              </w:rPr>
              <w:t>-</w:t>
            </w:r>
            <w:r w:rsidRPr="00BF0645">
              <w:rPr>
                <w:b/>
                <w:lang w:val="lv-LV"/>
              </w:rPr>
              <w:t>180,99</w:t>
            </w:r>
          </w:p>
        </w:tc>
      </w:tr>
    </w:tbl>
    <w:p w:rsidR="00BF0645" w:rsidRDefault="00BF0645" w:rsidP="00535CB5">
      <w:pPr>
        <w:pStyle w:val="BodyText"/>
        <w:rPr>
          <w:highlight w:val="yellow"/>
        </w:rPr>
      </w:pPr>
    </w:p>
    <w:p w:rsidR="00CC42BD" w:rsidRDefault="00CC42BD" w:rsidP="00CC42BD">
      <w:pPr>
        <w:tabs>
          <w:tab w:val="left" w:pos="7088"/>
        </w:tabs>
        <w:ind w:firstLine="709"/>
        <w:rPr>
          <w:szCs w:val="22"/>
        </w:rPr>
      </w:pPr>
    </w:p>
    <w:p w:rsidR="00CC42BD" w:rsidRPr="00133B32" w:rsidRDefault="00CC42BD" w:rsidP="00CC42BD">
      <w:pPr>
        <w:tabs>
          <w:tab w:val="left" w:pos="7088"/>
        </w:tabs>
        <w:ind w:firstLine="709"/>
        <w:rPr>
          <w:szCs w:val="22"/>
        </w:rPr>
      </w:pPr>
      <w:r w:rsidRPr="00133B32">
        <w:rPr>
          <w:szCs w:val="22"/>
        </w:rPr>
        <w:t>Izglītības un zinātnes ministre</w:t>
      </w:r>
      <w:r w:rsidRPr="00133B32">
        <w:rPr>
          <w:szCs w:val="22"/>
        </w:rPr>
        <w:tab/>
      </w:r>
      <w:proofErr w:type="spellStart"/>
      <w:r w:rsidRPr="00133B32">
        <w:rPr>
          <w:szCs w:val="22"/>
        </w:rPr>
        <w:t>I.Druviete</w:t>
      </w:r>
      <w:proofErr w:type="spellEnd"/>
    </w:p>
    <w:p w:rsidR="00CC42BD" w:rsidRPr="00133B32" w:rsidRDefault="00CC42BD" w:rsidP="00CC42BD">
      <w:pPr>
        <w:tabs>
          <w:tab w:val="left" w:pos="6521"/>
        </w:tabs>
        <w:ind w:firstLine="709"/>
        <w:jc w:val="both"/>
        <w:rPr>
          <w:sz w:val="28"/>
          <w:szCs w:val="28"/>
        </w:rPr>
      </w:pPr>
    </w:p>
    <w:p w:rsidR="00CC42BD" w:rsidRPr="00133B32" w:rsidRDefault="00CC42BD" w:rsidP="00CC42BD">
      <w:pPr>
        <w:tabs>
          <w:tab w:val="left" w:pos="6521"/>
        </w:tabs>
        <w:ind w:firstLine="709"/>
        <w:jc w:val="both"/>
        <w:rPr>
          <w:sz w:val="28"/>
          <w:szCs w:val="28"/>
        </w:rPr>
      </w:pPr>
    </w:p>
    <w:p w:rsidR="00CC42BD" w:rsidRPr="00133B32" w:rsidRDefault="00CC42BD" w:rsidP="00CC42BD">
      <w:pPr>
        <w:tabs>
          <w:tab w:val="left" w:pos="6521"/>
        </w:tabs>
        <w:ind w:firstLine="709"/>
        <w:jc w:val="both"/>
        <w:rPr>
          <w:szCs w:val="28"/>
        </w:rPr>
      </w:pPr>
      <w:r w:rsidRPr="00133B32">
        <w:rPr>
          <w:szCs w:val="28"/>
        </w:rPr>
        <w:t>Vīza:</w:t>
      </w:r>
    </w:p>
    <w:p w:rsidR="00CC42BD" w:rsidRPr="00133B32" w:rsidRDefault="00CC42BD" w:rsidP="00CC42BD">
      <w:pPr>
        <w:tabs>
          <w:tab w:val="left" w:pos="7088"/>
        </w:tabs>
        <w:ind w:firstLine="709"/>
        <w:jc w:val="both"/>
        <w:rPr>
          <w:szCs w:val="28"/>
        </w:rPr>
      </w:pPr>
      <w:r w:rsidRPr="00133B32">
        <w:rPr>
          <w:szCs w:val="28"/>
        </w:rPr>
        <w:t>Valsts sekretāre</w:t>
      </w:r>
      <w:r w:rsidRPr="00133B32">
        <w:rPr>
          <w:szCs w:val="28"/>
        </w:rPr>
        <w:tab/>
        <w:t>S.Liepiņa</w:t>
      </w:r>
    </w:p>
    <w:p w:rsidR="00CC42BD" w:rsidRPr="00133B32" w:rsidRDefault="00CC42BD" w:rsidP="00CC42BD">
      <w:pPr>
        <w:tabs>
          <w:tab w:val="left" w:pos="7088"/>
        </w:tabs>
        <w:jc w:val="both"/>
        <w:rPr>
          <w:sz w:val="28"/>
          <w:szCs w:val="28"/>
        </w:rPr>
      </w:pPr>
    </w:p>
    <w:p w:rsidR="00CC42BD" w:rsidRPr="00133B32" w:rsidRDefault="00CC42BD" w:rsidP="00CC42BD">
      <w:pPr>
        <w:tabs>
          <w:tab w:val="left" w:pos="7088"/>
        </w:tabs>
        <w:jc w:val="both"/>
        <w:rPr>
          <w:sz w:val="28"/>
          <w:szCs w:val="28"/>
        </w:rPr>
      </w:pPr>
    </w:p>
    <w:p w:rsidR="00CC42BD" w:rsidRPr="00133B32" w:rsidRDefault="00CC42BD" w:rsidP="00CC42BD">
      <w:pPr>
        <w:rPr>
          <w:lang w:val="en-GB"/>
        </w:rPr>
      </w:pPr>
      <w:r w:rsidRPr="00133B32">
        <w:rPr>
          <w:lang w:val="en-GB"/>
        </w:rPr>
        <w:fldChar w:fldCharType="begin"/>
      </w:r>
      <w:r w:rsidRPr="00133B32">
        <w:rPr>
          <w:lang w:val="en-GB"/>
        </w:rPr>
        <w:instrText xml:space="preserve"> CREATEDATE  \@ "dd.MM.yyyy H:mm"  \* MERGEFORMAT </w:instrText>
      </w:r>
      <w:r w:rsidRPr="00133B32">
        <w:rPr>
          <w:lang w:val="en-GB"/>
        </w:rPr>
        <w:fldChar w:fldCharType="separate"/>
      </w:r>
      <w:r>
        <w:rPr>
          <w:noProof/>
          <w:lang w:val="en-GB"/>
        </w:rPr>
        <w:t>21.05.2014 14:26</w:t>
      </w:r>
      <w:r w:rsidRPr="00133B32">
        <w:rPr>
          <w:lang w:val="en-GB"/>
        </w:rPr>
        <w:fldChar w:fldCharType="end"/>
      </w:r>
    </w:p>
    <w:p w:rsidR="00CC42BD" w:rsidRPr="00133B32" w:rsidRDefault="00CC42BD" w:rsidP="00CC42BD">
      <w:pPr>
        <w:rPr>
          <w:lang w:val="en-GB"/>
        </w:rPr>
      </w:pPr>
      <w:r w:rsidRPr="00133B32">
        <w:rPr>
          <w:lang w:val="en-GB"/>
        </w:rPr>
        <w:fldChar w:fldCharType="begin"/>
      </w:r>
      <w:r w:rsidRPr="00133B32">
        <w:rPr>
          <w:lang w:val="en-GB"/>
        </w:rPr>
        <w:instrText xml:space="preserve"> NUMWORDS   \* MERGEFORMAT </w:instrText>
      </w:r>
      <w:r w:rsidRPr="00133B32">
        <w:rPr>
          <w:lang w:val="en-GB"/>
        </w:rPr>
        <w:fldChar w:fldCharType="separate"/>
      </w:r>
      <w:r w:rsidR="003561F8">
        <w:rPr>
          <w:noProof/>
          <w:lang w:val="en-GB"/>
        </w:rPr>
        <w:t>12062</w:t>
      </w:r>
      <w:r w:rsidRPr="00133B32">
        <w:rPr>
          <w:noProof/>
          <w:lang w:val="en-GB"/>
        </w:rPr>
        <w:fldChar w:fldCharType="end"/>
      </w:r>
      <w:bookmarkStart w:id="73" w:name="_GoBack"/>
      <w:bookmarkEnd w:id="73"/>
    </w:p>
    <w:p w:rsidR="00CC42BD" w:rsidRPr="00133B32" w:rsidRDefault="00CC42BD" w:rsidP="00CC42BD">
      <w:pPr>
        <w:rPr>
          <w:lang w:val="en-GB"/>
        </w:rPr>
      </w:pPr>
      <w:proofErr w:type="spellStart"/>
      <w:r w:rsidRPr="00133B32">
        <w:rPr>
          <w:lang w:val="en-GB"/>
        </w:rPr>
        <w:t>R.Kalvāns</w:t>
      </w:r>
      <w:proofErr w:type="spellEnd"/>
    </w:p>
    <w:p w:rsidR="00CC42BD" w:rsidRPr="00133B32" w:rsidRDefault="00CC42BD" w:rsidP="00CC42BD">
      <w:pPr>
        <w:rPr>
          <w:bCs/>
          <w:u w:val="single"/>
          <w:lang w:val="en-GB"/>
        </w:rPr>
      </w:pPr>
      <w:r w:rsidRPr="00133B32">
        <w:rPr>
          <w:lang w:val="en-GB"/>
        </w:rPr>
        <w:t xml:space="preserve">67047918, </w:t>
      </w:r>
      <w:hyperlink r:id="rId22" w:history="1">
        <w:r w:rsidRPr="00133B32">
          <w:rPr>
            <w:bCs/>
            <w:u w:val="single"/>
            <w:lang w:val="en-GB"/>
          </w:rPr>
          <w:t>rudolfs.kalvans@izm.gov.lv</w:t>
        </w:r>
      </w:hyperlink>
    </w:p>
    <w:p w:rsidR="00CC42BD" w:rsidRPr="00CC42BD" w:rsidRDefault="00CC42BD" w:rsidP="00535CB5">
      <w:pPr>
        <w:pStyle w:val="BodyText"/>
        <w:rPr>
          <w:highlight w:val="yellow"/>
          <w:lang w:val="en-GB"/>
        </w:rPr>
      </w:pPr>
    </w:p>
    <w:sectPr w:rsidR="00CC42BD" w:rsidRPr="00CC42BD" w:rsidSect="004A636E">
      <w:headerReference w:type="default" r:id="rId23"/>
      <w:footerReference w:type="default" r:id="rId24"/>
      <w:pgSz w:w="11906" w:h="16838"/>
      <w:pgMar w:top="1440" w:right="1276" w:bottom="1440" w:left="136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8"/>
    </wne:keymap>
    <wne:keymap wne:kcmPrimary="0432">
      <wne:acd wne:acdName="acd9"/>
    </wne:keymap>
    <wne:keymap wne:kcmPrimary="0433">
      <wne:acd wne:acdName="acd10"/>
    </wne:keymap>
    <wne:keymap wne:kcmPrimary="0436">
      <wne:acd wne:acdName="acd7"/>
    </wne:keymap>
    <wne:keymap wne:kcmPrimary="0437">
      <wne:acd wne:acdName="acd6"/>
    </wne:keymap>
    <wne:keymap wne:kcmPrimary="0438">
      <wne:acd wne:acdName="acd12"/>
    </wne:keymap>
    <wne:keymap wne:kcmPrimary="0439">
      <wne:acd wne:acdName="acd4"/>
    </wne:keymap>
    <wne:keymap wne:kcmPrimary="0442">
      <wne:acd wne:acdName="acd1"/>
    </wne:keymap>
    <wne:keymap wne:kcmPrimary="0447">
      <wne:acd wne:acdName="acd11"/>
    </wne:keymap>
    <wne:keymap wne:kcmPrimary="0448">
      <wne:acd wne:acdName="acd2"/>
    </wne:keymap>
    <wne:keymap wne:kcmPrimary="044A">
      <wne:acd wne:acdName="acd14"/>
    </wne:keymap>
    <wne:keymap wne:kcmPrimary="044E">
      <wne:acd wne:acdName="acd0"/>
    </wne:keymap>
    <wne:keymap wne:kcmPrimary="0452">
      <wne:acd wne:acdName="acd13"/>
    </wne:keymap>
    <wne:keymap wne:kcmPrimary="0454">
      <wne:acd wne:acdName="acd5"/>
    </wne:keymap>
    <wne:keymap wne:kcmPrimary="045A" wne:kcmSecondary="0031">
      <wne:acd wne:acdName="acd3"/>
    </wne:keymap>
    <wne:keymap wne:kcmPrimary="045A" wne:kcmSecondary="0032">
      <wne:acd wne:acdName="acd15"/>
    </wne:keymap>
    <wne:keymap wne:kcmPrimary="045A" wne:kcmSecondary="0036">
      <wne:acd wne:acdName="acd25"/>
    </wne:keymap>
    <wne:keymap wne:kcmPrimary="045A" wne:kcmSecondary="0037">
      <wne:acd wne:acdName="acd24"/>
    </wne:keymap>
    <wne:keymap wne:kcmPrimary="045A" wne:kcmSecondary="0038">
      <wne:acd wne:acdName="acd21"/>
    </wne:keymap>
    <wne:keymap wne:kcmPrimary="045A" wne:kcmSecondary="0039">
      <wne:acd wne:acdName="acd22"/>
    </wne:keymap>
    <wne:keymap wne:kcmPrimary="045A" wne:kcmSecondary="0042">
      <wne:acd wne:acdName="acd17"/>
    </wne:keymap>
    <wne:keymap wne:kcmPrimary="045A" wne:kcmSecondary="0047">
      <wne:acd wne:acdName="acd19"/>
    </wne:keymap>
    <wne:keymap wne:kcmPrimary="045A" wne:kcmSecondary="0048">
      <wne:acd wne:acdName="acd18"/>
    </wne:keymap>
    <wne:keymap wne:kcmPrimary="045A" wne:kcmSecondary="004A">
      <wne:acd wne:acdName="acd20"/>
    </wne:keymap>
    <wne:keymap wne:kcmPrimary="045A" wne:kcmSecondary="004E">
      <wne:acd wne:acdName="acd16"/>
    </wne:keymap>
    <wne:keymap wne:kcmPrimary="045A" wne:kcmSecondary="0052">
      <wne:acd wne:acdName="acd26"/>
    </wne:keymap>
    <wne:keymap wne:kcmPrimary="045A" wne:kcmSecondary="0054">
      <wne:acd wne:acdName="acd2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rgValue="AQAAAAAA" wne:acdName="acd0" wne:fciIndexBasedOn="0065"/>
    <wne:acd wne:argValue="AQAAAEIA" wne:acdName="acd1" wne:fciIndexBasedOn="0065"/>
    <wne:acd wne:argValue="AgBCAG8AZAB5ACAAUwB1AGIAaABlAGEAZAA=" wne:acdName="acd2" wne:fciIndexBasedOn="0065"/>
    <wne:acd wne:argValue="AgBFAFkAIABIAGUAYQBkAGkAbgBnACAAMQA=" wne:acdName="acd3" wne:fciIndexBasedOn="0065"/>
    <wne:acd wne:argValue="AQAAADEA" wne:acdName="acd4" wne:fciIndexBasedOn="0065"/>
    <wne:acd wne:argValue="AgBUAGEAYgBsAGUAIABUAGUAeAB0AA==" wne:acdName="acd5" wne:fciIndexBasedOn="0065"/>
    <wne:acd wne:argValue="AgBUAGEAYgBsAGUAIABCAHUAbABsAGUAdAA=" wne:acdName="acd6" wne:fciIndexBasedOn="0065"/>
    <wne:acd wne:argValue="AgBUAGEAYgBsAGUAIABOAHUAbQBiAGUAcgA=" wne:acdName="acd7" wne:fciIndexBasedOn="0065"/>
    <wne:acd wne:argValue="AQAAAAEA" wne:acdName="acd8" wne:fciIndexBasedOn="0065"/>
    <wne:acd wne:argValue="AQAAAAIA" wne:acdName="acd9" wne:fciIndexBasedOn="0065"/>
    <wne:acd wne:argValue="AQAAAAMA" wne:acdName="acd10" wne:fciIndexBasedOn="0065"/>
    <wne:acd wne:argValue="AgBCAG8AZAB5ACAAUwB1AGIAaABlAGEAZAAgADIA" wne:acdName="acd11" wne:fciIndexBasedOn="0065"/>
    <wne:acd wne:argValue="AgBMAGkAcwB0ACAAYgB1AGwAbABlAHQA" wne:acdName="acd12" wne:fciIndexBasedOn="0065"/>
    <wne:acd wne:argValue="AgBUAGEAYgBsAEgAZQBhAGQAZQByAA==" wne:acdName="acd13" wne:fciIndexBasedOn="0065"/>
    <wne:acd wne:argValue="AgBCAG8AZAB5ACAAUwB1AGIAaABlAGEAZAAgADMA" wne:acdName="acd14" wne:fciIndexBasedOn="0065"/>
    <wne:acd wne:argValue="AgBFAFkAIABIAGUAYQBkAGkAbgBnACAAMgA=" wne:acdName="acd15" wne:fciIndexBasedOn="0065"/>
    <wne:acd wne:argValue="AgBFAFkAIABOAG8AcgBtAGEAbAA=" wne:acdName="acd16" wne:fciIndexBasedOn="0065"/>
    <wne:acd wne:argValue="AgBFAFkAIABCAG8AZAB5ACAAVABlAHgAdAA=" wne:acdName="acd17" wne:fciIndexBasedOn="0065"/>
    <wne:acd wne:argValue="AgBFAFkAIABCAG8AZAB5ACAAUwB1AGIAaABlAGEAZAA=" wne:acdName="acd18" wne:fciIndexBasedOn="0065"/>
    <wne:acd wne:argValue="AgBFAFkAIABCAG8AZAB5ACAAUwB1AGIAaABlAGEAZAAgADIA" wne:acdName="acd19" wne:fciIndexBasedOn="0065"/>
    <wne:acd wne:argValue="AgBFAFkAIABCAG8AZAB5ACAAUwB1AGIAaABlAGEAZAAgADMA" wne:acdName="acd20" wne:fciIndexBasedOn="0065"/>
    <wne:acd wne:argValue="AgBFAFkAIABMAGkAcwB0ACAAQgB1AGwAbABlAHQA" wne:acdName="acd21" wne:fciIndexBasedOn="0065"/>
    <wne:acd wne:argValue="AgBFAFkAIABMAGkAcwB0ACAATgB1AG0AYgBlAHIA" wne:acdName="acd22" wne:fciIndexBasedOn="0065"/>
    <wne:acd wne:argValue="AgBFAFkAIABUAGEAYgBsAGUAIABUAGUAeAB0AA==" wne:acdName="acd23" wne:fciIndexBasedOn="0065"/>
    <wne:acd wne:argValue="AgBFAFkAIABUAGEAYgBsAGUAIABiAHUAbABsAGUAdAA=" wne:acdName="acd24" wne:fciIndexBasedOn="0065"/>
    <wne:acd wne:argValue="AgBFAFkAIABUAGEAYgBsAGUAIABOAHUAbQBiAGUAcgA=" wne:acdName="acd25" wne:fciIndexBasedOn="0065"/>
    <wne:acd wne:argValue="AgBFAFkAIABUAGEAYgBsAEgAZQBhAGQAZQByAA==" wne:acdName="acd2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74" w:rsidRDefault="00EE2E74">
      <w:r>
        <w:separator/>
      </w:r>
    </w:p>
    <w:p w:rsidR="00EE2E74" w:rsidRDefault="00EE2E74"/>
    <w:p w:rsidR="00EE2E74" w:rsidRDefault="00EE2E74"/>
  </w:endnote>
  <w:endnote w:type="continuationSeparator" w:id="0">
    <w:p w:rsidR="00EE2E74" w:rsidRDefault="00EE2E74">
      <w:r>
        <w:continuationSeparator/>
      </w:r>
    </w:p>
    <w:p w:rsidR="00EE2E74" w:rsidRDefault="00EE2E74"/>
    <w:p w:rsidR="00EE2E74" w:rsidRDefault="00EE2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Segoe Condensed">
    <w:altName w:val="Arial"/>
    <w:charset w:val="BA"/>
    <w:family w:val="swiss"/>
    <w:pitch w:val="variable"/>
    <w:sig w:usb0="A00002AF" w:usb1="4000205B" w:usb2="00000000" w:usb3="00000000" w:csb0="0000009F" w:csb1="00000000"/>
  </w:font>
  <w:font w:name="Arial Black">
    <w:panose1 w:val="020B0A04020102020204"/>
    <w:charset w:val="BA"/>
    <w:family w:val="swiss"/>
    <w:pitch w:val="variable"/>
    <w:sig w:usb0="00000287" w:usb1="00000000" w:usb2="00000000" w:usb3="00000000" w:csb0="0000009F" w:csb1="00000000"/>
  </w:font>
  <w:font w:name="EYInterstate Light">
    <w:charset w:val="BA"/>
    <w:family w:val="auto"/>
    <w:pitch w:val="variable"/>
    <w:sig w:usb0="A00002AF" w:usb1="5000206A" w:usb2="00000000" w:usb3="00000000" w:csb0="0000009F" w:csb1="00000000"/>
  </w:font>
  <w:font w:name="EYInterstate">
    <w:charset w:val="BA"/>
    <w:family w:val="auto"/>
    <w:pitch w:val="variable"/>
    <w:sig w:usb0="A00002AF" w:usb1="5000206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2" w:type="dxa"/>
      <w:jc w:val="right"/>
      <w:tblBorders>
        <w:top w:val="single" w:sz="4" w:space="0" w:color="auto"/>
      </w:tblBorders>
      <w:tblLayout w:type="fixed"/>
      <w:tblLook w:val="0000" w:firstRow="0" w:lastRow="0" w:firstColumn="0" w:lastColumn="0" w:noHBand="0" w:noVBand="0"/>
    </w:tblPr>
    <w:tblGrid>
      <w:gridCol w:w="4258"/>
      <w:gridCol w:w="4252"/>
      <w:gridCol w:w="872"/>
    </w:tblGrid>
    <w:tr w:rsidR="00A5173E" w:rsidRPr="00035145" w:rsidTr="005E72F7">
      <w:trPr>
        <w:trHeight w:val="290"/>
        <w:jc w:val="right"/>
      </w:trPr>
      <w:tc>
        <w:tcPr>
          <w:tcW w:w="4258" w:type="dxa"/>
          <w:vAlign w:val="bottom"/>
        </w:tcPr>
        <w:p w:rsidR="00A5173E" w:rsidRPr="00A81982" w:rsidRDefault="00A5173E" w:rsidP="00CB5FF9">
          <w:pPr>
            <w:pStyle w:val="Footer"/>
          </w:pPr>
        </w:p>
      </w:tc>
      <w:tc>
        <w:tcPr>
          <w:tcW w:w="4252" w:type="dxa"/>
          <w:tcMar>
            <w:left w:w="0" w:type="dxa"/>
          </w:tcMar>
          <w:vAlign w:val="bottom"/>
        </w:tcPr>
        <w:p w:rsidR="00A5173E" w:rsidRPr="00A81982" w:rsidRDefault="00A5173E" w:rsidP="00CB5FF9">
          <w:pPr>
            <w:pStyle w:val="Footer"/>
            <w:rPr>
              <w:szCs w:val="14"/>
            </w:rPr>
          </w:pPr>
          <w:r>
            <w:rPr>
              <w:szCs w:val="14"/>
            </w:rPr>
            <w:t>2014</w:t>
          </w:r>
        </w:p>
      </w:tc>
      <w:tc>
        <w:tcPr>
          <w:tcW w:w="872" w:type="dxa"/>
          <w:vAlign w:val="bottom"/>
        </w:tcPr>
        <w:p w:rsidR="00A5173E" w:rsidRPr="00035145" w:rsidRDefault="00A5173E" w:rsidP="00CB5FF9">
          <w:pPr>
            <w:pStyle w:val="Footer"/>
            <w:jc w:val="right"/>
          </w:pPr>
          <w:r>
            <w:fldChar w:fldCharType="begin"/>
          </w:r>
          <w:r>
            <w:instrText xml:space="preserve"> PAGE  \* Arabic  \* MERGEFORMAT </w:instrText>
          </w:r>
          <w:r>
            <w:fldChar w:fldCharType="separate"/>
          </w:r>
          <w:r w:rsidR="003561F8">
            <w:rPr>
              <w:noProof/>
            </w:rPr>
            <w:t>31</w:t>
          </w:r>
          <w:r>
            <w:fldChar w:fldCharType="end"/>
          </w:r>
        </w:p>
      </w:tc>
    </w:tr>
  </w:tbl>
  <w:p w:rsidR="00A5173E" w:rsidRDefault="00A5173E" w:rsidP="001E4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Look w:val="0000" w:firstRow="0" w:lastRow="0" w:firstColumn="0" w:lastColumn="0" w:noHBand="0" w:noVBand="0"/>
    </w:tblPr>
    <w:tblGrid>
      <w:gridCol w:w="4304"/>
      <w:gridCol w:w="4299"/>
      <w:gridCol w:w="882"/>
    </w:tblGrid>
    <w:tr w:rsidR="00A5173E" w:rsidRPr="00035145" w:rsidTr="00976F4C">
      <w:trPr>
        <w:trHeight w:val="290"/>
        <w:jc w:val="right"/>
      </w:trPr>
      <w:tc>
        <w:tcPr>
          <w:tcW w:w="2269" w:type="pct"/>
          <w:vAlign w:val="bottom"/>
        </w:tcPr>
        <w:p w:rsidR="00A5173E" w:rsidRPr="00A81982" w:rsidRDefault="00A5173E" w:rsidP="00CB5FF9">
          <w:pPr>
            <w:pStyle w:val="Footer"/>
          </w:pPr>
        </w:p>
      </w:tc>
      <w:tc>
        <w:tcPr>
          <w:tcW w:w="2266" w:type="pct"/>
          <w:tcMar>
            <w:left w:w="0" w:type="dxa"/>
          </w:tcMar>
          <w:vAlign w:val="bottom"/>
        </w:tcPr>
        <w:p w:rsidR="00A5173E" w:rsidRPr="00A81982" w:rsidRDefault="00A5173E" w:rsidP="00CB5FF9">
          <w:pPr>
            <w:pStyle w:val="Footer"/>
            <w:rPr>
              <w:szCs w:val="14"/>
            </w:rPr>
          </w:pPr>
          <w:r>
            <w:rPr>
              <w:szCs w:val="14"/>
            </w:rPr>
            <w:t>2014</w:t>
          </w:r>
        </w:p>
      </w:tc>
      <w:tc>
        <w:tcPr>
          <w:tcW w:w="465" w:type="pct"/>
          <w:vAlign w:val="bottom"/>
        </w:tcPr>
        <w:p w:rsidR="00A5173E" w:rsidRPr="00035145" w:rsidRDefault="00A5173E" w:rsidP="00CB5FF9">
          <w:pPr>
            <w:pStyle w:val="Footer"/>
            <w:jc w:val="right"/>
          </w:pPr>
          <w:r>
            <w:fldChar w:fldCharType="begin"/>
          </w:r>
          <w:r>
            <w:instrText xml:space="preserve"> PAGE  \* Arabic  \* MERGEFORMAT </w:instrText>
          </w:r>
          <w:r>
            <w:fldChar w:fldCharType="separate"/>
          </w:r>
          <w:r w:rsidR="003561F8">
            <w:rPr>
              <w:noProof/>
            </w:rPr>
            <w:t>33</w:t>
          </w:r>
          <w:r>
            <w:fldChar w:fldCharType="end"/>
          </w:r>
        </w:p>
      </w:tc>
    </w:tr>
  </w:tbl>
  <w:p w:rsidR="00A5173E" w:rsidRDefault="00A5173E" w:rsidP="001E43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Look w:val="0000" w:firstRow="0" w:lastRow="0" w:firstColumn="0" w:lastColumn="0" w:noHBand="0" w:noVBand="0"/>
    </w:tblPr>
    <w:tblGrid>
      <w:gridCol w:w="6432"/>
      <w:gridCol w:w="6424"/>
      <w:gridCol w:w="1318"/>
    </w:tblGrid>
    <w:tr w:rsidR="00A5173E" w:rsidRPr="00035145" w:rsidTr="00976F4C">
      <w:trPr>
        <w:trHeight w:val="290"/>
        <w:jc w:val="right"/>
      </w:trPr>
      <w:tc>
        <w:tcPr>
          <w:tcW w:w="2269" w:type="pct"/>
          <w:vAlign w:val="bottom"/>
        </w:tcPr>
        <w:p w:rsidR="00A5173E" w:rsidRPr="00A81982" w:rsidRDefault="00A5173E" w:rsidP="00CB5FF9">
          <w:pPr>
            <w:pStyle w:val="Footer"/>
          </w:pPr>
        </w:p>
      </w:tc>
      <w:tc>
        <w:tcPr>
          <w:tcW w:w="2266" w:type="pct"/>
          <w:tcMar>
            <w:left w:w="0" w:type="dxa"/>
          </w:tcMar>
          <w:vAlign w:val="bottom"/>
        </w:tcPr>
        <w:p w:rsidR="00A5173E" w:rsidRPr="00A81982" w:rsidRDefault="00A5173E" w:rsidP="00CB5FF9">
          <w:pPr>
            <w:pStyle w:val="Footer"/>
            <w:rPr>
              <w:szCs w:val="14"/>
            </w:rPr>
          </w:pPr>
          <w:r>
            <w:rPr>
              <w:szCs w:val="14"/>
            </w:rPr>
            <w:t>2014</w:t>
          </w:r>
        </w:p>
      </w:tc>
      <w:tc>
        <w:tcPr>
          <w:tcW w:w="465" w:type="pct"/>
          <w:vAlign w:val="bottom"/>
        </w:tcPr>
        <w:p w:rsidR="00A5173E" w:rsidRPr="00035145" w:rsidRDefault="00A5173E" w:rsidP="00CB5FF9">
          <w:pPr>
            <w:pStyle w:val="Footer"/>
            <w:jc w:val="right"/>
          </w:pPr>
          <w:r>
            <w:fldChar w:fldCharType="begin"/>
          </w:r>
          <w:r>
            <w:instrText xml:space="preserve"> PAGE  \* Arabic  \* MERGEFORMAT </w:instrText>
          </w:r>
          <w:r>
            <w:fldChar w:fldCharType="separate"/>
          </w:r>
          <w:r w:rsidR="003561F8">
            <w:rPr>
              <w:noProof/>
            </w:rPr>
            <w:t>34</w:t>
          </w:r>
          <w:r>
            <w:fldChar w:fldCharType="end"/>
          </w:r>
        </w:p>
      </w:tc>
    </w:tr>
  </w:tbl>
  <w:p w:rsidR="00A5173E" w:rsidRDefault="00A5173E" w:rsidP="001E43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top w:val="single" w:sz="4" w:space="0" w:color="auto"/>
      </w:tblBorders>
      <w:tblLook w:val="0000" w:firstRow="0" w:lastRow="0" w:firstColumn="0" w:lastColumn="0" w:noHBand="0" w:noVBand="0"/>
    </w:tblPr>
    <w:tblGrid>
      <w:gridCol w:w="4304"/>
      <w:gridCol w:w="4299"/>
      <w:gridCol w:w="882"/>
    </w:tblGrid>
    <w:tr w:rsidR="00A5173E" w:rsidRPr="00035145" w:rsidTr="00976F4C">
      <w:trPr>
        <w:trHeight w:val="290"/>
        <w:jc w:val="right"/>
      </w:trPr>
      <w:tc>
        <w:tcPr>
          <w:tcW w:w="2269" w:type="pct"/>
          <w:vAlign w:val="bottom"/>
        </w:tcPr>
        <w:p w:rsidR="00A5173E" w:rsidRPr="00A81982" w:rsidRDefault="00A5173E" w:rsidP="00CB5FF9">
          <w:pPr>
            <w:pStyle w:val="Footer"/>
          </w:pPr>
        </w:p>
      </w:tc>
      <w:tc>
        <w:tcPr>
          <w:tcW w:w="2266" w:type="pct"/>
          <w:tcMar>
            <w:left w:w="0" w:type="dxa"/>
          </w:tcMar>
          <w:vAlign w:val="bottom"/>
        </w:tcPr>
        <w:p w:rsidR="00A5173E" w:rsidRPr="00A81982" w:rsidRDefault="00A5173E" w:rsidP="00CB5FF9">
          <w:pPr>
            <w:pStyle w:val="Footer"/>
            <w:rPr>
              <w:szCs w:val="14"/>
            </w:rPr>
          </w:pPr>
          <w:r>
            <w:rPr>
              <w:szCs w:val="14"/>
            </w:rPr>
            <w:t>2014</w:t>
          </w:r>
        </w:p>
      </w:tc>
      <w:tc>
        <w:tcPr>
          <w:tcW w:w="465" w:type="pct"/>
          <w:vAlign w:val="bottom"/>
        </w:tcPr>
        <w:p w:rsidR="00A5173E" w:rsidRPr="00035145" w:rsidRDefault="00A5173E" w:rsidP="00CB5FF9">
          <w:pPr>
            <w:pStyle w:val="Footer"/>
            <w:jc w:val="right"/>
          </w:pPr>
          <w:r>
            <w:fldChar w:fldCharType="begin"/>
          </w:r>
          <w:r>
            <w:instrText xml:space="preserve"> PAGE  \* Arabic  \* MERGEFORMAT </w:instrText>
          </w:r>
          <w:r>
            <w:fldChar w:fldCharType="separate"/>
          </w:r>
          <w:r w:rsidR="003561F8">
            <w:rPr>
              <w:noProof/>
            </w:rPr>
            <w:t>36</w:t>
          </w:r>
          <w:r>
            <w:fldChar w:fldCharType="end"/>
          </w:r>
        </w:p>
      </w:tc>
    </w:tr>
  </w:tbl>
  <w:p w:rsidR="00A5173E" w:rsidRDefault="00A5173E" w:rsidP="001E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74" w:rsidRDefault="00EE2E74">
      <w:r>
        <w:separator/>
      </w:r>
    </w:p>
    <w:p w:rsidR="00EE2E74" w:rsidRDefault="00EE2E74"/>
    <w:p w:rsidR="00EE2E74" w:rsidRDefault="00EE2E74"/>
  </w:footnote>
  <w:footnote w:type="continuationSeparator" w:id="0">
    <w:p w:rsidR="00EE2E74" w:rsidRDefault="00EE2E74">
      <w:r>
        <w:continuationSeparator/>
      </w:r>
    </w:p>
    <w:p w:rsidR="00EE2E74" w:rsidRDefault="00EE2E74"/>
    <w:p w:rsidR="00EE2E74" w:rsidRDefault="00EE2E74"/>
  </w:footnote>
  <w:footnote w:id="1">
    <w:p w:rsidR="00A5173E" w:rsidRDefault="00A5173E" w:rsidP="00946610">
      <w:pPr>
        <w:pStyle w:val="FootnoteText"/>
      </w:pPr>
      <w:r>
        <w:rPr>
          <w:rStyle w:val="FootnoteReference"/>
        </w:rPr>
        <w:footnoteRef/>
      </w:r>
      <w:r>
        <w:t xml:space="preserve"> IZM mājas lapa, Informācijas par VIIS un tās attīstību</w:t>
      </w:r>
    </w:p>
  </w:footnote>
  <w:footnote w:id="2">
    <w:p w:rsidR="00A5173E" w:rsidRDefault="00A5173E">
      <w:pPr>
        <w:pStyle w:val="FootnoteText"/>
      </w:pPr>
      <w:r>
        <w:rPr>
          <w:rStyle w:val="FootnoteReference"/>
        </w:rPr>
        <w:footnoteRef/>
      </w:r>
      <w:r>
        <w:t xml:space="preserve"> Izglītības likums, 5., 6. un 38.pants</w:t>
      </w:r>
    </w:p>
  </w:footnote>
  <w:footnote w:id="3">
    <w:p w:rsidR="00A5173E" w:rsidRDefault="00A5173E">
      <w:pPr>
        <w:pStyle w:val="FootnoteText"/>
      </w:pPr>
      <w:r>
        <w:rPr>
          <w:rStyle w:val="FootnoteReference"/>
        </w:rPr>
        <w:footnoteRef/>
      </w:r>
      <w:r>
        <w:t xml:space="preserve"> Piezīme: VIIS</w:t>
      </w:r>
      <w:r w:rsidRPr="00860A47">
        <w:t xml:space="preserve"> dalījums funkcionālajos blokos ir jāuztver kā funkciju grupējums un </w:t>
      </w:r>
      <w:r>
        <w:t>tas</w:t>
      </w:r>
      <w:r w:rsidRPr="00860A47">
        <w:t xml:space="preserve"> </w:t>
      </w:r>
      <w:r>
        <w:t>var nesakrist</w:t>
      </w:r>
      <w:r w:rsidRPr="00860A47">
        <w:t xml:space="preserve"> ar faktiskajiem programmatūras moduļiem</w:t>
      </w:r>
      <w:r>
        <w:t>.</w:t>
      </w:r>
    </w:p>
  </w:footnote>
  <w:footnote w:id="4">
    <w:p w:rsidR="00A5173E" w:rsidRPr="00B0385F" w:rsidRDefault="00A5173E">
      <w:pPr>
        <w:pStyle w:val="FootnoteText"/>
        <w:rPr>
          <w:sz w:val="16"/>
        </w:rPr>
      </w:pPr>
      <w:r w:rsidRPr="00B0385F">
        <w:rPr>
          <w:rStyle w:val="FootnoteReference"/>
          <w:sz w:val="16"/>
        </w:rPr>
        <w:footnoteRef/>
      </w:r>
      <w:r w:rsidRPr="00B0385F">
        <w:rPr>
          <w:sz w:val="16"/>
        </w:rPr>
        <w:t xml:space="preserve"> Bērnu skaits Latvijā, 2013, Centrālā statistikas pārvalde, http://www.csb.gov.lv/sites/default/files/nr_13_berni_latvija_2013_13_00_lv_en.pdf</w:t>
      </w:r>
    </w:p>
  </w:footnote>
  <w:footnote w:id="5">
    <w:p w:rsidR="00A5173E" w:rsidRPr="00B0385F" w:rsidRDefault="00A5173E">
      <w:pPr>
        <w:pStyle w:val="FootnoteText"/>
        <w:rPr>
          <w:sz w:val="16"/>
        </w:rPr>
      </w:pPr>
      <w:r w:rsidRPr="00B0385F">
        <w:rPr>
          <w:rStyle w:val="FootnoteReference"/>
          <w:sz w:val="16"/>
        </w:rPr>
        <w:footnoteRef/>
      </w:r>
      <w:r w:rsidRPr="00B0385F">
        <w:rPr>
          <w:sz w:val="16"/>
        </w:rPr>
        <w:t xml:space="preserve"> Valsts atbalsts bērniem, kas saņem pakalpojumu pie privātā bērnu uzraudzības pakalpojuma sniedzēja saskaņā ar 2013.gada 10.decembra MK noteikumiem Nr. 1462 „Kārtība, kādā tiek piešķirts un aprēķināts valsts atbalsts par bērnu no pusotra gada vecuma līdz pamatizglītības ieguves uzsākšanai, ja bērns saņem pakalpojumu pie privātā bērnu uzraudzības pakalpojuma sniedzēja”</w:t>
      </w:r>
    </w:p>
  </w:footnote>
  <w:footnote w:id="6">
    <w:p w:rsidR="00A5173E" w:rsidRDefault="00A5173E">
      <w:pPr>
        <w:pStyle w:val="FootnoteText"/>
      </w:pPr>
      <w:r w:rsidRPr="00B0385F">
        <w:rPr>
          <w:rStyle w:val="FootnoteReference"/>
          <w:sz w:val="16"/>
        </w:rPr>
        <w:footnoteRef/>
      </w:r>
      <w:r w:rsidRPr="00B0385F">
        <w:rPr>
          <w:sz w:val="16"/>
        </w:rPr>
        <w:t xml:space="preserve"> Kaut arī uz koncepcijas izstrādes brīdi nav pabeigta IZM un VID savstarpējās sadarbības līguma redakcijas saskaņošana, tiek paredzēts, ka saskarnes izstrādi VID pusē nodrošina un apmaksā VID par saviem līdzekļiem.</w:t>
      </w:r>
    </w:p>
  </w:footnote>
  <w:footnote w:id="7">
    <w:p w:rsidR="00A5173E" w:rsidRDefault="00A5173E">
      <w:pPr>
        <w:pStyle w:val="FootnoteText"/>
      </w:pPr>
      <w:r>
        <w:rPr>
          <w:rStyle w:val="FootnoteReference"/>
        </w:rPr>
        <w:footnoteRef/>
      </w:r>
      <w:r>
        <w:t xml:space="preserve"> </w:t>
      </w:r>
      <w:r w:rsidRPr="001D265B">
        <w:t>Programmatūras tehnoloģija, kas nodrošina atbalstu</w:t>
      </w:r>
      <w:r>
        <w:t xml:space="preserve"> </w:t>
      </w:r>
      <w:proofErr w:type="spellStart"/>
      <w:r>
        <w:t>daudzdimensiju</w:t>
      </w:r>
      <w:proofErr w:type="spellEnd"/>
      <w:r>
        <w:t xml:space="preserve"> datu struktūrām.</w:t>
      </w:r>
    </w:p>
  </w:footnote>
  <w:footnote w:id="8">
    <w:p w:rsidR="00A5173E" w:rsidRPr="00DE2735" w:rsidRDefault="00A5173E">
      <w:pPr>
        <w:pStyle w:val="FootnoteText"/>
        <w:rPr>
          <w:sz w:val="16"/>
          <w:szCs w:val="16"/>
        </w:rPr>
      </w:pPr>
      <w:r w:rsidRPr="00DE2735">
        <w:rPr>
          <w:rStyle w:val="FootnoteReference"/>
          <w:sz w:val="16"/>
          <w:szCs w:val="16"/>
        </w:rPr>
        <w:footnoteRef/>
      </w:r>
      <w:r w:rsidRPr="00DE2735">
        <w:rPr>
          <w:sz w:val="16"/>
          <w:szCs w:val="16"/>
        </w:rPr>
        <w:t xml:space="preserve"> Inflācijas ietekme sociālekonomisko iegumu aprēķinā iekļauta atbilstoši LR Finanšu ministrijas dokumentam „Par pamatnorādēm izmaksu un ieguvumu analīzes veikšanai ES fondu 2007-2013 plānošanas perioda projektiem” </w:t>
      </w:r>
      <w:hyperlink r:id="rId1" w:history="1">
        <w:r w:rsidRPr="00DE2735">
          <w:rPr>
            <w:rStyle w:val="Hyperlink"/>
            <w:sz w:val="16"/>
            <w:szCs w:val="16"/>
          </w:rPr>
          <w:t>http://www.esfondi.lv/upload/00-vadlinijas/vadlinijas_2013/4.2.1.skaidrojums.pdf</w:t>
        </w:r>
      </w:hyperlink>
      <w:r w:rsidRPr="00DE2735">
        <w:rPr>
          <w:sz w:val="16"/>
          <w:szCs w:val="16"/>
        </w:rPr>
        <w:t xml:space="preserve"> </w:t>
      </w:r>
    </w:p>
  </w:footnote>
  <w:footnote w:id="9">
    <w:p w:rsidR="00A5173E" w:rsidRDefault="00A5173E">
      <w:pPr>
        <w:pStyle w:val="FootnoteText"/>
      </w:pPr>
      <w:r w:rsidRPr="00DE2735">
        <w:rPr>
          <w:rStyle w:val="FootnoteReference"/>
          <w:sz w:val="16"/>
          <w:szCs w:val="16"/>
        </w:rPr>
        <w:footnoteRef/>
      </w:r>
      <w:r w:rsidRPr="00DE2735">
        <w:rPr>
          <w:sz w:val="16"/>
          <w:szCs w:val="16"/>
        </w:rPr>
        <w:t xml:space="preserve"> Inflācijas ietekme sociālekonomisko iegumu aprēķinā iekļauta atbilstoši LR Finanšu ministrijas dokumentam „Par pamatnorādēm izmaksu un ieguvumu analīzes veikšanai ES fondu 2007-2013 plānošanas perioda projektiem” </w:t>
      </w:r>
      <w:hyperlink r:id="rId2" w:history="1">
        <w:r w:rsidRPr="00DE2735">
          <w:rPr>
            <w:rStyle w:val="Hyperlink"/>
            <w:sz w:val="16"/>
            <w:szCs w:val="16"/>
          </w:rPr>
          <w:t>http://www.esfondi.lv/upload/00-vadlinijas/vadlinijas_2013/4.2.1.skaidrojums.pdf</w:t>
        </w:r>
      </w:hyperlink>
      <w:r w:rsidRPr="00DE2735">
        <w:rPr>
          <w:sz w:val="16"/>
          <w:szCs w:val="16"/>
        </w:rPr>
        <w:t xml:space="preserve"> </w:t>
      </w:r>
    </w:p>
  </w:footnote>
  <w:footnote w:id="10">
    <w:p w:rsidR="00A5173E" w:rsidRPr="00DE2735" w:rsidRDefault="00A5173E">
      <w:pPr>
        <w:pStyle w:val="FootnoteText"/>
        <w:rPr>
          <w:sz w:val="16"/>
          <w:szCs w:val="16"/>
        </w:rPr>
      </w:pPr>
      <w:r w:rsidRPr="00DE2735">
        <w:rPr>
          <w:rStyle w:val="FootnoteReference"/>
          <w:sz w:val="16"/>
          <w:szCs w:val="16"/>
        </w:rPr>
        <w:footnoteRef/>
      </w:r>
      <w:r w:rsidRPr="00DE2735">
        <w:rPr>
          <w:sz w:val="16"/>
          <w:szCs w:val="16"/>
        </w:rPr>
        <w:t xml:space="preserve"> Inflācijas ietekme sociālekonomisko iegumu aprēķinā iekļauta atbilstoši LR Finanšu ministrijas dokumentam „Par pamatnorādēm izmaksu un ieguvumu analīzes veikšanai ES fondu 2007-2013 plānošanas perioda projektiem” </w:t>
      </w:r>
      <w:hyperlink r:id="rId3" w:history="1">
        <w:r w:rsidRPr="00DE2735">
          <w:rPr>
            <w:rStyle w:val="Hyperlink"/>
            <w:sz w:val="16"/>
            <w:szCs w:val="16"/>
          </w:rPr>
          <w:t>http://www.esfondi.lv/upload/00-vadlinijas/vadlinijas_2013/4.2.1.skaidrojums.pdf</w:t>
        </w:r>
      </w:hyperlink>
      <w:r w:rsidRPr="00DE2735">
        <w:rPr>
          <w:sz w:val="16"/>
          <w:szCs w:val="16"/>
        </w:rPr>
        <w:t xml:space="preserve"> </w:t>
      </w:r>
    </w:p>
  </w:footnote>
  <w:footnote w:id="11">
    <w:p w:rsidR="00A5173E" w:rsidRPr="00DE2735" w:rsidRDefault="00A5173E">
      <w:pPr>
        <w:pStyle w:val="FootnoteText"/>
        <w:rPr>
          <w:sz w:val="16"/>
          <w:szCs w:val="16"/>
        </w:rPr>
      </w:pPr>
      <w:r w:rsidRPr="00DE2735">
        <w:rPr>
          <w:rStyle w:val="FootnoteReference"/>
          <w:sz w:val="16"/>
          <w:szCs w:val="16"/>
        </w:rPr>
        <w:footnoteRef/>
      </w:r>
      <w:r w:rsidRPr="00DE2735">
        <w:rPr>
          <w:sz w:val="16"/>
          <w:szCs w:val="16"/>
        </w:rPr>
        <w:t xml:space="preserve"> Inflācijas ietekme sociālekonomisko iegumu aprēķinā iekļauta atbilstoši LR Finanšu ministrijas dokumentam „Par pamatnorādēm izmaksu un ieguvumu analīzes veikšanai ES fondu 2007-2013 plānošanas perioda projektiem” </w:t>
      </w:r>
      <w:hyperlink r:id="rId4" w:history="1">
        <w:r w:rsidRPr="00DE2735">
          <w:rPr>
            <w:rStyle w:val="Hyperlink"/>
            <w:sz w:val="16"/>
            <w:szCs w:val="16"/>
          </w:rPr>
          <w:t>http://www.esfondi.lv/upload/00-vadlinijas/vadlinijas_2013/4.2.1.skaidrojums.pdf</w:t>
        </w:r>
      </w:hyperlink>
    </w:p>
  </w:footnote>
  <w:footnote w:id="12">
    <w:p w:rsidR="00A5173E" w:rsidRDefault="00A12E91" w:rsidP="00536662">
      <w:pPr>
        <w:pStyle w:val="FootnoteText"/>
        <w:jc w:val="both"/>
      </w:pPr>
      <w:r>
        <w:rPr>
          <w:rStyle w:val="FootnoteReference"/>
        </w:rPr>
        <w:footnoteRef/>
      </w:r>
      <w:r>
        <w:t xml:space="preserve"> </w:t>
      </w:r>
      <w:r w:rsidRPr="00536662">
        <w:rPr>
          <w:sz w:val="16"/>
        </w:rPr>
        <w:t xml:space="preserve">Papildu štata vietas tiks plānotas saskaņā ar </w:t>
      </w:r>
      <w:r w:rsidR="000705A8">
        <w:rPr>
          <w:sz w:val="16"/>
        </w:rPr>
        <w:t>L</w:t>
      </w:r>
      <w:r w:rsidRPr="00536662">
        <w:rPr>
          <w:sz w:val="16"/>
        </w:rPr>
        <w:t>ikuma par valsts budžetu kārtējam gadam sagatavošanas procesu, vienlaikus ar visu ministriju un centrālo valsts iestāžu priekšlikumiem jaunajām politikas iniciatīvām atbilstoši valsts budžeta finansiālajām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4" w:type="dxa"/>
      <w:jc w:val="right"/>
      <w:tblLayout w:type="fixed"/>
      <w:tblCellMar>
        <w:left w:w="0" w:type="dxa"/>
        <w:right w:w="0" w:type="dxa"/>
      </w:tblCellMar>
      <w:tblLook w:val="0000" w:firstRow="0" w:lastRow="0" w:firstColumn="0" w:lastColumn="0" w:noHBand="0" w:noVBand="0"/>
    </w:tblPr>
    <w:tblGrid>
      <w:gridCol w:w="9384"/>
    </w:tblGrid>
    <w:tr w:rsidR="00A5173E" w:rsidRPr="002C6C52" w:rsidTr="005E72F7">
      <w:trPr>
        <w:cantSplit/>
        <w:trHeight w:val="289"/>
        <w:jc w:val="right"/>
      </w:trPr>
      <w:tc>
        <w:tcPr>
          <w:tcW w:w="9384" w:type="dxa"/>
          <w:tcBorders>
            <w:bottom w:val="single" w:sz="4" w:space="0" w:color="auto"/>
          </w:tcBorders>
          <w:vAlign w:val="bottom"/>
        </w:tcPr>
        <w:p w:rsidR="00A5173E" w:rsidRPr="002C6C52" w:rsidRDefault="00A5173E" w:rsidP="005E72F7">
          <w:pPr>
            <w:pStyle w:val="Header"/>
            <w:jc w:val="center"/>
            <w:rPr>
              <w:i/>
            </w:rPr>
          </w:pPr>
          <w:r w:rsidRPr="002C6C52">
            <w:t>VIIS attīstības koncepcija</w:t>
          </w:r>
        </w:p>
      </w:tc>
    </w:tr>
  </w:tbl>
  <w:p w:rsidR="00A5173E" w:rsidRDefault="00A51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3E" w:rsidRDefault="00A517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84" w:type="dxa"/>
      <w:jc w:val="right"/>
      <w:tblLayout w:type="fixed"/>
      <w:tblCellMar>
        <w:left w:w="0" w:type="dxa"/>
        <w:right w:w="0" w:type="dxa"/>
      </w:tblCellMar>
      <w:tblLook w:val="0000" w:firstRow="0" w:lastRow="0" w:firstColumn="0" w:lastColumn="0" w:noHBand="0" w:noVBand="0"/>
    </w:tblPr>
    <w:tblGrid>
      <w:gridCol w:w="9384"/>
    </w:tblGrid>
    <w:tr w:rsidR="00A5173E" w:rsidRPr="002C6C52" w:rsidTr="005E72F7">
      <w:trPr>
        <w:cantSplit/>
        <w:trHeight w:val="289"/>
        <w:jc w:val="right"/>
      </w:trPr>
      <w:tc>
        <w:tcPr>
          <w:tcW w:w="9384" w:type="dxa"/>
          <w:tcBorders>
            <w:bottom w:val="single" w:sz="4" w:space="0" w:color="auto"/>
          </w:tcBorders>
          <w:vAlign w:val="bottom"/>
        </w:tcPr>
        <w:p w:rsidR="00A5173E" w:rsidRPr="002C6C52" w:rsidRDefault="00A5173E" w:rsidP="005E72F7">
          <w:pPr>
            <w:pStyle w:val="Header"/>
            <w:jc w:val="center"/>
            <w:rPr>
              <w:i/>
            </w:rPr>
          </w:pPr>
          <w:r w:rsidRPr="002C6C52">
            <w:t>VIIS attīstības koncepcija</w:t>
          </w:r>
        </w:p>
      </w:tc>
    </w:tr>
  </w:tbl>
  <w:p w:rsidR="00A5173E" w:rsidRDefault="00A517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left w:w="0" w:type="dxa"/>
        <w:right w:w="0" w:type="dxa"/>
      </w:tblCellMar>
      <w:tblLook w:val="0000" w:firstRow="0" w:lastRow="0" w:firstColumn="0" w:lastColumn="0" w:noHBand="0" w:noVBand="0"/>
    </w:tblPr>
    <w:tblGrid>
      <w:gridCol w:w="13958"/>
    </w:tblGrid>
    <w:tr w:rsidR="00A5173E" w:rsidRPr="002C6C52" w:rsidTr="00976F4C">
      <w:trPr>
        <w:cantSplit/>
        <w:trHeight w:val="289"/>
        <w:jc w:val="right"/>
      </w:trPr>
      <w:tc>
        <w:tcPr>
          <w:tcW w:w="5000" w:type="pct"/>
          <w:tcBorders>
            <w:bottom w:val="single" w:sz="4" w:space="0" w:color="auto"/>
          </w:tcBorders>
          <w:vAlign w:val="bottom"/>
        </w:tcPr>
        <w:p w:rsidR="00A5173E" w:rsidRPr="002C6C52" w:rsidRDefault="00A5173E" w:rsidP="005E72F7">
          <w:pPr>
            <w:pStyle w:val="Header"/>
            <w:jc w:val="center"/>
            <w:rPr>
              <w:i/>
            </w:rPr>
          </w:pPr>
          <w:r w:rsidRPr="002C6C52">
            <w:t>VIIS attīstības koncepcija</w:t>
          </w:r>
        </w:p>
      </w:tc>
    </w:tr>
  </w:tbl>
  <w:p w:rsidR="00A5173E" w:rsidRDefault="00A517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left w:w="0" w:type="dxa"/>
        <w:right w:w="0" w:type="dxa"/>
      </w:tblCellMar>
      <w:tblLook w:val="0000" w:firstRow="0" w:lastRow="0" w:firstColumn="0" w:lastColumn="0" w:noHBand="0" w:noVBand="0"/>
    </w:tblPr>
    <w:tblGrid>
      <w:gridCol w:w="9269"/>
    </w:tblGrid>
    <w:tr w:rsidR="00A5173E" w:rsidRPr="002C6C52" w:rsidTr="00976F4C">
      <w:trPr>
        <w:cantSplit/>
        <w:trHeight w:val="289"/>
        <w:jc w:val="right"/>
      </w:trPr>
      <w:tc>
        <w:tcPr>
          <w:tcW w:w="5000" w:type="pct"/>
          <w:tcBorders>
            <w:bottom w:val="single" w:sz="4" w:space="0" w:color="auto"/>
          </w:tcBorders>
          <w:vAlign w:val="bottom"/>
        </w:tcPr>
        <w:p w:rsidR="00A5173E" w:rsidRPr="002C6C52" w:rsidRDefault="00A5173E" w:rsidP="005E72F7">
          <w:pPr>
            <w:pStyle w:val="Header"/>
            <w:jc w:val="center"/>
            <w:rPr>
              <w:i/>
            </w:rPr>
          </w:pPr>
          <w:r w:rsidRPr="002C6C52">
            <w:t>VIIS attīstības koncepcija</w:t>
          </w:r>
        </w:p>
      </w:tc>
    </w:tr>
  </w:tbl>
  <w:p w:rsidR="00A5173E" w:rsidRDefault="00A51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7FA2DD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EA9E481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3620C51C"/>
    <w:lvl w:ilvl="0">
      <w:start w:val="1"/>
      <w:numFmt w:val="bullet"/>
      <w:pStyle w:val="ListBullet"/>
      <w:lvlText w:val=""/>
      <w:lvlJc w:val="left"/>
      <w:pPr>
        <w:ind w:left="360" w:hanging="360"/>
      </w:pPr>
      <w:rPr>
        <w:rFonts w:ascii="Symbol" w:hAnsi="Symbol" w:hint="default"/>
        <w:color w:val="auto"/>
        <w:sz w:val="20"/>
        <w:szCs w:val="14"/>
      </w:rPr>
    </w:lvl>
  </w:abstractNum>
  <w:abstractNum w:abstractNumId="3">
    <w:nsid w:val="003E0516"/>
    <w:multiLevelType w:val="multilevel"/>
    <w:tmpl w:val="D8BAD350"/>
    <w:lvl w:ilvl="0">
      <w:start w:val="1"/>
      <w:numFmt w:val="decimal"/>
      <w:lvlRestart w:val="0"/>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247"/>
        </w:tabs>
        <w:ind w:left="1247" w:hanging="1247"/>
      </w:pPr>
      <w:rPr>
        <w:rFonts w:hint="default"/>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nsid w:val="00EA45FD"/>
    <w:multiLevelType w:val="multilevel"/>
    <w:tmpl w:val="8A44EF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7BB483B"/>
    <w:multiLevelType w:val="hybridMultilevel"/>
    <w:tmpl w:val="02524704"/>
    <w:lvl w:ilvl="0" w:tplc="0426000F">
      <w:start w:val="1"/>
      <w:numFmt w:val="decimal"/>
      <w:lvlText w:val="%1."/>
      <w:lvlJc w:val="left"/>
      <w:pPr>
        <w:ind w:left="720" w:hanging="360"/>
      </w:pPr>
      <w:rPr>
        <w:rFonts w:hint="default"/>
        <w:sz w:val="16"/>
        <w:szCs w:val="16"/>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9BD42C2"/>
    <w:multiLevelType w:val="hybridMultilevel"/>
    <w:tmpl w:val="CC06A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B6A0B43"/>
    <w:multiLevelType w:val="hybridMultilevel"/>
    <w:tmpl w:val="E166B140"/>
    <w:lvl w:ilvl="0" w:tplc="0426000F">
      <w:start w:val="1"/>
      <w:numFmt w:val="decimal"/>
      <w:lvlText w:val="%1."/>
      <w:lvlJc w:val="left"/>
      <w:pPr>
        <w:ind w:left="720" w:hanging="360"/>
      </w:pPr>
      <w:rPr>
        <w:rFonts w:hint="default"/>
      </w:rPr>
    </w:lvl>
    <w:lvl w:ilvl="1" w:tplc="D7AEB8B2">
      <w:start w:val="1"/>
      <w:numFmt w:val="bullet"/>
      <w:lvlText w:val=""/>
      <w:lvlJc w:val="left"/>
      <w:pPr>
        <w:ind w:left="1440" w:hanging="360"/>
      </w:pPr>
      <w:rPr>
        <w:rFonts w:ascii="Symbol" w:hAnsi="Symbol" w:hint="default"/>
        <w:color w:val="auto"/>
        <w:sz w:val="20"/>
        <w:szCs w:val="14"/>
      </w:rPr>
    </w:lvl>
    <w:lvl w:ilvl="2" w:tplc="55EA7912">
      <w:start w:val="9"/>
      <w:numFmt w:val="bullet"/>
      <w:lvlText w:val="-"/>
      <w:lvlJc w:val="left"/>
      <w:pPr>
        <w:ind w:left="2340" w:hanging="360"/>
      </w:pPr>
      <w:rPr>
        <w:rFonts w:ascii="Arial" w:eastAsia="Times New Roman" w:hAnsi="Arial" w:cs="Aria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DD54F28"/>
    <w:multiLevelType w:val="hybridMultilevel"/>
    <w:tmpl w:val="D47ACC16"/>
    <w:lvl w:ilvl="0" w:tplc="0426000F">
      <w:start w:val="1"/>
      <w:numFmt w:val="decimal"/>
      <w:lvlText w:val="%1."/>
      <w:lvlJc w:val="left"/>
      <w:pPr>
        <w:ind w:left="720" w:hanging="360"/>
      </w:pPr>
      <w:rPr>
        <w:rFonts w:hint="default"/>
        <w:sz w:val="16"/>
        <w:szCs w:val="16"/>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18265E"/>
    <w:multiLevelType w:val="multilevel"/>
    <w:tmpl w:val="29F29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3E435E6"/>
    <w:multiLevelType w:val="multilevel"/>
    <w:tmpl w:val="29F297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4CA4BC8"/>
    <w:multiLevelType w:val="multilevel"/>
    <w:tmpl w:val="0426001D"/>
    <w:styleLink w:val="TableBullet"/>
    <w:lvl w:ilvl="0">
      <w:start w:val="1"/>
      <w:numFmt w:val="bullet"/>
      <w:lvlText w:val="►"/>
      <w:lvlJc w:val="left"/>
      <w:pPr>
        <w:tabs>
          <w:tab w:val="num" w:pos="360"/>
        </w:tabs>
        <w:ind w:left="360" w:hanging="360"/>
      </w:pPr>
      <w:rPr>
        <w:rFonts w:ascii="Arial" w:hAnsi="Arial" w:hint="default"/>
        <w:color w:val="FFD200"/>
        <w:sz w:val="18"/>
      </w:rPr>
    </w:lvl>
    <w:lvl w:ilvl="1">
      <w:start w:val="1"/>
      <w:numFmt w:val="bullet"/>
      <w:lvlText w:val="►"/>
      <w:lvlJc w:val="left"/>
      <w:pPr>
        <w:tabs>
          <w:tab w:val="num" w:pos="720"/>
        </w:tabs>
        <w:ind w:left="720" w:hanging="360"/>
      </w:pPr>
      <w:rPr>
        <w:rFonts w:ascii="Arial" w:hAnsi="Arial" w:hint="default"/>
        <w:color w:val="FFD200"/>
        <w:sz w:val="18"/>
      </w:rPr>
    </w:lvl>
    <w:lvl w:ilvl="2">
      <w:start w:val="1"/>
      <w:numFmt w:val="bullet"/>
      <w:lvlText w:val="►"/>
      <w:lvlJc w:val="left"/>
      <w:pPr>
        <w:tabs>
          <w:tab w:val="num" w:pos="1080"/>
        </w:tabs>
        <w:ind w:left="1080" w:hanging="360"/>
      </w:pPr>
      <w:rPr>
        <w:rFonts w:ascii="Arial" w:hAnsi="Arial" w:hint="default"/>
        <w:color w:val="FFD200"/>
        <w:sz w:val="18"/>
      </w:rPr>
    </w:lvl>
    <w:lvl w:ilvl="3">
      <w:start w:val="1"/>
      <w:numFmt w:val="bullet"/>
      <w:lvlText w:val="►"/>
      <w:lvlJc w:val="left"/>
      <w:pPr>
        <w:tabs>
          <w:tab w:val="num" w:pos="1440"/>
        </w:tabs>
        <w:ind w:left="1440" w:hanging="360"/>
      </w:pPr>
      <w:rPr>
        <w:rFonts w:ascii="Arial" w:hAnsi="Arial" w:hint="default"/>
        <w:color w:val="FFD200"/>
        <w:sz w:val="18"/>
      </w:rPr>
    </w:lvl>
    <w:lvl w:ilvl="4">
      <w:start w:val="1"/>
      <w:numFmt w:val="bullet"/>
      <w:lvlText w:val="►"/>
      <w:lvlJc w:val="left"/>
      <w:pPr>
        <w:tabs>
          <w:tab w:val="num" w:pos="1800"/>
        </w:tabs>
        <w:ind w:left="1800" w:hanging="360"/>
      </w:pPr>
      <w:rPr>
        <w:rFonts w:ascii="Arial" w:hAnsi="Arial" w:hint="default"/>
        <w:color w:val="FFD200"/>
        <w:sz w:val="18"/>
      </w:rPr>
    </w:lvl>
    <w:lvl w:ilvl="5">
      <w:start w:val="1"/>
      <w:numFmt w:val="bullet"/>
      <w:lvlText w:val="►"/>
      <w:lvlJc w:val="left"/>
      <w:pPr>
        <w:tabs>
          <w:tab w:val="num" w:pos="2160"/>
        </w:tabs>
        <w:ind w:left="2160" w:hanging="360"/>
      </w:pPr>
      <w:rPr>
        <w:rFonts w:ascii="Arial" w:hAnsi="Arial" w:hint="default"/>
        <w:color w:val="FFD200"/>
        <w:sz w:val="18"/>
      </w:rPr>
    </w:lvl>
    <w:lvl w:ilvl="6">
      <w:start w:val="1"/>
      <w:numFmt w:val="bullet"/>
      <w:lvlText w:val="►"/>
      <w:lvlJc w:val="left"/>
      <w:pPr>
        <w:tabs>
          <w:tab w:val="num" w:pos="2520"/>
        </w:tabs>
        <w:ind w:left="2520" w:hanging="360"/>
      </w:pPr>
      <w:rPr>
        <w:rFonts w:ascii="Arial" w:hAnsi="Arial" w:hint="default"/>
        <w:color w:val="FFD200"/>
        <w:sz w:val="18"/>
      </w:rPr>
    </w:lvl>
    <w:lvl w:ilvl="7">
      <w:start w:val="1"/>
      <w:numFmt w:val="bullet"/>
      <w:lvlText w:val="►"/>
      <w:lvlJc w:val="left"/>
      <w:pPr>
        <w:tabs>
          <w:tab w:val="num" w:pos="2880"/>
        </w:tabs>
        <w:ind w:left="2880" w:hanging="360"/>
      </w:pPr>
      <w:rPr>
        <w:rFonts w:ascii="Arial" w:hAnsi="Arial" w:hint="default"/>
        <w:color w:val="FFD200"/>
        <w:sz w:val="18"/>
      </w:rPr>
    </w:lvl>
    <w:lvl w:ilvl="8">
      <w:start w:val="1"/>
      <w:numFmt w:val="lowerRoman"/>
      <w:lvlText w:val="%9."/>
      <w:lvlJc w:val="left"/>
      <w:pPr>
        <w:tabs>
          <w:tab w:val="num" w:pos="3240"/>
        </w:tabs>
        <w:ind w:left="3240" w:hanging="360"/>
      </w:pPr>
    </w:lvl>
  </w:abstractNum>
  <w:abstractNum w:abstractNumId="12">
    <w:nsid w:val="178162E3"/>
    <w:multiLevelType w:val="hybridMultilevel"/>
    <w:tmpl w:val="CC06A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CBD2C2D"/>
    <w:multiLevelType w:val="multilevel"/>
    <w:tmpl w:val="CC0A5102"/>
    <w:lvl w:ilvl="0">
      <w:start w:val="1"/>
      <w:numFmt w:val="decimal"/>
      <w:pStyle w:val="TableNumber"/>
      <w:lvlText w:val="%1."/>
      <w:lvlJc w:val="left"/>
      <w:pPr>
        <w:tabs>
          <w:tab w:val="num" w:pos="473"/>
        </w:tabs>
        <w:ind w:left="473" w:hanging="360"/>
      </w:pPr>
      <w:rPr>
        <w:rFonts w:ascii="Arial" w:hAnsi="Arial" w:hint="default"/>
        <w:b w:val="0"/>
        <w:i w:val="0"/>
        <w:sz w:val="18"/>
      </w:rPr>
    </w:lvl>
    <w:lvl w:ilvl="1">
      <w:start w:val="1"/>
      <w:numFmt w:val="decimal"/>
      <w:lvlText w:val="%1.%2."/>
      <w:lvlJc w:val="left"/>
      <w:pPr>
        <w:tabs>
          <w:tab w:val="num" w:pos="1193"/>
        </w:tabs>
        <w:ind w:left="905" w:hanging="432"/>
      </w:pPr>
      <w:rPr>
        <w:rFonts w:ascii="Arial" w:hAnsi="Arial" w:hint="default"/>
        <w:b w:val="0"/>
        <w:i w:val="0"/>
        <w:sz w:val="18"/>
      </w:rPr>
    </w:lvl>
    <w:lvl w:ilvl="2">
      <w:start w:val="1"/>
      <w:numFmt w:val="decimal"/>
      <w:lvlText w:val="%1.%2.%3."/>
      <w:lvlJc w:val="left"/>
      <w:pPr>
        <w:tabs>
          <w:tab w:val="num" w:pos="1913"/>
        </w:tabs>
        <w:ind w:left="1337" w:hanging="504"/>
      </w:pPr>
      <w:rPr>
        <w:rFonts w:hint="default"/>
      </w:rPr>
    </w:lvl>
    <w:lvl w:ilvl="3">
      <w:start w:val="1"/>
      <w:numFmt w:val="decimal"/>
      <w:lvlText w:val="%1.%2.%3.%4."/>
      <w:lvlJc w:val="left"/>
      <w:pPr>
        <w:tabs>
          <w:tab w:val="num" w:pos="2633"/>
        </w:tabs>
        <w:ind w:left="1841" w:hanging="648"/>
      </w:pPr>
      <w:rPr>
        <w:rFonts w:hint="default"/>
      </w:rPr>
    </w:lvl>
    <w:lvl w:ilvl="4">
      <w:start w:val="1"/>
      <w:numFmt w:val="decimal"/>
      <w:lvlText w:val="%1.%2.%3.%4.%5."/>
      <w:lvlJc w:val="left"/>
      <w:pPr>
        <w:tabs>
          <w:tab w:val="num" w:pos="3353"/>
        </w:tabs>
        <w:ind w:left="2345" w:hanging="792"/>
      </w:pPr>
      <w:rPr>
        <w:rFonts w:hint="default"/>
      </w:rPr>
    </w:lvl>
    <w:lvl w:ilvl="5">
      <w:start w:val="1"/>
      <w:numFmt w:val="decimal"/>
      <w:lvlText w:val="%1.%2.%3.%4.%5.%6."/>
      <w:lvlJc w:val="left"/>
      <w:pPr>
        <w:tabs>
          <w:tab w:val="num" w:pos="4073"/>
        </w:tabs>
        <w:ind w:left="2849" w:hanging="936"/>
      </w:pPr>
      <w:rPr>
        <w:rFonts w:hint="default"/>
      </w:rPr>
    </w:lvl>
    <w:lvl w:ilvl="6">
      <w:start w:val="1"/>
      <w:numFmt w:val="decimal"/>
      <w:lvlText w:val="%1.%2.%3.%4.%5.%6.%7."/>
      <w:lvlJc w:val="left"/>
      <w:pPr>
        <w:tabs>
          <w:tab w:val="num" w:pos="4793"/>
        </w:tabs>
        <w:ind w:left="3353" w:hanging="1080"/>
      </w:pPr>
      <w:rPr>
        <w:rFonts w:hint="default"/>
      </w:rPr>
    </w:lvl>
    <w:lvl w:ilvl="7">
      <w:start w:val="1"/>
      <w:numFmt w:val="decimal"/>
      <w:lvlText w:val="%1.%2.%3.%4.%5.%6.%7.%8."/>
      <w:lvlJc w:val="left"/>
      <w:pPr>
        <w:tabs>
          <w:tab w:val="num" w:pos="5513"/>
        </w:tabs>
        <w:ind w:left="3857" w:hanging="1224"/>
      </w:pPr>
      <w:rPr>
        <w:rFonts w:hint="default"/>
      </w:rPr>
    </w:lvl>
    <w:lvl w:ilvl="8">
      <w:start w:val="1"/>
      <w:numFmt w:val="decimal"/>
      <w:lvlText w:val="%1.%2.%3.%4.%5.%6.%7.%8.%9."/>
      <w:lvlJc w:val="left"/>
      <w:pPr>
        <w:tabs>
          <w:tab w:val="num" w:pos="6233"/>
        </w:tabs>
        <w:ind w:left="4433" w:hanging="1440"/>
      </w:pPr>
      <w:rPr>
        <w:rFonts w:hint="default"/>
      </w:rPr>
    </w:lvl>
  </w:abstractNum>
  <w:abstractNum w:abstractNumId="14">
    <w:nsid w:val="1D626F21"/>
    <w:multiLevelType w:val="multilevel"/>
    <w:tmpl w:val="85FEECB2"/>
    <w:lvl w:ilvl="0">
      <w:start w:val="1"/>
      <w:numFmt w:val="decimal"/>
      <w:pStyle w:val="Heading1"/>
      <w:lvlText w:val="%1."/>
      <w:lvlJc w:val="left"/>
      <w:pPr>
        <w:tabs>
          <w:tab w:val="num" w:pos="432"/>
        </w:tabs>
        <w:ind w:left="432" w:hanging="432"/>
      </w:pPr>
      <w:rPr>
        <w:rFonts w:ascii="Arial" w:hAnsi="Arial" w:hint="default"/>
        <w:b w:val="0"/>
        <w:i w:val="0"/>
        <w:color w:val="808080"/>
        <w:sz w:val="48"/>
      </w:rPr>
    </w:lvl>
    <w:lvl w:ilvl="1">
      <w:start w:val="1"/>
      <w:numFmt w:val="decimal"/>
      <w:pStyle w:val="Heading2"/>
      <w:lvlText w:val="%1.%2."/>
      <w:lvlJc w:val="left"/>
      <w:pPr>
        <w:tabs>
          <w:tab w:val="num" w:pos="576"/>
        </w:tabs>
        <w:ind w:left="576" w:hanging="576"/>
      </w:pPr>
      <w:rPr>
        <w:rFonts w:ascii="Arial" w:hAnsi="Arial" w:hint="default"/>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D690EDE"/>
    <w:multiLevelType w:val="hybridMultilevel"/>
    <w:tmpl w:val="DB423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01202A3"/>
    <w:multiLevelType w:val="multilevel"/>
    <w:tmpl w:val="2C1CB0D0"/>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04E7853"/>
    <w:multiLevelType w:val="hybridMultilevel"/>
    <w:tmpl w:val="9B00D896"/>
    <w:lvl w:ilvl="0" w:tplc="78DAE1F4">
      <w:start w:val="1"/>
      <w:numFmt w:val="decimal"/>
      <w:lvlText w:val="%1."/>
      <w:lvlJc w:val="left"/>
      <w:pPr>
        <w:ind w:left="720" w:hanging="360"/>
      </w:pPr>
      <w:rPr>
        <w:rFonts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1D9401F"/>
    <w:multiLevelType w:val="multilevel"/>
    <w:tmpl w:val="0426001D"/>
    <w:styleLink w:val="ListBullet1"/>
    <w:lvl w:ilvl="0">
      <w:start w:val="1"/>
      <w:numFmt w:val="bullet"/>
      <w:lvlText w:val="►"/>
      <w:lvlJc w:val="left"/>
      <w:pPr>
        <w:tabs>
          <w:tab w:val="num" w:pos="360"/>
        </w:tabs>
        <w:ind w:left="360" w:hanging="360"/>
      </w:pPr>
      <w:rPr>
        <w:rFonts w:ascii="Arial" w:hAnsi="Arial" w:hint="default"/>
        <w:color w:val="FFD200"/>
        <w:sz w:val="20"/>
      </w:rPr>
    </w:lvl>
    <w:lvl w:ilvl="1">
      <w:start w:val="1"/>
      <w:numFmt w:val="bullet"/>
      <w:lvlText w:val="►"/>
      <w:lvlJc w:val="left"/>
      <w:pPr>
        <w:tabs>
          <w:tab w:val="num" w:pos="720"/>
        </w:tabs>
        <w:ind w:left="720" w:hanging="360"/>
      </w:pPr>
      <w:rPr>
        <w:rFonts w:ascii="Arial" w:hAnsi="Arial" w:hint="default"/>
        <w:color w:val="FFD200"/>
        <w:sz w:val="20"/>
      </w:rPr>
    </w:lvl>
    <w:lvl w:ilvl="2">
      <w:start w:val="1"/>
      <w:numFmt w:val="bullet"/>
      <w:lvlText w:val="►"/>
      <w:lvlJc w:val="left"/>
      <w:pPr>
        <w:tabs>
          <w:tab w:val="num" w:pos="1080"/>
        </w:tabs>
        <w:ind w:left="1080" w:hanging="360"/>
      </w:pPr>
      <w:rPr>
        <w:rFonts w:ascii="Arial" w:hAnsi="Arial" w:hint="default"/>
        <w:color w:val="FFD200"/>
        <w:sz w:val="20"/>
      </w:rPr>
    </w:lvl>
    <w:lvl w:ilvl="3">
      <w:start w:val="1"/>
      <w:numFmt w:val="bullet"/>
      <w:lvlText w:val="►"/>
      <w:lvlJc w:val="left"/>
      <w:pPr>
        <w:tabs>
          <w:tab w:val="num" w:pos="1440"/>
        </w:tabs>
        <w:ind w:left="1440" w:hanging="360"/>
      </w:pPr>
      <w:rPr>
        <w:rFonts w:ascii="Arial" w:hAnsi="Arial" w:hint="default"/>
        <w:color w:val="FFD200"/>
        <w:sz w:val="20"/>
      </w:rPr>
    </w:lvl>
    <w:lvl w:ilvl="4">
      <w:start w:val="1"/>
      <w:numFmt w:val="bullet"/>
      <w:lvlText w:val="►"/>
      <w:lvlJc w:val="left"/>
      <w:pPr>
        <w:tabs>
          <w:tab w:val="num" w:pos="1800"/>
        </w:tabs>
        <w:ind w:left="1800" w:hanging="360"/>
      </w:pPr>
      <w:rPr>
        <w:rFonts w:ascii="Arial" w:hAnsi="Arial" w:hint="default"/>
        <w:color w:val="FFD200"/>
        <w:sz w:val="20"/>
      </w:rPr>
    </w:lvl>
    <w:lvl w:ilvl="5">
      <w:start w:val="1"/>
      <w:numFmt w:val="bullet"/>
      <w:lvlText w:val="►"/>
      <w:lvlJc w:val="left"/>
      <w:pPr>
        <w:tabs>
          <w:tab w:val="num" w:pos="2160"/>
        </w:tabs>
        <w:ind w:left="2160" w:hanging="360"/>
      </w:pPr>
      <w:rPr>
        <w:rFonts w:ascii="Arial" w:hAnsi="Arial" w:hint="default"/>
        <w:color w:val="FFD200"/>
        <w:sz w:val="20"/>
      </w:rPr>
    </w:lvl>
    <w:lvl w:ilvl="6">
      <w:start w:val="1"/>
      <w:numFmt w:val="bullet"/>
      <w:lvlText w:val="►"/>
      <w:lvlJc w:val="left"/>
      <w:pPr>
        <w:tabs>
          <w:tab w:val="num" w:pos="2520"/>
        </w:tabs>
        <w:ind w:left="2520" w:hanging="360"/>
      </w:pPr>
      <w:rPr>
        <w:rFonts w:ascii="Arial" w:hAnsi="Arial" w:hint="default"/>
        <w:color w:val="FFD200"/>
        <w:sz w:val="20"/>
      </w:rPr>
    </w:lvl>
    <w:lvl w:ilvl="7">
      <w:start w:val="1"/>
      <w:numFmt w:val="bullet"/>
      <w:lvlText w:val="►"/>
      <w:lvlJc w:val="left"/>
      <w:pPr>
        <w:tabs>
          <w:tab w:val="num" w:pos="2880"/>
        </w:tabs>
        <w:ind w:left="2880" w:hanging="360"/>
      </w:pPr>
      <w:rPr>
        <w:rFonts w:ascii="Arial" w:hAnsi="Arial" w:hint="default"/>
        <w:color w:val="FFD200"/>
        <w:sz w:val="20"/>
      </w:rPr>
    </w:lvl>
    <w:lvl w:ilvl="8">
      <w:start w:val="1"/>
      <w:numFmt w:val="bullet"/>
      <w:lvlText w:val="►"/>
      <w:lvlJc w:val="left"/>
      <w:pPr>
        <w:tabs>
          <w:tab w:val="num" w:pos="3240"/>
        </w:tabs>
        <w:ind w:left="3240" w:hanging="360"/>
      </w:pPr>
      <w:rPr>
        <w:rFonts w:ascii="Arial" w:hAnsi="Arial" w:hint="default"/>
        <w:color w:val="FFD200"/>
        <w:sz w:val="20"/>
      </w:rPr>
    </w:lvl>
  </w:abstractNum>
  <w:abstractNum w:abstractNumId="19">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color w:val="4F81BD" w:themeColor="accent1"/>
        <w:sz w:val="20"/>
        <w:szCs w:val="20"/>
      </w:rPr>
    </w:lvl>
    <w:lvl w:ilvl="1">
      <w:start w:val="1"/>
      <w:numFmt w:val="bullet"/>
      <w:lvlText w:val=""/>
      <w:lvlJc w:val="left"/>
      <w:pPr>
        <w:tabs>
          <w:tab w:val="num" w:pos="1247"/>
        </w:tabs>
        <w:ind w:left="1247" w:hanging="340"/>
      </w:pPr>
      <w:rPr>
        <w:rFonts w:ascii="Wingdings 2" w:hAnsi="Wingdings 2" w:cs="Wingdings 2"/>
        <w:color w:val="4F81BD" w:themeColor="accent1"/>
        <w:sz w:val="20"/>
        <w:szCs w:val="20"/>
      </w:rPr>
    </w:lvl>
    <w:lvl w:ilvl="2">
      <w:start w:val="1"/>
      <w:numFmt w:val="bullet"/>
      <w:lvlText w:val=""/>
      <w:lvlJc w:val="left"/>
      <w:pPr>
        <w:tabs>
          <w:tab w:val="num" w:pos="1588"/>
        </w:tabs>
        <w:ind w:left="1588" w:hanging="341"/>
      </w:pPr>
      <w:rPr>
        <w:rFonts w:ascii="Wingdings 2" w:hAnsi="Wingdings 2" w:cs="Wingdings 2"/>
        <w:color w:val="4F81BD" w:themeColor="accent1"/>
        <w:sz w:val="20"/>
        <w:szCs w:val="20"/>
      </w:rPr>
    </w:lvl>
    <w:lvl w:ilvl="3">
      <w:start w:val="1"/>
      <w:numFmt w:val="bullet"/>
      <w:lvlText w:val=""/>
      <w:lvlJc w:val="left"/>
      <w:pPr>
        <w:tabs>
          <w:tab w:val="num" w:pos="1928"/>
        </w:tabs>
        <w:ind w:left="1928" w:hanging="340"/>
      </w:pPr>
      <w:rPr>
        <w:rFonts w:ascii="Wingdings 2" w:hAnsi="Wingdings 2" w:cs="Wingdings 2"/>
        <w:color w:val="4F81BD" w:themeColor="accent1"/>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5601BE8"/>
    <w:multiLevelType w:val="hybridMultilevel"/>
    <w:tmpl w:val="AE580A7C"/>
    <w:lvl w:ilvl="0" w:tplc="55EA7912">
      <w:start w:val="9"/>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0160726"/>
    <w:multiLevelType w:val="hybridMultilevel"/>
    <w:tmpl w:val="BDC4B464"/>
    <w:lvl w:ilvl="0" w:tplc="55EA7912">
      <w:start w:val="9"/>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D7AEB8B2">
      <w:start w:val="1"/>
      <w:numFmt w:val="bullet"/>
      <w:lvlText w:val=""/>
      <w:lvlJc w:val="left"/>
      <w:pPr>
        <w:ind w:left="2160" w:hanging="360"/>
      </w:pPr>
      <w:rPr>
        <w:rFonts w:ascii="Symbol" w:hAnsi="Symbol" w:hint="default"/>
        <w:color w:val="auto"/>
        <w:sz w:val="20"/>
        <w:szCs w:val="14"/>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8066B0A"/>
    <w:multiLevelType w:val="hybridMultilevel"/>
    <w:tmpl w:val="8B7A3042"/>
    <w:lvl w:ilvl="0" w:tplc="0426000F">
      <w:start w:val="1"/>
      <w:numFmt w:val="decimal"/>
      <w:lvlText w:val="%1."/>
      <w:lvlJc w:val="left"/>
      <w:pPr>
        <w:ind w:left="720" w:hanging="360"/>
      </w:pPr>
      <w:rPr>
        <w:rFonts w:hint="default"/>
        <w:sz w:val="16"/>
        <w:szCs w:val="16"/>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BA20756"/>
    <w:multiLevelType w:val="multilevel"/>
    <w:tmpl w:val="E38E84E2"/>
    <w:lvl w:ilvl="0">
      <w:start w:val="1"/>
      <w:numFmt w:val="bullet"/>
      <w:pStyle w:val="ISBulletText"/>
      <w:lvlText w:val=""/>
      <w:lvlJc w:val="left"/>
      <w:pPr>
        <w:ind w:left="1080" w:hanging="360"/>
      </w:pPr>
      <w:rPr>
        <w:rFonts w:ascii="Wingdings" w:hAnsi="Wingdings" w:hint="default"/>
        <w:color w:val="365F91"/>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3CA017FA"/>
    <w:multiLevelType w:val="multilevel"/>
    <w:tmpl w:val="B54231F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lowerRoman"/>
      <w:pStyle w:val="EYRoman"/>
      <w:lvlText w:val="%3"/>
      <w:lvlJc w:val="left"/>
      <w:pPr>
        <w:tabs>
          <w:tab w:val="num" w:pos="1276"/>
        </w:tabs>
        <w:ind w:left="1276" w:hanging="425"/>
      </w:pPr>
      <w:rPr>
        <w:rFonts w:hint="default"/>
        <w:color w:val="auto"/>
      </w:rPr>
    </w:lvl>
    <w:lvl w:ilvl="3">
      <w:start w:val="1"/>
      <w:numFmt w:val="none"/>
      <w:lvlText w:val=""/>
      <w:lvlJc w:val="left"/>
      <w:pPr>
        <w:tabs>
          <w:tab w:val="num" w:pos="1440"/>
        </w:tabs>
        <w:ind w:left="1440" w:firstLine="0"/>
      </w:pPr>
      <w:rPr>
        <w:rFonts w:hint="default"/>
      </w:rPr>
    </w:lvl>
    <w:lvl w:ilvl="4">
      <w:start w:val="1"/>
      <w:numFmt w:val="none"/>
      <w:lvlText w:val=""/>
      <w:lvlJc w:val="left"/>
      <w:pPr>
        <w:tabs>
          <w:tab w:val="num" w:pos="4680"/>
        </w:tabs>
        <w:ind w:left="3672" w:hanging="792"/>
      </w:pPr>
      <w:rPr>
        <w:rFonts w:hint="default"/>
      </w:rPr>
    </w:lvl>
    <w:lvl w:ilvl="5">
      <w:start w:val="1"/>
      <w:numFmt w:val="none"/>
      <w:lvlText w:val=""/>
      <w:lvlJc w:val="left"/>
      <w:pPr>
        <w:tabs>
          <w:tab w:val="num" w:pos="5400"/>
        </w:tabs>
        <w:ind w:left="4176" w:hanging="936"/>
      </w:pPr>
      <w:rPr>
        <w:rFonts w:hint="default"/>
      </w:rPr>
    </w:lvl>
    <w:lvl w:ilvl="6">
      <w:start w:val="1"/>
      <w:numFmt w:val="none"/>
      <w:lvlText w:val=""/>
      <w:lvlJc w:val="left"/>
      <w:pPr>
        <w:tabs>
          <w:tab w:val="num" w:pos="6120"/>
        </w:tabs>
        <w:ind w:left="4680" w:hanging="1080"/>
      </w:pPr>
      <w:rPr>
        <w:rFonts w:hint="default"/>
      </w:rPr>
    </w:lvl>
    <w:lvl w:ilvl="7">
      <w:start w:val="1"/>
      <w:numFmt w:val="none"/>
      <w:lvlText w:val=""/>
      <w:lvlJc w:val="left"/>
      <w:pPr>
        <w:tabs>
          <w:tab w:val="num" w:pos="6840"/>
        </w:tabs>
        <w:ind w:left="5184" w:hanging="1224"/>
      </w:pPr>
      <w:rPr>
        <w:rFonts w:hint="default"/>
      </w:rPr>
    </w:lvl>
    <w:lvl w:ilvl="8">
      <w:start w:val="1"/>
      <w:numFmt w:val="none"/>
      <w:lvlText w:val=""/>
      <w:lvlJc w:val="left"/>
      <w:pPr>
        <w:tabs>
          <w:tab w:val="num" w:pos="7200"/>
        </w:tabs>
        <w:ind w:left="5760" w:hanging="1440"/>
      </w:pPr>
      <w:rPr>
        <w:rFonts w:hint="default"/>
      </w:rPr>
    </w:lvl>
  </w:abstractNum>
  <w:abstractNum w:abstractNumId="25">
    <w:nsid w:val="40C04460"/>
    <w:multiLevelType w:val="hybridMultilevel"/>
    <w:tmpl w:val="9EC8048C"/>
    <w:lvl w:ilvl="0" w:tplc="0426000F">
      <w:start w:val="1"/>
      <w:numFmt w:val="decimal"/>
      <w:lvlText w:val="%1."/>
      <w:lvlJc w:val="left"/>
      <w:pPr>
        <w:ind w:left="720" w:hanging="360"/>
      </w:pPr>
      <w:rPr>
        <w:rFonts w:hint="default"/>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2C23FA"/>
    <w:multiLevelType w:val="hybridMultilevel"/>
    <w:tmpl w:val="60F03850"/>
    <w:lvl w:ilvl="0" w:tplc="0426000F">
      <w:start w:val="1"/>
      <w:numFmt w:val="decimal"/>
      <w:lvlText w:val="%1."/>
      <w:lvlJc w:val="left"/>
      <w:pPr>
        <w:ind w:left="720" w:hanging="360"/>
      </w:pPr>
      <w:rPr>
        <w:rFonts w:hint="default"/>
        <w:sz w:val="16"/>
        <w:szCs w:val="16"/>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E10C93"/>
    <w:multiLevelType w:val="hybridMultilevel"/>
    <w:tmpl w:val="8AEA9C18"/>
    <w:lvl w:ilvl="0" w:tplc="0426000F">
      <w:start w:val="1"/>
      <w:numFmt w:val="decimal"/>
      <w:lvlText w:val="%1."/>
      <w:lvlJc w:val="left"/>
      <w:pPr>
        <w:ind w:left="720" w:hanging="360"/>
      </w:pPr>
      <w:rPr>
        <w:rFonts w:hint="default"/>
        <w:sz w:val="16"/>
        <w:szCs w:val="16"/>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120718A"/>
    <w:multiLevelType w:val="hybridMultilevel"/>
    <w:tmpl w:val="F64C65F6"/>
    <w:lvl w:ilvl="0" w:tplc="78DAE1F4">
      <w:start w:val="1"/>
      <w:numFmt w:val="decimal"/>
      <w:lvlText w:val="%1."/>
      <w:lvlJc w:val="left"/>
      <w:pPr>
        <w:ind w:left="426" w:hanging="360"/>
      </w:pPr>
      <w:rPr>
        <w:rFonts w:hint="default"/>
        <w:sz w:val="20"/>
        <w:szCs w:val="20"/>
      </w:rPr>
    </w:lvl>
    <w:lvl w:ilvl="1" w:tplc="0426000F">
      <w:start w:val="1"/>
      <w:numFmt w:val="decimal"/>
      <w:lvlText w:val="%2."/>
      <w:lvlJc w:val="left"/>
      <w:pPr>
        <w:ind w:left="1506" w:hanging="720"/>
      </w:pPr>
      <w:rPr>
        <w:rFonts w:hint="default"/>
      </w:rPr>
    </w:lvl>
    <w:lvl w:ilvl="2" w:tplc="04E2C254">
      <w:start w:val="1"/>
      <w:numFmt w:val="lowerLetter"/>
      <w:lvlText w:val="%3)"/>
      <w:lvlJc w:val="left"/>
      <w:pPr>
        <w:ind w:left="2406" w:hanging="720"/>
      </w:pPr>
      <w:rPr>
        <w:rFonts w:hint="default"/>
      </w:r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9">
    <w:nsid w:val="56774881"/>
    <w:multiLevelType w:val="hybridMultilevel"/>
    <w:tmpl w:val="9EC8048C"/>
    <w:lvl w:ilvl="0" w:tplc="0426000F">
      <w:start w:val="1"/>
      <w:numFmt w:val="decimal"/>
      <w:lvlText w:val="%1."/>
      <w:lvlJc w:val="left"/>
      <w:pPr>
        <w:ind w:left="720" w:hanging="360"/>
      </w:pPr>
      <w:rPr>
        <w:rFonts w:hint="default"/>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F080EFF"/>
    <w:multiLevelType w:val="hybridMultilevel"/>
    <w:tmpl w:val="0344BC2A"/>
    <w:lvl w:ilvl="0" w:tplc="55EA7912">
      <w:start w:val="9"/>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8D21427"/>
    <w:multiLevelType w:val="hybridMultilevel"/>
    <w:tmpl w:val="D448486C"/>
    <w:lvl w:ilvl="0" w:tplc="0426000F">
      <w:start w:val="1"/>
      <w:numFmt w:val="decimal"/>
      <w:lvlText w:val="%1."/>
      <w:lvlJc w:val="left"/>
      <w:pPr>
        <w:ind w:left="720" w:hanging="360"/>
      </w:pPr>
      <w:rPr>
        <w:rFonts w:hint="default"/>
        <w:sz w:val="16"/>
        <w:szCs w:val="16"/>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B445752"/>
    <w:multiLevelType w:val="hybridMultilevel"/>
    <w:tmpl w:val="4FB4FD44"/>
    <w:lvl w:ilvl="0" w:tplc="0426000F">
      <w:start w:val="1"/>
      <w:numFmt w:val="decimal"/>
      <w:lvlText w:val="%1."/>
      <w:lvlJc w:val="left"/>
      <w:pPr>
        <w:ind w:left="720" w:hanging="360"/>
      </w:pPr>
      <w:rPr>
        <w:rFonts w:hint="default"/>
        <w:sz w:val="16"/>
        <w:szCs w:val="1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DA77DE8"/>
    <w:multiLevelType w:val="multilevel"/>
    <w:tmpl w:val="0E02D9C8"/>
    <w:lvl w:ilvl="0">
      <w:start w:val="1"/>
      <w:numFmt w:val="decimal"/>
      <w:pStyle w:val="ListNumber"/>
      <w:lvlText w:val="%1."/>
      <w:lvlJc w:val="left"/>
      <w:pPr>
        <w:tabs>
          <w:tab w:val="num" w:pos="360"/>
        </w:tabs>
        <w:ind w:left="360" w:hanging="360"/>
      </w:pPr>
      <w:rPr>
        <w:rFonts w:ascii="Arial" w:hAnsi="Arial" w:hint="default"/>
        <w:b w:val="0"/>
        <w:i w:val="0"/>
        <w:sz w:val="20"/>
      </w:rPr>
    </w:lvl>
    <w:lvl w:ilvl="1">
      <w:start w:val="1"/>
      <w:numFmt w:val="decimal"/>
      <w:lvlText w:val="%1.%2."/>
      <w:lvlJc w:val="left"/>
      <w:pPr>
        <w:tabs>
          <w:tab w:val="num" w:pos="1080"/>
        </w:tabs>
        <w:ind w:left="792" w:hanging="432"/>
      </w:pPr>
      <w:rPr>
        <w:rFonts w:hint="default"/>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6ED52571"/>
    <w:multiLevelType w:val="hybridMultilevel"/>
    <w:tmpl w:val="C8B8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4F0A7F"/>
    <w:multiLevelType w:val="hybridMultilevel"/>
    <w:tmpl w:val="C8B8D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4C46394"/>
    <w:multiLevelType w:val="hybridMultilevel"/>
    <w:tmpl w:val="F3386FB2"/>
    <w:lvl w:ilvl="0" w:tplc="04260001">
      <w:start w:val="1"/>
      <w:numFmt w:val="bullet"/>
      <w:lvlText w:val=""/>
      <w:lvlJc w:val="left"/>
      <w:pPr>
        <w:ind w:left="720" w:hanging="360"/>
      </w:pPr>
      <w:rPr>
        <w:rFonts w:ascii="Symbol" w:hAnsi="Symbol" w:hint="default"/>
      </w:rPr>
    </w:lvl>
    <w:lvl w:ilvl="1" w:tplc="CAB88682">
      <w:start w:val="1"/>
      <w:numFmt w:val="bullet"/>
      <w:lvlText w:val="►"/>
      <w:lvlJc w:val="left"/>
      <w:pPr>
        <w:ind w:left="1440" w:hanging="360"/>
      </w:pPr>
      <w:rPr>
        <w:rFonts w:ascii="Arial" w:hAnsi="Arial" w:hint="default"/>
        <w:color w:val="FFD200"/>
        <w:sz w:val="8"/>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8D2555D"/>
    <w:multiLevelType w:val="hybridMultilevel"/>
    <w:tmpl w:val="1BB2C11A"/>
    <w:lvl w:ilvl="0" w:tplc="D7AEB8B2">
      <w:start w:val="1"/>
      <w:numFmt w:val="bullet"/>
      <w:lvlText w:val=""/>
      <w:lvlJc w:val="left"/>
      <w:pPr>
        <w:ind w:left="720" w:hanging="360"/>
      </w:pPr>
      <w:rPr>
        <w:rFonts w:ascii="Symbol" w:hAnsi="Symbol" w:hint="default"/>
        <w:color w:val="auto"/>
        <w:sz w:val="20"/>
        <w:szCs w:val="1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95D4717"/>
    <w:multiLevelType w:val="hybridMultilevel"/>
    <w:tmpl w:val="0F78C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D370721"/>
    <w:multiLevelType w:val="hybridMultilevel"/>
    <w:tmpl w:val="CC06AF6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33"/>
  </w:num>
  <w:num w:numId="3">
    <w:abstractNumId w:val="14"/>
  </w:num>
  <w:num w:numId="4">
    <w:abstractNumId w:val="13"/>
  </w:num>
  <w:num w:numId="5">
    <w:abstractNumId w:val="11"/>
  </w:num>
  <w:num w:numId="6">
    <w:abstractNumId w:val="18"/>
  </w:num>
  <w:num w:numId="7">
    <w:abstractNumId w:val="1"/>
  </w:num>
  <w:num w:numId="8">
    <w:abstractNumId w:val="0"/>
  </w:num>
  <w:num w:numId="9">
    <w:abstractNumId w:val="23"/>
  </w:num>
  <w:num w:numId="10">
    <w:abstractNumId w:val="19"/>
  </w:num>
  <w:num w:numId="11">
    <w:abstractNumId w:val="3"/>
  </w:num>
  <w:num w:numId="12">
    <w:abstractNumId w:val="34"/>
  </w:num>
  <w:num w:numId="13">
    <w:abstractNumId w:val="28"/>
  </w:num>
  <w:num w:numId="14">
    <w:abstractNumId w:val="37"/>
  </w:num>
  <w:num w:numId="15">
    <w:abstractNumId w:val="16"/>
  </w:num>
  <w:num w:numId="16">
    <w:abstractNumId w:val="2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2"/>
  </w:num>
  <w:num w:numId="20">
    <w:abstractNumId w:val="27"/>
  </w:num>
  <w:num w:numId="21">
    <w:abstractNumId w:val="8"/>
  </w:num>
  <w:num w:numId="22">
    <w:abstractNumId w:val="26"/>
  </w:num>
  <w:num w:numId="23">
    <w:abstractNumId w:val="31"/>
  </w:num>
  <w:num w:numId="24">
    <w:abstractNumId w:val="22"/>
  </w:num>
  <w:num w:numId="25">
    <w:abstractNumId w:val="5"/>
  </w:num>
  <w:num w:numId="26">
    <w:abstractNumId w:val="2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2"/>
  </w:num>
  <w:num w:numId="32">
    <w:abstractNumId w:val="39"/>
  </w:num>
  <w:num w:numId="33">
    <w:abstractNumId w:val="6"/>
  </w:num>
  <w:num w:numId="34">
    <w:abstractNumId w:val="36"/>
  </w:num>
  <w:num w:numId="35">
    <w:abstractNumId w:val="17"/>
  </w:num>
  <w:num w:numId="36">
    <w:abstractNumId w:val="7"/>
  </w:num>
  <w:num w:numId="37">
    <w:abstractNumId w:val="35"/>
  </w:num>
  <w:num w:numId="38">
    <w:abstractNumId w:val="38"/>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0"/>
  </w:num>
  <w:num w:numId="49">
    <w:abstractNumId w:val="21"/>
  </w:num>
  <w:num w:numId="50">
    <w:abstractNumId w:val="30"/>
  </w:num>
  <w:num w:numId="5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F8"/>
    <w:rsid w:val="00000D64"/>
    <w:rsid w:val="00002630"/>
    <w:rsid w:val="00003754"/>
    <w:rsid w:val="00003F5A"/>
    <w:rsid w:val="00005359"/>
    <w:rsid w:val="00006CC6"/>
    <w:rsid w:val="000108EA"/>
    <w:rsid w:val="00023411"/>
    <w:rsid w:val="00025065"/>
    <w:rsid w:val="00025DB4"/>
    <w:rsid w:val="00026F54"/>
    <w:rsid w:val="00031AF5"/>
    <w:rsid w:val="0003537C"/>
    <w:rsid w:val="00037401"/>
    <w:rsid w:val="000438C3"/>
    <w:rsid w:val="00045405"/>
    <w:rsid w:val="000563E6"/>
    <w:rsid w:val="00057E69"/>
    <w:rsid w:val="00057F33"/>
    <w:rsid w:val="0006135C"/>
    <w:rsid w:val="00062B08"/>
    <w:rsid w:val="0006503D"/>
    <w:rsid w:val="0006569A"/>
    <w:rsid w:val="00065FFF"/>
    <w:rsid w:val="0006644E"/>
    <w:rsid w:val="000703A8"/>
    <w:rsid w:val="000705A8"/>
    <w:rsid w:val="00074E35"/>
    <w:rsid w:val="00075987"/>
    <w:rsid w:val="000765EF"/>
    <w:rsid w:val="0007704B"/>
    <w:rsid w:val="000774FC"/>
    <w:rsid w:val="000869BC"/>
    <w:rsid w:val="00092731"/>
    <w:rsid w:val="00092C39"/>
    <w:rsid w:val="0009623D"/>
    <w:rsid w:val="000A1DFE"/>
    <w:rsid w:val="000A1FAA"/>
    <w:rsid w:val="000A2D3C"/>
    <w:rsid w:val="000A440B"/>
    <w:rsid w:val="000A6383"/>
    <w:rsid w:val="000B066E"/>
    <w:rsid w:val="000B1CA5"/>
    <w:rsid w:val="000B3298"/>
    <w:rsid w:val="000B3720"/>
    <w:rsid w:val="000B7500"/>
    <w:rsid w:val="000C45C8"/>
    <w:rsid w:val="000C783A"/>
    <w:rsid w:val="000D1FB0"/>
    <w:rsid w:val="000D4E83"/>
    <w:rsid w:val="000D6183"/>
    <w:rsid w:val="000D6D26"/>
    <w:rsid w:val="000E60A2"/>
    <w:rsid w:val="000F53FB"/>
    <w:rsid w:val="00101733"/>
    <w:rsid w:val="00104E90"/>
    <w:rsid w:val="001050A5"/>
    <w:rsid w:val="00106D32"/>
    <w:rsid w:val="001072D4"/>
    <w:rsid w:val="00123E4E"/>
    <w:rsid w:val="00125F91"/>
    <w:rsid w:val="00126D2B"/>
    <w:rsid w:val="00126ED9"/>
    <w:rsid w:val="00131083"/>
    <w:rsid w:val="00131868"/>
    <w:rsid w:val="00131B0F"/>
    <w:rsid w:val="00134B59"/>
    <w:rsid w:val="00135722"/>
    <w:rsid w:val="00137D02"/>
    <w:rsid w:val="0014213F"/>
    <w:rsid w:val="00143D99"/>
    <w:rsid w:val="001465A9"/>
    <w:rsid w:val="00153EC3"/>
    <w:rsid w:val="00153F31"/>
    <w:rsid w:val="0015422D"/>
    <w:rsid w:val="00162381"/>
    <w:rsid w:val="001623D0"/>
    <w:rsid w:val="001637FE"/>
    <w:rsid w:val="00165FCC"/>
    <w:rsid w:val="00167600"/>
    <w:rsid w:val="001700D2"/>
    <w:rsid w:val="00170641"/>
    <w:rsid w:val="00174FD4"/>
    <w:rsid w:val="00175A21"/>
    <w:rsid w:val="00185964"/>
    <w:rsid w:val="0018596B"/>
    <w:rsid w:val="00185FEF"/>
    <w:rsid w:val="001872D1"/>
    <w:rsid w:val="0018753C"/>
    <w:rsid w:val="001877AB"/>
    <w:rsid w:val="00187A87"/>
    <w:rsid w:val="001907BE"/>
    <w:rsid w:val="0019553E"/>
    <w:rsid w:val="00197BE9"/>
    <w:rsid w:val="001A2661"/>
    <w:rsid w:val="001A4531"/>
    <w:rsid w:val="001A4A47"/>
    <w:rsid w:val="001A4BCE"/>
    <w:rsid w:val="001A7897"/>
    <w:rsid w:val="001A7C89"/>
    <w:rsid w:val="001B0EA6"/>
    <w:rsid w:val="001B1B8A"/>
    <w:rsid w:val="001B3F2B"/>
    <w:rsid w:val="001B4953"/>
    <w:rsid w:val="001B4C51"/>
    <w:rsid w:val="001B61EC"/>
    <w:rsid w:val="001C6CC8"/>
    <w:rsid w:val="001C71C9"/>
    <w:rsid w:val="001D040A"/>
    <w:rsid w:val="001D265B"/>
    <w:rsid w:val="001D71FB"/>
    <w:rsid w:val="001D75E5"/>
    <w:rsid w:val="001E1F3A"/>
    <w:rsid w:val="001E21E0"/>
    <w:rsid w:val="001E4317"/>
    <w:rsid w:val="001F16EC"/>
    <w:rsid w:val="001F4A27"/>
    <w:rsid w:val="001F4A6B"/>
    <w:rsid w:val="001F7702"/>
    <w:rsid w:val="001F7B8C"/>
    <w:rsid w:val="002002CC"/>
    <w:rsid w:val="00202419"/>
    <w:rsid w:val="00204499"/>
    <w:rsid w:val="0021030D"/>
    <w:rsid w:val="002109DD"/>
    <w:rsid w:val="00210AC3"/>
    <w:rsid w:val="00212AA1"/>
    <w:rsid w:val="00213F29"/>
    <w:rsid w:val="002202D4"/>
    <w:rsid w:val="0022483F"/>
    <w:rsid w:val="00225CA8"/>
    <w:rsid w:val="00227144"/>
    <w:rsid w:val="00230DFE"/>
    <w:rsid w:val="00232000"/>
    <w:rsid w:val="00235E3B"/>
    <w:rsid w:val="00240DBA"/>
    <w:rsid w:val="00240DC6"/>
    <w:rsid w:val="00245A58"/>
    <w:rsid w:val="002462C9"/>
    <w:rsid w:val="00247E48"/>
    <w:rsid w:val="0025096A"/>
    <w:rsid w:val="002536FE"/>
    <w:rsid w:val="00260BE2"/>
    <w:rsid w:val="00261850"/>
    <w:rsid w:val="002619AC"/>
    <w:rsid w:val="00264387"/>
    <w:rsid w:val="00265700"/>
    <w:rsid w:val="00270F81"/>
    <w:rsid w:val="00272D73"/>
    <w:rsid w:val="002743FC"/>
    <w:rsid w:val="00274533"/>
    <w:rsid w:val="00277596"/>
    <w:rsid w:val="00284971"/>
    <w:rsid w:val="00295E2C"/>
    <w:rsid w:val="002961BB"/>
    <w:rsid w:val="002A4618"/>
    <w:rsid w:val="002B020B"/>
    <w:rsid w:val="002B266D"/>
    <w:rsid w:val="002B6BC0"/>
    <w:rsid w:val="002B7ACB"/>
    <w:rsid w:val="002C217D"/>
    <w:rsid w:val="002C3FD9"/>
    <w:rsid w:val="002C44D3"/>
    <w:rsid w:val="002C45F4"/>
    <w:rsid w:val="002C5C2D"/>
    <w:rsid w:val="002C6C52"/>
    <w:rsid w:val="002C7161"/>
    <w:rsid w:val="002D1028"/>
    <w:rsid w:val="002D3C34"/>
    <w:rsid w:val="002D58A9"/>
    <w:rsid w:val="002E2682"/>
    <w:rsid w:val="002E550C"/>
    <w:rsid w:val="002F62FD"/>
    <w:rsid w:val="0030048B"/>
    <w:rsid w:val="00300A7A"/>
    <w:rsid w:val="00300B08"/>
    <w:rsid w:val="003017E4"/>
    <w:rsid w:val="0030359F"/>
    <w:rsid w:val="003062AE"/>
    <w:rsid w:val="00310ABE"/>
    <w:rsid w:val="00314676"/>
    <w:rsid w:val="00323975"/>
    <w:rsid w:val="00330CCE"/>
    <w:rsid w:val="0033734E"/>
    <w:rsid w:val="003449EB"/>
    <w:rsid w:val="003450A4"/>
    <w:rsid w:val="003455B1"/>
    <w:rsid w:val="00345924"/>
    <w:rsid w:val="003460B3"/>
    <w:rsid w:val="0034751F"/>
    <w:rsid w:val="00347A57"/>
    <w:rsid w:val="00347E64"/>
    <w:rsid w:val="003561F8"/>
    <w:rsid w:val="00360DB2"/>
    <w:rsid w:val="0036259D"/>
    <w:rsid w:val="00366B87"/>
    <w:rsid w:val="00371B0D"/>
    <w:rsid w:val="00372F99"/>
    <w:rsid w:val="00375559"/>
    <w:rsid w:val="00376136"/>
    <w:rsid w:val="00377151"/>
    <w:rsid w:val="00387CB6"/>
    <w:rsid w:val="00392CE4"/>
    <w:rsid w:val="00393745"/>
    <w:rsid w:val="00396C93"/>
    <w:rsid w:val="003977F7"/>
    <w:rsid w:val="003A08F0"/>
    <w:rsid w:val="003A4119"/>
    <w:rsid w:val="003A6FFE"/>
    <w:rsid w:val="003B0429"/>
    <w:rsid w:val="003B0B7F"/>
    <w:rsid w:val="003B583A"/>
    <w:rsid w:val="003B5A92"/>
    <w:rsid w:val="003C2840"/>
    <w:rsid w:val="003C2E39"/>
    <w:rsid w:val="003C3912"/>
    <w:rsid w:val="003C4C14"/>
    <w:rsid w:val="003C61E9"/>
    <w:rsid w:val="003C79B5"/>
    <w:rsid w:val="003D2BCD"/>
    <w:rsid w:val="003D4D11"/>
    <w:rsid w:val="003D6D8C"/>
    <w:rsid w:val="003E089E"/>
    <w:rsid w:val="003E1498"/>
    <w:rsid w:val="003E193A"/>
    <w:rsid w:val="003E5F02"/>
    <w:rsid w:val="003F01C9"/>
    <w:rsid w:val="003F441E"/>
    <w:rsid w:val="003F75C2"/>
    <w:rsid w:val="003F7919"/>
    <w:rsid w:val="00400881"/>
    <w:rsid w:val="00401358"/>
    <w:rsid w:val="004022DE"/>
    <w:rsid w:val="00402DA3"/>
    <w:rsid w:val="00406553"/>
    <w:rsid w:val="00407C99"/>
    <w:rsid w:val="004112E7"/>
    <w:rsid w:val="00411322"/>
    <w:rsid w:val="00411C02"/>
    <w:rsid w:val="00413564"/>
    <w:rsid w:val="004150B0"/>
    <w:rsid w:val="00416547"/>
    <w:rsid w:val="0042218D"/>
    <w:rsid w:val="00422320"/>
    <w:rsid w:val="00422534"/>
    <w:rsid w:val="00424C29"/>
    <w:rsid w:val="0042527F"/>
    <w:rsid w:val="004307F3"/>
    <w:rsid w:val="0044200C"/>
    <w:rsid w:val="0044523B"/>
    <w:rsid w:val="004473F4"/>
    <w:rsid w:val="00452971"/>
    <w:rsid w:val="004532B1"/>
    <w:rsid w:val="004536D7"/>
    <w:rsid w:val="004545C2"/>
    <w:rsid w:val="00457733"/>
    <w:rsid w:val="004633C0"/>
    <w:rsid w:val="00465451"/>
    <w:rsid w:val="004707D2"/>
    <w:rsid w:val="004720B6"/>
    <w:rsid w:val="00472E03"/>
    <w:rsid w:val="004740D3"/>
    <w:rsid w:val="00474C22"/>
    <w:rsid w:val="00480509"/>
    <w:rsid w:val="004806ED"/>
    <w:rsid w:val="00482720"/>
    <w:rsid w:val="00482CE7"/>
    <w:rsid w:val="00483AF2"/>
    <w:rsid w:val="00486ED1"/>
    <w:rsid w:val="00487EAC"/>
    <w:rsid w:val="00490800"/>
    <w:rsid w:val="00490B93"/>
    <w:rsid w:val="00490FB7"/>
    <w:rsid w:val="004928FF"/>
    <w:rsid w:val="00492C31"/>
    <w:rsid w:val="004931B8"/>
    <w:rsid w:val="00496C2C"/>
    <w:rsid w:val="004A0C60"/>
    <w:rsid w:val="004A1471"/>
    <w:rsid w:val="004A2C84"/>
    <w:rsid w:val="004A3721"/>
    <w:rsid w:val="004A3E40"/>
    <w:rsid w:val="004A636E"/>
    <w:rsid w:val="004A6CAE"/>
    <w:rsid w:val="004B0185"/>
    <w:rsid w:val="004B1451"/>
    <w:rsid w:val="004B28FB"/>
    <w:rsid w:val="004B2D2A"/>
    <w:rsid w:val="004B5368"/>
    <w:rsid w:val="004B748B"/>
    <w:rsid w:val="004C028A"/>
    <w:rsid w:val="004C0709"/>
    <w:rsid w:val="004C1A9C"/>
    <w:rsid w:val="004C4280"/>
    <w:rsid w:val="004D05DB"/>
    <w:rsid w:val="004D3E77"/>
    <w:rsid w:val="004D4A05"/>
    <w:rsid w:val="004D56D5"/>
    <w:rsid w:val="004D63CE"/>
    <w:rsid w:val="004E0BCB"/>
    <w:rsid w:val="004E0CBB"/>
    <w:rsid w:val="004E1895"/>
    <w:rsid w:val="004E3050"/>
    <w:rsid w:val="004E4BF7"/>
    <w:rsid w:val="004E5AF9"/>
    <w:rsid w:val="004F020A"/>
    <w:rsid w:val="004F0892"/>
    <w:rsid w:val="004F0B66"/>
    <w:rsid w:val="004F32B6"/>
    <w:rsid w:val="004F4457"/>
    <w:rsid w:val="004F65C9"/>
    <w:rsid w:val="0050680E"/>
    <w:rsid w:val="00510521"/>
    <w:rsid w:val="00510B9A"/>
    <w:rsid w:val="005157E9"/>
    <w:rsid w:val="0051599E"/>
    <w:rsid w:val="00515A08"/>
    <w:rsid w:val="00520315"/>
    <w:rsid w:val="00523BCE"/>
    <w:rsid w:val="00524A5D"/>
    <w:rsid w:val="00525625"/>
    <w:rsid w:val="00526C54"/>
    <w:rsid w:val="00530B03"/>
    <w:rsid w:val="005342D5"/>
    <w:rsid w:val="00535CB5"/>
    <w:rsid w:val="00536662"/>
    <w:rsid w:val="005370CF"/>
    <w:rsid w:val="00537B97"/>
    <w:rsid w:val="005418DE"/>
    <w:rsid w:val="00541C39"/>
    <w:rsid w:val="00547766"/>
    <w:rsid w:val="00547959"/>
    <w:rsid w:val="00550D4C"/>
    <w:rsid w:val="005527C0"/>
    <w:rsid w:val="00554B58"/>
    <w:rsid w:val="0055630A"/>
    <w:rsid w:val="005572A3"/>
    <w:rsid w:val="0055740F"/>
    <w:rsid w:val="005625C5"/>
    <w:rsid w:val="005668D3"/>
    <w:rsid w:val="00567CFF"/>
    <w:rsid w:val="00571EA3"/>
    <w:rsid w:val="00574646"/>
    <w:rsid w:val="00574A8A"/>
    <w:rsid w:val="00582BE3"/>
    <w:rsid w:val="00584129"/>
    <w:rsid w:val="0058446A"/>
    <w:rsid w:val="00584EDC"/>
    <w:rsid w:val="005862D8"/>
    <w:rsid w:val="00591095"/>
    <w:rsid w:val="005927A3"/>
    <w:rsid w:val="00596768"/>
    <w:rsid w:val="00596C3B"/>
    <w:rsid w:val="005A208F"/>
    <w:rsid w:val="005A3DFB"/>
    <w:rsid w:val="005A4808"/>
    <w:rsid w:val="005A572F"/>
    <w:rsid w:val="005B0F3D"/>
    <w:rsid w:val="005B1D5A"/>
    <w:rsid w:val="005B5758"/>
    <w:rsid w:val="005B6531"/>
    <w:rsid w:val="005B7A31"/>
    <w:rsid w:val="005C1D8C"/>
    <w:rsid w:val="005C2D8D"/>
    <w:rsid w:val="005C64D7"/>
    <w:rsid w:val="005D46B2"/>
    <w:rsid w:val="005D57E1"/>
    <w:rsid w:val="005E0697"/>
    <w:rsid w:val="005E379E"/>
    <w:rsid w:val="005E4D86"/>
    <w:rsid w:val="005E6CB4"/>
    <w:rsid w:val="005E72F7"/>
    <w:rsid w:val="005E73CB"/>
    <w:rsid w:val="005F0358"/>
    <w:rsid w:val="005F0437"/>
    <w:rsid w:val="005F67B0"/>
    <w:rsid w:val="00604DEA"/>
    <w:rsid w:val="00605400"/>
    <w:rsid w:val="00607F59"/>
    <w:rsid w:val="00607FE4"/>
    <w:rsid w:val="00611839"/>
    <w:rsid w:val="00611CFE"/>
    <w:rsid w:val="0061243D"/>
    <w:rsid w:val="00612F75"/>
    <w:rsid w:val="006136DE"/>
    <w:rsid w:val="006142B6"/>
    <w:rsid w:val="0061488D"/>
    <w:rsid w:val="00615AB8"/>
    <w:rsid w:val="00616C33"/>
    <w:rsid w:val="00617F84"/>
    <w:rsid w:val="00621EDE"/>
    <w:rsid w:val="0062347A"/>
    <w:rsid w:val="00624781"/>
    <w:rsid w:val="006249E3"/>
    <w:rsid w:val="006276A6"/>
    <w:rsid w:val="00630047"/>
    <w:rsid w:val="006309D9"/>
    <w:rsid w:val="00632D22"/>
    <w:rsid w:val="0063354B"/>
    <w:rsid w:val="006345FC"/>
    <w:rsid w:val="00636721"/>
    <w:rsid w:val="0063717A"/>
    <w:rsid w:val="006372A1"/>
    <w:rsid w:val="00641B5D"/>
    <w:rsid w:val="00642961"/>
    <w:rsid w:val="0064361E"/>
    <w:rsid w:val="00645336"/>
    <w:rsid w:val="0064550B"/>
    <w:rsid w:val="006457E0"/>
    <w:rsid w:val="00652FFA"/>
    <w:rsid w:val="00657A96"/>
    <w:rsid w:val="00660809"/>
    <w:rsid w:val="00666182"/>
    <w:rsid w:val="0068126D"/>
    <w:rsid w:val="006865B2"/>
    <w:rsid w:val="00687082"/>
    <w:rsid w:val="00690999"/>
    <w:rsid w:val="00691EC9"/>
    <w:rsid w:val="00692668"/>
    <w:rsid w:val="00693A4B"/>
    <w:rsid w:val="00693C74"/>
    <w:rsid w:val="006941DF"/>
    <w:rsid w:val="00695C22"/>
    <w:rsid w:val="006A104C"/>
    <w:rsid w:val="006A17C7"/>
    <w:rsid w:val="006A57B1"/>
    <w:rsid w:val="006A6D54"/>
    <w:rsid w:val="006B2900"/>
    <w:rsid w:val="006B4B64"/>
    <w:rsid w:val="006B58DB"/>
    <w:rsid w:val="006B7C4D"/>
    <w:rsid w:val="006C1221"/>
    <w:rsid w:val="006C2943"/>
    <w:rsid w:val="006C3B95"/>
    <w:rsid w:val="006C5CDF"/>
    <w:rsid w:val="006D221B"/>
    <w:rsid w:val="006D6B31"/>
    <w:rsid w:val="006D7307"/>
    <w:rsid w:val="006D7464"/>
    <w:rsid w:val="006E0524"/>
    <w:rsid w:val="006E3BA4"/>
    <w:rsid w:val="006E7E06"/>
    <w:rsid w:val="006F102A"/>
    <w:rsid w:val="006F368C"/>
    <w:rsid w:val="006F3DD3"/>
    <w:rsid w:val="006F4176"/>
    <w:rsid w:val="007015FB"/>
    <w:rsid w:val="007019B0"/>
    <w:rsid w:val="00706182"/>
    <w:rsid w:val="007115B0"/>
    <w:rsid w:val="00716F8F"/>
    <w:rsid w:val="00725F92"/>
    <w:rsid w:val="00737403"/>
    <w:rsid w:val="007437A1"/>
    <w:rsid w:val="007463AE"/>
    <w:rsid w:val="007469FC"/>
    <w:rsid w:val="007516BA"/>
    <w:rsid w:val="00754DF7"/>
    <w:rsid w:val="00756F3B"/>
    <w:rsid w:val="00756FD1"/>
    <w:rsid w:val="00761322"/>
    <w:rsid w:val="0076490E"/>
    <w:rsid w:val="00764E89"/>
    <w:rsid w:val="007655D9"/>
    <w:rsid w:val="00766BF9"/>
    <w:rsid w:val="00770FBE"/>
    <w:rsid w:val="00772F00"/>
    <w:rsid w:val="00773329"/>
    <w:rsid w:val="007753CC"/>
    <w:rsid w:val="007767B7"/>
    <w:rsid w:val="00777494"/>
    <w:rsid w:val="00777724"/>
    <w:rsid w:val="00777947"/>
    <w:rsid w:val="00777E33"/>
    <w:rsid w:val="00777EED"/>
    <w:rsid w:val="007800A4"/>
    <w:rsid w:val="00781323"/>
    <w:rsid w:val="0078143E"/>
    <w:rsid w:val="00781491"/>
    <w:rsid w:val="00786B2B"/>
    <w:rsid w:val="0079162C"/>
    <w:rsid w:val="007919FA"/>
    <w:rsid w:val="00792787"/>
    <w:rsid w:val="00793923"/>
    <w:rsid w:val="00794B95"/>
    <w:rsid w:val="007A486B"/>
    <w:rsid w:val="007A6252"/>
    <w:rsid w:val="007B0C0E"/>
    <w:rsid w:val="007B0E39"/>
    <w:rsid w:val="007B0EB2"/>
    <w:rsid w:val="007B0ED2"/>
    <w:rsid w:val="007B1A18"/>
    <w:rsid w:val="007B2E38"/>
    <w:rsid w:val="007B5CB3"/>
    <w:rsid w:val="007B6896"/>
    <w:rsid w:val="007B6E33"/>
    <w:rsid w:val="007B7661"/>
    <w:rsid w:val="007C0692"/>
    <w:rsid w:val="007C2309"/>
    <w:rsid w:val="007C2A12"/>
    <w:rsid w:val="007C529B"/>
    <w:rsid w:val="007C7E7A"/>
    <w:rsid w:val="007D4ADB"/>
    <w:rsid w:val="007D5FE0"/>
    <w:rsid w:val="007D7B2B"/>
    <w:rsid w:val="007E1B9C"/>
    <w:rsid w:val="007E1D41"/>
    <w:rsid w:val="007E30DE"/>
    <w:rsid w:val="007E3728"/>
    <w:rsid w:val="007E372E"/>
    <w:rsid w:val="007E5856"/>
    <w:rsid w:val="007E7D18"/>
    <w:rsid w:val="007F2179"/>
    <w:rsid w:val="007F3F4B"/>
    <w:rsid w:val="007F6251"/>
    <w:rsid w:val="007F6AD6"/>
    <w:rsid w:val="00802EA4"/>
    <w:rsid w:val="008030CE"/>
    <w:rsid w:val="00804EC4"/>
    <w:rsid w:val="0080759A"/>
    <w:rsid w:val="0081323D"/>
    <w:rsid w:val="00822084"/>
    <w:rsid w:val="00824BB4"/>
    <w:rsid w:val="00826DC8"/>
    <w:rsid w:val="00827CB5"/>
    <w:rsid w:val="0083103B"/>
    <w:rsid w:val="00834F57"/>
    <w:rsid w:val="00835264"/>
    <w:rsid w:val="00837B4E"/>
    <w:rsid w:val="00842F00"/>
    <w:rsid w:val="00845F6C"/>
    <w:rsid w:val="00847ABD"/>
    <w:rsid w:val="00854697"/>
    <w:rsid w:val="0085649B"/>
    <w:rsid w:val="00860A47"/>
    <w:rsid w:val="00864780"/>
    <w:rsid w:val="00864BD0"/>
    <w:rsid w:val="00870BAF"/>
    <w:rsid w:val="00874AA2"/>
    <w:rsid w:val="00874E16"/>
    <w:rsid w:val="0088051C"/>
    <w:rsid w:val="00880EB6"/>
    <w:rsid w:val="008822AA"/>
    <w:rsid w:val="00885E7F"/>
    <w:rsid w:val="0088633D"/>
    <w:rsid w:val="0089160F"/>
    <w:rsid w:val="0089205F"/>
    <w:rsid w:val="00892E79"/>
    <w:rsid w:val="00896810"/>
    <w:rsid w:val="008A1928"/>
    <w:rsid w:val="008A6F3D"/>
    <w:rsid w:val="008B1E3F"/>
    <w:rsid w:val="008C0A6A"/>
    <w:rsid w:val="008C6F4B"/>
    <w:rsid w:val="008C76D5"/>
    <w:rsid w:val="008D1F04"/>
    <w:rsid w:val="008E41B8"/>
    <w:rsid w:val="008E77A9"/>
    <w:rsid w:val="008F023D"/>
    <w:rsid w:val="008F1EB9"/>
    <w:rsid w:val="008F207D"/>
    <w:rsid w:val="008F598A"/>
    <w:rsid w:val="009037F8"/>
    <w:rsid w:val="00904ACB"/>
    <w:rsid w:val="009054BB"/>
    <w:rsid w:val="00905BE8"/>
    <w:rsid w:val="00906EAD"/>
    <w:rsid w:val="00912484"/>
    <w:rsid w:val="00916ED3"/>
    <w:rsid w:val="0091788F"/>
    <w:rsid w:val="00917CB2"/>
    <w:rsid w:val="00921A70"/>
    <w:rsid w:val="00921B6F"/>
    <w:rsid w:val="009228AB"/>
    <w:rsid w:val="00925140"/>
    <w:rsid w:val="00934B52"/>
    <w:rsid w:val="0094181C"/>
    <w:rsid w:val="00941E33"/>
    <w:rsid w:val="00944305"/>
    <w:rsid w:val="00944775"/>
    <w:rsid w:val="00946610"/>
    <w:rsid w:val="00951836"/>
    <w:rsid w:val="00952063"/>
    <w:rsid w:val="009533BB"/>
    <w:rsid w:val="00953B29"/>
    <w:rsid w:val="00956411"/>
    <w:rsid w:val="009602EC"/>
    <w:rsid w:val="00960B98"/>
    <w:rsid w:val="0096414A"/>
    <w:rsid w:val="0096688C"/>
    <w:rsid w:val="00967928"/>
    <w:rsid w:val="00973B47"/>
    <w:rsid w:val="00976F4C"/>
    <w:rsid w:val="0098003C"/>
    <w:rsid w:val="00980FCC"/>
    <w:rsid w:val="00981AF6"/>
    <w:rsid w:val="00981B6A"/>
    <w:rsid w:val="00984302"/>
    <w:rsid w:val="009853B7"/>
    <w:rsid w:val="009855B9"/>
    <w:rsid w:val="009859EF"/>
    <w:rsid w:val="00986C17"/>
    <w:rsid w:val="00986E50"/>
    <w:rsid w:val="009934AF"/>
    <w:rsid w:val="00993CF0"/>
    <w:rsid w:val="00994A47"/>
    <w:rsid w:val="0099566A"/>
    <w:rsid w:val="00995AC5"/>
    <w:rsid w:val="00996AA7"/>
    <w:rsid w:val="00996DDF"/>
    <w:rsid w:val="009974A1"/>
    <w:rsid w:val="009A6741"/>
    <w:rsid w:val="009A67E2"/>
    <w:rsid w:val="009A7A52"/>
    <w:rsid w:val="009A7B46"/>
    <w:rsid w:val="009B0BF3"/>
    <w:rsid w:val="009B29EB"/>
    <w:rsid w:val="009B3501"/>
    <w:rsid w:val="009B420F"/>
    <w:rsid w:val="009B4447"/>
    <w:rsid w:val="009B44F6"/>
    <w:rsid w:val="009B7ACA"/>
    <w:rsid w:val="009B7F6A"/>
    <w:rsid w:val="009C1DF1"/>
    <w:rsid w:val="009C2460"/>
    <w:rsid w:val="009C4127"/>
    <w:rsid w:val="009C6552"/>
    <w:rsid w:val="009D36F2"/>
    <w:rsid w:val="009D3DC2"/>
    <w:rsid w:val="009D4533"/>
    <w:rsid w:val="009D4C2A"/>
    <w:rsid w:val="009D5466"/>
    <w:rsid w:val="009E17B3"/>
    <w:rsid w:val="009E7B08"/>
    <w:rsid w:val="009F4E7A"/>
    <w:rsid w:val="009F7539"/>
    <w:rsid w:val="00A017E5"/>
    <w:rsid w:val="00A026C8"/>
    <w:rsid w:val="00A03B0E"/>
    <w:rsid w:val="00A06ED9"/>
    <w:rsid w:val="00A11441"/>
    <w:rsid w:val="00A11DEF"/>
    <w:rsid w:val="00A12223"/>
    <w:rsid w:val="00A12E13"/>
    <w:rsid w:val="00A12E91"/>
    <w:rsid w:val="00A14898"/>
    <w:rsid w:val="00A169F5"/>
    <w:rsid w:val="00A17E63"/>
    <w:rsid w:val="00A17F94"/>
    <w:rsid w:val="00A20605"/>
    <w:rsid w:val="00A33415"/>
    <w:rsid w:val="00A36DE0"/>
    <w:rsid w:val="00A37749"/>
    <w:rsid w:val="00A41851"/>
    <w:rsid w:val="00A42222"/>
    <w:rsid w:val="00A42EEA"/>
    <w:rsid w:val="00A43447"/>
    <w:rsid w:val="00A5173E"/>
    <w:rsid w:val="00A553CD"/>
    <w:rsid w:val="00A620E3"/>
    <w:rsid w:val="00A628EB"/>
    <w:rsid w:val="00A65B40"/>
    <w:rsid w:val="00A67104"/>
    <w:rsid w:val="00A71ED1"/>
    <w:rsid w:val="00A7278E"/>
    <w:rsid w:val="00A754D2"/>
    <w:rsid w:val="00A77EEC"/>
    <w:rsid w:val="00A81982"/>
    <w:rsid w:val="00A82FD1"/>
    <w:rsid w:val="00A83664"/>
    <w:rsid w:val="00A855A6"/>
    <w:rsid w:val="00A87381"/>
    <w:rsid w:val="00A90285"/>
    <w:rsid w:val="00A903F0"/>
    <w:rsid w:val="00A92A3F"/>
    <w:rsid w:val="00A94379"/>
    <w:rsid w:val="00A954FB"/>
    <w:rsid w:val="00AA005D"/>
    <w:rsid w:val="00AA09C2"/>
    <w:rsid w:val="00AA1147"/>
    <w:rsid w:val="00AA6257"/>
    <w:rsid w:val="00AB154F"/>
    <w:rsid w:val="00AB35E5"/>
    <w:rsid w:val="00AB3DB7"/>
    <w:rsid w:val="00AB49C3"/>
    <w:rsid w:val="00AB5BE2"/>
    <w:rsid w:val="00AB6900"/>
    <w:rsid w:val="00AB6F16"/>
    <w:rsid w:val="00AB72C9"/>
    <w:rsid w:val="00AC012F"/>
    <w:rsid w:val="00AC0BEB"/>
    <w:rsid w:val="00AC1D37"/>
    <w:rsid w:val="00AC204C"/>
    <w:rsid w:val="00AC2881"/>
    <w:rsid w:val="00AC3A0F"/>
    <w:rsid w:val="00AC4013"/>
    <w:rsid w:val="00AC5CBD"/>
    <w:rsid w:val="00AC7108"/>
    <w:rsid w:val="00AD05AE"/>
    <w:rsid w:val="00AD668D"/>
    <w:rsid w:val="00AE22A1"/>
    <w:rsid w:val="00AE2E75"/>
    <w:rsid w:val="00AE4480"/>
    <w:rsid w:val="00AE5297"/>
    <w:rsid w:val="00AE555C"/>
    <w:rsid w:val="00AF3DE2"/>
    <w:rsid w:val="00AF3DFF"/>
    <w:rsid w:val="00AF657D"/>
    <w:rsid w:val="00B00DC8"/>
    <w:rsid w:val="00B02899"/>
    <w:rsid w:val="00B02B7F"/>
    <w:rsid w:val="00B0385F"/>
    <w:rsid w:val="00B05E0C"/>
    <w:rsid w:val="00B0649D"/>
    <w:rsid w:val="00B069E0"/>
    <w:rsid w:val="00B102AC"/>
    <w:rsid w:val="00B1491E"/>
    <w:rsid w:val="00B1518B"/>
    <w:rsid w:val="00B17FFE"/>
    <w:rsid w:val="00B2124B"/>
    <w:rsid w:val="00B212B8"/>
    <w:rsid w:val="00B2566D"/>
    <w:rsid w:val="00B41C49"/>
    <w:rsid w:val="00B44D83"/>
    <w:rsid w:val="00B50417"/>
    <w:rsid w:val="00B50937"/>
    <w:rsid w:val="00B524AD"/>
    <w:rsid w:val="00B533DC"/>
    <w:rsid w:val="00B534E8"/>
    <w:rsid w:val="00B53800"/>
    <w:rsid w:val="00B53A8C"/>
    <w:rsid w:val="00B54BB6"/>
    <w:rsid w:val="00B611F3"/>
    <w:rsid w:val="00B61486"/>
    <w:rsid w:val="00B629C0"/>
    <w:rsid w:val="00B6397F"/>
    <w:rsid w:val="00B650B4"/>
    <w:rsid w:val="00B667EF"/>
    <w:rsid w:val="00B771F8"/>
    <w:rsid w:val="00B81870"/>
    <w:rsid w:val="00B830E0"/>
    <w:rsid w:val="00B84479"/>
    <w:rsid w:val="00B90255"/>
    <w:rsid w:val="00B904D5"/>
    <w:rsid w:val="00B93AB2"/>
    <w:rsid w:val="00B9414E"/>
    <w:rsid w:val="00B94848"/>
    <w:rsid w:val="00B9728D"/>
    <w:rsid w:val="00B976F8"/>
    <w:rsid w:val="00B97FB7"/>
    <w:rsid w:val="00BA3056"/>
    <w:rsid w:val="00BA6603"/>
    <w:rsid w:val="00BB0456"/>
    <w:rsid w:val="00BB0802"/>
    <w:rsid w:val="00BB6AA6"/>
    <w:rsid w:val="00BC0886"/>
    <w:rsid w:val="00BC1D5A"/>
    <w:rsid w:val="00BC40C2"/>
    <w:rsid w:val="00BC4CBE"/>
    <w:rsid w:val="00BC6DE5"/>
    <w:rsid w:val="00BD2000"/>
    <w:rsid w:val="00BD2846"/>
    <w:rsid w:val="00BD2E92"/>
    <w:rsid w:val="00BD2EE0"/>
    <w:rsid w:val="00BD303C"/>
    <w:rsid w:val="00BD3EE8"/>
    <w:rsid w:val="00BD4465"/>
    <w:rsid w:val="00BD6991"/>
    <w:rsid w:val="00BE3B6A"/>
    <w:rsid w:val="00BE3DAA"/>
    <w:rsid w:val="00BE45D2"/>
    <w:rsid w:val="00BE4993"/>
    <w:rsid w:val="00BE49A8"/>
    <w:rsid w:val="00BF02C3"/>
    <w:rsid w:val="00BF0645"/>
    <w:rsid w:val="00C012F6"/>
    <w:rsid w:val="00C0255F"/>
    <w:rsid w:val="00C063AE"/>
    <w:rsid w:val="00C07BCA"/>
    <w:rsid w:val="00C10D82"/>
    <w:rsid w:val="00C124A9"/>
    <w:rsid w:val="00C21487"/>
    <w:rsid w:val="00C23FB0"/>
    <w:rsid w:val="00C25D3C"/>
    <w:rsid w:val="00C25F3E"/>
    <w:rsid w:val="00C33B22"/>
    <w:rsid w:val="00C34322"/>
    <w:rsid w:val="00C37414"/>
    <w:rsid w:val="00C37A37"/>
    <w:rsid w:val="00C40228"/>
    <w:rsid w:val="00C40707"/>
    <w:rsid w:val="00C4201F"/>
    <w:rsid w:val="00C425BE"/>
    <w:rsid w:val="00C45298"/>
    <w:rsid w:val="00C46C89"/>
    <w:rsid w:val="00C51D9A"/>
    <w:rsid w:val="00C60CC1"/>
    <w:rsid w:val="00C61272"/>
    <w:rsid w:val="00C61913"/>
    <w:rsid w:val="00C63D89"/>
    <w:rsid w:val="00C65A93"/>
    <w:rsid w:val="00C7023E"/>
    <w:rsid w:val="00C71DFB"/>
    <w:rsid w:val="00C749EA"/>
    <w:rsid w:val="00C767FE"/>
    <w:rsid w:val="00C77E25"/>
    <w:rsid w:val="00C8349D"/>
    <w:rsid w:val="00C902FF"/>
    <w:rsid w:val="00C94968"/>
    <w:rsid w:val="00C97B45"/>
    <w:rsid w:val="00CA069F"/>
    <w:rsid w:val="00CA2699"/>
    <w:rsid w:val="00CA2D27"/>
    <w:rsid w:val="00CB1B8C"/>
    <w:rsid w:val="00CB2710"/>
    <w:rsid w:val="00CB52B4"/>
    <w:rsid w:val="00CB56C4"/>
    <w:rsid w:val="00CB5C82"/>
    <w:rsid w:val="00CB5FF9"/>
    <w:rsid w:val="00CB71AD"/>
    <w:rsid w:val="00CB72BE"/>
    <w:rsid w:val="00CC1365"/>
    <w:rsid w:val="00CC1B0C"/>
    <w:rsid w:val="00CC1D84"/>
    <w:rsid w:val="00CC3A6F"/>
    <w:rsid w:val="00CC42BD"/>
    <w:rsid w:val="00CC6B3F"/>
    <w:rsid w:val="00CC75CC"/>
    <w:rsid w:val="00CD0C10"/>
    <w:rsid w:val="00CD3859"/>
    <w:rsid w:val="00CD486F"/>
    <w:rsid w:val="00CD726F"/>
    <w:rsid w:val="00CD76BF"/>
    <w:rsid w:val="00CD7A40"/>
    <w:rsid w:val="00CE21D5"/>
    <w:rsid w:val="00CE30E4"/>
    <w:rsid w:val="00CE4DD2"/>
    <w:rsid w:val="00CE54BE"/>
    <w:rsid w:val="00CE5CA1"/>
    <w:rsid w:val="00CE5CCD"/>
    <w:rsid w:val="00CE7E0A"/>
    <w:rsid w:val="00CF0271"/>
    <w:rsid w:val="00CF2433"/>
    <w:rsid w:val="00CF24E9"/>
    <w:rsid w:val="00CF38F8"/>
    <w:rsid w:val="00CF45AB"/>
    <w:rsid w:val="00CF5BDE"/>
    <w:rsid w:val="00CF6588"/>
    <w:rsid w:val="00CF7690"/>
    <w:rsid w:val="00D00E41"/>
    <w:rsid w:val="00D01ACC"/>
    <w:rsid w:val="00D02B58"/>
    <w:rsid w:val="00D04FE9"/>
    <w:rsid w:val="00D05765"/>
    <w:rsid w:val="00D10523"/>
    <w:rsid w:val="00D11A01"/>
    <w:rsid w:val="00D14B84"/>
    <w:rsid w:val="00D16A41"/>
    <w:rsid w:val="00D45556"/>
    <w:rsid w:val="00D52972"/>
    <w:rsid w:val="00D55F46"/>
    <w:rsid w:val="00D5760D"/>
    <w:rsid w:val="00D62C5E"/>
    <w:rsid w:val="00D631D8"/>
    <w:rsid w:val="00D63FE4"/>
    <w:rsid w:val="00D64EBA"/>
    <w:rsid w:val="00D7083E"/>
    <w:rsid w:val="00D72E46"/>
    <w:rsid w:val="00D74095"/>
    <w:rsid w:val="00D7478B"/>
    <w:rsid w:val="00D76B3B"/>
    <w:rsid w:val="00D803BB"/>
    <w:rsid w:val="00D810F2"/>
    <w:rsid w:val="00D87CF9"/>
    <w:rsid w:val="00D87EAD"/>
    <w:rsid w:val="00D9765E"/>
    <w:rsid w:val="00DA399E"/>
    <w:rsid w:val="00DA7172"/>
    <w:rsid w:val="00DB0F65"/>
    <w:rsid w:val="00DB15CF"/>
    <w:rsid w:val="00DB19D9"/>
    <w:rsid w:val="00DB4F7B"/>
    <w:rsid w:val="00DB6125"/>
    <w:rsid w:val="00DC2769"/>
    <w:rsid w:val="00DC45B8"/>
    <w:rsid w:val="00DC6387"/>
    <w:rsid w:val="00DC7E23"/>
    <w:rsid w:val="00DD23F3"/>
    <w:rsid w:val="00DD48F6"/>
    <w:rsid w:val="00DD5F62"/>
    <w:rsid w:val="00DE1134"/>
    <w:rsid w:val="00DE211F"/>
    <w:rsid w:val="00DE2735"/>
    <w:rsid w:val="00DE3768"/>
    <w:rsid w:val="00DE41ED"/>
    <w:rsid w:val="00DE5B36"/>
    <w:rsid w:val="00DF4988"/>
    <w:rsid w:val="00E00EA1"/>
    <w:rsid w:val="00E0123D"/>
    <w:rsid w:val="00E01356"/>
    <w:rsid w:val="00E0208B"/>
    <w:rsid w:val="00E123D0"/>
    <w:rsid w:val="00E126A8"/>
    <w:rsid w:val="00E13283"/>
    <w:rsid w:val="00E20EE9"/>
    <w:rsid w:val="00E21454"/>
    <w:rsid w:val="00E21BF3"/>
    <w:rsid w:val="00E22A22"/>
    <w:rsid w:val="00E23204"/>
    <w:rsid w:val="00E23ED8"/>
    <w:rsid w:val="00E23F70"/>
    <w:rsid w:val="00E2481E"/>
    <w:rsid w:val="00E27147"/>
    <w:rsid w:val="00E329D8"/>
    <w:rsid w:val="00E32AFB"/>
    <w:rsid w:val="00E37CC4"/>
    <w:rsid w:val="00E40C40"/>
    <w:rsid w:val="00E41747"/>
    <w:rsid w:val="00E449D0"/>
    <w:rsid w:val="00E45A2E"/>
    <w:rsid w:val="00E478CB"/>
    <w:rsid w:val="00E513E9"/>
    <w:rsid w:val="00E51EAB"/>
    <w:rsid w:val="00E52E5A"/>
    <w:rsid w:val="00E530A2"/>
    <w:rsid w:val="00E54CD9"/>
    <w:rsid w:val="00E61C3F"/>
    <w:rsid w:val="00E61D9A"/>
    <w:rsid w:val="00E6387D"/>
    <w:rsid w:val="00E66406"/>
    <w:rsid w:val="00E66427"/>
    <w:rsid w:val="00E7122C"/>
    <w:rsid w:val="00E77446"/>
    <w:rsid w:val="00E83C82"/>
    <w:rsid w:val="00E83DC6"/>
    <w:rsid w:val="00E846AD"/>
    <w:rsid w:val="00E86D4F"/>
    <w:rsid w:val="00E91567"/>
    <w:rsid w:val="00E97D2C"/>
    <w:rsid w:val="00EA2206"/>
    <w:rsid w:val="00EA6915"/>
    <w:rsid w:val="00EB57D8"/>
    <w:rsid w:val="00EB758D"/>
    <w:rsid w:val="00EC1CB9"/>
    <w:rsid w:val="00EC5291"/>
    <w:rsid w:val="00EC53FF"/>
    <w:rsid w:val="00EC5662"/>
    <w:rsid w:val="00EC5DFE"/>
    <w:rsid w:val="00EC7D7C"/>
    <w:rsid w:val="00ED0B72"/>
    <w:rsid w:val="00ED3550"/>
    <w:rsid w:val="00ED498B"/>
    <w:rsid w:val="00ED51A0"/>
    <w:rsid w:val="00ED730F"/>
    <w:rsid w:val="00ED7A1B"/>
    <w:rsid w:val="00ED7CEF"/>
    <w:rsid w:val="00EE0DD0"/>
    <w:rsid w:val="00EE2E74"/>
    <w:rsid w:val="00EE5E51"/>
    <w:rsid w:val="00EE61FE"/>
    <w:rsid w:val="00EF0B47"/>
    <w:rsid w:val="00EF4DE4"/>
    <w:rsid w:val="00EF6F93"/>
    <w:rsid w:val="00F07BCF"/>
    <w:rsid w:val="00F11C28"/>
    <w:rsid w:val="00F17A2E"/>
    <w:rsid w:val="00F21C3F"/>
    <w:rsid w:val="00F22414"/>
    <w:rsid w:val="00F22A67"/>
    <w:rsid w:val="00F245B6"/>
    <w:rsid w:val="00F24BCE"/>
    <w:rsid w:val="00F2587F"/>
    <w:rsid w:val="00F25C0F"/>
    <w:rsid w:val="00F3167F"/>
    <w:rsid w:val="00F374FB"/>
    <w:rsid w:val="00F44AC0"/>
    <w:rsid w:val="00F44B11"/>
    <w:rsid w:val="00F44E72"/>
    <w:rsid w:val="00F5056A"/>
    <w:rsid w:val="00F61138"/>
    <w:rsid w:val="00F63CBA"/>
    <w:rsid w:val="00F66F9B"/>
    <w:rsid w:val="00F71038"/>
    <w:rsid w:val="00F71168"/>
    <w:rsid w:val="00F711EB"/>
    <w:rsid w:val="00F73BB0"/>
    <w:rsid w:val="00F7750A"/>
    <w:rsid w:val="00F86003"/>
    <w:rsid w:val="00F876D1"/>
    <w:rsid w:val="00F917E6"/>
    <w:rsid w:val="00F921BC"/>
    <w:rsid w:val="00F953BD"/>
    <w:rsid w:val="00F96B5C"/>
    <w:rsid w:val="00F974BA"/>
    <w:rsid w:val="00FA5C68"/>
    <w:rsid w:val="00FA5D99"/>
    <w:rsid w:val="00FB0F83"/>
    <w:rsid w:val="00FB15D9"/>
    <w:rsid w:val="00FB6481"/>
    <w:rsid w:val="00FC0269"/>
    <w:rsid w:val="00FC20B8"/>
    <w:rsid w:val="00FC232C"/>
    <w:rsid w:val="00FC2439"/>
    <w:rsid w:val="00FC2E0F"/>
    <w:rsid w:val="00FD0CA1"/>
    <w:rsid w:val="00FD2C8A"/>
    <w:rsid w:val="00FD6CBF"/>
    <w:rsid w:val="00FE0193"/>
    <w:rsid w:val="00FE4820"/>
    <w:rsid w:val="00FE534C"/>
    <w:rsid w:val="00FE7314"/>
    <w:rsid w:val="00FF19E9"/>
    <w:rsid w:val="00FF36C0"/>
    <w:rsid w:val="00FF4EED"/>
    <w:rsid w:val="00FF6F2A"/>
    <w:rsid w:val="00FF7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D2"/>
    <w:rPr>
      <w:rFonts w:ascii="Arial" w:hAnsi="Arial"/>
      <w:szCs w:val="24"/>
    </w:rPr>
  </w:style>
  <w:style w:type="paragraph" w:styleId="Heading1">
    <w:name w:val="heading 1"/>
    <w:basedOn w:val="Normal"/>
    <w:next w:val="BodyText"/>
    <w:qFormat/>
    <w:rsid w:val="00E23204"/>
    <w:pPr>
      <w:keepNext/>
      <w:pageBreakBefore/>
      <w:numPr>
        <w:numId w:val="3"/>
      </w:numPr>
      <w:spacing w:before="240" w:after="60"/>
      <w:outlineLvl w:val="0"/>
    </w:pPr>
    <w:rPr>
      <w:rFonts w:cs="Arial"/>
      <w:bCs/>
      <w:color w:val="808080"/>
      <w:kern w:val="32"/>
      <w:sz w:val="48"/>
      <w:szCs w:val="32"/>
    </w:rPr>
  </w:style>
  <w:style w:type="paragraph" w:styleId="Heading2">
    <w:name w:val="heading 2"/>
    <w:basedOn w:val="Normal"/>
    <w:next w:val="BodyText"/>
    <w:qFormat/>
    <w:rsid w:val="002C6C52"/>
    <w:pPr>
      <w:keepNext/>
      <w:numPr>
        <w:ilvl w:val="1"/>
        <w:numId w:val="3"/>
      </w:numPr>
      <w:spacing w:before="240" w:after="60"/>
      <w:outlineLvl w:val="1"/>
    </w:pPr>
    <w:rPr>
      <w:rFonts w:cs="Arial"/>
      <w:bCs/>
      <w:iCs/>
      <w:color w:val="000000"/>
      <w:sz w:val="36"/>
      <w:szCs w:val="28"/>
    </w:rPr>
  </w:style>
  <w:style w:type="paragraph" w:styleId="Heading3">
    <w:name w:val="heading 3"/>
    <w:basedOn w:val="Normal"/>
    <w:next w:val="BodyText"/>
    <w:qFormat/>
    <w:rsid w:val="00A11DEF"/>
    <w:pPr>
      <w:keepNext/>
      <w:numPr>
        <w:ilvl w:val="2"/>
        <w:numId w:val="3"/>
      </w:numPr>
      <w:spacing w:before="240" w:after="60"/>
      <w:outlineLvl w:val="2"/>
    </w:pPr>
    <w:rPr>
      <w:rFonts w:cs="Arial"/>
      <w:bCs/>
      <w:color w:val="000000"/>
      <w:sz w:val="28"/>
      <w:szCs w:val="26"/>
    </w:rPr>
  </w:style>
  <w:style w:type="paragraph" w:styleId="Heading4">
    <w:name w:val="heading 4"/>
    <w:basedOn w:val="Normal"/>
    <w:next w:val="Normal"/>
    <w:qFormat/>
    <w:rsid w:val="00E2320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E23204"/>
    <w:pPr>
      <w:numPr>
        <w:ilvl w:val="4"/>
        <w:numId w:val="3"/>
      </w:numPr>
      <w:spacing w:before="240" w:after="60"/>
      <w:outlineLvl w:val="4"/>
    </w:pPr>
    <w:rPr>
      <w:b/>
      <w:bCs/>
      <w:i/>
      <w:iCs/>
      <w:sz w:val="26"/>
      <w:szCs w:val="26"/>
    </w:rPr>
  </w:style>
  <w:style w:type="paragraph" w:styleId="Heading6">
    <w:name w:val="heading 6"/>
    <w:basedOn w:val="Normal"/>
    <w:next w:val="Normal"/>
    <w:qFormat/>
    <w:rsid w:val="00E23204"/>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E23204"/>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E23204"/>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E23204"/>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6D1"/>
    <w:rPr>
      <w:rFonts w:ascii="Tahoma" w:hAnsi="Tahoma" w:cs="Tahoma"/>
      <w:sz w:val="16"/>
      <w:szCs w:val="16"/>
    </w:rPr>
  </w:style>
  <w:style w:type="paragraph" w:styleId="BodyText">
    <w:name w:val="Body Text"/>
    <w:basedOn w:val="Normal"/>
    <w:link w:val="BodyTextChar"/>
    <w:rsid w:val="009602EC"/>
    <w:pPr>
      <w:spacing w:before="120" w:after="120"/>
      <w:jc w:val="both"/>
    </w:pPr>
  </w:style>
  <w:style w:type="paragraph" w:styleId="Header">
    <w:name w:val="header"/>
    <w:basedOn w:val="Normal"/>
    <w:rsid w:val="00227144"/>
    <w:pPr>
      <w:tabs>
        <w:tab w:val="center" w:pos="4153"/>
        <w:tab w:val="right" w:pos="8306"/>
      </w:tabs>
    </w:pPr>
    <w:rPr>
      <w:sz w:val="16"/>
    </w:rPr>
  </w:style>
  <w:style w:type="paragraph" w:styleId="Footer">
    <w:name w:val="footer"/>
    <w:basedOn w:val="Normal"/>
    <w:link w:val="FooterChar"/>
    <w:uiPriority w:val="99"/>
    <w:rsid w:val="00227144"/>
    <w:pPr>
      <w:tabs>
        <w:tab w:val="center" w:pos="4153"/>
        <w:tab w:val="right" w:pos="8306"/>
      </w:tabs>
    </w:pPr>
    <w:rPr>
      <w:sz w:val="16"/>
    </w:rPr>
  </w:style>
  <w:style w:type="numbering" w:customStyle="1" w:styleId="ListBullet1">
    <w:name w:val="List Bullet1"/>
    <w:basedOn w:val="NoList"/>
    <w:rsid w:val="003B5A92"/>
    <w:pPr>
      <w:numPr>
        <w:numId w:val="6"/>
      </w:numPr>
    </w:pPr>
  </w:style>
  <w:style w:type="paragraph" w:customStyle="1" w:styleId="BodySubhead">
    <w:name w:val="Body Subhead"/>
    <w:basedOn w:val="BodyText"/>
    <w:next w:val="BodyText"/>
    <w:link w:val="BodySubheadChar"/>
    <w:rsid w:val="00CC1B0C"/>
    <w:rPr>
      <w:color w:val="808080"/>
      <w:sz w:val="24"/>
    </w:rPr>
  </w:style>
  <w:style w:type="paragraph" w:styleId="Caption">
    <w:name w:val="caption"/>
    <w:basedOn w:val="Normal"/>
    <w:next w:val="BodyText"/>
    <w:link w:val="CaptionChar"/>
    <w:uiPriority w:val="35"/>
    <w:qFormat/>
    <w:rsid w:val="004536D7"/>
    <w:rPr>
      <w:b/>
      <w:bCs/>
      <w:szCs w:val="20"/>
    </w:rPr>
  </w:style>
  <w:style w:type="paragraph" w:styleId="TOC2">
    <w:name w:val="toc 2"/>
    <w:basedOn w:val="Normal"/>
    <w:next w:val="Normal"/>
    <w:autoRedefine/>
    <w:uiPriority w:val="39"/>
    <w:rsid w:val="004307F3"/>
    <w:pPr>
      <w:spacing w:after="120"/>
      <w:ind w:left="198"/>
      <w:contextualSpacing/>
    </w:pPr>
  </w:style>
  <w:style w:type="paragraph" w:styleId="TOC1">
    <w:name w:val="toc 1"/>
    <w:basedOn w:val="Normal"/>
    <w:next w:val="Normal"/>
    <w:autoRedefine/>
    <w:uiPriority w:val="39"/>
    <w:rsid w:val="00996AA7"/>
    <w:pPr>
      <w:spacing w:after="120"/>
    </w:pPr>
    <w:rPr>
      <w:b/>
    </w:rPr>
  </w:style>
  <w:style w:type="paragraph" w:styleId="TOC3">
    <w:name w:val="toc 3"/>
    <w:basedOn w:val="Normal"/>
    <w:next w:val="Normal"/>
    <w:autoRedefine/>
    <w:uiPriority w:val="39"/>
    <w:rsid w:val="004307F3"/>
    <w:pPr>
      <w:spacing w:after="120"/>
      <w:ind w:left="403"/>
      <w:contextualSpacing/>
    </w:pPr>
  </w:style>
  <w:style w:type="paragraph" w:styleId="TOCHeading">
    <w:name w:val="TOC Heading"/>
    <w:basedOn w:val="Normal"/>
    <w:next w:val="BodyText"/>
    <w:qFormat/>
    <w:rsid w:val="00227144"/>
    <w:pPr>
      <w:spacing w:before="120" w:after="240"/>
    </w:pPr>
    <w:rPr>
      <w:color w:val="808080"/>
      <w:sz w:val="36"/>
      <w:szCs w:val="36"/>
      <w:lang w:val="en-US"/>
    </w:rPr>
  </w:style>
  <w:style w:type="character" w:styleId="Hyperlink">
    <w:name w:val="Hyperlink"/>
    <w:uiPriority w:val="99"/>
    <w:rsid w:val="004307F3"/>
    <w:rPr>
      <w:color w:val="0000FF"/>
      <w:u w:val="single"/>
    </w:rPr>
  </w:style>
  <w:style w:type="character" w:customStyle="1" w:styleId="BodySubheadChar">
    <w:name w:val="Body Subhead Char"/>
    <w:link w:val="BodySubhead"/>
    <w:rsid w:val="00482CE7"/>
    <w:rPr>
      <w:rFonts w:ascii="Arial" w:hAnsi="Arial"/>
      <w:color w:val="808080"/>
      <w:sz w:val="24"/>
      <w:szCs w:val="24"/>
      <w:lang w:val="lv-LV" w:eastAsia="lv-LV" w:bidi="ar-SA"/>
    </w:rPr>
  </w:style>
  <w:style w:type="paragraph" w:styleId="ListNumber">
    <w:name w:val="List Number"/>
    <w:basedOn w:val="Normal"/>
    <w:rsid w:val="00CB56C4"/>
    <w:pPr>
      <w:numPr>
        <w:numId w:val="2"/>
      </w:numPr>
      <w:spacing w:after="120"/>
    </w:pPr>
  </w:style>
  <w:style w:type="paragraph" w:styleId="Title">
    <w:name w:val="Title"/>
    <w:basedOn w:val="Normal"/>
    <w:qFormat/>
    <w:rsid w:val="005370CF"/>
    <w:pPr>
      <w:outlineLvl w:val="0"/>
    </w:pPr>
    <w:rPr>
      <w:rFonts w:cs="Arial"/>
      <w:bCs/>
      <w:kern w:val="28"/>
      <w:sz w:val="36"/>
      <w:szCs w:val="32"/>
    </w:rPr>
  </w:style>
  <w:style w:type="paragraph" w:styleId="Subtitle">
    <w:name w:val="Subtitle"/>
    <w:basedOn w:val="Normal"/>
    <w:qFormat/>
    <w:rsid w:val="00227144"/>
    <w:pPr>
      <w:outlineLvl w:val="1"/>
    </w:pPr>
    <w:rPr>
      <w:rFonts w:cs="Arial"/>
      <w:color w:val="000000"/>
      <w:sz w:val="28"/>
    </w:rPr>
  </w:style>
  <w:style w:type="paragraph" w:customStyle="1" w:styleId="TableText">
    <w:name w:val="Table Text"/>
    <w:basedOn w:val="Normal"/>
    <w:rsid w:val="00057F33"/>
    <w:pPr>
      <w:spacing w:before="60" w:after="60"/>
    </w:pPr>
    <w:rPr>
      <w:sz w:val="18"/>
      <w:szCs w:val="20"/>
      <w:lang w:val="en-US" w:eastAsia="en-US"/>
    </w:rPr>
  </w:style>
  <w:style w:type="paragraph" w:styleId="ListBullet2">
    <w:name w:val="List Bullet 2"/>
    <w:basedOn w:val="Normal"/>
    <w:rsid w:val="003C61E9"/>
    <w:pPr>
      <w:numPr>
        <w:numId w:val="7"/>
      </w:numPr>
      <w:spacing w:before="120" w:after="120"/>
      <w:ind w:left="641" w:hanging="357"/>
      <w:contextualSpacing/>
    </w:pPr>
  </w:style>
  <w:style w:type="paragraph" w:styleId="ListBullet">
    <w:name w:val="List Bullet"/>
    <w:basedOn w:val="Normal"/>
    <w:rsid w:val="003C61E9"/>
    <w:pPr>
      <w:numPr>
        <w:numId w:val="1"/>
      </w:numPr>
      <w:spacing w:before="120" w:after="120"/>
      <w:contextualSpacing/>
    </w:pPr>
  </w:style>
  <w:style w:type="paragraph" w:styleId="ListBullet3">
    <w:name w:val="List Bullet 3"/>
    <w:basedOn w:val="Normal"/>
    <w:rsid w:val="003C61E9"/>
    <w:pPr>
      <w:numPr>
        <w:numId w:val="8"/>
      </w:numPr>
      <w:spacing w:before="120" w:after="120"/>
      <w:ind w:left="924" w:hanging="357"/>
      <w:contextualSpacing/>
    </w:pPr>
  </w:style>
  <w:style w:type="character" w:customStyle="1" w:styleId="FooterChar">
    <w:name w:val="Footer Char"/>
    <w:basedOn w:val="DefaultParagraphFont"/>
    <w:link w:val="Footer"/>
    <w:uiPriority w:val="99"/>
    <w:rsid w:val="002C6C52"/>
    <w:rPr>
      <w:rFonts w:ascii="Arial" w:hAnsi="Arial"/>
      <w:sz w:val="16"/>
      <w:szCs w:val="24"/>
    </w:rPr>
  </w:style>
  <w:style w:type="paragraph" w:customStyle="1" w:styleId="CaptionRight">
    <w:name w:val="Caption + Right"/>
    <w:basedOn w:val="Caption"/>
    <w:next w:val="BodyText"/>
    <w:rsid w:val="00CE54BE"/>
    <w:pPr>
      <w:jc w:val="right"/>
    </w:pPr>
  </w:style>
  <w:style w:type="paragraph" w:customStyle="1" w:styleId="BodyTextRight">
    <w:name w:val="Body Text + Right"/>
    <w:basedOn w:val="BodyText"/>
    <w:next w:val="BodyText"/>
    <w:rsid w:val="00CE54BE"/>
    <w:pPr>
      <w:jc w:val="right"/>
    </w:pPr>
    <w:rPr>
      <w:szCs w:val="20"/>
    </w:rPr>
  </w:style>
  <w:style w:type="character" w:customStyle="1" w:styleId="BodyTextChar">
    <w:name w:val="Body Text Char"/>
    <w:link w:val="BodyText"/>
    <w:rsid w:val="009602EC"/>
    <w:rPr>
      <w:rFonts w:ascii="Arial" w:hAnsi="Arial"/>
      <w:szCs w:val="24"/>
    </w:rPr>
  </w:style>
  <w:style w:type="paragraph" w:customStyle="1" w:styleId="BodySubhead2">
    <w:name w:val="Body Subhead 2"/>
    <w:basedOn w:val="BodySubhead"/>
    <w:next w:val="BodyText"/>
    <w:link w:val="BodySubhead2Char"/>
    <w:rsid w:val="003450A4"/>
    <w:rPr>
      <w:b/>
      <w:sz w:val="20"/>
      <w:lang w:val="en-US"/>
    </w:rPr>
  </w:style>
  <w:style w:type="paragraph" w:customStyle="1" w:styleId="TableNumber">
    <w:name w:val="Table Number"/>
    <w:basedOn w:val="TableText"/>
    <w:rsid w:val="001907BE"/>
    <w:pPr>
      <w:numPr>
        <w:numId w:val="4"/>
      </w:numPr>
    </w:pPr>
  </w:style>
  <w:style w:type="numbering" w:customStyle="1" w:styleId="TableBullet">
    <w:name w:val="Table Bullet"/>
    <w:basedOn w:val="NoList"/>
    <w:rsid w:val="001B4C51"/>
    <w:pPr>
      <w:numPr>
        <w:numId w:val="5"/>
      </w:numPr>
    </w:pPr>
  </w:style>
  <w:style w:type="character" w:customStyle="1" w:styleId="BodySubhead2Char">
    <w:name w:val="Body Subhead 2 Char"/>
    <w:link w:val="BodySubhead2"/>
    <w:rsid w:val="003450A4"/>
    <w:rPr>
      <w:rFonts w:ascii="Arial" w:hAnsi="Arial"/>
      <w:b/>
      <w:color w:val="808080"/>
      <w:sz w:val="24"/>
      <w:szCs w:val="24"/>
      <w:lang w:val="en-US" w:eastAsia="lv-LV" w:bidi="ar-SA"/>
    </w:rPr>
  </w:style>
  <w:style w:type="paragraph" w:customStyle="1" w:styleId="BodySubhead3">
    <w:name w:val="Body Subhead 3"/>
    <w:basedOn w:val="BodySubhead"/>
    <w:rsid w:val="00F3167F"/>
    <w:rPr>
      <w:b/>
      <w:color w:val="auto"/>
      <w:sz w:val="20"/>
      <w:lang w:val="en-US"/>
    </w:rPr>
  </w:style>
  <w:style w:type="paragraph" w:customStyle="1" w:styleId="ISBodyText">
    <w:name w:val="IS Body Text"/>
    <w:basedOn w:val="Normal"/>
    <w:link w:val="ISBodyTextChar"/>
    <w:uiPriority w:val="99"/>
    <w:qFormat/>
    <w:rsid w:val="00295E2C"/>
    <w:pPr>
      <w:overflowPunct w:val="0"/>
      <w:autoSpaceDE w:val="0"/>
      <w:autoSpaceDN w:val="0"/>
      <w:adjustRightInd w:val="0"/>
      <w:spacing w:before="60" w:after="60"/>
      <w:jc w:val="both"/>
      <w:textAlignment w:val="baseline"/>
    </w:pPr>
    <w:rPr>
      <w:rFonts w:ascii="Calibri" w:eastAsia="MS Mincho" w:hAnsi="Calibri" w:cs="Arial"/>
      <w:bCs/>
      <w:sz w:val="22"/>
      <w:szCs w:val="20"/>
      <w:lang w:eastAsia="en-US"/>
    </w:rPr>
  </w:style>
  <w:style w:type="character" w:customStyle="1" w:styleId="CaptionChar">
    <w:name w:val="Caption Char"/>
    <w:basedOn w:val="DefaultParagraphFont"/>
    <w:link w:val="Caption"/>
    <w:uiPriority w:val="35"/>
    <w:locked/>
    <w:rsid w:val="00295E2C"/>
    <w:rPr>
      <w:rFonts w:ascii="Arial" w:hAnsi="Arial"/>
      <w:b/>
      <w:bCs/>
    </w:rPr>
  </w:style>
  <w:style w:type="table" w:customStyle="1" w:styleId="TableGridComplex">
    <w:name w:val="Table Grid Complex"/>
    <w:basedOn w:val="TableGrid"/>
    <w:uiPriority w:val="99"/>
    <w:rsid w:val="00295E2C"/>
    <w:pPr>
      <w:spacing w:before="60" w:after="60"/>
    </w:pPr>
    <w:rPr>
      <w:rFonts w:ascii="Calibri" w:hAnsi="Calibri" w:cs="Arial Narrow"/>
    </w:rPr>
    <w:tblPr>
      <w:tblStyleRowBandSize w:val="1"/>
      <w:tblInd w:w="0" w:type="dxa"/>
      <w:tblBorders>
        <w:top w:val="single" w:sz="8" w:space="0" w:color="999999"/>
        <w:bottom w:val="single" w:sz="8" w:space="0" w:color="999999"/>
      </w:tblBorders>
      <w:tblCellMar>
        <w:top w:w="0" w:type="dxa"/>
        <w:left w:w="57" w:type="dxa"/>
        <w:bottom w:w="0" w:type="dxa"/>
        <w:right w:w="57" w:type="dxa"/>
      </w:tblCellMar>
    </w:tblPr>
    <w:tblStylePr w:type="firstRow">
      <w:rPr>
        <w:rFonts w:ascii="Calibri" w:eastAsia="Times New Roman" w:hAnsi="Calibri" w:cs="Segoe Condensed"/>
        <w:b/>
        <w:bCs/>
        <w:sz w:val="18"/>
      </w:rPr>
      <w:tblPr/>
      <w:tcPr>
        <w:tcBorders>
          <w:top w:val="single" w:sz="12" w:space="0" w:color="999999"/>
          <w:bottom w:val="single" w:sz="12" w:space="0" w:color="999999"/>
        </w:tcBorders>
        <w:shd w:val="clear" w:color="auto" w:fill="E6E6E6"/>
      </w:tcPr>
    </w:tblStylePr>
    <w:tblStylePr w:type="lastRow">
      <w:rPr>
        <w:rFonts w:ascii="Calibri" w:eastAsia="Times New Roman" w:hAnsi="Calibri" w:cs="Calibri"/>
        <w:sz w:val="18"/>
        <w:szCs w:val="18"/>
      </w:rPr>
      <w:tblPr/>
      <w:tcPr>
        <w:shd w:val="clear" w:color="auto" w:fill="E6E6E6"/>
      </w:tcPr>
    </w:tblStylePr>
    <w:tblStylePr w:type="firstCol">
      <w:rPr>
        <w:rFonts w:ascii="Calibri" w:eastAsia="Times New Roman" w:hAnsi="Calibri" w:cs="Calibri"/>
        <w:sz w:val="18"/>
        <w:szCs w:val="18"/>
      </w:rPr>
    </w:tblStylePr>
    <w:tblStylePr w:type="lastCol">
      <w:rPr>
        <w:rFonts w:ascii="Calibri" w:eastAsia="Times New Roman" w:hAnsi="Calibri" w:cs="Calibri"/>
        <w:sz w:val="18"/>
        <w:szCs w:val="18"/>
      </w:rPr>
      <w:tblPr/>
      <w:tcPr>
        <w:shd w:val="clear" w:color="auto" w:fill="E6E6E6"/>
      </w:tcPr>
    </w:tblStylePr>
    <w:tblStylePr w:type="band1Horz">
      <w:rPr>
        <w:rFonts w:ascii="Calibri" w:hAnsi="Calibri" w:cs="Calibri"/>
        <w:sz w:val="18"/>
        <w:szCs w:val="18"/>
      </w:rPr>
      <w:tblPr/>
      <w:tcPr>
        <w:tcBorders>
          <w:top w:val="single" w:sz="8" w:space="0" w:color="999999"/>
          <w:bottom w:val="single" w:sz="8" w:space="0" w:color="999999"/>
          <w:insideH w:val="single" w:sz="8" w:space="0" w:color="999999"/>
        </w:tcBorders>
      </w:tcPr>
    </w:tblStylePr>
    <w:tblStylePr w:type="band2Horz">
      <w:rPr>
        <w:rFonts w:ascii="Calibri" w:eastAsia="Times New Roman" w:hAnsi="Calibri" w:cs="Calibri"/>
        <w:sz w:val="18"/>
        <w:szCs w:val="18"/>
      </w:rPr>
    </w:tblStylePr>
  </w:style>
  <w:style w:type="character" w:customStyle="1" w:styleId="ISBodyTextChar">
    <w:name w:val="IS Body Text Char"/>
    <w:basedOn w:val="DefaultParagraphFont"/>
    <w:link w:val="ISBodyText"/>
    <w:uiPriority w:val="99"/>
    <w:locked/>
    <w:rsid w:val="00295E2C"/>
    <w:rPr>
      <w:rFonts w:ascii="Calibri" w:eastAsia="MS Mincho" w:hAnsi="Calibri" w:cs="Arial"/>
      <w:bCs/>
      <w:sz w:val="22"/>
      <w:lang w:eastAsia="en-US"/>
    </w:rPr>
  </w:style>
  <w:style w:type="paragraph" w:styleId="Salutation">
    <w:name w:val="Salutation"/>
    <w:basedOn w:val="Normal"/>
    <w:next w:val="Normal"/>
    <w:link w:val="SalutationChar"/>
    <w:rsid w:val="00295E2C"/>
  </w:style>
  <w:style w:type="character" w:customStyle="1" w:styleId="SalutationChar">
    <w:name w:val="Salutation Char"/>
    <w:basedOn w:val="DefaultParagraphFont"/>
    <w:link w:val="Salutation"/>
    <w:rsid w:val="00295E2C"/>
    <w:rPr>
      <w:rFonts w:ascii="Arial" w:hAnsi="Arial"/>
      <w:szCs w:val="24"/>
    </w:rPr>
  </w:style>
  <w:style w:type="table" w:styleId="TableGrid">
    <w:name w:val="Table Grid"/>
    <w:basedOn w:val="TableNormal"/>
    <w:uiPriority w:val="59"/>
    <w:rsid w:val="00295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rsid w:val="00624781"/>
    <w:rPr>
      <w:sz w:val="18"/>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624781"/>
    <w:rPr>
      <w:rFonts w:ascii="Arial" w:hAnsi="Arial"/>
      <w:sz w:val="18"/>
    </w:rPr>
  </w:style>
  <w:style w:type="character" w:styleId="FootnoteReference">
    <w:name w:val="footnote reference"/>
    <w:aliases w:val="Footnote Reference Number,Footnote symbol,Footnote Reference Superscript,Footnote Refernece,ftref,SUPERS"/>
    <w:basedOn w:val="DefaultParagraphFont"/>
    <w:uiPriority w:val="99"/>
    <w:rsid w:val="00295E2C"/>
    <w:rPr>
      <w:vertAlign w:val="superscript"/>
    </w:rPr>
  </w:style>
  <w:style w:type="paragraph" w:customStyle="1" w:styleId="ISBulletText">
    <w:name w:val="IS Bullet Text"/>
    <w:basedOn w:val="ISBodyText"/>
    <w:link w:val="ISBulletTextChar"/>
    <w:uiPriority w:val="99"/>
    <w:qFormat/>
    <w:rsid w:val="007B0ED2"/>
    <w:pPr>
      <w:numPr>
        <w:numId w:val="9"/>
      </w:numPr>
      <w:tabs>
        <w:tab w:val="num" w:pos="360"/>
      </w:tabs>
      <w:ind w:left="0" w:right="28" w:firstLine="0"/>
    </w:pPr>
    <w:rPr>
      <w:bCs w:val="0"/>
    </w:rPr>
  </w:style>
  <w:style w:type="character" w:customStyle="1" w:styleId="ISBulletTextChar">
    <w:name w:val="IS Bullet Text Char"/>
    <w:basedOn w:val="DefaultParagraphFont"/>
    <w:link w:val="ISBulletText"/>
    <w:uiPriority w:val="99"/>
    <w:locked/>
    <w:rsid w:val="007B0ED2"/>
    <w:rPr>
      <w:rFonts w:ascii="Calibri" w:eastAsia="MS Mincho" w:hAnsi="Calibri" w:cs="Arial"/>
      <w:sz w:val="22"/>
      <w:lang w:eastAsia="en-US"/>
    </w:rPr>
  </w:style>
  <w:style w:type="paragraph" w:styleId="ListParagraph">
    <w:name w:val="List Paragraph"/>
    <w:basedOn w:val="Normal"/>
    <w:link w:val="ListParagraphChar"/>
    <w:uiPriority w:val="34"/>
    <w:qFormat/>
    <w:rsid w:val="001C6CC8"/>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Bullets">
    <w:name w:val="Bullets"/>
    <w:rsid w:val="007B0E39"/>
    <w:pPr>
      <w:numPr>
        <w:numId w:val="10"/>
      </w:numPr>
    </w:pPr>
  </w:style>
  <w:style w:type="character" w:customStyle="1" w:styleId="ListParagraphChar">
    <w:name w:val="List Paragraph Char"/>
    <w:basedOn w:val="DefaultParagraphFont"/>
    <w:link w:val="ListParagraph"/>
    <w:uiPriority w:val="34"/>
    <w:rsid w:val="007B0E39"/>
    <w:rPr>
      <w:rFonts w:asciiTheme="minorHAnsi" w:eastAsiaTheme="minorHAnsi" w:hAnsiTheme="minorHAnsi" w:cstheme="minorBidi"/>
      <w:sz w:val="22"/>
      <w:szCs w:val="22"/>
      <w:lang w:eastAsia="en-US"/>
    </w:rPr>
  </w:style>
  <w:style w:type="paragraph" w:customStyle="1" w:styleId="HeadingAppendixOld">
    <w:name w:val="Heading Appendix Old"/>
    <w:basedOn w:val="Normal"/>
    <w:next w:val="Normal"/>
    <w:rsid w:val="0033734E"/>
    <w:pPr>
      <w:keepNext/>
      <w:pageBreakBefore/>
      <w:numPr>
        <w:ilvl w:val="7"/>
        <w:numId w:val="11"/>
      </w:numPr>
      <w:spacing w:after="200" w:line="276" w:lineRule="auto"/>
    </w:pPr>
    <w:rPr>
      <w:rFonts w:ascii="Arial Black" w:eastAsia="Arial Black" w:hAnsi="Arial Black" w:cs="Arial Black"/>
      <w:smallCaps/>
      <w:color w:val="333333"/>
      <w:sz w:val="32"/>
      <w:szCs w:val="32"/>
      <w:lang w:eastAsia="en-US"/>
    </w:rPr>
  </w:style>
  <w:style w:type="paragraph" w:customStyle="1" w:styleId="HeadingPart">
    <w:name w:val="Heading Part"/>
    <w:basedOn w:val="Normal"/>
    <w:next w:val="Normal"/>
    <w:rsid w:val="0033734E"/>
    <w:pPr>
      <w:pageBreakBefore/>
      <w:numPr>
        <w:ilvl w:val="8"/>
        <w:numId w:val="11"/>
      </w:numPr>
      <w:spacing w:before="480" w:after="200" w:line="276" w:lineRule="auto"/>
      <w:outlineLvl w:val="8"/>
    </w:pPr>
    <w:rPr>
      <w:rFonts w:ascii="Arial Black" w:eastAsia="Arial Black" w:hAnsi="Arial Black" w:cs="Arial Black"/>
      <w:b/>
      <w:smallCaps/>
      <w:color w:val="333333"/>
      <w:sz w:val="32"/>
      <w:szCs w:val="32"/>
      <w:lang w:eastAsia="en-US"/>
    </w:rPr>
  </w:style>
  <w:style w:type="character" w:styleId="CommentReference">
    <w:name w:val="annotation reference"/>
    <w:basedOn w:val="DefaultParagraphFont"/>
    <w:rsid w:val="00C25D3C"/>
    <w:rPr>
      <w:sz w:val="16"/>
      <w:szCs w:val="16"/>
    </w:rPr>
  </w:style>
  <w:style w:type="paragraph" w:styleId="CommentText">
    <w:name w:val="annotation text"/>
    <w:basedOn w:val="Normal"/>
    <w:link w:val="CommentTextChar"/>
    <w:rsid w:val="00C25D3C"/>
    <w:rPr>
      <w:szCs w:val="20"/>
    </w:rPr>
  </w:style>
  <w:style w:type="character" w:customStyle="1" w:styleId="CommentTextChar">
    <w:name w:val="Comment Text Char"/>
    <w:basedOn w:val="DefaultParagraphFont"/>
    <w:link w:val="CommentText"/>
    <w:rsid w:val="00C25D3C"/>
    <w:rPr>
      <w:rFonts w:ascii="Arial" w:hAnsi="Arial"/>
    </w:rPr>
  </w:style>
  <w:style w:type="paragraph" w:styleId="CommentSubject">
    <w:name w:val="annotation subject"/>
    <w:basedOn w:val="CommentText"/>
    <w:next w:val="CommentText"/>
    <w:link w:val="CommentSubjectChar"/>
    <w:rsid w:val="00C25D3C"/>
    <w:rPr>
      <w:b/>
      <w:bCs/>
    </w:rPr>
  </w:style>
  <w:style w:type="character" w:customStyle="1" w:styleId="CommentSubjectChar">
    <w:name w:val="Comment Subject Char"/>
    <w:basedOn w:val="CommentTextChar"/>
    <w:link w:val="CommentSubject"/>
    <w:rsid w:val="00C25D3C"/>
    <w:rPr>
      <w:rFonts w:ascii="Arial" w:hAnsi="Arial"/>
      <w:b/>
      <w:bCs/>
    </w:rPr>
  </w:style>
  <w:style w:type="paragraph" w:customStyle="1" w:styleId="EYNumber">
    <w:name w:val="EY Number"/>
    <w:basedOn w:val="Normal"/>
    <w:rsid w:val="00F11C28"/>
    <w:pPr>
      <w:numPr>
        <w:numId w:val="16"/>
      </w:numPr>
      <w:spacing w:after="240"/>
    </w:pPr>
    <w:rPr>
      <w:rFonts w:ascii="EYInterstate Light" w:hAnsi="EYInterstate Light"/>
      <w:kern w:val="12"/>
      <w:lang w:eastAsia="en-US"/>
    </w:rPr>
  </w:style>
  <w:style w:type="paragraph" w:customStyle="1" w:styleId="EYLetter">
    <w:name w:val="EY Letter"/>
    <w:basedOn w:val="EYNumber"/>
    <w:rsid w:val="00F11C28"/>
    <w:pPr>
      <w:numPr>
        <w:ilvl w:val="1"/>
      </w:numPr>
    </w:pPr>
  </w:style>
  <w:style w:type="paragraph" w:customStyle="1" w:styleId="EYRoman">
    <w:name w:val="EY Roman"/>
    <w:basedOn w:val="EYNumber"/>
    <w:rsid w:val="00F11C28"/>
    <w:pPr>
      <w:numPr>
        <w:ilvl w:val="2"/>
      </w:numPr>
    </w:pPr>
  </w:style>
  <w:style w:type="paragraph" w:customStyle="1" w:styleId="EYTableNormal">
    <w:name w:val="EY Table Normal"/>
    <w:basedOn w:val="Normal"/>
    <w:autoRedefine/>
    <w:rsid w:val="00F11C28"/>
    <w:rPr>
      <w:rFonts w:ascii="EYInterstate Light" w:hAnsi="EYInterstate Light"/>
      <w:sz w:val="16"/>
      <w:lang w:eastAsia="en-US"/>
    </w:rPr>
  </w:style>
  <w:style w:type="paragraph" w:customStyle="1" w:styleId="EYTableText">
    <w:name w:val="EY Table Text"/>
    <w:basedOn w:val="EYTableNormal"/>
    <w:rsid w:val="00F11C28"/>
    <w:pPr>
      <w:spacing w:before="20" w:after="20"/>
    </w:pPr>
  </w:style>
  <w:style w:type="paragraph" w:customStyle="1" w:styleId="EYTableHeading">
    <w:name w:val="EY Table Heading"/>
    <w:basedOn w:val="EYTableText"/>
    <w:rsid w:val="00F11C28"/>
    <w:pPr>
      <w:spacing w:before="60" w:after="60"/>
    </w:pPr>
    <w:rPr>
      <w:rFonts w:ascii="EYInterstate" w:hAnsi="EYInterstate"/>
      <w:b/>
      <w:color w:val="7F7E82"/>
    </w:rPr>
  </w:style>
  <w:style w:type="paragraph" w:customStyle="1" w:styleId="EYTableHeadingWhite">
    <w:name w:val="EY Table Heading (White)"/>
    <w:basedOn w:val="EYTableHeading"/>
    <w:rsid w:val="00F11C28"/>
    <w:rPr>
      <w:bCs/>
      <w:color w:val="FFFFFF"/>
    </w:rPr>
  </w:style>
  <w:style w:type="paragraph" w:customStyle="1" w:styleId="Default">
    <w:name w:val="Default"/>
    <w:rsid w:val="00F11C28"/>
    <w:pPr>
      <w:autoSpaceDE w:val="0"/>
      <w:autoSpaceDN w:val="0"/>
      <w:adjustRightInd w:val="0"/>
    </w:pPr>
    <w:rPr>
      <w:color w:val="000000"/>
      <w:sz w:val="24"/>
      <w:szCs w:val="24"/>
    </w:rPr>
  </w:style>
  <w:style w:type="paragraph" w:styleId="Revision">
    <w:name w:val="Revision"/>
    <w:hidden/>
    <w:uiPriority w:val="99"/>
    <w:semiHidden/>
    <w:rsid w:val="00E13283"/>
    <w:rPr>
      <w:rFonts w:ascii="Arial" w:hAnsi="Arial"/>
      <w:szCs w:val="24"/>
    </w:rPr>
  </w:style>
  <w:style w:type="paragraph" w:styleId="NormalWeb">
    <w:name w:val="Normal (Web)"/>
    <w:basedOn w:val="Normal"/>
    <w:uiPriority w:val="99"/>
    <w:unhideWhenUsed/>
    <w:rsid w:val="006309D9"/>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ED2"/>
    <w:rPr>
      <w:rFonts w:ascii="Arial" w:hAnsi="Arial"/>
      <w:szCs w:val="24"/>
    </w:rPr>
  </w:style>
  <w:style w:type="paragraph" w:styleId="Heading1">
    <w:name w:val="heading 1"/>
    <w:basedOn w:val="Normal"/>
    <w:next w:val="BodyText"/>
    <w:qFormat/>
    <w:rsid w:val="00E23204"/>
    <w:pPr>
      <w:keepNext/>
      <w:pageBreakBefore/>
      <w:numPr>
        <w:numId w:val="3"/>
      </w:numPr>
      <w:spacing w:before="240" w:after="60"/>
      <w:outlineLvl w:val="0"/>
    </w:pPr>
    <w:rPr>
      <w:rFonts w:cs="Arial"/>
      <w:bCs/>
      <w:color w:val="808080"/>
      <w:kern w:val="32"/>
      <w:sz w:val="48"/>
      <w:szCs w:val="32"/>
    </w:rPr>
  </w:style>
  <w:style w:type="paragraph" w:styleId="Heading2">
    <w:name w:val="heading 2"/>
    <w:basedOn w:val="Normal"/>
    <w:next w:val="BodyText"/>
    <w:qFormat/>
    <w:rsid w:val="002C6C52"/>
    <w:pPr>
      <w:keepNext/>
      <w:numPr>
        <w:ilvl w:val="1"/>
        <w:numId w:val="3"/>
      </w:numPr>
      <w:spacing w:before="240" w:after="60"/>
      <w:outlineLvl w:val="1"/>
    </w:pPr>
    <w:rPr>
      <w:rFonts w:cs="Arial"/>
      <w:bCs/>
      <w:iCs/>
      <w:color w:val="000000"/>
      <w:sz w:val="36"/>
      <w:szCs w:val="28"/>
    </w:rPr>
  </w:style>
  <w:style w:type="paragraph" w:styleId="Heading3">
    <w:name w:val="heading 3"/>
    <w:basedOn w:val="Normal"/>
    <w:next w:val="BodyText"/>
    <w:qFormat/>
    <w:rsid w:val="00A11DEF"/>
    <w:pPr>
      <w:keepNext/>
      <w:numPr>
        <w:ilvl w:val="2"/>
        <w:numId w:val="3"/>
      </w:numPr>
      <w:spacing w:before="240" w:after="60"/>
      <w:outlineLvl w:val="2"/>
    </w:pPr>
    <w:rPr>
      <w:rFonts w:cs="Arial"/>
      <w:bCs/>
      <w:color w:val="000000"/>
      <w:sz w:val="28"/>
      <w:szCs w:val="26"/>
    </w:rPr>
  </w:style>
  <w:style w:type="paragraph" w:styleId="Heading4">
    <w:name w:val="heading 4"/>
    <w:basedOn w:val="Normal"/>
    <w:next w:val="Normal"/>
    <w:qFormat/>
    <w:rsid w:val="00E23204"/>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E23204"/>
    <w:pPr>
      <w:numPr>
        <w:ilvl w:val="4"/>
        <w:numId w:val="3"/>
      </w:numPr>
      <w:spacing w:before="240" w:after="60"/>
      <w:outlineLvl w:val="4"/>
    </w:pPr>
    <w:rPr>
      <w:b/>
      <w:bCs/>
      <w:i/>
      <w:iCs/>
      <w:sz w:val="26"/>
      <w:szCs w:val="26"/>
    </w:rPr>
  </w:style>
  <w:style w:type="paragraph" w:styleId="Heading6">
    <w:name w:val="heading 6"/>
    <w:basedOn w:val="Normal"/>
    <w:next w:val="Normal"/>
    <w:qFormat/>
    <w:rsid w:val="00E23204"/>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E23204"/>
    <w:pPr>
      <w:numPr>
        <w:ilvl w:val="6"/>
        <w:numId w:val="3"/>
      </w:numPr>
      <w:spacing w:before="240" w:after="60"/>
      <w:outlineLvl w:val="6"/>
    </w:pPr>
    <w:rPr>
      <w:rFonts w:ascii="Times New Roman" w:hAnsi="Times New Roman"/>
      <w:sz w:val="24"/>
    </w:rPr>
  </w:style>
  <w:style w:type="paragraph" w:styleId="Heading8">
    <w:name w:val="heading 8"/>
    <w:basedOn w:val="Normal"/>
    <w:next w:val="Normal"/>
    <w:qFormat/>
    <w:rsid w:val="00E23204"/>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qFormat/>
    <w:rsid w:val="00E23204"/>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76D1"/>
    <w:rPr>
      <w:rFonts w:ascii="Tahoma" w:hAnsi="Tahoma" w:cs="Tahoma"/>
      <w:sz w:val="16"/>
      <w:szCs w:val="16"/>
    </w:rPr>
  </w:style>
  <w:style w:type="paragraph" w:styleId="BodyText">
    <w:name w:val="Body Text"/>
    <w:basedOn w:val="Normal"/>
    <w:link w:val="BodyTextChar"/>
    <w:rsid w:val="009602EC"/>
    <w:pPr>
      <w:spacing w:before="120" w:after="120"/>
      <w:jc w:val="both"/>
    </w:pPr>
  </w:style>
  <w:style w:type="paragraph" w:styleId="Header">
    <w:name w:val="header"/>
    <w:basedOn w:val="Normal"/>
    <w:rsid w:val="00227144"/>
    <w:pPr>
      <w:tabs>
        <w:tab w:val="center" w:pos="4153"/>
        <w:tab w:val="right" w:pos="8306"/>
      </w:tabs>
    </w:pPr>
    <w:rPr>
      <w:sz w:val="16"/>
    </w:rPr>
  </w:style>
  <w:style w:type="paragraph" w:styleId="Footer">
    <w:name w:val="footer"/>
    <w:basedOn w:val="Normal"/>
    <w:link w:val="FooterChar"/>
    <w:uiPriority w:val="99"/>
    <w:rsid w:val="00227144"/>
    <w:pPr>
      <w:tabs>
        <w:tab w:val="center" w:pos="4153"/>
        <w:tab w:val="right" w:pos="8306"/>
      </w:tabs>
    </w:pPr>
    <w:rPr>
      <w:sz w:val="16"/>
    </w:rPr>
  </w:style>
  <w:style w:type="numbering" w:customStyle="1" w:styleId="ListBullet1">
    <w:name w:val="List Bullet1"/>
    <w:basedOn w:val="NoList"/>
    <w:rsid w:val="003B5A92"/>
    <w:pPr>
      <w:numPr>
        <w:numId w:val="6"/>
      </w:numPr>
    </w:pPr>
  </w:style>
  <w:style w:type="paragraph" w:customStyle="1" w:styleId="BodySubhead">
    <w:name w:val="Body Subhead"/>
    <w:basedOn w:val="BodyText"/>
    <w:next w:val="BodyText"/>
    <w:link w:val="BodySubheadChar"/>
    <w:rsid w:val="00CC1B0C"/>
    <w:rPr>
      <w:color w:val="808080"/>
      <w:sz w:val="24"/>
    </w:rPr>
  </w:style>
  <w:style w:type="paragraph" w:styleId="Caption">
    <w:name w:val="caption"/>
    <w:basedOn w:val="Normal"/>
    <w:next w:val="BodyText"/>
    <w:link w:val="CaptionChar"/>
    <w:uiPriority w:val="35"/>
    <w:qFormat/>
    <w:rsid w:val="004536D7"/>
    <w:rPr>
      <w:b/>
      <w:bCs/>
      <w:szCs w:val="20"/>
    </w:rPr>
  </w:style>
  <w:style w:type="paragraph" w:styleId="TOC2">
    <w:name w:val="toc 2"/>
    <w:basedOn w:val="Normal"/>
    <w:next w:val="Normal"/>
    <w:autoRedefine/>
    <w:uiPriority w:val="39"/>
    <w:rsid w:val="004307F3"/>
    <w:pPr>
      <w:spacing w:after="120"/>
      <w:ind w:left="198"/>
      <w:contextualSpacing/>
    </w:pPr>
  </w:style>
  <w:style w:type="paragraph" w:styleId="TOC1">
    <w:name w:val="toc 1"/>
    <w:basedOn w:val="Normal"/>
    <w:next w:val="Normal"/>
    <w:autoRedefine/>
    <w:uiPriority w:val="39"/>
    <w:rsid w:val="00996AA7"/>
    <w:pPr>
      <w:spacing w:after="120"/>
    </w:pPr>
    <w:rPr>
      <w:b/>
    </w:rPr>
  </w:style>
  <w:style w:type="paragraph" w:styleId="TOC3">
    <w:name w:val="toc 3"/>
    <w:basedOn w:val="Normal"/>
    <w:next w:val="Normal"/>
    <w:autoRedefine/>
    <w:uiPriority w:val="39"/>
    <w:rsid w:val="004307F3"/>
    <w:pPr>
      <w:spacing w:after="120"/>
      <w:ind w:left="403"/>
      <w:contextualSpacing/>
    </w:pPr>
  </w:style>
  <w:style w:type="paragraph" w:styleId="TOCHeading">
    <w:name w:val="TOC Heading"/>
    <w:basedOn w:val="Normal"/>
    <w:next w:val="BodyText"/>
    <w:qFormat/>
    <w:rsid w:val="00227144"/>
    <w:pPr>
      <w:spacing w:before="120" w:after="240"/>
    </w:pPr>
    <w:rPr>
      <w:color w:val="808080"/>
      <w:sz w:val="36"/>
      <w:szCs w:val="36"/>
      <w:lang w:val="en-US"/>
    </w:rPr>
  </w:style>
  <w:style w:type="character" w:styleId="Hyperlink">
    <w:name w:val="Hyperlink"/>
    <w:uiPriority w:val="99"/>
    <w:rsid w:val="004307F3"/>
    <w:rPr>
      <w:color w:val="0000FF"/>
      <w:u w:val="single"/>
    </w:rPr>
  </w:style>
  <w:style w:type="character" w:customStyle="1" w:styleId="BodySubheadChar">
    <w:name w:val="Body Subhead Char"/>
    <w:link w:val="BodySubhead"/>
    <w:rsid w:val="00482CE7"/>
    <w:rPr>
      <w:rFonts w:ascii="Arial" w:hAnsi="Arial"/>
      <w:color w:val="808080"/>
      <w:sz w:val="24"/>
      <w:szCs w:val="24"/>
      <w:lang w:val="lv-LV" w:eastAsia="lv-LV" w:bidi="ar-SA"/>
    </w:rPr>
  </w:style>
  <w:style w:type="paragraph" w:styleId="ListNumber">
    <w:name w:val="List Number"/>
    <w:basedOn w:val="Normal"/>
    <w:rsid w:val="00CB56C4"/>
    <w:pPr>
      <w:numPr>
        <w:numId w:val="2"/>
      </w:numPr>
      <w:spacing w:after="120"/>
    </w:pPr>
  </w:style>
  <w:style w:type="paragraph" w:styleId="Title">
    <w:name w:val="Title"/>
    <w:basedOn w:val="Normal"/>
    <w:qFormat/>
    <w:rsid w:val="005370CF"/>
    <w:pPr>
      <w:outlineLvl w:val="0"/>
    </w:pPr>
    <w:rPr>
      <w:rFonts w:cs="Arial"/>
      <w:bCs/>
      <w:kern w:val="28"/>
      <w:sz w:val="36"/>
      <w:szCs w:val="32"/>
    </w:rPr>
  </w:style>
  <w:style w:type="paragraph" w:styleId="Subtitle">
    <w:name w:val="Subtitle"/>
    <w:basedOn w:val="Normal"/>
    <w:qFormat/>
    <w:rsid w:val="00227144"/>
    <w:pPr>
      <w:outlineLvl w:val="1"/>
    </w:pPr>
    <w:rPr>
      <w:rFonts w:cs="Arial"/>
      <w:color w:val="000000"/>
      <w:sz w:val="28"/>
    </w:rPr>
  </w:style>
  <w:style w:type="paragraph" w:customStyle="1" w:styleId="TableText">
    <w:name w:val="Table Text"/>
    <w:basedOn w:val="Normal"/>
    <w:rsid w:val="00057F33"/>
    <w:pPr>
      <w:spacing w:before="60" w:after="60"/>
    </w:pPr>
    <w:rPr>
      <w:sz w:val="18"/>
      <w:szCs w:val="20"/>
      <w:lang w:val="en-US" w:eastAsia="en-US"/>
    </w:rPr>
  </w:style>
  <w:style w:type="paragraph" w:styleId="ListBullet2">
    <w:name w:val="List Bullet 2"/>
    <w:basedOn w:val="Normal"/>
    <w:rsid w:val="003C61E9"/>
    <w:pPr>
      <w:numPr>
        <w:numId w:val="7"/>
      </w:numPr>
      <w:spacing w:before="120" w:after="120"/>
      <w:ind w:left="641" w:hanging="357"/>
      <w:contextualSpacing/>
    </w:pPr>
  </w:style>
  <w:style w:type="paragraph" w:styleId="ListBullet">
    <w:name w:val="List Bullet"/>
    <w:basedOn w:val="Normal"/>
    <w:rsid w:val="003C61E9"/>
    <w:pPr>
      <w:numPr>
        <w:numId w:val="1"/>
      </w:numPr>
      <w:spacing w:before="120" w:after="120"/>
      <w:contextualSpacing/>
    </w:pPr>
  </w:style>
  <w:style w:type="paragraph" w:styleId="ListBullet3">
    <w:name w:val="List Bullet 3"/>
    <w:basedOn w:val="Normal"/>
    <w:rsid w:val="003C61E9"/>
    <w:pPr>
      <w:numPr>
        <w:numId w:val="8"/>
      </w:numPr>
      <w:spacing w:before="120" w:after="120"/>
      <w:ind w:left="924" w:hanging="357"/>
      <w:contextualSpacing/>
    </w:pPr>
  </w:style>
  <w:style w:type="character" w:customStyle="1" w:styleId="FooterChar">
    <w:name w:val="Footer Char"/>
    <w:basedOn w:val="DefaultParagraphFont"/>
    <w:link w:val="Footer"/>
    <w:uiPriority w:val="99"/>
    <w:rsid w:val="002C6C52"/>
    <w:rPr>
      <w:rFonts w:ascii="Arial" w:hAnsi="Arial"/>
      <w:sz w:val="16"/>
      <w:szCs w:val="24"/>
    </w:rPr>
  </w:style>
  <w:style w:type="paragraph" w:customStyle="1" w:styleId="CaptionRight">
    <w:name w:val="Caption + Right"/>
    <w:basedOn w:val="Caption"/>
    <w:next w:val="BodyText"/>
    <w:rsid w:val="00CE54BE"/>
    <w:pPr>
      <w:jc w:val="right"/>
    </w:pPr>
  </w:style>
  <w:style w:type="paragraph" w:customStyle="1" w:styleId="BodyTextRight">
    <w:name w:val="Body Text + Right"/>
    <w:basedOn w:val="BodyText"/>
    <w:next w:val="BodyText"/>
    <w:rsid w:val="00CE54BE"/>
    <w:pPr>
      <w:jc w:val="right"/>
    </w:pPr>
    <w:rPr>
      <w:szCs w:val="20"/>
    </w:rPr>
  </w:style>
  <w:style w:type="character" w:customStyle="1" w:styleId="BodyTextChar">
    <w:name w:val="Body Text Char"/>
    <w:link w:val="BodyText"/>
    <w:rsid w:val="009602EC"/>
    <w:rPr>
      <w:rFonts w:ascii="Arial" w:hAnsi="Arial"/>
      <w:szCs w:val="24"/>
    </w:rPr>
  </w:style>
  <w:style w:type="paragraph" w:customStyle="1" w:styleId="BodySubhead2">
    <w:name w:val="Body Subhead 2"/>
    <w:basedOn w:val="BodySubhead"/>
    <w:next w:val="BodyText"/>
    <w:link w:val="BodySubhead2Char"/>
    <w:rsid w:val="003450A4"/>
    <w:rPr>
      <w:b/>
      <w:sz w:val="20"/>
      <w:lang w:val="en-US"/>
    </w:rPr>
  </w:style>
  <w:style w:type="paragraph" w:customStyle="1" w:styleId="TableNumber">
    <w:name w:val="Table Number"/>
    <w:basedOn w:val="TableText"/>
    <w:rsid w:val="001907BE"/>
    <w:pPr>
      <w:numPr>
        <w:numId w:val="4"/>
      </w:numPr>
    </w:pPr>
  </w:style>
  <w:style w:type="numbering" w:customStyle="1" w:styleId="TableBullet">
    <w:name w:val="Table Bullet"/>
    <w:basedOn w:val="NoList"/>
    <w:rsid w:val="001B4C51"/>
    <w:pPr>
      <w:numPr>
        <w:numId w:val="5"/>
      </w:numPr>
    </w:pPr>
  </w:style>
  <w:style w:type="character" w:customStyle="1" w:styleId="BodySubhead2Char">
    <w:name w:val="Body Subhead 2 Char"/>
    <w:link w:val="BodySubhead2"/>
    <w:rsid w:val="003450A4"/>
    <w:rPr>
      <w:rFonts w:ascii="Arial" w:hAnsi="Arial"/>
      <w:b/>
      <w:color w:val="808080"/>
      <w:sz w:val="24"/>
      <w:szCs w:val="24"/>
      <w:lang w:val="en-US" w:eastAsia="lv-LV" w:bidi="ar-SA"/>
    </w:rPr>
  </w:style>
  <w:style w:type="paragraph" w:customStyle="1" w:styleId="BodySubhead3">
    <w:name w:val="Body Subhead 3"/>
    <w:basedOn w:val="BodySubhead"/>
    <w:rsid w:val="00F3167F"/>
    <w:rPr>
      <w:b/>
      <w:color w:val="auto"/>
      <w:sz w:val="20"/>
      <w:lang w:val="en-US"/>
    </w:rPr>
  </w:style>
  <w:style w:type="paragraph" w:customStyle="1" w:styleId="ISBodyText">
    <w:name w:val="IS Body Text"/>
    <w:basedOn w:val="Normal"/>
    <w:link w:val="ISBodyTextChar"/>
    <w:uiPriority w:val="99"/>
    <w:qFormat/>
    <w:rsid w:val="00295E2C"/>
    <w:pPr>
      <w:overflowPunct w:val="0"/>
      <w:autoSpaceDE w:val="0"/>
      <w:autoSpaceDN w:val="0"/>
      <w:adjustRightInd w:val="0"/>
      <w:spacing w:before="60" w:after="60"/>
      <w:jc w:val="both"/>
      <w:textAlignment w:val="baseline"/>
    </w:pPr>
    <w:rPr>
      <w:rFonts w:ascii="Calibri" w:eastAsia="MS Mincho" w:hAnsi="Calibri" w:cs="Arial"/>
      <w:bCs/>
      <w:sz w:val="22"/>
      <w:szCs w:val="20"/>
      <w:lang w:eastAsia="en-US"/>
    </w:rPr>
  </w:style>
  <w:style w:type="character" w:customStyle="1" w:styleId="CaptionChar">
    <w:name w:val="Caption Char"/>
    <w:basedOn w:val="DefaultParagraphFont"/>
    <w:link w:val="Caption"/>
    <w:uiPriority w:val="35"/>
    <w:locked/>
    <w:rsid w:val="00295E2C"/>
    <w:rPr>
      <w:rFonts w:ascii="Arial" w:hAnsi="Arial"/>
      <w:b/>
      <w:bCs/>
    </w:rPr>
  </w:style>
  <w:style w:type="table" w:customStyle="1" w:styleId="TableGridComplex">
    <w:name w:val="Table Grid Complex"/>
    <w:basedOn w:val="TableGrid"/>
    <w:uiPriority w:val="99"/>
    <w:rsid w:val="00295E2C"/>
    <w:pPr>
      <w:spacing w:before="60" w:after="60"/>
    </w:pPr>
    <w:rPr>
      <w:rFonts w:ascii="Calibri" w:hAnsi="Calibri" w:cs="Arial Narrow"/>
    </w:rPr>
    <w:tblPr>
      <w:tblStyleRowBandSize w:val="1"/>
      <w:tblInd w:w="0" w:type="dxa"/>
      <w:tblBorders>
        <w:top w:val="single" w:sz="8" w:space="0" w:color="999999"/>
        <w:bottom w:val="single" w:sz="8" w:space="0" w:color="999999"/>
      </w:tblBorders>
      <w:tblCellMar>
        <w:top w:w="0" w:type="dxa"/>
        <w:left w:w="57" w:type="dxa"/>
        <w:bottom w:w="0" w:type="dxa"/>
        <w:right w:w="57" w:type="dxa"/>
      </w:tblCellMar>
    </w:tblPr>
    <w:tblStylePr w:type="firstRow">
      <w:rPr>
        <w:rFonts w:ascii="Calibri" w:eastAsia="Times New Roman" w:hAnsi="Calibri" w:cs="Segoe Condensed"/>
        <w:b/>
        <w:bCs/>
        <w:sz w:val="18"/>
      </w:rPr>
      <w:tblPr/>
      <w:tcPr>
        <w:tcBorders>
          <w:top w:val="single" w:sz="12" w:space="0" w:color="999999"/>
          <w:bottom w:val="single" w:sz="12" w:space="0" w:color="999999"/>
        </w:tcBorders>
        <w:shd w:val="clear" w:color="auto" w:fill="E6E6E6"/>
      </w:tcPr>
    </w:tblStylePr>
    <w:tblStylePr w:type="lastRow">
      <w:rPr>
        <w:rFonts w:ascii="Calibri" w:eastAsia="Times New Roman" w:hAnsi="Calibri" w:cs="Calibri"/>
        <w:sz w:val="18"/>
        <w:szCs w:val="18"/>
      </w:rPr>
      <w:tblPr/>
      <w:tcPr>
        <w:shd w:val="clear" w:color="auto" w:fill="E6E6E6"/>
      </w:tcPr>
    </w:tblStylePr>
    <w:tblStylePr w:type="firstCol">
      <w:rPr>
        <w:rFonts w:ascii="Calibri" w:eastAsia="Times New Roman" w:hAnsi="Calibri" w:cs="Calibri"/>
        <w:sz w:val="18"/>
        <w:szCs w:val="18"/>
      </w:rPr>
    </w:tblStylePr>
    <w:tblStylePr w:type="lastCol">
      <w:rPr>
        <w:rFonts w:ascii="Calibri" w:eastAsia="Times New Roman" w:hAnsi="Calibri" w:cs="Calibri"/>
        <w:sz w:val="18"/>
        <w:szCs w:val="18"/>
      </w:rPr>
      <w:tblPr/>
      <w:tcPr>
        <w:shd w:val="clear" w:color="auto" w:fill="E6E6E6"/>
      </w:tcPr>
    </w:tblStylePr>
    <w:tblStylePr w:type="band1Horz">
      <w:rPr>
        <w:rFonts w:ascii="Calibri" w:hAnsi="Calibri" w:cs="Calibri"/>
        <w:sz w:val="18"/>
        <w:szCs w:val="18"/>
      </w:rPr>
      <w:tblPr/>
      <w:tcPr>
        <w:tcBorders>
          <w:top w:val="single" w:sz="8" w:space="0" w:color="999999"/>
          <w:bottom w:val="single" w:sz="8" w:space="0" w:color="999999"/>
          <w:insideH w:val="single" w:sz="8" w:space="0" w:color="999999"/>
        </w:tcBorders>
      </w:tcPr>
    </w:tblStylePr>
    <w:tblStylePr w:type="band2Horz">
      <w:rPr>
        <w:rFonts w:ascii="Calibri" w:eastAsia="Times New Roman" w:hAnsi="Calibri" w:cs="Calibri"/>
        <w:sz w:val="18"/>
        <w:szCs w:val="18"/>
      </w:rPr>
    </w:tblStylePr>
  </w:style>
  <w:style w:type="character" w:customStyle="1" w:styleId="ISBodyTextChar">
    <w:name w:val="IS Body Text Char"/>
    <w:basedOn w:val="DefaultParagraphFont"/>
    <w:link w:val="ISBodyText"/>
    <w:uiPriority w:val="99"/>
    <w:locked/>
    <w:rsid w:val="00295E2C"/>
    <w:rPr>
      <w:rFonts w:ascii="Calibri" w:eastAsia="MS Mincho" w:hAnsi="Calibri" w:cs="Arial"/>
      <w:bCs/>
      <w:sz w:val="22"/>
      <w:lang w:eastAsia="en-US"/>
    </w:rPr>
  </w:style>
  <w:style w:type="paragraph" w:styleId="Salutation">
    <w:name w:val="Salutation"/>
    <w:basedOn w:val="Normal"/>
    <w:next w:val="Normal"/>
    <w:link w:val="SalutationChar"/>
    <w:rsid w:val="00295E2C"/>
  </w:style>
  <w:style w:type="character" w:customStyle="1" w:styleId="SalutationChar">
    <w:name w:val="Salutation Char"/>
    <w:basedOn w:val="DefaultParagraphFont"/>
    <w:link w:val="Salutation"/>
    <w:rsid w:val="00295E2C"/>
    <w:rPr>
      <w:rFonts w:ascii="Arial" w:hAnsi="Arial"/>
      <w:szCs w:val="24"/>
    </w:rPr>
  </w:style>
  <w:style w:type="table" w:styleId="TableGrid">
    <w:name w:val="Table Grid"/>
    <w:basedOn w:val="TableNormal"/>
    <w:uiPriority w:val="59"/>
    <w:rsid w:val="00295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1 Char,Footnote Text Char Char Char,Footnote Text Char1 Char Char1 Char,Footnote Text Char Char Char Char Char,Footnote Text Char Char Char Char Char Char Char Char,Footnote,Fußnote,Schriftart: 9 pt,Schriftart: 10 pt,Fußn"/>
    <w:basedOn w:val="Normal"/>
    <w:link w:val="FootnoteTextChar"/>
    <w:uiPriority w:val="99"/>
    <w:rsid w:val="00624781"/>
    <w:rPr>
      <w:sz w:val="18"/>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ußnote Char"/>
    <w:basedOn w:val="DefaultParagraphFont"/>
    <w:link w:val="FootnoteText"/>
    <w:uiPriority w:val="99"/>
    <w:rsid w:val="00624781"/>
    <w:rPr>
      <w:rFonts w:ascii="Arial" w:hAnsi="Arial"/>
      <w:sz w:val="18"/>
    </w:rPr>
  </w:style>
  <w:style w:type="character" w:styleId="FootnoteReference">
    <w:name w:val="footnote reference"/>
    <w:aliases w:val="Footnote Reference Number,Footnote symbol,Footnote Reference Superscript,Footnote Refernece,ftref,SUPERS"/>
    <w:basedOn w:val="DefaultParagraphFont"/>
    <w:uiPriority w:val="99"/>
    <w:rsid w:val="00295E2C"/>
    <w:rPr>
      <w:vertAlign w:val="superscript"/>
    </w:rPr>
  </w:style>
  <w:style w:type="paragraph" w:customStyle="1" w:styleId="ISBulletText">
    <w:name w:val="IS Bullet Text"/>
    <w:basedOn w:val="ISBodyText"/>
    <w:link w:val="ISBulletTextChar"/>
    <w:uiPriority w:val="99"/>
    <w:qFormat/>
    <w:rsid w:val="007B0ED2"/>
    <w:pPr>
      <w:numPr>
        <w:numId w:val="9"/>
      </w:numPr>
      <w:tabs>
        <w:tab w:val="num" w:pos="360"/>
      </w:tabs>
      <w:ind w:left="0" w:right="28" w:firstLine="0"/>
    </w:pPr>
    <w:rPr>
      <w:bCs w:val="0"/>
    </w:rPr>
  </w:style>
  <w:style w:type="character" w:customStyle="1" w:styleId="ISBulletTextChar">
    <w:name w:val="IS Bullet Text Char"/>
    <w:basedOn w:val="DefaultParagraphFont"/>
    <w:link w:val="ISBulletText"/>
    <w:uiPriority w:val="99"/>
    <w:locked/>
    <w:rsid w:val="007B0ED2"/>
    <w:rPr>
      <w:rFonts w:ascii="Calibri" w:eastAsia="MS Mincho" w:hAnsi="Calibri" w:cs="Arial"/>
      <w:sz w:val="22"/>
      <w:lang w:eastAsia="en-US"/>
    </w:rPr>
  </w:style>
  <w:style w:type="paragraph" w:styleId="ListParagraph">
    <w:name w:val="List Paragraph"/>
    <w:basedOn w:val="Normal"/>
    <w:link w:val="ListParagraphChar"/>
    <w:uiPriority w:val="34"/>
    <w:qFormat/>
    <w:rsid w:val="001C6CC8"/>
    <w:pPr>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Bullets">
    <w:name w:val="Bullets"/>
    <w:rsid w:val="007B0E39"/>
    <w:pPr>
      <w:numPr>
        <w:numId w:val="10"/>
      </w:numPr>
    </w:pPr>
  </w:style>
  <w:style w:type="character" w:customStyle="1" w:styleId="ListParagraphChar">
    <w:name w:val="List Paragraph Char"/>
    <w:basedOn w:val="DefaultParagraphFont"/>
    <w:link w:val="ListParagraph"/>
    <w:uiPriority w:val="34"/>
    <w:rsid w:val="007B0E39"/>
    <w:rPr>
      <w:rFonts w:asciiTheme="minorHAnsi" w:eastAsiaTheme="minorHAnsi" w:hAnsiTheme="minorHAnsi" w:cstheme="minorBidi"/>
      <w:sz w:val="22"/>
      <w:szCs w:val="22"/>
      <w:lang w:eastAsia="en-US"/>
    </w:rPr>
  </w:style>
  <w:style w:type="paragraph" w:customStyle="1" w:styleId="HeadingAppendixOld">
    <w:name w:val="Heading Appendix Old"/>
    <w:basedOn w:val="Normal"/>
    <w:next w:val="Normal"/>
    <w:rsid w:val="0033734E"/>
    <w:pPr>
      <w:keepNext/>
      <w:pageBreakBefore/>
      <w:numPr>
        <w:ilvl w:val="7"/>
        <w:numId w:val="11"/>
      </w:numPr>
      <w:spacing w:after="200" w:line="276" w:lineRule="auto"/>
    </w:pPr>
    <w:rPr>
      <w:rFonts w:ascii="Arial Black" w:eastAsia="Arial Black" w:hAnsi="Arial Black" w:cs="Arial Black"/>
      <w:smallCaps/>
      <w:color w:val="333333"/>
      <w:sz w:val="32"/>
      <w:szCs w:val="32"/>
      <w:lang w:eastAsia="en-US"/>
    </w:rPr>
  </w:style>
  <w:style w:type="paragraph" w:customStyle="1" w:styleId="HeadingPart">
    <w:name w:val="Heading Part"/>
    <w:basedOn w:val="Normal"/>
    <w:next w:val="Normal"/>
    <w:rsid w:val="0033734E"/>
    <w:pPr>
      <w:pageBreakBefore/>
      <w:numPr>
        <w:ilvl w:val="8"/>
        <w:numId w:val="11"/>
      </w:numPr>
      <w:spacing w:before="480" w:after="200" w:line="276" w:lineRule="auto"/>
      <w:outlineLvl w:val="8"/>
    </w:pPr>
    <w:rPr>
      <w:rFonts w:ascii="Arial Black" w:eastAsia="Arial Black" w:hAnsi="Arial Black" w:cs="Arial Black"/>
      <w:b/>
      <w:smallCaps/>
      <w:color w:val="333333"/>
      <w:sz w:val="32"/>
      <w:szCs w:val="32"/>
      <w:lang w:eastAsia="en-US"/>
    </w:rPr>
  </w:style>
  <w:style w:type="character" w:styleId="CommentReference">
    <w:name w:val="annotation reference"/>
    <w:basedOn w:val="DefaultParagraphFont"/>
    <w:rsid w:val="00C25D3C"/>
    <w:rPr>
      <w:sz w:val="16"/>
      <w:szCs w:val="16"/>
    </w:rPr>
  </w:style>
  <w:style w:type="paragraph" w:styleId="CommentText">
    <w:name w:val="annotation text"/>
    <w:basedOn w:val="Normal"/>
    <w:link w:val="CommentTextChar"/>
    <w:rsid w:val="00C25D3C"/>
    <w:rPr>
      <w:szCs w:val="20"/>
    </w:rPr>
  </w:style>
  <w:style w:type="character" w:customStyle="1" w:styleId="CommentTextChar">
    <w:name w:val="Comment Text Char"/>
    <w:basedOn w:val="DefaultParagraphFont"/>
    <w:link w:val="CommentText"/>
    <w:rsid w:val="00C25D3C"/>
    <w:rPr>
      <w:rFonts w:ascii="Arial" w:hAnsi="Arial"/>
    </w:rPr>
  </w:style>
  <w:style w:type="paragraph" w:styleId="CommentSubject">
    <w:name w:val="annotation subject"/>
    <w:basedOn w:val="CommentText"/>
    <w:next w:val="CommentText"/>
    <w:link w:val="CommentSubjectChar"/>
    <w:rsid w:val="00C25D3C"/>
    <w:rPr>
      <w:b/>
      <w:bCs/>
    </w:rPr>
  </w:style>
  <w:style w:type="character" w:customStyle="1" w:styleId="CommentSubjectChar">
    <w:name w:val="Comment Subject Char"/>
    <w:basedOn w:val="CommentTextChar"/>
    <w:link w:val="CommentSubject"/>
    <w:rsid w:val="00C25D3C"/>
    <w:rPr>
      <w:rFonts w:ascii="Arial" w:hAnsi="Arial"/>
      <w:b/>
      <w:bCs/>
    </w:rPr>
  </w:style>
  <w:style w:type="paragraph" w:customStyle="1" w:styleId="EYNumber">
    <w:name w:val="EY Number"/>
    <w:basedOn w:val="Normal"/>
    <w:rsid w:val="00F11C28"/>
    <w:pPr>
      <w:numPr>
        <w:numId w:val="16"/>
      </w:numPr>
      <w:spacing w:after="240"/>
    </w:pPr>
    <w:rPr>
      <w:rFonts w:ascii="EYInterstate Light" w:hAnsi="EYInterstate Light"/>
      <w:kern w:val="12"/>
      <w:lang w:eastAsia="en-US"/>
    </w:rPr>
  </w:style>
  <w:style w:type="paragraph" w:customStyle="1" w:styleId="EYLetter">
    <w:name w:val="EY Letter"/>
    <w:basedOn w:val="EYNumber"/>
    <w:rsid w:val="00F11C28"/>
    <w:pPr>
      <w:numPr>
        <w:ilvl w:val="1"/>
      </w:numPr>
    </w:pPr>
  </w:style>
  <w:style w:type="paragraph" w:customStyle="1" w:styleId="EYRoman">
    <w:name w:val="EY Roman"/>
    <w:basedOn w:val="EYNumber"/>
    <w:rsid w:val="00F11C28"/>
    <w:pPr>
      <w:numPr>
        <w:ilvl w:val="2"/>
      </w:numPr>
    </w:pPr>
  </w:style>
  <w:style w:type="paragraph" w:customStyle="1" w:styleId="EYTableNormal">
    <w:name w:val="EY Table Normal"/>
    <w:basedOn w:val="Normal"/>
    <w:autoRedefine/>
    <w:rsid w:val="00F11C28"/>
    <w:rPr>
      <w:rFonts w:ascii="EYInterstate Light" w:hAnsi="EYInterstate Light"/>
      <w:sz w:val="16"/>
      <w:lang w:eastAsia="en-US"/>
    </w:rPr>
  </w:style>
  <w:style w:type="paragraph" w:customStyle="1" w:styleId="EYTableText">
    <w:name w:val="EY Table Text"/>
    <w:basedOn w:val="EYTableNormal"/>
    <w:rsid w:val="00F11C28"/>
    <w:pPr>
      <w:spacing w:before="20" w:after="20"/>
    </w:pPr>
  </w:style>
  <w:style w:type="paragraph" w:customStyle="1" w:styleId="EYTableHeading">
    <w:name w:val="EY Table Heading"/>
    <w:basedOn w:val="EYTableText"/>
    <w:rsid w:val="00F11C28"/>
    <w:pPr>
      <w:spacing w:before="60" w:after="60"/>
    </w:pPr>
    <w:rPr>
      <w:rFonts w:ascii="EYInterstate" w:hAnsi="EYInterstate"/>
      <w:b/>
      <w:color w:val="7F7E82"/>
    </w:rPr>
  </w:style>
  <w:style w:type="paragraph" w:customStyle="1" w:styleId="EYTableHeadingWhite">
    <w:name w:val="EY Table Heading (White)"/>
    <w:basedOn w:val="EYTableHeading"/>
    <w:rsid w:val="00F11C28"/>
    <w:rPr>
      <w:bCs/>
      <w:color w:val="FFFFFF"/>
    </w:rPr>
  </w:style>
  <w:style w:type="paragraph" w:customStyle="1" w:styleId="Default">
    <w:name w:val="Default"/>
    <w:rsid w:val="00F11C28"/>
    <w:pPr>
      <w:autoSpaceDE w:val="0"/>
      <w:autoSpaceDN w:val="0"/>
      <w:adjustRightInd w:val="0"/>
    </w:pPr>
    <w:rPr>
      <w:color w:val="000000"/>
      <w:sz w:val="24"/>
      <w:szCs w:val="24"/>
    </w:rPr>
  </w:style>
  <w:style w:type="paragraph" w:styleId="Revision">
    <w:name w:val="Revision"/>
    <w:hidden/>
    <w:uiPriority w:val="99"/>
    <w:semiHidden/>
    <w:rsid w:val="00E13283"/>
    <w:rPr>
      <w:rFonts w:ascii="Arial" w:hAnsi="Arial"/>
      <w:szCs w:val="24"/>
    </w:rPr>
  </w:style>
  <w:style w:type="paragraph" w:styleId="NormalWeb">
    <w:name w:val="Normal (Web)"/>
    <w:basedOn w:val="Normal"/>
    <w:uiPriority w:val="99"/>
    <w:unhideWhenUsed/>
    <w:rsid w:val="006309D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662">
      <w:bodyDiv w:val="1"/>
      <w:marLeft w:val="0"/>
      <w:marRight w:val="0"/>
      <w:marTop w:val="0"/>
      <w:marBottom w:val="0"/>
      <w:divBdr>
        <w:top w:val="none" w:sz="0" w:space="0" w:color="auto"/>
        <w:left w:val="none" w:sz="0" w:space="0" w:color="auto"/>
        <w:bottom w:val="none" w:sz="0" w:space="0" w:color="auto"/>
        <w:right w:val="none" w:sz="0" w:space="0" w:color="auto"/>
      </w:divBdr>
    </w:div>
    <w:div w:id="299194695">
      <w:bodyDiv w:val="1"/>
      <w:marLeft w:val="0"/>
      <w:marRight w:val="0"/>
      <w:marTop w:val="0"/>
      <w:marBottom w:val="0"/>
      <w:divBdr>
        <w:top w:val="none" w:sz="0" w:space="0" w:color="auto"/>
        <w:left w:val="none" w:sz="0" w:space="0" w:color="auto"/>
        <w:bottom w:val="none" w:sz="0" w:space="0" w:color="auto"/>
        <w:right w:val="none" w:sz="0" w:space="0" w:color="auto"/>
      </w:divBdr>
    </w:div>
    <w:div w:id="501967808">
      <w:bodyDiv w:val="1"/>
      <w:marLeft w:val="0"/>
      <w:marRight w:val="0"/>
      <w:marTop w:val="0"/>
      <w:marBottom w:val="0"/>
      <w:divBdr>
        <w:top w:val="none" w:sz="0" w:space="0" w:color="auto"/>
        <w:left w:val="none" w:sz="0" w:space="0" w:color="auto"/>
        <w:bottom w:val="none" w:sz="0" w:space="0" w:color="auto"/>
        <w:right w:val="none" w:sz="0" w:space="0" w:color="auto"/>
      </w:divBdr>
    </w:div>
    <w:div w:id="895975082">
      <w:bodyDiv w:val="1"/>
      <w:marLeft w:val="0"/>
      <w:marRight w:val="0"/>
      <w:marTop w:val="0"/>
      <w:marBottom w:val="0"/>
      <w:divBdr>
        <w:top w:val="none" w:sz="0" w:space="0" w:color="auto"/>
        <w:left w:val="none" w:sz="0" w:space="0" w:color="auto"/>
        <w:bottom w:val="none" w:sz="0" w:space="0" w:color="auto"/>
        <w:right w:val="none" w:sz="0" w:space="0" w:color="auto"/>
      </w:divBdr>
      <w:divsChild>
        <w:div w:id="175462876">
          <w:marLeft w:val="0"/>
          <w:marRight w:val="0"/>
          <w:marTop w:val="0"/>
          <w:marBottom w:val="0"/>
          <w:divBdr>
            <w:top w:val="none" w:sz="0" w:space="0" w:color="auto"/>
            <w:left w:val="none" w:sz="0" w:space="0" w:color="auto"/>
            <w:bottom w:val="none" w:sz="0" w:space="0" w:color="auto"/>
            <w:right w:val="none" w:sz="0" w:space="0" w:color="auto"/>
          </w:divBdr>
        </w:div>
        <w:div w:id="303780394">
          <w:marLeft w:val="0"/>
          <w:marRight w:val="0"/>
          <w:marTop w:val="0"/>
          <w:marBottom w:val="0"/>
          <w:divBdr>
            <w:top w:val="none" w:sz="0" w:space="0" w:color="auto"/>
            <w:left w:val="none" w:sz="0" w:space="0" w:color="auto"/>
            <w:bottom w:val="none" w:sz="0" w:space="0" w:color="auto"/>
            <w:right w:val="none" w:sz="0" w:space="0" w:color="auto"/>
          </w:divBdr>
        </w:div>
        <w:div w:id="317198004">
          <w:marLeft w:val="0"/>
          <w:marRight w:val="0"/>
          <w:marTop w:val="0"/>
          <w:marBottom w:val="0"/>
          <w:divBdr>
            <w:top w:val="none" w:sz="0" w:space="0" w:color="auto"/>
            <w:left w:val="none" w:sz="0" w:space="0" w:color="auto"/>
            <w:bottom w:val="none" w:sz="0" w:space="0" w:color="auto"/>
            <w:right w:val="none" w:sz="0" w:space="0" w:color="auto"/>
          </w:divBdr>
        </w:div>
        <w:div w:id="458652452">
          <w:marLeft w:val="0"/>
          <w:marRight w:val="0"/>
          <w:marTop w:val="0"/>
          <w:marBottom w:val="0"/>
          <w:divBdr>
            <w:top w:val="none" w:sz="0" w:space="0" w:color="auto"/>
            <w:left w:val="none" w:sz="0" w:space="0" w:color="auto"/>
            <w:bottom w:val="none" w:sz="0" w:space="0" w:color="auto"/>
            <w:right w:val="none" w:sz="0" w:space="0" w:color="auto"/>
          </w:divBdr>
        </w:div>
        <w:div w:id="804735291">
          <w:marLeft w:val="0"/>
          <w:marRight w:val="0"/>
          <w:marTop w:val="0"/>
          <w:marBottom w:val="0"/>
          <w:divBdr>
            <w:top w:val="none" w:sz="0" w:space="0" w:color="auto"/>
            <w:left w:val="none" w:sz="0" w:space="0" w:color="auto"/>
            <w:bottom w:val="none" w:sz="0" w:space="0" w:color="auto"/>
            <w:right w:val="none" w:sz="0" w:space="0" w:color="auto"/>
          </w:divBdr>
        </w:div>
        <w:div w:id="854154115">
          <w:marLeft w:val="0"/>
          <w:marRight w:val="0"/>
          <w:marTop w:val="0"/>
          <w:marBottom w:val="0"/>
          <w:divBdr>
            <w:top w:val="none" w:sz="0" w:space="0" w:color="auto"/>
            <w:left w:val="none" w:sz="0" w:space="0" w:color="auto"/>
            <w:bottom w:val="none" w:sz="0" w:space="0" w:color="auto"/>
            <w:right w:val="none" w:sz="0" w:space="0" w:color="auto"/>
          </w:divBdr>
        </w:div>
        <w:div w:id="854418284">
          <w:marLeft w:val="0"/>
          <w:marRight w:val="0"/>
          <w:marTop w:val="0"/>
          <w:marBottom w:val="0"/>
          <w:divBdr>
            <w:top w:val="none" w:sz="0" w:space="0" w:color="auto"/>
            <w:left w:val="none" w:sz="0" w:space="0" w:color="auto"/>
            <w:bottom w:val="none" w:sz="0" w:space="0" w:color="auto"/>
            <w:right w:val="none" w:sz="0" w:space="0" w:color="auto"/>
          </w:divBdr>
        </w:div>
        <w:div w:id="874460686">
          <w:marLeft w:val="0"/>
          <w:marRight w:val="0"/>
          <w:marTop w:val="0"/>
          <w:marBottom w:val="0"/>
          <w:divBdr>
            <w:top w:val="none" w:sz="0" w:space="0" w:color="auto"/>
            <w:left w:val="none" w:sz="0" w:space="0" w:color="auto"/>
            <w:bottom w:val="none" w:sz="0" w:space="0" w:color="auto"/>
            <w:right w:val="none" w:sz="0" w:space="0" w:color="auto"/>
          </w:divBdr>
        </w:div>
        <w:div w:id="916860866">
          <w:marLeft w:val="0"/>
          <w:marRight w:val="0"/>
          <w:marTop w:val="0"/>
          <w:marBottom w:val="0"/>
          <w:divBdr>
            <w:top w:val="none" w:sz="0" w:space="0" w:color="auto"/>
            <w:left w:val="none" w:sz="0" w:space="0" w:color="auto"/>
            <w:bottom w:val="none" w:sz="0" w:space="0" w:color="auto"/>
            <w:right w:val="none" w:sz="0" w:space="0" w:color="auto"/>
          </w:divBdr>
        </w:div>
        <w:div w:id="1083456657">
          <w:marLeft w:val="0"/>
          <w:marRight w:val="0"/>
          <w:marTop w:val="0"/>
          <w:marBottom w:val="0"/>
          <w:divBdr>
            <w:top w:val="none" w:sz="0" w:space="0" w:color="auto"/>
            <w:left w:val="none" w:sz="0" w:space="0" w:color="auto"/>
            <w:bottom w:val="none" w:sz="0" w:space="0" w:color="auto"/>
            <w:right w:val="none" w:sz="0" w:space="0" w:color="auto"/>
          </w:divBdr>
        </w:div>
        <w:div w:id="1120880004">
          <w:marLeft w:val="0"/>
          <w:marRight w:val="0"/>
          <w:marTop w:val="0"/>
          <w:marBottom w:val="0"/>
          <w:divBdr>
            <w:top w:val="none" w:sz="0" w:space="0" w:color="auto"/>
            <w:left w:val="none" w:sz="0" w:space="0" w:color="auto"/>
            <w:bottom w:val="none" w:sz="0" w:space="0" w:color="auto"/>
            <w:right w:val="none" w:sz="0" w:space="0" w:color="auto"/>
          </w:divBdr>
        </w:div>
        <w:div w:id="1194222247">
          <w:marLeft w:val="0"/>
          <w:marRight w:val="0"/>
          <w:marTop w:val="0"/>
          <w:marBottom w:val="0"/>
          <w:divBdr>
            <w:top w:val="none" w:sz="0" w:space="0" w:color="auto"/>
            <w:left w:val="none" w:sz="0" w:space="0" w:color="auto"/>
            <w:bottom w:val="none" w:sz="0" w:space="0" w:color="auto"/>
            <w:right w:val="none" w:sz="0" w:space="0" w:color="auto"/>
          </w:divBdr>
        </w:div>
        <w:div w:id="1262421871">
          <w:marLeft w:val="0"/>
          <w:marRight w:val="0"/>
          <w:marTop w:val="0"/>
          <w:marBottom w:val="0"/>
          <w:divBdr>
            <w:top w:val="none" w:sz="0" w:space="0" w:color="auto"/>
            <w:left w:val="none" w:sz="0" w:space="0" w:color="auto"/>
            <w:bottom w:val="none" w:sz="0" w:space="0" w:color="auto"/>
            <w:right w:val="none" w:sz="0" w:space="0" w:color="auto"/>
          </w:divBdr>
        </w:div>
        <w:div w:id="1331526544">
          <w:marLeft w:val="0"/>
          <w:marRight w:val="0"/>
          <w:marTop w:val="0"/>
          <w:marBottom w:val="0"/>
          <w:divBdr>
            <w:top w:val="none" w:sz="0" w:space="0" w:color="auto"/>
            <w:left w:val="none" w:sz="0" w:space="0" w:color="auto"/>
            <w:bottom w:val="none" w:sz="0" w:space="0" w:color="auto"/>
            <w:right w:val="none" w:sz="0" w:space="0" w:color="auto"/>
          </w:divBdr>
        </w:div>
        <w:div w:id="1506019206">
          <w:marLeft w:val="0"/>
          <w:marRight w:val="0"/>
          <w:marTop w:val="0"/>
          <w:marBottom w:val="0"/>
          <w:divBdr>
            <w:top w:val="none" w:sz="0" w:space="0" w:color="auto"/>
            <w:left w:val="none" w:sz="0" w:space="0" w:color="auto"/>
            <w:bottom w:val="none" w:sz="0" w:space="0" w:color="auto"/>
            <w:right w:val="none" w:sz="0" w:space="0" w:color="auto"/>
          </w:divBdr>
        </w:div>
        <w:div w:id="1629580339">
          <w:marLeft w:val="0"/>
          <w:marRight w:val="0"/>
          <w:marTop w:val="0"/>
          <w:marBottom w:val="0"/>
          <w:divBdr>
            <w:top w:val="none" w:sz="0" w:space="0" w:color="auto"/>
            <w:left w:val="none" w:sz="0" w:space="0" w:color="auto"/>
            <w:bottom w:val="none" w:sz="0" w:space="0" w:color="auto"/>
            <w:right w:val="none" w:sz="0" w:space="0" w:color="auto"/>
          </w:divBdr>
        </w:div>
        <w:div w:id="1646202510">
          <w:marLeft w:val="0"/>
          <w:marRight w:val="0"/>
          <w:marTop w:val="0"/>
          <w:marBottom w:val="0"/>
          <w:divBdr>
            <w:top w:val="none" w:sz="0" w:space="0" w:color="auto"/>
            <w:left w:val="none" w:sz="0" w:space="0" w:color="auto"/>
            <w:bottom w:val="none" w:sz="0" w:space="0" w:color="auto"/>
            <w:right w:val="none" w:sz="0" w:space="0" w:color="auto"/>
          </w:divBdr>
        </w:div>
        <w:div w:id="1732846338">
          <w:marLeft w:val="0"/>
          <w:marRight w:val="0"/>
          <w:marTop w:val="0"/>
          <w:marBottom w:val="0"/>
          <w:divBdr>
            <w:top w:val="none" w:sz="0" w:space="0" w:color="auto"/>
            <w:left w:val="none" w:sz="0" w:space="0" w:color="auto"/>
            <w:bottom w:val="none" w:sz="0" w:space="0" w:color="auto"/>
            <w:right w:val="none" w:sz="0" w:space="0" w:color="auto"/>
          </w:divBdr>
        </w:div>
        <w:div w:id="1966155293">
          <w:marLeft w:val="0"/>
          <w:marRight w:val="0"/>
          <w:marTop w:val="0"/>
          <w:marBottom w:val="0"/>
          <w:divBdr>
            <w:top w:val="none" w:sz="0" w:space="0" w:color="auto"/>
            <w:left w:val="none" w:sz="0" w:space="0" w:color="auto"/>
            <w:bottom w:val="none" w:sz="0" w:space="0" w:color="auto"/>
            <w:right w:val="none" w:sz="0" w:space="0" w:color="auto"/>
          </w:divBdr>
        </w:div>
        <w:div w:id="1970739588">
          <w:marLeft w:val="0"/>
          <w:marRight w:val="0"/>
          <w:marTop w:val="0"/>
          <w:marBottom w:val="0"/>
          <w:divBdr>
            <w:top w:val="none" w:sz="0" w:space="0" w:color="auto"/>
            <w:left w:val="none" w:sz="0" w:space="0" w:color="auto"/>
            <w:bottom w:val="none" w:sz="0" w:space="0" w:color="auto"/>
            <w:right w:val="none" w:sz="0" w:space="0" w:color="auto"/>
          </w:divBdr>
        </w:div>
        <w:div w:id="2039893354">
          <w:marLeft w:val="0"/>
          <w:marRight w:val="0"/>
          <w:marTop w:val="0"/>
          <w:marBottom w:val="0"/>
          <w:divBdr>
            <w:top w:val="none" w:sz="0" w:space="0" w:color="auto"/>
            <w:left w:val="none" w:sz="0" w:space="0" w:color="auto"/>
            <w:bottom w:val="none" w:sz="0" w:space="0" w:color="auto"/>
            <w:right w:val="none" w:sz="0" w:space="0" w:color="auto"/>
          </w:divBdr>
        </w:div>
        <w:div w:id="2046053015">
          <w:marLeft w:val="0"/>
          <w:marRight w:val="0"/>
          <w:marTop w:val="0"/>
          <w:marBottom w:val="0"/>
          <w:divBdr>
            <w:top w:val="none" w:sz="0" w:space="0" w:color="auto"/>
            <w:left w:val="none" w:sz="0" w:space="0" w:color="auto"/>
            <w:bottom w:val="none" w:sz="0" w:space="0" w:color="auto"/>
            <w:right w:val="none" w:sz="0" w:space="0" w:color="auto"/>
          </w:divBdr>
        </w:div>
        <w:div w:id="2052654109">
          <w:marLeft w:val="0"/>
          <w:marRight w:val="0"/>
          <w:marTop w:val="0"/>
          <w:marBottom w:val="0"/>
          <w:divBdr>
            <w:top w:val="none" w:sz="0" w:space="0" w:color="auto"/>
            <w:left w:val="none" w:sz="0" w:space="0" w:color="auto"/>
            <w:bottom w:val="none" w:sz="0" w:space="0" w:color="auto"/>
            <w:right w:val="none" w:sz="0" w:space="0" w:color="auto"/>
          </w:divBdr>
        </w:div>
        <w:div w:id="207612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viis.lv:444/viiswebservice.asmx"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4.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rudolfs.kalvans@i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sfondi.lv/upload/00-vadlinijas/vadlinijas_2013/4.2.1.skaidrojums.pdf" TargetMode="External"/><Relationship Id="rId2" Type="http://schemas.openxmlformats.org/officeDocument/2006/relationships/hyperlink" Target="http://www.esfondi.lv/upload/00-vadlinijas/vadlinijas_2013/4.2.1.skaidrojums.pdf" TargetMode="External"/><Relationship Id="rId1" Type="http://schemas.openxmlformats.org/officeDocument/2006/relationships/hyperlink" Target="http://www.esfondi.lv/upload/00-vadlinijas/vadlinijas_2013/4.2.1.skaidrojums.pdf" TargetMode="External"/><Relationship Id="rId4" Type="http://schemas.openxmlformats.org/officeDocument/2006/relationships/hyperlink" Target="http://www.esfondi.lv/upload/00-vadlinijas/vadlinijas_2013/4.2.1.skaidroj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2F69-CCDA-46DC-A50B-652E6331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12372</Words>
  <Characters>92301</Characters>
  <Application>Microsoft Office Word</Application>
  <DocSecurity>0</DocSecurity>
  <Lines>2006</Lines>
  <Paragraphs>872</Paragraphs>
  <ScaleCrop>false</ScaleCrop>
  <HeadingPairs>
    <vt:vector size="2" baseType="variant">
      <vt:variant>
        <vt:lpstr>Title</vt:lpstr>
      </vt:variant>
      <vt:variant>
        <vt:i4>1</vt:i4>
      </vt:variant>
    </vt:vector>
  </HeadingPairs>
  <TitlesOfParts>
    <vt:vector size="1" baseType="lpstr">
      <vt:lpstr>Koncepcija</vt:lpstr>
    </vt:vector>
  </TitlesOfParts>
  <Company>IZM</Company>
  <LinksUpToDate>false</LinksUpToDate>
  <CharactersWithSpaces>103801</CharactersWithSpaces>
  <SharedDoc>false</SharedDoc>
  <HLinks>
    <vt:vector size="54" baseType="variant">
      <vt:variant>
        <vt:i4>1441853</vt:i4>
      </vt:variant>
      <vt:variant>
        <vt:i4>50</vt:i4>
      </vt:variant>
      <vt:variant>
        <vt:i4>0</vt:i4>
      </vt:variant>
      <vt:variant>
        <vt:i4>5</vt:i4>
      </vt:variant>
      <vt:variant>
        <vt:lpwstr/>
      </vt:variant>
      <vt:variant>
        <vt:lpwstr>_Toc209333512</vt:lpwstr>
      </vt:variant>
      <vt:variant>
        <vt:i4>1441853</vt:i4>
      </vt:variant>
      <vt:variant>
        <vt:i4>44</vt:i4>
      </vt:variant>
      <vt:variant>
        <vt:i4>0</vt:i4>
      </vt:variant>
      <vt:variant>
        <vt:i4>5</vt:i4>
      </vt:variant>
      <vt:variant>
        <vt:lpwstr/>
      </vt:variant>
      <vt:variant>
        <vt:lpwstr>_Toc209333511</vt:lpwstr>
      </vt:variant>
      <vt:variant>
        <vt:i4>1441853</vt:i4>
      </vt:variant>
      <vt:variant>
        <vt:i4>38</vt:i4>
      </vt:variant>
      <vt:variant>
        <vt:i4>0</vt:i4>
      </vt:variant>
      <vt:variant>
        <vt:i4>5</vt:i4>
      </vt:variant>
      <vt:variant>
        <vt:lpwstr/>
      </vt:variant>
      <vt:variant>
        <vt:lpwstr>_Toc209333510</vt:lpwstr>
      </vt:variant>
      <vt:variant>
        <vt:i4>1507389</vt:i4>
      </vt:variant>
      <vt:variant>
        <vt:i4>32</vt:i4>
      </vt:variant>
      <vt:variant>
        <vt:i4>0</vt:i4>
      </vt:variant>
      <vt:variant>
        <vt:i4>5</vt:i4>
      </vt:variant>
      <vt:variant>
        <vt:lpwstr/>
      </vt:variant>
      <vt:variant>
        <vt:lpwstr>_Toc209333509</vt:lpwstr>
      </vt:variant>
      <vt:variant>
        <vt:i4>1507389</vt:i4>
      </vt:variant>
      <vt:variant>
        <vt:i4>26</vt:i4>
      </vt:variant>
      <vt:variant>
        <vt:i4>0</vt:i4>
      </vt:variant>
      <vt:variant>
        <vt:i4>5</vt:i4>
      </vt:variant>
      <vt:variant>
        <vt:lpwstr/>
      </vt:variant>
      <vt:variant>
        <vt:lpwstr>_Toc209333508</vt:lpwstr>
      </vt:variant>
      <vt:variant>
        <vt:i4>1507389</vt:i4>
      </vt:variant>
      <vt:variant>
        <vt:i4>20</vt:i4>
      </vt:variant>
      <vt:variant>
        <vt:i4>0</vt:i4>
      </vt:variant>
      <vt:variant>
        <vt:i4>5</vt:i4>
      </vt:variant>
      <vt:variant>
        <vt:lpwstr/>
      </vt:variant>
      <vt:variant>
        <vt:lpwstr>_Toc209333507</vt:lpwstr>
      </vt:variant>
      <vt:variant>
        <vt:i4>1507389</vt:i4>
      </vt:variant>
      <vt:variant>
        <vt:i4>14</vt:i4>
      </vt:variant>
      <vt:variant>
        <vt:i4>0</vt:i4>
      </vt:variant>
      <vt:variant>
        <vt:i4>5</vt:i4>
      </vt:variant>
      <vt:variant>
        <vt:lpwstr/>
      </vt:variant>
      <vt:variant>
        <vt:lpwstr>_Toc209333506</vt:lpwstr>
      </vt:variant>
      <vt:variant>
        <vt:i4>1507389</vt:i4>
      </vt:variant>
      <vt:variant>
        <vt:i4>8</vt:i4>
      </vt:variant>
      <vt:variant>
        <vt:i4>0</vt:i4>
      </vt:variant>
      <vt:variant>
        <vt:i4>5</vt:i4>
      </vt:variant>
      <vt:variant>
        <vt:lpwstr/>
      </vt:variant>
      <vt:variant>
        <vt:lpwstr>_Toc209333505</vt:lpwstr>
      </vt:variant>
      <vt:variant>
        <vt:i4>1507389</vt:i4>
      </vt:variant>
      <vt:variant>
        <vt:i4>2</vt:i4>
      </vt:variant>
      <vt:variant>
        <vt:i4>0</vt:i4>
      </vt:variant>
      <vt:variant>
        <vt:i4>5</vt:i4>
      </vt:variant>
      <vt:variant>
        <vt:lpwstr/>
      </vt:variant>
      <vt:variant>
        <vt:lpwstr>_Toc209333504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Koncepcija</dc:title>
  <dc:creator>IZM</dc:creator>
  <cp:lastModifiedBy>rkalvans</cp:lastModifiedBy>
  <cp:revision>3</cp:revision>
  <cp:lastPrinted>2008-09-05T09:49:00Z</cp:lastPrinted>
  <dcterms:created xsi:type="dcterms:W3CDTF">2014-05-28T12:47:00Z</dcterms:created>
  <dcterms:modified xsi:type="dcterms:W3CDTF">2014-05-30T04:59:00Z</dcterms:modified>
</cp:coreProperties>
</file>