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4" w:rsidRPr="00EC5DE5" w:rsidRDefault="00C92784" w:rsidP="00C92784">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 xml:space="preserve">Ministru kabineta rīkojuma projekta </w:t>
      </w:r>
    </w:p>
    <w:p w:rsidR="00C92784" w:rsidRPr="00EC5DE5" w:rsidRDefault="00C92784" w:rsidP="00C92784">
      <w:pPr>
        <w:pStyle w:val="BodyText"/>
        <w:rPr>
          <w:szCs w:val="24"/>
          <w:lang w:val="lv-LV"/>
        </w:rPr>
      </w:pPr>
      <w:r w:rsidRPr="00EC5DE5">
        <w:rPr>
          <w:szCs w:val="24"/>
          <w:lang w:val="lv-LV"/>
        </w:rPr>
        <w:t xml:space="preserve">„Par finanšu līdzekļu piešķiršanu no valsts budžeta programmas  </w:t>
      </w:r>
    </w:p>
    <w:p w:rsidR="00C92784" w:rsidRPr="00EC5DE5" w:rsidRDefault="00C92784" w:rsidP="00C92784">
      <w:pPr>
        <w:pStyle w:val="BodyText"/>
        <w:rPr>
          <w:szCs w:val="24"/>
          <w:lang w:val="lv-LV"/>
        </w:rPr>
      </w:pPr>
      <w:r w:rsidRPr="00EC5DE5">
        <w:rPr>
          <w:szCs w:val="24"/>
          <w:lang w:val="lv-LV"/>
        </w:rPr>
        <w:t>"Līd</w:t>
      </w:r>
      <w:r w:rsidR="00C82AC6">
        <w:rPr>
          <w:szCs w:val="24"/>
          <w:lang w:val="lv-LV"/>
        </w:rPr>
        <w:t>zekļi neparedzētiem gadījumiem"</w:t>
      </w:r>
      <w:r w:rsidRPr="00EC5DE5">
        <w:rPr>
          <w:szCs w:val="24"/>
          <w:lang w:val="lv-LV"/>
        </w:rPr>
        <w:t xml:space="preserve">" </w:t>
      </w:r>
    </w:p>
    <w:p w:rsidR="00C92784" w:rsidRPr="00EC5DE5" w:rsidRDefault="00C92784" w:rsidP="00C92784">
      <w:pPr>
        <w:pStyle w:val="BodyText"/>
        <w:rPr>
          <w:szCs w:val="24"/>
          <w:lang w:val="lv-LV"/>
        </w:rPr>
      </w:pPr>
      <w:r w:rsidRPr="00EC5DE5">
        <w:rPr>
          <w:szCs w:val="24"/>
          <w:lang w:val="lv-LV" w:eastAsia="lv-LV"/>
        </w:rPr>
        <w:t>sākotnējās ietekmes novērtējuma ziņojums (anotācija)</w:t>
      </w:r>
    </w:p>
    <w:p w:rsidR="00C92784" w:rsidRPr="00EC5DE5" w:rsidRDefault="00C92784" w:rsidP="00C92784">
      <w:pPr>
        <w:spacing w:after="0" w:line="240" w:lineRule="auto"/>
        <w:jc w:val="center"/>
        <w:rPr>
          <w:rFonts w:ascii="Times New Roman" w:eastAsia="Times New Roman" w:hAnsi="Times New Roman"/>
          <w:b/>
          <w:sz w:val="24"/>
          <w:szCs w:val="24"/>
          <w:lang w:eastAsia="lv-LV"/>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6874"/>
      </w:tblGrid>
      <w:tr w:rsidR="00C92784" w:rsidRPr="00EC5DE5" w:rsidTr="0084703E">
        <w:tc>
          <w:tcPr>
            <w:tcW w:w="5000" w:type="pct"/>
            <w:gridSpan w:val="3"/>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 Tiesību akta projekta izstrādes nepieciešamība</w:t>
            </w:r>
          </w:p>
        </w:tc>
      </w:tr>
      <w:tr w:rsidR="00C92784" w:rsidRPr="00EC5DE5" w:rsidTr="003E4ABD">
        <w:trPr>
          <w:trHeight w:val="3190"/>
        </w:trPr>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Pamatojums</w:t>
            </w:r>
          </w:p>
        </w:tc>
        <w:tc>
          <w:tcPr>
            <w:tcW w:w="3773" w:type="pct"/>
            <w:vAlign w:val="center"/>
          </w:tcPr>
          <w:p w:rsidR="002D7F51" w:rsidRPr="00D4286F" w:rsidRDefault="00C92784" w:rsidP="002D7F51">
            <w:pPr>
              <w:pStyle w:val="BodyText"/>
              <w:jc w:val="both"/>
              <w:rPr>
                <w:b w:val="0"/>
                <w:szCs w:val="24"/>
                <w:lang w:val="lv-LV" w:eastAsia="lv-LV"/>
              </w:rPr>
            </w:pPr>
            <w:r w:rsidRPr="00D4286F">
              <w:rPr>
                <w:b w:val="0"/>
                <w:szCs w:val="24"/>
                <w:lang w:val="lv-LV" w:eastAsia="lv-LV"/>
              </w:rPr>
              <w:t>Rīkojuma projekts „</w:t>
            </w:r>
            <w:bookmarkStart w:id="0" w:name="OLE_LINK2"/>
            <w:bookmarkStart w:id="1" w:name="OLE_LINK1"/>
            <w:r w:rsidRPr="00D4286F">
              <w:rPr>
                <w:b w:val="0"/>
                <w:szCs w:val="24"/>
                <w:lang w:val="lv-LV" w:eastAsia="lv-LV"/>
              </w:rPr>
              <w:t>Par finanšu līdzekļu piešķiršanu no valsts budžeta programmas "Līdzekļi neparedzētiem gadījumiem"</w:t>
            </w:r>
            <w:bookmarkEnd w:id="0"/>
            <w:bookmarkEnd w:id="1"/>
            <w:r w:rsidRPr="00D4286F">
              <w:rPr>
                <w:b w:val="0"/>
                <w:szCs w:val="24"/>
                <w:lang w:val="lv-LV" w:eastAsia="lv-LV"/>
              </w:rPr>
              <w:t xml:space="preserve">” (turpmāk – rīkojuma projekts) izstrādāts, lai nodrošinātu papildus finansējuma piešķiršanu Labklājības ministrijai </w:t>
            </w:r>
            <w:r w:rsidR="00F927A3">
              <w:rPr>
                <w:b w:val="0"/>
                <w:szCs w:val="24"/>
                <w:lang w:val="lv-LV" w:eastAsia="lv-LV"/>
              </w:rPr>
              <w:t xml:space="preserve">125 171 </w:t>
            </w:r>
            <w:proofErr w:type="spellStart"/>
            <w:r w:rsidR="003E5C6A" w:rsidRPr="00D4286F">
              <w:rPr>
                <w:b w:val="0"/>
                <w:szCs w:val="24"/>
                <w:lang w:val="lv-LV" w:eastAsia="lv-LV"/>
              </w:rPr>
              <w:t>euro</w:t>
            </w:r>
            <w:proofErr w:type="spellEnd"/>
            <w:r w:rsidRPr="00D4286F">
              <w:rPr>
                <w:b w:val="0"/>
                <w:szCs w:val="24"/>
                <w:lang w:val="lv-LV" w:eastAsia="lv-LV"/>
              </w:rPr>
              <w:t xml:space="preserve"> apmērā 201</w:t>
            </w:r>
            <w:r w:rsidR="003E5C6A" w:rsidRPr="00D4286F">
              <w:rPr>
                <w:b w:val="0"/>
                <w:szCs w:val="24"/>
                <w:lang w:val="lv-LV" w:eastAsia="lv-LV"/>
              </w:rPr>
              <w:t>4</w:t>
            </w:r>
            <w:r w:rsidRPr="00D4286F">
              <w:rPr>
                <w:b w:val="0"/>
                <w:szCs w:val="24"/>
                <w:lang w:val="lv-LV" w:eastAsia="lv-LV"/>
              </w:rPr>
              <w:t xml:space="preserve">.gadā no 74.resora „Gadskārtēja valsts budžeta izpildes procesā pārdalāmais finansējums” programmas 02.00.00 „Līdzekļi neparedzētiem gadījumiem”, </w:t>
            </w:r>
            <w:r w:rsidR="004F4406" w:rsidRPr="00D4286F">
              <w:rPr>
                <w:b w:val="0"/>
                <w:szCs w:val="24"/>
                <w:lang w:val="lv-LV" w:eastAsia="lv-LV"/>
              </w:rPr>
              <w:t>lai nodrošinātu valsts sociālās aprūpes centra „Vidzeme” filiāles „Allaži”</w:t>
            </w:r>
            <w:r w:rsidR="00F927A3" w:rsidRPr="003519E8">
              <w:rPr>
                <w:b w:val="0"/>
                <w:sz w:val="28"/>
                <w:szCs w:val="28"/>
                <w:lang w:val="lv-LV"/>
              </w:rPr>
              <w:t xml:space="preserve"> </w:t>
            </w:r>
            <w:r w:rsidR="003065E2" w:rsidRPr="003065E2">
              <w:rPr>
                <w:b w:val="0"/>
                <w:szCs w:val="24"/>
                <w:lang w:val="lv-LV" w:eastAsia="lv-LV"/>
              </w:rPr>
              <w:t xml:space="preserve">avārijas </w:t>
            </w:r>
            <w:r w:rsidR="00CD0467">
              <w:rPr>
                <w:b w:val="0"/>
                <w:szCs w:val="24"/>
                <w:lang w:val="lv-LV" w:eastAsia="lv-LV"/>
              </w:rPr>
              <w:t>stāvoklī</w:t>
            </w:r>
            <w:r w:rsidR="003065E2" w:rsidRPr="003065E2">
              <w:rPr>
                <w:b w:val="0"/>
                <w:szCs w:val="24"/>
                <w:lang w:val="lv-LV" w:eastAsia="lv-LV"/>
              </w:rPr>
              <w:t xml:space="preserve"> esošās ēkas</w:t>
            </w:r>
            <w:r w:rsidR="004F4406" w:rsidRPr="00D4286F">
              <w:rPr>
                <w:b w:val="0"/>
                <w:szCs w:val="24"/>
                <w:lang w:val="lv-LV" w:eastAsia="lv-LV"/>
              </w:rPr>
              <w:t xml:space="preserve"> </w:t>
            </w:r>
            <w:r w:rsidR="002D7F51" w:rsidRPr="00D4286F">
              <w:rPr>
                <w:b w:val="0"/>
                <w:szCs w:val="24"/>
                <w:lang w:val="lv-LV" w:eastAsia="lv-LV"/>
              </w:rPr>
              <w:t>tehniskā projekta izstrādei un rekonstrukcijas uzsākšanai.</w:t>
            </w:r>
          </w:p>
          <w:p w:rsidR="003065E2" w:rsidRDefault="002D7F51" w:rsidP="002D7F51">
            <w:pPr>
              <w:spacing w:after="0" w:line="240" w:lineRule="auto"/>
              <w:jc w:val="both"/>
            </w:pPr>
            <w:r w:rsidRPr="00473DA4">
              <w:rPr>
                <w:rFonts w:ascii="Times New Roman" w:eastAsia="Times New Roman" w:hAnsi="Times New Roman"/>
                <w:sz w:val="24"/>
                <w:szCs w:val="24"/>
                <w:lang w:eastAsia="lv-LV"/>
              </w:rPr>
              <w:t xml:space="preserve">       Vienlaikus </w:t>
            </w:r>
            <w:r w:rsidRPr="00DB59AB">
              <w:rPr>
                <w:rFonts w:ascii="Times New Roman" w:eastAsia="Times New Roman" w:hAnsi="Times New Roman"/>
                <w:sz w:val="24"/>
                <w:szCs w:val="24"/>
                <w:lang w:eastAsia="lv-LV"/>
              </w:rPr>
              <w:t xml:space="preserve">ar rīkojuma projektu Labklājības ministrija ir sagatavojusi iesniegšanai </w:t>
            </w:r>
            <w:r>
              <w:rPr>
                <w:rFonts w:ascii="Times New Roman" w:eastAsia="Times New Roman" w:hAnsi="Times New Roman"/>
                <w:sz w:val="24"/>
                <w:szCs w:val="24"/>
                <w:lang w:eastAsia="lv-LV"/>
              </w:rPr>
              <w:t xml:space="preserve">izskatīšanai </w:t>
            </w:r>
            <w:r w:rsidRPr="00DB59AB">
              <w:rPr>
                <w:rFonts w:ascii="Times New Roman" w:eastAsia="Times New Roman" w:hAnsi="Times New Roman"/>
                <w:sz w:val="24"/>
                <w:szCs w:val="24"/>
                <w:lang w:eastAsia="lv-LV"/>
              </w:rPr>
              <w:t>Ministru kabinetā</w:t>
            </w:r>
            <w:r w:rsidRPr="003065E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w:t>
            </w:r>
            <w:r w:rsidRPr="003065E2">
              <w:rPr>
                <w:rFonts w:ascii="Times New Roman" w:eastAsia="Times New Roman" w:hAnsi="Times New Roman"/>
                <w:sz w:val="24"/>
                <w:szCs w:val="24"/>
                <w:lang w:eastAsia="lv-LV"/>
              </w:rPr>
              <w:t xml:space="preserve">nformatīvo ziņojumu „Par papildu nepieciešamo finansējumu Valsts sociālās aprūpes centra „Vidzeme” filiāles „Allaži”” avārijas </w:t>
            </w:r>
            <w:r>
              <w:rPr>
                <w:rFonts w:ascii="Times New Roman" w:eastAsia="Times New Roman" w:hAnsi="Times New Roman"/>
                <w:sz w:val="24"/>
                <w:szCs w:val="24"/>
                <w:lang w:eastAsia="lv-LV"/>
              </w:rPr>
              <w:t>stāvoklī</w:t>
            </w:r>
            <w:r w:rsidRPr="003065E2">
              <w:rPr>
                <w:rFonts w:ascii="Times New Roman" w:eastAsia="Times New Roman" w:hAnsi="Times New Roman"/>
                <w:sz w:val="24"/>
                <w:szCs w:val="24"/>
                <w:lang w:eastAsia="lv-LV"/>
              </w:rPr>
              <w:t xml:space="preserve"> esošās ēkas rekonstrukcijas nodrošināšanai”</w:t>
            </w:r>
            <w:r w:rsidRPr="00473DA4">
              <w:rPr>
                <w:rFonts w:ascii="Times New Roman" w:eastAsia="Times New Roman" w:hAnsi="Times New Roman"/>
                <w:sz w:val="24"/>
                <w:szCs w:val="24"/>
                <w:lang w:eastAsia="lv-LV"/>
              </w:rPr>
              <w:t xml:space="preserve"> un Ministru kabineta </w:t>
            </w:r>
            <w:proofErr w:type="spellStart"/>
            <w:r w:rsidRPr="00473DA4">
              <w:rPr>
                <w:rFonts w:ascii="Times New Roman" w:eastAsia="Times New Roman" w:hAnsi="Times New Roman"/>
                <w:sz w:val="24"/>
                <w:szCs w:val="24"/>
                <w:lang w:eastAsia="lv-LV"/>
              </w:rPr>
              <w:t>protokollēmuma</w:t>
            </w:r>
            <w:proofErr w:type="spellEnd"/>
            <w:r w:rsidRPr="00473DA4">
              <w:rPr>
                <w:rFonts w:ascii="Times New Roman" w:eastAsia="Times New Roman" w:hAnsi="Times New Roman"/>
                <w:sz w:val="24"/>
                <w:szCs w:val="24"/>
                <w:lang w:eastAsia="lv-LV"/>
              </w:rPr>
              <w:t xml:space="preserve"> projektu</w:t>
            </w:r>
            <w:r>
              <w:rPr>
                <w:rFonts w:ascii="Times New Roman" w:eastAsia="Times New Roman" w:hAnsi="Times New Roman"/>
                <w:sz w:val="24"/>
                <w:szCs w:val="24"/>
                <w:lang w:eastAsia="lv-LV"/>
              </w:rPr>
              <w:t>.</w:t>
            </w:r>
          </w:p>
          <w:p w:rsidR="002D7F51" w:rsidRPr="002D7F51" w:rsidRDefault="002D7F51" w:rsidP="002D7F51">
            <w:pPr>
              <w:spacing w:after="0" w:line="240" w:lineRule="auto"/>
              <w:jc w:val="both"/>
            </w:pPr>
          </w:p>
        </w:tc>
      </w:tr>
      <w:tr w:rsidR="00C92784" w:rsidRPr="00EC5DE5" w:rsidTr="003E4ABD">
        <w:trPr>
          <w:trHeight w:val="274"/>
        </w:trPr>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 </w:t>
            </w:r>
          </w:p>
        </w:tc>
        <w:tc>
          <w:tcPr>
            <w:tcW w:w="970" w:type="pct"/>
          </w:tcPr>
          <w:p w:rsidR="00C92784" w:rsidRPr="00EC5DE5" w:rsidRDefault="00A41B6D" w:rsidP="0084703E">
            <w:pPr>
              <w:spacing w:after="0" w:line="240" w:lineRule="auto"/>
              <w:rPr>
                <w:rFonts w:ascii="Times New Roman" w:eastAsia="Times New Roman" w:hAnsi="Times New Roman"/>
                <w:sz w:val="24"/>
                <w:szCs w:val="24"/>
                <w:lang w:eastAsia="lv-LV"/>
              </w:rPr>
            </w:pPr>
            <w:r w:rsidRPr="00A41B6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773" w:type="pct"/>
          </w:tcPr>
          <w:p w:rsidR="003E4ABD" w:rsidRDefault="003E4ABD" w:rsidP="003E4ABD">
            <w:pPr>
              <w:spacing w:after="0" w:line="240" w:lineRule="auto"/>
              <w:jc w:val="both"/>
              <w:outlineLvl w:val="0"/>
              <w:rPr>
                <w:rFonts w:ascii="Times New Roman" w:hAnsi="Times New Roman"/>
                <w:bCs/>
                <w:color w:val="000000"/>
                <w:sz w:val="24"/>
                <w:szCs w:val="24"/>
              </w:rPr>
            </w:pPr>
            <w:r w:rsidRPr="00D911F8">
              <w:rPr>
                <w:rFonts w:ascii="Times New Roman" w:hAnsi="Times New Roman"/>
                <w:bCs/>
                <w:color w:val="000000"/>
                <w:sz w:val="24"/>
                <w:szCs w:val="24"/>
              </w:rPr>
              <w:t>VSAC „Vidzeme” 2014.gada 18.februār</w:t>
            </w:r>
            <w:r>
              <w:rPr>
                <w:rFonts w:ascii="Times New Roman" w:hAnsi="Times New Roman"/>
                <w:bCs/>
                <w:color w:val="000000"/>
                <w:sz w:val="24"/>
                <w:szCs w:val="24"/>
              </w:rPr>
              <w:t xml:space="preserve">ī vērsās Labklājības ministrijā </w:t>
            </w:r>
            <w:r w:rsidRPr="00D911F8">
              <w:rPr>
                <w:rFonts w:ascii="Times New Roman" w:hAnsi="Times New Roman"/>
                <w:bCs/>
                <w:color w:val="000000"/>
                <w:sz w:val="24"/>
                <w:szCs w:val="24"/>
              </w:rPr>
              <w:t xml:space="preserve">ar pieprasījumu papildu finansējuma piešķiršanai filiāles “Allaži’’ ēkas rekonstrukcijas darbu veikšanai veselības punkta izveidei. VSAC „Vidzeme” informēja, ka, veicot priekšizpēti veselības punkta izveidei, </w:t>
            </w:r>
            <w:r>
              <w:rPr>
                <w:rFonts w:ascii="Times New Roman" w:hAnsi="Times New Roman"/>
                <w:bCs/>
                <w:color w:val="000000"/>
                <w:sz w:val="24"/>
                <w:szCs w:val="24"/>
              </w:rPr>
              <w:t>filiāles „Allaži” administrācijas ēkā (turpmāk – avārijas stāvoklī esošā ēka) tika</w:t>
            </w:r>
            <w:r w:rsidRPr="00D911F8">
              <w:rPr>
                <w:rFonts w:ascii="Times New Roman" w:hAnsi="Times New Roman"/>
                <w:bCs/>
                <w:color w:val="000000"/>
                <w:sz w:val="24"/>
                <w:szCs w:val="24"/>
              </w:rPr>
              <w:t xml:space="preserve"> konstatētas deformācijas vietas, kas bez rekonstrukcijas un nostiprināšanas varētu apdraudēt klientu un darbinieku drošību.</w:t>
            </w:r>
            <w:r>
              <w:rPr>
                <w:rFonts w:ascii="Times New Roman" w:hAnsi="Times New Roman"/>
                <w:bCs/>
                <w:color w:val="000000"/>
                <w:sz w:val="24"/>
                <w:szCs w:val="24"/>
              </w:rPr>
              <w:t xml:space="preserve"> </w:t>
            </w:r>
          </w:p>
          <w:p w:rsidR="003E4ABD" w:rsidRDefault="003E4ABD" w:rsidP="003E4ABD">
            <w:pPr>
              <w:spacing w:after="0" w:line="240" w:lineRule="auto"/>
              <w:ind w:firstLine="720"/>
              <w:jc w:val="both"/>
              <w:outlineLvl w:val="0"/>
              <w:rPr>
                <w:rFonts w:ascii="Times New Roman" w:hAnsi="Times New Roman"/>
                <w:sz w:val="24"/>
                <w:szCs w:val="24"/>
              </w:rPr>
            </w:pPr>
            <w:r>
              <w:rPr>
                <w:rFonts w:ascii="Times New Roman" w:hAnsi="Times New Roman"/>
                <w:bCs/>
                <w:color w:val="000000"/>
                <w:sz w:val="24"/>
                <w:szCs w:val="24"/>
              </w:rPr>
              <w:t>Lai novērtētu riskus, kas saistīti ar ēkas tehnisko stāvokli, Labklājības ministrija,</w:t>
            </w:r>
            <w:r w:rsidRPr="00D911F8">
              <w:rPr>
                <w:rFonts w:ascii="Times New Roman" w:hAnsi="Times New Roman"/>
                <w:sz w:val="24"/>
                <w:szCs w:val="24"/>
              </w:rPr>
              <w:t xml:space="preserve"> </w:t>
            </w:r>
            <w:r w:rsidRPr="0095734D">
              <w:rPr>
                <w:rFonts w:ascii="Times New Roman" w:hAnsi="Times New Roman"/>
                <w:sz w:val="24"/>
                <w:szCs w:val="24"/>
              </w:rPr>
              <w:t>2014.gada 7.martā</w:t>
            </w:r>
            <w:r>
              <w:rPr>
                <w:rFonts w:ascii="Times New Roman" w:hAnsi="Times New Roman"/>
                <w:sz w:val="24"/>
                <w:szCs w:val="24"/>
              </w:rPr>
              <w:t xml:space="preserve"> uzdeva </w:t>
            </w:r>
            <w:r w:rsidRPr="0095734D">
              <w:rPr>
                <w:rFonts w:ascii="Times New Roman" w:hAnsi="Times New Roman"/>
                <w:sz w:val="24"/>
                <w:szCs w:val="24"/>
              </w:rPr>
              <w:t>V</w:t>
            </w:r>
            <w:r>
              <w:rPr>
                <w:rFonts w:ascii="Times New Roman" w:hAnsi="Times New Roman"/>
                <w:sz w:val="24"/>
                <w:szCs w:val="24"/>
              </w:rPr>
              <w:t xml:space="preserve">alsts sabiedrībai ar ierobežotu atbildību </w:t>
            </w:r>
            <w:r w:rsidRPr="0095734D">
              <w:rPr>
                <w:rFonts w:ascii="Times New Roman" w:hAnsi="Times New Roman"/>
                <w:sz w:val="24"/>
                <w:szCs w:val="24"/>
              </w:rPr>
              <w:t>„Šampētera nams"</w:t>
            </w:r>
            <w:r>
              <w:rPr>
                <w:rStyle w:val="FootnoteReference"/>
                <w:rFonts w:ascii="Times New Roman" w:hAnsi="Times New Roman"/>
                <w:sz w:val="24"/>
                <w:szCs w:val="24"/>
              </w:rPr>
              <w:footnoteReference w:id="1"/>
            </w:r>
            <w:r w:rsidRPr="0095734D">
              <w:rPr>
                <w:rFonts w:ascii="Times New Roman" w:hAnsi="Times New Roman"/>
                <w:sz w:val="24"/>
                <w:szCs w:val="24"/>
              </w:rPr>
              <w:t xml:space="preserve"> </w:t>
            </w:r>
            <w:r>
              <w:rPr>
                <w:rFonts w:ascii="Times New Roman" w:hAnsi="Times New Roman"/>
                <w:sz w:val="24"/>
                <w:szCs w:val="24"/>
              </w:rPr>
              <w:t xml:space="preserve">(turpmāk – VSIA „Šampētera nams”) </w:t>
            </w:r>
            <w:r w:rsidRPr="0095734D">
              <w:rPr>
                <w:rFonts w:ascii="Times New Roman" w:hAnsi="Times New Roman"/>
                <w:sz w:val="24"/>
                <w:szCs w:val="24"/>
              </w:rPr>
              <w:t>izvērtēt minētās ēkas turpmāku ekspluatāciju no klientu drošības viedokļa.</w:t>
            </w:r>
            <w:r>
              <w:rPr>
                <w:rFonts w:ascii="Times New Roman" w:hAnsi="Times New Roman"/>
                <w:sz w:val="24"/>
                <w:szCs w:val="24"/>
              </w:rPr>
              <w:t xml:space="preserve"> Tā kā 2014.gada 14.martā</w:t>
            </w:r>
            <w:r w:rsidRPr="0095734D">
              <w:rPr>
                <w:rFonts w:ascii="Times New Roman" w:hAnsi="Times New Roman"/>
                <w:sz w:val="24"/>
                <w:szCs w:val="24"/>
              </w:rPr>
              <w:t xml:space="preserve"> </w:t>
            </w:r>
            <w:r>
              <w:rPr>
                <w:rFonts w:ascii="Times New Roman" w:hAnsi="Times New Roman"/>
                <w:sz w:val="24"/>
                <w:szCs w:val="24"/>
              </w:rPr>
              <w:t xml:space="preserve">Labklājības ministrijā saņemtajā </w:t>
            </w:r>
            <w:r w:rsidRPr="0095734D">
              <w:rPr>
                <w:rFonts w:ascii="Times New Roman" w:hAnsi="Times New Roman"/>
                <w:sz w:val="24"/>
                <w:szCs w:val="24"/>
              </w:rPr>
              <w:t xml:space="preserve">VSIA „Šampētera nams” </w:t>
            </w:r>
            <w:r>
              <w:rPr>
                <w:rFonts w:ascii="Times New Roman" w:hAnsi="Times New Roman"/>
                <w:sz w:val="24"/>
                <w:szCs w:val="24"/>
              </w:rPr>
              <w:t xml:space="preserve">atzinumā bija norādīts, ka: </w:t>
            </w:r>
            <w:r w:rsidRPr="0095734D">
              <w:rPr>
                <w:rFonts w:ascii="Times New Roman" w:hAnsi="Times New Roman"/>
                <w:i/>
                <w:sz w:val="24"/>
                <w:szCs w:val="24"/>
              </w:rPr>
              <w:t xml:space="preserve">„pamatkonstrukcijas ir neapmierinošā tehniskajā stāvoklī, savukārt tā kā pagraba pārsegums un grīdas ir ar 80 % nolietojumu, secināms, ka </w:t>
            </w:r>
            <w:r w:rsidRPr="008332C6">
              <w:rPr>
                <w:rFonts w:ascii="Times New Roman" w:hAnsi="Times New Roman"/>
                <w:i/>
                <w:sz w:val="24"/>
                <w:szCs w:val="24"/>
                <w:u w:val="single"/>
              </w:rPr>
              <w:t>ēka ir avārijas stāvoklī</w:t>
            </w:r>
            <w:r w:rsidRPr="0095734D">
              <w:rPr>
                <w:rFonts w:ascii="Times New Roman" w:hAnsi="Times New Roman"/>
                <w:i/>
                <w:sz w:val="24"/>
                <w:szCs w:val="24"/>
              </w:rPr>
              <w:t>, būves mehāniskā stiprība un stabilitāte ir apšaubāma no LBN006 viedokļa”</w:t>
            </w:r>
            <w:r w:rsidRPr="0095734D">
              <w:rPr>
                <w:rFonts w:ascii="Times New Roman" w:hAnsi="Times New Roman"/>
                <w:sz w:val="24"/>
                <w:szCs w:val="24"/>
              </w:rPr>
              <w:t xml:space="preserve">, un ka </w:t>
            </w:r>
            <w:r w:rsidRPr="0095734D">
              <w:rPr>
                <w:rFonts w:ascii="Times New Roman" w:hAnsi="Times New Roman"/>
                <w:i/>
                <w:sz w:val="24"/>
                <w:szCs w:val="24"/>
              </w:rPr>
              <w:t>„ēka neatbilst ugunsdrošības prasībām”</w:t>
            </w:r>
            <w:r w:rsidRPr="0095734D">
              <w:rPr>
                <w:rFonts w:ascii="Times New Roman" w:hAnsi="Times New Roman"/>
                <w:sz w:val="24"/>
                <w:szCs w:val="24"/>
              </w:rPr>
              <w:t>,</w:t>
            </w:r>
            <w:r>
              <w:rPr>
                <w:rFonts w:ascii="Times New Roman" w:hAnsi="Times New Roman"/>
                <w:sz w:val="24"/>
                <w:szCs w:val="24"/>
              </w:rPr>
              <w:t xml:space="preserve"> </w:t>
            </w:r>
            <w:r w:rsidRPr="00E734B5">
              <w:rPr>
                <w:rFonts w:ascii="Times New Roman" w:hAnsi="Times New Roman"/>
                <w:b/>
                <w:sz w:val="24"/>
                <w:szCs w:val="24"/>
              </w:rPr>
              <w:t xml:space="preserve">lai novērstu risku tiem klientiem, kuri bija izmitināti tajā ēkas daļā, kurā bija konstatētas deformācijas vietas </w:t>
            </w:r>
            <w:r w:rsidRPr="00E734B5">
              <w:rPr>
                <w:rFonts w:ascii="Times New Roman" w:hAnsi="Times New Roman"/>
                <w:sz w:val="24"/>
                <w:szCs w:val="24"/>
              </w:rPr>
              <w:t>(pārseguma bojājumi),</w:t>
            </w:r>
            <w:r w:rsidRPr="00E734B5">
              <w:rPr>
                <w:rFonts w:ascii="Times New Roman" w:hAnsi="Times New Roman"/>
                <w:b/>
                <w:sz w:val="24"/>
                <w:szCs w:val="24"/>
              </w:rPr>
              <w:t xml:space="preserve"> 2014.gada </w:t>
            </w:r>
            <w:r w:rsidRPr="00E734B5">
              <w:rPr>
                <w:rFonts w:ascii="Times New Roman" w:hAnsi="Times New Roman"/>
                <w:b/>
                <w:sz w:val="24"/>
                <w:szCs w:val="24"/>
              </w:rPr>
              <w:lastRenderedPageBreak/>
              <w:t>21.martā Labklājības ministrija VSAC „Vidzeme” uzdeva neatliekami evakuēt klientus no tās avārijas stāvoklī esošās ēkas daļas, kurā konstatētas deformācijas vietas.</w:t>
            </w:r>
            <w:r>
              <w:rPr>
                <w:rFonts w:ascii="Times New Roman" w:hAnsi="Times New Roman"/>
                <w:sz w:val="24"/>
                <w:szCs w:val="24"/>
              </w:rPr>
              <w:t xml:space="preserve"> Vienlaikus Labklājības ministrija VSAC „Vidzeme” uzdeva </w:t>
            </w:r>
            <w:r w:rsidRPr="00D911F8">
              <w:rPr>
                <w:rFonts w:ascii="Times New Roman" w:hAnsi="Times New Roman"/>
                <w:sz w:val="24"/>
                <w:szCs w:val="24"/>
              </w:rPr>
              <w:t xml:space="preserve">atkārtoti izvērtēt risku </w:t>
            </w:r>
            <w:r>
              <w:rPr>
                <w:rFonts w:ascii="Times New Roman" w:hAnsi="Times New Roman"/>
                <w:sz w:val="24"/>
                <w:szCs w:val="24"/>
              </w:rPr>
              <w:t xml:space="preserve">turpmākai </w:t>
            </w:r>
            <w:r w:rsidRPr="00D911F8">
              <w:rPr>
                <w:rFonts w:ascii="Times New Roman" w:hAnsi="Times New Roman"/>
                <w:sz w:val="24"/>
                <w:szCs w:val="24"/>
              </w:rPr>
              <w:t>ēkas ekspluatācija</w:t>
            </w:r>
            <w:r>
              <w:rPr>
                <w:rFonts w:ascii="Times New Roman" w:hAnsi="Times New Roman"/>
                <w:sz w:val="24"/>
                <w:szCs w:val="24"/>
              </w:rPr>
              <w:t>i</w:t>
            </w:r>
            <w:r w:rsidRPr="00D911F8">
              <w:rPr>
                <w:rFonts w:ascii="Times New Roman" w:hAnsi="Times New Roman"/>
                <w:sz w:val="24"/>
                <w:szCs w:val="24"/>
              </w:rPr>
              <w:t xml:space="preserve">, nodrošinot pakalpojumus </w:t>
            </w:r>
            <w:r>
              <w:rPr>
                <w:rFonts w:ascii="Times New Roman" w:hAnsi="Times New Roman"/>
                <w:sz w:val="24"/>
                <w:szCs w:val="24"/>
              </w:rPr>
              <w:t xml:space="preserve">klientiem (71 persona), kuri bija izvietoti </w:t>
            </w:r>
            <w:r w:rsidRPr="00D911F8">
              <w:rPr>
                <w:rFonts w:ascii="Times New Roman" w:hAnsi="Times New Roman"/>
                <w:sz w:val="24"/>
                <w:szCs w:val="24"/>
              </w:rPr>
              <w:t xml:space="preserve">otrā ēkas daļā. </w:t>
            </w:r>
          </w:p>
          <w:p w:rsidR="003E4ABD" w:rsidRDefault="003E4ABD" w:rsidP="003E4AB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Pr="006079CC">
              <w:rPr>
                <w:rFonts w:ascii="Times New Roman" w:hAnsi="Times New Roman"/>
                <w:bCs/>
                <w:color w:val="000000"/>
                <w:sz w:val="24"/>
                <w:szCs w:val="24"/>
              </w:rPr>
              <w:t>20</w:t>
            </w:r>
            <w:r>
              <w:rPr>
                <w:rFonts w:ascii="Times New Roman" w:hAnsi="Times New Roman"/>
                <w:bCs/>
                <w:color w:val="000000"/>
                <w:sz w:val="24"/>
                <w:szCs w:val="24"/>
              </w:rPr>
              <w:t>14.gada 29.</w:t>
            </w:r>
            <w:r w:rsidRPr="006079CC">
              <w:rPr>
                <w:rFonts w:ascii="Times New Roman" w:hAnsi="Times New Roman"/>
                <w:bCs/>
                <w:color w:val="000000"/>
                <w:sz w:val="24"/>
                <w:szCs w:val="24"/>
              </w:rPr>
              <w:t xml:space="preserve">aprīlī </w:t>
            </w:r>
            <w:r>
              <w:rPr>
                <w:rFonts w:ascii="Times New Roman" w:hAnsi="Times New Roman"/>
                <w:bCs/>
                <w:color w:val="000000"/>
                <w:sz w:val="24"/>
                <w:szCs w:val="24"/>
              </w:rPr>
              <w:t xml:space="preserve">no </w:t>
            </w:r>
            <w:r w:rsidRPr="006079CC">
              <w:rPr>
                <w:rFonts w:ascii="Times New Roman" w:hAnsi="Times New Roman"/>
                <w:bCs/>
                <w:color w:val="000000"/>
                <w:sz w:val="24"/>
                <w:szCs w:val="24"/>
              </w:rPr>
              <w:t xml:space="preserve">VSAC „Vidzeme” </w:t>
            </w:r>
            <w:r>
              <w:rPr>
                <w:rFonts w:ascii="Times New Roman" w:hAnsi="Times New Roman"/>
                <w:bCs/>
                <w:color w:val="000000"/>
                <w:sz w:val="24"/>
                <w:szCs w:val="24"/>
              </w:rPr>
              <w:t xml:space="preserve">tika saņemta informācija, </w:t>
            </w:r>
            <w:r w:rsidRPr="006079CC">
              <w:rPr>
                <w:rFonts w:ascii="Times New Roman" w:hAnsi="Times New Roman"/>
                <w:bCs/>
                <w:color w:val="000000"/>
                <w:sz w:val="24"/>
                <w:szCs w:val="24"/>
              </w:rPr>
              <w:t xml:space="preserve">ka </w:t>
            </w:r>
            <w:r>
              <w:rPr>
                <w:rFonts w:ascii="Times New Roman" w:hAnsi="Times New Roman"/>
                <w:bCs/>
                <w:color w:val="000000"/>
                <w:sz w:val="24"/>
                <w:szCs w:val="24"/>
              </w:rPr>
              <w:t xml:space="preserve">ir veikta </w:t>
            </w:r>
            <w:r w:rsidRPr="006079CC">
              <w:rPr>
                <w:rFonts w:ascii="Times New Roman" w:hAnsi="Times New Roman"/>
                <w:bCs/>
                <w:color w:val="000000"/>
                <w:sz w:val="24"/>
                <w:szCs w:val="24"/>
              </w:rPr>
              <w:t>padziļināt</w:t>
            </w:r>
            <w:r>
              <w:rPr>
                <w:rFonts w:ascii="Times New Roman" w:hAnsi="Times New Roman"/>
                <w:bCs/>
                <w:color w:val="000000"/>
                <w:sz w:val="24"/>
                <w:szCs w:val="24"/>
              </w:rPr>
              <w:t>a</w:t>
            </w:r>
            <w:r w:rsidRPr="006079CC">
              <w:rPr>
                <w:rFonts w:ascii="Times New Roman" w:hAnsi="Times New Roman"/>
                <w:bCs/>
                <w:color w:val="000000"/>
                <w:sz w:val="24"/>
                <w:szCs w:val="24"/>
              </w:rPr>
              <w:t xml:space="preserve"> ēkas tehniskā stāvokļa izvērtēšan</w:t>
            </w:r>
            <w:r>
              <w:rPr>
                <w:rFonts w:ascii="Times New Roman" w:hAnsi="Times New Roman"/>
                <w:bCs/>
                <w:color w:val="000000"/>
                <w:sz w:val="24"/>
                <w:szCs w:val="24"/>
              </w:rPr>
              <w:t>a</w:t>
            </w:r>
            <w:r>
              <w:rPr>
                <w:rStyle w:val="FootnoteReference"/>
                <w:rFonts w:ascii="Times New Roman" w:hAnsi="Times New Roman"/>
                <w:bCs/>
                <w:color w:val="000000"/>
                <w:sz w:val="24"/>
                <w:szCs w:val="24"/>
              </w:rPr>
              <w:footnoteReference w:id="2"/>
            </w:r>
            <w:r>
              <w:rPr>
                <w:rFonts w:ascii="Times New Roman" w:hAnsi="Times New Roman"/>
                <w:bCs/>
                <w:color w:val="000000"/>
                <w:sz w:val="24"/>
                <w:szCs w:val="24"/>
              </w:rPr>
              <w:t xml:space="preserve">. </w:t>
            </w:r>
            <w:r w:rsidRPr="006079CC">
              <w:rPr>
                <w:rFonts w:ascii="Times New Roman" w:hAnsi="Times New Roman"/>
                <w:bCs/>
                <w:color w:val="000000"/>
                <w:sz w:val="24"/>
                <w:szCs w:val="24"/>
              </w:rPr>
              <w:t xml:space="preserve">Saskaņā ar SIA „Būvprojekts” padziļinātās </w:t>
            </w:r>
            <w:r>
              <w:rPr>
                <w:rFonts w:ascii="Times New Roman" w:hAnsi="Times New Roman"/>
                <w:bCs/>
                <w:color w:val="000000"/>
                <w:sz w:val="24"/>
                <w:szCs w:val="24"/>
              </w:rPr>
              <w:t xml:space="preserve">tehniskās </w:t>
            </w:r>
            <w:r w:rsidRPr="006079CC">
              <w:rPr>
                <w:rFonts w:ascii="Times New Roman" w:hAnsi="Times New Roman"/>
                <w:bCs/>
                <w:color w:val="000000"/>
                <w:sz w:val="24"/>
                <w:szCs w:val="24"/>
              </w:rPr>
              <w:t>apsekošanas atzinum</w:t>
            </w:r>
            <w:r>
              <w:rPr>
                <w:rFonts w:ascii="Times New Roman" w:hAnsi="Times New Roman"/>
                <w:bCs/>
                <w:color w:val="000000"/>
                <w:sz w:val="24"/>
                <w:szCs w:val="24"/>
              </w:rPr>
              <w:t>u</w:t>
            </w:r>
            <w:r w:rsidRPr="006079CC">
              <w:rPr>
                <w:rFonts w:ascii="Times New Roman" w:hAnsi="Times New Roman"/>
                <w:bCs/>
                <w:color w:val="000000"/>
                <w:sz w:val="24"/>
                <w:szCs w:val="24"/>
              </w:rPr>
              <w:t xml:space="preserve"> „</w:t>
            </w:r>
            <w:r w:rsidRPr="00F70054">
              <w:rPr>
                <w:rFonts w:ascii="Times New Roman" w:hAnsi="Times New Roman"/>
                <w:bCs/>
                <w:i/>
                <w:color w:val="000000"/>
                <w:sz w:val="24"/>
                <w:szCs w:val="24"/>
              </w:rPr>
              <w:t>kopējais apsekotās ēkas galveno elementu tehniskais nolietojums uz 2014.gada 16. aprīli ir 53%</w:t>
            </w:r>
            <w:r w:rsidRPr="006079CC">
              <w:rPr>
                <w:rFonts w:ascii="Times New Roman" w:hAnsi="Times New Roman"/>
                <w:bCs/>
                <w:color w:val="000000"/>
                <w:sz w:val="24"/>
                <w:szCs w:val="24"/>
              </w:rPr>
              <w:t xml:space="preserve">.” Vienlaikus saskaņā ar minētajā vēstulē norādīto, ēkas rekonstrukcijai </w:t>
            </w:r>
            <w:r>
              <w:rPr>
                <w:rFonts w:ascii="Times New Roman" w:hAnsi="Times New Roman"/>
                <w:bCs/>
                <w:color w:val="000000"/>
                <w:sz w:val="24"/>
                <w:szCs w:val="24"/>
              </w:rPr>
              <w:t xml:space="preserve">pēc aptuveniem aprēķiniem (precīzu rekonstrukcijas izdevumu apjomu varēs noteikt pēc rekonstrukcijas darbu tehniskā projekta izstrādes) </w:t>
            </w:r>
            <w:r w:rsidRPr="006079CC">
              <w:rPr>
                <w:rFonts w:ascii="Times New Roman" w:hAnsi="Times New Roman"/>
                <w:bCs/>
                <w:color w:val="000000"/>
                <w:sz w:val="24"/>
                <w:szCs w:val="24"/>
              </w:rPr>
              <w:t>ir nepieciešami EUR 384 452,25, ieskaitot projektēšanas un būvuzraudzības darbus, bet bez izmaksām ēkas energoefektivitātes paaugstināšanai. Tika ņemts vērā, ka ēkas energoefektivitātes paaugstināšana varētu būt nodrošināta no citiem finansēšanas avotiem, piem., piesaistot Vides aizsardzības un reģionālās attīstības ministrijas Klimatu pārmaiņu finanšu instrumenta (KPFI) projektu līdzekļ</w:t>
            </w:r>
            <w:r>
              <w:rPr>
                <w:rFonts w:ascii="Times New Roman" w:hAnsi="Times New Roman"/>
                <w:bCs/>
                <w:color w:val="000000"/>
                <w:sz w:val="24"/>
                <w:szCs w:val="24"/>
              </w:rPr>
              <w:t>iem</w:t>
            </w:r>
            <w:r w:rsidRPr="006079CC">
              <w:rPr>
                <w:rFonts w:ascii="Times New Roman" w:hAnsi="Times New Roman"/>
                <w:bCs/>
                <w:color w:val="000000"/>
                <w:sz w:val="24"/>
                <w:szCs w:val="24"/>
              </w:rPr>
              <w:t xml:space="preserve">, kas jau ir sekmīgi apgūti </w:t>
            </w:r>
            <w:r>
              <w:rPr>
                <w:rFonts w:ascii="Times New Roman" w:hAnsi="Times New Roman"/>
                <w:bCs/>
                <w:color w:val="000000"/>
                <w:sz w:val="24"/>
                <w:szCs w:val="24"/>
              </w:rPr>
              <w:t>vairākās valsts sociālās aprūpes centru (turpmāk –</w:t>
            </w:r>
            <w:r w:rsidRPr="006079CC">
              <w:rPr>
                <w:rFonts w:ascii="Times New Roman" w:hAnsi="Times New Roman"/>
                <w:bCs/>
                <w:color w:val="000000"/>
                <w:sz w:val="24"/>
                <w:szCs w:val="24"/>
              </w:rPr>
              <w:t>VSAC</w:t>
            </w:r>
            <w:r>
              <w:rPr>
                <w:rFonts w:ascii="Times New Roman" w:hAnsi="Times New Roman"/>
                <w:bCs/>
                <w:color w:val="000000"/>
                <w:sz w:val="24"/>
                <w:szCs w:val="24"/>
              </w:rPr>
              <w:t>)</w:t>
            </w:r>
            <w:r w:rsidRPr="006079CC">
              <w:rPr>
                <w:rFonts w:ascii="Times New Roman" w:hAnsi="Times New Roman"/>
                <w:bCs/>
                <w:color w:val="000000"/>
                <w:sz w:val="24"/>
                <w:szCs w:val="24"/>
              </w:rPr>
              <w:t xml:space="preserve"> filiālēs (VSAC “Rīga” filiāle “Pļavnieki” un VSAC “Vidzeme” filiāle “Ropaži”, turklāt VSAC ”Rīga” filiāle “Rīga” un VSAC “Latgale” filiāle “Litene” attiecīgi iesniedza projektu pieteikumus uz atklāto konkursu IV </w:t>
            </w:r>
            <w:r>
              <w:rPr>
                <w:rFonts w:ascii="Times New Roman" w:hAnsi="Times New Roman"/>
                <w:bCs/>
                <w:color w:val="000000"/>
                <w:sz w:val="24"/>
                <w:szCs w:val="24"/>
              </w:rPr>
              <w:t xml:space="preserve">un </w:t>
            </w:r>
            <w:r w:rsidRPr="006079CC">
              <w:rPr>
                <w:rFonts w:ascii="Times New Roman" w:hAnsi="Times New Roman"/>
                <w:bCs/>
                <w:color w:val="000000"/>
                <w:sz w:val="24"/>
                <w:szCs w:val="24"/>
              </w:rPr>
              <w:t>V kārtu).</w:t>
            </w:r>
            <w:r w:rsidRPr="006079CC">
              <w:t xml:space="preserve"> </w:t>
            </w:r>
            <w:r>
              <w:t xml:space="preserve"> </w:t>
            </w:r>
            <w:r>
              <w:rPr>
                <w:rFonts w:ascii="Times New Roman" w:hAnsi="Times New Roman"/>
              </w:rPr>
              <w:t xml:space="preserve">Papildus no minētā </w:t>
            </w:r>
            <w:r w:rsidRPr="006079CC">
              <w:rPr>
                <w:rFonts w:ascii="Times New Roman" w:hAnsi="Times New Roman"/>
                <w:bCs/>
                <w:color w:val="000000"/>
                <w:sz w:val="24"/>
                <w:szCs w:val="24"/>
              </w:rPr>
              <w:t xml:space="preserve">padziļinātā tehniskā apsekojuma izriet, ka ēka neatbilst ugunsdrošības prasībām, tādejādi, veicot tās rekonstrukciju, būtu nodrošināta iespēja sakārtojot to gan no ugunsdrošības, gan klientu un ēkas drošības, gan vides pieejamības viedokļa. </w:t>
            </w:r>
          </w:p>
          <w:p w:rsidR="00C92784" w:rsidRDefault="008C7ED3" w:rsidP="003E4ABD">
            <w:pPr>
              <w:spacing w:after="120" w:line="240" w:lineRule="auto"/>
              <w:jc w:val="both"/>
              <w:rPr>
                <w:rFonts w:ascii="Times New Roman" w:hAnsi="Times New Roman"/>
                <w:sz w:val="24"/>
                <w:szCs w:val="24"/>
              </w:rPr>
            </w:pPr>
            <w:r>
              <w:rPr>
                <w:rFonts w:ascii="Times New Roman" w:hAnsi="Times New Roman"/>
                <w:sz w:val="24"/>
                <w:szCs w:val="24"/>
              </w:rPr>
              <w:t>Jautājuma risināšana ir neatliekama, jo minētās ēkas daļā, kurā nav konstatēti pārseguma bojājumi, pašlaik ilgstošas sociālās aprūpes un rehabilitācijas pakalpojumus turpina saņemt 71 persona ar smagiem garīga rakstura traucējumiem, kurai pakalpojuma sniegšanu nevar pārtraukt. Turklāt, tā kā minētajā ēkā ir izvietota virtuve un ēdamzāle, aktu zāle, kā arī darbinieku kabineti un nodarbību telpas, tad ēkas rekonstrukcija ir steidzama, jo no tās ir atkarīga kvalitatīvu pakalpojumu nodrošināšana ne vien minētajām personām, bet arī pārējām Valsts sociālās aprūpes centra „Vidzeme” filiāles „Allaži” klientiem, t.sk. pusceļa mājas pakalpojuma saņēmējiem. Vienlaikus jautājuma neatliekamas risināšana ir būtiska no arī ēkas drošības viedokļa.</w:t>
            </w:r>
            <w:r w:rsidR="003E4ABD">
              <w:rPr>
                <w:rFonts w:ascii="Times New Roman" w:eastAsia="Times New Roman" w:hAnsi="Times New Roman"/>
                <w:sz w:val="24"/>
                <w:szCs w:val="24"/>
              </w:rPr>
              <w:t xml:space="preserve"> Turklāt, </w:t>
            </w:r>
            <w:r w:rsidR="003E4ABD">
              <w:rPr>
                <w:rFonts w:ascii="Times New Roman" w:hAnsi="Times New Roman"/>
                <w:sz w:val="24"/>
                <w:szCs w:val="24"/>
              </w:rPr>
              <w:t>esošā finansējuma ietvaros</w:t>
            </w:r>
            <w:r w:rsidR="003E4ABD">
              <w:rPr>
                <w:rFonts w:ascii="Times New Roman" w:eastAsia="Times New Roman" w:hAnsi="Times New Roman"/>
                <w:sz w:val="24"/>
                <w:szCs w:val="24"/>
              </w:rPr>
              <w:t xml:space="preserve"> bez p</w:t>
            </w:r>
            <w:r w:rsidR="003E4ABD" w:rsidRPr="00F43D99">
              <w:rPr>
                <w:rFonts w:ascii="Times New Roman" w:eastAsia="Times New Roman" w:hAnsi="Times New Roman"/>
                <w:sz w:val="24"/>
                <w:szCs w:val="24"/>
              </w:rPr>
              <w:t xml:space="preserve">apildu finansējuma </w:t>
            </w:r>
            <w:r w:rsidR="003E4ABD">
              <w:rPr>
                <w:rFonts w:ascii="Times New Roman" w:eastAsia="Times New Roman" w:hAnsi="Times New Roman"/>
                <w:sz w:val="24"/>
                <w:szCs w:val="24"/>
              </w:rPr>
              <w:t>n</w:t>
            </w:r>
            <w:r w:rsidR="003E4ABD">
              <w:rPr>
                <w:rFonts w:ascii="Times New Roman" w:hAnsi="Times New Roman"/>
                <w:sz w:val="24"/>
                <w:szCs w:val="24"/>
              </w:rPr>
              <w:t xml:space="preserve">av iespējams izstrādāt tehnisko projektu rekonstrukcijas darbu veikšanai un uzsākt rekonstrukcijas darbus VSAC „Vidzeme” filiāles „Allaži” avārijas stāvoklī esošās ēkas </w:t>
            </w:r>
            <w:r w:rsidR="003E4ABD">
              <w:rPr>
                <w:rFonts w:ascii="Times New Roman" w:hAnsi="Times New Roman"/>
                <w:sz w:val="24"/>
                <w:szCs w:val="24"/>
              </w:rPr>
              <w:lastRenderedPageBreak/>
              <w:t>sakārtošanai.</w:t>
            </w:r>
          </w:p>
          <w:p w:rsidR="00A41B6D" w:rsidRPr="002D7F51" w:rsidRDefault="00A41B6D" w:rsidP="002D7F51">
            <w:pPr>
              <w:spacing w:after="0" w:line="240" w:lineRule="auto"/>
              <w:jc w:val="both"/>
              <w:rPr>
                <w:rFonts w:ascii="Times New Roman" w:eastAsia="Times New Roman" w:hAnsi="Times New Roman"/>
                <w:color w:val="000000" w:themeColor="text1"/>
                <w:sz w:val="24"/>
                <w:szCs w:val="24"/>
                <w:lang w:eastAsia="lv-LV"/>
              </w:rPr>
            </w:pPr>
            <w:r w:rsidRPr="002D7F51">
              <w:rPr>
                <w:rFonts w:ascii="Times New Roman" w:eastAsia="Times New Roman" w:hAnsi="Times New Roman"/>
                <w:color w:val="000000" w:themeColor="text1"/>
                <w:sz w:val="24"/>
                <w:szCs w:val="24"/>
                <w:lang w:eastAsia="lv-LV"/>
              </w:rPr>
              <w:t xml:space="preserve">Rīkojuma projekts ietekmē likumā „Par valsts budžetu 2014.gadam” noteikto kopējo apropriācijas apmēru budžeta programmas 99.00.00. „Līdzekļu neparedzētiem gadījumiem izlietojums” pasākumiem, jo paredz papildus nepieciešamā finansējuma 2014.gadam 125 171 </w:t>
            </w:r>
            <w:proofErr w:type="spellStart"/>
            <w:r w:rsidRPr="002D7F51">
              <w:rPr>
                <w:rFonts w:ascii="Times New Roman" w:eastAsia="Times New Roman" w:hAnsi="Times New Roman"/>
                <w:color w:val="000000" w:themeColor="text1"/>
                <w:sz w:val="24"/>
                <w:szCs w:val="24"/>
                <w:lang w:eastAsia="lv-LV"/>
              </w:rPr>
              <w:t>euro</w:t>
            </w:r>
            <w:proofErr w:type="spellEnd"/>
            <w:r w:rsidRPr="002D7F51">
              <w:rPr>
                <w:rFonts w:ascii="Times New Roman" w:eastAsia="Times New Roman" w:hAnsi="Times New Roman"/>
                <w:color w:val="000000" w:themeColor="text1"/>
                <w:sz w:val="24"/>
                <w:szCs w:val="24"/>
                <w:lang w:eastAsia="lv-LV"/>
              </w:rPr>
              <w:t xml:space="preserve"> apmērā piešķiršanu Labklājības ministrijai no Finanšu ministrijas valsts budžeta programmas 02.00.00 „Līdzekļi neparedzētiem gadījumiem” valsts sociālās aprūpes centra „Vidzeme” filiāles „Allaži” avārijas stāvoklī esošās ēkas tehniskā projekta izstrādei un rekonstrukcijas uzsākšanai.</w:t>
            </w:r>
          </w:p>
          <w:p w:rsidR="002D7F51" w:rsidRPr="002D7F51" w:rsidRDefault="002D7F51" w:rsidP="002D7F51">
            <w:pPr>
              <w:spacing w:after="0" w:line="240" w:lineRule="auto"/>
              <w:jc w:val="both"/>
              <w:rPr>
                <w:rFonts w:ascii="Times New Roman" w:eastAsia="Times New Roman" w:hAnsi="Times New Roman"/>
                <w:color w:val="FF0000"/>
                <w:sz w:val="24"/>
                <w:szCs w:val="24"/>
                <w:lang w:eastAsia="lv-LV"/>
              </w:rPr>
            </w:pPr>
          </w:p>
        </w:tc>
      </w:tr>
      <w:tr w:rsidR="00C92784" w:rsidRPr="00EC5DE5" w:rsidTr="003E4ABD">
        <w:tc>
          <w:tcPr>
            <w:tcW w:w="257" w:type="pct"/>
          </w:tcPr>
          <w:p w:rsidR="00C92784" w:rsidRPr="00EC5DE5" w:rsidRDefault="00A41B6D"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00C92784" w:rsidRPr="00EC5DE5">
              <w:rPr>
                <w:rFonts w:ascii="Times New Roman" w:eastAsia="Times New Roman" w:hAnsi="Times New Roman"/>
                <w:sz w:val="24"/>
                <w:szCs w:val="24"/>
                <w:lang w:eastAsia="lv-LV"/>
              </w:rPr>
              <w:t>.</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Projekta izstrādē iesaistītās institūcijas</w:t>
            </w:r>
          </w:p>
        </w:tc>
        <w:tc>
          <w:tcPr>
            <w:tcW w:w="3773" w:type="pct"/>
            <w:vAlign w:val="center"/>
          </w:tcPr>
          <w:p w:rsidR="00C92784" w:rsidRPr="00EC5DE5" w:rsidRDefault="00C92784" w:rsidP="00615B32">
            <w:pPr>
              <w:spacing w:before="75" w:after="75" w:line="240" w:lineRule="auto"/>
              <w:jc w:val="both"/>
              <w:rPr>
                <w:rFonts w:ascii="Times New Roman" w:eastAsia="Times New Roman" w:hAnsi="Times New Roman"/>
                <w:sz w:val="24"/>
                <w:szCs w:val="24"/>
                <w:lang w:eastAsia="lv-LV"/>
              </w:rPr>
            </w:pPr>
            <w:r w:rsidRPr="00EC5DE5">
              <w:rPr>
                <w:rFonts w:ascii="Times New Roman" w:eastAsia="Times New Roman" w:hAnsi="Times New Roman"/>
                <w:iCs/>
                <w:sz w:val="24"/>
                <w:szCs w:val="24"/>
                <w:lang w:eastAsia="lv-LV"/>
              </w:rPr>
              <w:t>Valsts sociālās aprūpes centr</w:t>
            </w:r>
            <w:r w:rsidR="00615B32">
              <w:rPr>
                <w:rFonts w:ascii="Times New Roman" w:eastAsia="Times New Roman" w:hAnsi="Times New Roman"/>
                <w:iCs/>
                <w:sz w:val="24"/>
                <w:szCs w:val="24"/>
                <w:lang w:eastAsia="lv-LV"/>
              </w:rPr>
              <w:t>s „Vidzeme”</w:t>
            </w:r>
            <w:r w:rsidR="008C7ED3">
              <w:rPr>
                <w:rFonts w:ascii="Times New Roman" w:eastAsia="Times New Roman" w:hAnsi="Times New Roman"/>
                <w:iCs/>
                <w:sz w:val="24"/>
                <w:szCs w:val="24"/>
                <w:lang w:eastAsia="lv-LV"/>
              </w:rPr>
              <w:t>.</w:t>
            </w:r>
          </w:p>
        </w:tc>
      </w:tr>
      <w:tr w:rsidR="00C92784" w:rsidRPr="00EC5DE5" w:rsidTr="003E4ABD">
        <w:tc>
          <w:tcPr>
            <w:tcW w:w="257" w:type="pct"/>
          </w:tcPr>
          <w:p w:rsidR="00C92784" w:rsidRPr="00EC5DE5" w:rsidRDefault="00A41B6D"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C92784" w:rsidRPr="00EC5DE5">
              <w:rPr>
                <w:rFonts w:ascii="Times New Roman" w:eastAsia="Times New Roman" w:hAnsi="Times New Roman"/>
                <w:sz w:val="24"/>
                <w:szCs w:val="24"/>
                <w:lang w:eastAsia="lv-LV"/>
              </w:rPr>
              <w:t xml:space="preserve">. </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3773" w:type="pct"/>
          </w:tcPr>
          <w:p w:rsidR="00C92784" w:rsidRPr="002D7F51" w:rsidRDefault="00C92784" w:rsidP="0084703E">
            <w:pPr>
              <w:spacing w:after="0" w:line="240" w:lineRule="auto"/>
              <w:jc w:val="both"/>
              <w:rPr>
                <w:rFonts w:ascii="Times New Roman" w:eastAsia="Times New Roman" w:hAnsi="Times New Roman"/>
                <w:sz w:val="24"/>
                <w:szCs w:val="24"/>
                <w:lang w:eastAsia="lv-LV"/>
              </w:rPr>
            </w:pPr>
            <w:r w:rsidRPr="002D7F51">
              <w:rPr>
                <w:rFonts w:ascii="Times New Roman" w:eastAsia="Times New Roman" w:hAnsi="Times New Roman"/>
                <w:sz w:val="24"/>
                <w:szCs w:val="24"/>
                <w:lang w:eastAsia="lv-LV"/>
              </w:rPr>
              <w:t>Nav.</w:t>
            </w: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3"/>
        <w:gridCol w:w="5721"/>
      </w:tblGrid>
      <w:tr w:rsidR="00C92784" w:rsidRPr="00EC5DE5" w:rsidTr="0084703E">
        <w:tc>
          <w:tcPr>
            <w:tcW w:w="9180" w:type="dxa"/>
            <w:gridSpan w:val="3"/>
            <w:shd w:val="clear" w:color="auto" w:fill="auto"/>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II Tiesību akta projekta ietekme uz sabiedrību</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w:t>
            </w:r>
          </w:p>
        </w:tc>
        <w:tc>
          <w:tcPr>
            <w:tcW w:w="3063" w:type="dxa"/>
            <w:shd w:val="clear" w:color="auto" w:fill="auto"/>
          </w:tcPr>
          <w:p w:rsidR="00C92784" w:rsidRPr="00EC5DE5" w:rsidRDefault="00A41B6D" w:rsidP="0084703E">
            <w:pPr>
              <w:spacing w:after="0" w:line="240" w:lineRule="auto"/>
              <w:rPr>
                <w:rFonts w:ascii="Times New Roman" w:eastAsia="Times New Roman" w:hAnsi="Times New Roman"/>
                <w:sz w:val="24"/>
                <w:szCs w:val="24"/>
                <w:lang w:eastAsia="lv-LV"/>
              </w:rPr>
            </w:pPr>
            <w:r w:rsidRPr="00A41B6D">
              <w:rPr>
                <w:rFonts w:ascii="Times New Roman" w:eastAsia="Times New Roman" w:hAnsi="Times New Roman"/>
                <w:sz w:val="24"/>
                <w:szCs w:val="24"/>
                <w:lang w:eastAsia="lv-LV"/>
              </w:rPr>
              <w:t>Sabiedrības mērķgrupas, kuras tiesiskais regulējums ietekmē vai varētu ietekmēt</w:t>
            </w:r>
          </w:p>
        </w:tc>
        <w:tc>
          <w:tcPr>
            <w:tcW w:w="5721" w:type="dxa"/>
            <w:shd w:val="clear" w:color="auto" w:fill="auto"/>
          </w:tcPr>
          <w:p w:rsidR="00EC5DE5" w:rsidRPr="00EC5DE5" w:rsidRDefault="00615B32" w:rsidP="0084703E">
            <w:pPr>
              <w:spacing w:after="0" w:line="240" w:lineRule="auto"/>
              <w:jc w:val="both"/>
              <w:rPr>
                <w:rFonts w:ascii="Times New Roman" w:hAnsi="Times New Roman"/>
                <w:sz w:val="24"/>
                <w:szCs w:val="24"/>
              </w:rPr>
            </w:pPr>
            <w:r w:rsidRPr="00D4286F">
              <w:rPr>
                <w:rFonts w:ascii="Times New Roman" w:eastAsia="Times New Roman" w:hAnsi="Times New Roman"/>
                <w:sz w:val="24"/>
                <w:szCs w:val="24"/>
                <w:lang w:eastAsia="lv-LV"/>
              </w:rPr>
              <w:t>Ilgstošas sociālās aprūpes un sociālās rehabilitācijas  pakalpojums tiek nodrošināts pilngadīgām personām ar smagiem garīga rakstura traucējumiem (I un II grupas invalīdiem).</w:t>
            </w:r>
          </w:p>
        </w:tc>
      </w:tr>
      <w:tr w:rsidR="00C92784" w:rsidRPr="00EC5DE5" w:rsidTr="0084703E">
        <w:tc>
          <w:tcPr>
            <w:tcW w:w="396" w:type="dxa"/>
            <w:shd w:val="clear" w:color="auto" w:fill="auto"/>
          </w:tcPr>
          <w:p w:rsidR="00C92784" w:rsidRPr="00EC5DE5" w:rsidRDefault="00A41B6D"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C92784" w:rsidRPr="00EC5DE5">
              <w:rPr>
                <w:rFonts w:ascii="Times New Roman" w:eastAsia="Times New Roman" w:hAnsi="Times New Roman"/>
                <w:sz w:val="24"/>
                <w:szCs w:val="24"/>
                <w:lang w:eastAsia="lv-LV"/>
              </w:rPr>
              <w:t xml:space="preserve">. </w:t>
            </w:r>
          </w:p>
        </w:tc>
        <w:tc>
          <w:tcPr>
            <w:tcW w:w="3063" w:type="dxa"/>
            <w:shd w:val="clear" w:color="auto" w:fill="auto"/>
          </w:tcPr>
          <w:p w:rsidR="00C92784" w:rsidRPr="00EC5DE5" w:rsidRDefault="00A41B6D" w:rsidP="0084703E">
            <w:pPr>
              <w:spacing w:after="0" w:line="240" w:lineRule="auto"/>
              <w:rPr>
                <w:rFonts w:ascii="Times New Roman" w:eastAsia="Times New Roman" w:hAnsi="Times New Roman"/>
                <w:sz w:val="24"/>
                <w:szCs w:val="24"/>
                <w:lang w:eastAsia="lv-LV"/>
              </w:rPr>
            </w:pPr>
            <w:r w:rsidRPr="00A41B6D">
              <w:rPr>
                <w:rFonts w:ascii="Times New Roman" w:eastAsia="Times New Roman" w:hAnsi="Times New Roman"/>
                <w:sz w:val="24"/>
                <w:szCs w:val="24"/>
                <w:lang w:eastAsia="lv-LV"/>
              </w:rPr>
              <w:t>Tiesiskā regulējuma ietekme uz tautsaimniecību un administratīvo slogu</w:t>
            </w:r>
          </w:p>
        </w:tc>
        <w:tc>
          <w:tcPr>
            <w:tcW w:w="5721" w:type="dxa"/>
            <w:shd w:val="clear" w:color="auto" w:fill="auto"/>
          </w:tcPr>
          <w:p w:rsidR="00C92784" w:rsidRPr="002D7F51" w:rsidRDefault="00377894" w:rsidP="00377894">
            <w:pPr>
              <w:spacing w:after="0" w:line="240" w:lineRule="auto"/>
              <w:ind w:right="180"/>
              <w:jc w:val="both"/>
              <w:rPr>
                <w:rFonts w:ascii="Times New Roman" w:eastAsia="Times New Roman" w:hAnsi="Times New Roman"/>
                <w:color w:val="000000" w:themeColor="text1"/>
                <w:sz w:val="24"/>
                <w:szCs w:val="24"/>
                <w:lang w:eastAsia="lv-LV"/>
              </w:rPr>
            </w:pPr>
            <w:r w:rsidRPr="002D7F51">
              <w:rPr>
                <w:rFonts w:ascii="Times New Roman" w:eastAsia="Times New Roman" w:hAnsi="Times New Roman"/>
                <w:color w:val="000000" w:themeColor="text1"/>
                <w:sz w:val="24"/>
                <w:szCs w:val="24"/>
                <w:lang w:eastAsia="lv-LV"/>
              </w:rPr>
              <w:t>Projektam nav ietekmes uz tautsaimniecību. Administratīvais slogs nemainās, jo projekts neparedz institūciju likvidāciju vai to darbības paplašināšanu.</w:t>
            </w:r>
          </w:p>
        </w:tc>
      </w:tr>
      <w:tr w:rsidR="00C92784" w:rsidRPr="00EC5DE5" w:rsidTr="0084703E">
        <w:tc>
          <w:tcPr>
            <w:tcW w:w="396" w:type="dxa"/>
            <w:shd w:val="clear" w:color="auto" w:fill="auto"/>
          </w:tcPr>
          <w:p w:rsidR="00C92784" w:rsidRPr="00EC5DE5" w:rsidRDefault="00A41B6D"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C92784" w:rsidRPr="00EC5DE5">
              <w:rPr>
                <w:rFonts w:ascii="Times New Roman" w:eastAsia="Times New Roman" w:hAnsi="Times New Roman"/>
                <w:sz w:val="24"/>
                <w:szCs w:val="24"/>
                <w:lang w:eastAsia="lv-LV"/>
              </w:rPr>
              <w:t>.</w:t>
            </w:r>
          </w:p>
        </w:tc>
        <w:tc>
          <w:tcPr>
            <w:tcW w:w="3063" w:type="dxa"/>
            <w:shd w:val="clear" w:color="auto" w:fill="auto"/>
          </w:tcPr>
          <w:p w:rsidR="00C92784" w:rsidRPr="00EC5DE5" w:rsidRDefault="00A41B6D" w:rsidP="0084703E">
            <w:pPr>
              <w:spacing w:after="0" w:line="240" w:lineRule="auto"/>
              <w:rPr>
                <w:rFonts w:ascii="Times New Roman" w:eastAsia="Times New Roman" w:hAnsi="Times New Roman"/>
                <w:sz w:val="24"/>
                <w:szCs w:val="24"/>
                <w:lang w:eastAsia="lv-LV"/>
              </w:rPr>
            </w:pPr>
            <w:r w:rsidRPr="00A41B6D">
              <w:rPr>
                <w:rFonts w:ascii="Times New Roman" w:eastAsia="Times New Roman" w:hAnsi="Times New Roman"/>
                <w:sz w:val="24"/>
                <w:szCs w:val="24"/>
                <w:lang w:eastAsia="lv-LV"/>
              </w:rPr>
              <w:t>Administratīvo izmaksu monetārs novērtējums</w:t>
            </w:r>
          </w:p>
        </w:tc>
        <w:tc>
          <w:tcPr>
            <w:tcW w:w="5721" w:type="dxa"/>
            <w:shd w:val="clear" w:color="auto" w:fill="auto"/>
          </w:tcPr>
          <w:p w:rsidR="00C92784" w:rsidRPr="002D7F51" w:rsidRDefault="00377894" w:rsidP="0084703E">
            <w:pPr>
              <w:spacing w:after="0" w:line="240" w:lineRule="auto"/>
              <w:ind w:right="180"/>
              <w:jc w:val="both"/>
              <w:rPr>
                <w:rFonts w:ascii="Times New Roman" w:eastAsia="Times New Roman" w:hAnsi="Times New Roman"/>
                <w:color w:val="000000" w:themeColor="text1"/>
                <w:sz w:val="24"/>
                <w:szCs w:val="24"/>
                <w:lang w:eastAsia="lv-LV"/>
              </w:rPr>
            </w:pPr>
            <w:r w:rsidRPr="002D7F51">
              <w:rPr>
                <w:rFonts w:ascii="Times New Roman" w:eastAsia="Times New Roman" w:hAnsi="Times New Roman"/>
                <w:color w:val="000000" w:themeColor="text1"/>
                <w:sz w:val="24"/>
                <w:szCs w:val="24"/>
                <w:lang w:eastAsia="lv-LV"/>
              </w:rPr>
              <w:t>Nav.</w:t>
            </w:r>
          </w:p>
        </w:tc>
      </w:tr>
      <w:tr w:rsidR="00C92784" w:rsidRPr="00EC5DE5" w:rsidTr="0084703E">
        <w:tc>
          <w:tcPr>
            <w:tcW w:w="396" w:type="dxa"/>
            <w:shd w:val="clear" w:color="auto" w:fill="auto"/>
          </w:tcPr>
          <w:p w:rsidR="00C92784" w:rsidRPr="00EC5DE5" w:rsidRDefault="00A41B6D"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C92784" w:rsidRPr="00EC5DE5">
              <w:rPr>
                <w:rFonts w:ascii="Times New Roman" w:eastAsia="Times New Roman" w:hAnsi="Times New Roman"/>
                <w:sz w:val="24"/>
                <w:szCs w:val="24"/>
                <w:lang w:eastAsia="lv-LV"/>
              </w:rPr>
              <w:t xml:space="preserve">. </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5721" w:type="dxa"/>
            <w:shd w:val="clear" w:color="auto" w:fill="auto"/>
          </w:tcPr>
          <w:p w:rsidR="00C92784" w:rsidRPr="002D7F51" w:rsidRDefault="00A41B6D" w:rsidP="0084703E">
            <w:pPr>
              <w:spacing w:after="0" w:line="240" w:lineRule="auto"/>
              <w:ind w:right="180"/>
              <w:jc w:val="both"/>
              <w:rPr>
                <w:rFonts w:ascii="Times New Roman" w:eastAsia="Times New Roman" w:hAnsi="Times New Roman"/>
                <w:color w:val="000000" w:themeColor="text1"/>
                <w:sz w:val="24"/>
                <w:szCs w:val="24"/>
                <w:lang w:eastAsia="lv-LV"/>
              </w:rPr>
            </w:pPr>
            <w:r w:rsidRPr="002D7F51">
              <w:rPr>
                <w:rFonts w:ascii="Times New Roman" w:eastAsia="Times New Roman" w:hAnsi="Times New Roman"/>
                <w:color w:val="000000" w:themeColor="text1"/>
                <w:sz w:val="24"/>
                <w:szCs w:val="24"/>
                <w:lang w:eastAsia="lv-LV"/>
              </w:rPr>
              <w:t>Nav.</w:t>
            </w:r>
          </w:p>
          <w:p w:rsidR="00C92784" w:rsidRPr="002D7F51" w:rsidRDefault="00C92784" w:rsidP="0084703E">
            <w:pPr>
              <w:spacing w:after="0" w:line="240" w:lineRule="auto"/>
              <w:ind w:right="180"/>
              <w:jc w:val="both"/>
              <w:rPr>
                <w:rFonts w:ascii="Times New Roman" w:eastAsia="Times New Roman" w:hAnsi="Times New Roman"/>
                <w:color w:val="000000" w:themeColor="text1"/>
                <w:sz w:val="24"/>
                <w:szCs w:val="24"/>
                <w:lang w:eastAsia="lv-LV"/>
              </w:rPr>
            </w:pP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223"/>
        <w:gridCol w:w="1560"/>
        <w:gridCol w:w="1063"/>
        <w:gridCol w:w="1152"/>
        <w:gridCol w:w="1187"/>
        <w:gridCol w:w="141"/>
        <w:gridCol w:w="1134"/>
        <w:gridCol w:w="1134"/>
      </w:tblGrid>
      <w:tr w:rsidR="00C92784" w:rsidRPr="00EC5DE5" w:rsidTr="0084703E">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III Tiesību akta projekta ietekme uz valsts budžetu un pašvaldību budžetiem</w:t>
            </w:r>
          </w:p>
        </w:tc>
      </w:tr>
      <w:tr w:rsidR="00C92784" w:rsidRPr="00EC5DE5" w:rsidTr="0084703E">
        <w:tc>
          <w:tcPr>
            <w:tcW w:w="5584" w:type="dxa"/>
            <w:gridSpan w:val="5"/>
          </w:tcPr>
          <w:p w:rsidR="00C92784" w:rsidRPr="00EC5DE5" w:rsidRDefault="00C92784" w:rsidP="0084703E">
            <w:pPr>
              <w:spacing w:after="0" w:line="240" w:lineRule="auto"/>
              <w:jc w:val="center"/>
              <w:rPr>
                <w:rFonts w:ascii="Times New Roman" w:eastAsia="Times New Roman" w:hAnsi="Times New Roman"/>
                <w:sz w:val="24"/>
                <w:szCs w:val="24"/>
                <w:lang w:eastAsia="lv-LV"/>
              </w:rPr>
            </w:pPr>
          </w:p>
        </w:tc>
        <w:tc>
          <w:tcPr>
            <w:tcW w:w="3596" w:type="dxa"/>
            <w:gridSpan w:val="4"/>
            <w:vAlign w:val="center"/>
          </w:tcPr>
          <w:p w:rsidR="00C92784" w:rsidRPr="00EC5DE5" w:rsidRDefault="00FC4B12" w:rsidP="008E62A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C92784" w:rsidRPr="00EC5DE5">
              <w:rPr>
                <w:rFonts w:ascii="Times New Roman" w:eastAsia="Times New Roman" w:hAnsi="Times New Roman"/>
                <w:sz w:val="24"/>
                <w:szCs w:val="24"/>
                <w:lang w:eastAsia="lv-LV"/>
              </w:rPr>
              <w:t xml:space="preserve"> </w:t>
            </w:r>
            <w:proofErr w:type="spellStart"/>
            <w:r w:rsidR="008E62AF">
              <w:rPr>
                <w:rFonts w:ascii="Times New Roman" w:eastAsia="Times New Roman" w:hAnsi="Times New Roman"/>
                <w:sz w:val="24"/>
                <w:szCs w:val="24"/>
                <w:lang w:eastAsia="lv-LV"/>
              </w:rPr>
              <w:t>euro</w:t>
            </w:r>
            <w:proofErr w:type="spellEnd"/>
            <w:r w:rsidR="00C92784" w:rsidRPr="00EC5DE5">
              <w:rPr>
                <w:rFonts w:ascii="Times New Roman" w:eastAsia="Times New Roman" w:hAnsi="Times New Roman"/>
                <w:sz w:val="24"/>
                <w:szCs w:val="24"/>
                <w:lang w:eastAsia="lv-LV"/>
              </w:rPr>
              <w:t>)</w:t>
            </w:r>
          </w:p>
        </w:tc>
      </w:tr>
      <w:tr w:rsidR="00C92784" w:rsidRPr="00EC5DE5" w:rsidTr="003E4ABD">
        <w:tc>
          <w:tcPr>
            <w:tcW w:w="1809" w:type="dxa"/>
            <w:gridSpan w:val="2"/>
            <w:vMerge w:val="restart"/>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b/>
                <w:sz w:val="24"/>
                <w:szCs w:val="24"/>
                <w:lang w:eastAsia="lv-LV"/>
              </w:rPr>
              <w:t>Rādītāji</w:t>
            </w:r>
          </w:p>
        </w:tc>
        <w:tc>
          <w:tcPr>
            <w:tcW w:w="3775" w:type="dxa"/>
            <w:gridSpan w:val="3"/>
            <w:vMerge w:val="restart"/>
            <w:vAlign w:val="bottom"/>
          </w:tcPr>
          <w:p w:rsidR="00C92784" w:rsidRPr="00EC5DE5" w:rsidRDefault="00C92784" w:rsidP="0060640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b/>
                <w:sz w:val="24"/>
                <w:szCs w:val="24"/>
                <w:lang w:eastAsia="lv-LV"/>
              </w:rPr>
              <w:t>201</w:t>
            </w:r>
            <w:r w:rsidR="0060640E">
              <w:rPr>
                <w:rFonts w:ascii="Times New Roman" w:eastAsia="Times New Roman" w:hAnsi="Times New Roman"/>
                <w:b/>
                <w:sz w:val="24"/>
                <w:szCs w:val="24"/>
                <w:lang w:eastAsia="lv-LV"/>
              </w:rPr>
              <w:t>4</w:t>
            </w:r>
          </w:p>
        </w:tc>
        <w:tc>
          <w:tcPr>
            <w:tcW w:w="3596" w:type="dxa"/>
            <w:gridSpan w:val="4"/>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Turpmākie trīs gadi</w:t>
            </w:r>
          </w:p>
        </w:tc>
      </w:tr>
      <w:tr w:rsidR="00C92784" w:rsidRPr="00EC5DE5" w:rsidTr="003E4ABD">
        <w:tc>
          <w:tcPr>
            <w:tcW w:w="1809" w:type="dxa"/>
            <w:gridSpan w:val="2"/>
            <w:vMerge/>
          </w:tcPr>
          <w:p w:rsidR="00C92784" w:rsidRPr="00EC5DE5" w:rsidRDefault="00C92784" w:rsidP="0084703E">
            <w:pPr>
              <w:spacing w:after="0" w:line="240" w:lineRule="auto"/>
              <w:jc w:val="center"/>
              <w:rPr>
                <w:rFonts w:ascii="Times New Roman" w:eastAsia="Times New Roman" w:hAnsi="Times New Roman"/>
                <w:sz w:val="24"/>
                <w:szCs w:val="24"/>
                <w:lang w:eastAsia="lv-LV"/>
              </w:rPr>
            </w:pPr>
          </w:p>
        </w:tc>
        <w:tc>
          <w:tcPr>
            <w:tcW w:w="3775" w:type="dxa"/>
            <w:gridSpan w:val="3"/>
            <w:vMerge/>
          </w:tcPr>
          <w:p w:rsidR="00C92784" w:rsidRPr="00EC5DE5" w:rsidRDefault="00C92784" w:rsidP="0084703E">
            <w:pPr>
              <w:spacing w:after="0" w:line="240" w:lineRule="auto"/>
              <w:jc w:val="center"/>
              <w:rPr>
                <w:rFonts w:ascii="Times New Roman" w:eastAsia="Times New Roman" w:hAnsi="Times New Roman"/>
                <w:b/>
                <w:sz w:val="24"/>
                <w:szCs w:val="24"/>
                <w:lang w:eastAsia="lv-LV"/>
              </w:rPr>
            </w:pPr>
          </w:p>
        </w:tc>
        <w:tc>
          <w:tcPr>
            <w:tcW w:w="1187" w:type="dxa"/>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5</w:t>
            </w:r>
          </w:p>
        </w:tc>
        <w:tc>
          <w:tcPr>
            <w:tcW w:w="1275" w:type="dxa"/>
            <w:gridSpan w:val="2"/>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6</w:t>
            </w:r>
          </w:p>
        </w:tc>
        <w:tc>
          <w:tcPr>
            <w:tcW w:w="1134" w:type="dxa"/>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7</w:t>
            </w:r>
          </w:p>
        </w:tc>
      </w:tr>
      <w:tr w:rsidR="00C92784" w:rsidRPr="00EC5DE5" w:rsidTr="003E4ABD">
        <w:tc>
          <w:tcPr>
            <w:tcW w:w="1809" w:type="dxa"/>
            <w:gridSpan w:val="2"/>
            <w:vMerge/>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p>
        </w:tc>
        <w:tc>
          <w:tcPr>
            <w:tcW w:w="1560" w:type="dxa"/>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Saskaņā ar valsts budžetu kārtējam gadam</w:t>
            </w:r>
          </w:p>
        </w:tc>
        <w:tc>
          <w:tcPr>
            <w:tcW w:w="2215" w:type="dxa"/>
            <w:gridSpan w:val="2"/>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kārtējā gadā salīdzinot ar budžetu kārtējam gadam</w:t>
            </w:r>
          </w:p>
        </w:tc>
        <w:tc>
          <w:tcPr>
            <w:tcW w:w="1187" w:type="dxa"/>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c>
          <w:tcPr>
            <w:tcW w:w="1275" w:type="dxa"/>
            <w:gridSpan w:val="2"/>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c>
          <w:tcPr>
            <w:tcW w:w="1134" w:type="dxa"/>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r>
      <w:tr w:rsidR="00C92784" w:rsidRPr="00EC5DE5" w:rsidTr="003E4ABD">
        <w:trPr>
          <w:trHeight w:val="388"/>
        </w:trPr>
        <w:tc>
          <w:tcPr>
            <w:tcW w:w="1809" w:type="dxa"/>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1</w:t>
            </w:r>
          </w:p>
        </w:tc>
        <w:tc>
          <w:tcPr>
            <w:tcW w:w="1560" w:type="dxa"/>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2</w:t>
            </w:r>
          </w:p>
        </w:tc>
        <w:tc>
          <w:tcPr>
            <w:tcW w:w="2215" w:type="dxa"/>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3</w:t>
            </w:r>
          </w:p>
        </w:tc>
        <w:tc>
          <w:tcPr>
            <w:tcW w:w="1187" w:type="dxa"/>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4</w:t>
            </w:r>
          </w:p>
        </w:tc>
        <w:tc>
          <w:tcPr>
            <w:tcW w:w="1275" w:type="dxa"/>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5</w:t>
            </w:r>
          </w:p>
        </w:tc>
        <w:tc>
          <w:tcPr>
            <w:tcW w:w="1134" w:type="dxa"/>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6</w:t>
            </w:r>
          </w:p>
        </w:tc>
      </w:tr>
      <w:tr w:rsidR="00C92784" w:rsidRPr="00EC5DE5" w:rsidTr="003E4ABD">
        <w:tc>
          <w:tcPr>
            <w:tcW w:w="1809" w:type="dxa"/>
            <w:gridSpan w:val="2"/>
          </w:tcPr>
          <w:p w:rsidR="00C92784" w:rsidRPr="00EC5DE5" w:rsidRDefault="00C92784" w:rsidP="0084703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sz w:val="24"/>
                <w:szCs w:val="24"/>
                <w:lang w:eastAsia="lv-LV"/>
              </w:rPr>
              <w:t>1. Budžeta ieņēmumi:</w:t>
            </w:r>
          </w:p>
        </w:tc>
        <w:tc>
          <w:tcPr>
            <w:tcW w:w="1560" w:type="dxa"/>
          </w:tcPr>
          <w:p w:rsidR="00C92784" w:rsidRPr="003E4ABD" w:rsidRDefault="00A704B9" w:rsidP="0084703E">
            <w:pPr>
              <w:spacing w:after="0" w:line="240" w:lineRule="auto"/>
              <w:jc w:val="center"/>
              <w:rPr>
                <w:rFonts w:ascii="Times New Roman" w:eastAsia="Times New Roman" w:hAnsi="Times New Roman"/>
                <w:b/>
                <w:sz w:val="24"/>
                <w:szCs w:val="24"/>
                <w:lang w:eastAsia="lv-LV"/>
              </w:rPr>
            </w:pPr>
            <w:r>
              <w:rPr>
                <w:rFonts w:ascii="Times New Roman" w:eastAsiaTheme="minorHAnsi" w:hAnsi="Times New Roman"/>
                <w:color w:val="000000"/>
                <w:sz w:val="24"/>
                <w:szCs w:val="24"/>
              </w:rPr>
              <w:t>938 259</w:t>
            </w:r>
          </w:p>
        </w:tc>
        <w:tc>
          <w:tcPr>
            <w:tcW w:w="2215" w:type="dxa"/>
            <w:gridSpan w:val="2"/>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187" w:type="dxa"/>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275" w:type="dxa"/>
            <w:gridSpan w:val="2"/>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134" w:type="dxa"/>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r>
      <w:tr w:rsidR="00C92784" w:rsidRPr="00EC5DE5" w:rsidTr="003E4ABD">
        <w:trPr>
          <w:trHeight w:val="2164"/>
        </w:trPr>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lastRenderedPageBreak/>
              <w:t xml:space="preserve">1.1. valsts pamatbudžets, tai skaitā ieņēmumi no maksas pakalpojumiem un citi pašu ieņēmumi; </w:t>
            </w:r>
          </w:p>
        </w:tc>
        <w:tc>
          <w:tcPr>
            <w:tcW w:w="1560" w:type="dxa"/>
          </w:tcPr>
          <w:p w:rsidR="00A9518C" w:rsidRPr="003E4ABD" w:rsidRDefault="00D34F0B">
            <w:pPr>
              <w:spacing w:beforeAutospacing="1" w:after="0" w:afterAutospacing="1"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Saskaņā ar likumu „Par valsts budžetu 2014.gadam”, Labklājības ministrijas budžeta 99.00.00 programmā  „Līdzekļu neparedzētiem gadījumiem izlietojums” plānots finansējums   </w:t>
            </w:r>
            <w:r w:rsidR="0006470E" w:rsidRPr="003E4ABD">
              <w:rPr>
                <w:rFonts w:ascii="Times New Roman" w:eastAsia="Times New Roman" w:hAnsi="Times New Roman"/>
                <w:sz w:val="24"/>
                <w:szCs w:val="24"/>
                <w:lang w:eastAsia="lv-LV"/>
              </w:rPr>
              <w:t xml:space="preserve">  938 259</w:t>
            </w:r>
            <w:r w:rsidRPr="003E4ABD">
              <w:rPr>
                <w:rFonts w:ascii="Times New Roman" w:eastAsia="Times New Roman" w:hAnsi="Times New Roman"/>
                <w:sz w:val="24"/>
                <w:szCs w:val="24"/>
                <w:lang w:eastAsia="lv-LV"/>
              </w:rPr>
              <w:t xml:space="preserve"> </w:t>
            </w:r>
            <w:proofErr w:type="spellStart"/>
            <w:r w:rsidRPr="003E4ABD">
              <w:rPr>
                <w:rFonts w:ascii="Times New Roman" w:eastAsia="Times New Roman" w:hAnsi="Times New Roman"/>
                <w:sz w:val="24"/>
                <w:szCs w:val="24"/>
                <w:lang w:eastAsia="lv-LV"/>
              </w:rPr>
              <w:t>euro</w:t>
            </w:r>
            <w:proofErr w:type="spellEnd"/>
            <w:r w:rsidRPr="003E4ABD">
              <w:rPr>
                <w:rFonts w:ascii="Times New Roman" w:eastAsia="Times New Roman" w:hAnsi="Times New Roman"/>
                <w:sz w:val="24"/>
                <w:szCs w:val="24"/>
                <w:lang w:eastAsia="lv-LV"/>
              </w:rPr>
              <w:t xml:space="preserve"> apmērā.*</w:t>
            </w:r>
          </w:p>
        </w:tc>
        <w:tc>
          <w:tcPr>
            <w:tcW w:w="2215" w:type="dxa"/>
            <w:gridSpan w:val="2"/>
          </w:tcPr>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tc>
        <w:tc>
          <w:tcPr>
            <w:tcW w:w="1187" w:type="dxa"/>
            <w:vAlign w:val="center"/>
          </w:tcPr>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tc>
        <w:tc>
          <w:tcPr>
            <w:tcW w:w="1275" w:type="dxa"/>
            <w:gridSpan w:val="2"/>
            <w:vAlign w:val="center"/>
          </w:tcPr>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p>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p>
        </w:tc>
        <w:tc>
          <w:tcPr>
            <w:tcW w:w="1134" w:type="dxa"/>
            <w:vAlign w:val="center"/>
          </w:tcPr>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i/>
                <w:sz w:val="24"/>
                <w:szCs w:val="24"/>
                <w:lang w:eastAsia="lv-LV"/>
              </w:rPr>
            </w:pPr>
            <w:r w:rsidRPr="00EC5DE5">
              <w:rPr>
                <w:rFonts w:ascii="Times New Roman" w:eastAsia="Times New Roman" w:hAnsi="Times New Roman"/>
                <w:sz w:val="24"/>
                <w:szCs w:val="24"/>
                <w:lang w:eastAsia="lv-LV"/>
              </w:rPr>
              <w:t>1.2. valsts speciālais budžets;</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1.3. pašvaldību budžets</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2. Budžeta izdevumi:</w:t>
            </w:r>
          </w:p>
        </w:tc>
        <w:tc>
          <w:tcPr>
            <w:tcW w:w="1560" w:type="dxa"/>
          </w:tcPr>
          <w:p w:rsidR="00C92784" w:rsidRPr="00FC4B12" w:rsidRDefault="00A704B9" w:rsidP="0084703E">
            <w:pPr>
              <w:spacing w:after="0" w:line="240" w:lineRule="auto"/>
              <w:jc w:val="center"/>
              <w:rPr>
                <w:rFonts w:ascii="Times New Roman" w:eastAsia="Times New Roman" w:hAnsi="Times New Roman"/>
                <w:b/>
                <w:sz w:val="24"/>
                <w:szCs w:val="24"/>
                <w:lang w:eastAsia="lv-LV"/>
              </w:rPr>
            </w:pPr>
            <w:r>
              <w:rPr>
                <w:rFonts w:ascii="Times New Roman" w:eastAsiaTheme="minorHAnsi" w:hAnsi="Times New Roman"/>
                <w:b/>
                <w:color w:val="000000"/>
                <w:sz w:val="24"/>
                <w:szCs w:val="24"/>
              </w:rPr>
              <w:t>938 259</w:t>
            </w:r>
          </w:p>
        </w:tc>
        <w:tc>
          <w:tcPr>
            <w:tcW w:w="2215" w:type="dxa"/>
            <w:gridSpan w:val="2"/>
          </w:tcPr>
          <w:p w:rsidR="00C92784" w:rsidRPr="003E4ABD" w:rsidRDefault="00F927A3" w:rsidP="00C15C76">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125 171</w:t>
            </w:r>
          </w:p>
        </w:tc>
        <w:tc>
          <w:tcPr>
            <w:tcW w:w="1328" w:type="dxa"/>
            <w:gridSpan w:val="2"/>
          </w:tcPr>
          <w:p w:rsidR="00C92784" w:rsidRPr="003E4ABD" w:rsidRDefault="00091B88"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2.1. valsts pamatbudžets</w:t>
            </w:r>
          </w:p>
        </w:tc>
        <w:tc>
          <w:tcPr>
            <w:tcW w:w="1560" w:type="dxa"/>
          </w:tcPr>
          <w:p w:rsidR="00A9518C" w:rsidRPr="003E4ABD" w:rsidRDefault="003042A8" w:rsidP="00A704B9">
            <w:pPr>
              <w:spacing w:after="0" w:line="240" w:lineRule="auto"/>
              <w:rPr>
                <w:rFonts w:ascii="Times New Roman" w:eastAsia="Times New Roman" w:hAnsi="Times New Roman"/>
                <w:bCs/>
                <w:sz w:val="24"/>
                <w:szCs w:val="24"/>
                <w:lang w:eastAsia="lv-LV"/>
              </w:rPr>
            </w:pPr>
            <w:r w:rsidRPr="003E4ABD">
              <w:rPr>
                <w:rFonts w:ascii="Times New Roman" w:eastAsia="Times New Roman" w:hAnsi="Times New Roman"/>
                <w:sz w:val="24"/>
                <w:szCs w:val="24"/>
                <w:lang w:eastAsia="lv-LV"/>
              </w:rPr>
              <w:t xml:space="preserve">  Saskaņā ar likumu „Par valsts budžetu 2014.gadam”, Labklājības ministrijas budžeta 99.00.00 programmā  „Līdzekļu neparedzētiem gadījumiem izlietojums” plānots </w:t>
            </w:r>
            <w:r w:rsidRPr="00C43979">
              <w:rPr>
                <w:rFonts w:ascii="Times New Roman" w:eastAsia="Times New Roman" w:hAnsi="Times New Roman"/>
                <w:sz w:val="24"/>
                <w:szCs w:val="24"/>
                <w:lang w:eastAsia="lv-LV"/>
              </w:rPr>
              <w:t xml:space="preserve">finansējums     </w:t>
            </w:r>
            <w:r w:rsidR="00A704B9" w:rsidRPr="00C43979">
              <w:rPr>
                <w:rFonts w:ascii="Times New Roman" w:eastAsiaTheme="minorHAnsi" w:hAnsi="Times New Roman"/>
                <w:sz w:val="24"/>
                <w:szCs w:val="24"/>
              </w:rPr>
              <w:t>938 259</w:t>
            </w:r>
            <w:r w:rsidR="00FC4B12" w:rsidRPr="00C43979">
              <w:rPr>
                <w:rFonts w:ascii="Times New Roman" w:eastAsiaTheme="minorHAnsi" w:hAnsi="Times New Roman"/>
                <w:sz w:val="24"/>
                <w:szCs w:val="24"/>
              </w:rPr>
              <w:t xml:space="preserve"> </w:t>
            </w:r>
            <w:proofErr w:type="spellStart"/>
            <w:r w:rsidRPr="003E4ABD">
              <w:rPr>
                <w:rFonts w:ascii="Times New Roman" w:eastAsia="Times New Roman" w:hAnsi="Times New Roman"/>
                <w:sz w:val="24"/>
                <w:szCs w:val="24"/>
                <w:lang w:eastAsia="lv-LV"/>
              </w:rPr>
              <w:t>euro</w:t>
            </w:r>
            <w:proofErr w:type="spellEnd"/>
            <w:r w:rsidRPr="003E4ABD">
              <w:rPr>
                <w:rFonts w:ascii="Times New Roman" w:eastAsia="Times New Roman" w:hAnsi="Times New Roman"/>
                <w:sz w:val="24"/>
                <w:szCs w:val="24"/>
                <w:lang w:eastAsia="lv-LV"/>
              </w:rPr>
              <w:t xml:space="preserve"> apmērā.*</w:t>
            </w:r>
          </w:p>
        </w:tc>
        <w:tc>
          <w:tcPr>
            <w:tcW w:w="2215" w:type="dxa"/>
            <w:gridSpan w:val="2"/>
          </w:tcPr>
          <w:p w:rsidR="00C92784" w:rsidRPr="003E4ABD" w:rsidRDefault="00F927A3"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125 171</w:t>
            </w:r>
          </w:p>
        </w:tc>
        <w:tc>
          <w:tcPr>
            <w:tcW w:w="1328" w:type="dxa"/>
            <w:gridSpan w:val="2"/>
          </w:tcPr>
          <w:p w:rsidR="00C92784" w:rsidRPr="003E4ABD" w:rsidRDefault="00091B88"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2.2. valsts speciālais </w:t>
            </w:r>
            <w:r w:rsidRPr="00EC5DE5">
              <w:rPr>
                <w:rFonts w:ascii="Times New Roman" w:eastAsia="Times New Roman" w:hAnsi="Times New Roman"/>
                <w:sz w:val="24"/>
                <w:szCs w:val="24"/>
                <w:lang w:eastAsia="lv-LV"/>
              </w:rPr>
              <w:lastRenderedPageBreak/>
              <w:t>budžets;</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Projekts šo jomu neskar.</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lastRenderedPageBreak/>
              <w:t xml:space="preserve">2.3. pašvaldību budžets </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60640E" w:rsidRPr="00EC5DE5" w:rsidTr="003E4ABD">
        <w:tc>
          <w:tcPr>
            <w:tcW w:w="1809" w:type="dxa"/>
            <w:gridSpan w:val="2"/>
          </w:tcPr>
          <w:p w:rsidR="0060640E" w:rsidRPr="00EC5DE5" w:rsidRDefault="0060640E" w:rsidP="0084703E">
            <w:pPr>
              <w:spacing w:after="0" w:line="240" w:lineRule="auto"/>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3. Finansiālā ietekme:</w:t>
            </w:r>
          </w:p>
        </w:tc>
        <w:tc>
          <w:tcPr>
            <w:tcW w:w="1560"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0 </w:t>
            </w:r>
          </w:p>
        </w:tc>
        <w:tc>
          <w:tcPr>
            <w:tcW w:w="2215" w:type="dxa"/>
            <w:gridSpan w:val="2"/>
          </w:tcPr>
          <w:p w:rsidR="0060640E" w:rsidRPr="003E4ABD" w:rsidRDefault="00F927A3" w:rsidP="00F927A3">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-125 171</w:t>
            </w:r>
          </w:p>
        </w:tc>
        <w:tc>
          <w:tcPr>
            <w:tcW w:w="1328" w:type="dxa"/>
            <w:gridSpan w:val="2"/>
          </w:tcPr>
          <w:p w:rsidR="0060640E" w:rsidRPr="003E4ABD" w:rsidRDefault="00F94B99"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60640E" w:rsidRPr="003E4ABD" w:rsidRDefault="00F94B99"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60640E" w:rsidRPr="003E4ABD" w:rsidRDefault="00F94B99"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r>
      <w:tr w:rsidR="0060640E" w:rsidRPr="003E4ABD" w:rsidTr="003E4ABD">
        <w:tc>
          <w:tcPr>
            <w:tcW w:w="1809" w:type="dxa"/>
            <w:gridSpan w:val="2"/>
          </w:tcPr>
          <w:p w:rsidR="0060640E" w:rsidRPr="003E4ABD" w:rsidRDefault="0060640E" w:rsidP="0084703E">
            <w:pPr>
              <w:spacing w:after="0" w:line="240" w:lineRule="auto"/>
              <w:ind w:left="-120" w:firstLine="120"/>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3.1. valsts pamatbudžets;</w:t>
            </w:r>
          </w:p>
        </w:tc>
        <w:tc>
          <w:tcPr>
            <w:tcW w:w="1560" w:type="dxa"/>
            <w:vAlign w:val="center"/>
          </w:tcPr>
          <w:p w:rsidR="0060640E" w:rsidRPr="003E4ABD" w:rsidRDefault="0060640E" w:rsidP="0084703E">
            <w:pPr>
              <w:spacing w:after="0" w:line="240" w:lineRule="auto"/>
              <w:jc w:val="center"/>
              <w:rPr>
                <w:rFonts w:ascii="Times New Roman" w:eastAsia="Times New Roman" w:hAnsi="Times New Roman"/>
                <w:bCs/>
                <w:sz w:val="24"/>
                <w:szCs w:val="24"/>
                <w:lang w:eastAsia="lv-LV"/>
              </w:rPr>
            </w:pPr>
            <w:r w:rsidRPr="003E4ABD">
              <w:rPr>
                <w:rFonts w:ascii="Times New Roman" w:eastAsia="Times New Roman" w:hAnsi="Times New Roman"/>
                <w:bCs/>
                <w:sz w:val="24"/>
                <w:szCs w:val="24"/>
                <w:lang w:eastAsia="lv-LV"/>
              </w:rPr>
              <w:t>0</w:t>
            </w:r>
          </w:p>
        </w:tc>
        <w:tc>
          <w:tcPr>
            <w:tcW w:w="2215" w:type="dxa"/>
            <w:gridSpan w:val="2"/>
          </w:tcPr>
          <w:p w:rsidR="0060640E" w:rsidRPr="003E4ABD" w:rsidRDefault="0060640E" w:rsidP="00F927A3">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        </w:t>
            </w:r>
            <w:r w:rsidR="007D4A42">
              <w:rPr>
                <w:rFonts w:ascii="Times New Roman" w:eastAsia="Times New Roman" w:hAnsi="Times New Roman"/>
                <w:sz w:val="24"/>
                <w:szCs w:val="24"/>
                <w:lang w:eastAsia="lv-LV"/>
              </w:rPr>
              <w:t>-</w:t>
            </w:r>
            <w:r w:rsidR="00F927A3" w:rsidRPr="003E4ABD">
              <w:rPr>
                <w:rFonts w:ascii="Times New Roman" w:eastAsia="Times New Roman" w:hAnsi="Times New Roman"/>
                <w:sz w:val="24"/>
                <w:szCs w:val="24"/>
                <w:lang w:eastAsia="lv-LV"/>
              </w:rPr>
              <w:t>125 171</w:t>
            </w:r>
          </w:p>
        </w:tc>
        <w:tc>
          <w:tcPr>
            <w:tcW w:w="1328" w:type="dxa"/>
            <w:gridSpan w:val="2"/>
          </w:tcPr>
          <w:p w:rsidR="0060640E" w:rsidRPr="003E4ABD" w:rsidRDefault="00F94B99" w:rsidP="0084703E">
            <w:pPr>
              <w:jc w:val="center"/>
              <w:rPr>
                <w:rFonts w:ascii="Times New Roman" w:hAnsi="Times New Roman"/>
                <w:sz w:val="24"/>
                <w:szCs w:val="24"/>
              </w:rPr>
            </w:pPr>
            <w:r w:rsidRPr="003E4ABD">
              <w:rPr>
                <w:rFonts w:ascii="Times New Roman" w:hAnsi="Times New Roman"/>
                <w:sz w:val="24"/>
                <w:szCs w:val="24"/>
              </w:rPr>
              <w:t>0</w:t>
            </w:r>
          </w:p>
        </w:tc>
        <w:tc>
          <w:tcPr>
            <w:tcW w:w="1134" w:type="dxa"/>
          </w:tcPr>
          <w:p w:rsidR="0060640E" w:rsidRPr="003E4ABD" w:rsidRDefault="00F94B99" w:rsidP="0084703E">
            <w:pPr>
              <w:jc w:val="center"/>
              <w:rPr>
                <w:rFonts w:ascii="Times New Roman" w:hAnsi="Times New Roman"/>
                <w:sz w:val="24"/>
                <w:szCs w:val="24"/>
              </w:rPr>
            </w:pPr>
            <w:r w:rsidRPr="003E4ABD">
              <w:rPr>
                <w:rFonts w:ascii="Times New Roman" w:hAnsi="Times New Roman"/>
                <w:sz w:val="24"/>
                <w:szCs w:val="24"/>
              </w:rPr>
              <w:t>0</w:t>
            </w:r>
          </w:p>
        </w:tc>
        <w:tc>
          <w:tcPr>
            <w:tcW w:w="1134" w:type="dxa"/>
          </w:tcPr>
          <w:p w:rsidR="0060640E" w:rsidRPr="003E4ABD" w:rsidRDefault="00F94B99" w:rsidP="0084703E">
            <w:pPr>
              <w:jc w:val="center"/>
              <w:rPr>
                <w:rFonts w:ascii="Times New Roman" w:hAnsi="Times New Roman"/>
                <w:sz w:val="24"/>
                <w:szCs w:val="24"/>
              </w:rPr>
            </w:pPr>
            <w:r w:rsidRPr="003E4ABD">
              <w:rPr>
                <w:rFonts w:ascii="Times New Roman" w:hAnsi="Times New Roman"/>
                <w:sz w:val="24"/>
                <w:szCs w:val="24"/>
              </w:rPr>
              <w:t>0</w:t>
            </w:r>
          </w:p>
        </w:tc>
      </w:tr>
      <w:tr w:rsidR="0060640E" w:rsidRPr="003E4ABD" w:rsidTr="003E4ABD">
        <w:trPr>
          <w:trHeight w:val="393"/>
        </w:trPr>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3.2. speciālais budžets;</w:t>
            </w:r>
          </w:p>
        </w:tc>
        <w:tc>
          <w:tcPr>
            <w:tcW w:w="7371" w:type="dxa"/>
            <w:gridSpan w:val="7"/>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3.3. pašvaldību budžets </w:t>
            </w:r>
          </w:p>
        </w:tc>
        <w:tc>
          <w:tcPr>
            <w:tcW w:w="7371" w:type="dxa"/>
            <w:gridSpan w:val="7"/>
          </w:tcPr>
          <w:p w:rsidR="0060640E" w:rsidRPr="003E4ABD" w:rsidRDefault="0060640E" w:rsidP="0084703E">
            <w:pPr>
              <w:spacing w:after="0" w:line="240" w:lineRule="auto"/>
              <w:rPr>
                <w:rFonts w:ascii="Times New Roman" w:eastAsia="Times New Roman" w:hAnsi="Times New Roman"/>
                <w:b/>
                <w:i/>
                <w:sz w:val="24"/>
                <w:szCs w:val="24"/>
                <w:lang w:eastAsia="lv-LV"/>
              </w:rPr>
            </w:pPr>
            <w:r w:rsidRPr="003E4ABD">
              <w:rPr>
                <w:rFonts w:ascii="Times New Roman" w:eastAsia="Times New Roman" w:hAnsi="Times New Roman"/>
                <w:sz w:val="24"/>
                <w:szCs w:val="24"/>
                <w:lang w:eastAsia="lv-LV"/>
              </w:rPr>
              <w:t>Projekts šo jomu neskar.</w:t>
            </w: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4. Finanšu līdzekļi papildu izdevumu finansēšanai (kompensējošu izdevumu samazinājumu norāda ar "+" zīmi) </w:t>
            </w:r>
          </w:p>
        </w:tc>
        <w:tc>
          <w:tcPr>
            <w:tcW w:w="2623" w:type="dxa"/>
            <w:gridSpan w:val="2"/>
            <w:vAlign w:val="center"/>
          </w:tcPr>
          <w:p w:rsidR="0060640E" w:rsidRPr="003E4ABD" w:rsidRDefault="002504A4"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Cs/>
                <w:sz w:val="24"/>
                <w:szCs w:val="24"/>
                <w:lang w:eastAsia="lv-LV"/>
              </w:rPr>
              <w:t>X</w:t>
            </w:r>
          </w:p>
        </w:tc>
        <w:tc>
          <w:tcPr>
            <w:tcW w:w="1152" w:type="dxa"/>
            <w:vAlign w:val="center"/>
          </w:tcPr>
          <w:p w:rsidR="0060640E" w:rsidRPr="003E4ABD" w:rsidRDefault="00F927A3"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125 171</w:t>
            </w:r>
          </w:p>
        </w:tc>
        <w:tc>
          <w:tcPr>
            <w:tcW w:w="1328" w:type="dxa"/>
            <w:gridSpan w:val="2"/>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r>
      <w:tr w:rsidR="0060640E" w:rsidRPr="003E4ABD" w:rsidTr="003E4ABD">
        <w:trPr>
          <w:trHeight w:val="563"/>
        </w:trPr>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5. Precizēta finansiālā ietekme:</w:t>
            </w:r>
          </w:p>
        </w:tc>
        <w:tc>
          <w:tcPr>
            <w:tcW w:w="2623" w:type="dxa"/>
            <w:gridSpan w:val="2"/>
            <w:vAlign w:val="center"/>
          </w:tcPr>
          <w:p w:rsidR="0060640E" w:rsidRPr="003E4ABD" w:rsidRDefault="002504A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bCs/>
                <w:sz w:val="24"/>
                <w:szCs w:val="24"/>
                <w:lang w:eastAsia="lv-LV"/>
              </w:rPr>
              <w:t>X</w:t>
            </w:r>
          </w:p>
        </w:tc>
        <w:tc>
          <w:tcPr>
            <w:tcW w:w="1152"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328" w:type="dxa"/>
            <w:gridSpan w:val="2"/>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r>
      <w:tr w:rsidR="0060640E" w:rsidRPr="003E4ABD" w:rsidTr="003E4ABD">
        <w:trPr>
          <w:trHeight w:val="563"/>
        </w:trPr>
        <w:tc>
          <w:tcPr>
            <w:tcW w:w="1809" w:type="dxa"/>
            <w:gridSpan w:val="2"/>
          </w:tcPr>
          <w:p w:rsidR="0060640E" w:rsidRPr="003E4ABD" w:rsidRDefault="0060640E" w:rsidP="00F927A3">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5.1. valsts pamatbudžets</w:t>
            </w:r>
          </w:p>
        </w:tc>
        <w:tc>
          <w:tcPr>
            <w:tcW w:w="2623" w:type="dxa"/>
            <w:gridSpan w:val="2"/>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152"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328" w:type="dxa"/>
            <w:gridSpan w:val="2"/>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134"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134"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5.2. speciālais budžets;</w:t>
            </w:r>
          </w:p>
        </w:tc>
        <w:tc>
          <w:tcPr>
            <w:tcW w:w="2623" w:type="dxa"/>
            <w:gridSpan w:val="2"/>
            <w:vMerge w:val="restart"/>
          </w:tcPr>
          <w:p w:rsidR="0060640E" w:rsidRPr="003E4ABD" w:rsidRDefault="0060640E" w:rsidP="0084703E">
            <w:pPr>
              <w:spacing w:after="0" w:line="240" w:lineRule="auto"/>
              <w:rPr>
                <w:rFonts w:ascii="Times New Roman" w:eastAsia="Times New Roman" w:hAnsi="Times New Roman"/>
                <w:sz w:val="24"/>
                <w:szCs w:val="24"/>
                <w:lang w:eastAsia="lv-LV"/>
              </w:rPr>
            </w:pPr>
          </w:p>
          <w:p w:rsidR="0060640E" w:rsidRPr="003E4ABD" w:rsidRDefault="0060640E" w:rsidP="0084703E">
            <w:pPr>
              <w:spacing w:after="0" w:line="240" w:lineRule="auto"/>
              <w:rPr>
                <w:rFonts w:ascii="Times New Roman" w:eastAsia="Times New Roman" w:hAnsi="Times New Roman"/>
                <w:sz w:val="24"/>
                <w:szCs w:val="24"/>
                <w:lang w:eastAsia="lv-LV"/>
              </w:rPr>
            </w:pPr>
          </w:p>
          <w:p w:rsidR="0060640E" w:rsidRPr="003E4ABD" w:rsidRDefault="0060640E" w:rsidP="0084703E">
            <w:pPr>
              <w:spacing w:after="0" w:line="240" w:lineRule="auto"/>
              <w:rPr>
                <w:rFonts w:ascii="Times New Roman" w:eastAsia="Times New Roman" w:hAnsi="Times New Roman"/>
                <w:sz w:val="24"/>
                <w:szCs w:val="24"/>
                <w:lang w:eastAsia="lv-LV"/>
              </w:rPr>
            </w:pPr>
          </w:p>
        </w:tc>
        <w:tc>
          <w:tcPr>
            <w:tcW w:w="4748" w:type="dxa"/>
            <w:gridSpan w:val="5"/>
            <w:vMerge w:val="restart"/>
          </w:tcPr>
          <w:p w:rsidR="0060640E" w:rsidRPr="003E4ABD" w:rsidRDefault="00633491"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60640E" w:rsidRPr="003E4ABD" w:rsidRDefault="0060640E"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5.3. pašvaldību budžets </w:t>
            </w:r>
          </w:p>
        </w:tc>
        <w:tc>
          <w:tcPr>
            <w:tcW w:w="2623" w:type="dxa"/>
            <w:gridSpan w:val="2"/>
            <w:vMerge/>
          </w:tcPr>
          <w:p w:rsidR="0060640E" w:rsidRPr="003E4ABD" w:rsidRDefault="0060640E" w:rsidP="0084703E">
            <w:pPr>
              <w:spacing w:after="0" w:line="240" w:lineRule="auto"/>
              <w:rPr>
                <w:rFonts w:ascii="Times New Roman" w:eastAsia="Times New Roman" w:hAnsi="Times New Roman"/>
                <w:sz w:val="24"/>
                <w:szCs w:val="24"/>
                <w:lang w:eastAsia="lv-LV"/>
              </w:rPr>
            </w:pPr>
          </w:p>
        </w:tc>
        <w:tc>
          <w:tcPr>
            <w:tcW w:w="4748" w:type="dxa"/>
            <w:gridSpan w:val="5"/>
            <w:vMerge/>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r>
      <w:tr w:rsidR="00947B33" w:rsidRPr="003E4ABD" w:rsidTr="0084703E">
        <w:tc>
          <w:tcPr>
            <w:tcW w:w="9180" w:type="dxa"/>
            <w:gridSpan w:val="9"/>
          </w:tcPr>
          <w:p w:rsidR="00947B33" w:rsidRPr="003E4ABD" w:rsidRDefault="00947B33"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p w:rsidR="00947B33" w:rsidRPr="003E4ABD" w:rsidRDefault="00947B33" w:rsidP="0084703E">
            <w:pPr>
              <w:spacing w:after="0" w:line="240" w:lineRule="auto"/>
              <w:ind w:firstLine="540"/>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 </w:t>
            </w:r>
          </w:p>
        </w:tc>
      </w:tr>
      <w:tr w:rsidR="00947B33" w:rsidRPr="003E4ABD" w:rsidTr="00E67E0B">
        <w:trPr>
          <w:trHeight w:val="6228"/>
        </w:trPr>
        <w:tc>
          <w:tcPr>
            <w:tcW w:w="1586" w:type="dxa"/>
          </w:tcPr>
          <w:p w:rsidR="00947B33" w:rsidRPr="003E4ABD" w:rsidRDefault="00947B33"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6.1. Detalizēts ieņēmumu aprēķins;</w:t>
            </w:r>
          </w:p>
        </w:tc>
        <w:tc>
          <w:tcPr>
            <w:tcW w:w="7594" w:type="dxa"/>
            <w:gridSpan w:val="8"/>
            <w:vMerge w:val="restart"/>
            <w:vAlign w:val="center"/>
          </w:tcPr>
          <w:p w:rsidR="00174F1F" w:rsidRDefault="00174F1F" w:rsidP="00CD0467">
            <w:pPr>
              <w:spacing w:after="0" w:line="240" w:lineRule="auto"/>
              <w:jc w:val="both"/>
              <w:rPr>
                <w:rFonts w:ascii="Times New Roman" w:eastAsia="Times New Roman" w:hAnsi="Times New Roman"/>
                <w:sz w:val="24"/>
                <w:szCs w:val="24"/>
                <w:lang w:eastAsia="ar-SA"/>
              </w:rPr>
            </w:pPr>
          </w:p>
          <w:tbl>
            <w:tblPr>
              <w:tblW w:w="7198" w:type="dxa"/>
              <w:tblLayout w:type="fixed"/>
              <w:tblLook w:val="04A0" w:firstRow="1" w:lastRow="0" w:firstColumn="1" w:lastColumn="0" w:noHBand="0" w:noVBand="1"/>
            </w:tblPr>
            <w:tblGrid>
              <w:gridCol w:w="3780"/>
              <w:gridCol w:w="1180"/>
              <w:gridCol w:w="1104"/>
              <w:gridCol w:w="1134"/>
            </w:tblGrid>
            <w:tr w:rsidR="00174F1F" w:rsidRPr="00174F1F" w:rsidTr="00FC4B12">
              <w:trPr>
                <w:trHeight w:val="945"/>
              </w:trPr>
              <w:tc>
                <w:tcPr>
                  <w:tcW w:w="3780" w:type="dxa"/>
                  <w:tcBorders>
                    <w:top w:val="single" w:sz="4" w:space="0" w:color="auto"/>
                    <w:left w:val="single" w:sz="4" w:space="0" w:color="auto"/>
                    <w:bottom w:val="nil"/>
                    <w:right w:val="single" w:sz="4" w:space="0" w:color="auto"/>
                  </w:tcBorders>
                  <w:shd w:val="clear" w:color="auto" w:fill="auto"/>
                  <w:noWrap/>
                  <w:vAlign w:val="center"/>
                  <w:hideMark/>
                </w:tcPr>
                <w:p w:rsidR="00174F1F" w:rsidRPr="00174F1F" w:rsidRDefault="00174F1F"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Objekta nosaukums</w:t>
                  </w:r>
                </w:p>
              </w:tc>
              <w:tc>
                <w:tcPr>
                  <w:tcW w:w="1180" w:type="dxa"/>
                  <w:tcBorders>
                    <w:top w:val="single" w:sz="4" w:space="0" w:color="auto"/>
                    <w:left w:val="nil"/>
                    <w:bottom w:val="nil"/>
                    <w:right w:val="single" w:sz="4" w:space="0" w:color="auto"/>
                  </w:tcBorders>
                  <w:shd w:val="clear" w:color="auto" w:fill="auto"/>
                  <w:vAlign w:val="center"/>
                  <w:hideMark/>
                </w:tcPr>
                <w:p w:rsidR="00174F1F" w:rsidRPr="00174F1F" w:rsidRDefault="00174F1F"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Objekta izmaksas kopā</w:t>
                  </w:r>
                </w:p>
              </w:tc>
              <w:tc>
                <w:tcPr>
                  <w:tcW w:w="2238" w:type="dxa"/>
                  <w:gridSpan w:val="2"/>
                  <w:tcBorders>
                    <w:top w:val="single" w:sz="4" w:space="0" w:color="auto"/>
                    <w:left w:val="nil"/>
                    <w:bottom w:val="single" w:sz="4" w:space="0" w:color="auto"/>
                    <w:right w:val="single" w:sz="4" w:space="0" w:color="auto"/>
                  </w:tcBorders>
                  <w:shd w:val="clear" w:color="auto" w:fill="auto"/>
                  <w:vAlign w:val="center"/>
                  <w:hideMark/>
                </w:tcPr>
                <w:p w:rsidR="00174F1F" w:rsidRPr="00174F1F" w:rsidRDefault="007A4490" w:rsidP="00174F1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izdevumi </w:t>
                  </w:r>
                  <w:r w:rsidR="00174F1F" w:rsidRPr="00174F1F">
                    <w:rPr>
                      <w:rFonts w:ascii="Times New Roman" w:eastAsia="Times New Roman" w:hAnsi="Times New Roman"/>
                      <w:sz w:val="24"/>
                      <w:szCs w:val="24"/>
                      <w:lang w:eastAsia="lv-LV"/>
                    </w:rPr>
                    <w:t>pa gadiem</w:t>
                  </w:r>
                  <w:r w:rsidR="00174F1F" w:rsidRPr="00174F1F">
                    <w:rPr>
                      <w:rFonts w:ascii="Times New Roman" w:eastAsia="Times New Roman" w:hAnsi="Times New Roman"/>
                      <w:sz w:val="24"/>
                      <w:szCs w:val="24"/>
                      <w:lang w:eastAsia="lv-LV"/>
                    </w:rPr>
                    <w:br/>
                    <w:t xml:space="preserve"> (EKK5250)</w:t>
                  </w:r>
                </w:p>
              </w:tc>
            </w:tr>
            <w:tr w:rsidR="007A4490" w:rsidRPr="00174F1F" w:rsidTr="00FC4B12">
              <w:trPr>
                <w:trHeight w:val="315"/>
              </w:trPr>
              <w:tc>
                <w:tcPr>
                  <w:tcW w:w="3780" w:type="dxa"/>
                  <w:tcBorders>
                    <w:top w:val="nil"/>
                    <w:left w:val="single" w:sz="4" w:space="0" w:color="auto"/>
                    <w:bottom w:val="nil"/>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EURO</w:t>
                  </w:r>
                </w:p>
              </w:tc>
              <w:tc>
                <w:tcPr>
                  <w:tcW w:w="1104" w:type="dxa"/>
                  <w:tcBorders>
                    <w:top w:val="nil"/>
                    <w:left w:val="nil"/>
                    <w:bottom w:val="single" w:sz="4" w:space="0" w:color="auto"/>
                    <w:right w:val="single" w:sz="4" w:space="0" w:color="auto"/>
                  </w:tcBorders>
                  <w:shd w:val="clear" w:color="auto" w:fill="auto"/>
                  <w:noWrap/>
                  <w:vAlign w:val="center"/>
                </w:tcPr>
                <w:p w:rsidR="007A4490" w:rsidRPr="007A4490" w:rsidRDefault="007A4490" w:rsidP="007A4490">
                  <w:pPr>
                    <w:spacing w:after="0" w:line="240" w:lineRule="auto"/>
                    <w:rPr>
                      <w:rFonts w:ascii="Times New Roman" w:eastAsia="Times New Roman" w:hAnsi="Times New Roman"/>
                      <w:lang w:eastAsia="lv-LV"/>
                    </w:rPr>
                  </w:pPr>
                  <w:r w:rsidRPr="00FC4B12">
                    <w:rPr>
                      <w:rFonts w:ascii="Times New Roman" w:hAnsi="Times New Roman"/>
                    </w:rPr>
                    <w:t>2014</w:t>
                  </w:r>
                </w:p>
              </w:tc>
              <w:tc>
                <w:tcPr>
                  <w:tcW w:w="1134" w:type="dxa"/>
                  <w:tcBorders>
                    <w:top w:val="nil"/>
                    <w:left w:val="nil"/>
                    <w:bottom w:val="single" w:sz="4" w:space="0" w:color="auto"/>
                    <w:right w:val="single" w:sz="4" w:space="0" w:color="auto"/>
                  </w:tcBorders>
                  <w:shd w:val="clear" w:color="auto" w:fill="auto"/>
                  <w:noWrap/>
                  <w:vAlign w:val="center"/>
                </w:tcPr>
                <w:p w:rsidR="007A4490" w:rsidRPr="007A4490" w:rsidRDefault="007A4490" w:rsidP="007A4490">
                  <w:pPr>
                    <w:spacing w:after="0" w:line="240" w:lineRule="auto"/>
                    <w:rPr>
                      <w:rFonts w:ascii="Times New Roman" w:eastAsia="Times New Roman" w:hAnsi="Times New Roman"/>
                      <w:lang w:eastAsia="lv-LV"/>
                    </w:rPr>
                  </w:pPr>
                  <w:r w:rsidRPr="00FC4B12">
                    <w:rPr>
                      <w:rFonts w:ascii="Times New Roman" w:hAnsi="Times New Roman"/>
                    </w:rPr>
                    <w:t>2015</w:t>
                  </w:r>
                </w:p>
              </w:tc>
            </w:tr>
            <w:tr w:rsidR="007A4490" w:rsidRPr="00174F1F" w:rsidTr="00FC4B1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Ēkas sadalīšana divos ugunsdrošības nodalījumos</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8000.00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Pagraba pārseguma rekonstrukcija</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45000.00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18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 xml:space="preserve">Pārsegumu pārbūve, nodrošinot </w:t>
                  </w:r>
                  <w:proofErr w:type="spellStart"/>
                  <w:r w:rsidRPr="00174F1F">
                    <w:rPr>
                      <w:rFonts w:ascii="Times New Roman" w:eastAsia="Times New Roman" w:hAnsi="Times New Roman"/>
                      <w:sz w:val="24"/>
                      <w:szCs w:val="24"/>
                      <w:lang w:eastAsia="lv-LV"/>
                    </w:rPr>
                    <w:t>ugunsnoturību</w:t>
                  </w:r>
                  <w:proofErr w:type="spellEnd"/>
                  <w:r w:rsidRPr="00174F1F">
                    <w:rPr>
                      <w:rFonts w:ascii="Times New Roman" w:eastAsia="Times New Roman" w:hAnsi="Times New Roman"/>
                      <w:sz w:val="24"/>
                      <w:szCs w:val="24"/>
                      <w:lang w:eastAsia="lv-LV"/>
                    </w:rPr>
                    <w:t xml:space="preserve"> REI30. Saistītie darbi - piekārtie griesti, ventilācija, </w:t>
                  </w:r>
                  <w:proofErr w:type="spellStart"/>
                  <w:r w:rsidRPr="00174F1F">
                    <w:rPr>
                      <w:rFonts w:ascii="Times New Roman" w:eastAsia="Times New Roman" w:hAnsi="Times New Roman"/>
                      <w:sz w:val="24"/>
                      <w:szCs w:val="24"/>
                      <w:lang w:eastAsia="lv-LV"/>
                    </w:rPr>
                    <w:t>elektroapgaismojums</w:t>
                  </w:r>
                  <w:proofErr w:type="spellEnd"/>
                  <w:r w:rsidRPr="00174F1F">
                    <w:rPr>
                      <w:rFonts w:ascii="Times New Roman" w:eastAsia="Times New Roman" w:hAnsi="Times New Roman"/>
                      <w:sz w:val="24"/>
                      <w:szCs w:val="24"/>
                      <w:lang w:eastAsia="lv-LV"/>
                    </w:rPr>
                    <w:t xml:space="preserve">, ugunsgrēka signalizācija, apdare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175000.00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Kāpņu telpu renovācija</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15000.00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Paceļamās platformas izbūve uz 2.stāvu</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30000.00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273000.00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81900.00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191100.00</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PVN 21 %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57330.00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17199.00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40131.00</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330330.00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99099.00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231231.00</w:t>
                  </w:r>
                </w:p>
              </w:tc>
            </w:tr>
            <w:tr w:rsidR="007A4490" w:rsidRPr="00174F1F" w:rsidTr="00FC4B12">
              <w:trPr>
                <w:trHeight w:val="63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Finanšu rezerve neparedzētiem darbiem 10 %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27300.00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8190.00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19110.00</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jc w:val="right"/>
                    <w:rPr>
                      <w:rFonts w:ascii="Times New Roman" w:eastAsia="Times New Roman" w:hAnsi="Times New Roman"/>
                      <w:b/>
                      <w:bCs/>
                      <w:i/>
                      <w:iCs/>
                      <w:sz w:val="24"/>
                      <w:szCs w:val="24"/>
                      <w:lang w:eastAsia="lv-LV"/>
                    </w:rPr>
                  </w:pPr>
                  <w:r w:rsidRPr="00174F1F">
                    <w:rPr>
                      <w:rFonts w:ascii="Times New Roman" w:eastAsia="Times New Roman" w:hAnsi="Times New Roman"/>
                      <w:b/>
                      <w:bCs/>
                      <w:i/>
                      <w:iCs/>
                      <w:sz w:val="24"/>
                      <w:szCs w:val="24"/>
                      <w:lang w:eastAsia="lv-LV"/>
                    </w:rPr>
                    <w:t>Pavisam būvniecības izmaksas:</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357630.00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107289.00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250341.00</w:t>
                  </w:r>
                </w:p>
              </w:tc>
            </w:tr>
            <w:tr w:rsidR="007A4490" w:rsidRPr="00174F1F" w:rsidTr="00FC4B12">
              <w:trPr>
                <w:trHeight w:val="630"/>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b/>
                      <w:bCs/>
                      <w:i/>
                      <w:iCs/>
                      <w:sz w:val="24"/>
                      <w:szCs w:val="24"/>
                      <w:lang w:eastAsia="lv-LV"/>
                    </w:rPr>
                  </w:pPr>
                  <w:r w:rsidRPr="00174F1F">
                    <w:rPr>
                      <w:rFonts w:ascii="Times New Roman" w:eastAsia="Times New Roman" w:hAnsi="Times New Roman"/>
                      <w:b/>
                      <w:bCs/>
                      <w:i/>
                      <w:iCs/>
                      <w:sz w:val="24"/>
                      <w:szCs w:val="24"/>
                      <w:lang w:eastAsia="lv-LV"/>
                    </w:rPr>
                    <w:t>Ar būvniecību saistītie pārējie izdevumi:</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26822.25</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17881.50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8940.75</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projektēšana 5 %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17881.50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17881.50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būvuzraudzībai 1.5%</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5364.45</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5364.45</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būvprojekta autoruzraudzība 1.0%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3576.30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3576.30</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right"/>
                    <w:rPr>
                      <w:rFonts w:ascii="Times New Roman" w:eastAsia="Times New Roman" w:hAnsi="Times New Roman"/>
                      <w:b/>
                      <w:bCs/>
                      <w:sz w:val="24"/>
                      <w:szCs w:val="24"/>
                      <w:lang w:eastAsia="lv-LV"/>
                    </w:rPr>
                  </w:pPr>
                  <w:r w:rsidRPr="00174F1F">
                    <w:rPr>
                      <w:rFonts w:ascii="Times New Roman" w:eastAsia="Times New Roman" w:hAnsi="Times New Roman"/>
                      <w:b/>
                      <w:bCs/>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384452.25</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125170.50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259281.75</w:t>
                  </w:r>
                </w:p>
              </w:tc>
            </w:tr>
          </w:tbl>
          <w:p w:rsidR="00174F1F" w:rsidRDefault="00174F1F" w:rsidP="00CD0467">
            <w:pPr>
              <w:spacing w:after="0" w:line="240" w:lineRule="auto"/>
              <w:jc w:val="both"/>
              <w:rPr>
                <w:rFonts w:ascii="Times New Roman" w:eastAsia="Times New Roman" w:hAnsi="Times New Roman"/>
                <w:sz w:val="24"/>
                <w:szCs w:val="24"/>
                <w:lang w:eastAsia="ar-SA"/>
              </w:rPr>
            </w:pPr>
          </w:p>
          <w:p w:rsidR="00407422" w:rsidRDefault="003065E2" w:rsidP="00CD0467">
            <w:pPr>
              <w:spacing w:after="0" w:line="240" w:lineRule="auto"/>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Lai nodrošinātu valsts sociālās aprūpes centra „Vidzeme” filiāles „Allaži” avārijas </w:t>
            </w:r>
            <w:r w:rsidR="00CD0467" w:rsidRPr="003E4ABD">
              <w:rPr>
                <w:rFonts w:ascii="Times New Roman" w:eastAsia="Times New Roman" w:hAnsi="Times New Roman"/>
                <w:sz w:val="24"/>
                <w:szCs w:val="24"/>
                <w:lang w:eastAsia="ar-SA"/>
              </w:rPr>
              <w:t>stāvoklī</w:t>
            </w:r>
            <w:r w:rsidRPr="003E4ABD">
              <w:rPr>
                <w:rFonts w:ascii="Times New Roman" w:eastAsia="Times New Roman" w:hAnsi="Times New Roman"/>
                <w:sz w:val="24"/>
                <w:szCs w:val="24"/>
                <w:lang w:eastAsia="ar-SA"/>
              </w:rPr>
              <w:t xml:space="preserve"> esošās ēkas tehniskā projekta izstrādes un rekonstrukcijas uzsākšanu 2014.gadā tiek plānoti 125 171 </w:t>
            </w:r>
            <w:proofErr w:type="spellStart"/>
            <w:r w:rsidRPr="003E4ABD">
              <w:rPr>
                <w:rFonts w:ascii="Times New Roman" w:eastAsia="Times New Roman" w:hAnsi="Times New Roman"/>
                <w:sz w:val="24"/>
                <w:szCs w:val="24"/>
                <w:lang w:eastAsia="ar-SA"/>
              </w:rPr>
              <w:t>euro</w:t>
            </w:r>
            <w:proofErr w:type="spellEnd"/>
            <w:r w:rsidRPr="003E4ABD">
              <w:rPr>
                <w:rFonts w:ascii="Times New Roman" w:eastAsia="Times New Roman" w:hAnsi="Times New Roman"/>
                <w:sz w:val="24"/>
                <w:szCs w:val="24"/>
                <w:lang w:eastAsia="ar-SA"/>
              </w:rPr>
              <w:t>, paredzot, ka pilnībā tiks pabeigta ēkas projektēšana, kā arī veikts iepirkums par rekonstrukcijas uzsākšanu, paredzot avansa maksājumu 30% apmērā no būvniecības izmaksām segt 2014.gadā</w:t>
            </w:r>
            <w:r w:rsidR="008E62AF">
              <w:rPr>
                <w:rFonts w:ascii="Times New Roman" w:eastAsia="Times New Roman" w:hAnsi="Times New Roman"/>
                <w:sz w:val="24"/>
                <w:szCs w:val="24"/>
                <w:lang w:eastAsia="ar-SA"/>
              </w:rPr>
              <w:t xml:space="preserve"> (Būvniecības izmaksas 357 630 </w:t>
            </w:r>
            <w:proofErr w:type="spellStart"/>
            <w:r w:rsidR="008E62AF">
              <w:rPr>
                <w:rFonts w:ascii="Times New Roman" w:eastAsia="Times New Roman" w:hAnsi="Times New Roman"/>
                <w:sz w:val="24"/>
                <w:szCs w:val="24"/>
                <w:lang w:eastAsia="ar-SA"/>
              </w:rPr>
              <w:t>euro</w:t>
            </w:r>
            <w:proofErr w:type="spellEnd"/>
            <w:r w:rsidR="008E62AF">
              <w:rPr>
                <w:rFonts w:ascii="Times New Roman" w:eastAsia="Times New Roman" w:hAnsi="Times New Roman"/>
                <w:sz w:val="24"/>
                <w:szCs w:val="24"/>
                <w:lang w:eastAsia="ar-SA"/>
              </w:rPr>
              <w:t xml:space="preserve"> *30% =107 289 </w:t>
            </w:r>
            <w:proofErr w:type="spellStart"/>
            <w:r w:rsidR="008E62AF">
              <w:rPr>
                <w:rFonts w:ascii="Times New Roman" w:eastAsia="Times New Roman" w:hAnsi="Times New Roman"/>
                <w:sz w:val="24"/>
                <w:szCs w:val="24"/>
                <w:lang w:eastAsia="ar-SA"/>
              </w:rPr>
              <w:t>euro</w:t>
            </w:r>
            <w:proofErr w:type="spellEnd"/>
            <w:r w:rsidR="008E62AF">
              <w:rPr>
                <w:rFonts w:ascii="Times New Roman" w:eastAsia="Times New Roman" w:hAnsi="Times New Roman"/>
                <w:sz w:val="24"/>
                <w:szCs w:val="24"/>
                <w:lang w:eastAsia="ar-SA"/>
              </w:rPr>
              <w:t xml:space="preserve"> – avansa maksājums 30% apmērā</w:t>
            </w:r>
            <w:r w:rsidR="00DA7851">
              <w:rPr>
                <w:rFonts w:ascii="Times New Roman" w:eastAsia="Times New Roman" w:hAnsi="Times New Roman"/>
                <w:sz w:val="24"/>
                <w:szCs w:val="24"/>
                <w:lang w:eastAsia="ar-SA"/>
              </w:rPr>
              <w:t xml:space="preserve"> būvdarbu uzsākšanai 2014.gadā un</w:t>
            </w:r>
            <w:r w:rsidR="008E62AF">
              <w:rPr>
                <w:rFonts w:ascii="Times New Roman" w:eastAsia="Times New Roman" w:hAnsi="Times New Roman"/>
                <w:sz w:val="24"/>
                <w:szCs w:val="24"/>
                <w:lang w:eastAsia="ar-SA"/>
              </w:rPr>
              <w:t xml:space="preserve"> 17 881,50 </w:t>
            </w:r>
            <w:proofErr w:type="spellStart"/>
            <w:r w:rsidR="001752BE">
              <w:rPr>
                <w:rFonts w:ascii="Times New Roman" w:eastAsia="Times New Roman" w:hAnsi="Times New Roman"/>
                <w:sz w:val="24"/>
                <w:szCs w:val="24"/>
                <w:lang w:eastAsia="ar-SA"/>
              </w:rPr>
              <w:t>euro</w:t>
            </w:r>
            <w:proofErr w:type="spellEnd"/>
            <w:r w:rsidR="001752BE">
              <w:rPr>
                <w:rFonts w:ascii="Times New Roman" w:eastAsia="Times New Roman" w:hAnsi="Times New Roman"/>
                <w:sz w:val="24"/>
                <w:szCs w:val="24"/>
                <w:lang w:eastAsia="ar-SA"/>
              </w:rPr>
              <w:t xml:space="preserve"> projektēšanas izdevumiem, līdz ar to </w:t>
            </w:r>
            <w:r w:rsidR="008E62AF">
              <w:rPr>
                <w:rFonts w:ascii="Times New Roman" w:eastAsia="Times New Roman" w:hAnsi="Times New Roman"/>
                <w:sz w:val="24"/>
                <w:szCs w:val="24"/>
                <w:lang w:eastAsia="ar-SA"/>
              </w:rPr>
              <w:t>papildus 2014.gadā no līdzekļi neparedzētiem gadījumiem nepieciešamais finansējuma apmērs</w:t>
            </w:r>
            <w:r w:rsidR="00AD61C4">
              <w:rPr>
                <w:rFonts w:ascii="Times New Roman" w:eastAsia="Times New Roman" w:hAnsi="Times New Roman"/>
                <w:sz w:val="24"/>
                <w:szCs w:val="24"/>
                <w:lang w:eastAsia="ar-SA"/>
              </w:rPr>
              <w:t xml:space="preserve">, noapaļojot 125 171 </w:t>
            </w:r>
            <w:proofErr w:type="spellStart"/>
            <w:r w:rsidR="00AD61C4">
              <w:rPr>
                <w:rFonts w:ascii="Times New Roman" w:eastAsia="Times New Roman" w:hAnsi="Times New Roman"/>
                <w:sz w:val="24"/>
                <w:szCs w:val="24"/>
                <w:lang w:eastAsia="ar-SA"/>
              </w:rPr>
              <w:t>euro</w:t>
            </w:r>
            <w:proofErr w:type="spellEnd"/>
            <w:r w:rsidR="008E62AF">
              <w:rPr>
                <w:rFonts w:ascii="Times New Roman" w:eastAsia="Times New Roman" w:hAnsi="Times New Roman"/>
                <w:sz w:val="24"/>
                <w:szCs w:val="24"/>
                <w:lang w:eastAsia="ar-SA"/>
              </w:rPr>
              <w:t>). Būvuzraudzības un būvprojekta autoruzraudzības izdevumi tiks veikti, sākot ar 2015.gadu.</w:t>
            </w:r>
          </w:p>
          <w:p w:rsidR="008E62AF" w:rsidRDefault="008E62AF" w:rsidP="00704CE3">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Atbilstoši izdevumu ekonomiskai klasifikācijai</w:t>
            </w:r>
            <w:r w:rsidR="00F9363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7A4490">
              <w:rPr>
                <w:rFonts w:ascii="Times New Roman" w:eastAsia="Times New Roman" w:hAnsi="Times New Roman"/>
                <w:sz w:val="24"/>
                <w:szCs w:val="24"/>
                <w:lang w:eastAsia="ar-SA"/>
              </w:rPr>
              <w:t xml:space="preserve">visi </w:t>
            </w:r>
            <w:r>
              <w:rPr>
                <w:rFonts w:ascii="Times New Roman" w:eastAsia="Times New Roman" w:hAnsi="Times New Roman"/>
                <w:sz w:val="24"/>
                <w:szCs w:val="24"/>
                <w:lang w:eastAsia="ar-SA"/>
              </w:rPr>
              <w:t xml:space="preserve">izdevumi tiks plānoti EKK </w:t>
            </w:r>
            <w:r w:rsidR="00F9363D">
              <w:rPr>
                <w:rFonts w:ascii="Times New Roman" w:eastAsia="Times New Roman" w:hAnsi="Times New Roman"/>
                <w:sz w:val="24"/>
                <w:szCs w:val="24"/>
                <w:lang w:eastAsia="ar-SA"/>
              </w:rPr>
              <w:t xml:space="preserve">5250 „Kapitālais remonts un rekonstrukcija””. </w:t>
            </w:r>
          </w:p>
          <w:p w:rsidR="00704CE3" w:rsidRDefault="0081265F" w:rsidP="00FC4B12">
            <w:pPr>
              <w:pStyle w:val="HTMLPreformatted"/>
              <w:jc w:val="both"/>
              <w:rPr>
                <w:rFonts w:ascii="Times New Roman" w:hAnsi="Times New Roman"/>
                <w:sz w:val="24"/>
                <w:szCs w:val="24"/>
                <w:lang w:eastAsia="ar-SA"/>
              </w:rPr>
            </w:pPr>
            <w:r w:rsidRPr="0081265F">
              <w:rPr>
                <w:rFonts w:ascii="Times New Roman" w:hAnsi="Times New Roman" w:cs="Times New Roman"/>
                <w:color w:val="auto"/>
                <w:sz w:val="24"/>
                <w:szCs w:val="24"/>
                <w:lang w:eastAsia="ar-SA"/>
              </w:rPr>
              <w:t>Ievērojot, ka kopējais ēkas nolietojums ir 53%</w:t>
            </w:r>
            <w:r w:rsidR="00704CE3">
              <w:rPr>
                <w:rFonts w:ascii="Times New Roman" w:hAnsi="Times New Roman" w:cs="Times New Roman"/>
                <w:color w:val="auto"/>
                <w:sz w:val="24"/>
                <w:szCs w:val="24"/>
                <w:lang w:eastAsia="ar-SA"/>
              </w:rPr>
              <w:t>,</w:t>
            </w:r>
            <w:r w:rsidRPr="00FC4B12">
              <w:rPr>
                <w:rFonts w:ascii="Times New Roman" w:hAnsi="Times New Roman" w:cs="Times New Roman"/>
                <w:color w:val="auto"/>
                <w:sz w:val="24"/>
                <w:szCs w:val="24"/>
                <w:lang w:eastAsia="ar-SA"/>
              </w:rPr>
              <w:t xml:space="preserve"> pirms projektēšanas nav iespējams noteikt precīzas rekonstrukcijas darbu izmaksas, tāpēc</w:t>
            </w:r>
            <w:r w:rsidR="00704CE3">
              <w:rPr>
                <w:rFonts w:ascii="Times New Roman" w:hAnsi="Times New Roman" w:cs="Times New Roman"/>
                <w:color w:val="auto"/>
                <w:sz w:val="24"/>
                <w:szCs w:val="24"/>
                <w:lang w:eastAsia="ar-SA"/>
              </w:rPr>
              <w:t xml:space="preserve"> papildus </w:t>
            </w:r>
            <w:r w:rsidR="00704CE3">
              <w:rPr>
                <w:rFonts w:ascii="Times New Roman" w:hAnsi="Times New Roman" w:cs="Times New Roman"/>
                <w:color w:val="auto"/>
                <w:sz w:val="24"/>
                <w:szCs w:val="24"/>
                <w:lang w:eastAsia="ar-SA"/>
              </w:rPr>
              <w:lastRenderedPageBreak/>
              <w:t xml:space="preserve">finansējuma pieprasījumā </w:t>
            </w:r>
            <w:r w:rsidR="007A4490">
              <w:rPr>
                <w:rFonts w:ascii="Tms Rmn" w:eastAsiaTheme="minorHAnsi" w:hAnsi="Tms Rmn" w:cs="Tms Rmn"/>
                <w:sz w:val="24"/>
                <w:szCs w:val="24"/>
              </w:rPr>
              <w:t>būvniecības koptāmes projektā ietverta finanšu rezerve neparedzētiem darbiem un izdevumiem, tas ir – būvdarbu izpildes laikā atklātu papildus veicamo darbu un sadārdzinājumu finansēšanai (minēto izmaksu iekļaušanu tāmē pamato Ministru kabineta 2006.gada 19.decembra Noteikumu Nr. 1014 "Noteikumi par Latvijas būvnormatīvu LBN 501-06 "</w:t>
            </w:r>
            <w:proofErr w:type="spellStart"/>
            <w:r w:rsidR="007A4490">
              <w:rPr>
                <w:rFonts w:ascii="Tms Rmn" w:eastAsiaTheme="minorHAnsi" w:hAnsi="Tms Rmn" w:cs="Tms Rmn"/>
                <w:sz w:val="24"/>
                <w:szCs w:val="24"/>
              </w:rPr>
              <w:t>Būvizmaksu</w:t>
            </w:r>
            <w:proofErr w:type="spellEnd"/>
            <w:r w:rsidR="007A4490">
              <w:rPr>
                <w:rFonts w:ascii="Tms Rmn" w:eastAsiaTheme="minorHAnsi" w:hAnsi="Tms Rmn" w:cs="Tms Rmn"/>
                <w:sz w:val="24"/>
                <w:szCs w:val="24"/>
              </w:rPr>
              <w:t xml:space="preserve"> noteikšanas kārtība" 22.punkts) ,</w:t>
            </w:r>
            <w:r w:rsidR="00704CE3" w:rsidRPr="00FC4B12">
              <w:rPr>
                <w:rFonts w:ascii="Times New Roman" w:hAnsi="Times New Roman" w:cs="Times New Roman"/>
                <w:color w:val="auto"/>
                <w:sz w:val="24"/>
                <w:szCs w:val="24"/>
                <w:lang w:eastAsia="ar-SA"/>
              </w:rPr>
              <w:t>"</w:t>
            </w:r>
            <w:r w:rsidRPr="00FC4B12">
              <w:rPr>
                <w:rFonts w:ascii="Times New Roman" w:hAnsi="Times New Roman" w:cs="Times New Roman"/>
                <w:color w:val="auto"/>
                <w:sz w:val="24"/>
                <w:szCs w:val="24"/>
                <w:lang w:eastAsia="ar-SA"/>
              </w:rPr>
              <w:t xml:space="preserve"> </w:t>
            </w:r>
          </w:p>
          <w:p w:rsidR="00A72F7E" w:rsidRDefault="00704CE3" w:rsidP="00E67E0B">
            <w:pPr>
              <w:pStyle w:val="Default"/>
              <w:jc w:val="both"/>
              <w:rPr>
                <w:rFonts w:eastAsia="Times New Roman"/>
                <w:lang w:eastAsia="ar-SA"/>
              </w:rPr>
            </w:pPr>
            <w:r>
              <w:rPr>
                <w:color w:val="auto"/>
                <w:lang w:eastAsia="ar-SA"/>
              </w:rPr>
              <w:t xml:space="preserve">Atbilstoši tehnikās apsekošanas aktam, rekonstruējamā platība ir </w:t>
            </w:r>
            <w:r w:rsidR="00291A22">
              <w:rPr>
                <w:color w:val="auto"/>
                <w:lang w:eastAsia="ar-SA"/>
              </w:rPr>
              <w:t>1782.6</w:t>
            </w:r>
            <w:r w:rsidR="00BA6D61">
              <w:rPr>
                <w:color w:val="auto"/>
                <w:lang w:eastAsia="ar-SA"/>
              </w:rPr>
              <w:t xml:space="preserve">24 </w:t>
            </w:r>
            <w:r>
              <w:rPr>
                <w:color w:val="auto"/>
                <w:lang w:eastAsia="ar-SA"/>
              </w:rPr>
              <w:t xml:space="preserve"> m</w:t>
            </w:r>
            <w:r w:rsidRPr="00FC4B12">
              <w:rPr>
                <w:color w:val="auto"/>
                <w:vertAlign w:val="superscript"/>
                <w:lang w:eastAsia="ar-SA"/>
              </w:rPr>
              <w:t>2</w:t>
            </w:r>
            <w:r>
              <w:rPr>
                <w:color w:val="auto"/>
                <w:vertAlign w:val="superscript"/>
                <w:lang w:eastAsia="ar-SA"/>
              </w:rPr>
              <w:t xml:space="preserve">  </w:t>
            </w:r>
            <w:r>
              <w:rPr>
                <w:color w:val="auto"/>
                <w:lang w:eastAsia="ar-SA"/>
              </w:rPr>
              <w:t xml:space="preserve">* </w:t>
            </w:r>
            <w:r w:rsidR="00291A22">
              <w:rPr>
                <w:color w:val="auto"/>
                <w:lang w:eastAsia="ar-SA"/>
              </w:rPr>
              <w:t>200</w:t>
            </w:r>
            <w:r w:rsidR="00BA6D61">
              <w:rPr>
                <w:color w:val="auto"/>
                <w:lang w:eastAsia="ar-SA"/>
              </w:rPr>
              <w:t>,62</w:t>
            </w:r>
            <w:r w:rsidR="00291A22">
              <w:rPr>
                <w:color w:val="auto"/>
                <w:lang w:eastAsia="ar-SA"/>
              </w:rPr>
              <w:t xml:space="preserve"> </w:t>
            </w:r>
            <w:proofErr w:type="spellStart"/>
            <w:r w:rsidR="00291A22">
              <w:rPr>
                <w:color w:val="auto"/>
                <w:lang w:eastAsia="ar-SA"/>
              </w:rPr>
              <w:t>euro</w:t>
            </w:r>
            <w:proofErr w:type="spellEnd"/>
            <w:r w:rsidR="00291A22">
              <w:rPr>
                <w:color w:val="auto"/>
                <w:lang w:eastAsia="ar-SA"/>
              </w:rPr>
              <w:t>/ m</w:t>
            </w:r>
            <w:r w:rsidR="00291A22" w:rsidRPr="000E3711">
              <w:rPr>
                <w:color w:val="auto"/>
                <w:vertAlign w:val="superscript"/>
                <w:lang w:eastAsia="ar-SA"/>
              </w:rPr>
              <w:t>2</w:t>
            </w:r>
            <w:r>
              <w:rPr>
                <w:color w:val="auto"/>
                <w:lang w:eastAsia="ar-SA"/>
              </w:rPr>
              <w:t>=</w:t>
            </w:r>
            <w:r w:rsidR="00BA6D61">
              <w:rPr>
                <w:color w:val="auto"/>
                <w:lang w:eastAsia="ar-SA"/>
              </w:rPr>
              <w:t xml:space="preserve"> 357</w:t>
            </w:r>
            <w:r w:rsidR="002404BD">
              <w:rPr>
                <w:color w:val="auto"/>
                <w:lang w:eastAsia="ar-SA"/>
              </w:rPr>
              <w:t> </w:t>
            </w:r>
            <w:r w:rsidR="00BA6D61">
              <w:rPr>
                <w:color w:val="auto"/>
                <w:lang w:eastAsia="ar-SA"/>
              </w:rPr>
              <w:t>630</w:t>
            </w:r>
            <w:r w:rsidR="002404BD">
              <w:rPr>
                <w:color w:val="auto"/>
                <w:lang w:eastAsia="ar-SA"/>
              </w:rPr>
              <w:t>,</w:t>
            </w:r>
            <w:r w:rsidR="00BA6D61">
              <w:rPr>
                <w:color w:val="auto"/>
                <w:lang w:eastAsia="ar-SA"/>
              </w:rPr>
              <w:t>02</w:t>
            </w:r>
            <w:r>
              <w:rPr>
                <w:color w:val="auto"/>
                <w:lang w:eastAsia="ar-SA"/>
              </w:rPr>
              <w:t xml:space="preserve">euro </w:t>
            </w:r>
            <w:r w:rsidR="00C43DD3">
              <w:rPr>
                <w:color w:val="auto"/>
                <w:lang w:eastAsia="ar-SA"/>
              </w:rPr>
              <w:t xml:space="preserve">kopējās būvniecības izmaksas </w:t>
            </w:r>
            <w:r>
              <w:rPr>
                <w:color w:val="auto"/>
                <w:lang w:eastAsia="ar-SA"/>
              </w:rPr>
              <w:t xml:space="preserve">(ievērojot noapaļošanu kopējā papildus nepieciešamā summa būvniecības izmaksu segšanai 357 630 </w:t>
            </w:r>
            <w:proofErr w:type="spellStart"/>
            <w:r>
              <w:rPr>
                <w:color w:val="auto"/>
                <w:lang w:eastAsia="ar-SA"/>
              </w:rPr>
              <w:t>euro</w:t>
            </w:r>
            <w:proofErr w:type="spellEnd"/>
            <w:r>
              <w:rPr>
                <w:color w:val="auto"/>
                <w:lang w:eastAsia="ar-SA"/>
              </w:rPr>
              <w:t>)</w:t>
            </w:r>
            <w:r w:rsidR="00BB070B">
              <w:rPr>
                <w:color w:val="auto"/>
                <w:lang w:eastAsia="ar-SA"/>
              </w:rPr>
              <w:t>.</w:t>
            </w:r>
            <w:r w:rsidR="0081265F">
              <w:rPr>
                <w:rFonts w:eastAsia="Times New Roman"/>
                <w:lang w:eastAsia="ar-SA"/>
              </w:rPr>
              <w:t xml:space="preserve"> </w:t>
            </w:r>
          </w:p>
          <w:p w:rsidR="00C43979" w:rsidRDefault="00E67E0B" w:rsidP="00E67E0B">
            <w:pPr>
              <w:pStyle w:val="Default"/>
              <w:jc w:val="both"/>
              <w:rPr>
                <w:rFonts w:eastAsia="Times New Roman"/>
                <w:lang w:eastAsia="ar-SA"/>
              </w:rPr>
            </w:pPr>
            <w:r>
              <w:rPr>
                <w:rFonts w:eastAsia="Times New Roman"/>
                <w:lang w:eastAsia="ar-SA"/>
              </w:rPr>
              <w:t>2014.gadā s</w:t>
            </w:r>
            <w:r w:rsidR="00C43979">
              <w:rPr>
                <w:rFonts w:eastAsia="Times New Roman"/>
                <w:lang w:eastAsia="ar-SA"/>
              </w:rPr>
              <w:t>ākotnēji nepieciešams finansējums</w:t>
            </w:r>
            <w:r>
              <w:rPr>
                <w:rFonts w:eastAsia="Times New Roman"/>
                <w:lang w:eastAsia="ar-SA"/>
              </w:rPr>
              <w:t xml:space="preserve"> 17 882 </w:t>
            </w:r>
            <w:proofErr w:type="spellStart"/>
            <w:r>
              <w:rPr>
                <w:rFonts w:eastAsia="Times New Roman"/>
                <w:lang w:eastAsia="ar-SA"/>
              </w:rPr>
              <w:t>euro</w:t>
            </w:r>
            <w:proofErr w:type="spellEnd"/>
            <w:r>
              <w:rPr>
                <w:rFonts w:eastAsia="Times New Roman"/>
                <w:lang w:eastAsia="ar-SA"/>
              </w:rPr>
              <w:t xml:space="preserve"> apmērā,</w:t>
            </w:r>
            <w:r w:rsidR="00C43979">
              <w:rPr>
                <w:rFonts w:eastAsia="Times New Roman"/>
                <w:lang w:eastAsia="ar-SA"/>
              </w:rPr>
              <w:t xml:space="preserve"> </w:t>
            </w:r>
            <w:r w:rsidR="00C43979" w:rsidRPr="00C43979">
              <w:rPr>
                <w:rFonts w:eastAsia="Times New Roman"/>
                <w:lang w:eastAsia="ar-SA"/>
              </w:rPr>
              <w:t>lai nodrošinātu valsts sociālās aprūpes centra „Vidzeme” filiāles „Allaži” avārijas stāvoklī esošās ēkas tehniskā projekta izstrādi</w:t>
            </w:r>
            <w:r>
              <w:rPr>
                <w:rFonts w:eastAsia="Times New Roman"/>
                <w:lang w:eastAsia="ar-SA"/>
              </w:rPr>
              <w:t xml:space="preserve">. </w:t>
            </w:r>
            <w:r w:rsidR="00C43979">
              <w:rPr>
                <w:rFonts w:eastAsia="Times New Roman"/>
                <w:lang w:eastAsia="ar-SA"/>
              </w:rPr>
              <w:t xml:space="preserve"> </w:t>
            </w:r>
          </w:p>
          <w:p w:rsidR="00E67E0B" w:rsidRPr="00C43979" w:rsidRDefault="00E67E0B" w:rsidP="00E67E0B">
            <w:pPr>
              <w:pStyle w:val="Default"/>
              <w:jc w:val="both"/>
              <w:rPr>
                <w:rFonts w:eastAsia="Times New Roman"/>
                <w:lang w:eastAsia="lv-LV"/>
              </w:rPr>
            </w:pPr>
            <w:r>
              <w:rPr>
                <w:rFonts w:eastAsia="Times New Roman"/>
                <w:lang w:eastAsia="lv-LV"/>
              </w:rPr>
              <w:t>Labklājības ministrija</w:t>
            </w:r>
            <w:r w:rsidR="00C43979" w:rsidRPr="00C43979">
              <w:rPr>
                <w:rFonts w:eastAsia="Times New Roman"/>
                <w:lang w:eastAsia="lv-LV"/>
              </w:rPr>
              <w:t xml:space="preserve"> pēc tam, kad atbilstoši publisko iepirkumu normatīvajam regulējumam </w:t>
            </w:r>
            <w:r>
              <w:rPr>
                <w:rFonts w:eastAsia="Times New Roman"/>
                <w:lang w:eastAsia="lv-LV"/>
              </w:rPr>
              <w:t>tiks</w:t>
            </w:r>
            <w:r w:rsidR="00C43979" w:rsidRPr="00C43979">
              <w:rPr>
                <w:rFonts w:eastAsia="Times New Roman"/>
                <w:lang w:eastAsia="lv-LV"/>
              </w:rPr>
              <w:t xml:space="preserve"> izraudzīts piegādātājs ar tiesībām veikt būvdarbus, normatīvajos a</w:t>
            </w:r>
            <w:r>
              <w:rPr>
                <w:rFonts w:eastAsia="Times New Roman"/>
                <w:lang w:eastAsia="lv-LV"/>
              </w:rPr>
              <w:t>ktos noteiktajā kārtībā iesniegs</w:t>
            </w:r>
            <w:r w:rsidR="00C43979" w:rsidRPr="00C43979">
              <w:rPr>
                <w:rFonts w:eastAsia="Times New Roman"/>
                <w:lang w:eastAsia="lv-LV"/>
              </w:rPr>
              <w:t xml:space="preserve"> Finanšu ministrijā līdzekļu pieprasījumu un </w:t>
            </w:r>
            <w:r>
              <w:rPr>
                <w:rFonts w:eastAsia="Times New Roman"/>
                <w:lang w:eastAsia="lv-LV"/>
              </w:rPr>
              <w:t xml:space="preserve">aprēķinus un Finanšu ministrija </w:t>
            </w:r>
            <w:r w:rsidRPr="00C43979">
              <w:rPr>
                <w:rFonts w:eastAsia="Times New Roman"/>
                <w:lang w:eastAsia="lv-LV"/>
              </w:rPr>
              <w:t xml:space="preserve">no valsts budžeta programmas 02.00.00 "Līdzekļi neparedzētiem gadījumiem" </w:t>
            </w:r>
            <w:r>
              <w:rPr>
                <w:rFonts w:eastAsia="Times New Roman"/>
                <w:lang w:eastAsia="lv-LV"/>
              </w:rPr>
              <w:t>piešķirs</w:t>
            </w:r>
            <w:r w:rsidR="00C43979" w:rsidRPr="00C43979">
              <w:rPr>
                <w:rFonts w:eastAsia="Times New Roman"/>
                <w:lang w:eastAsia="lv-LV"/>
              </w:rPr>
              <w:t xml:space="preserve"> Lab</w:t>
            </w:r>
            <w:r>
              <w:rPr>
                <w:rFonts w:eastAsia="Times New Roman"/>
                <w:lang w:eastAsia="lv-LV"/>
              </w:rPr>
              <w:t>klājības ministrijai 2014.gadā nepieciešamā finansējuma atlikušo daļu, kas nepārsniegs</w:t>
            </w:r>
            <w:r w:rsidR="00C43979" w:rsidRPr="00C43979">
              <w:rPr>
                <w:rFonts w:eastAsia="Times New Roman"/>
                <w:lang w:eastAsia="lv-LV"/>
              </w:rPr>
              <w:t xml:space="preserve"> 107 289 </w:t>
            </w:r>
            <w:proofErr w:type="spellStart"/>
            <w:r w:rsidR="00C43979" w:rsidRPr="00C43979">
              <w:rPr>
                <w:rFonts w:eastAsia="Times New Roman"/>
                <w:lang w:eastAsia="lv-LV"/>
              </w:rPr>
              <w:t>euro</w:t>
            </w:r>
            <w:proofErr w:type="spellEnd"/>
            <w:r w:rsidR="00C43979" w:rsidRPr="00C43979">
              <w:rPr>
                <w:rFonts w:eastAsia="Times New Roman"/>
                <w:lang w:eastAsia="lv-LV"/>
              </w:rPr>
              <w:t>, lai 2014.gadā nodrošinātu valsts sociālās aprūpes centra „Vidzeme” filiāles „Allaži” avārijas stāvoklī esošās ēkas rekonstrukcijas uzsākšanu</w:t>
            </w:r>
            <w:r>
              <w:rPr>
                <w:rFonts w:eastAsia="Times New Roman"/>
                <w:lang w:eastAsia="lv-LV"/>
              </w:rPr>
              <w:t>.</w:t>
            </w:r>
          </w:p>
        </w:tc>
      </w:tr>
      <w:tr w:rsidR="00947B33" w:rsidRPr="003E4ABD" w:rsidTr="0084703E">
        <w:tc>
          <w:tcPr>
            <w:tcW w:w="1586" w:type="dxa"/>
          </w:tcPr>
          <w:p w:rsidR="00947B33" w:rsidRPr="003E4ABD" w:rsidRDefault="00947B33" w:rsidP="0084703E">
            <w:pPr>
              <w:spacing w:after="0" w:line="240" w:lineRule="auto"/>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6.2. Detalizēts izdevumu aprēķins</w:t>
            </w:r>
          </w:p>
        </w:tc>
        <w:tc>
          <w:tcPr>
            <w:tcW w:w="7594" w:type="dxa"/>
            <w:gridSpan w:val="8"/>
            <w:vMerge/>
            <w:shd w:val="clear" w:color="auto" w:fill="auto"/>
          </w:tcPr>
          <w:p w:rsidR="00947B33" w:rsidRPr="003E4ABD" w:rsidRDefault="00947B33" w:rsidP="00E20A39">
            <w:pPr>
              <w:pStyle w:val="ListParagraph"/>
              <w:spacing w:after="0" w:line="240" w:lineRule="auto"/>
              <w:ind w:left="360"/>
              <w:jc w:val="both"/>
              <w:rPr>
                <w:rFonts w:ascii="Times New Roman" w:hAnsi="Times New Roman"/>
                <w:i/>
                <w:sz w:val="24"/>
                <w:szCs w:val="24"/>
              </w:rPr>
            </w:pPr>
          </w:p>
        </w:tc>
      </w:tr>
      <w:tr w:rsidR="0060640E" w:rsidRPr="003E4ABD" w:rsidTr="0084703E">
        <w:tc>
          <w:tcPr>
            <w:tcW w:w="1586" w:type="dxa"/>
          </w:tcPr>
          <w:p w:rsidR="0060640E" w:rsidRPr="003E4ABD" w:rsidRDefault="0052011C" w:rsidP="0084703E">
            <w:pPr>
              <w:spacing w:after="0" w:line="240" w:lineRule="auto"/>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7.</w:t>
            </w:r>
            <w:r w:rsidR="0060640E" w:rsidRPr="003E4ABD">
              <w:rPr>
                <w:rFonts w:ascii="Times New Roman" w:eastAsia="Times New Roman" w:hAnsi="Times New Roman"/>
                <w:sz w:val="24"/>
                <w:szCs w:val="24"/>
                <w:lang w:eastAsia="lv-LV"/>
              </w:rPr>
              <w:t>Cita informācija</w:t>
            </w:r>
          </w:p>
        </w:tc>
        <w:tc>
          <w:tcPr>
            <w:tcW w:w="7594" w:type="dxa"/>
            <w:gridSpan w:val="8"/>
          </w:tcPr>
          <w:p w:rsidR="00407422" w:rsidRPr="003E4ABD" w:rsidRDefault="00407422" w:rsidP="00407422">
            <w:pPr>
              <w:spacing w:after="0" w:line="240" w:lineRule="auto"/>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Lai nodrošinātu efektīvu valsts budžeta līdzekļu izlietošanu un samazinātu risku būvdarbu izpildei, sagatavojot iepirkumu tiks paredzēts, ka būvdarbu veicējs iesniedz avansa garantiju un turpmākais finansējums netiek pārskaitīts būvdarbu veicējam, līdz tiek dzēsts pārskaitītais avansa maksājums.</w:t>
            </w:r>
          </w:p>
          <w:p w:rsidR="006278A3" w:rsidRPr="00C43979" w:rsidRDefault="008E62AF" w:rsidP="001D7BA0">
            <w:pPr>
              <w:tabs>
                <w:tab w:val="left" w:pos="426"/>
              </w:tabs>
              <w:jc w:val="both"/>
              <w:rPr>
                <w:rFonts w:ascii="Times New Roman" w:hAnsi="Times New Roman"/>
                <w:szCs w:val="24"/>
              </w:rPr>
            </w:pPr>
            <w:r w:rsidRPr="00FC4B12">
              <w:rPr>
                <w:rFonts w:ascii="Times New Roman" w:hAnsi="Times New Roman"/>
              </w:rPr>
              <w:t xml:space="preserve">Lai pilnībā pabeigtu valsts sociālās aprūpes centra “Vidzeme” filiāles “Allaži” avārijas stāvoklī esošās ēkas rekonstrukciju, 2015.gada valsts budžetā būs nepieciešams papildu finansējums 259 282 </w:t>
            </w:r>
            <w:proofErr w:type="spellStart"/>
            <w:r w:rsidRPr="00FC4B12">
              <w:rPr>
                <w:rFonts w:ascii="Times New Roman" w:hAnsi="Times New Roman"/>
                <w:i/>
              </w:rPr>
              <w:t>euro</w:t>
            </w:r>
            <w:proofErr w:type="spellEnd"/>
            <w:r w:rsidRPr="00FC4B12">
              <w:rPr>
                <w:rFonts w:ascii="Times New Roman" w:hAnsi="Times New Roman"/>
                <w:i/>
              </w:rPr>
              <w:t xml:space="preserve"> </w:t>
            </w:r>
            <w:r w:rsidR="00052697">
              <w:rPr>
                <w:rFonts w:ascii="Times New Roman" w:hAnsi="Times New Roman"/>
              </w:rPr>
              <w:t>apmērā.</w:t>
            </w:r>
            <w:r w:rsidRPr="00FC4B12">
              <w:rPr>
                <w:rFonts w:ascii="Times New Roman" w:hAnsi="Times New Roman"/>
              </w:rPr>
              <w:t xml:space="preserve"> </w:t>
            </w:r>
            <w:r w:rsidR="00A72F7E" w:rsidRPr="00A72F7E">
              <w:rPr>
                <w:rFonts w:ascii="Times New Roman" w:hAnsi="Times New Roman"/>
              </w:rPr>
              <w:t>A</w:t>
            </w:r>
            <w:r w:rsidRPr="00A72F7E">
              <w:rPr>
                <w:rFonts w:ascii="Times New Roman" w:hAnsi="Times New Roman"/>
              </w:rPr>
              <w:t xml:space="preserve">tbilstoši Labklājības ministrijas </w:t>
            </w:r>
            <w:r w:rsidRPr="00C43979">
              <w:rPr>
                <w:rFonts w:ascii="Times New Roman" w:hAnsi="Times New Roman"/>
              </w:rPr>
              <w:t xml:space="preserve">sagatavotā informatīvā </w:t>
            </w:r>
            <w:r w:rsidRPr="00C43979">
              <w:rPr>
                <w:rFonts w:ascii="Times New Roman" w:hAnsi="Times New Roman"/>
                <w:szCs w:val="24"/>
              </w:rPr>
              <w:t xml:space="preserve">ziņojuma “Par papildu nepieciešamo finansējumu valsts sociālās aprūpes centra “Vidzeme” filiāles “Allaži” avārijas stāvoklī esošās ēkas rekonstrukcijas nodrošināšanai” projekta pievienotajam Ministru kabineta sēdes </w:t>
            </w:r>
            <w:proofErr w:type="spellStart"/>
            <w:r w:rsidRPr="00C43979">
              <w:rPr>
                <w:rFonts w:ascii="Times New Roman" w:hAnsi="Times New Roman"/>
                <w:szCs w:val="24"/>
              </w:rPr>
              <w:t>protokollēmuma</w:t>
            </w:r>
            <w:proofErr w:type="spellEnd"/>
            <w:r w:rsidRPr="00C43979">
              <w:rPr>
                <w:rFonts w:ascii="Times New Roman" w:hAnsi="Times New Roman"/>
                <w:szCs w:val="24"/>
              </w:rPr>
              <w:t xml:space="preserve"> projekta</w:t>
            </w:r>
            <w:r w:rsidR="0012242D" w:rsidRPr="00C43979">
              <w:rPr>
                <w:rFonts w:ascii="Times New Roman" w:hAnsi="Times New Roman"/>
                <w:szCs w:val="24"/>
              </w:rPr>
              <w:t xml:space="preserve"> 3</w:t>
            </w:r>
            <w:r w:rsidRPr="00C43979">
              <w:rPr>
                <w:rFonts w:ascii="Times New Roman" w:hAnsi="Times New Roman"/>
                <w:szCs w:val="24"/>
              </w:rPr>
              <w:t>.punktam</w:t>
            </w:r>
            <w:r w:rsidR="00A72F7E" w:rsidRPr="00C43979">
              <w:rPr>
                <w:rFonts w:ascii="Times New Roman" w:hAnsi="Times New Roman"/>
                <w:szCs w:val="24"/>
              </w:rPr>
              <w:t xml:space="preserve">, </w:t>
            </w:r>
            <w:r w:rsidR="00E563C2" w:rsidRPr="00C43979">
              <w:rPr>
                <w:rFonts w:ascii="Times New Roman" w:hAnsi="Times New Roman"/>
                <w:szCs w:val="24"/>
              </w:rPr>
              <w:t xml:space="preserve">pēc tam, kad, atbilstoši publisko iepirkumu normatīvajam regulējumam, būs noslēgusies iepirkuma procedūra un izraudzīts piegādātājs ar tiesībām veikt būvdarbus valsts sociālās aprūpes centra „Vidzeme” filiāles „Allaži” avārijas stāvoklī esošajā ēkā, </w:t>
            </w:r>
            <w:r w:rsidR="0012242D" w:rsidRPr="00C43979">
              <w:rPr>
                <w:rFonts w:ascii="Times New Roman" w:hAnsi="Times New Roman"/>
                <w:szCs w:val="24"/>
              </w:rPr>
              <w:t xml:space="preserve">atbilstoši likumprojekta “Par vidēja termiņa budžeta ietvaru 2015., 2016. un 2017.gadam” un likumprojekta “Par valsts budžetu 2015.gadam” sagatavošanas grafikam Finanšu ministrijā </w:t>
            </w:r>
            <w:r w:rsidR="00E563C2" w:rsidRPr="00C43979">
              <w:rPr>
                <w:rFonts w:ascii="Times New Roman" w:hAnsi="Times New Roman"/>
                <w:szCs w:val="24"/>
              </w:rPr>
              <w:t>tiks iesniegti aprēķini un priekšlikumi</w:t>
            </w:r>
            <w:r w:rsidR="0012242D" w:rsidRPr="00C43979">
              <w:rPr>
                <w:rFonts w:ascii="Times New Roman" w:hAnsi="Times New Roman"/>
                <w:szCs w:val="24"/>
              </w:rPr>
              <w:t xml:space="preserve"> maksimāli pieļaujamā izdevumu apmēra palielināšanai 2015.gadam ne vairāk kā 259 282 </w:t>
            </w:r>
            <w:proofErr w:type="spellStart"/>
            <w:r w:rsidR="0012242D" w:rsidRPr="00C43979">
              <w:rPr>
                <w:rFonts w:ascii="Times New Roman" w:hAnsi="Times New Roman"/>
                <w:szCs w:val="24"/>
              </w:rPr>
              <w:t>euro</w:t>
            </w:r>
            <w:proofErr w:type="spellEnd"/>
            <w:r w:rsidR="0012242D" w:rsidRPr="00C43979">
              <w:rPr>
                <w:rFonts w:ascii="Times New Roman" w:hAnsi="Times New Roman"/>
                <w:szCs w:val="24"/>
              </w:rPr>
              <w:t xml:space="preserve"> apmērā Labklājības ministrijas pamatbudžeta programmas 05.00.00 „Valsts sociālie pakalpojumi” apakšprogrammā 05.03.00. „Aprūpe valsts sociālās aprūpes institūcijās”, lai nodrošinātu Valsts sociālās aprūpes centra „Vidzeme” filiāles „Allaži” avārijas situācijā esošās ēkas 2014.gadā uzsāktās rekonstrukcijas pabeigšanu, kā arī autoruzraudzību un būvuzraudzību</w:t>
            </w:r>
            <w:r w:rsidR="00E563C2" w:rsidRPr="00C43979">
              <w:rPr>
                <w:rFonts w:ascii="Times New Roman" w:hAnsi="Times New Roman"/>
                <w:szCs w:val="24"/>
              </w:rPr>
              <w:t xml:space="preserve">. </w:t>
            </w:r>
          </w:p>
          <w:p w:rsidR="0084703E" w:rsidRPr="00C43979" w:rsidRDefault="008A455C" w:rsidP="00E563C2">
            <w:pPr>
              <w:tabs>
                <w:tab w:val="left" w:pos="426"/>
              </w:tabs>
              <w:jc w:val="both"/>
              <w:rPr>
                <w:rFonts w:ascii="Times New Roman" w:eastAsia="Times New Roman" w:hAnsi="Times New Roman"/>
                <w:sz w:val="24"/>
                <w:szCs w:val="24"/>
                <w:lang w:eastAsia="ar-SA"/>
              </w:rPr>
            </w:pPr>
            <w:r w:rsidRPr="00C43979">
              <w:rPr>
                <w:rFonts w:ascii="Times New Roman" w:eastAsia="Times New Roman" w:hAnsi="Times New Roman"/>
                <w:sz w:val="24"/>
                <w:szCs w:val="24"/>
                <w:lang w:eastAsia="ar-SA"/>
              </w:rPr>
              <w:t>Izdevumus</w:t>
            </w:r>
            <w:r w:rsidR="0084703E" w:rsidRPr="00C43979">
              <w:rPr>
                <w:rFonts w:ascii="Times New Roman" w:eastAsia="Times New Roman" w:hAnsi="Times New Roman"/>
                <w:sz w:val="24"/>
                <w:szCs w:val="24"/>
                <w:lang w:eastAsia="ar-SA"/>
              </w:rPr>
              <w:t xml:space="preserve"> </w:t>
            </w:r>
            <w:r w:rsidRPr="00C43979">
              <w:rPr>
                <w:rFonts w:ascii="Times New Roman" w:eastAsia="Times New Roman" w:hAnsi="Times New Roman"/>
                <w:sz w:val="24"/>
                <w:szCs w:val="24"/>
                <w:lang w:eastAsia="ar-SA"/>
              </w:rPr>
              <w:t xml:space="preserve">2014.gadā </w:t>
            </w:r>
            <w:r w:rsidR="0084703E" w:rsidRPr="00C43979">
              <w:rPr>
                <w:rFonts w:ascii="Times New Roman" w:eastAsia="Times New Roman" w:hAnsi="Times New Roman"/>
                <w:sz w:val="24"/>
                <w:szCs w:val="24"/>
                <w:lang w:eastAsia="ar-SA"/>
              </w:rPr>
              <w:t xml:space="preserve">sedz no valsts budžeta programmas 02.00.00 </w:t>
            </w:r>
            <w:r w:rsidR="0084703E" w:rsidRPr="00C43979">
              <w:rPr>
                <w:rFonts w:ascii="Times New Roman" w:eastAsia="Times New Roman" w:hAnsi="Times New Roman"/>
                <w:sz w:val="24"/>
                <w:szCs w:val="24"/>
                <w:lang w:eastAsia="ar-SA"/>
              </w:rPr>
              <w:lastRenderedPageBreak/>
              <w:t>„Līdzekļi neparedzē</w:t>
            </w:r>
            <w:r w:rsidR="0084703E" w:rsidRPr="00C43979">
              <w:rPr>
                <w:rFonts w:ascii="Times New Roman" w:eastAsia="Times New Roman" w:hAnsi="Times New Roman"/>
                <w:sz w:val="24"/>
                <w:szCs w:val="24"/>
                <w:lang w:eastAsia="ar-SA"/>
              </w:rPr>
              <w:softHyphen/>
              <w:t>tiem gadīju</w:t>
            </w:r>
            <w:r w:rsidR="0084703E" w:rsidRPr="00C43979">
              <w:rPr>
                <w:rFonts w:ascii="Times New Roman" w:eastAsia="Times New Roman" w:hAnsi="Times New Roman"/>
                <w:sz w:val="24"/>
                <w:szCs w:val="24"/>
                <w:lang w:eastAsia="ar-SA"/>
              </w:rPr>
              <w:softHyphen/>
              <w:t xml:space="preserve">miem” pārdalot finansējumu uz Labklājības ministrijas programmu 99.00.00 „Līdzekļu neparedzētiem gadījumiem izlietojums”. </w:t>
            </w:r>
          </w:p>
          <w:p w:rsidR="0084703E" w:rsidRPr="00C43979"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C43979">
              <w:rPr>
                <w:rFonts w:ascii="Times New Roman" w:eastAsia="Times New Roman" w:hAnsi="Times New Roman"/>
                <w:sz w:val="24"/>
                <w:szCs w:val="24"/>
                <w:lang w:eastAsia="ar-SA"/>
              </w:rPr>
              <w:t>*Labklājības ministrijas pamatbudžeta programmā 99.00.00 „Līdzekļu neparedzētiem gadījumiem izlietojums” iekļauts finansējums, pamatojoties uz šādiem Ministru kabineta rīkojumiem</w:t>
            </w:r>
            <w:r w:rsidR="008A455C" w:rsidRPr="00C43979">
              <w:rPr>
                <w:rFonts w:ascii="Times New Roman" w:eastAsia="Times New Roman" w:hAnsi="Times New Roman"/>
                <w:sz w:val="24"/>
                <w:szCs w:val="24"/>
                <w:lang w:eastAsia="ar-SA"/>
              </w:rPr>
              <w:t>, kuri apstiprināti līdz 13.08.2014.</w:t>
            </w:r>
            <w:r w:rsidRPr="00C43979">
              <w:rPr>
                <w:rFonts w:ascii="Times New Roman" w:eastAsia="Times New Roman" w:hAnsi="Times New Roman"/>
                <w:sz w:val="24"/>
                <w:szCs w:val="24"/>
                <w:lang w:eastAsia="ar-SA"/>
              </w:rPr>
              <w:t xml:space="preserve">: </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1) Ministru kabineta 11.12.2013. rīkojums Nr.610 (prot. Nr.64 40.§) „Par vienreizēju kompensāciju piešķiršanu sakarā ar traģēdiju Priedaines ielā 20, Rīgā” par summu 725 730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2) Ministru kabineta 19.12.2013. rīkojums Nr.671 (prot. Nr.67 84.§) „Grozījumi Ministru kabineta 2013.gada 4.decembra rīkojumā Nr.590 „Par atbalsta pasākumiem traģēdijā Priedaines ielā 20, Rīgā, cietušajām un seku novēršanā iesaistītajām personām”” par summu 66 646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3) Ministru kabineta 21.01.2014. rīkojums Nr.42 (prot. Nr.3 48.§) „Par vienreizēja sociālā pabalsta piešķiršanu” par summu 11 235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4) Ministru kabineta 05.03.2014. rīkojumu Nr.94 (prot Nr.14, 8.§) „Par finanšu līdzekļu piešķiršanu no valsts budžeta programmas „Līdzekļi neparedzētiem gadījumiem”” par summu 7 681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5) Ministru kabineta 13.05.2014. rīkojums Nr.204 (prot Nr.25, 41.§) „Par Latvijas Republikas delegāciju dalībai Starptautiskās darba konferences 103.sesijā Ženēvā” par summu 10 988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6) Ministru kabineta 14.05.2014. rīkojumu Nr.209 (prot Nr.28, 5.§) ‘Par finanšu līdzekļu piešķiršanu no valsts budžeta programmas „Līdzekļi neparedzētiem gadījumiem”” par summu 65 580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7) Ministru kabineta 14.05.2014. rīkojums Nr.218 (prot. Nr.28 24.§) „Par vienreizējā sociālā pabalsta piešķiršanu Elīnai Mednei sakarā ar trīnīšu piedzimšanu” par summu 11 235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tai skaitā 8 538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vienreizējā sociālā pabalsta izmaksai un 2 697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iedzīvotāju ienākuma nodokļa samaksai.</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8) Ministru kabineta 21.05.2014. rīkojums Nr.232 (prot. Nr.29 26.§) „Par vienreizējā sociālā pabalsta piešķiršanu Ingai Gulbei sakarā ar trīnīšu piedzimšanu” par summu 11 235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tai skaitā 8 538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vienreizējā sociālā pabalsta izmaksai un 2 697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iedzīvotāju ienākuma nodokļa samaksai.</w:t>
            </w:r>
          </w:p>
          <w:p w:rsidR="0084703E" w:rsidRPr="003E4ABD" w:rsidRDefault="0084703E" w:rsidP="0084703E">
            <w:pPr>
              <w:spacing w:after="0" w:line="240" w:lineRule="auto"/>
              <w:jc w:val="both"/>
              <w:rPr>
                <w:rFonts w:ascii="Times New Roman" w:hAnsi="Times New Roman"/>
                <w:sz w:val="24"/>
                <w:szCs w:val="24"/>
                <w:lang w:eastAsia="lv-LV"/>
              </w:rPr>
            </w:pPr>
            <w:r w:rsidRPr="003E4ABD">
              <w:rPr>
                <w:rFonts w:ascii="Times New Roman" w:eastAsia="Times New Roman" w:hAnsi="Times New Roman"/>
                <w:sz w:val="24"/>
                <w:szCs w:val="24"/>
                <w:lang w:eastAsia="ar-SA"/>
              </w:rPr>
              <w:t>9) Ministru kabineta 04.06.2014. rīkojums Nr.261 (prot. Nr.31, 38.§) „Par vienreizējā sociālā pabalsta piešķiršanu Karinai Adamaitei-</w:t>
            </w:r>
            <w:proofErr w:type="spellStart"/>
            <w:r w:rsidRPr="003E4ABD">
              <w:rPr>
                <w:rFonts w:ascii="Times New Roman" w:eastAsia="Times New Roman" w:hAnsi="Times New Roman"/>
                <w:sz w:val="24"/>
                <w:szCs w:val="24"/>
                <w:lang w:eastAsia="ar-SA"/>
              </w:rPr>
              <w:t>Jākabsonei</w:t>
            </w:r>
            <w:proofErr w:type="spellEnd"/>
            <w:r w:rsidRPr="003E4ABD">
              <w:rPr>
                <w:rFonts w:ascii="Times New Roman" w:eastAsia="Times New Roman" w:hAnsi="Times New Roman"/>
                <w:sz w:val="24"/>
                <w:szCs w:val="24"/>
                <w:lang w:eastAsia="ar-SA"/>
              </w:rPr>
              <w:t xml:space="preserve"> sakarā ar trīnīšu piedzimšanu” par summu 11 235</w:t>
            </w:r>
            <w:r w:rsidRPr="003E4ABD">
              <w:rPr>
                <w:rFonts w:ascii="Times New Roman" w:eastAsia="Times New Roman" w:hAnsi="Times New Roman"/>
                <w:i/>
                <w:sz w:val="24"/>
                <w:szCs w:val="24"/>
                <w:lang w:eastAsia="ar-SA"/>
              </w:rPr>
              <w:t xml:space="preserve">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tai skaitā 8 538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vienreizējā sociālā pabalsta izmaksai un 2 697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iedzīvotāju ienākuma nodokļa samaksai.</w:t>
            </w:r>
          </w:p>
          <w:p w:rsidR="0060640E" w:rsidRDefault="0084703E" w:rsidP="006D1561">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hAnsi="Times New Roman"/>
                <w:sz w:val="24"/>
                <w:szCs w:val="24"/>
                <w:lang w:eastAsia="lv-LV"/>
              </w:rPr>
              <w:t>10)</w:t>
            </w:r>
            <w:r w:rsidRPr="003E4ABD">
              <w:t xml:space="preserve"> </w:t>
            </w:r>
            <w:r w:rsidRPr="003E4ABD">
              <w:rPr>
                <w:rFonts w:ascii="Times New Roman" w:hAnsi="Times New Roman"/>
                <w:sz w:val="24"/>
                <w:szCs w:val="24"/>
                <w:lang w:eastAsia="lv-LV"/>
              </w:rPr>
              <w:t>Ministru kabineta 29.0</w:t>
            </w:r>
            <w:r w:rsidR="006278A3">
              <w:rPr>
                <w:rFonts w:ascii="Times New Roman" w:hAnsi="Times New Roman"/>
                <w:sz w:val="24"/>
                <w:szCs w:val="24"/>
                <w:lang w:eastAsia="lv-LV"/>
              </w:rPr>
              <w:t>7</w:t>
            </w:r>
            <w:r w:rsidRPr="003E4ABD">
              <w:rPr>
                <w:rFonts w:ascii="Times New Roman" w:hAnsi="Times New Roman"/>
                <w:sz w:val="24"/>
                <w:szCs w:val="24"/>
                <w:lang w:eastAsia="lv-LV"/>
              </w:rPr>
              <w:t xml:space="preserve">.2014. rīkojums Nr.400 </w:t>
            </w:r>
            <w:r w:rsidRPr="003E4ABD">
              <w:rPr>
                <w:rFonts w:ascii="Times New Roman" w:eastAsia="Times New Roman" w:hAnsi="Times New Roman"/>
                <w:sz w:val="24"/>
                <w:szCs w:val="24"/>
                <w:lang w:eastAsia="ar-SA"/>
              </w:rPr>
              <w:t xml:space="preserve">(prot. Nr.41, 18.§) </w:t>
            </w:r>
            <w:r w:rsidRPr="003E4ABD">
              <w:rPr>
                <w:rFonts w:ascii="Times New Roman" w:hAnsi="Times New Roman"/>
                <w:sz w:val="24"/>
                <w:szCs w:val="24"/>
                <w:lang w:eastAsia="lv-LV"/>
              </w:rPr>
              <w:t>"Par finanšu līdzekļu piešķiršanu no valsts budžeta programmas „Līdzekļi neparedzētiem gadījumiem””</w:t>
            </w:r>
            <w:r w:rsidRPr="003E4ABD">
              <w:rPr>
                <w:rFonts w:ascii="Times New Roman" w:hAnsi="Times New Roman"/>
                <w:vanish/>
                <w:sz w:val="24"/>
                <w:szCs w:val="24"/>
                <w:lang w:eastAsia="lv-LV"/>
              </w:rPr>
              <w:t>" 34. aks par to ir veikti gal :</w:t>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006D1561" w:rsidRPr="003E4ABD">
              <w:rPr>
                <w:rFonts w:ascii="Times New Roman" w:hAnsi="Times New Roman"/>
                <w:sz w:val="24"/>
                <w:szCs w:val="24"/>
                <w:lang w:eastAsia="lv-LV"/>
              </w:rPr>
              <w:t xml:space="preserve"> </w:t>
            </w:r>
            <w:r w:rsidR="006D1561" w:rsidRPr="003E4ABD">
              <w:rPr>
                <w:rFonts w:ascii="Times New Roman" w:eastAsia="Times New Roman" w:hAnsi="Times New Roman"/>
                <w:sz w:val="24"/>
                <w:szCs w:val="24"/>
                <w:lang w:eastAsia="ar-SA"/>
              </w:rPr>
              <w:t xml:space="preserve">par summu 16 694 </w:t>
            </w:r>
            <w:proofErr w:type="spellStart"/>
            <w:r w:rsidR="006D1561" w:rsidRPr="003E4ABD">
              <w:rPr>
                <w:rFonts w:ascii="Times New Roman" w:eastAsia="Times New Roman" w:hAnsi="Times New Roman"/>
                <w:i/>
                <w:sz w:val="24"/>
                <w:szCs w:val="24"/>
                <w:lang w:eastAsia="ar-SA"/>
              </w:rPr>
              <w:t>euro</w:t>
            </w:r>
            <w:proofErr w:type="spellEnd"/>
            <w:r w:rsidR="006D1561" w:rsidRPr="003E4ABD">
              <w:rPr>
                <w:rFonts w:ascii="Times New Roman" w:eastAsia="Times New Roman" w:hAnsi="Times New Roman"/>
                <w:sz w:val="24"/>
                <w:szCs w:val="24"/>
                <w:lang w:eastAsia="ar-SA"/>
              </w:rPr>
              <w:t xml:space="preserve"> apmērā.</w:t>
            </w:r>
          </w:p>
          <w:p w:rsidR="00FC4B12" w:rsidRPr="003E4ABD" w:rsidRDefault="00FC4B12" w:rsidP="00A704B9">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p>
        </w:tc>
      </w:tr>
    </w:tbl>
    <w:p w:rsidR="00C92784" w:rsidRPr="003E4ABD" w:rsidRDefault="00C92784" w:rsidP="00C92784">
      <w:pPr>
        <w:spacing w:after="0" w:line="240" w:lineRule="auto"/>
        <w:rPr>
          <w:rFonts w:ascii="Times New Roman" w:eastAsia="Times New Roman" w:hAnsi="Times New Roman"/>
          <w:sz w:val="24"/>
          <w:szCs w:val="24"/>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54"/>
        <w:gridCol w:w="4841"/>
      </w:tblGrid>
      <w:tr w:rsidR="00C92784" w:rsidRPr="003E4ABD" w:rsidTr="0084703E">
        <w:tc>
          <w:tcPr>
            <w:tcW w:w="9321" w:type="dxa"/>
            <w:gridSpan w:val="3"/>
          </w:tcPr>
          <w:p w:rsidR="00C92784" w:rsidRPr="003E4ABD" w:rsidRDefault="00C92784"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VII Tiesību akta projekta izpildes nodrošināšana un tās ietekme uz institūcijām</w:t>
            </w:r>
          </w:p>
        </w:tc>
      </w:tr>
      <w:tr w:rsidR="00C92784" w:rsidRPr="003E4ABD" w:rsidTr="0084703E">
        <w:tc>
          <w:tcPr>
            <w:tcW w:w="826"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1. </w:t>
            </w:r>
          </w:p>
        </w:tc>
        <w:tc>
          <w:tcPr>
            <w:tcW w:w="3654" w:type="dxa"/>
          </w:tcPr>
          <w:p w:rsidR="00C92784" w:rsidRPr="003E4ABD" w:rsidRDefault="00C92784" w:rsidP="002D7F51">
            <w:pPr>
              <w:spacing w:after="0" w:line="240" w:lineRule="auto"/>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Projekta izpildē iesaistītās </w:t>
            </w:r>
            <w:r w:rsidRPr="003E4ABD">
              <w:rPr>
                <w:rFonts w:ascii="Times New Roman" w:eastAsia="Times New Roman" w:hAnsi="Times New Roman"/>
                <w:sz w:val="24"/>
                <w:szCs w:val="24"/>
                <w:lang w:eastAsia="lv-LV"/>
              </w:rPr>
              <w:lastRenderedPageBreak/>
              <w:t>institūcijas</w:t>
            </w:r>
          </w:p>
        </w:tc>
        <w:tc>
          <w:tcPr>
            <w:tcW w:w="4841" w:type="dxa"/>
          </w:tcPr>
          <w:p w:rsidR="00C92784" w:rsidRPr="003E4ABD" w:rsidRDefault="00CD0467" w:rsidP="00CD0467">
            <w:pPr>
              <w:spacing w:after="0" w:line="240" w:lineRule="auto"/>
              <w:ind w:firstLine="12"/>
              <w:jc w:val="both"/>
              <w:rPr>
                <w:rFonts w:ascii="Times New Roman" w:eastAsia="Times New Roman" w:hAnsi="Times New Roman"/>
                <w:i/>
                <w:sz w:val="24"/>
                <w:szCs w:val="24"/>
                <w:lang w:eastAsia="lv-LV"/>
              </w:rPr>
            </w:pPr>
            <w:r w:rsidRPr="003E4ABD">
              <w:rPr>
                <w:rFonts w:ascii="Times New Roman" w:eastAsia="Times New Roman" w:hAnsi="Times New Roman"/>
                <w:sz w:val="24"/>
                <w:szCs w:val="24"/>
                <w:lang w:eastAsia="lv-LV"/>
              </w:rPr>
              <w:lastRenderedPageBreak/>
              <w:t>Rīkojuma p</w:t>
            </w:r>
            <w:r w:rsidR="00C92784" w:rsidRPr="003E4ABD">
              <w:rPr>
                <w:rFonts w:ascii="Times New Roman" w:eastAsia="Times New Roman" w:hAnsi="Times New Roman"/>
                <w:sz w:val="24"/>
                <w:szCs w:val="24"/>
                <w:lang w:eastAsia="lv-LV"/>
              </w:rPr>
              <w:t xml:space="preserve">rojekta izpildi nodrošinās </w:t>
            </w:r>
            <w:r w:rsidRPr="003E4ABD">
              <w:rPr>
                <w:rFonts w:ascii="Times New Roman" w:eastAsia="Times New Roman" w:hAnsi="Times New Roman"/>
                <w:sz w:val="24"/>
                <w:szCs w:val="24"/>
                <w:lang w:eastAsia="lv-LV"/>
              </w:rPr>
              <w:t xml:space="preserve">Valsts </w:t>
            </w:r>
            <w:r w:rsidR="00C92784" w:rsidRPr="003E4ABD">
              <w:rPr>
                <w:rFonts w:ascii="Times New Roman" w:eastAsia="Times New Roman" w:hAnsi="Times New Roman"/>
                <w:sz w:val="24"/>
                <w:szCs w:val="24"/>
                <w:lang w:eastAsia="lv-LV"/>
              </w:rPr>
              <w:lastRenderedPageBreak/>
              <w:t xml:space="preserve">sociālās aprūpes </w:t>
            </w:r>
            <w:r w:rsidRPr="003E4ABD">
              <w:rPr>
                <w:rFonts w:ascii="Times New Roman" w:eastAsia="Times New Roman" w:hAnsi="Times New Roman"/>
                <w:sz w:val="24"/>
                <w:szCs w:val="24"/>
                <w:lang w:eastAsia="lv-LV"/>
              </w:rPr>
              <w:t>centrs „Vidzeme”</w:t>
            </w:r>
            <w:r w:rsidR="00C92784" w:rsidRPr="003E4ABD">
              <w:rPr>
                <w:rFonts w:ascii="Times New Roman" w:eastAsia="Times New Roman" w:hAnsi="Times New Roman"/>
                <w:sz w:val="24"/>
                <w:szCs w:val="24"/>
                <w:lang w:eastAsia="lv-LV"/>
              </w:rPr>
              <w:t>.</w:t>
            </w:r>
          </w:p>
        </w:tc>
      </w:tr>
      <w:tr w:rsidR="00C92784" w:rsidRPr="003E4ABD" w:rsidTr="0084703E">
        <w:tc>
          <w:tcPr>
            <w:tcW w:w="826"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 xml:space="preserve">2. </w:t>
            </w:r>
          </w:p>
        </w:tc>
        <w:tc>
          <w:tcPr>
            <w:tcW w:w="3654" w:type="dxa"/>
          </w:tcPr>
          <w:p w:rsidR="002D7F51" w:rsidRPr="002D7F51" w:rsidRDefault="002D7F51" w:rsidP="002D7F51">
            <w:pPr>
              <w:spacing w:after="0" w:line="240" w:lineRule="auto"/>
              <w:jc w:val="both"/>
              <w:rPr>
                <w:rFonts w:ascii="Times New Roman" w:eastAsia="Times New Roman" w:hAnsi="Times New Roman"/>
                <w:sz w:val="24"/>
                <w:szCs w:val="24"/>
                <w:lang w:eastAsia="lv-LV"/>
              </w:rPr>
            </w:pPr>
            <w:r w:rsidRPr="002D7F51">
              <w:rPr>
                <w:rFonts w:ascii="Times New Roman" w:eastAsia="Times New Roman" w:hAnsi="Times New Roman"/>
                <w:sz w:val="24"/>
                <w:szCs w:val="24"/>
                <w:lang w:eastAsia="lv-LV"/>
              </w:rPr>
              <w:t>Projekta izpildes ietekme uz pārvaldes funkcijām un institucionālo struktūru.</w:t>
            </w:r>
          </w:p>
          <w:p w:rsidR="00C92784" w:rsidRPr="003E4ABD" w:rsidRDefault="002D7F51" w:rsidP="002D7F51">
            <w:pPr>
              <w:spacing w:after="0" w:line="240" w:lineRule="auto"/>
              <w:jc w:val="both"/>
              <w:rPr>
                <w:rFonts w:ascii="Times New Roman" w:eastAsia="Times New Roman" w:hAnsi="Times New Roman"/>
                <w:sz w:val="24"/>
                <w:szCs w:val="24"/>
                <w:lang w:eastAsia="lv-LV"/>
              </w:rPr>
            </w:pPr>
            <w:r w:rsidRPr="002D7F5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4841" w:type="dxa"/>
          </w:tcPr>
          <w:p w:rsidR="00C92784" w:rsidRPr="003E4ABD" w:rsidRDefault="00CD0467" w:rsidP="002D7F51">
            <w:pPr>
              <w:spacing w:after="0" w:line="240" w:lineRule="auto"/>
              <w:ind w:firstLine="12"/>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Rīkojuma projekta izpilde tiks </w:t>
            </w:r>
            <w:r w:rsidR="00C92784" w:rsidRPr="003E4ABD">
              <w:rPr>
                <w:rFonts w:ascii="Times New Roman" w:eastAsia="Times New Roman" w:hAnsi="Times New Roman"/>
                <w:sz w:val="24"/>
                <w:szCs w:val="24"/>
                <w:lang w:eastAsia="lv-LV"/>
              </w:rPr>
              <w:t>nodrošinā</w:t>
            </w:r>
            <w:r w:rsidRPr="003E4ABD">
              <w:rPr>
                <w:rFonts w:ascii="Times New Roman" w:eastAsia="Times New Roman" w:hAnsi="Times New Roman"/>
                <w:sz w:val="24"/>
                <w:szCs w:val="24"/>
                <w:lang w:eastAsia="lv-LV"/>
              </w:rPr>
              <w:t>ta</w:t>
            </w:r>
            <w:r w:rsidR="00C92784" w:rsidRPr="003E4ABD">
              <w:rPr>
                <w:rFonts w:ascii="Times New Roman" w:eastAsia="Times New Roman" w:hAnsi="Times New Roman"/>
                <w:sz w:val="24"/>
                <w:szCs w:val="24"/>
                <w:lang w:eastAsia="lv-LV"/>
              </w:rPr>
              <w:t xml:space="preserve"> esošo funkciju ietvaros.</w:t>
            </w:r>
            <w:r w:rsidR="002D7F51" w:rsidRPr="00EC5DE5">
              <w:rPr>
                <w:rFonts w:ascii="Times New Roman" w:eastAsia="Times New Roman" w:hAnsi="Times New Roman"/>
                <w:sz w:val="24"/>
                <w:szCs w:val="24"/>
                <w:lang w:eastAsia="lv-LV"/>
              </w:rPr>
              <w:t xml:space="preserve"> Pārvaldes institucionālajā struktūrā izmaiņas nav paredzētas, un reorganizācija netiek plānota.</w:t>
            </w:r>
          </w:p>
        </w:tc>
      </w:tr>
      <w:tr w:rsidR="00C92784" w:rsidRPr="00EC5DE5" w:rsidTr="0084703E">
        <w:tc>
          <w:tcPr>
            <w:tcW w:w="826"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6. </w:t>
            </w:r>
          </w:p>
        </w:tc>
        <w:tc>
          <w:tcPr>
            <w:tcW w:w="3654"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4841" w:type="dxa"/>
          </w:tcPr>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Nav.</w:t>
            </w:r>
          </w:p>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p>
        </w:tc>
      </w:tr>
    </w:tbl>
    <w:p w:rsidR="00C92784" w:rsidRPr="00EC5DE5" w:rsidRDefault="00C92784" w:rsidP="00C92784">
      <w:pPr>
        <w:spacing w:after="0" w:line="240" w:lineRule="auto"/>
        <w:jc w:val="center"/>
        <w:outlineLvl w:val="0"/>
        <w:rPr>
          <w:rFonts w:ascii="Times New Roman" w:eastAsia="Times New Roman" w:hAnsi="Times New Roman"/>
          <w:i/>
          <w:sz w:val="24"/>
          <w:szCs w:val="24"/>
          <w:lang w:eastAsia="lv-LV"/>
        </w:rPr>
      </w:pPr>
      <w:r w:rsidRPr="00EC5DE5">
        <w:rPr>
          <w:rFonts w:ascii="Times New Roman" w:eastAsia="Times New Roman" w:hAnsi="Times New Roman"/>
          <w:i/>
          <w:sz w:val="24"/>
          <w:szCs w:val="24"/>
          <w:lang w:eastAsia="lv-LV"/>
        </w:rPr>
        <w:t>Anotācijas IV, V un VI sadaļā minētos jautājumus rīkojuma projekts neskar.</w:t>
      </w:r>
    </w:p>
    <w:p w:rsidR="00C92784" w:rsidRDefault="00C92784" w:rsidP="00C92784">
      <w:pPr>
        <w:spacing w:after="0" w:line="240" w:lineRule="auto"/>
        <w:rPr>
          <w:rFonts w:ascii="Times New Roman" w:eastAsia="Times New Roman" w:hAnsi="Times New Roman"/>
          <w:sz w:val="24"/>
          <w:szCs w:val="24"/>
          <w:lang w:eastAsia="lv-LV"/>
        </w:rPr>
      </w:pPr>
    </w:p>
    <w:p w:rsidR="00E67E0B" w:rsidRDefault="00E67E0B" w:rsidP="00C92784">
      <w:pPr>
        <w:spacing w:after="0" w:line="240" w:lineRule="auto"/>
        <w:rPr>
          <w:rFonts w:ascii="Times New Roman" w:eastAsia="Times New Roman" w:hAnsi="Times New Roman"/>
          <w:sz w:val="24"/>
          <w:szCs w:val="24"/>
          <w:lang w:eastAsia="lv-LV"/>
        </w:rPr>
      </w:pPr>
    </w:p>
    <w:p w:rsidR="00E67E0B" w:rsidRDefault="00E67E0B" w:rsidP="00C92784">
      <w:pPr>
        <w:spacing w:after="0" w:line="240" w:lineRule="auto"/>
        <w:rPr>
          <w:rFonts w:ascii="Times New Roman" w:eastAsia="Times New Roman" w:hAnsi="Times New Roman"/>
          <w:sz w:val="24"/>
          <w:szCs w:val="24"/>
          <w:lang w:eastAsia="lv-LV"/>
        </w:rPr>
      </w:pPr>
    </w:p>
    <w:p w:rsidR="00E67E0B" w:rsidRPr="00EC5DE5" w:rsidRDefault="00E67E0B" w:rsidP="00C92784">
      <w:pPr>
        <w:spacing w:after="0" w:line="240" w:lineRule="auto"/>
        <w:rPr>
          <w:rFonts w:ascii="Times New Roman" w:eastAsia="Times New Roman" w:hAnsi="Times New Roman"/>
          <w:sz w:val="24"/>
          <w:szCs w:val="24"/>
          <w:lang w:eastAsia="lv-LV"/>
        </w:rPr>
      </w:pPr>
    </w:p>
    <w:p w:rsidR="00C92784" w:rsidRPr="00EC5DE5" w:rsidRDefault="00C92784" w:rsidP="00C92784">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Labklājības ministr</w:t>
      </w:r>
      <w:r w:rsidR="00233BEE">
        <w:rPr>
          <w:rFonts w:ascii="Times New Roman" w:eastAsia="Times New Roman" w:hAnsi="Times New Roman"/>
          <w:sz w:val="24"/>
          <w:szCs w:val="24"/>
          <w:lang w:eastAsia="lv-LV"/>
        </w:rPr>
        <w:t>s</w:t>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t xml:space="preserve">                                   </w:t>
      </w:r>
      <w:r w:rsidR="00233BEE">
        <w:rPr>
          <w:rFonts w:ascii="Times New Roman" w:eastAsia="Times New Roman" w:hAnsi="Times New Roman"/>
          <w:sz w:val="24"/>
          <w:szCs w:val="24"/>
          <w:lang w:eastAsia="lv-LV"/>
        </w:rPr>
        <w:t>U.Augulis</w:t>
      </w:r>
    </w:p>
    <w:p w:rsidR="00C92784" w:rsidRPr="00EC5DE5" w:rsidRDefault="00C92784" w:rsidP="00C92784">
      <w:pPr>
        <w:spacing w:after="0" w:line="240" w:lineRule="auto"/>
        <w:rPr>
          <w:rFonts w:ascii="Times New Roman" w:eastAsia="Times New Roman" w:hAnsi="Times New Roman"/>
          <w:sz w:val="24"/>
          <w:szCs w:val="24"/>
          <w:lang w:eastAsia="lv-LV"/>
        </w:rPr>
      </w:pPr>
    </w:p>
    <w:p w:rsidR="00C92784" w:rsidRDefault="00C92784"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Pr="00EC5DE5" w:rsidRDefault="00CE7E7B" w:rsidP="00C92784">
      <w:pPr>
        <w:spacing w:after="0" w:line="240" w:lineRule="auto"/>
        <w:rPr>
          <w:rFonts w:ascii="Times New Roman" w:eastAsia="Times New Roman" w:hAnsi="Times New Roman"/>
          <w:sz w:val="24"/>
          <w:szCs w:val="24"/>
          <w:lang w:eastAsia="lv-LV"/>
        </w:rPr>
      </w:pPr>
    </w:p>
    <w:p w:rsidR="00DE0881" w:rsidRDefault="00DE0881"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Pr="008C7ED3" w:rsidRDefault="00E67E0B" w:rsidP="00DE0881">
      <w:pPr>
        <w:rPr>
          <w:rFonts w:ascii="Times New Roman" w:hAnsi="Times New Roman"/>
          <w:sz w:val="24"/>
          <w:szCs w:val="24"/>
        </w:rPr>
      </w:pPr>
    </w:p>
    <w:p w:rsidR="00DE0881" w:rsidRPr="008C7ED3" w:rsidRDefault="00E0606B" w:rsidP="00DE0881">
      <w:pPr>
        <w:tabs>
          <w:tab w:val="left" w:pos="6804"/>
        </w:tabs>
        <w:spacing w:after="0" w:line="240" w:lineRule="auto"/>
        <w:rPr>
          <w:rFonts w:ascii="Times New Roman" w:hAnsi="Times New Roman"/>
          <w:sz w:val="20"/>
          <w:szCs w:val="20"/>
          <w:lang w:eastAsia="lv-LV"/>
        </w:rPr>
      </w:pPr>
      <w:r>
        <w:rPr>
          <w:rFonts w:ascii="Times New Roman" w:hAnsi="Times New Roman"/>
          <w:sz w:val="20"/>
          <w:szCs w:val="20"/>
          <w:lang w:eastAsia="lv-LV"/>
        </w:rPr>
        <w:t>1</w:t>
      </w:r>
      <w:r w:rsidR="002D7F51">
        <w:rPr>
          <w:rFonts w:ascii="Times New Roman" w:hAnsi="Times New Roman"/>
          <w:sz w:val="20"/>
          <w:szCs w:val="20"/>
          <w:lang w:eastAsia="lv-LV"/>
        </w:rPr>
        <w:t>8</w:t>
      </w:r>
      <w:r w:rsidR="00501FA2">
        <w:rPr>
          <w:rFonts w:ascii="Times New Roman" w:hAnsi="Times New Roman"/>
          <w:sz w:val="20"/>
          <w:szCs w:val="20"/>
          <w:lang w:eastAsia="lv-LV"/>
        </w:rPr>
        <w:t>.08.2014.</w:t>
      </w:r>
      <w:proofErr w:type="gramStart"/>
      <w:r w:rsidR="00501FA2">
        <w:rPr>
          <w:rFonts w:ascii="Times New Roman" w:hAnsi="Times New Roman"/>
          <w:sz w:val="20"/>
          <w:szCs w:val="20"/>
          <w:lang w:eastAsia="lv-LV"/>
        </w:rPr>
        <w:t xml:space="preserve">  </w:t>
      </w:r>
      <w:proofErr w:type="gramEnd"/>
      <w:r w:rsidR="00734FE6">
        <w:rPr>
          <w:rFonts w:ascii="Times New Roman" w:hAnsi="Times New Roman"/>
          <w:sz w:val="20"/>
          <w:szCs w:val="20"/>
          <w:lang w:eastAsia="lv-LV"/>
        </w:rPr>
        <w:t>1</w:t>
      </w:r>
      <w:r w:rsidR="002D7F51">
        <w:rPr>
          <w:rFonts w:ascii="Times New Roman" w:hAnsi="Times New Roman"/>
          <w:sz w:val="20"/>
          <w:szCs w:val="20"/>
          <w:lang w:eastAsia="lv-LV"/>
        </w:rPr>
        <w:t>3</w:t>
      </w:r>
      <w:r w:rsidR="00734FE6">
        <w:rPr>
          <w:rFonts w:ascii="Times New Roman" w:hAnsi="Times New Roman"/>
          <w:sz w:val="20"/>
          <w:szCs w:val="20"/>
          <w:lang w:eastAsia="lv-LV"/>
        </w:rPr>
        <w:t>:</w:t>
      </w:r>
      <w:r w:rsidR="00521908">
        <w:rPr>
          <w:rFonts w:ascii="Times New Roman" w:hAnsi="Times New Roman"/>
          <w:sz w:val="20"/>
          <w:szCs w:val="20"/>
          <w:lang w:eastAsia="lv-LV"/>
        </w:rPr>
        <w:t>23</w:t>
      </w:r>
      <w:bookmarkStart w:id="2" w:name="_GoBack"/>
      <w:bookmarkEnd w:id="2"/>
    </w:p>
    <w:p w:rsidR="00DE0881" w:rsidRPr="008C7ED3" w:rsidRDefault="002D7F51" w:rsidP="00DE0881">
      <w:pPr>
        <w:tabs>
          <w:tab w:val="left" w:pos="6804"/>
        </w:tabs>
        <w:spacing w:after="0" w:line="240" w:lineRule="auto"/>
        <w:rPr>
          <w:rFonts w:ascii="Times New Roman" w:hAnsi="Times New Roman"/>
          <w:sz w:val="20"/>
          <w:szCs w:val="20"/>
        </w:rPr>
      </w:pPr>
      <w:r>
        <w:rPr>
          <w:rFonts w:ascii="Times New Roman" w:hAnsi="Times New Roman"/>
          <w:sz w:val="20"/>
          <w:szCs w:val="20"/>
          <w:lang w:eastAsia="lv-LV"/>
        </w:rPr>
        <w:t>2176</w:t>
      </w:r>
    </w:p>
    <w:p w:rsidR="00DE0881" w:rsidRPr="008C7ED3" w:rsidRDefault="00DE0881" w:rsidP="00DE0881">
      <w:pPr>
        <w:autoSpaceDE w:val="0"/>
        <w:autoSpaceDN w:val="0"/>
        <w:adjustRightInd w:val="0"/>
        <w:spacing w:after="0" w:line="240" w:lineRule="auto"/>
        <w:rPr>
          <w:rFonts w:ascii="Times New Roman" w:hAnsi="Times New Roman"/>
          <w:sz w:val="20"/>
          <w:szCs w:val="20"/>
          <w:lang w:eastAsia="lv-LV"/>
        </w:rPr>
      </w:pPr>
      <w:r w:rsidRPr="008C7ED3">
        <w:rPr>
          <w:rFonts w:ascii="Times New Roman" w:hAnsi="Times New Roman"/>
          <w:sz w:val="20"/>
          <w:szCs w:val="20"/>
          <w:lang w:eastAsia="lv-LV"/>
        </w:rPr>
        <w:t>D</w:t>
      </w:r>
      <w:r w:rsidR="008C7ED3">
        <w:rPr>
          <w:rFonts w:ascii="Times New Roman" w:hAnsi="Times New Roman"/>
          <w:sz w:val="20"/>
          <w:szCs w:val="20"/>
          <w:lang w:eastAsia="lv-LV"/>
        </w:rPr>
        <w:t>.</w:t>
      </w:r>
      <w:r w:rsidRPr="008C7ED3">
        <w:rPr>
          <w:rFonts w:ascii="Times New Roman" w:hAnsi="Times New Roman"/>
          <w:sz w:val="20"/>
          <w:szCs w:val="20"/>
          <w:lang w:eastAsia="lv-LV"/>
        </w:rPr>
        <w:t xml:space="preserve"> </w:t>
      </w:r>
      <w:proofErr w:type="spellStart"/>
      <w:r w:rsidRPr="008C7ED3">
        <w:rPr>
          <w:rFonts w:ascii="Times New Roman" w:hAnsi="Times New Roman"/>
          <w:sz w:val="20"/>
          <w:szCs w:val="20"/>
          <w:lang w:eastAsia="lv-LV"/>
        </w:rPr>
        <w:t>Jasjko</w:t>
      </w:r>
      <w:proofErr w:type="spellEnd"/>
    </w:p>
    <w:p w:rsidR="00DE0881" w:rsidRPr="008C7ED3" w:rsidRDefault="00DE0881" w:rsidP="00DE0881">
      <w:pPr>
        <w:autoSpaceDE w:val="0"/>
        <w:autoSpaceDN w:val="0"/>
        <w:adjustRightInd w:val="0"/>
        <w:spacing w:after="0" w:line="240" w:lineRule="auto"/>
        <w:rPr>
          <w:rFonts w:ascii="Times New Roman" w:hAnsi="Times New Roman"/>
          <w:sz w:val="20"/>
          <w:szCs w:val="20"/>
          <w:lang w:eastAsia="lv-LV"/>
        </w:rPr>
      </w:pPr>
      <w:r w:rsidRPr="008C7ED3">
        <w:rPr>
          <w:rFonts w:ascii="Times New Roman" w:hAnsi="Times New Roman"/>
          <w:sz w:val="20"/>
          <w:szCs w:val="20"/>
          <w:lang w:eastAsia="lv-LV"/>
        </w:rPr>
        <w:t xml:space="preserve">67021639, </w:t>
      </w:r>
      <w:r w:rsidR="00782B94" w:rsidRPr="00AE626F">
        <w:rPr>
          <w:rFonts w:ascii="Times New Roman" w:hAnsi="Times New Roman"/>
          <w:sz w:val="20"/>
          <w:szCs w:val="20"/>
          <w:lang w:eastAsia="lv-LV"/>
        </w:rPr>
        <w:t>Danute.Jasjko@lm.gov.lv</w:t>
      </w:r>
    </w:p>
    <w:p w:rsidR="008C7ED3" w:rsidRDefault="008C7ED3" w:rsidP="00DE0881">
      <w:pPr>
        <w:autoSpaceDE w:val="0"/>
        <w:autoSpaceDN w:val="0"/>
        <w:adjustRightInd w:val="0"/>
        <w:spacing w:after="0" w:line="240" w:lineRule="auto"/>
        <w:rPr>
          <w:rFonts w:ascii="Times New Roman" w:hAnsi="Times New Roman"/>
          <w:sz w:val="20"/>
          <w:szCs w:val="20"/>
          <w:lang w:eastAsia="lv-LV"/>
        </w:rPr>
      </w:pPr>
      <w:proofErr w:type="spellStart"/>
      <w:r>
        <w:rPr>
          <w:rFonts w:ascii="Times New Roman" w:hAnsi="Times New Roman"/>
          <w:sz w:val="20"/>
          <w:szCs w:val="20"/>
          <w:lang w:eastAsia="lv-LV"/>
        </w:rPr>
        <w:t>I.Kārklina</w:t>
      </w:r>
      <w:proofErr w:type="spellEnd"/>
    </w:p>
    <w:p w:rsidR="008C7ED3" w:rsidRDefault="008C7ED3" w:rsidP="00DE0881">
      <w:pPr>
        <w:autoSpaceDE w:val="0"/>
        <w:autoSpaceDN w:val="0"/>
        <w:adjustRightInd w:val="0"/>
        <w:spacing w:after="0" w:line="240" w:lineRule="auto"/>
        <w:rPr>
          <w:rFonts w:ascii="Times New Roman" w:hAnsi="Times New Roman"/>
          <w:sz w:val="20"/>
          <w:szCs w:val="20"/>
          <w:lang w:eastAsia="lv-LV"/>
        </w:rPr>
      </w:pPr>
      <w:r>
        <w:rPr>
          <w:rFonts w:ascii="Times New Roman" w:hAnsi="Times New Roman"/>
          <w:sz w:val="20"/>
          <w:szCs w:val="20"/>
          <w:lang w:eastAsia="lv-LV"/>
        </w:rPr>
        <w:t>67021664, Indra.Karklina@lm.gov.lv</w:t>
      </w:r>
    </w:p>
    <w:p w:rsidR="00F75100" w:rsidRPr="008C7ED3" w:rsidRDefault="00F75100">
      <w:pPr>
        <w:rPr>
          <w:rFonts w:ascii="Times New Roman" w:hAnsi="Times New Roman"/>
          <w:sz w:val="20"/>
          <w:szCs w:val="20"/>
        </w:rPr>
      </w:pPr>
    </w:p>
    <w:sectPr w:rsidR="00F75100" w:rsidRPr="008C7ED3" w:rsidSect="0084703E">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3D" w:rsidRDefault="00AA4D3D" w:rsidP="00C92784">
      <w:pPr>
        <w:spacing w:after="0" w:line="240" w:lineRule="auto"/>
      </w:pPr>
      <w:r>
        <w:separator/>
      </w:r>
    </w:p>
  </w:endnote>
  <w:endnote w:type="continuationSeparator" w:id="0">
    <w:p w:rsidR="00AA4D3D" w:rsidRDefault="00AA4D3D" w:rsidP="00C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3"/>
  <w:bookmarkStart w:id="4" w:name="OLE_LINK4"/>
  <w:bookmarkStart w:id="5" w:name="_Hlk392440261"/>
  <w:p w:rsidR="0084703E" w:rsidRPr="00582650" w:rsidRDefault="00E0606B" w:rsidP="00447DF0">
    <w:pPr>
      <w:rPr>
        <w:sz w:val="20"/>
        <w:szCs w:val="20"/>
      </w:rPr>
    </w:pPr>
    <w:r>
      <w:rPr>
        <w:rFonts w:ascii="Times New Roman" w:eastAsia="Times New Roman" w:hAnsi="Times New Roman"/>
        <w:sz w:val="20"/>
        <w:szCs w:val="20"/>
        <w:lang w:val="en-US"/>
      </w:rPr>
      <w:fldChar w:fldCharType="begin"/>
    </w:r>
    <w:r>
      <w:rPr>
        <w:rFonts w:ascii="Times New Roman" w:eastAsia="Times New Roman" w:hAnsi="Times New Roman"/>
        <w:sz w:val="20"/>
        <w:szCs w:val="20"/>
        <w:lang w:val="en-US"/>
      </w:rPr>
      <w:instrText xml:space="preserve"> FILENAME   \* MERGEFORMAT </w:instrText>
    </w:r>
    <w:r>
      <w:rPr>
        <w:rFonts w:ascii="Times New Roman" w:eastAsia="Times New Roman" w:hAnsi="Times New Roman"/>
        <w:sz w:val="20"/>
        <w:szCs w:val="20"/>
        <w:lang w:val="en-US"/>
      </w:rPr>
      <w:fldChar w:fldCharType="separate"/>
    </w:r>
    <w:r>
      <w:rPr>
        <w:rFonts w:ascii="Times New Roman" w:eastAsia="Times New Roman" w:hAnsi="Times New Roman"/>
        <w:noProof/>
        <w:sz w:val="20"/>
        <w:szCs w:val="20"/>
        <w:lang w:val="en-US"/>
      </w:rPr>
      <w:t>LMAnot_1</w:t>
    </w:r>
    <w:r w:rsidR="002D7F51">
      <w:rPr>
        <w:rFonts w:ascii="Times New Roman" w:eastAsia="Times New Roman" w:hAnsi="Times New Roman"/>
        <w:noProof/>
        <w:sz w:val="20"/>
        <w:szCs w:val="20"/>
        <w:lang w:val="en-US"/>
      </w:rPr>
      <w:t>8</w:t>
    </w:r>
    <w:r>
      <w:rPr>
        <w:rFonts w:ascii="Times New Roman" w:eastAsia="Times New Roman" w:hAnsi="Times New Roman"/>
        <w:noProof/>
        <w:sz w:val="20"/>
        <w:szCs w:val="20"/>
        <w:lang w:val="en-US"/>
      </w:rPr>
      <w:t>0814</w:t>
    </w:r>
    <w:r>
      <w:rPr>
        <w:rFonts w:ascii="Times New Roman" w:eastAsia="Times New Roman" w:hAnsi="Times New Roman"/>
        <w:sz w:val="20"/>
        <w:szCs w:val="20"/>
        <w:lang w:val="en-US"/>
      </w:rPr>
      <w:fldChar w:fldCharType="end"/>
    </w:r>
    <w:r w:rsidR="00447DF0">
      <w:rPr>
        <w:rFonts w:ascii="Times New Roman" w:eastAsia="Times New Roman" w:hAnsi="Times New Roman"/>
        <w:sz w:val="20"/>
        <w:szCs w:val="20"/>
        <w:lang w:val="en-US"/>
      </w:rPr>
      <w:t>;</w:t>
    </w:r>
    <w:r w:rsidR="00447DF0" w:rsidRPr="00447DF0">
      <w:t xml:space="preserve"> </w:t>
    </w:r>
    <w:proofErr w:type="spellStart"/>
    <w:r w:rsidR="00447DF0" w:rsidRPr="00447DF0">
      <w:rPr>
        <w:rFonts w:ascii="Times New Roman" w:eastAsia="Times New Roman" w:hAnsi="Times New Roman"/>
        <w:sz w:val="20"/>
        <w:szCs w:val="20"/>
        <w:lang w:val="en-US"/>
      </w:rPr>
      <w:t>Ministru</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kabineta</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rīkojuma</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projekta</w:t>
    </w:r>
    <w:proofErr w:type="spellEnd"/>
    <w:r w:rsidR="00447DF0" w:rsidRPr="00447DF0">
      <w:rPr>
        <w:rFonts w:ascii="Times New Roman" w:eastAsia="Times New Roman" w:hAnsi="Times New Roman"/>
        <w:sz w:val="20"/>
        <w:szCs w:val="20"/>
        <w:lang w:val="en-US"/>
      </w:rPr>
      <w:t xml:space="preserve"> „Par </w:t>
    </w:r>
    <w:proofErr w:type="spellStart"/>
    <w:r w:rsidR="00447DF0" w:rsidRPr="00447DF0">
      <w:rPr>
        <w:rFonts w:ascii="Times New Roman" w:eastAsia="Times New Roman" w:hAnsi="Times New Roman"/>
        <w:sz w:val="20"/>
        <w:szCs w:val="20"/>
        <w:lang w:val="en-US"/>
      </w:rPr>
      <w:t>finanšu</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līdzekļu</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piešķiršanu</w:t>
    </w:r>
    <w:proofErr w:type="spellEnd"/>
    <w:r w:rsidR="00447DF0" w:rsidRPr="00447DF0">
      <w:rPr>
        <w:rFonts w:ascii="Times New Roman" w:eastAsia="Times New Roman" w:hAnsi="Times New Roman"/>
        <w:sz w:val="20"/>
        <w:szCs w:val="20"/>
        <w:lang w:val="en-US"/>
      </w:rPr>
      <w:t xml:space="preserve"> no </w:t>
    </w:r>
    <w:proofErr w:type="spellStart"/>
    <w:r w:rsidR="00447DF0" w:rsidRPr="00447DF0">
      <w:rPr>
        <w:rFonts w:ascii="Times New Roman" w:eastAsia="Times New Roman" w:hAnsi="Times New Roman"/>
        <w:sz w:val="20"/>
        <w:szCs w:val="20"/>
        <w:lang w:val="en-US"/>
      </w:rPr>
      <w:t>valsts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budžeta</w:t>
    </w:r>
    <w:proofErr w:type="spellEnd"/>
    <w:r w:rsidR="00447DF0">
      <w:rPr>
        <w:rFonts w:ascii="Times New Roman" w:eastAsia="Times New Roman" w:hAnsi="Times New Roman"/>
        <w:sz w:val="20"/>
        <w:szCs w:val="20"/>
        <w:lang w:val="en-US"/>
      </w:rPr>
      <w:t xml:space="preserve"> </w:t>
    </w:r>
    <w:r w:rsidR="00447DF0" w:rsidRPr="00447DF0">
      <w:rPr>
        <w:rFonts w:ascii="Times New Roman" w:eastAsia="Times New Roman" w:hAnsi="Times New Roman"/>
        <w:sz w:val="20"/>
        <w:szCs w:val="20"/>
        <w:lang w:val="en-US"/>
      </w:rPr>
      <w:t>"</w:t>
    </w:r>
    <w:proofErr w:type="spellStart"/>
    <w:r w:rsidR="00447DF0" w:rsidRPr="00447DF0">
      <w:rPr>
        <w:rFonts w:ascii="Times New Roman" w:eastAsia="Times New Roman" w:hAnsi="Times New Roman"/>
        <w:sz w:val="20"/>
        <w:szCs w:val="20"/>
        <w:lang w:val="en-US"/>
      </w:rPr>
      <w:t>Līdzekļi</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neparedzētiem</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gadījumiem</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sākotnējās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ietekmes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novērtējuma</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ziņojums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anotācija</w:t>
    </w:r>
    <w:proofErr w:type="spellEnd"/>
    <w:r w:rsidR="00447DF0" w:rsidRPr="00447DF0">
      <w:rPr>
        <w:rFonts w:ascii="Times New Roman" w:eastAsia="Times New Roman" w:hAnsi="Times New Roman"/>
        <w:sz w:val="20"/>
        <w:szCs w:val="20"/>
        <w:lang w:val="en-US"/>
      </w:rPr>
      <w:t>)</w:t>
    </w:r>
    <w:r w:rsidR="00233BEE">
      <w:rPr>
        <w:rFonts w:ascii="Times New Roman" w:hAnsi="Times New Roman"/>
        <w:sz w:val="20"/>
        <w:szCs w:val="20"/>
      </w:rPr>
      <w:tab/>
    </w:r>
  </w:p>
  <w:p w:rsidR="0084703E" w:rsidRPr="00B1116F" w:rsidRDefault="0084703E" w:rsidP="0084703E">
    <w:pPr>
      <w:pStyle w:val="Footer"/>
      <w:jc w:val="both"/>
      <w:rPr>
        <w:sz w:val="20"/>
        <w:szCs w:val="20"/>
      </w:rPr>
    </w:pPr>
  </w:p>
  <w:bookmarkEnd w:id="3"/>
  <w:bookmarkEnd w:id="4"/>
  <w:bookmarkEnd w:id="5"/>
  <w:p w:rsidR="0084703E" w:rsidRPr="009209AE" w:rsidRDefault="0084703E" w:rsidP="00847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6" w:rsidRDefault="00C82AC6" w:rsidP="0084703E">
    <w:pPr>
      <w:pStyle w:val="BodyText"/>
      <w:jc w:val="both"/>
      <w:rPr>
        <w:b w:val="0"/>
        <w:sz w:val="20"/>
      </w:rPr>
    </w:pPr>
  </w:p>
  <w:p w:rsidR="0084703E" w:rsidRPr="00F07FDD" w:rsidRDefault="00447DF0" w:rsidP="00447DF0">
    <w:pPr>
      <w:pStyle w:val="BodyText"/>
      <w:jc w:val="both"/>
      <w:rPr>
        <w:b w:val="0"/>
        <w:sz w:val="20"/>
        <w:lang w:val="lv-LV"/>
      </w:rPr>
    </w:pPr>
    <w:r>
      <w:rPr>
        <w:b w:val="0"/>
        <w:sz w:val="20"/>
      </w:rPr>
      <w:fldChar w:fldCharType="begin"/>
    </w:r>
    <w:r>
      <w:rPr>
        <w:b w:val="0"/>
        <w:sz w:val="20"/>
      </w:rPr>
      <w:instrText xml:space="preserve"> FILENAME   \* MERGEFORMAT </w:instrText>
    </w:r>
    <w:r>
      <w:rPr>
        <w:b w:val="0"/>
        <w:sz w:val="20"/>
      </w:rPr>
      <w:fldChar w:fldCharType="separate"/>
    </w:r>
    <w:r>
      <w:rPr>
        <w:b w:val="0"/>
        <w:noProof/>
        <w:sz w:val="20"/>
      </w:rPr>
      <w:t>LMAnot_1</w:t>
    </w:r>
    <w:r w:rsidR="002D7F51">
      <w:rPr>
        <w:b w:val="0"/>
        <w:noProof/>
        <w:sz w:val="20"/>
      </w:rPr>
      <w:t>8</w:t>
    </w:r>
    <w:r>
      <w:rPr>
        <w:b w:val="0"/>
        <w:noProof/>
        <w:sz w:val="20"/>
      </w:rPr>
      <w:t>0814</w:t>
    </w:r>
    <w:r>
      <w:rPr>
        <w:b w:val="0"/>
        <w:sz w:val="20"/>
      </w:rPr>
      <w:fldChar w:fldCharType="end"/>
    </w:r>
    <w:r w:rsidR="00CD0467">
      <w:rPr>
        <w:b w:val="0"/>
        <w:sz w:val="20"/>
      </w:rPr>
      <w:t>;</w:t>
    </w:r>
    <w:r w:rsidR="00233BEE" w:rsidRPr="00F07FDD">
      <w:rPr>
        <w:b w:val="0"/>
        <w:sz w:val="20"/>
      </w:rPr>
      <w:t xml:space="preserve"> </w:t>
    </w:r>
    <w:proofErr w:type="spellStart"/>
    <w:r w:rsidRPr="00447DF0">
      <w:rPr>
        <w:b w:val="0"/>
        <w:sz w:val="20"/>
      </w:rPr>
      <w:t>Ministru</w:t>
    </w:r>
    <w:proofErr w:type="spellEnd"/>
    <w:r w:rsidRPr="00447DF0">
      <w:rPr>
        <w:b w:val="0"/>
        <w:sz w:val="20"/>
      </w:rPr>
      <w:t xml:space="preserve"> </w:t>
    </w:r>
    <w:proofErr w:type="spellStart"/>
    <w:r w:rsidRPr="00447DF0">
      <w:rPr>
        <w:b w:val="0"/>
        <w:sz w:val="20"/>
      </w:rPr>
      <w:t>kabineta</w:t>
    </w:r>
    <w:proofErr w:type="spellEnd"/>
    <w:r w:rsidRPr="00447DF0">
      <w:rPr>
        <w:b w:val="0"/>
        <w:sz w:val="20"/>
      </w:rPr>
      <w:t xml:space="preserve"> </w:t>
    </w:r>
    <w:proofErr w:type="spellStart"/>
    <w:r w:rsidRPr="00447DF0">
      <w:rPr>
        <w:b w:val="0"/>
        <w:sz w:val="20"/>
      </w:rPr>
      <w:t>rīkojuma</w:t>
    </w:r>
    <w:proofErr w:type="spellEnd"/>
    <w:r w:rsidRPr="00447DF0">
      <w:rPr>
        <w:b w:val="0"/>
        <w:sz w:val="20"/>
      </w:rPr>
      <w:t xml:space="preserve"> </w:t>
    </w:r>
    <w:proofErr w:type="spellStart"/>
    <w:r w:rsidRPr="00447DF0">
      <w:rPr>
        <w:b w:val="0"/>
        <w:sz w:val="20"/>
      </w:rPr>
      <w:t>projekta</w:t>
    </w:r>
    <w:proofErr w:type="spellEnd"/>
    <w:r w:rsidRPr="00447DF0">
      <w:rPr>
        <w:b w:val="0"/>
        <w:sz w:val="20"/>
      </w:rPr>
      <w:t xml:space="preserve"> „Par </w:t>
    </w:r>
    <w:proofErr w:type="spellStart"/>
    <w:r w:rsidRPr="00447DF0">
      <w:rPr>
        <w:b w:val="0"/>
        <w:sz w:val="20"/>
      </w:rPr>
      <w:t>finanšu</w:t>
    </w:r>
    <w:proofErr w:type="spellEnd"/>
    <w:r w:rsidRPr="00447DF0">
      <w:rPr>
        <w:b w:val="0"/>
        <w:sz w:val="20"/>
      </w:rPr>
      <w:t xml:space="preserve"> </w:t>
    </w:r>
    <w:proofErr w:type="spellStart"/>
    <w:r w:rsidRPr="00447DF0">
      <w:rPr>
        <w:b w:val="0"/>
        <w:sz w:val="20"/>
      </w:rPr>
      <w:t>līdzekļu</w:t>
    </w:r>
    <w:proofErr w:type="spellEnd"/>
    <w:r w:rsidRPr="00447DF0">
      <w:rPr>
        <w:b w:val="0"/>
        <w:sz w:val="20"/>
      </w:rPr>
      <w:t xml:space="preserve"> </w:t>
    </w:r>
    <w:proofErr w:type="spellStart"/>
    <w:r w:rsidRPr="00447DF0">
      <w:rPr>
        <w:b w:val="0"/>
        <w:sz w:val="20"/>
      </w:rPr>
      <w:t>piešķiršanu</w:t>
    </w:r>
    <w:proofErr w:type="spellEnd"/>
    <w:r w:rsidRPr="00447DF0">
      <w:rPr>
        <w:b w:val="0"/>
        <w:sz w:val="20"/>
      </w:rPr>
      <w:t xml:space="preserve"> no </w:t>
    </w:r>
    <w:proofErr w:type="spellStart"/>
    <w:r w:rsidRPr="00447DF0">
      <w:rPr>
        <w:b w:val="0"/>
        <w:sz w:val="20"/>
      </w:rPr>
      <w:t>valsts</w:t>
    </w:r>
    <w:proofErr w:type="spellEnd"/>
    <w:r w:rsidRPr="00447DF0">
      <w:rPr>
        <w:b w:val="0"/>
        <w:sz w:val="20"/>
      </w:rPr>
      <w:t xml:space="preserve"> </w:t>
    </w:r>
    <w:proofErr w:type="spellStart"/>
    <w:r w:rsidRPr="00447DF0">
      <w:rPr>
        <w:b w:val="0"/>
        <w:sz w:val="20"/>
      </w:rPr>
      <w:t>budžeta</w:t>
    </w:r>
    <w:proofErr w:type="spellEnd"/>
    <w:r>
      <w:rPr>
        <w:b w:val="0"/>
        <w:sz w:val="20"/>
      </w:rPr>
      <w:t xml:space="preserve"> </w:t>
    </w:r>
    <w:proofErr w:type="spellStart"/>
    <w:proofErr w:type="gramStart"/>
    <w:r w:rsidRPr="00447DF0">
      <w:rPr>
        <w:b w:val="0"/>
        <w:sz w:val="20"/>
      </w:rPr>
      <w:t>programmas</w:t>
    </w:r>
    <w:proofErr w:type="spellEnd"/>
    <w:r w:rsidRPr="00447DF0">
      <w:rPr>
        <w:b w:val="0"/>
        <w:sz w:val="20"/>
      </w:rPr>
      <w:t xml:space="preserve">  "</w:t>
    </w:r>
    <w:proofErr w:type="spellStart"/>
    <w:proofErr w:type="gramEnd"/>
    <w:r w:rsidRPr="00447DF0">
      <w:rPr>
        <w:b w:val="0"/>
        <w:sz w:val="20"/>
      </w:rPr>
      <w:t>Līdzekļi</w:t>
    </w:r>
    <w:proofErr w:type="spellEnd"/>
    <w:r w:rsidRPr="00447DF0">
      <w:rPr>
        <w:b w:val="0"/>
        <w:sz w:val="20"/>
      </w:rPr>
      <w:t xml:space="preserve"> </w:t>
    </w:r>
    <w:proofErr w:type="spellStart"/>
    <w:r w:rsidRPr="00447DF0">
      <w:rPr>
        <w:b w:val="0"/>
        <w:sz w:val="20"/>
      </w:rPr>
      <w:t>neparedzētiem</w:t>
    </w:r>
    <w:proofErr w:type="spellEnd"/>
    <w:r w:rsidRPr="00447DF0">
      <w:rPr>
        <w:b w:val="0"/>
        <w:sz w:val="20"/>
      </w:rPr>
      <w:t xml:space="preserve"> </w:t>
    </w:r>
    <w:proofErr w:type="spellStart"/>
    <w:r w:rsidRPr="00447DF0">
      <w:rPr>
        <w:b w:val="0"/>
        <w:sz w:val="20"/>
      </w:rPr>
      <w:t>gadījumiem</w:t>
    </w:r>
    <w:proofErr w:type="spellEnd"/>
    <w:r w:rsidRPr="00447DF0">
      <w:rPr>
        <w:b w:val="0"/>
        <w:sz w:val="20"/>
      </w:rPr>
      <w:t xml:space="preserve">"" </w:t>
    </w:r>
    <w:proofErr w:type="spellStart"/>
    <w:r w:rsidRPr="00447DF0">
      <w:rPr>
        <w:b w:val="0"/>
        <w:sz w:val="20"/>
      </w:rPr>
      <w:t>sākotnējās</w:t>
    </w:r>
    <w:proofErr w:type="spellEnd"/>
    <w:r w:rsidRPr="00447DF0">
      <w:rPr>
        <w:b w:val="0"/>
        <w:sz w:val="20"/>
      </w:rPr>
      <w:t xml:space="preserve"> </w:t>
    </w:r>
    <w:proofErr w:type="spellStart"/>
    <w:r w:rsidRPr="00447DF0">
      <w:rPr>
        <w:b w:val="0"/>
        <w:sz w:val="20"/>
      </w:rPr>
      <w:t>ietekmes</w:t>
    </w:r>
    <w:proofErr w:type="spellEnd"/>
    <w:r w:rsidRPr="00447DF0">
      <w:rPr>
        <w:b w:val="0"/>
        <w:sz w:val="20"/>
      </w:rPr>
      <w:t xml:space="preserve"> </w:t>
    </w:r>
    <w:proofErr w:type="spellStart"/>
    <w:r w:rsidRPr="00447DF0">
      <w:rPr>
        <w:b w:val="0"/>
        <w:sz w:val="20"/>
      </w:rPr>
      <w:t>novērtējuma</w:t>
    </w:r>
    <w:proofErr w:type="spellEnd"/>
    <w:r w:rsidRPr="00447DF0">
      <w:rPr>
        <w:b w:val="0"/>
        <w:sz w:val="20"/>
      </w:rPr>
      <w:t xml:space="preserve"> </w:t>
    </w:r>
    <w:proofErr w:type="spellStart"/>
    <w:r w:rsidRPr="00447DF0">
      <w:rPr>
        <w:b w:val="0"/>
        <w:sz w:val="20"/>
      </w:rPr>
      <w:t>ziņojums</w:t>
    </w:r>
    <w:proofErr w:type="spellEnd"/>
    <w:r w:rsidRPr="00447DF0">
      <w:rPr>
        <w:b w:val="0"/>
        <w:sz w:val="20"/>
      </w:rPr>
      <w:t xml:space="preserve"> (</w:t>
    </w:r>
    <w:proofErr w:type="spellStart"/>
    <w:r w:rsidRPr="00447DF0">
      <w:rPr>
        <w:b w:val="0"/>
        <w:sz w:val="20"/>
      </w:rPr>
      <w:t>anotācija</w:t>
    </w:r>
    <w:proofErr w:type="spellEnd"/>
    <w:r w:rsidRPr="00447DF0">
      <w:rPr>
        <w:b w:val="0"/>
        <w:sz w:val="20"/>
      </w:rPr>
      <w:t>)</w:t>
    </w:r>
  </w:p>
  <w:p w:rsidR="0084703E" w:rsidRPr="00F07FDD" w:rsidRDefault="00233BEE" w:rsidP="0084703E">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84703E" w:rsidRPr="00F07FDD" w:rsidRDefault="0084703E" w:rsidP="0084703E">
    <w:pPr>
      <w:pStyle w:val="Footer"/>
      <w:jc w:val="both"/>
      <w:rPr>
        <w:sz w:val="20"/>
        <w:szCs w:val="20"/>
      </w:rPr>
    </w:pPr>
  </w:p>
  <w:p w:rsidR="0084703E" w:rsidRPr="009209AE" w:rsidRDefault="0084703E" w:rsidP="0084703E">
    <w:pPr>
      <w:pStyle w:val="Footer"/>
    </w:pPr>
  </w:p>
  <w:p w:rsidR="0084703E" w:rsidRPr="00B1116F" w:rsidRDefault="0084703E" w:rsidP="0084703E">
    <w:pPr>
      <w:pStyle w:val="Footer"/>
      <w:jc w:val="both"/>
      <w:rPr>
        <w:sz w:val="20"/>
        <w:szCs w:val="20"/>
      </w:rPr>
    </w:pPr>
  </w:p>
  <w:p w:rsidR="0084703E" w:rsidRPr="00B1116F" w:rsidRDefault="0084703E" w:rsidP="0084703E">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3D" w:rsidRDefault="00AA4D3D" w:rsidP="00C92784">
      <w:pPr>
        <w:spacing w:after="0" w:line="240" w:lineRule="auto"/>
      </w:pPr>
      <w:r>
        <w:separator/>
      </w:r>
    </w:p>
  </w:footnote>
  <w:footnote w:type="continuationSeparator" w:id="0">
    <w:p w:rsidR="00AA4D3D" w:rsidRDefault="00AA4D3D" w:rsidP="00C92784">
      <w:pPr>
        <w:spacing w:after="0" w:line="240" w:lineRule="auto"/>
      </w:pPr>
      <w:r>
        <w:continuationSeparator/>
      </w:r>
    </w:p>
  </w:footnote>
  <w:footnote w:id="1">
    <w:p w:rsidR="003E4ABD" w:rsidRPr="00F27062" w:rsidRDefault="003E4ABD" w:rsidP="003E4ABD">
      <w:pPr>
        <w:pStyle w:val="FootnoteText"/>
        <w:jc w:val="both"/>
      </w:pPr>
      <w:r w:rsidRPr="00F27062">
        <w:rPr>
          <w:rStyle w:val="FootnoteReference"/>
        </w:rPr>
        <w:footnoteRef/>
      </w:r>
      <w:r w:rsidRPr="00F27062">
        <w:t xml:space="preserve"> VSIA „Šampētera nams” veic Labklājības ministrijas  </w:t>
      </w:r>
      <w:r>
        <w:t>valdījumā</w:t>
      </w:r>
      <w:r w:rsidRPr="00F27062">
        <w:t xml:space="preserve"> esošā</w:t>
      </w:r>
      <w:r>
        <w:t xml:space="preserve"> valsts </w:t>
      </w:r>
      <w:r w:rsidRPr="00F27062">
        <w:t>nekustamā īpašuma</w:t>
      </w:r>
      <w:r>
        <w:t xml:space="preserve">, t.sk. valsts sociālās aprūpes centru lietošanā nodotā valsts nekustamā īpašuma, </w:t>
      </w:r>
      <w:r w:rsidRPr="00F27062">
        <w:t xml:space="preserve">apsaimniekošanu un pārvaldīšanu. </w:t>
      </w:r>
    </w:p>
  </w:footnote>
  <w:footnote w:id="2">
    <w:p w:rsidR="003E4ABD" w:rsidRPr="007F53BD" w:rsidRDefault="003E4ABD" w:rsidP="003E4ABD">
      <w:pPr>
        <w:rPr>
          <w:rFonts w:ascii="Times New Roman" w:hAnsi="Times New Roman"/>
        </w:rPr>
      </w:pPr>
      <w:r>
        <w:rPr>
          <w:rStyle w:val="FootnoteReference"/>
        </w:rPr>
        <w:footnoteRef/>
      </w:r>
      <w:r>
        <w:t xml:space="preserve"> </w:t>
      </w:r>
      <w:r w:rsidRPr="007F53BD">
        <w:rPr>
          <w:rFonts w:ascii="Times New Roman" w:hAnsi="Times New Roman"/>
          <w:sz w:val="20"/>
          <w:szCs w:val="20"/>
        </w:rPr>
        <w:t xml:space="preserve">Tehnisko </w:t>
      </w:r>
      <w:proofErr w:type="spellStart"/>
      <w:r w:rsidRPr="007F53BD">
        <w:rPr>
          <w:rFonts w:ascii="Times New Roman" w:hAnsi="Times New Roman"/>
          <w:sz w:val="20"/>
          <w:szCs w:val="20"/>
        </w:rPr>
        <w:t>apekošanu</w:t>
      </w:r>
      <w:proofErr w:type="spellEnd"/>
      <w:r w:rsidRPr="007F53BD">
        <w:rPr>
          <w:rFonts w:ascii="Times New Roman" w:hAnsi="Times New Roman"/>
          <w:sz w:val="20"/>
          <w:szCs w:val="20"/>
        </w:rPr>
        <w:t xml:space="preserve"> 2014.gada aprīlī veica</w:t>
      </w:r>
      <w:proofErr w:type="gramStart"/>
      <w:r w:rsidRPr="007F53BD">
        <w:rPr>
          <w:rFonts w:ascii="Times New Roman" w:hAnsi="Times New Roman"/>
          <w:sz w:val="20"/>
          <w:szCs w:val="20"/>
        </w:rPr>
        <w:t xml:space="preserve">  </w:t>
      </w:r>
      <w:proofErr w:type="gramEnd"/>
      <w:r w:rsidRPr="007F53BD">
        <w:rPr>
          <w:rFonts w:ascii="Times New Roman" w:hAnsi="Times New Roman"/>
          <w:sz w:val="20"/>
          <w:szCs w:val="20"/>
        </w:rPr>
        <w:t>SIA " Būvprojekts " (</w:t>
      </w:r>
      <w:proofErr w:type="spellStart"/>
      <w:r w:rsidRPr="007F53BD">
        <w:rPr>
          <w:rFonts w:ascii="Times New Roman" w:hAnsi="Times New Roman"/>
          <w:sz w:val="20"/>
          <w:szCs w:val="20"/>
        </w:rPr>
        <w:t>būvkomersanta</w:t>
      </w:r>
      <w:proofErr w:type="spellEnd"/>
      <w:r w:rsidRPr="007F53BD">
        <w:rPr>
          <w:rFonts w:ascii="Times New Roman" w:hAnsi="Times New Roman"/>
          <w:sz w:val="20"/>
          <w:szCs w:val="20"/>
        </w:rPr>
        <w:t xml:space="preserve"> reģ. Nr. 3195-R) </w:t>
      </w:r>
      <w:proofErr w:type="spellStart"/>
      <w:r w:rsidRPr="007F53BD">
        <w:rPr>
          <w:rFonts w:ascii="Times New Roman" w:hAnsi="Times New Roman"/>
          <w:sz w:val="20"/>
          <w:szCs w:val="20"/>
        </w:rPr>
        <w:t>būvinženiere</w:t>
      </w:r>
      <w:proofErr w:type="spellEnd"/>
      <w:proofErr w:type="gramStart"/>
      <w:r w:rsidRPr="007F53BD">
        <w:rPr>
          <w:rFonts w:ascii="Times New Roman" w:hAnsi="Times New Roman"/>
          <w:sz w:val="20"/>
          <w:szCs w:val="20"/>
        </w:rPr>
        <w:t xml:space="preserve">   </w:t>
      </w:r>
      <w:proofErr w:type="gramEnd"/>
      <w:r w:rsidRPr="007F53BD">
        <w:rPr>
          <w:rFonts w:ascii="Times New Roman" w:hAnsi="Times New Roman"/>
          <w:sz w:val="20"/>
          <w:szCs w:val="20"/>
        </w:rPr>
        <w:t>Mirdza  Šmite, LBS  sertifikāts Nr. 20-3618 ,</w:t>
      </w:r>
      <w:proofErr w:type="spellStart"/>
      <w:r w:rsidRPr="007F53BD">
        <w:rPr>
          <w:rFonts w:ascii="Times New Roman" w:hAnsi="Times New Roman"/>
          <w:sz w:val="20"/>
          <w:szCs w:val="20"/>
        </w:rPr>
        <w:t>Nr</w:t>
      </w:r>
      <w:proofErr w:type="spellEnd"/>
      <w:r w:rsidRPr="007F53BD">
        <w:rPr>
          <w:rFonts w:ascii="Times New Roman" w:hAnsi="Times New Roman"/>
          <w:sz w:val="20"/>
          <w:szCs w:val="20"/>
        </w:rPr>
        <w:t xml:space="preserve"> 20-4315.</w:t>
      </w:r>
    </w:p>
    <w:p w:rsidR="003E4ABD" w:rsidRDefault="003E4ABD" w:rsidP="003E4A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3E" w:rsidRDefault="003065E2" w:rsidP="0084703E">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end"/>
    </w:r>
  </w:p>
  <w:p w:rsidR="0084703E" w:rsidRDefault="00847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3E" w:rsidRDefault="003065E2" w:rsidP="0084703E">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separate"/>
    </w:r>
    <w:r w:rsidR="00521908">
      <w:rPr>
        <w:rStyle w:val="PageNumber"/>
        <w:noProof/>
      </w:rPr>
      <w:t>9</w:t>
    </w:r>
    <w:r>
      <w:rPr>
        <w:rStyle w:val="PageNumber"/>
      </w:rPr>
      <w:fldChar w:fldCharType="end"/>
    </w:r>
  </w:p>
  <w:p w:rsidR="0084703E" w:rsidRDefault="0084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DD7"/>
    <w:multiLevelType w:val="hybridMultilevel"/>
    <w:tmpl w:val="FCF87FB2"/>
    <w:lvl w:ilvl="0" w:tplc="3514BA1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E0E0C22"/>
    <w:multiLevelType w:val="hybridMultilevel"/>
    <w:tmpl w:val="B2D2D00C"/>
    <w:lvl w:ilvl="0" w:tplc="3FB68C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FA77FA3"/>
    <w:multiLevelType w:val="hybridMultilevel"/>
    <w:tmpl w:val="ABE60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931413"/>
    <w:multiLevelType w:val="hybridMultilevel"/>
    <w:tmpl w:val="AE744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84"/>
    <w:rsid w:val="0002119D"/>
    <w:rsid w:val="00032502"/>
    <w:rsid w:val="00052697"/>
    <w:rsid w:val="0006470E"/>
    <w:rsid w:val="00091B88"/>
    <w:rsid w:val="000A2BCB"/>
    <w:rsid w:val="000D4355"/>
    <w:rsid w:val="000F2632"/>
    <w:rsid w:val="0012242D"/>
    <w:rsid w:val="0012596F"/>
    <w:rsid w:val="0012681E"/>
    <w:rsid w:val="00172DB0"/>
    <w:rsid w:val="00174F1F"/>
    <w:rsid w:val="001752BE"/>
    <w:rsid w:val="00184D2A"/>
    <w:rsid w:val="001D7BA0"/>
    <w:rsid w:val="001E6860"/>
    <w:rsid w:val="00233BEE"/>
    <w:rsid w:val="002404BD"/>
    <w:rsid w:val="002504A4"/>
    <w:rsid w:val="00251763"/>
    <w:rsid w:val="0028340A"/>
    <w:rsid w:val="00291A22"/>
    <w:rsid w:val="002D7F51"/>
    <w:rsid w:val="002E263E"/>
    <w:rsid w:val="002F6426"/>
    <w:rsid w:val="00303EAA"/>
    <w:rsid w:val="003042A8"/>
    <w:rsid w:val="003065E2"/>
    <w:rsid w:val="0031208D"/>
    <w:rsid w:val="00340014"/>
    <w:rsid w:val="00377894"/>
    <w:rsid w:val="003B3609"/>
    <w:rsid w:val="003D4BAD"/>
    <w:rsid w:val="003E4ABD"/>
    <w:rsid w:val="003E5C6A"/>
    <w:rsid w:val="00407422"/>
    <w:rsid w:val="00433AEF"/>
    <w:rsid w:val="00447DF0"/>
    <w:rsid w:val="00461571"/>
    <w:rsid w:val="00471F92"/>
    <w:rsid w:val="00473DA4"/>
    <w:rsid w:val="00475BD0"/>
    <w:rsid w:val="004D660A"/>
    <w:rsid w:val="004F4406"/>
    <w:rsid w:val="00501FA2"/>
    <w:rsid w:val="0052011C"/>
    <w:rsid w:val="00521908"/>
    <w:rsid w:val="005261FC"/>
    <w:rsid w:val="0056255F"/>
    <w:rsid w:val="00592685"/>
    <w:rsid w:val="005B0907"/>
    <w:rsid w:val="005B4218"/>
    <w:rsid w:val="005F6809"/>
    <w:rsid w:val="0060640E"/>
    <w:rsid w:val="00615B32"/>
    <w:rsid w:val="006278A3"/>
    <w:rsid w:val="00633491"/>
    <w:rsid w:val="00660256"/>
    <w:rsid w:val="00663370"/>
    <w:rsid w:val="006D01B5"/>
    <w:rsid w:val="006D1561"/>
    <w:rsid w:val="006E6516"/>
    <w:rsid w:val="00704CE3"/>
    <w:rsid w:val="00731B7F"/>
    <w:rsid w:val="007330C2"/>
    <w:rsid w:val="00733171"/>
    <w:rsid w:val="00734FE6"/>
    <w:rsid w:val="0073784B"/>
    <w:rsid w:val="0074359E"/>
    <w:rsid w:val="00760B88"/>
    <w:rsid w:val="00782B94"/>
    <w:rsid w:val="007A4490"/>
    <w:rsid w:val="007D2ACC"/>
    <w:rsid w:val="007D4A42"/>
    <w:rsid w:val="007F433D"/>
    <w:rsid w:val="0081265F"/>
    <w:rsid w:val="0084703E"/>
    <w:rsid w:val="00870615"/>
    <w:rsid w:val="00881BB9"/>
    <w:rsid w:val="008A455C"/>
    <w:rsid w:val="008C1415"/>
    <w:rsid w:val="008C7ED3"/>
    <w:rsid w:val="008E62AF"/>
    <w:rsid w:val="00934CEF"/>
    <w:rsid w:val="00947B33"/>
    <w:rsid w:val="00990317"/>
    <w:rsid w:val="009A33BB"/>
    <w:rsid w:val="009F2B7A"/>
    <w:rsid w:val="00A00BB1"/>
    <w:rsid w:val="00A15583"/>
    <w:rsid w:val="00A41B6D"/>
    <w:rsid w:val="00A704B9"/>
    <w:rsid w:val="00A72F7E"/>
    <w:rsid w:val="00A9518C"/>
    <w:rsid w:val="00AA4D3D"/>
    <w:rsid w:val="00AC182C"/>
    <w:rsid w:val="00AD0F97"/>
    <w:rsid w:val="00AD61C4"/>
    <w:rsid w:val="00AE626F"/>
    <w:rsid w:val="00B15158"/>
    <w:rsid w:val="00B43231"/>
    <w:rsid w:val="00B4585C"/>
    <w:rsid w:val="00BA6D61"/>
    <w:rsid w:val="00BB070B"/>
    <w:rsid w:val="00BE0C05"/>
    <w:rsid w:val="00BF1953"/>
    <w:rsid w:val="00C15C76"/>
    <w:rsid w:val="00C37881"/>
    <w:rsid w:val="00C43979"/>
    <w:rsid w:val="00C43DD3"/>
    <w:rsid w:val="00C50358"/>
    <w:rsid w:val="00C81CE7"/>
    <w:rsid w:val="00C82AC6"/>
    <w:rsid w:val="00C92784"/>
    <w:rsid w:val="00C97DEC"/>
    <w:rsid w:val="00CD0467"/>
    <w:rsid w:val="00CD6B82"/>
    <w:rsid w:val="00CE24E7"/>
    <w:rsid w:val="00CE7E7B"/>
    <w:rsid w:val="00D10E8D"/>
    <w:rsid w:val="00D24A7C"/>
    <w:rsid w:val="00D34F0B"/>
    <w:rsid w:val="00D4286F"/>
    <w:rsid w:val="00D500F9"/>
    <w:rsid w:val="00D871A4"/>
    <w:rsid w:val="00D907B2"/>
    <w:rsid w:val="00DA26F1"/>
    <w:rsid w:val="00DA7851"/>
    <w:rsid w:val="00DB59AB"/>
    <w:rsid w:val="00DC558B"/>
    <w:rsid w:val="00DE0881"/>
    <w:rsid w:val="00DF51FA"/>
    <w:rsid w:val="00E0606B"/>
    <w:rsid w:val="00E20A39"/>
    <w:rsid w:val="00E563C2"/>
    <w:rsid w:val="00E60581"/>
    <w:rsid w:val="00E60ABB"/>
    <w:rsid w:val="00E67E0B"/>
    <w:rsid w:val="00EC5DE5"/>
    <w:rsid w:val="00ED5735"/>
    <w:rsid w:val="00ED7974"/>
    <w:rsid w:val="00EF58EF"/>
    <w:rsid w:val="00F202F4"/>
    <w:rsid w:val="00F52187"/>
    <w:rsid w:val="00F62077"/>
    <w:rsid w:val="00F75100"/>
    <w:rsid w:val="00F860B9"/>
    <w:rsid w:val="00F927A3"/>
    <w:rsid w:val="00F9363D"/>
    <w:rsid w:val="00F94B99"/>
    <w:rsid w:val="00FC4849"/>
    <w:rsid w:val="00FC4B12"/>
    <w:rsid w:val="00FC56A4"/>
    <w:rsid w:val="00FE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paragraph" w:styleId="CommentText">
    <w:name w:val="annotation text"/>
    <w:basedOn w:val="Normal"/>
    <w:link w:val="CommentTextChar"/>
    <w:semiHidden/>
    <w:unhideWhenUsed/>
    <w:rsid w:val="004F4406"/>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4F4406"/>
    <w:rPr>
      <w:rFonts w:ascii="Times New Roman" w:eastAsia="MS Mincho" w:hAnsi="Times New Roman" w:cs="Times New Roman"/>
      <w:sz w:val="20"/>
      <w:szCs w:val="20"/>
      <w:lang w:val="lv-LV" w:eastAsia="ja-JP"/>
    </w:rPr>
  </w:style>
  <w:style w:type="character" w:styleId="CommentReference">
    <w:name w:val="annotation reference"/>
    <w:basedOn w:val="DefaultParagraphFont"/>
    <w:uiPriority w:val="99"/>
    <w:semiHidden/>
    <w:unhideWhenUsed/>
    <w:rsid w:val="004F4406"/>
    <w:rPr>
      <w:sz w:val="16"/>
      <w:szCs w:val="16"/>
    </w:rPr>
  </w:style>
  <w:style w:type="paragraph" w:styleId="CommentSubject">
    <w:name w:val="annotation subject"/>
    <w:basedOn w:val="CommentText"/>
    <w:next w:val="CommentText"/>
    <w:link w:val="CommentSubjectChar"/>
    <w:uiPriority w:val="99"/>
    <w:semiHidden/>
    <w:unhideWhenUsed/>
    <w:rsid w:val="00615B3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15B32"/>
    <w:rPr>
      <w:rFonts w:ascii="Calibri" w:eastAsia="Calibri" w:hAnsi="Calibri" w:cs="Times New Roman"/>
      <w:b/>
      <w:bCs/>
      <w:sz w:val="20"/>
      <w:szCs w:val="20"/>
      <w:lang w:val="lv-LV" w:eastAsia="ja-JP"/>
    </w:rPr>
  </w:style>
  <w:style w:type="paragraph" w:styleId="HTMLPreformatted">
    <w:name w:val="HTML Preformatted"/>
    <w:basedOn w:val="Normal"/>
    <w:link w:val="HTMLPreformattedChar"/>
    <w:uiPriority w:val="99"/>
    <w:unhideWhenUsed/>
    <w:rsid w:val="0081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81265F"/>
    <w:rPr>
      <w:rFonts w:ascii="Courier New" w:eastAsia="Times New Roman" w:hAnsi="Courier New" w:cs="Courier New"/>
      <w:color w:val="000000"/>
      <w:sz w:val="20"/>
      <w:szCs w:val="20"/>
      <w:lang w:val="lv-LV" w:eastAsia="lv-LV"/>
    </w:rPr>
  </w:style>
  <w:style w:type="paragraph" w:customStyle="1" w:styleId="Default">
    <w:name w:val="Default"/>
    <w:rsid w:val="00704CE3"/>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paragraph" w:styleId="CommentText">
    <w:name w:val="annotation text"/>
    <w:basedOn w:val="Normal"/>
    <w:link w:val="CommentTextChar"/>
    <w:semiHidden/>
    <w:unhideWhenUsed/>
    <w:rsid w:val="004F4406"/>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4F4406"/>
    <w:rPr>
      <w:rFonts w:ascii="Times New Roman" w:eastAsia="MS Mincho" w:hAnsi="Times New Roman" w:cs="Times New Roman"/>
      <w:sz w:val="20"/>
      <w:szCs w:val="20"/>
      <w:lang w:val="lv-LV" w:eastAsia="ja-JP"/>
    </w:rPr>
  </w:style>
  <w:style w:type="character" w:styleId="CommentReference">
    <w:name w:val="annotation reference"/>
    <w:basedOn w:val="DefaultParagraphFont"/>
    <w:uiPriority w:val="99"/>
    <w:semiHidden/>
    <w:unhideWhenUsed/>
    <w:rsid w:val="004F4406"/>
    <w:rPr>
      <w:sz w:val="16"/>
      <w:szCs w:val="16"/>
    </w:rPr>
  </w:style>
  <w:style w:type="paragraph" w:styleId="CommentSubject">
    <w:name w:val="annotation subject"/>
    <w:basedOn w:val="CommentText"/>
    <w:next w:val="CommentText"/>
    <w:link w:val="CommentSubjectChar"/>
    <w:uiPriority w:val="99"/>
    <w:semiHidden/>
    <w:unhideWhenUsed/>
    <w:rsid w:val="00615B3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15B32"/>
    <w:rPr>
      <w:rFonts w:ascii="Calibri" w:eastAsia="Calibri" w:hAnsi="Calibri" w:cs="Times New Roman"/>
      <w:b/>
      <w:bCs/>
      <w:sz w:val="20"/>
      <w:szCs w:val="20"/>
      <w:lang w:val="lv-LV" w:eastAsia="ja-JP"/>
    </w:rPr>
  </w:style>
  <w:style w:type="paragraph" w:styleId="HTMLPreformatted">
    <w:name w:val="HTML Preformatted"/>
    <w:basedOn w:val="Normal"/>
    <w:link w:val="HTMLPreformattedChar"/>
    <w:uiPriority w:val="99"/>
    <w:unhideWhenUsed/>
    <w:rsid w:val="0081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81265F"/>
    <w:rPr>
      <w:rFonts w:ascii="Courier New" w:eastAsia="Times New Roman" w:hAnsi="Courier New" w:cs="Courier New"/>
      <w:color w:val="000000"/>
      <w:sz w:val="20"/>
      <w:szCs w:val="20"/>
      <w:lang w:val="lv-LV" w:eastAsia="lv-LV"/>
    </w:rPr>
  </w:style>
  <w:style w:type="paragraph" w:customStyle="1" w:styleId="Default">
    <w:name w:val="Default"/>
    <w:rsid w:val="00704CE3"/>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157">
      <w:bodyDiv w:val="1"/>
      <w:marLeft w:val="0"/>
      <w:marRight w:val="0"/>
      <w:marTop w:val="0"/>
      <w:marBottom w:val="0"/>
      <w:divBdr>
        <w:top w:val="none" w:sz="0" w:space="0" w:color="auto"/>
        <w:left w:val="none" w:sz="0" w:space="0" w:color="auto"/>
        <w:bottom w:val="none" w:sz="0" w:space="0" w:color="auto"/>
        <w:right w:val="none" w:sz="0" w:space="0" w:color="auto"/>
      </w:divBdr>
    </w:div>
    <w:div w:id="129369785">
      <w:bodyDiv w:val="1"/>
      <w:marLeft w:val="0"/>
      <w:marRight w:val="0"/>
      <w:marTop w:val="0"/>
      <w:marBottom w:val="0"/>
      <w:divBdr>
        <w:top w:val="none" w:sz="0" w:space="0" w:color="auto"/>
        <w:left w:val="none" w:sz="0" w:space="0" w:color="auto"/>
        <w:bottom w:val="none" w:sz="0" w:space="0" w:color="auto"/>
        <w:right w:val="none" w:sz="0" w:space="0" w:color="auto"/>
      </w:divBdr>
      <w:divsChild>
        <w:div w:id="214125487">
          <w:marLeft w:val="0"/>
          <w:marRight w:val="0"/>
          <w:marTop w:val="0"/>
          <w:marBottom w:val="0"/>
          <w:divBdr>
            <w:top w:val="none" w:sz="0" w:space="0" w:color="auto"/>
            <w:left w:val="none" w:sz="0" w:space="0" w:color="auto"/>
            <w:bottom w:val="none" w:sz="0" w:space="0" w:color="auto"/>
            <w:right w:val="none" w:sz="0" w:space="0" w:color="auto"/>
          </w:divBdr>
          <w:divsChild>
            <w:div w:id="47801716">
              <w:marLeft w:val="0"/>
              <w:marRight w:val="0"/>
              <w:marTop w:val="0"/>
              <w:marBottom w:val="0"/>
              <w:divBdr>
                <w:top w:val="none" w:sz="0" w:space="0" w:color="auto"/>
                <w:left w:val="none" w:sz="0" w:space="0" w:color="auto"/>
                <w:bottom w:val="none" w:sz="0" w:space="0" w:color="auto"/>
                <w:right w:val="none" w:sz="0" w:space="0" w:color="auto"/>
              </w:divBdr>
            </w:div>
            <w:div w:id="95759764">
              <w:marLeft w:val="0"/>
              <w:marRight w:val="0"/>
              <w:marTop w:val="0"/>
              <w:marBottom w:val="0"/>
              <w:divBdr>
                <w:top w:val="none" w:sz="0" w:space="0" w:color="auto"/>
                <w:left w:val="none" w:sz="0" w:space="0" w:color="auto"/>
                <w:bottom w:val="none" w:sz="0" w:space="0" w:color="auto"/>
                <w:right w:val="none" w:sz="0" w:space="0" w:color="auto"/>
              </w:divBdr>
            </w:div>
            <w:div w:id="374811527">
              <w:marLeft w:val="0"/>
              <w:marRight w:val="0"/>
              <w:marTop w:val="0"/>
              <w:marBottom w:val="0"/>
              <w:divBdr>
                <w:top w:val="none" w:sz="0" w:space="0" w:color="auto"/>
                <w:left w:val="none" w:sz="0" w:space="0" w:color="auto"/>
                <w:bottom w:val="none" w:sz="0" w:space="0" w:color="auto"/>
                <w:right w:val="none" w:sz="0" w:space="0" w:color="auto"/>
              </w:divBdr>
            </w:div>
            <w:div w:id="407923224">
              <w:marLeft w:val="0"/>
              <w:marRight w:val="0"/>
              <w:marTop w:val="0"/>
              <w:marBottom w:val="0"/>
              <w:divBdr>
                <w:top w:val="none" w:sz="0" w:space="0" w:color="auto"/>
                <w:left w:val="none" w:sz="0" w:space="0" w:color="auto"/>
                <w:bottom w:val="none" w:sz="0" w:space="0" w:color="auto"/>
                <w:right w:val="none" w:sz="0" w:space="0" w:color="auto"/>
              </w:divBdr>
            </w:div>
            <w:div w:id="414206096">
              <w:marLeft w:val="0"/>
              <w:marRight w:val="0"/>
              <w:marTop w:val="0"/>
              <w:marBottom w:val="0"/>
              <w:divBdr>
                <w:top w:val="none" w:sz="0" w:space="0" w:color="auto"/>
                <w:left w:val="none" w:sz="0" w:space="0" w:color="auto"/>
                <w:bottom w:val="none" w:sz="0" w:space="0" w:color="auto"/>
                <w:right w:val="none" w:sz="0" w:space="0" w:color="auto"/>
              </w:divBdr>
            </w:div>
            <w:div w:id="446002241">
              <w:marLeft w:val="0"/>
              <w:marRight w:val="0"/>
              <w:marTop w:val="0"/>
              <w:marBottom w:val="0"/>
              <w:divBdr>
                <w:top w:val="none" w:sz="0" w:space="0" w:color="auto"/>
                <w:left w:val="none" w:sz="0" w:space="0" w:color="auto"/>
                <w:bottom w:val="none" w:sz="0" w:space="0" w:color="auto"/>
                <w:right w:val="none" w:sz="0" w:space="0" w:color="auto"/>
              </w:divBdr>
            </w:div>
            <w:div w:id="473643170">
              <w:marLeft w:val="0"/>
              <w:marRight w:val="0"/>
              <w:marTop w:val="0"/>
              <w:marBottom w:val="0"/>
              <w:divBdr>
                <w:top w:val="none" w:sz="0" w:space="0" w:color="auto"/>
                <w:left w:val="none" w:sz="0" w:space="0" w:color="auto"/>
                <w:bottom w:val="none" w:sz="0" w:space="0" w:color="auto"/>
                <w:right w:val="none" w:sz="0" w:space="0" w:color="auto"/>
              </w:divBdr>
            </w:div>
            <w:div w:id="484667600">
              <w:marLeft w:val="0"/>
              <w:marRight w:val="0"/>
              <w:marTop w:val="0"/>
              <w:marBottom w:val="0"/>
              <w:divBdr>
                <w:top w:val="none" w:sz="0" w:space="0" w:color="auto"/>
                <w:left w:val="none" w:sz="0" w:space="0" w:color="auto"/>
                <w:bottom w:val="none" w:sz="0" w:space="0" w:color="auto"/>
                <w:right w:val="none" w:sz="0" w:space="0" w:color="auto"/>
              </w:divBdr>
            </w:div>
            <w:div w:id="490877608">
              <w:marLeft w:val="0"/>
              <w:marRight w:val="0"/>
              <w:marTop w:val="0"/>
              <w:marBottom w:val="0"/>
              <w:divBdr>
                <w:top w:val="none" w:sz="0" w:space="0" w:color="auto"/>
                <w:left w:val="none" w:sz="0" w:space="0" w:color="auto"/>
                <w:bottom w:val="none" w:sz="0" w:space="0" w:color="auto"/>
                <w:right w:val="none" w:sz="0" w:space="0" w:color="auto"/>
              </w:divBdr>
            </w:div>
            <w:div w:id="531653828">
              <w:marLeft w:val="0"/>
              <w:marRight w:val="0"/>
              <w:marTop w:val="0"/>
              <w:marBottom w:val="0"/>
              <w:divBdr>
                <w:top w:val="none" w:sz="0" w:space="0" w:color="auto"/>
                <w:left w:val="none" w:sz="0" w:space="0" w:color="auto"/>
                <w:bottom w:val="none" w:sz="0" w:space="0" w:color="auto"/>
                <w:right w:val="none" w:sz="0" w:space="0" w:color="auto"/>
              </w:divBdr>
            </w:div>
            <w:div w:id="620574322">
              <w:marLeft w:val="0"/>
              <w:marRight w:val="0"/>
              <w:marTop w:val="0"/>
              <w:marBottom w:val="0"/>
              <w:divBdr>
                <w:top w:val="none" w:sz="0" w:space="0" w:color="auto"/>
                <w:left w:val="none" w:sz="0" w:space="0" w:color="auto"/>
                <w:bottom w:val="none" w:sz="0" w:space="0" w:color="auto"/>
                <w:right w:val="none" w:sz="0" w:space="0" w:color="auto"/>
              </w:divBdr>
            </w:div>
            <w:div w:id="637102763">
              <w:marLeft w:val="0"/>
              <w:marRight w:val="0"/>
              <w:marTop w:val="0"/>
              <w:marBottom w:val="0"/>
              <w:divBdr>
                <w:top w:val="none" w:sz="0" w:space="0" w:color="auto"/>
                <w:left w:val="none" w:sz="0" w:space="0" w:color="auto"/>
                <w:bottom w:val="none" w:sz="0" w:space="0" w:color="auto"/>
                <w:right w:val="none" w:sz="0" w:space="0" w:color="auto"/>
              </w:divBdr>
            </w:div>
            <w:div w:id="679046079">
              <w:marLeft w:val="0"/>
              <w:marRight w:val="0"/>
              <w:marTop w:val="0"/>
              <w:marBottom w:val="0"/>
              <w:divBdr>
                <w:top w:val="none" w:sz="0" w:space="0" w:color="auto"/>
                <w:left w:val="none" w:sz="0" w:space="0" w:color="auto"/>
                <w:bottom w:val="none" w:sz="0" w:space="0" w:color="auto"/>
                <w:right w:val="none" w:sz="0" w:space="0" w:color="auto"/>
              </w:divBdr>
            </w:div>
            <w:div w:id="680401247">
              <w:marLeft w:val="0"/>
              <w:marRight w:val="0"/>
              <w:marTop w:val="0"/>
              <w:marBottom w:val="0"/>
              <w:divBdr>
                <w:top w:val="none" w:sz="0" w:space="0" w:color="auto"/>
                <w:left w:val="none" w:sz="0" w:space="0" w:color="auto"/>
                <w:bottom w:val="none" w:sz="0" w:space="0" w:color="auto"/>
                <w:right w:val="none" w:sz="0" w:space="0" w:color="auto"/>
              </w:divBdr>
            </w:div>
            <w:div w:id="681050544">
              <w:marLeft w:val="0"/>
              <w:marRight w:val="0"/>
              <w:marTop w:val="0"/>
              <w:marBottom w:val="0"/>
              <w:divBdr>
                <w:top w:val="none" w:sz="0" w:space="0" w:color="auto"/>
                <w:left w:val="none" w:sz="0" w:space="0" w:color="auto"/>
                <w:bottom w:val="none" w:sz="0" w:space="0" w:color="auto"/>
                <w:right w:val="none" w:sz="0" w:space="0" w:color="auto"/>
              </w:divBdr>
            </w:div>
            <w:div w:id="695540073">
              <w:marLeft w:val="0"/>
              <w:marRight w:val="0"/>
              <w:marTop w:val="0"/>
              <w:marBottom w:val="0"/>
              <w:divBdr>
                <w:top w:val="none" w:sz="0" w:space="0" w:color="auto"/>
                <w:left w:val="none" w:sz="0" w:space="0" w:color="auto"/>
                <w:bottom w:val="none" w:sz="0" w:space="0" w:color="auto"/>
                <w:right w:val="none" w:sz="0" w:space="0" w:color="auto"/>
              </w:divBdr>
            </w:div>
            <w:div w:id="698816078">
              <w:marLeft w:val="0"/>
              <w:marRight w:val="0"/>
              <w:marTop w:val="0"/>
              <w:marBottom w:val="0"/>
              <w:divBdr>
                <w:top w:val="none" w:sz="0" w:space="0" w:color="auto"/>
                <w:left w:val="none" w:sz="0" w:space="0" w:color="auto"/>
                <w:bottom w:val="none" w:sz="0" w:space="0" w:color="auto"/>
                <w:right w:val="none" w:sz="0" w:space="0" w:color="auto"/>
              </w:divBdr>
            </w:div>
            <w:div w:id="710496526">
              <w:marLeft w:val="0"/>
              <w:marRight w:val="0"/>
              <w:marTop w:val="0"/>
              <w:marBottom w:val="0"/>
              <w:divBdr>
                <w:top w:val="none" w:sz="0" w:space="0" w:color="auto"/>
                <w:left w:val="none" w:sz="0" w:space="0" w:color="auto"/>
                <w:bottom w:val="none" w:sz="0" w:space="0" w:color="auto"/>
                <w:right w:val="none" w:sz="0" w:space="0" w:color="auto"/>
              </w:divBdr>
            </w:div>
            <w:div w:id="740518079">
              <w:marLeft w:val="0"/>
              <w:marRight w:val="0"/>
              <w:marTop w:val="0"/>
              <w:marBottom w:val="0"/>
              <w:divBdr>
                <w:top w:val="none" w:sz="0" w:space="0" w:color="auto"/>
                <w:left w:val="none" w:sz="0" w:space="0" w:color="auto"/>
                <w:bottom w:val="none" w:sz="0" w:space="0" w:color="auto"/>
                <w:right w:val="none" w:sz="0" w:space="0" w:color="auto"/>
              </w:divBdr>
            </w:div>
            <w:div w:id="875696377">
              <w:marLeft w:val="0"/>
              <w:marRight w:val="0"/>
              <w:marTop w:val="0"/>
              <w:marBottom w:val="0"/>
              <w:divBdr>
                <w:top w:val="none" w:sz="0" w:space="0" w:color="auto"/>
                <w:left w:val="none" w:sz="0" w:space="0" w:color="auto"/>
                <w:bottom w:val="none" w:sz="0" w:space="0" w:color="auto"/>
                <w:right w:val="none" w:sz="0" w:space="0" w:color="auto"/>
              </w:divBdr>
            </w:div>
            <w:div w:id="959915821">
              <w:marLeft w:val="0"/>
              <w:marRight w:val="0"/>
              <w:marTop w:val="0"/>
              <w:marBottom w:val="0"/>
              <w:divBdr>
                <w:top w:val="none" w:sz="0" w:space="0" w:color="auto"/>
                <w:left w:val="none" w:sz="0" w:space="0" w:color="auto"/>
                <w:bottom w:val="none" w:sz="0" w:space="0" w:color="auto"/>
                <w:right w:val="none" w:sz="0" w:space="0" w:color="auto"/>
              </w:divBdr>
            </w:div>
            <w:div w:id="1050497766">
              <w:marLeft w:val="0"/>
              <w:marRight w:val="0"/>
              <w:marTop w:val="0"/>
              <w:marBottom w:val="0"/>
              <w:divBdr>
                <w:top w:val="none" w:sz="0" w:space="0" w:color="auto"/>
                <w:left w:val="none" w:sz="0" w:space="0" w:color="auto"/>
                <w:bottom w:val="none" w:sz="0" w:space="0" w:color="auto"/>
                <w:right w:val="none" w:sz="0" w:space="0" w:color="auto"/>
              </w:divBdr>
            </w:div>
            <w:div w:id="1241788780">
              <w:marLeft w:val="0"/>
              <w:marRight w:val="0"/>
              <w:marTop w:val="0"/>
              <w:marBottom w:val="0"/>
              <w:divBdr>
                <w:top w:val="none" w:sz="0" w:space="0" w:color="auto"/>
                <w:left w:val="none" w:sz="0" w:space="0" w:color="auto"/>
                <w:bottom w:val="none" w:sz="0" w:space="0" w:color="auto"/>
                <w:right w:val="none" w:sz="0" w:space="0" w:color="auto"/>
              </w:divBdr>
            </w:div>
            <w:div w:id="1255556125">
              <w:marLeft w:val="0"/>
              <w:marRight w:val="0"/>
              <w:marTop w:val="0"/>
              <w:marBottom w:val="0"/>
              <w:divBdr>
                <w:top w:val="none" w:sz="0" w:space="0" w:color="auto"/>
                <w:left w:val="none" w:sz="0" w:space="0" w:color="auto"/>
                <w:bottom w:val="none" w:sz="0" w:space="0" w:color="auto"/>
                <w:right w:val="none" w:sz="0" w:space="0" w:color="auto"/>
              </w:divBdr>
            </w:div>
            <w:div w:id="1259943973">
              <w:marLeft w:val="0"/>
              <w:marRight w:val="0"/>
              <w:marTop w:val="0"/>
              <w:marBottom w:val="0"/>
              <w:divBdr>
                <w:top w:val="none" w:sz="0" w:space="0" w:color="auto"/>
                <w:left w:val="none" w:sz="0" w:space="0" w:color="auto"/>
                <w:bottom w:val="none" w:sz="0" w:space="0" w:color="auto"/>
                <w:right w:val="none" w:sz="0" w:space="0" w:color="auto"/>
              </w:divBdr>
            </w:div>
            <w:div w:id="1264730209">
              <w:marLeft w:val="0"/>
              <w:marRight w:val="0"/>
              <w:marTop w:val="0"/>
              <w:marBottom w:val="0"/>
              <w:divBdr>
                <w:top w:val="none" w:sz="0" w:space="0" w:color="auto"/>
                <w:left w:val="none" w:sz="0" w:space="0" w:color="auto"/>
                <w:bottom w:val="none" w:sz="0" w:space="0" w:color="auto"/>
                <w:right w:val="none" w:sz="0" w:space="0" w:color="auto"/>
              </w:divBdr>
            </w:div>
            <w:div w:id="1285887635">
              <w:marLeft w:val="0"/>
              <w:marRight w:val="0"/>
              <w:marTop w:val="0"/>
              <w:marBottom w:val="0"/>
              <w:divBdr>
                <w:top w:val="none" w:sz="0" w:space="0" w:color="auto"/>
                <w:left w:val="none" w:sz="0" w:space="0" w:color="auto"/>
                <w:bottom w:val="none" w:sz="0" w:space="0" w:color="auto"/>
                <w:right w:val="none" w:sz="0" w:space="0" w:color="auto"/>
              </w:divBdr>
            </w:div>
            <w:div w:id="1294680407">
              <w:marLeft w:val="0"/>
              <w:marRight w:val="0"/>
              <w:marTop w:val="0"/>
              <w:marBottom w:val="0"/>
              <w:divBdr>
                <w:top w:val="none" w:sz="0" w:space="0" w:color="auto"/>
                <w:left w:val="none" w:sz="0" w:space="0" w:color="auto"/>
                <w:bottom w:val="none" w:sz="0" w:space="0" w:color="auto"/>
                <w:right w:val="none" w:sz="0" w:space="0" w:color="auto"/>
              </w:divBdr>
            </w:div>
            <w:div w:id="1308583056">
              <w:marLeft w:val="0"/>
              <w:marRight w:val="0"/>
              <w:marTop w:val="0"/>
              <w:marBottom w:val="0"/>
              <w:divBdr>
                <w:top w:val="none" w:sz="0" w:space="0" w:color="auto"/>
                <w:left w:val="none" w:sz="0" w:space="0" w:color="auto"/>
                <w:bottom w:val="none" w:sz="0" w:space="0" w:color="auto"/>
                <w:right w:val="none" w:sz="0" w:space="0" w:color="auto"/>
              </w:divBdr>
            </w:div>
            <w:div w:id="1363480818">
              <w:marLeft w:val="0"/>
              <w:marRight w:val="0"/>
              <w:marTop w:val="0"/>
              <w:marBottom w:val="0"/>
              <w:divBdr>
                <w:top w:val="none" w:sz="0" w:space="0" w:color="auto"/>
                <w:left w:val="none" w:sz="0" w:space="0" w:color="auto"/>
                <w:bottom w:val="none" w:sz="0" w:space="0" w:color="auto"/>
                <w:right w:val="none" w:sz="0" w:space="0" w:color="auto"/>
              </w:divBdr>
            </w:div>
            <w:div w:id="1377584744">
              <w:marLeft w:val="0"/>
              <w:marRight w:val="0"/>
              <w:marTop w:val="0"/>
              <w:marBottom w:val="0"/>
              <w:divBdr>
                <w:top w:val="none" w:sz="0" w:space="0" w:color="auto"/>
                <w:left w:val="none" w:sz="0" w:space="0" w:color="auto"/>
                <w:bottom w:val="none" w:sz="0" w:space="0" w:color="auto"/>
                <w:right w:val="none" w:sz="0" w:space="0" w:color="auto"/>
              </w:divBdr>
            </w:div>
            <w:div w:id="1408531044">
              <w:marLeft w:val="0"/>
              <w:marRight w:val="0"/>
              <w:marTop w:val="0"/>
              <w:marBottom w:val="0"/>
              <w:divBdr>
                <w:top w:val="none" w:sz="0" w:space="0" w:color="auto"/>
                <w:left w:val="none" w:sz="0" w:space="0" w:color="auto"/>
                <w:bottom w:val="none" w:sz="0" w:space="0" w:color="auto"/>
                <w:right w:val="none" w:sz="0" w:space="0" w:color="auto"/>
              </w:divBdr>
            </w:div>
            <w:div w:id="1440376297">
              <w:marLeft w:val="0"/>
              <w:marRight w:val="0"/>
              <w:marTop w:val="0"/>
              <w:marBottom w:val="0"/>
              <w:divBdr>
                <w:top w:val="none" w:sz="0" w:space="0" w:color="auto"/>
                <w:left w:val="none" w:sz="0" w:space="0" w:color="auto"/>
                <w:bottom w:val="none" w:sz="0" w:space="0" w:color="auto"/>
                <w:right w:val="none" w:sz="0" w:space="0" w:color="auto"/>
              </w:divBdr>
            </w:div>
            <w:div w:id="1555123305">
              <w:marLeft w:val="0"/>
              <w:marRight w:val="0"/>
              <w:marTop w:val="0"/>
              <w:marBottom w:val="0"/>
              <w:divBdr>
                <w:top w:val="none" w:sz="0" w:space="0" w:color="auto"/>
                <w:left w:val="none" w:sz="0" w:space="0" w:color="auto"/>
                <w:bottom w:val="none" w:sz="0" w:space="0" w:color="auto"/>
                <w:right w:val="none" w:sz="0" w:space="0" w:color="auto"/>
              </w:divBdr>
            </w:div>
            <w:div w:id="1605187734">
              <w:marLeft w:val="0"/>
              <w:marRight w:val="0"/>
              <w:marTop w:val="0"/>
              <w:marBottom w:val="0"/>
              <w:divBdr>
                <w:top w:val="none" w:sz="0" w:space="0" w:color="auto"/>
                <w:left w:val="none" w:sz="0" w:space="0" w:color="auto"/>
                <w:bottom w:val="none" w:sz="0" w:space="0" w:color="auto"/>
                <w:right w:val="none" w:sz="0" w:space="0" w:color="auto"/>
              </w:divBdr>
            </w:div>
            <w:div w:id="1628660508">
              <w:marLeft w:val="0"/>
              <w:marRight w:val="0"/>
              <w:marTop w:val="0"/>
              <w:marBottom w:val="0"/>
              <w:divBdr>
                <w:top w:val="none" w:sz="0" w:space="0" w:color="auto"/>
                <w:left w:val="none" w:sz="0" w:space="0" w:color="auto"/>
                <w:bottom w:val="none" w:sz="0" w:space="0" w:color="auto"/>
                <w:right w:val="none" w:sz="0" w:space="0" w:color="auto"/>
              </w:divBdr>
            </w:div>
            <w:div w:id="1629161419">
              <w:marLeft w:val="0"/>
              <w:marRight w:val="0"/>
              <w:marTop w:val="0"/>
              <w:marBottom w:val="0"/>
              <w:divBdr>
                <w:top w:val="none" w:sz="0" w:space="0" w:color="auto"/>
                <w:left w:val="none" w:sz="0" w:space="0" w:color="auto"/>
                <w:bottom w:val="none" w:sz="0" w:space="0" w:color="auto"/>
                <w:right w:val="none" w:sz="0" w:space="0" w:color="auto"/>
              </w:divBdr>
            </w:div>
            <w:div w:id="1654025304">
              <w:marLeft w:val="0"/>
              <w:marRight w:val="0"/>
              <w:marTop w:val="0"/>
              <w:marBottom w:val="0"/>
              <w:divBdr>
                <w:top w:val="none" w:sz="0" w:space="0" w:color="auto"/>
                <w:left w:val="none" w:sz="0" w:space="0" w:color="auto"/>
                <w:bottom w:val="none" w:sz="0" w:space="0" w:color="auto"/>
                <w:right w:val="none" w:sz="0" w:space="0" w:color="auto"/>
              </w:divBdr>
            </w:div>
            <w:div w:id="1666587455">
              <w:marLeft w:val="0"/>
              <w:marRight w:val="0"/>
              <w:marTop w:val="0"/>
              <w:marBottom w:val="0"/>
              <w:divBdr>
                <w:top w:val="none" w:sz="0" w:space="0" w:color="auto"/>
                <w:left w:val="none" w:sz="0" w:space="0" w:color="auto"/>
                <w:bottom w:val="none" w:sz="0" w:space="0" w:color="auto"/>
                <w:right w:val="none" w:sz="0" w:space="0" w:color="auto"/>
              </w:divBdr>
            </w:div>
            <w:div w:id="1768381686">
              <w:marLeft w:val="0"/>
              <w:marRight w:val="0"/>
              <w:marTop w:val="0"/>
              <w:marBottom w:val="0"/>
              <w:divBdr>
                <w:top w:val="none" w:sz="0" w:space="0" w:color="auto"/>
                <w:left w:val="none" w:sz="0" w:space="0" w:color="auto"/>
                <w:bottom w:val="none" w:sz="0" w:space="0" w:color="auto"/>
                <w:right w:val="none" w:sz="0" w:space="0" w:color="auto"/>
              </w:divBdr>
            </w:div>
            <w:div w:id="1820264356">
              <w:marLeft w:val="0"/>
              <w:marRight w:val="0"/>
              <w:marTop w:val="0"/>
              <w:marBottom w:val="0"/>
              <w:divBdr>
                <w:top w:val="none" w:sz="0" w:space="0" w:color="auto"/>
                <w:left w:val="none" w:sz="0" w:space="0" w:color="auto"/>
                <w:bottom w:val="none" w:sz="0" w:space="0" w:color="auto"/>
                <w:right w:val="none" w:sz="0" w:space="0" w:color="auto"/>
              </w:divBdr>
            </w:div>
            <w:div w:id="1898005444">
              <w:marLeft w:val="0"/>
              <w:marRight w:val="0"/>
              <w:marTop w:val="0"/>
              <w:marBottom w:val="0"/>
              <w:divBdr>
                <w:top w:val="none" w:sz="0" w:space="0" w:color="auto"/>
                <w:left w:val="none" w:sz="0" w:space="0" w:color="auto"/>
                <w:bottom w:val="none" w:sz="0" w:space="0" w:color="auto"/>
                <w:right w:val="none" w:sz="0" w:space="0" w:color="auto"/>
              </w:divBdr>
            </w:div>
            <w:div w:id="1902205093">
              <w:marLeft w:val="0"/>
              <w:marRight w:val="0"/>
              <w:marTop w:val="0"/>
              <w:marBottom w:val="0"/>
              <w:divBdr>
                <w:top w:val="none" w:sz="0" w:space="0" w:color="auto"/>
                <w:left w:val="none" w:sz="0" w:space="0" w:color="auto"/>
                <w:bottom w:val="none" w:sz="0" w:space="0" w:color="auto"/>
                <w:right w:val="none" w:sz="0" w:space="0" w:color="auto"/>
              </w:divBdr>
            </w:div>
            <w:div w:id="1919828715">
              <w:marLeft w:val="0"/>
              <w:marRight w:val="0"/>
              <w:marTop w:val="0"/>
              <w:marBottom w:val="0"/>
              <w:divBdr>
                <w:top w:val="none" w:sz="0" w:space="0" w:color="auto"/>
                <w:left w:val="none" w:sz="0" w:space="0" w:color="auto"/>
                <w:bottom w:val="none" w:sz="0" w:space="0" w:color="auto"/>
                <w:right w:val="none" w:sz="0" w:space="0" w:color="auto"/>
              </w:divBdr>
            </w:div>
            <w:div w:id="2032678326">
              <w:marLeft w:val="0"/>
              <w:marRight w:val="0"/>
              <w:marTop w:val="0"/>
              <w:marBottom w:val="0"/>
              <w:divBdr>
                <w:top w:val="none" w:sz="0" w:space="0" w:color="auto"/>
                <w:left w:val="none" w:sz="0" w:space="0" w:color="auto"/>
                <w:bottom w:val="none" w:sz="0" w:space="0" w:color="auto"/>
                <w:right w:val="none" w:sz="0" w:space="0" w:color="auto"/>
              </w:divBdr>
            </w:div>
            <w:div w:id="20942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2033">
      <w:bodyDiv w:val="1"/>
      <w:marLeft w:val="0"/>
      <w:marRight w:val="0"/>
      <w:marTop w:val="0"/>
      <w:marBottom w:val="0"/>
      <w:divBdr>
        <w:top w:val="none" w:sz="0" w:space="0" w:color="auto"/>
        <w:left w:val="none" w:sz="0" w:space="0" w:color="auto"/>
        <w:bottom w:val="none" w:sz="0" w:space="0" w:color="auto"/>
        <w:right w:val="none" w:sz="0" w:space="0" w:color="auto"/>
      </w:divBdr>
      <w:divsChild>
        <w:div w:id="1125661791">
          <w:marLeft w:val="0"/>
          <w:marRight w:val="0"/>
          <w:marTop w:val="0"/>
          <w:marBottom w:val="0"/>
          <w:divBdr>
            <w:top w:val="none" w:sz="0" w:space="0" w:color="auto"/>
            <w:left w:val="none" w:sz="0" w:space="0" w:color="auto"/>
            <w:bottom w:val="none" w:sz="0" w:space="0" w:color="auto"/>
            <w:right w:val="none" w:sz="0" w:space="0" w:color="auto"/>
          </w:divBdr>
        </w:div>
      </w:divsChild>
    </w:div>
    <w:div w:id="416097933">
      <w:bodyDiv w:val="1"/>
      <w:marLeft w:val="0"/>
      <w:marRight w:val="0"/>
      <w:marTop w:val="0"/>
      <w:marBottom w:val="0"/>
      <w:divBdr>
        <w:top w:val="none" w:sz="0" w:space="0" w:color="auto"/>
        <w:left w:val="none" w:sz="0" w:space="0" w:color="auto"/>
        <w:bottom w:val="none" w:sz="0" w:space="0" w:color="auto"/>
        <w:right w:val="none" w:sz="0" w:space="0" w:color="auto"/>
      </w:divBdr>
    </w:div>
    <w:div w:id="761993446">
      <w:bodyDiv w:val="1"/>
      <w:marLeft w:val="0"/>
      <w:marRight w:val="0"/>
      <w:marTop w:val="0"/>
      <w:marBottom w:val="0"/>
      <w:divBdr>
        <w:top w:val="none" w:sz="0" w:space="0" w:color="auto"/>
        <w:left w:val="none" w:sz="0" w:space="0" w:color="auto"/>
        <w:bottom w:val="none" w:sz="0" w:space="0" w:color="auto"/>
        <w:right w:val="none" w:sz="0" w:space="0" w:color="auto"/>
      </w:divBdr>
    </w:div>
    <w:div w:id="871266868">
      <w:bodyDiv w:val="1"/>
      <w:marLeft w:val="0"/>
      <w:marRight w:val="0"/>
      <w:marTop w:val="0"/>
      <w:marBottom w:val="0"/>
      <w:divBdr>
        <w:top w:val="none" w:sz="0" w:space="0" w:color="auto"/>
        <w:left w:val="none" w:sz="0" w:space="0" w:color="auto"/>
        <w:bottom w:val="none" w:sz="0" w:space="0" w:color="auto"/>
        <w:right w:val="none" w:sz="0" w:space="0" w:color="auto"/>
      </w:divBdr>
      <w:divsChild>
        <w:div w:id="1168667681">
          <w:marLeft w:val="0"/>
          <w:marRight w:val="0"/>
          <w:marTop w:val="0"/>
          <w:marBottom w:val="0"/>
          <w:divBdr>
            <w:top w:val="none" w:sz="0" w:space="0" w:color="auto"/>
            <w:left w:val="none" w:sz="0" w:space="0" w:color="auto"/>
            <w:bottom w:val="none" w:sz="0" w:space="0" w:color="auto"/>
            <w:right w:val="none" w:sz="0" w:space="0" w:color="auto"/>
          </w:divBdr>
        </w:div>
      </w:divsChild>
    </w:div>
    <w:div w:id="1151487944">
      <w:bodyDiv w:val="1"/>
      <w:marLeft w:val="0"/>
      <w:marRight w:val="0"/>
      <w:marTop w:val="0"/>
      <w:marBottom w:val="0"/>
      <w:divBdr>
        <w:top w:val="none" w:sz="0" w:space="0" w:color="auto"/>
        <w:left w:val="none" w:sz="0" w:space="0" w:color="auto"/>
        <w:bottom w:val="none" w:sz="0" w:space="0" w:color="auto"/>
        <w:right w:val="none" w:sz="0" w:space="0" w:color="auto"/>
      </w:divBdr>
    </w:div>
    <w:div w:id="1587421187">
      <w:bodyDiv w:val="1"/>
      <w:marLeft w:val="0"/>
      <w:marRight w:val="0"/>
      <w:marTop w:val="0"/>
      <w:marBottom w:val="0"/>
      <w:divBdr>
        <w:top w:val="none" w:sz="0" w:space="0" w:color="auto"/>
        <w:left w:val="none" w:sz="0" w:space="0" w:color="auto"/>
        <w:bottom w:val="none" w:sz="0" w:space="0" w:color="auto"/>
        <w:right w:val="none" w:sz="0" w:space="0" w:color="auto"/>
      </w:divBdr>
    </w:div>
    <w:div w:id="1680113264">
      <w:bodyDiv w:val="1"/>
      <w:marLeft w:val="0"/>
      <w:marRight w:val="0"/>
      <w:marTop w:val="0"/>
      <w:marBottom w:val="0"/>
      <w:divBdr>
        <w:top w:val="none" w:sz="0" w:space="0" w:color="auto"/>
        <w:left w:val="none" w:sz="0" w:space="0" w:color="auto"/>
        <w:bottom w:val="none" w:sz="0" w:space="0" w:color="auto"/>
        <w:right w:val="none" w:sz="0" w:space="0" w:color="auto"/>
      </w:divBdr>
    </w:div>
    <w:div w:id="1799714164">
      <w:bodyDiv w:val="1"/>
      <w:marLeft w:val="0"/>
      <w:marRight w:val="0"/>
      <w:marTop w:val="0"/>
      <w:marBottom w:val="0"/>
      <w:divBdr>
        <w:top w:val="none" w:sz="0" w:space="0" w:color="auto"/>
        <w:left w:val="none" w:sz="0" w:space="0" w:color="auto"/>
        <w:bottom w:val="none" w:sz="0" w:space="0" w:color="auto"/>
        <w:right w:val="none" w:sz="0" w:space="0" w:color="auto"/>
      </w:divBdr>
    </w:div>
    <w:div w:id="19751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445E-0130-4C54-A4C6-B77250F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11200</Words>
  <Characters>6384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projekts „ Par finanšu līdzekļu piešķiršanu no valsts budžeta programmas "Līdzekļi neparedzētiem gadījumiem"”</vt:lpstr>
    </vt:vector>
  </TitlesOfParts>
  <Company>LM</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finanšu līdzekļu piešķiršanu no valsts budžeta programmas "Līdzekļi neparedzētiem gadījumiem"”</dc:title>
  <dc:subject>Sākotnējās ietekmes novērtējums</dc:subject>
  <dc:creator>Danute Jasjko</dc:creator>
  <dc:description>tālr.:67021639, fakss 67276445, e-pasts: Danute.Jasjko@lm.gov.lv
tālr.: 67021664, fakss 67276445, e-pasts:I ndra.Karklina@lm.gov.lv
tālr.: 67021668, fakss: 67276445, e-pasts: Egita.Dorozkina@lm.gov.lv</dc:description>
  <cp:lastModifiedBy>Egita Dorozkina</cp:lastModifiedBy>
  <cp:revision>4</cp:revision>
  <cp:lastPrinted>2014-07-07T08:02:00Z</cp:lastPrinted>
  <dcterms:created xsi:type="dcterms:W3CDTF">2014-08-18T09:20:00Z</dcterms:created>
  <dcterms:modified xsi:type="dcterms:W3CDTF">2014-08-18T10:23:00Z</dcterms:modified>
</cp:coreProperties>
</file>