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24FAB178" w:rsidR="00F86C1C" w:rsidRPr="0050490E" w:rsidRDefault="00F23F1D" w:rsidP="0089655E">
      <w:pPr>
        <w:pStyle w:val="tv2121"/>
        <w:spacing w:before="0" w:line="240" w:lineRule="auto"/>
        <w:rPr>
          <w:rFonts w:ascii="Times New Roman" w:hAnsi="Times New Roman"/>
          <w:sz w:val="24"/>
          <w:szCs w:val="24"/>
        </w:rPr>
      </w:pPr>
      <w:bookmarkStart w:id="0" w:name="372832"/>
      <w:r w:rsidRPr="0050490E">
        <w:rPr>
          <w:rFonts w:ascii="Times New Roman" w:hAnsi="Times New Roman"/>
          <w:bCs w:val="0"/>
          <w:sz w:val="24"/>
          <w:szCs w:val="24"/>
        </w:rPr>
        <w:t>Ministru kabineta noteikumu</w:t>
      </w:r>
      <w:bookmarkEnd w:id="0"/>
      <w:r w:rsidR="00660D3B" w:rsidRPr="0050490E">
        <w:rPr>
          <w:rFonts w:ascii="Times New Roman" w:hAnsi="Times New Roman"/>
          <w:bCs w:val="0"/>
          <w:sz w:val="24"/>
          <w:szCs w:val="24"/>
        </w:rPr>
        <w:t xml:space="preserve"> </w:t>
      </w:r>
      <w:r w:rsidR="00047AA5" w:rsidRPr="0050490E">
        <w:rPr>
          <w:rFonts w:ascii="Times New Roman" w:hAnsi="Times New Roman"/>
          <w:bCs w:val="0"/>
          <w:sz w:val="24"/>
          <w:szCs w:val="24"/>
        </w:rPr>
        <w:t>“</w:t>
      </w:r>
      <w:r w:rsidR="00210AA3" w:rsidRPr="00210AA3">
        <w:rPr>
          <w:rFonts w:ascii="Times New Roman" w:hAnsi="Times New Roman"/>
          <w:sz w:val="24"/>
          <w:szCs w:val="24"/>
        </w:rPr>
        <w:t>Darbības programmas „Izaugsme un nodarbinātība” 7.1.1. specifiskā atbalsta mērķa „Paaugstināt bezdarbnieku kvalifikāciju un prasmes atbilstoši darba tirgus pieprasījumam” īstenošanas noteikumi</w:t>
      </w:r>
      <w:r w:rsidR="00E35333" w:rsidRPr="0050490E">
        <w:rPr>
          <w:rFonts w:ascii="Times New Roman" w:hAnsi="Times New Roman"/>
          <w:sz w:val="24"/>
          <w:szCs w:val="24"/>
        </w:rPr>
        <w:t>”</w:t>
      </w:r>
      <w:r w:rsidR="00F86C1C" w:rsidRPr="0050490E">
        <w:rPr>
          <w:rFonts w:ascii="Times New Roman" w:hAnsi="Times New Roman"/>
          <w:sz w:val="24"/>
          <w:szCs w:val="24"/>
        </w:rPr>
        <w:t xml:space="preserve"> </w:t>
      </w:r>
      <w:r w:rsidR="00F86C1C" w:rsidRPr="0050490E">
        <w:rPr>
          <w:rFonts w:ascii="Times New Roman" w:hAnsi="Times New Roman"/>
          <w:bCs w:val="0"/>
          <w:sz w:val="24"/>
          <w:szCs w:val="24"/>
        </w:rPr>
        <w:t>projekta</w:t>
      </w:r>
      <w:r w:rsidR="00F86C1C" w:rsidRPr="0050490E">
        <w:rPr>
          <w:rFonts w:ascii="Times New Roman" w:hAnsi="Times New Roman"/>
          <w:sz w:val="24"/>
          <w:szCs w:val="24"/>
        </w:rPr>
        <w:t xml:space="preserve"> sākotnējās ietekmes novērtējuma ziņojums (anotācija)</w:t>
      </w:r>
      <w:r w:rsidR="00C24A5B" w:rsidRPr="0050490E">
        <w:rPr>
          <w:rFonts w:ascii="Times New Roman" w:hAnsi="Times New Roman"/>
          <w:sz w:val="24"/>
          <w:szCs w:val="24"/>
        </w:rPr>
        <w:t>.</w:t>
      </w:r>
    </w:p>
    <w:p w14:paraId="0092C99C" w14:textId="77777777" w:rsidR="00F21E42" w:rsidRPr="00A76ADD" w:rsidRDefault="00F21E42" w:rsidP="0089655E">
      <w:pPr>
        <w:pStyle w:val="tv2121"/>
        <w:spacing w:before="0" w:line="240" w:lineRule="auto"/>
        <w:rPr>
          <w:rFonts w:ascii="Times New Roman" w:hAnsi="Times New Roman"/>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399"/>
        <w:gridCol w:w="6804"/>
      </w:tblGrid>
      <w:tr w:rsidR="00CC1A56" w:rsidRPr="00A76ADD" w14:paraId="282051D5" w14:textId="77777777" w:rsidTr="0089655E">
        <w:trPr>
          <w:trHeight w:val="419"/>
        </w:trPr>
        <w:tc>
          <w:tcPr>
            <w:tcW w:w="5000" w:type="pct"/>
            <w:gridSpan w:val="3"/>
            <w:vAlign w:val="center"/>
          </w:tcPr>
          <w:p w14:paraId="18E1C3C6" w14:textId="77777777" w:rsidR="00CC1A56" w:rsidRPr="00A76ADD" w:rsidRDefault="00CC1A56" w:rsidP="0089655E">
            <w:pPr>
              <w:pStyle w:val="naisnod"/>
              <w:spacing w:before="0" w:beforeAutospacing="0" w:after="0" w:afterAutospacing="0"/>
              <w:ind w:left="57" w:right="57"/>
              <w:jc w:val="center"/>
              <w:rPr>
                <w:b/>
              </w:rPr>
            </w:pPr>
            <w:r w:rsidRPr="00A76ADD">
              <w:rPr>
                <w:b/>
              </w:rPr>
              <w:t>I. Tiesību akta projekta izstrādes nepieciešamība</w:t>
            </w:r>
          </w:p>
        </w:tc>
      </w:tr>
      <w:tr w:rsidR="00CC1A56" w:rsidRPr="00A76ADD" w14:paraId="137B5A88" w14:textId="77777777" w:rsidTr="00E022DC">
        <w:trPr>
          <w:trHeight w:val="415"/>
        </w:trPr>
        <w:tc>
          <w:tcPr>
            <w:tcW w:w="224" w:type="pct"/>
          </w:tcPr>
          <w:p w14:paraId="7AF0161E" w14:textId="77777777" w:rsidR="00CC1A56" w:rsidRPr="00A76ADD" w:rsidRDefault="00CC1A56" w:rsidP="0089655E">
            <w:pPr>
              <w:pStyle w:val="naiskr"/>
              <w:spacing w:before="0" w:beforeAutospacing="0" w:after="0" w:afterAutospacing="0"/>
              <w:ind w:left="57" w:right="57"/>
              <w:jc w:val="center"/>
            </w:pPr>
            <w:r w:rsidRPr="00A76ADD">
              <w:t>1.</w:t>
            </w:r>
          </w:p>
        </w:tc>
        <w:tc>
          <w:tcPr>
            <w:tcW w:w="1245" w:type="pct"/>
          </w:tcPr>
          <w:p w14:paraId="678D7083" w14:textId="4D6EBF06" w:rsidR="00026A31" w:rsidRPr="00A76ADD" w:rsidRDefault="00CC1A56" w:rsidP="0089655E">
            <w:pPr>
              <w:pStyle w:val="naiskr"/>
              <w:spacing w:before="0" w:beforeAutospacing="0" w:after="0" w:afterAutospacing="0"/>
              <w:ind w:left="57" w:right="57"/>
            </w:pPr>
            <w:r w:rsidRPr="00A76ADD">
              <w:t>Pamatojums</w:t>
            </w:r>
          </w:p>
          <w:p w14:paraId="2CA3292A" w14:textId="77777777" w:rsidR="00CC1A56" w:rsidRPr="00A76ADD" w:rsidRDefault="00CC1A56" w:rsidP="0089655E">
            <w:pPr>
              <w:spacing w:after="0" w:line="240" w:lineRule="auto"/>
              <w:ind w:firstLine="720"/>
              <w:rPr>
                <w:rFonts w:ascii="Times New Roman" w:hAnsi="Times New Roman" w:cs="Times New Roman"/>
                <w:lang w:eastAsia="lv-LV"/>
              </w:rPr>
            </w:pPr>
          </w:p>
        </w:tc>
        <w:tc>
          <w:tcPr>
            <w:tcW w:w="3531" w:type="pct"/>
          </w:tcPr>
          <w:p w14:paraId="382235EB" w14:textId="2B38EA09" w:rsidR="00CC1A56" w:rsidRPr="00A76ADD" w:rsidRDefault="00467554" w:rsidP="004E03A9">
            <w:pPr>
              <w:spacing w:after="0" w:line="240" w:lineRule="auto"/>
              <w:ind w:left="57" w:right="113"/>
              <w:jc w:val="both"/>
              <w:rPr>
                <w:rFonts w:ascii="Times New Roman" w:hAnsi="Times New Roman" w:cs="Times New Roman"/>
                <w:sz w:val="24"/>
                <w:szCs w:val="24"/>
                <w:shd w:val="clear" w:color="auto" w:fill="FFFFFF"/>
              </w:rPr>
            </w:pPr>
            <w:r w:rsidRPr="00A76ADD">
              <w:rPr>
                <w:rFonts w:ascii="Times New Roman" w:hAnsi="Times New Roman" w:cs="Times New Roman"/>
                <w:sz w:val="24"/>
                <w:szCs w:val="24"/>
                <w:shd w:val="clear" w:color="auto" w:fill="FFFFFF"/>
              </w:rPr>
              <w:t>Ministru kabineta</w:t>
            </w:r>
            <w:r w:rsidR="0089655E">
              <w:rPr>
                <w:rFonts w:ascii="Times New Roman" w:hAnsi="Times New Roman" w:cs="Times New Roman"/>
                <w:sz w:val="24"/>
                <w:szCs w:val="24"/>
                <w:shd w:val="clear" w:color="auto" w:fill="FFFFFF"/>
              </w:rPr>
              <w:t xml:space="preserve"> (turpmāk - MK)</w:t>
            </w:r>
            <w:r w:rsidRPr="00A76ADD">
              <w:rPr>
                <w:rFonts w:ascii="Times New Roman" w:hAnsi="Times New Roman" w:cs="Times New Roman"/>
                <w:sz w:val="24"/>
                <w:szCs w:val="24"/>
                <w:shd w:val="clear" w:color="auto" w:fill="FFFFFF"/>
              </w:rPr>
              <w:t xml:space="preserve"> noteikumu projekts </w:t>
            </w:r>
            <w:r w:rsidR="00047AA5" w:rsidRPr="00047AA5">
              <w:rPr>
                <w:rFonts w:ascii="Times New Roman" w:hAnsi="Times New Roman" w:cs="Times New Roman"/>
                <w:sz w:val="24"/>
                <w:szCs w:val="24"/>
                <w:shd w:val="clear" w:color="auto" w:fill="FFFFFF"/>
              </w:rPr>
              <w:t>“</w:t>
            </w:r>
            <w:r w:rsidR="00210AA3" w:rsidRPr="00210AA3">
              <w:rPr>
                <w:rFonts w:ascii="Times New Roman" w:hAnsi="Times New Roman" w:cs="Times New Roman"/>
                <w:bCs/>
                <w:sz w:val="24"/>
                <w:szCs w:val="24"/>
                <w:shd w:val="clear" w:color="auto" w:fill="FFFFFF"/>
              </w:rPr>
              <w:t>Darbības programmas „Izaugsme un nodarbinātība” 7.1.1. specifiskā atbalsta mērķa „Paaugstināt bezdarbnieku kvalifikāciju un prasmes atbilstoši darba tirgus pieprasījumam” īstenošanas noteikumi</w:t>
            </w:r>
            <w:r w:rsidRPr="00A76ADD">
              <w:rPr>
                <w:rFonts w:ascii="Times New Roman" w:hAnsi="Times New Roman" w:cs="Times New Roman"/>
                <w:sz w:val="24"/>
                <w:szCs w:val="24"/>
                <w:shd w:val="clear" w:color="auto" w:fill="FFFFFF"/>
              </w:rPr>
              <w:t>”</w:t>
            </w:r>
            <w:r w:rsidR="0089655E">
              <w:rPr>
                <w:rFonts w:ascii="Times New Roman" w:hAnsi="Times New Roman" w:cs="Times New Roman"/>
                <w:sz w:val="24"/>
                <w:szCs w:val="24"/>
                <w:shd w:val="clear" w:color="auto" w:fill="FFFFFF"/>
              </w:rPr>
              <w:t xml:space="preserve"> (turpmāk – MK noteikumu projekts)</w:t>
            </w:r>
            <w:r w:rsidR="00204981" w:rsidRPr="00A76ADD">
              <w:rPr>
                <w:rFonts w:ascii="Times New Roman" w:hAnsi="Times New Roman" w:cs="Times New Roman"/>
                <w:sz w:val="24"/>
                <w:szCs w:val="24"/>
                <w:shd w:val="clear" w:color="auto" w:fill="FFFFFF"/>
              </w:rPr>
              <w:t xml:space="preserve"> </w:t>
            </w:r>
            <w:r w:rsidR="00A90517" w:rsidRPr="00A76ADD">
              <w:rPr>
                <w:rFonts w:ascii="Times New Roman" w:hAnsi="Times New Roman" w:cs="Times New Roman"/>
                <w:sz w:val="24"/>
                <w:szCs w:val="24"/>
                <w:shd w:val="clear" w:color="auto" w:fill="FFFFFF"/>
              </w:rPr>
              <w:t xml:space="preserve">izstrādāts atbilstoši </w:t>
            </w:r>
            <w:r w:rsidR="00F21C20" w:rsidRPr="00A76ADD">
              <w:rPr>
                <w:rFonts w:ascii="Times New Roman" w:hAnsi="Times New Roman" w:cs="Times New Roman"/>
                <w:sz w:val="24"/>
                <w:szCs w:val="24"/>
                <w:shd w:val="clear" w:color="auto" w:fill="FFFFFF"/>
              </w:rPr>
              <w:t xml:space="preserve">Darbības programmas “Izaugsme un nodarbinātība” </w:t>
            </w:r>
            <w:r w:rsidR="00E76D0C" w:rsidRPr="00A76ADD">
              <w:rPr>
                <w:rFonts w:ascii="Times New Roman" w:hAnsi="Times New Roman" w:cs="Times New Roman"/>
                <w:sz w:val="24"/>
                <w:szCs w:val="24"/>
                <w:shd w:val="clear" w:color="auto" w:fill="FFFFFF"/>
              </w:rPr>
              <w:t>(turpmāk – DP) mērķiem</w:t>
            </w:r>
            <w:r w:rsidR="00EC4331">
              <w:rPr>
                <w:rFonts w:ascii="Times New Roman" w:hAnsi="Times New Roman" w:cs="Times New Roman"/>
                <w:sz w:val="24"/>
                <w:szCs w:val="24"/>
              </w:rPr>
              <w:t>,</w:t>
            </w:r>
            <w:r w:rsidR="00A41BAE" w:rsidRPr="00A41BAE">
              <w:rPr>
                <w:rFonts w:ascii="Times New Roman" w:hAnsi="Times New Roman" w:cs="Times New Roman"/>
                <w:sz w:val="24"/>
                <w:szCs w:val="24"/>
                <w:shd w:val="clear" w:color="auto" w:fill="FFFFFF"/>
              </w:rPr>
              <w:t xml:space="preserve"> Ministru Prezidenta 2014.gada 21.jūlija rezolūcijai Nr.12/2014-JUR-151.,</w:t>
            </w:r>
            <w:r w:rsidR="00246498">
              <w:rPr>
                <w:rFonts w:ascii="Times New Roman" w:hAnsi="Times New Roman" w:cs="Times New Roman"/>
                <w:sz w:val="24"/>
                <w:szCs w:val="24"/>
                <w:shd w:val="clear" w:color="auto" w:fill="FFFFFF"/>
              </w:rPr>
              <w:t xml:space="preserve"> saskaņā ar </w:t>
            </w:r>
            <w:r w:rsidR="00A41BAE">
              <w:rPr>
                <w:rFonts w:ascii="Times New Roman" w:hAnsi="Times New Roman" w:cs="Times New Roman"/>
                <w:sz w:val="24"/>
                <w:szCs w:val="24"/>
                <w:shd w:val="clear" w:color="auto" w:fill="FFFFFF"/>
              </w:rPr>
              <w:t>kur</w:t>
            </w:r>
            <w:r w:rsidR="00246498">
              <w:rPr>
                <w:rFonts w:ascii="Times New Roman" w:hAnsi="Times New Roman" w:cs="Times New Roman"/>
                <w:sz w:val="24"/>
                <w:szCs w:val="24"/>
                <w:shd w:val="clear" w:color="auto" w:fill="FFFFFF"/>
              </w:rPr>
              <w:t>u</w:t>
            </w:r>
            <w:r w:rsidR="00A41BAE">
              <w:rPr>
                <w:rFonts w:ascii="Times New Roman" w:hAnsi="Times New Roman" w:cs="Times New Roman"/>
                <w:sz w:val="24"/>
                <w:szCs w:val="24"/>
                <w:shd w:val="clear" w:color="auto" w:fill="FFFFFF"/>
              </w:rPr>
              <w:t xml:space="preserve"> </w:t>
            </w:r>
            <w:r w:rsidR="00A41BAE" w:rsidRPr="00A41BAE">
              <w:rPr>
                <w:rFonts w:ascii="Times New Roman" w:hAnsi="Times New Roman" w:cs="Times New Roman"/>
                <w:sz w:val="24"/>
                <w:szCs w:val="24"/>
                <w:shd w:val="clear" w:color="auto" w:fill="FFFFFF"/>
              </w:rPr>
              <w:t xml:space="preserve">līdz 2017.gada 1.decembrim atbilstoši kompetencei </w:t>
            </w:r>
            <w:r w:rsidR="00246498">
              <w:rPr>
                <w:rFonts w:ascii="Times New Roman" w:hAnsi="Times New Roman" w:cs="Times New Roman"/>
                <w:sz w:val="24"/>
                <w:szCs w:val="24"/>
                <w:shd w:val="clear" w:color="auto" w:fill="FFFFFF"/>
              </w:rPr>
              <w:t>jā</w:t>
            </w:r>
            <w:r w:rsidR="00A41BAE" w:rsidRPr="00A41BAE">
              <w:rPr>
                <w:rFonts w:ascii="Times New Roman" w:hAnsi="Times New Roman" w:cs="Times New Roman"/>
                <w:sz w:val="24"/>
                <w:szCs w:val="24"/>
                <w:shd w:val="clear" w:color="auto" w:fill="FFFFFF"/>
              </w:rPr>
              <w:t xml:space="preserve">sagatavo un noteiktā kārtībā </w:t>
            </w:r>
            <w:r w:rsidR="00246498">
              <w:rPr>
                <w:rFonts w:ascii="Times New Roman" w:hAnsi="Times New Roman" w:cs="Times New Roman"/>
                <w:sz w:val="24"/>
                <w:szCs w:val="24"/>
                <w:shd w:val="clear" w:color="auto" w:fill="FFFFFF"/>
              </w:rPr>
              <w:t>jā</w:t>
            </w:r>
            <w:r w:rsidR="00A41BAE" w:rsidRPr="00A41BAE">
              <w:rPr>
                <w:rFonts w:ascii="Times New Roman" w:hAnsi="Times New Roman" w:cs="Times New Roman"/>
                <w:sz w:val="24"/>
                <w:szCs w:val="24"/>
                <w:shd w:val="clear" w:color="auto" w:fill="FFFFFF"/>
              </w:rPr>
              <w:t>iesnie</w:t>
            </w:r>
            <w:r w:rsidR="00246498">
              <w:rPr>
                <w:rFonts w:ascii="Times New Roman" w:hAnsi="Times New Roman" w:cs="Times New Roman"/>
                <w:sz w:val="24"/>
                <w:szCs w:val="24"/>
                <w:shd w:val="clear" w:color="auto" w:fill="FFFFFF"/>
              </w:rPr>
              <w:t>dz</w:t>
            </w:r>
            <w:r w:rsidR="00A41BAE" w:rsidRPr="00A41BAE">
              <w:rPr>
                <w:rFonts w:ascii="Times New Roman" w:hAnsi="Times New Roman" w:cs="Times New Roman"/>
                <w:sz w:val="24"/>
                <w:szCs w:val="24"/>
                <w:shd w:val="clear" w:color="auto" w:fill="FFFFFF"/>
              </w:rPr>
              <w:t xml:space="preserve"> </w:t>
            </w:r>
            <w:r w:rsidR="0089655E">
              <w:rPr>
                <w:rFonts w:ascii="Times New Roman" w:hAnsi="Times New Roman" w:cs="Times New Roman"/>
                <w:sz w:val="24"/>
                <w:szCs w:val="24"/>
                <w:shd w:val="clear" w:color="auto" w:fill="FFFFFF"/>
              </w:rPr>
              <w:t>MK</w:t>
            </w:r>
            <w:r w:rsidR="00A41BAE" w:rsidRPr="00A41BAE">
              <w:rPr>
                <w:rFonts w:ascii="Times New Roman" w:hAnsi="Times New Roman" w:cs="Times New Roman"/>
                <w:sz w:val="24"/>
                <w:szCs w:val="24"/>
                <w:shd w:val="clear" w:color="auto" w:fill="FFFFFF"/>
              </w:rPr>
              <w:t xml:space="preserve"> 2014. gada 3.jūlija Eiropas Savienības</w:t>
            </w:r>
            <w:r w:rsidR="0089655E">
              <w:rPr>
                <w:rFonts w:ascii="Times New Roman" w:hAnsi="Times New Roman" w:cs="Times New Roman"/>
                <w:sz w:val="24"/>
                <w:szCs w:val="24"/>
                <w:shd w:val="clear" w:color="auto" w:fill="FFFFFF"/>
              </w:rPr>
              <w:t xml:space="preserve"> (turpmāk - ES)</w:t>
            </w:r>
            <w:r w:rsidR="00A41BAE" w:rsidRPr="00A41BAE">
              <w:rPr>
                <w:rFonts w:ascii="Times New Roman" w:hAnsi="Times New Roman" w:cs="Times New Roman"/>
                <w:sz w:val="24"/>
                <w:szCs w:val="24"/>
                <w:shd w:val="clear" w:color="auto" w:fill="FFFFFF"/>
              </w:rPr>
              <w:t xml:space="preserve"> struktūrfondu un Kohēzijas fonda 2014.-2020.gada plānošanas perioda v</w:t>
            </w:r>
            <w:r w:rsidR="004C31E6">
              <w:rPr>
                <w:rFonts w:ascii="Times New Roman" w:hAnsi="Times New Roman" w:cs="Times New Roman"/>
                <w:sz w:val="24"/>
                <w:szCs w:val="24"/>
                <w:shd w:val="clear" w:color="auto" w:fill="FFFFFF"/>
              </w:rPr>
              <w:t>a</w:t>
            </w:r>
            <w:r w:rsidR="00A41BAE" w:rsidRPr="00A41BAE">
              <w:rPr>
                <w:rFonts w:ascii="Times New Roman" w:hAnsi="Times New Roman" w:cs="Times New Roman"/>
                <w:sz w:val="24"/>
                <w:szCs w:val="24"/>
                <w:shd w:val="clear" w:color="auto" w:fill="FFFFFF"/>
              </w:rPr>
              <w:t>dības likuma 20.panta 13. un 14.punkt</w:t>
            </w:r>
            <w:r w:rsidR="00EC4331">
              <w:rPr>
                <w:rFonts w:ascii="Times New Roman" w:hAnsi="Times New Roman" w:cs="Times New Roman"/>
                <w:sz w:val="24"/>
                <w:szCs w:val="24"/>
                <w:shd w:val="clear" w:color="auto" w:fill="FFFFFF"/>
              </w:rPr>
              <w:t>ā</w:t>
            </w:r>
            <w:r w:rsidR="00F12401">
              <w:rPr>
                <w:rFonts w:ascii="Times New Roman" w:hAnsi="Times New Roman" w:cs="Times New Roman"/>
                <w:sz w:val="24"/>
                <w:szCs w:val="24"/>
                <w:shd w:val="clear" w:color="auto" w:fill="FFFFFF"/>
              </w:rPr>
              <w:t xml:space="preserve"> minēto tiesību aktu projektus.</w:t>
            </w:r>
          </w:p>
        </w:tc>
      </w:tr>
      <w:tr w:rsidR="00CC1A56" w:rsidRPr="00AC74AE" w14:paraId="02E973A7" w14:textId="77777777" w:rsidTr="00E022DC">
        <w:trPr>
          <w:trHeight w:val="472"/>
        </w:trPr>
        <w:tc>
          <w:tcPr>
            <w:tcW w:w="224" w:type="pct"/>
          </w:tcPr>
          <w:p w14:paraId="7E4CC4EE" w14:textId="77777777" w:rsidR="00CC1A56" w:rsidRPr="00A76ADD" w:rsidRDefault="00CC1A56" w:rsidP="0089655E">
            <w:pPr>
              <w:pStyle w:val="naiskr"/>
              <w:spacing w:before="0" w:beforeAutospacing="0" w:after="0" w:afterAutospacing="0"/>
              <w:ind w:left="57" w:right="57"/>
              <w:jc w:val="center"/>
            </w:pPr>
            <w:r w:rsidRPr="00A76ADD">
              <w:t>2.</w:t>
            </w:r>
          </w:p>
        </w:tc>
        <w:tc>
          <w:tcPr>
            <w:tcW w:w="1245" w:type="pct"/>
          </w:tcPr>
          <w:p w14:paraId="622BE122" w14:textId="3C77003C" w:rsidR="00A01B7A" w:rsidRDefault="00CC1A56" w:rsidP="0089655E">
            <w:pPr>
              <w:pStyle w:val="naiskr"/>
              <w:tabs>
                <w:tab w:val="left" w:pos="170"/>
              </w:tabs>
              <w:spacing w:before="0" w:beforeAutospacing="0" w:after="0" w:afterAutospacing="0"/>
              <w:ind w:left="57" w:right="57"/>
            </w:pPr>
            <w:r w:rsidRPr="00A76ADD">
              <w:t>Pašreizējā situācija un problēmas, kuru risināšanai tiesību akta projekts izstrādāts, tiesiskā regulējuma mērķis un būtība</w:t>
            </w:r>
          </w:p>
          <w:p w14:paraId="3C50E4D3" w14:textId="77777777" w:rsidR="00CC1A56" w:rsidRPr="00A01B7A" w:rsidRDefault="00CC1A56" w:rsidP="0089655E">
            <w:pPr>
              <w:spacing w:after="0" w:line="240" w:lineRule="auto"/>
              <w:jc w:val="center"/>
              <w:rPr>
                <w:lang w:eastAsia="lv-LV"/>
              </w:rPr>
            </w:pPr>
          </w:p>
        </w:tc>
        <w:tc>
          <w:tcPr>
            <w:tcW w:w="3531" w:type="pct"/>
          </w:tcPr>
          <w:p w14:paraId="5751112A" w14:textId="29BD16C9" w:rsidR="00A60D7E" w:rsidRDefault="002665C2" w:rsidP="00797F3E">
            <w:pPr>
              <w:pStyle w:val="ListParagraph"/>
              <w:spacing w:after="0" w:line="240" w:lineRule="auto"/>
              <w:ind w:left="57" w:right="113"/>
              <w:jc w:val="both"/>
              <w:rPr>
                <w:rFonts w:ascii="Times New Roman" w:hAnsi="Times New Roman" w:cs="Times New Roman"/>
                <w:sz w:val="24"/>
                <w:szCs w:val="24"/>
              </w:rPr>
            </w:pPr>
            <w:r w:rsidRPr="00F62DFD">
              <w:rPr>
                <w:rFonts w:ascii="Times New Roman" w:hAnsi="Times New Roman" w:cs="Times New Roman"/>
                <w:sz w:val="24"/>
                <w:szCs w:val="24"/>
              </w:rPr>
              <w:t xml:space="preserve">Ar mērķi veicināt cilvēkresursu attīstību, paaugstinot darba meklētāju un bezdarbnieku konkurētspēju, spēju pielāgoties mainīgajam darba tirgus pieprasījumam un palielinot iespēju integrēties darba tirgū, šobrīd </w:t>
            </w:r>
            <w:r w:rsidR="00B20194" w:rsidRPr="00F62DFD">
              <w:rPr>
                <w:rFonts w:ascii="Times New Roman" w:hAnsi="Times New Roman" w:cs="Times New Roman"/>
                <w:sz w:val="24"/>
                <w:szCs w:val="24"/>
              </w:rPr>
              <w:t>ES</w:t>
            </w:r>
            <w:r w:rsidRPr="00F62DFD">
              <w:rPr>
                <w:rFonts w:ascii="Times New Roman" w:hAnsi="Times New Roman" w:cs="Times New Roman"/>
                <w:sz w:val="24"/>
                <w:szCs w:val="24"/>
              </w:rPr>
              <w:t xml:space="preserve"> </w:t>
            </w:r>
            <w:r w:rsidR="00797F3E" w:rsidRPr="00797F3E">
              <w:rPr>
                <w:rFonts w:ascii="Times New Roman" w:hAnsi="Times New Roman" w:cs="Times New Roman"/>
                <w:sz w:val="24"/>
                <w:szCs w:val="24"/>
              </w:rPr>
              <w:t>struktūrfondu un Kohēzijas fonda</w:t>
            </w:r>
            <w:r w:rsidRPr="00F62DFD">
              <w:rPr>
                <w:rFonts w:ascii="Times New Roman" w:hAnsi="Times New Roman" w:cs="Times New Roman"/>
                <w:sz w:val="24"/>
                <w:szCs w:val="24"/>
              </w:rPr>
              <w:t xml:space="preserve"> 2007.-2013.gada plānošanas periodā investīcijas tiek veiktas  darbības programmas “Cilvēkresursi un nodarbinātība” </w:t>
            </w:r>
            <w:hyperlink r:id="rId8" w:tgtFrame="_blank" w:history="1">
              <w:r w:rsidRPr="00F62DFD">
                <w:rPr>
                  <w:rFonts w:ascii="Times New Roman" w:hAnsi="Times New Roman" w:cs="Times New Roman"/>
                  <w:sz w:val="24"/>
                  <w:szCs w:val="24"/>
                </w:rPr>
                <w:t xml:space="preserve">1.3.1.1.3.apakšaktivitātes </w:t>
              </w:r>
            </w:hyperlink>
            <w:r w:rsidRPr="00F62DFD">
              <w:rPr>
                <w:rFonts w:ascii="Times New Roman" w:hAnsi="Times New Roman" w:cs="Times New Roman"/>
                <w:sz w:val="24"/>
                <w:szCs w:val="24"/>
              </w:rPr>
              <w:t xml:space="preserve">“Bezdarbnieku un darba meklētāju apmācība” ietvaros. </w:t>
            </w:r>
          </w:p>
          <w:p w14:paraId="612EE9CF" w14:textId="72241387" w:rsidR="00A60D7E" w:rsidRPr="009B5667" w:rsidRDefault="00D95FDE" w:rsidP="00D74F83">
            <w:pPr>
              <w:pStyle w:val="ListParagraph"/>
              <w:spacing w:after="0" w:line="240" w:lineRule="auto"/>
              <w:ind w:left="57" w:right="113"/>
              <w:jc w:val="both"/>
              <w:rPr>
                <w:rFonts w:ascii="Times New Roman" w:hAnsi="Times New Roman" w:cs="Times New Roman"/>
                <w:sz w:val="24"/>
                <w:szCs w:val="24"/>
              </w:rPr>
            </w:pPr>
            <w:r w:rsidRPr="009B5667">
              <w:rPr>
                <w:rFonts w:ascii="Times New Roman" w:hAnsi="Times New Roman" w:cs="Times New Roman"/>
                <w:sz w:val="24"/>
                <w:szCs w:val="24"/>
              </w:rPr>
              <w:t>Pamatojoties uz Nodarbinātības valsts aģentūras</w:t>
            </w:r>
            <w:r w:rsidR="00883BC7" w:rsidRPr="009B5667">
              <w:rPr>
                <w:rFonts w:ascii="Times New Roman" w:hAnsi="Times New Roman" w:cs="Times New Roman"/>
                <w:sz w:val="24"/>
                <w:szCs w:val="24"/>
              </w:rPr>
              <w:t xml:space="preserve"> (turpmāk - NVA)</w:t>
            </w:r>
            <w:r w:rsidRPr="009B5667">
              <w:rPr>
                <w:rFonts w:ascii="Times New Roman" w:hAnsi="Times New Roman" w:cs="Times New Roman"/>
                <w:sz w:val="24"/>
                <w:szCs w:val="24"/>
              </w:rPr>
              <w:t xml:space="preserve"> datiem par a</w:t>
            </w:r>
            <w:r w:rsidR="00D74F83" w:rsidRPr="009B5667">
              <w:rPr>
                <w:rFonts w:ascii="Times New Roman" w:hAnsi="Times New Roman" w:cs="Times New Roman"/>
                <w:sz w:val="24"/>
                <w:szCs w:val="24"/>
              </w:rPr>
              <w:t xml:space="preserve">izņemto darba vietu </w:t>
            </w:r>
            <w:r w:rsidRPr="009B5667">
              <w:rPr>
                <w:rFonts w:ascii="Times New Roman" w:hAnsi="Times New Roman" w:cs="Times New Roman"/>
                <w:sz w:val="24"/>
                <w:szCs w:val="24"/>
              </w:rPr>
              <w:t>statistiku</w:t>
            </w:r>
            <w:r w:rsidR="00F97AE4" w:rsidRPr="009B5667">
              <w:rPr>
                <w:rFonts w:ascii="Times New Roman" w:hAnsi="Times New Roman" w:cs="Times New Roman"/>
                <w:sz w:val="24"/>
                <w:szCs w:val="24"/>
              </w:rPr>
              <w:t>, kā arī</w:t>
            </w:r>
            <w:r w:rsidR="00D74F83" w:rsidRPr="009B5667">
              <w:rPr>
                <w:rFonts w:ascii="Times New Roman" w:hAnsi="Times New Roman" w:cs="Times New Roman"/>
                <w:sz w:val="24"/>
                <w:szCs w:val="24"/>
              </w:rPr>
              <w:t xml:space="preserve"> </w:t>
            </w:r>
            <w:r w:rsidR="00883BC7" w:rsidRPr="009B5667">
              <w:rPr>
                <w:rFonts w:ascii="Times New Roman" w:hAnsi="Times New Roman" w:cs="Times New Roman"/>
                <w:sz w:val="24"/>
                <w:szCs w:val="24"/>
              </w:rPr>
              <w:t>NVA</w:t>
            </w:r>
            <w:r w:rsidR="00D74F83" w:rsidRPr="009B5667">
              <w:rPr>
                <w:rFonts w:ascii="Times New Roman" w:hAnsi="Times New Roman" w:cs="Times New Roman"/>
                <w:sz w:val="24"/>
                <w:szCs w:val="24"/>
              </w:rPr>
              <w:t xml:space="preserve"> </w:t>
            </w:r>
            <w:r w:rsidR="00F97AE4" w:rsidRPr="009B5667">
              <w:rPr>
                <w:rFonts w:ascii="Times New Roman" w:hAnsi="Times New Roman" w:cs="Times New Roman"/>
                <w:sz w:val="24"/>
                <w:szCs w:val="24"/>
              </w:rPr>
              <w:t>regulāri veiktajām</w:t>
            </w:r>
            <w:r w:rsidR="00D74F83" w:rsidRPr="009B5667">
              <w:rPr>
                <w:rFonts w:ascii="Times New Roman" w:hAnsi="Times New Roman" w:cs="Times New Roman"/>
                <w:sz w:val="24"/>
                <w:szCs w:val="24"/>
              </w:rPr>
              <w:t xml:space="preserve"> darba devēju aptauj</w:t>
            </w:r>
            <w:r w:rsidR="00F97AE4" w:rsidRPr="009B5667">
              <w:rPr>
                <w:rFonts w:ascii="Times New Roman" w:hAnsi="Times New Roman" w:cs="Times New Roman"/>
                <w:sz w:val="24"/>
                <w:szCs w:val="24"/>
              </w:rPr>
              <w:t>ām</w:t>
            </w:r>
            <w:r w:rsidR="00D74F83" w:rsidRPr="009B5667">
              <w:rPr>
                <w:rFonts w:ascii="Times New Roman" w:hAnsi="Times New Roman" w:cs="Times New Roman"/>
                <w:sz w:val="24"/>
                <w:szCs w:val="24"/>
              </w:rPr>
              <w:t xml:space="preserve"> (</w:t>
            </w:r>
            <w:hyperlink r:id="rId9" w:history="1">
              <w:r w:rsidR="00F97AE4" w:rsidRPr="009B5667">
                <w:rPr>
                  <w:rFonts w:ascii="Times New Roman" w:hAnsi="Times New Roman" w:cs="Times New Roman"/>
                </w:rPr>
                <w:t>http://www.nva.gov.lv/index.php?cid=6&amp;mid=95</w:t>
              </w:r>
            </w:hyperlink>
            <w:r w:rsidR="00D74F83" w:rsidRPr="009B5667">
              <w:rPr>
                <w:rFonts w:ascii="Times New Roman" w:hAnsi="Times New Roman" w:cs="Times New Roman"/>
                <w:sz w:val="24"/>
                <w:szCs w:val="24"/>
              </w:rPr>
              <w:t>)</w:t>
            </w:r>
            <w:r w:rsidR="00F97AE4" w:rsidRPr="009B5667">
              <w:rPr>
                <w:rFonts w:ascii="Times New Roman" w:hAnsi="Times New Roman" w:cs="Times New Roman"/>
                <w:sz w:val="24"/>
                <w:szCs w:val="24"/>
              </w:rPr>
              <w:t>, var secināt</w:t>
            </w:r>
            <w:r w:rsidR="00D74F83" w:rsidRPr="009B5667">
              <w:rPr>
                <w:rFonts w:ascii="Times New Roman" w:hAnsi="Times New Roman" w:cs="Times New Roman"/>
                <w:sz w:val="24"/>
                <w:szCs w:val="24"/>
              </w:rPr>
              <w:t>, ka darba tirgū lielākais pieprasījums ir vidējās un augstākās kvalifikācijas profesiju pamatgrupās – speciālisti, vecākie speciālisti un pakalpojumu un tirdzniecības darbinieki, kuru pienākumu veikšanai pārsvarā ir nepieciešams augstāks izglītības līmenis nekā vidējā izglītība, bet visvairāk bezdarbnieku iepriekš ir bijuši nodarbināti vienkāršās profesijās, kur izglītības līmenim nav noteicoša nozīme</w:t>
            </w:r>
            <w:r w:rsidR="005F0DF3" w:rsidRPr="009B5667">
              <w:rPr>
                <w:rFonts w:ascii="Times New Roman" w:hAnsi="Times New Roman" w:cs="Times New Roman"/>
                <w:sz w:val="24"/>
                <w:szCs w:val="24"/>
              </w:rPr>
              <w:t>. Ga</w:t>
            </w:r>
            <w:r w:rsidR="00D74F83" w:rsidRPr="009B5667">
              <w:rPr>
                <w:rFonts w:ascii="Times New Roman" w:hAnsi="Times New Roman" w:cs="Times New Roman"/>
                <w:sz w:val="24"/>
                <w:szCs w:val="24"/>
              </w:rPr>
              <w:t>ndrīz 50% gadījumos no visiem reģistrētajiem bezdarbniekiem ir iegūts tikai vispārējās vidējās izglītības līmenis vai zemākā izglītība. Arī nākotnē ir sagaidāms, ka darba tirgū būs pieprasījums pēc augsti kvalificētiem speciālistiem</w:t>
            </w:r>
            <w:r w:rsidR="00A60D7E" w:rsidRPr="009B5667">
              <w:rPr>
                <w:rFonts w:ascii="Times New Roman" w:hAnsi="Times New Roman" w:cs="Times New Roman"/>
                <w:sz w:val="24"/>
                <w:szCs w:val="24"/>
              </w:rPr>
              <w:t>, līdz ar to tiem cilvēki</w:t>
            </w:r>
            <w:r w:rsidR="00D74F83" w:rsidRPr="009B5667">
              <w:rPr>
                <w:rFonts w:ascii="Times New Roman" w:hAnsi="Times New Roman" w:cs="Times New Roman"/>
                <w:sz w:val="24"/>
                <w:szCs w:val="24"/>
              </w:rPr>
              <w:t>em, kuri zaudē</w:t>
            </w:r>
            <w:r w:rsidR="00A60D7E" w:rsidRPr="009B5667">
              <w:rPr>
                <w:rFonts w:ascii="Times New Roman" w:hAnsi="Times New Roman" w:cs="Times New Roman"/>
                <w:sz w:val="24"/>
                <w:szCs w:val="24"/>
              </w:rPr>
              <w:t xml:space="preserve"> darbu un kuru zināšanu un iegūtās kvalifikācijas līmenis </w:t>
            </w:r>
            <w:r w:rsidR="00D74F83" w:rsidRPr="009B5667">
              <w:rPr>
                <w:rFonts w:ascii="Times New Roman" w:hAnsi="Times New Roman" w:cs="Times New Roman"/>
                <w:sz w:val="24"/>
                <w:szCs w:val="24"/>
              </w:rPr>
              <w:t>nav</w:t>
            </w:r>
            <w:r w:rsidR="00A60D7E" w:rsidRPr="009B5667">
              <w:rPr>
                <w:rFonts w:ascii="Times New Roman" w:hAnsi="Times New Roman" w:cs="Times New Roman"/>
                <w:sz w:val="24"/>
                <w:szCs w:val="24"/>
              </w:rPr>
              <w:t xml:space="preserve"> atbilstošs darba tirgus vajadzībām, </w:t>
            </w:r>
            <w:r w:rsidR="00D74F83" w:rsidRPr="009B5667">
              <w:rPr>
                <w:rFonts w:ascii="Times New Roman" w:hAnsi="Times New Roman" w:cs="Times New Roman"/>
                <w:sz w:val="24"/>
                <w:szCs w:val="24"/>
              </w:rPr>
              <w:t>ir</w:t>
            </w:r>
            <w:r w:rsidR="00A60D7E" w:rsidRPr="009B5667">
              <w:rPr>
                <w:rFonts w:ascii="Times New Roman" w:hAnsi="Times New Roman" w:cs="Times New Roman"/>
                <w:sz w:val="24"/>
                <w:szCs w:val="24"/>
              </w:rPr>
              <w:t xml:space="preserve"> grūti atrast darbu. Gadījumā, ja šiem cilvēkiem netiks sniegts atbalsts vajadzīgas kvalifikācijas un prasmju iegūšanai, viņi ilgstoši nevarēs atrast darbu un paliks bez iztikas līdzekļiem – rezultātā pieaugs slogs pašvaldībām un valstij, jo šiem cilvēkiem būs jānodrošina minimāli iztikas līdzekļi un arī cits atbalsts, kas nepieciešams, lai cilvēki varētu nodrošināt savas minimālās ikdienas vajadzības. Kā liecina Pasaules Bankas veiktie pētījumi, ilgtermiņa ieguldījumi nabadzīgāko iedzīvotāju uzturlīdzekļu nodrošināšanai ievērojami pārsniedz tos ieguldījumus, kas tiek veikti īstermiņā cilvēka kvalifikācijas celšanai un atbalstam </w:t>
            </w:r>
            <w:r w:rsidR="00A60D7E" w:rsidRPr="009B5667">
              <w:rPr>
                <w:rFonts w:ascii="Times New Roman" w:hAnsi="Times New Roman" w:cs="Times New Roman"/>
                <w:sz w:val="24"/>
                <w:szCs w:val="24"/>
              </w:rPr>
              <w:lastRenderedPageBreak/>
              <w:t>darba meklēšanā. Līdz ar to ieguldījumi apmācību pasākumos tiek uzskatīti par vienu no prioritārajiem investīciju virzieniem arī turpmāk, jo tādējādi tiek uzlabota darbaspēka un uzņēmumu saimnieciskās darbības konkurētspēja, kas labvēlīgi ietekmē makroekonomisko rādītājus – darba ražīgumu un valsts konkurētspēju globālajos tirgos.</w:t>
            </w:r>
          </w:p>
          <w:p w14:paraId="754F39A2" w14:textId="52647E36" w:rsidR="00B20194" w:rsidRPr="00F62DFD" w:rsidRDefault="002665C2" w:rsidP="00797F3E">
            <w:pPr>
              <w:pStyle w:val="ListParagraph"/>
              <w:spacing w:after="0" w:line="240" w:lineRule="auto"/>
              <w:ind w:left="57" w:right="113"/>
              <w:jc w:val="both"/>
              <w:rPr>
                <w:rFonts w:ascii="Times New Roman" w:hAnsi="Times New Roman" w:cs="Times New Roman"/>
                <w:sz w:val="24"/>
                <w:szCs w:val="24"/>
              </w:rPr>
            </w:pPr>
            <w:r w:rsidRPr="00F62DFD">
              <w:rPr>
                <w:rFonts w:ascii="Times New Roman" w:hAnsi="Times New Roman" w:cs="Times New Roman"/>
                <w:sz w:val="24"/>
                <w:szCs w:val="24"/>
              </w:rPr>
              <w:t>L</w:t>
            </w:r>
            <w:r w:rsidR="00A60D7E">
              <w:rPr>
                <w:rFonts w:ascii="Times New Roman" w:hAnsi="Times New Roman" w:cs="Times New Roman"/>
                <w:sz w:val="24"/>
                <w:szCs w:val="24"/>
              </w:rPr>
              <w:t>īdz ar to, l</w:t>
            </w:r>
            <w:r w:rsidRPr="00F62DFD">
              <w:rPr>
                <w:rFonts w:ascii="Times New Roman" w:hAnsi="Times New Roman" w:cs="Times New Roman"/>
                <w:sz w:val="24"/>
                <w:szCs w:val="24"/>
              </w:rPr>
              <w:t xml:space="preserve">ai nodrošinātu arī turpmāk atbalstu bezdarbniekiem un darba meklētājiem, DP paredz īstenot 7.1.1.specifisko atbalsta mērķi “Paaugstināt bezdarbnieku kvalifikāciju un prasmes atbilstoši darba tirgus pieprasījumam” (turpmāk - SAM). </w:t>
            </w:r>
            <w:r w:rsidR="00F62DFD" w:rsidRPr="00F62DFD">
              <w:rPr>
                <w:rFonts w:ascii="Times New Roman" w:hAnsi="Times New Roman" w:cs="Times New Roman"/>
                <w:sz w:val="24"/>
                <w:szCs w:val="24"/>
              </w:rPr>
              <w:t xml:space="preserve">Tomēr, lai pilnveidotu atbalsta sniegšanu, ir plānots veikt šādas </w:t>
            </w:r>
            <w:r w:rsidR="00883BC7">
              <w:rPr>
                <w:rFonts w:ascii="Times New Roman" w:hAnsi="Times New Roman" w:cs="Times New Roman"/>
                <w:sz w:val="24"/>
                <w:szCs w:val="24"/>
              </w:rPr>
              <w:t xml:space="preserve">būtiskākās </w:t>
            </w:r>
            <w:r w:rsidR="00F62DFD" w:rsidRPr="00F62DFD">
              <w:rPr>
                <w:rFonts w:ascii="Times New Roman" w:hAnsi="Times New Roman" w:cs="Times New Roman"/>
                <w:sz w:val="24"/>
                <w:szCs w:val="24"/>
              </w:rPr>
              <w:t>izmaiņas pasākumu organizēšanas kārtībā:</w:t>
            </w:r>
          </w:p>
          <w:p w14:paraId="2880B5B7" w14:textId="3716BF0E" w:rsidR="00F62DFD" w:rsidRPr="00F62DFD" w:rsidRDefault="00F62DFD" w:rsidP="00797F3E">
            <w:pPr>
              <w:pStyle w:val="ListParagraph"/>
              <w:spacing w:after="0" w:line="240" w:lineRule="auto"/>
              <w:ind w:left="57" w:right="113"/>
              <w:jc w:val="both"/>
              <w:rPr>
                <w:rFonts w:ascii="Times New Roman" w:hAnsi="Times New Roman" w:cs="Times New Roman"/>
                <w:sz w:val="24"/>
                <w:szCs w:val="24"/>
              </w:rPr>
            </w:pPr>
            <w:r w:rsidRPr="00F62DFD">
              <w:rPr>
                <w:rFonts w:ascii="Times New Roman" w:hAnsi="Times New Roman" w:cs="Times New Roman"/>
                <w:sz w:val="24"/>
                <w:szCs w:val="24"/>
              </w:rPr>
              <w:t xml:space="preserve">- ES </w:t>
            </w:r>
            <w:r w:rsidR="00797F3E" w:rsidRPr="00797F3E">
              <w:rPr>
                <w:rFonts w:ascii="Times New Roman" w:hAnsi="Times New Roman" w:cs="Times New Roman"/>
                <w:sz w:val="24"/>
                <w:szCs w:val="24"/>
              </w:rPr>
              <w:t>struktūrfondu un Kohēzijas fonda</w:t>
            </w:r>
            <w:r w:rsidRPr="00F62DFD">
              <w:rPr>
                <w:rFonts w:ascii="Times New Roman" w:hAnsi="Times New Roman" w:cs="Times New Roman"/>
                <w:sz w:val="24"/>
                <w:szCs w:val="24"/>
              </w:rPr>
              <w:t xml:space="preserve"> 2014. – 2020.gadam plānošanas periodā plānots piemērot tādus bezdarbnieku apmācības organizēšanas nosacījumus, kas pieļautu iespēju neorganizēt publiskā iepirkuma procedūru. Līdz ar to tiek plānots 2011.gada 25.janvāra </w:t>
            </w:r>
            <w:r w:rsidR="00797F3E">
              <w:rPr>
                <w:rFonts w:ascii="Times New Roman" w:hAnsi="Times New Roman" w:cs="Times New Roman"/>
                <w:sz w:val="24"/>
                <w:szCs w:val="24"/>
              </w:rPr>
              <w:t>MK</w:t>
            </w:r>
            <w:r w:rsidRPr="00F62DFD">
              <w:rPr>
                <w:rFonts w:ascii="Times New Roman" w:hAnsi="Times New Roman" w:cs="Times New Roman"/>
                <w:sz w:val="24"/>
                <w:szCs w:val="24"/>
              </w:rPr>
              <w:t xml:space="preserve"> noteikumos Nr.75 </w:t>
            </w:r>
            <w:r w:rsidR="00797F3E">
              <w:rPr>
                <w:rFonts w:ascii="Times New Roman" w:hAnsi="Times New Roman" w:cs="Times New Roman"/>
                <w:sz w:val="24"/>
                <w:szCs w:val="24"/>
              </w:rPr>
              <w:t>“</w:t>
            </w:r>
            <w:r w:rsidRPr="00F62DFD">
              <w:rPr>
                <w:rFonts w:ascii="Times New Roman" w:hAnsi="Times New Roman" w:cs="Times New Roman"/>
                <w:sz w:val="24"/>
                <w:szCs w:val="24"/>
              </w:rPr>
              <w:t>Noteikumi par aktīvo nodarbinātības pasākumu un preventīvo bezdarba samazināšanas pasākumu organizēšanas un finansēšanas kārtību un pasākumu īstenotāju izvēles principiem</w:t>
            </w:r>
            <w:r w:rsidR="00797F3E">
              <w:rPr>
                <w:rFonts w:ascii="Times New Roman" w:hAnsi="Times New Roman" w:cs="Times New Roman"/>
                <w:sz w:val="24"/>
                <w:szCs w:val="24"/>
              </w:rPr>
              <w:t xml:space="preserve">”” </w:t>
            </w:r>
            <w:r w:rsidR="00382F6F">
              <w:rPr>
                <w:rFonts w:ascii="Times New Roman" w:hAnsi="Times New Roman" w:cs="Times New Roman"/>
                <w:sz w:val="24"/>
                <w:szCs w:val="24"/>
              </w:rPr>
              <w:t>(turpmāk – MK noteikumi Nr.75)</w:t>
            </w:r>
            <w:r w:rsidRPr="00F62DFD">
              <w:rPr>
                <w:rFonts w:ascii="Times New Roman" w:hAnsi="Times New Roman" w:cs="Times New Roman"/>
                <w:sz w:val="24"/>
                <w:szCs w:val="24"/>
              </w:rPr>
              <w:t xml:space="preserve"> noteikt fiksētus, apmācību kuponu vērtības, t.i., algoritmu, kā veidojas kupona vērtība. Savukārt izglītības iestāžu un </w:t>
            </w:r>
            <w:r w:rsidR="00883BC7">
              <w:rPr>
                <w:rFonts w:ascii="Times New Roman" w:hAnsi="Times New Roman" w:cs="Times New Roman"/>
                <w:sz w:val="24"/>
                <w:szCs w:val="24"/>
              </w:rPr>
              <w:t>NVA</w:t>
            </w:r>
            <w:r w:rsidRPr="00F62DFD">
              <w:rPr>
                <w:rFonts w:ascii="Times New Roman" w:hAnsi="Times New Roman" w:cs="Times New Roman"/>
                <w:sz w:val="24"/>
                <w:szCs w:val="24"/>
              </w:rPr>
              <w:t xml:space="preserve"> savstarpējās tiesības un pienākumus apmācību organizēšanā un īstenošanā plānots atrunāt MK noteikumos Nr.75, kas rada priekšnoteikumu līgumu slēgšanas atcelšanai starp NVA un izglītības iestādēm. Tādējādi tiks mazināts laiks, kas bezdarbniekam jāgaida rindā pirms iesaistes apmācībās, savukārt NVA darbiniekiem atbrīvosies resursi, lai efektīvāk sadarbotos ar izglītības iestādēm, labāk virzītu bezdarbnieku plūsmu un pastiprināti uzraudzīt apmācību pasākumu īstenošanu</w:t>
            </w:r>
            <w:r w:rsidR="00382F6F">
              <w:rPr>
                <w:rFonts w:ascii="Times New Roman" w:hAnsi="Times New Roman" w:cs="Times New Roman"/>
                <w:sz w:val="24"/>
                <w:szCs w:val="24"/>
              </w:rPr>
              <w:t xml:space="preserve">. </w:t>
            </w:r>
            <w:r w:rsidR="00382F6F" w:rsidRPr="00382F6F">
              <w:rPr>
                <w:rFonts w:ascii="Times New Roman" w:hAnsi="Times New Roman" w:cs="Times New Roman"/>
                <w:sz w:val="24"/>
                <w:szCs w:val="24"/>
              </w:rPr>
              <w:t>Vienlaikus jāatzīmē, ka jaunā perioda projekta īstenošana, iespējams, tiks uzsākta atbilstoši šī brīža spēkā esošajiem apmācību pakalpojumu organizēšanas nosacījumiem, kas noteikti MK noteikumos Nr.75 (t.i., īstenojot iepirkumu izglītības iestādes izvēlei). Tas pamatojams ar to, ka jaunā regulējuma izstrāde prasa papildu analīzi un konsultācijas ar saistītajām institūcijām, un tas ir jāveido maksimāli skaidrs un precīzs</w:t>
            </w:r>
            <w:r w:rsidRPr="00F62DFD">
              <w:rPr>
                <w:rFonts w:ascii="Times New Roman" w:hAnsi="Times New Roman" w:cs="Times New Roman"/>
                <w:sz w:val="24"/>
                <w:szCs w:val="24"/>
              </w:rPr>
              <w:t>;</w:t>
            </w:r>
          </w:p>
          <w:p w14:paraId="7600932D" w14:textId="7D383A14" w:rsidR="00F62DFD" w:rsidRPr="00F62DFD" w:rsidRDefault="00F62DFD" w:rsidP="00797F3E">
            <w:pPr>
              <w:pStyle w:val="ListParagraph"/>
              <w:spacing w:after="0" w:line="240" w:lineRule="auto"/>
              <w:ind w:left="57" w:right="113"/>
              <w:jc w:val="both"/>
              <w:rPr>
                <w:rFonts w:ascii="Times New Roman" w:hAnsi="Times New Roman" w:cs="Times New Roman"/>
                <w:sz w:val="24"/>
                <w:szCs w:val="24"/>
              </w:rPr>
            </w:pPr>
            <w:r w:rsidRPr="00F62DFD">
              <w:rPr>
                <w:rFonts w:ascii="Times New Roman" w:hAnsi="Times New Roman" w:cs="Times New Roman"/>
                <w:sz w:val="24"/>
                <w:szCs w:val="24"/>
              </w:rPr>
              <w:t>- attīstīt e-apmācības un elastīgas apmācību formas, tādējādi uzlabojot arī piekļuvi apmācību pasākumiem bezdarbniekiem un darba meklētājiem ar ierobežotajām pārvietošanās iespējām un nelabvēlīgākajā situācijā esošajiem bezdarbniekiem un darba meklētajiem;</w:t>
            </w:r>
          </w:p>
          <w:p w14:paraId="1E1AD3CE" w14:textId="6D1EC344" w:rsidR="00F62DFD" w:rsidRDefault="00F62DFD" w:rsidP="00797F3E">
            <w:pPr>
              <w:pStyle w:val="ListParagraph"/>
              <w:spacing w:after="0" w:line="240" w:lineRule="auto"/>
              <w:ind w:left="57" w:right="113"/>
              <w:jc w:val="both"/>
              <w:rPr>
                <w:rFonts w:ascii="Times New Roman" w:hAnsi="Times New Roman" w:cs="Times New Roman"/>
                <w:sz w:val="24"/>
                <w:szCs w:val="24"/>
              </w:rPr>
            </w:pPr>
            <w:r w:rsidRPr="00F62DFD">
              <w:rPr>
                <w:rFonts w:ascii="Times New Roman" w:hAnsi="Times New Roman" w:cs="Times New Roman"/>
                <w:sz w:val="24"/>
                <w:szCs w:val="24"/>
              </w:rPr>
              <w:t xml:space="preserve">- apmācību pasākumos </w:t>
            </w:r>
            <w:r w:rsidR="00797F3E">
              <w:rPr>
                <w:rFonts w:ascii="Times New Roman" w:hAnsi="Times New Roman" w:cs="Times New Roman"/>
                <w:sz w:val="24"/>
                <w:szCs w:val="24"/>
              </w:rPr>
              <w:t>ieviest</w:t>
            </w:r>
            <w:r w:rsidRPr="00F62DFD">
              <w:rPr>
                <w:rFonts w:ascii="Times New Roman" w:hAnsi="Times New Roman" w:cs="Times New Roman"/>
                <w:sz w:val="24"/>
                <w:szCs w:val="24"/>
              </w:rPr>
              <w:t xml:space="preserve"> atbalst</w:t>
            </w:r>
            <w:r w:rsidR="00797F3E">
              <w:rPr>
                <w:rFonts w:ascii="Times New Roman" w:hAnsi="Times New Roman" w:cs="Times New Roman"/>
                <w:sz w:val="24"/>
                <w:szCs w:val="24"/>
              </w:rPr>
              <w:t>u</w:t>
            </w:r>
            <w:r w:rsidRPr="00F62DFD">
              <w:rPr>
                <w:rFonts w:ascii="Times New Roman" w:hAnsi="Times New Roman" w:cs="Times New Roman"/>
                <w:sz w:val="24"/>
                <w:szCs w:val="24"/>
              </w:rPr>
              <w:t xml:space="preserve"> reģionālajai mobilitātei, lai veicinātu klientu mobilitāti un iespēju sasniegt apmācību vietas.</w:t>
            </w:r>
          </w:p>
          <w:p w14:paraId="0D3956D8" w14:textId="53591AD3" w:rsidR="00536377" w:rsidRPr="00FE75DC" w:rsidRDefault="000541C9" w:rsidP="00FE75DC">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SAM ietvaros plānots realizēt </w:t>
            </w:r>
            <w:r w:rsidRPr="000541C9">
              <w:rPr>
                <w:rFonts w:ascii="Times New Roman" w:hAnsi="Times New Roman" w:cs="Times New Roman"/>
                <w:sz w:val="24"/>
                <w:szCs w:val="24"/>
              </w:rPr>
              <w:t xml:space="preserve">šobrīd ES struktūrfondu un Kohēzijas fonda 2007.-2013.gada plānošanas periodā </w:t>
            </w:r>
            <w:r>
              <w:rPr>
                <w:rFonts w:ascii="Times New Roman" w:hAnsi="Times New Roman" w:cs="Times New Roman"/>
                <w:sz w:val="24"/>
                <w:szCs w:val="24"/>
              </w:rPr>
              <w:t xml:space="preserve">darbības programmas  “Cilvēkresursi un nodarbinātība” </w:t>
            </w:r>
            <w:r w:rsidRPr="000541C9">
              <w:rPr>
                <w:rFonts w:ascii="Times New Roman" w:hAnsi="Times New Roman" w:cs="Times New Roman"/>
                <w:sz w:val="24"/>
                <w:szCs w:val="24"/>
              </w:rPr>
              <w:t>1.3.1.1.3.apakšaktivitātes „Bezdarbnieku un darba meklētāju apmācība” otrās kārtas ietvaros</w:t>
            </w:r>
            <w:r>
              <w:rPr>
                <w:rFonts w:ascii="Times New Roman" w:hAnsi="Times New Roman" w:cs="Times New Roman"/>
                <w:sz w:val="24"/>
                <w:szCs w:val="24"/>
              </w:rPr>
              <w:t xml:space="preserve"> īstenotā izmēģinājumprojekta</w:t>
            </w:r>
            <w:r w:rsidRPr="000541C9">
              <w:rPr>
                <w:rFonts w:ascii="Times New Roman" w:hAnsi="Times New Roman" w:cs="Times New Roman"/>
                <w:sz w:val="24"/>
                <w:szCs w:val="24"/>
              </w:rPr>
              <w:t xml:space="preserve"> </w:t>
            </w:r>
            <w:r>
              <w:rPr>
                <w:rFonts w:ascii="Times New Roman" w:hAnsi="Times New Roman" w:cs="Times New Roman"/>
                <w:sz w:val="24"/>
                <w:szCs w:val="24"/>
              </w:rPr>
              <w:t xml:space="preserve">2.kārtu. </w:t>
            </w:r>
            <w:r w:rsidRPr="000541C9">
              <w:rPr>
                <w:rFonts w:ascii="Times New Roman" w:hAnsi="Times New Roman" w:cs="Times New Roman"/>
                <w:bCs/>
                <w:iCs/>
                <w:sz w:val="24"/>
                <w:szCs w:val="24"/>
              </w:rPr>
              <w:t xml:space="preserve">2014.gada 15.decembrī programmu apguvi pabeigs pēdējā </w:t>
            </w:r>
            <w:r w:rsidR="00301CB2">
              <w:rPr>
                <w:rFonts w:ascii="Times New Roman" w:hAnsi="Times New Roman" w:cs="Times New Roman"/>
                <w:bCs/>
                <w:iCs/>
                <w:sz w:val="24"/>
                <w:szCs w:val="24"/>
              </w:rPr>
              <w:t>i</w:t>
            </w:r>
            <w:r w:rsidRPr="000541C9">
              <w:rPr>
                <w:rFonts w:ascii="Times New Roman" w:hAnsi="Times New Roman" w:cs="Times New Roman"/>
                <w:bCs/>
                <w:iCs/>
                <w:sz w:val="24"/>
                <w:szCs w:val="24"/>
              </w:rPr>
              <w:t xml:space="preserve">zmēģinājumprojekta </w:t>
            </w:r>
            <w:r w:rsidR="00FE75DC">
              <w:rPr>
                <w:rFonts w:ascii="Times New Roman" w:hAnsi="Times New Roman" w:cs="Times New Roman"/>
                <w:sz w:val="24"/>
                <w:szCs w:val="24"/>
              </w:rPr>
              <w:t>“</w:t>
            </w:r>
            <w:r w:rsidRPr="000541C9">
              <w:rPr>
                <w:rFonts w:ascii="Times New Roman" w:hAnsi="Times New Roman" w:cs="Times New Roman"/>
                <w:sz w:val="24"/>
                <w:szCs w:val="24"/>
              </w:rPr>
              <w:t>Profesionālās tālākizglītības programmu īstenošana bezdarbniekiem valsts vai pašvaldību dibinātās izglītības iestādēs”</w:t>
            </w:r>
            <w:r>
              <w:rPr>
                <w:rFonts w:ascii="Times New Roman" w:hAnsi="Times New Roman" w:cs="Times New Roman"/>
                <w:sz w:val="24"/>
                <w:szCs w:val="24"/>
              </w:rPr>
              <w:t xml:space="preserve"> </w:t>
            </w:r>
            <w:r>
              <w:rPr>
                <w:rFonts w:ascii="Times New Roman" w:hAnsi="Times New Roman" w:cs="Times New Roman"/>
                <w:sz w:val="24"/>
                <w:szCs w:val="24"/>
              </w:rPr>
              <w:lastRenderedPageBreak/>
              <w:t>(izmēģinājumprojekta 1.kārta)</w:t>
            </w:r>
            <w:r w:rsidRPr="000541C9">
              <w:rPr>
                <w:rFonts w:ascii="Times New Roman" w:hAnsi="Times New Roman" w:cs="Times New Roman"/>
                <w:bCs/>
                <w:iCs/>
                <w:sz w:val="24"/>
                <w:szCs w:val="24"/>
              </w:rPr>
              <w:t xml:space="preserve"> bezdarbnieku grupa. </w:t>
            </w:r>
            <w:r w:rsidRPr="000541C9">
              <w:rPr>
                <w:rFonts w:ascii="Times New Roman" w:hAnsi="Times New Roman" w:cs="Times New Roman"/>
                <w:sz w:val="24"/>
                <w:szCs w:val="24"/>
              </w:rPr>
              <w:t xml:space="preserve">Izmēģinājumprojekts tika organizēts šādās izglītības iestādēs: Rīgas 3.arodskolā, Sociālās integrācijas valsts aģentūras (SIVA) Jūrmalas profesionālajā vidusskolā, Jelgavas Amatu vidusskolā, Profesionālās izglītības kompetences centrā (PIKC) „Kandavas Valsts lauksaimniecības tehnikums” un Saldus Profesionālajā vidusskolā. Atbilstoši pilotprojekta izvērtējumam, 2015.gada 1.ceturknsī plānots uzsākt minētā </w:t>
            </w:r>
            <w:r>
              <w:rPr>
                <w:rFonts w:ascii="Times New Roman" w:hAnsi="Times New Roman" w:cs="Times New Roman"/>
                <w:sz w:val="24"/>
                <w:szCs w:val="24"/>
              </w:rPr>
              <w:t>izmēģinājumprojekta</w:t>
            </w:r>
            <w:r w:rsidRPr="000541C9">
              <w:rPr>
                <w:rFonts w:ascii="Times New Roman" w:hAnsi="Times New Roman" w:cs="Times New Roman"/>
                <w:sz w:val="24"/>
                <w:szCs w:val="24"/>
              </w:rPr>
              <w:t xml:space="preserve"> 2.kārtu, iesaistot 200 bezdarbniekus profesionālās izglītības kompetences centru (PIKC) organizētajās apmācībās. Izmēģinājumprojekta 2.kārtā ir </w:t>
            </w:r>
            <w:r w:rsidR="00301CB2">
              <w:rPr>
                <w:rFonts w:ascii="Times New Roman" w:hAnsi="Times New Roman" w:cs="Times New Roman"/>
                <w:sz w:val="24"/>
                <w:szCs w:val="24"/>
              </w:rPr>
              <w:t>plānots</w:t>
            </w:r>
            <w:r w:rsidRPr="000541C9">
              <w:rPr>
                <w:rFonts w:ascii="Times New Roman" w:hAnsi="Times New Roman" w:cs="Times New Roman"/>
                <w:sz w:val="24"/>
                <w:szCs w:val="24"/>
              </w:rPr>
              <w:t xml:space="preserve"> iesaistīt bezdarbniekus, kuri vairāk </w:t>
            </w:r>
            <w:r w:rsidR="00301CB2">
              <w:rPr>
                <w:rFonts w:ascii="Times New Roman" w:hAnsi="Times New Roman" w:cs="Times New Roman"/>
                <w:sz w:val="24"/>
                <w:szCs w:val="24"/>
              </w:rPr>
              <w:t xml:space="preserve">ir </w:t>
            </w:r>
            <w:r w:rsidRPr="000541C9">
              <w:rPr>
                <w:rFonts w:ascii="Times New Roman" w:hAnsi="Times New Roman" w:cs="Times New Roman"/>
                <w:sz w:val="24"/>
                <w:szCs w:val="24"/>
              </w:rPr>
              <w:t>pakļauti kādam no sociālās atstumtības riskiem, piemēram, ilgstošos bezdarbniekus un bezdarbniekus vecumā virs 45 gadiem, kuriem darba tirgū būs jāuzturas vēl samērā ilgi, bet vienlaikus ir paaugstināts ilgstošā bezdarba ris</w:t>
            </w:r>
            <w:r>
              <w:rPr>
                <w:rFonts w:ascii="Times New Roman" w:hAnsi="Times New Roman" w:cs="Times New Roman"/>
                <w:sz w:val="24"/>
                <w:szCs w:val="24"/>
              </w:rPr>
              <w:t xml:space="preserve">ks. </w:t>
            </w:r>
          </w:p>
          <w:p w14:paraId="691E6701" w14:textId="10917AA6" w:rsidR="00B20194" w:rsidRPr="00F62DFD" w:rsidRDefault="00F62DFD" w:rsidP="00797F3E">
            <w:pPr>
              <w:pStyle w:val="ListParagraph"/>
              <w:spacing w:after="0" w:line="240" w:lineRule="auto"/>
              <w:ind w:left="57" w:right="113"/>
              <w:jc w:val="both"/>
              <w:rPr>
                <w:rFonts w:ascii="Times New Roman" w:hAnsi="Times New Roman" w:cs="Times New Roman"/>
                <w:sz w:val="24"/>
                <w:szCs w:val="24"/>
              </w:rPr>
            </w:pPr>
            <w:r w:rsidRPr="009B5667">
              <w:rPr>
                <w:rFonts w:ascii="Times New Roman" w:hAnsi="Times New Roman" w:cs="Times New Roman"/>
                <w:sz w:val="24"/>
                <w:szCs w:val="24"/>
              </w:rPr>
              <w:t xml:space="preserve">Kopumā </w:t>
            </w:r>
            <w:r w:rsidR="002665C2" w:rsidRPr="009B5667">
              <w:rPr>
                <w:rFonts w:ascii="Times New Roman" w:hAnsi="Times New Roman" w:cs="Times New Roman"/>
                <w:sz w:val="24"/>
                <w:szCs w:val="24"/>
              </w:rPr>
              <w:t xml:space="preserve">SAM mērķis ir </w:t>
            </w:r>
            <w:r w:rsidR="002665C2" w:rsidRPr="00AC74AE">
              <w:rPr>
                <w:rFonts w:ascii="Times New Roman" w:hAnsi="Times New Roman" w:cs="Times New Roman"/>
                <w:sz w:val="24"/>
                <w:szCs w:val="24"/>
              </w:rPr>
              <w:t>veicin</w:t>
            </w:r>
            <w:r w:rsidR="002665C2">
              <w:rPr>
                <w:rFonts w:ascii="Times New Roman" w:hAnsi="Times New Roman" w:cs="Times New Roman"/>
                <w:sz w:val="24"/>
                <w:szCs w:val="24"/>
              </w:rPr>
              <w:t>ā</w:t>
            </w:r>
            <w:r w:rsidR="002665C2" w:rsidRPr="00AC74AE">
              <w:rPr>
                <w:rFonts w:ascii="Times New Roman" w:hAnsi="Times New Roman" w:cs="Times New Roman"/>
                <w:sz w:val="24"/>
                <w:szCs w:val="24"/>
              </w:rPr>
              <w:t>t ilgtspējīgu un kvalitatīvu nodarbinātību un atbalstīt darbaspēka mobilitāti</w:t>
            </w:r>
            <w:r w:rsidR="002665C2">
              <w:rPr>
                <w:rFonts w:ascii="Times New Roman" w:hAnsi="Times New Roman" w:cs="Times New Roman"/>
                <w:sz w:val="24"/>
                <w:szCs w:val="24"/>
              </w:rPr>
              <w:t xml:space="preserve">. </w:t>
            </w:r>
            <w:r w:rsidR="00EA55C8" w:rsidRPr="002665C2">
              <w:rPr>
                <w:rFonts w:ascii="Times New Roman" w:hAnsi="Times New Roman" w:cs="Times New Roman"/>
                <w:sz w:val="24"/>
                <w:szCs w:val="24"/>
              </w:rPr>
              <w:t>Šī mērķa sasniegšanai MK noteikumu projekts paredz īstenot vairākas atbalstāmas darbības, piemēram, konkurētspējas paaugstināšanas pasākumus, profesionālā apmācības, pārkvalifikācijas, kvalifikācijas paaugstināšanas pasākumus (tai skaitā</w:t>
            </w:r>
            <w:r w:rsidR="00315AB8">
              <w:rPr>
                <w:rFonts w:ascii="Times New Roman" w:hAnsi="Times New Roman" w:cs="Times New Roman"/>
                <w:sz w:val="24"/>
                <w:szCs w:val="24"/>
              </w:rPr>
              <w:t>,</w:t>
            </w:r>
            <w:r w:rsidR="00EA55C8" w:rsidRPr="002665C2">
              <w:rPr>
                <w:rFonts w:ascii="Times New Roman" w:hAnsi="Times New Roman" w:cs="Times New Roman"/>
                <w:sz w:val="24"/>
                <w:szCs w:val="24"/>
              </w:rPr>
              <w:t xml:space="preserve"> profesionālās tālākizglītības programmu apguvi un profesionālās pilnveides izglītības programmu apguvi), neformālās izglītības programmu apguvi, apmācību pie darba devēja, kā arī specifisku pakalpojumu sniegšanu mērķa grupu bezdarbniekiem apmācību laikā (ergoterapeita</w:t>
            </w:r>
            <w:r w:rsidR="00536377">
              <w:rPr>
                <w:rFonts w:ascii="Times New Roman" w:hAnsi="Times New Roman" w:cs="Times New Roman"/>
                <w:sz w:val="24"/>
                <w:szCs w:val="24"/>
              </w:rPr>
              <w:t xml:space="preserve"> un</w:t>
            </w:r>
            <w:r w:rsidR="00536377" w:rsidRPr="002665C2">
              <w:rPr>
                <w:rFonts w:ascii="Times New Roman" w:hAnsi="Times New Roman" w:cs="Times New Roman"/>
                <w:sz w:val="24"/>
                <w:szCs w:val="24"/>
              </w:rPr>
              <w:t xml:space="preserve"> </w:t>
            </w:r>
            <w:r w:rsidR="00EA55C8" w:rsidRPr="002665C2">
              <w:rPr>
                <w:rFonts w:ascii="Times New Roman" w:hAnsi="Times New Roman" w:cs="Times New Roman"/>
                <w:sz w:val="24"/>
                <w:szCs w:val="24"/>
              </w:rPr>
              <w:t>surdotulka pakalpojumi, specializēta transporta nodrošināšana bezdarbniekam ar invaliditāti)</w:t>
            </w:r>
            <w:r w:rsidR="005B5313">
              <w:rPr>
                <w:rFonts w:ascii="Times New Roman" w:hAnsi="Times New Roman" w:cs="Times New Roman"/>
                <w:sz w:val="24"/>
                <w:szCs w:val="24"/>
              </w:rPr>
              <w:t>,</w:t>
            </w:r>
            <w:r w:rsidR="00EA55C8" w:rsidRPr="002665C2">
              <w:rPr>
                <w:rFonts w:ascii="Times New Roman" w:hAnsi="Times New Roman" w:cs="Times New Roman"/>
                <w:sz w:val="24"/>
                <w:szCs w:val="24"/>
              </w:rPr>
              <w:t xml:space="preserve"> </w:t>
            </w:r>
            <w:r w:rsidRPr="00F62DFD">
              <w:rPr>
                <w:rFonts w:ascii="Times New Roman" w:hAnsi="Times New Roman" w:cs="Times New Roman"/>
                <w:sz w:val="24"/>
                <w:szCs w:val="24"/>
              </w:rPr>
              <w:t>konkurētspējas paaugstināšanas pasākumu elastīgu apmācību formā izstrād</w:t>
            </w:r>
            <w:r w:rsidR="00797F3E">
              <w:rPr>
                <w:rFonts w:ascii="Times New Roman" w:hAnsi="Times New Roman" w:cs="Times New Roman"/>
                <w:sz w:val="24"/>
                <w:szCs w:val="24"/>
              </w:rPr>
              <w:t>i</w:t>
            </w:r>
            <w:r w:rsidRPr="00F62DFD">
              <w:rPr>
                <w:rFonts w:ascii="Times New Roman" w:hAnsi="Times New Roman" w:cs="Times New Roman"/>
                <w:sz w:val="24"/>
                <w:szCs w:val="24"/>
              </w:rPr>
              <w:t xml:space="preserve"> un īstenošan</w:t>
            </w:r>
            <w:r w:rsidR="00797F3E">
              <w:rPr>
                <w:rFonts w:ascii="Times New Roman" w:hAnsi="Times New Roman" w:cs="Times New Roman"/>
                <w:sz w:val="24"/>
                <w:szCs w:val="24"/>
              </w:rPr>
              <w:t>u</w:t>
            </w:r>
            <w:r w:rsidRPr="00F62DFD">
              <w:rPr>
                <w:rFonts w:ascii="Times New Roman" w:hAnsi="Times New Roman" w:cs="Times New Roman"/>
                <w:sz w:val="24"/>
                <w:szCs w:val="24"/>
              </w:rPr>
              <w:t xml:space="preserve"> bezdarbniekiem</w:t>
            </w:r>
            <w:r>
              <w:rPr>
                <w:rFonts w:ascii="Times New Roman" w:hAnsi="Times New Roman" w:cs="Times New Roman"/>
                <w:sz w:val="24"/>
                <w:szCs w:val="24"/>
              </w:rPr>
              <w:t xml:space="preserve"> un</w:t>
            </w:r>
            <w:r w:rsidRPr="009B5667">
              <w:rPr>
                <w:rFonts w:ascii="Times New Roman" w:hAnsi="Times New Roman" w:cs="Times New Roman"/>
                <w:sz w:val="24"/>
                <w:szCs w:val="24"/>
              </w:rPr>
              <w:t xml:space="preserve"> </w:t>
            </w:r>
            <w:r w:rsidRPr="00F62DFD">
              <w:rPr>
                <w:rFonts w:ascii="Times New Roman" w:hAnsi="Times New Roman" w:cs="Times New Roman"/>
                <w:sz w:val="24"/>
                <w:szCs w:val="24"/>
              </w:rPr>
              <w:t>atbalst</w:t>
            </w:r>
            <w:r w:rsidR="00797F3E">
              <w:rPr>
                <w:rFonts w:ascii="Times New Roman" w:hAnsi="Times New Roman" w:cs="Times New Roman"/>
                <w:sz w:val="24"/>
                <w:szCs w:val="24"/>
              </w:rPr>
              <w:t>u</w:t>
            </w:r>
            <w:r w:rsidRPr="00F62DFD">
              <w:rPr>
                <w:rFonts w:ascii="Times New Roman" w:hAnsi="Times New Roman" w:cs="Times New Roman"/>
                <w:sz w:val="24"/>
                <w:szCs w:val="24"/>
              </w:rPr>
              <w:t xml:space="preserve"> reģionālajai mobilitātei</w:t>
            </w:r>
            <w:r>
              <w:rPr>
                <w:rFonts w:ascii="Times New Roman" w:hAnsi="Times New Roman" w:cs="Times New Roman"/>
                <w:sz w:val="24"/>
                <w:szCs w:val="24"/>
              </w:rPr>
              <w:t>.</w:t>
            </w:r>
            <w:r w:rsidR="00EA55C8" w:rsidRPr="002665C2">
              <w:rPr>
                <w:rFonts w:ascii="Times New Roman" w:hAnsi="Times New Roman" w:cs="Times New Roman"/>
                <w:sz w:val="24"/>
                <w:szCs w:val="24"/>
              </w:rPr>
              <w:t xml:space="preserve"> </w:t>
            </w:r>
          </w:p>
          <w:p w14:paraId="08479936" w14:textId="21E25D2A" w:rsidR="00EA55C8" w:rsidRPr="00AC74AE" w:rsidRDefault="00EA55C8" w:rsidP="00797F3E">
            <w:pPr>
              <w:pStyle w:val="ListParagraph"/>
              <w:spacing w:after="0" w:line="240" w:lineRule="auto"/>
              <w:ind w:left="57" w:right="113"/>
              <w:jc w:val="both"/>
              <w:rPr>
                <w:rFonts w:ascii="Times New Roman" w:hAnsi="Times New Roman" w:cs="Times New Roman"/>
                <w:sz w:val="24"/>
                <w:szCs w:val="24"/>
              </w:rPr>
            </w:pPr>
            <w:r w:rsidRPr="00AC74AE">
              <w:rPr>
                <w:rFonts w:ascii="Times New Roman" w:hAnsi="Times New Roman" w:cs="Times New Roman"/>
                <w:sz w:val="24"/>
                <w:szCs w:val="24"/>
              </w:rPr>
              <w:t xml:space="preserve">Projektu </w:t>
            </w:r>
            <w:r w:rsidR="00B20194">
              <w:rPr>
                <w:rFonts w:ascii="Times New Roman" w:hAnsi="Times New Roman" w:cs="Times New Roman"/>
                <w:sz w:val="24"/>
                <w:szCs w:val="24"/>
              </w:rPr>
              <w:t xml:space="preserve">SAM ietvaros </w:t>
            </w:r>
            <w:r w:rsidRPr="00AC74AE">
              <w:rPr>
                <w:rFonts w:ascii="Times New Roman" w:hAnsi="Times New Roman" w:cs="Times New Roman"/>
                <w:sz w:val="24"/>
                <w:szCs w:val="24"/>
              </w:rPr>
              <w:t>īsteno</w:t>
            </w:r>
            <w:r w:rsidR="00B20194">
              <w:rPr>
                <w:rFonts w:ascii="Times New Roman" w:hAnsi="Times New Roman" w:cs="Times New Roman"/>
                <w:sz w:val="24"/>
                <w:szCs w:val="24"/>
              </w:rPr>
              <w:t>s</w:t>
            </w:r>
            <w:r w:rsidRPr="00AC74AE">
              <w:rPr>
                <w:rFonts w:ascii="Times New Roman" w:hAnsi="Times New Roman" w:cs="Times New Roman"/>
                <w:sz w:val="24"/>
                <w:szCs w:val="24"/>
              </w:rPr>
              <w:t xml:space="preserve"> </w:t>
            </w:r>
            <w:r w:rsidR="00F62DFD">
              <w:rPr>
                <w:rFonts w:ascii="Times New Roman" w:hAnsi="Times New Roman" w:cs="Times New Roman"/>
                <w:sz w:val="24"/>
                <w:szCs w:val="24"/>
              </w:rPr>
              <w:t>NVA</w:t>
            </w:r>
            <w:r w:rsidRPr="00AC74AE">
              <w:rPr>
                <w:rFonts w:ascii="Times New Roman" w:hAnsi="Times New Roman" w:cs="Times New Roman"/>
                <w:sz w:val="24"/>
                <w:szCs w:val="24"/>
              </w:rPr>
              <w:t xml:space="preserve"> (tai skaitā, vei</w:t>
            </w:r>
            <w:r w:rsidR="00B20194">
              <w:rPr>
                <w:rFonts w:ascii="Times New Roman" w:hAnsi="Times New Roman" w:cs="Times New Roman"/>
                <w:sz w:val="24"/>
                <w:szCs w:val="24"/>
              </w:rPr>
              <w:t>ks</w:t>
            </w:r>
            <w:r w:rsidRPr="00AC74AE">
              <w:rPr>
                <w:rFonts w:ascii="Times New Roman" w:hAnsi="Times New Roman" w:cs="Times New Roman"/>
                <w:sz w:val="24"/>
                <w:szCs w:val="24"/>
              </w:rPr>
              <w:t xml:space="preserve"> mērķa grupas un darba devēju atlasi, uzrau</w:t>
            </w:r>
            <w:r w:rsidR="00B20194">
              <w:rPr>
                <w:rFonts w:ascii="Times New Roman" w:hAnsi="Times New Roman" w:cs="Times New Roman"/>
                <w:sz w:val="24"/>
                <w:szCs w:val="24"/>
              </w:rPr>
              <w:t>dzīs</w:t>
            </w:r>
            <w:r w:rsidRPr="00AC74AE">
              <w:rPr>
                <w:rFonts w:ascii="Times New Roman" w:hAnsi="Times New Roman" w:cs="Times New Roman"/>
                <w:sz w:val="24"/>
                <w:szCs w:val="24"/>
              </w:rPr>
              <w:t xml:space="preserve"> pasākumu īstenošanu, kā arī vei</w:t>
            </w:r>
            <w:r w:rsidR="00B20194">
              <w:rPr>
                <w:rFonts w:ascii="Times New Roman" w:hAnsi="Times New Roman" w:cs="Times New Roman"/>
                <w:sz w:val="24"/>
                <w:szCs w:val="24"/>
              </w:rPr>
              <w:t>ks</w:t>
            </w:r>
            <w:r w:rsidRPr="00AC74AE">
              <w:rPr>
                <w:rFonts w:ascii="Times New Roman" w:hAnsi="Times New Roman" w:cs="Times New Roman"/>
                <w:sz w:val="24"/>
                <w:szCs w:val="24"/>
              </w:rPr>
              <w:t xml:space="preserve"> projekta vajadzībām nepieciešamos iepirkumus), piesaistot pakalpojumu sniedzējus (darba devējus, darba devēju organizācijas un apvienības, izglītības iestādes, profesionālās izglītības kompetences centrus). </w:t>
            </w:r>
          </w:p>
          <w:p w14:paraId="53AE5639" w14:textId="7370A294" w:rsidR="00EA55C8" w:rsidRPr="00AC74AE" w:rsidRDefault="00EA55C8" w:rsidP="00797F3E">
            <w:pPr>
              <w:pStyle w:val="ListParagraph"/>
              <w:spacing w:after="0" w:line="240" w:lineRule="auto"/>
              <w:ind w:left="57" w:right="113"/>
              <w:jc w:val="both"/>
              <w:rPr>
                <w:rFonts w:ascii="Times New Roman" w:hAnsi="Times New Roman" w:cs="Times New Roman"/>
                <w:sz w:val="24"/>
                <w:szCs w:val="24"/>
              </w:rPr>
            </w:pPr>
            <w:r w:rsidRPr="00AC74AE">
              <w:rPr>
                <w:rFonts w:ascii="Times New Roman" w:hAnsi="Times New Roman" w:cs="Times New Roman"/>
                <w:sz w:val="24"/>
                <w:szCs w:val="24"/>
              </w:rPr>
              <w:t>Paredzēts, ka šī SAM ietvaros tiks sasniegti šādi uzraudzības rādītāji: līdz 2023. gadam atba</w:t>
            </w:r>
            <w:r w:rsidR="00AC74AE" w:rsidRPr="00AC74AE">
              <w:rPr>
                <w:rFonts w:ascii="Times New Roman" w:hAnsi="Times New Roman" w:cs="Times New Roman"/>
                <w:sz w:val="24"/>
                <w:szCs w:val="24"/>
              </w:rPr>
              <w:t>lstu saņems 85 000 bezdarbnieki (</w:t>
            </w:r>
            <w:r w:rsidRPr="00AC74AE">
              <w:rPr>
                <w:rFonts w:ascii="Times New Roman" w:hAnsi="Times New Roman" w:cs="Times New Roman"/>
                <w:sz w:val="24"/>
                <w:szCs w:val="24"/>
              </w:rPr>
              <w:t>tostarp ilgstošie bezdarbnieki</w:t>
            </w:r>
            <w:r w:rsidR="00AC74AE" w:rsidRPr="00AC74AE">
              <w:rPr>
                <w:rFonts w:ascii="Times New Roman" w:hAnsi="Times New Roman" w:cs="Times New Roman"/>
                <w:sz w:val="24"/>
                <w:szCs w:val="24"/>
              </w:rPr>
              <w:t>)</w:t>
            </w:r>
            <w:r w:rsidRPr="00AC74AE">
              <w:rPr>
                <w:rFonts w:ascii="Times New Roman" w:hAnsi="Times New Roman" w:cs="Times New Roman"/>
                <w:sz w:val="24"/>
                <w:szCs w:val="24"/>
              </w:rPr>
              <w:t xml:space="preserve">, no tiem 29 000 bezdarbnieki vecāki par 50 gadiem (iznākuma rādītāji), 24 480 dalībnieki tūlīt pēc dalības apmācībās iegūs kvalifikāciju un 22 950 pasākuma dalībnieki tiks nodarbināti 6 mēnešus pēc pasākuma beigām (rezultāta rādītāji). </w:t>
            </w:r>
            <w:r w:rsidR="001B3759" w:rsidRPr="001B3759">
              <w:rPr>
                <w:rFonts w:ascii="Times New Roman" w:eastAsia="Times New Roman" w:hAnsi="Times New Roman" w:cs="Times New Roman"/>
                <w:lang w:eastAsia="lv-LV"/>
              </w:rPr>
              <w:t xml:space="preserve"> </w:t>
            </w:r>
            <w:r w:rsidR="001B3759" w:rsidRPr="001B3759">
              <w:rPr>
                <w:rFonts w:ascii="Times New Roman" w:hAnsi="Times New Roman" w:cs="Times New Roman"/>
                <w:sz w:val="24"/>
                <w:szCs w:val="24"/>
              </w:rPr>
              <w:t xml:space="preserve">Minēto uzraudzības rādītāju uzraudzība un kontrole tiek plānota saskaņā ar normatīvajiem aktiem, kas nosaka kārtību, kādā veic ES struktūrfondu un Kohēzijas fonda projektu pārbaudes 2014.-2020.gada plānošanas periodā (šobrīd saskaņošanas stadijā), savukārt iestāžu rīcību gadījumā, ja tiks konstatētas neatbilstības, plānots noteikt normatīvajos aktos, kas nosaka neatbilstību konstatēšanas, neatbilstoši veikto izdevumu atgūšanas un proporcionālās finanšu korekcijas piemērošanas kārtību (plānots izstrādāt līdz </w:t>
            </w:r>
            <w:r w:rsidR="001B3759">
              <w:rPr>
                <w:rFonts w:ascii="Times New Roman" w:hAnsi="Times New Roman" w:cs="Times New Roman"/>
                <w:sz w:val="24"/>
                <w:szCs w:val="24"/>
              </w:rPr>
              <w:t>š.g. 31.decembrim</w:t>
            </w:r>
            <w:r w:rsidR="001B3759" w:rsidRPr="001B3759">
              <w:rPr>
                <w:rFonts w:ascii="Times New Roman" w:hAnsi="Times New Roman" w:cs="Times New Roman"/>
                <w:sz w:val="24"/>
                <w:szCs w:val="24"/>
              </w:rPr>
              <w:t>).</w:t>
            </w:r>
          </w:p>
          <w:p w14:paraId="6778F282" w14:textId="1D1EF7E4" w:rsidR="00EA55C8" w:rsidRPr="00AC74AE" w:rsidRDefault="00EA55C8" w:rsidP="00797F3E">
            <w:pPr>
              <w:pStyle w:val="ListParagraph"/>
              <w:spacing w:after="0" w:line="240" w:lineRule="auto"/>
              <w:ind w:left="57" w:right="113"/>
              <w:jc w:val="both"/>
              <w:rPr>
                <w:rFonts w:ascii="Times New Roman" w:hAnsi="Times New Roman" w:cs="Times New Roman"/>
                <w:sz w:val="24"/>
                <w:szCs w:val="24"/>
              </w:rPr>
            </w:pPr>
            <w:r w:rsidRPr="00AC74AE">
              <w:rPr>
                <w:rFonts w:ascii="Times New Roman" w:hAnsi="Times New Roman" w:cs="Times New Roman"/>
                <w:sz w:val="24"/>
                <w:szCs w:val="24"/>
              </w:rPr>
              <w:lastRenderedPageBreak/>
              <w:t xml:space="preserve">SAM plānotais pieejamais kopējais attiecināmais finansējums ir EUR 96 428 049, tai skaitā Eiropas Sociālā fonda </w:t>
            </w:r>
            <w:r w:rsidR="00797F3E">
              <w:rPr>
                <w:rFonts w:ascii="Times New Roman" w:hAnsi="Times New Roman" w:cs="Times New Roman"/>
                <w:sz w:val="24"/>
                <w:szCs w:val="24"/>
              </w:rPr>
              <w:t xml:space="preserve">(turpmāk - ESF) </w:t>
            </w:r>
            <w:r w:rsidRPr="00AC74AE">
              <w:rPr>
                <w:rFonts w:ascii="Times New Roman" w:hAnsi="Times New Roman" w:cs="Times New Roman"/>
                <w:sz w:val="24"/>
                <w:szCs w:val="24"/>
              </w:rPr>
              <w:t xml:space="preserve">finansējums – EUR 81 963 841, valsts budžeta finansējums – EUR 12 185 719 un privātais līdzfinansējums EUR 2 278 489. </w:t>
            </w:r>
          </w:p>
          <w:p w14:paraId="0300F600" w14:textId="1DD75681" w:rsidR="00EA55C8" w:rsidRPr="00AC74AE" w:rsidRDefault="00EA55C8" w:rsidP="00797F3E">
            <w:pPr>
              <w:pStyle w:val="ListParagraph"/>
              <w:spacing w:after="0" w:line="240" w:lineRule="auto"/>
              <w:ind w:left="57" w:right="113"/>
              <w:jc w:val="both"/>
              <w:rPr>
                <w:rFonts w:ascii="Times New Roman" w:hAnsi="Times New Roman" w:cs="Times New Roman"/>
                <w:sz w:val="24"/>
                <w:szCs w:val="24"/>
              </w:rPr>
            </w:pPr>
            <w:r w:rsidRPr="00AC74AE">
              <w:rPr>
                <w:rFonts w:ascii="Times New Roman" w:hAnsi="Times New Roman" w:cs="Times New Roman"/>
                <w:sz w:val="24"/>
                <w:szCs w:val="24"/>
              </w:rPr>
              <w:t>Ar MK noteikumu projektā paredzēto atbalstu</w:t>
            </w:r>
            <w:r w:rsidR="00B20194">
              <w:rPr>
                <w:rFonts w:ascii="Times New Roman" w:hAnsi="Times New Roman" w:cs="Times New Roman"/>
                <w:sz w:val="24"/>
                <w:szCs w:val="24"/>
              </w:rPr>
              <w:t xml:space="preserve"> SAM ietvaros</w:t>
            </w:r>
            <w:r w:rsidRPr="00AC74AE">
              <w:rPr>
                <w:rFonts w:ascii="Times New Roman" w:hAnsi="Times New Roman" w:cs="Times New Roman"/>
                <w:sz w:val="24"/>
                <w:szCs w:val="24"/>
              </w:rPr>
              <w:t xml:space="preserve"> plānots nodrošināt, ka 2014.–2020.gada periodā ik gadu ap 7% no prognozētā bezdarbnieku skaita </w:t>
            </w:r>
            <w:r w:rsidR="00B20194">
              <w:rPr>
                <w:rFonts w:ascii="Times New Roman" w:hAnsi="Times New Roman" w:cs="Times New Roman"/>
                <w:sz w:val="24"/>
                <w:szCs w:val="24"/>
              </w:rPr>
              <w:t>tiks</w:t>
            </w:r>
            <w:r w:rsidRPr="00AC74AE">
              <w:rPr>
                <w:rFonts w:ascii="Times New Roman" w:hAnsi="Times New Roman" w:cs="Times New Roman"/>
                <w:sz w:val="24"/>
                <w:szCs w:val="24"/>
              </w:rPr>
              <w:t xml:space="preserve"> iesaistīti profesionālās pilnveides vai tālākizglītības programmās, iegūstot vai paaugstinot kvalifikāciju darba tirgū pieprasītās jomās, vai pēc konkrēta darba devēja pieprasījuma, t.sk. darba vietā, savukārt 10–15% no prognozētā bezdarbnieku skaita gadā piedal</w:t>
            </w:r>
            <w:r w:rsidR="00B20194">
              <w:rPr>
                <w:rFonts w:ascii="Times New Roman" w:hAnsi="Times New Roman" w:cs="Times New Roman"/>
                <w:sz w:val="24"/>
                <w:szCs w:val="24"/>
              </w:rPr>
              <w:t>īsies</w:t>
            </w:r>
            <w:r w:rsidRPr="00AC74AE">
              <w:rPr>
                <w:rFonts w:ascii="Times New Roman" w:hAnsi="Times New Roman" w:cs="Times New Roman"/>
                <w:sz w:val="24"/>
                <w:szCs w:val="24"/>
              </w:rPr>
              <w:t xml:space="preserve"> neformālās izglītības programmās, apgūstot darba tirgū pieprasītas prasmes. </w:t>
            </w:r>
          </w:p>
          <w:p w14:paraId="56EA0B68" w14:textId="77777777" w:rsidR="00EA55C8" w:rsidRPr="00AC74AE" w:rsidRDefault="00EA55C8" w:rsidP="00EA55C8">
            <w:pPr>
              <w:pStyle w:val="ListParagraph"/>
              <w:spacing w:after="0" w:line="240" w:lineRule="auto"/>
              <w:ind w:left="57" w:right="113"/>
              <w:jc w:val="both"/>
              <w:rPr>
                <w:rFonts w:ascii="Times New Roman" w:hAnsi="Times New Roman" w:cs="Times New Roman"/>
                <w:sz w:val="24"/>
                <w:szCs w:val="24"/>
              </w:rPr>
            </w:pPr>
            <w:r w:rsidRPr="00AC74AE">
              <w:rPr>
                <w:rFonts w:ascii="Times New Roman" w:hAnsi="Times New Roman" w:cs="Times New Roman"/>
                <w:sz w:val="24"/>
                <w:szCs w:val="24"/>
              </w:rPr>
              <w:t xml:space="preserve">Ņemot vērā minēto, tiks mazinātas konstatētās neatbilstības starp </w:t>
            </w:r>
          </w:p>
          <w:p w14:paraId="127B9B49" w14:textId="77777777" w:rsidR="001E5DCA" w:rsidRDefault="00EA55C8" w:rsidP="00EA55C8">
            <w:pPr>
              <w:pStyle w:val="ListParagraph"/>
              <w:spacing w:after="0" w:line="240" w:lineRule="auto"/>
              <w:ind w:left="57" w:right="113"/>
              <w:jc w:val="both"/>
              <w:rPr>
                <w:rFonts w:ascii="Times New Roman" w:hAnsi="Times New Roman" w:cs="Times New Roman"/>
                <w:sz w:val="24"/>
                <w:szCs w:val="24"/>
              </w:rPr>
            </w:pPr>
            <w:r w:rsidRPr="00AC74AE">
              <w:rPr>
                <w:rFonts w:ascii="Times New Roman" w:hAnsi="Times New Roman" w:cs="Times New Roman"/>
                <w:sz w:val="24"/>
                <w:szCs w:val="24"/>
              </w:rPr>
              <w:t xml:space="preserve">bezdarbnieku prasmēm, kvalifikāciju un darba tirgus prasībām, tādējādi veicinot bezdarbnieku darbiekārtošanās pēc atbalsta saņemšanas. </w:t>
            </w:r>
          </w:p>
          <w:p w14:paraId="1438794A" w14:textId="7CE5F142" w:rsidR="00674496" w:rsidRPr="00674496" w:rsidRDefault="00674496" w:rsidP="00674496">
            <w:pPr>
              <w:pStyle w:val="ListParagraph"/>
              <w:spacing w:after="0" w:line="240" w:lineRule="auto"/>
              <w:ind w:left="57" w:right="113"/>
              <w:jc w:val="both"/>
              <w:rPr>
                <w:rFonts w:ascii="Times New Roman" w:hAnsi="Times New Roman" w:cs="Times New Roman"/>
                <w:sz w:val="24"/>
                <w:szCs w:val="24"/>
              </w:rPr>
            </w:pPr>
            <w:r w:rsidRPr="00674496">
              <w:rPr>
                <w:rFonts w:ascii="Times New Roman" w:hAnsi="Times New Roman" w:cs="Times New Roman"/>
                <w:sz w:val="24"/>
                <w:szCs w:val="24"/>
              </w:rPr>
              <w:t>Atbilstoši Finanšu ministrijas 2014.gada 22.maija vēstulei Nr.21-4-01/2875 “Par specifisko atbalsta mērķu sākotnējo novērtēšanu” atbalsta mērķim ir veikts sākotnējais novērtējums</w:t>
            </w:r>
            <w:r w:rsidRPr="00674496">
              <w:rPr>
                <w:rFonts w:ascii="Times New Roman" w:hAnsi="Times New Roman" w:cs="Times New Roman"/>
                <w:sz w:val="24"/>
                <w:szCs w:val="24"/>
              </w:rPr>
              <w:footnoteReference w:customMarkFollows="1" w:id="1"/>
              <w:t>* t.sk., pasākuma teritoriālo vajadzību analīze. Vienlaikus ir veikta analīze par pasākuma pieejamību visā Latvijas teritorijā, identificējot vairākas problēmas, kas var ietekmēt tā pieejamību visiem Latvijas iedzīvotājiem (t.sk., transporta pakalpojumu</w:t>
            </w:r>
            <w:r>
              <w:rPr>
                <w:rFonts w:ascii="Times New Roman" w:hAnsi="Times New Roman" w:cs="Times New Roman"/>
                <w:sz w:val="24"/>
                <w:szCs w:val="24"/>
              </w:rPr>
              <w:t xml:space="preserve"> plūsmu</w:t>
            </w:r>
            <w:r w:rsidRPr="00674496">
              <w:rPr>
                <w:rFonts w:ascii="Times New Roman" w:hAnsi="Times New Roman" w:cs="Times New Roman"/>
                <w:sz w:val="24"/>
                <w:szCs w:val="24"/>
              </w:rPr>
              <w:t xml:space="preserve">). </w:t>
            </w:r>
          </w:p>
          <w:p w14:paraId="5C82043D" w14:textId="417F79B8" w:rsidR="00475EDD" w:rsidRPr="00AC74AE" w:rsidRDefault="009B5667" w:rsidP="00315AB8">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E</w:t>
            </w:r>
            <w:r w:rsidRPr="009B5667">
              <w:rPr>
                <w:rFonts w:ascii="Times New Roman" w:hAnsi="Times New Roman" w:cs="Times New Roman"/>
                <w:sz w:val="24"/>
                <w:szCs w:val="24"/>
              </w:rPr>
              <w:t>sošā bezdarbnieku un darba meklētāju apmācību projekta 1.3.1.1.3.apakšaktivitātes „Bezdarbnieku un darba meklētāju apmācība” otrās kārtas ietvaros mērķa grupas iesaiste ir paredzēta tikai līdz 2014.gada beigām (2015.gadā tiks nodrošināta tikai pārejošo saistību izpilde), jaunais apmācību projekts ir jāuzsāk priekšlaicīgi pirms projekta apstiprināšanas, tādējādi nodrošinot bezdarbniekiem un darba meklētājiem sniegto pakalpojumu nepārtrauktību un pieejamību, kā arī esošo projekta īstenošanā iesaistīto cilvēkresursu racionālu izmantošanu</w:t>
            </w:r>
            <w:r>
              <w:rPr>
                <w:rFonts w:ascii="Times New Roman" w:hAnsi="Times New Roman" w:cs="Times New Roman"/>
                <w:sz w:val="24"/>
                <w:szCs w:val="24"/>
              </w:rPr>
              <w:t xml:space="preserve">. Ievērojot minēto, līdztekus MK noteikumu projektam Labklājības ministrija virza protokollēmuma projektu ar lūgumu atļaut </w:t>
            </w:r>
            <w:r w:rsidRPr="009B5667">
              <w:rPr>
                <w:rFonts w:ascii="Times New Roman" w:hAnsi="Times New Roman" w:cs="Times New Roman"/>
                <w:sz w:val="24"/>
                <w:szCs w:val="24"/>
              </w:rPr>
              <w:t xml:space="preserve">NVA uzsākt noteikumos paredzēto SAM atbalstāmo darbību īstenošanu, sākot ar 2015.gada 2.janvāri pirms projekta iesnieguma apstiprināšanas, ievērojot </w:t>
            </w:r>
            <w:r w:rsidR="00315AB8">
              <w:rPr>
                <w:rFonts w:ascii="Times New Roman" w:hAnsi="Times New Roman" w:cs="Times New Roman"/>
                <w:sz w:val="24"/>
                <w:szCs w:val="24"/>
              </w:rPr>
              <w:t>ES</w:t>
            </w:r>
            <w:r w:rsidRPr="009B5667">
              <w:rPr>
                <w:rFonts w:ascii="Times New Roman" w:hAnsi="Times New Roman" w:cs="Times New Roman"/>
                <w:sz w:val="24"/>
                <w:szCs w:val="24"/>
              </w:rPr>
              <w:t xml:space="preserve"> un Latvijas Republikas tiesību aktos, tai skaitā publisko iepirkumu regulējošajos tiesību aktos noteiktos un noteikumos ietvertos SAM īstenošanas nosacījumus.</w:t>
            </w:r>
            <w:r>
              <w:rPr>
                <w:rFonts w:ascii="Times New Roman" w:hAnsi="Times New Roman" w:cs="Times New Roman"/>
                <w:sz w:val="24"/>
                <w:szCs w:val="24"/>
              </w:rPr>
              <w:t xml:space="preserve"> </w:t>
            </w:r>
          </w:p>
        </w:tc>
      </w:tr>
      <w:tr w:rsidR="00CC1A56" w:rsidRPr="00A76ADD" w14:paraId="430D5B1D" w14:textId="77777777" w:rsidTr="00E022DC">
        <w:trPr>
          <w:trHeight w:val="476"/>
        </w:trPr>
        <w:tc>
          <w:tcPr>
            <w:tcW w:w="224" w:type="pct"/>
          </w:tcPr>
          <w:p w14:paraId="510678D3" w14:textId="063C4108" w:rsidR="00CC1A56" w:rsidRPr="00A76ADD" w:rsidRDefault="00CC1A56" w:rsidP="0089655E">
            <w:pPr>
              <w:pStyle w:val="naiskr"/>
              <w:spacing w:before="0" w:beforeAutospacing="0" w:after="0" w:afterAutospacing="0"/>
              <w:ind w:left="57" w:right="57"/>
              <w:jc w:val="center"/>
            </w:pPr>
            <w:r w:rsidRPr="00A76ADD">
              <w:lastRenderedPageBreak/>
              <w:t>3.</w:t>
            </w:r>
          </w:p>
        </w:tc>
        <w:tc>
          <w:tcPr>
            <w:tcW w:w="1245" w:type="pct"/>
          </w:tcPr>
          <w:p w14:paraId="0056287A" w14:textId="77777777" w:rsidR="00CC1A56" w:rsidRPr="00A76ADD" w:rsidRDefault="00CC1A56" w:rsidP="0089655E">
            <w:pPr>
              <w:pStyle w:val="naiskr"/>
              <w:spacing w:before="0" w:beforeAutospacing="0" w:after="0" w:afterAutospacing="0"/>
              <w:ind w:left="57" w:right="57"/>
            </w:pPr>
            <w:r w:rsidRPr="00A76ADD">
              <w:t>Projekta izstrādē iesaistītās institūcijas</w:t>
            </w:r>
          </w:p>
        </w:tc>
        <w:tc>
          <w:tcPr>
            <w:tcW w:w="3531" w:type="pct"/>
          </w:tcPr>
          <w:p w14:paraId="045B7111" w14:textId="58B92D26" w:rsidR="00382F6F" w:rsidRPr="00382F6F" w:rsidRDefault="00382F6F" w:rsidP="00475EDD">
            <w:pPr>
              <w:shd w:val="clear" w:color="auto" w:fill="FFFFFF"/>
              <w:spacing w:after="0" w:line="240" w:lineRule="auto"/>
              <w:ind w:left="57" w:right="113"/>
              <w:jc w:val="both"/>
              <w:rPr>
                <w:rFonts w:ascii="Times New Roman" w:hAnsi="Times New Roman" w:cs="Times New Roman"/>
                <w:sz w:val="24"/>
                <w:szCs w:val="24"/>
              </w:rPr>
            </w:pPr>
            <w:r w:rsidRPr="00382F6F">
              <w:rPr>
                <w:rFonts w:ascii="Times New Roman" w:hAnsi="Times New Roman" w:cs="Times New Roman"/>
                <w:sz w:val="24"/>
                <w:szCs w:val="24"/>
              </w:rPr>
              <w:t xml:space="preserve">Sabiedrība līdzdarboties MK projekta izstrādē tika aicināta, ievietojot MK noteikumu projektu tīmekļa vietnē </w:t>
            </w:r>
            <w:hyperlink r:id="rId10" w:history="1">
              <w:r w:rsidRPr="00382F6F">
                <w:rPr>
                  <w:rFonts w:ascii="Times New Roman" w:hAnsi="Times New Roman" w:cs="Times New Roman"/>
                  <w:sz w:val="24"/>
                  <w:szCs w:val="24"/>
                  <w:u w:val="single"/>
                </w:rPr>
                <w:t>www.lm.gov.lv</w:t>
              </w:r>
            </w:hyperlink>
            <w:r w:rsidRPr="00382F6F">
              <w:rPr>
                <w:rFonts w:ascii="Times New Roman" w:hAnsi="Times New Roman" w:cs="Times New Roman"/>
                <w:sz w:val="24"/>
                <w:szCs w:val="24"/>
                <w:u w:val="single"/>
              </w:rPr>
              <w:t xml:space="preserve"> </w:t>
            </w:r>
            <w:r w:rsidRPr="00382F6F">
              <w:rPr>
                <w:rFonts w:ascii="Times New Roman" w:hAnsi="Times New Roman" w:cs="Times New Roman"/>
                <w:sz w:val="24"/>
                <w:szCs w:val="24"/>
              </w:rPr>
              <w:t xml:space="preserve">un aicinot </w:t>
            </w:r>
            <w:r w:rsidRPr="00382F6F">
              <w:rPr>
                <w:rFonts w:ascii="Times New Roman" w:hAnsi="Times New Roman" w:cs="Times New Roman"/>
                <w:sz w:val="24"/>
                <w:szCs w:val="24"/>
              </w:rPr>
              <w:lastRenderedPageBreak/>
              <w:t xml:space="preserve">sabiedrības pārstāvjus sagatavot atzinumu par MK projektu pēc tā izsludināšanas Valsts sekretāru sanāksmē. </w:t>
            </w:r>
          </w:p>
        </w:tc>
      </w:tr>
      <w:tr w:rsidR="00CC1A56" w:rsidRPr="00A76ADD" w14:paraId="3888F858" w14:textId="77777777" w:rsidTr="00E022DC">
        <w:tc>
          <w:tcPr>
            <w:tcW w:w="224" w:type="pct"/>
          </w:tcPr>
          <w:p w14:paraId="726D49C0" w14:textId="0CB86B9C" w:rsidR="00CC1A56" w:rsidRPr="00A76ADD" w:rsidRDefault="00CC1A56" w:rsidP="0089655E">
            <w:pPr>
              <w:pStyle w:val="naiskr"/>
              <w:spacing w:before="0" w:beforeAutospacing="0" w:after="0" w:afterAutospacing="0"/>
              <w:ind w:left="57" w:right="57"/>
              <w:jc w:val="center"/>
            </w:pPr>
            <w:r w:rsidRPr="00A76ADD">
              <w:lastRenderedPageBreak/>
              <w:t>4.</w:t>
            </w:r>
          </w:p>
        </w:tc>
        <w:tc>
          <w:tcPr>
            <w:tcW w:w="1245" w:type="pct"/>
          </w:tcPr>
          <w:p w14:paraId="65B3391E" w14:textId="77777777" w:rsidR="00CC1A56" w:rsidRPr="00A76ADD" w:rsidRDefault="00CC1A56" w:rsidP="0089655E">
            <w:pPr>
              <w:pStyle w:val="naiskr"/>
              <w:spacing w:before="0" w:beforeAutospacing="0" w:after="0" w:afterAutospacing="0"/>
              <w:ind w:left="57" w:right="57"/>
            </w:pPr>
            <w:r w:rsidRPr="00A76ADD">
              <w:t>Cita informācija</w:t>
            </w:r>
          </w:p>
        </w:tc>
        <w:tc>
          <w:tcPr>
            <w:tcW w:w="3531" w:type="pct"/>
          </w:tcPr>
          <w:p w14:paraId="27A3232B" w14:textId="7A36A1B1" w:rsidR="00AB321F" w:rsidRPr="00475EDD" w:rsidRDefault="00AB321F" w:rsidP="00C64158">
            <w:pPr>
              <w:spacing w:after="0" w:line="240" w:lineRule="auto"/>
              <w:ind w:left="57" w:right="113"/>
              <w:jc w:val="both"/>
              <w:rPr>
                <w:color w:val="000000"/>
              </w:rPr>
            </w:pPr>
            <w:r w:rsidRPr="00AB321F">
              <w:rPr>
                <w:rFonts w:ascii="Times New Roman" w:hAnsi="Times New Roman" w:cs="Times New Roman"/>
                <w:sz w:val="24"/>
                <w:szCs w:val="24"/>
              </w:rPr>
              <w:t xml:space="preserve">SAM </w:t>
            </w:r>
            <w:r w:rsidR="00C64158" w:rsidRPr="00AB321F">
              <w:rPr>
                <w:rFonts w:ascii="Times New Roman" w:hAnsi="Times New Roman" w:cs="Times New Roman"/>
                <w:sz w:val="24"/>
                <w:szCs w:val="24"/>
              </w:rPr>
              <w:t>sākotnēj</w:t>
            </w:r>
            <w:r w:rsidR="00C64158">
              <w:rPr>
                <w:rFonts w:ascii="Times New Roman" w:hAnsi="Times New Roman" w:cs="Times New Roman"/>
                <w:sz w:val="24"/>
                <w:szCs w:val="24"/>
              </w:rPr>
              <w:t>ais</w:t>
            </w:r>
            <w:r w:rsidR="00C64158" w:rsidRPr="00AB321F">
              <w:rPr>
                <w:rFonts w:ascii="Times New Roman" w:hAnsi="Times New Roman" w:cs="Times New Roman"/>
                <w:sz w:val="24"/>
                <w:szCs w:val="24"/>
              </w:rPr>
              <w:t xml:space="preserve"> </w:t>
            </w:r>
            <w:r w:rsidRPr="00AB321F">
              <w:rPr>
                <w:rFonts w:ascii="Times New Roman" w:hAnsi="Times New Roman" w:cs="Times New Roman"/>
                <w:sz w:val="24"/>
                <w:szCs w:val="24"/>
              </w:rPr>
              <w:t>novērtējum</w:t>
            </w:r>
            <w:r w:rsidR="00C64158">
              <w:rPr>
                <w:rFonts w:ascii="Times New Roman" w:hAnsi="Times New Roman" w:cs="Times New Roman"/>
                <w:sz w:val="24"/>
                <w:szCs w:val="24"/>
              </w:rPr>
              <w:t>s</w:t>
            </w:r>
            <w:r w:rsidRPr="00AB321F">
              <w:rPr>
                <w:rFonts w:ascii="Times New Roman" w:hAnsi="Times New Roman" w:cs="Times New Roman"/>
                <w:sz w:val="24"/>
                <w:szCs w:val="24"/>
              </w:rPr>
              <w:t xml:space="preserve"> un projekta iesnieguma vērtēšanas </w:t>
            </w:r>
            <w:r w:rsidR="00C64158" w:rsidRPr="00AB321F">
              <w:rPr>
                <w:rFonts w:ascii="Times New Roman" w:hAnsi="Times New Roman" w:cs="Times New Roman"/>
                <w:sz w:val="24"/>
                <w:szCs w:val="24"/>
              </w:rPr>
              <w:t>kritērij</w:t>
            </w:r>
            <w:r w:rsidR="00C64158">
              <w:rPr>
                <w:rFonts w:ascii="Times New Roman" w:hAnsi="Times New Roman" w:cs="Times New Roman"/>
                <w:sz w:val="24"/>
                <w:szCs w:val="24"/>
              </w:rPr>
              <w:t>i</w:t>
            </w:r>
            <w:r w:rsidRPr="00AB321F">
              <w:rPr>
                <w:rFonts w:ascii="Times New Roman" w:hAnsi="Times New Roman" w:cs="Times New Roman"/>
                <w:sz w:val="24"/>
                <w:szCs w:val="24"/>
              </w:rPr>
              <w:t xml:space="preserve">, kurus piemēros SAM ietvaros projekta iesniegumu vērtēšanā, </w:t>
            </w:r>
            <w:r w:rsidR="00C64158">
              <w:rPr>
                <w:rFonts w:ascii="Times New Roman" w:hAnsi="Times New Roman" w:cs="Times New Roman"/>
                <w:sz w:val="24"/>
                <w:szCs w:val="24"/>
              </w:rPr>
              <w:t xml:space="preserve">saskaņoti </w:t>
            </w:r>
            <w:r w:rsidRPr="00AB321F">
              <w:rPr>
                <w:rFonts w:ascii="Times New Roman" w:hAnsi="Times New Roman" w:cs="Times New Roman"/>
                <w:sz w:val="24"/>
                <w:szCs w:val="24"/>
              </w:rPr>
              <w:t xml:space="preserve">2014.gada 30.oktobrī 2014.-2020.gada plānošanas perioda Eiropas Savienības struktūrfondu un Kohēzijas fonda nodarbinātības un darbaspēka mobilitātes prioritārā virziena apakškomitejas sēdē (projekta vērtēšanas kritērijus plānots </w:t>
            </w:r>
            <w:r w:rsidR="00475EDD" w:rsidRPr="00AB321F">
              <w:rPr>
                <w:rFonts w:ascii="Times New Roman" w:hAnsi="Times New Roman" w:cs="Times New Roman"/>
                <w:sz w:val="24"/>
                <w:szCs w:val="24"/>
              </w:rPr>
              <w:t>apstiprināt 2014. – 2020.gada plānošanas perioda Uzraudzības komitejā, kuras sastāvā ir iekļaut</w:t>
            </w:r>
            <w:r w:rsidR="00674496">
              <w:rPr>
                <w:rFonts w:ascii="Times New Roman" w:hAnsi="Times New Roman" w:cs="Times New Roman"/>
                <w:sz w:val="24"/>
                <w:szCs w:val="24"/>
              </w:rPr>
              <w:t>i</w:t>
            </w:r>
            <w:r w:rsidR="00475EDD" w:rsidRPr="00AB321F">
              <w:rPr>
                <w:rFonts w:ascii="Times New Roman" w:hAnsi="Times New Roman" w:cs="Times New Roman"/>
                <w:sz w:val="24"/>
                <w:szCs w:val="24"/>
              </w:rPr>
              <w:t xml:space="preserve"> arī sociālie, nevalstiskā sektora un reģionālie partneri</w:t>
            </w:r>
            <w:r w:rsidRPr="00AB321F">
              <w:rPr>
                <w:rFonts w:ascii="Times New Roman" w:hAnsi="Times New Roman" w:cs="Times New Roman"/>
                <w:sz w:val="24"/>
                <w:szCs w:val="24"/>
              </w:rPr>
              <w:t>)</w:t>
            </w:r>
            <w:r w:rsidR="00475EDD" w:rsidRPr="00AB321F">
              <w:rPr>
                <w:rFonts w:ascii="Times New Roman" w:hAnsi="Times New Roman" w:cs="Times New Roman"/>
                <w:sz w:val="24"/>
                <w:szCs w:val="24"/>
              </w:rPr>
              <w:t>.</w:t>
            </w:r>
          </w:p>
        </w:tc>
      </w:tr>
    </w:tbl>
    <w:p w14:paraId="1A4D22BE" w14:textId="77777777" w:rsidR="00F21E42" w:rsidRPr="00A76ADD" w:rsidRDefault="00F21E42" w:rsidP="0089655E">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5"/>
        <w:gridCol w:w="6378"/>
      </w:tblGrid>
      <w:tr w:rsidR="00CC1A56" w:rsidRPr="00A76ADD" w14:paraId="0320F7F7" w14:textId="77777777" w:rsidTr="0089655E">
        <w:trPr>
          <w:trHeight w:val="556"/>
        </w:trPr>
        <w:tc>
          <w:tcPr>
            <w:tcW w:w="9634" w:type="dxa"/>
            <w:gridSpan w:val="3"/>
            <w:vAlign w:val="center"/>
          </w:tcPr>
          <w:p w14:paraId="5D20C248" w14:textId="77777777" w:rsidR="00CC1A56" w:rsidRPr="00A76ADD" w:rsidRDefault="00CC1A56" w:rsidP="0089655E">
            <w:pPr>
              <w:pStyle w:val="naisnod"/>
              <w:spacing w:before="0" w:beforeAutospacing="0" w:after="0" w:afterAutospacing="0"/>
              <w:ind w:left="57" w:right="57"/>
              <w:jc w:val="center"/>
              <w:rPr>
                <w:b/>
              </w:rPr>
            </w:pPr>
            <w:r w:rsidRPr="00A76ADD">
              <w:rPr>
                <w:b/>
              </w:rPr>
              <w:t>II. Tiesību akta projekta ietekme uz sabiedrību, tautsaimniecības attīstību</w:t>
            </w:r>
          </w:p>
          <w:p w14:paraId="4CCA2CAE" w14:textId="77777777" w:rsidR="00CC1A56" w:rsidRPr="00A76ADD" w:rsidRDefault="00CC1A56" w:rsidP="0089655E">
            <w:pPr>
              <w:pStyle w:val="naisnod"/>
              <w:spacing w:before="0" w:beforeAutospacing="0" w:after="0" w:afterAutospacing="0"/>
              <w:ind w:left="57" w:right="57"/>
              <w:jc w:val="center"/>
              <w:rPr>
                <w:b/>
              </w:rPr>
            </w:pPr>
            <w:r w:rsidRPr="00A76ADD">
              <w:rPr>
                <w:b/>
              </w:rPr>
              <w:t>un administratīvo slogu</w:t>
            </w:r>
          </w:p>
        </w:tc>
      </w:tr>
      <w:tr w:rsidR="00CC1A56" w:rsidRPr="00A76ADD" w14:paraId="7690B02F" w14:textId="77777777" w:rsidTr="0089655E">
        <w:trPr>
          <w:trHeight w:val="467"/>
        </w:trPr>
        <w:tc>
          <w:tcPr>
            <w:tcW w:w="431" w:type="dxa"/>
          </w:tcPr>
          <w:p w14:paraId="22D56FA9" w14:textId="77777777" w:rsidR="00CC1A56" w:rsidRPr="00A76ADD" w:rsidRDefault="00CC1A56" w:rsidP="0089655E">
            <w:pPr>
              <w:pStyle w:val="naiskr"/>
              <w:spacing w:before="0" w:beforeAutospacing="0" w:after="0" w:afterAutospacing="0"/>
              <w:ind w:left="57" w:right="57"/>
              <w:jc w:val="both"/>
            </w:pPr>
            <w:r w:rsidRPr="00A76ADD">
              <w:t>1.</w:t>
            </w:r>
          </w:p>
        </w:tc>
        <w:tc>
          <w:tcPr>
            <w:tcW w:w="2825" w:type="dxa"/>
          </w:tcPr>
          <w:p w14:paraId="71297153" w14:textId="77777777" w:rsidR="00CC1A56" w:rsidRPr="00A76ADD" w:rsidRDefault="00CC1A56" w:rsidP="0089655E">
            <w:pPr>
              <w:pStyle w:val="naiskr"/>
              <w:spacing w:before="0" w:beforeAutospacing="0" w:after="0" w:afterAutospacing="0"/>
              <w:ind w:left="57" w:right="57"/>
            </w:pPr>
            <w:r w:rsidRPr="00A76ADD">
              <w:t>Sabiedrības mērķgrupas, kuras tiesiskais regulējums ietekmē vai varētu ietekmēt</w:t>
            </w:r>
          </w:p>
        </w:tc>
        <w:tc>
          <w:tcPr>
            <w:tcW w:w="6378" w:type="dxa"/>
          </w:tcPr>
          <w:p w14:paraId="5DED6035" w14:textId="4212A688" w:rsidR="00CC1A56" w:rsidRPr="00A76ADD" w:rsidRDefault="00F91BD8" w:rsidP="00C64158">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F91BD8">
              <w:rPr>
                <w:rFonts w:ascii="Times New Roman" w:hAnsi="Times New Roman" w:cs="Times New Roman"/>
                <w:sz w:val="24"/>
                <w:szCs w:val="24"/>
              </w:rPr>
              <w:t xml:space="preserve">Nodarbinātības valsts aģentūras reģistrēti bezdarbnieki un darba meklētāji, īpaši ar zemu un darba tirgus prasībām neatbilstošu prasmju un kvalifikācijas līmeni (atbilstoši </w:t>
            </w:r>
            <w:r w:rsidR="00797F3E">
              <w:rPr>
                <w:rFonts w:ascii="Times New Roman" w:hAnsi="Times New Roman" w:cs="Times New Roman"/>
                <w:sz w:val="24"/>
                <w:szCs w:val="24"/>
              </w:rPr>
              <w:t>NVA</w:t>
            </w:r>
            <w:r w:rsidRPr="00F91BD8">
              <w:rPr>
                <w:rFonts w:ascii="Times New Roman" w:hAnsi="Times New Roman" w:cs="Times New Roman"/>
                <w:sz w:val="24"/>
                <w:szCs w:val="24"/>
              </w:rPr>
              <w:t xml:space="preserve"> statistikas datiem – reģistrētais bezdarba līmenis valstī 2014.gada </w:t>
            </w:r>
            <w:r w:rsidR="00C64158">
              <w:rPr>
                <w:rFonts w:ascii="Times New Roman" w:hAnsi="Times New Roman" w:cs="Times New Roman"/>
                <w:sz w:val="24"/>
                <w:szCs w:val="24"/>
              </w:rPr>
              <w:t>oktobrī</w:t>
            </w:r>
            <w:r w:rsidR="00C64158" w:rsidRPr="00F91BD8">
              <w:rPr>
                <w:rFonts w:ascii="Times New Roman" w:hAnsi="Times New Roman" w:cs="Times New Roman"/>
                <w:sz w:val="24"/>
                <w:szCs w:val="24"/>
              </w:rPr>
              <w:t xml:space="preserve"> </w:t>
            </w:r>
            <w:r w:rsidRPr="00F91BD8">
              <w:rPr>
                <w:rFonts w:ascii="Times New Roman" w:hAnsi="Times New Roman" w:cs="Times New Roman"/>
                <w:sz w:val="24"/>
                <w:szCs w:val="24"/>
              </w:rPr>
              <w:t>bija 8,</w:t>
            </w:r>
            <w:r w:rsidR="00C64158">
              <w:rPr>
                <w:rFonts w:ascii="Times New Roman" w:hAnsi="Times New Roman" w:cs="Times New Roman"/>
                <w:sz w:val="24"/>
                <w:szCs w:val="24"/>
              </w:rPr>
              <w:t>2</w:t>
            </w:r>
            <w:r w:rsidRPr="00F91BD8">
              <w:rPr>
                <w:rFonts w:ascii="Times New Roman" w:hAnsi="Times New Roman" w:cs="Times New Roman"/>
                <w:sz w:val="24"/>
                <w:szCs w:val="24"/>
              </w:rPr>
              <w:t xml:space="preserve">% jeb </w:t>
            </w:r>
            <w:r w:rsidR="00C64158" w:rsidRPr="00C64158">
              <w:t xml:space="preserve"> </w:t>
            </w:r>
            <w:r w:rsidR="00C64158" w:rsidRPr="00C64158">
              <w:rPr>
                <w:rFonts w:ascii="Times New Roman" w:hAnsi="Times New Roman" w:cs="Times New Roman"/>
                <w:sz w:val="24"/>
                <w:szCs w:val="24"/>
              </w:rPr>
              <w:t>79 183</w:t>
            </w:r>
            <w:r w:rsidR="00C64158" w:rsidRPr="00C64158" w:rsidDel="00C64158">
              <w:rPr>
                <w:rFonts w:ascii="Times New Roman" w:hAnsi="Times New Roman" w:cs="Times New Roman"/>
                <w:sz w:val="24"/>
                <w:szCs w:val="24"/>
              </w:rPr>
              <w:t xml:space="preserve"> </w:t>
            </w:r>
            <w:r w:rsidRPr="00F91BD8">
              <w:rPr>
                <w:rFonts w:ascii="Times New Roman" w:hAnsi="Times New Roman" w:cs="Times New Roman"/>
                <w:sz w:val="24"/>
                <w:szCs w:val="24"/>
              </w:rPr>
              <w:t xml:space="preserve">personas). </w:t>
            </w:r>
          </w:p>
        </w:tc>
      </w:tr>
      <w:tr w:rsidR="00CC1A56" w:rsidRPr="00A76ADD" w14:paraId="6F8CAE29" w14:textId="77777777" w:rsidTr="0089655E">
        <w:trPr>
          <w:trHeight w:val="523"/>
        </w:trPr>
        <w:tc>
          <w:tcPr>
            <w:tcW w:w="431" w:type="dxa"/>
          </w:tcPr>
          <w:p w14:paraId="27C40099" w14:textId="77777777" w:rsidR="00CC1A56" w:rsidRPr="00A76ADD" w:rsidRDefault="00CC1A56" w:rsidP="0089655E">
            <w:pPr>
              <w:pStyle w:val="naiskr"/>
              <w:spacing w:before="0" w:beforeAutospacing="0" w:after="0" w:afterAutospacing="0"/>
              <w:ind w:left="57" w:right="57"/>
              <w:jc w:val="both"/>
            </w:pPr>
            <w:r w:rsidRPr="00A76ADD">
              <w:t>2.</w:t>
            </w:r>
          </w:p>
        </w:tc>
        <w:tc>
          <w:tcPr>
            <w:tcW w:w="2825" w:type="dxa"/>
          </w:tcPr>
          <w:p w14:paraId="2557BB6F" w14:textId="77777777" w:rsidR="00CC1A56" w:rsidRPr="00A76ADD" w:rsidRDefault="00CC1A56" w:rsidP="0089655E">
            <w:pPr>
              <w:pStyle w:val="naiskr"/>
              <w:spacing w:before="0" w:beforeAutospacing="0" w:after="0" w:afterAutospacing="0"/>
              <w:ind w:left="57" w:right="57"/>
            </w:pPr>
            <w:r w:rsidRPr="00A76ADD">
              <w:t>Tiesiskā regulējuma ietekme uz tautsaimniecību un administratīvo slogu</w:t>
            </w:r>
          </w:p>
        </w:tc>
        <w:tc>
          <w:tcPr>
            <w:tcW w:w="6378" w:type="dxa"/>
          </w:tcPr>
          <w:p w14:paraId="390832C8" w14:textId="608B857F" w:rsidR="00CC1A56" w:rsidRDefault="00A22686" w:rsidP="0089655E">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Kopumā s</w:t>
            </w:r>
            <w:r w:rsidRPr="00A76ADD">
              <w:rPr>
                <w:rFonts w:ascii="Times New Roman" w:hAnsi="Times New Roman" w:cs="Times New Roman"/>
                <w:sz w:val="24"/>
                <w:szCs w:val="24"/>
              </w:rPr>
              <w:t xml:space="preserve">abiedrības </w:t>
            </w:r>
            <w:r w:rsidR="00F21C20" w:rsidRPr="00A76ADD">
              <w:rPr>
                <w:rFonts w:ascii="Times New Roman" w:hAnsi="Times New Roman" w:cs="Times New Roman"/>
                <w:sz w:val="24"/>
                <w:szCs w:val="24"/>
              </w:rPr>
              <w:t>grupām un institūcijām projekta tiesiskais regulējums nemaina tiesības un pienākumus, kā arī veicamās darbības.</w:t>
            </w:r>
          </w:p>
          <w:p w14:paraId="46326308" w14:textId="675FB2A7" w:rsidR="00A22686" w:rsidRPr="003E5B4D" w:rsidRDefault="00A22686" w:rsidP="0089655E">
            <w:pPr>
              <w:shd w:val="clear" w:color="auto" w:fill="FFFFFF"/>
              <w:spacing w:after="0" w:line="240" w:lineRule="auto"/>
              <w:ind w:left="57" w:right="113"/>
              <w:jc w:val="both"/>
              <w:rPr>
                <w:rFonts w:ascii="Times New Roman" w:hAnsi="Times New Roman" w:cs="Times New Roman"/>
                <w:sz w:val="24"/>
                <w:szCs w:val="24"/>
              </w:rPr>
            </w:pPr>
            <w:r w:rsidRPr="003E5B4D">
              <w:rPr>
                <w:rFonts w:ascii="Times New Roman" w:hAnsi="Times New Roman" w:cs="Times New Roman"/>
                <w:sz w:val="24"/>
                <w:szCs w:val="24"/>
              </w:rPr>
              <w:t xml:space="preserve">Papildus jau pieejamam atbalstam bezdarbniekiem tiek plānots </w:t>
            </w:r>
            <w:r w:rsidRPr="00F62DFD">
              <w:rPr>
                <w:rFonts w:ascii="Times New Roman" w:hAnsi="Times New Roman" w:cs="Times New Roman"/>
                <w:sz w:val="24"/>
                <w:szCs w:val="24"/>
              </w:rPr>
              <w:t xml:space="preserve">apmācību pasākumos </w:t>
            </w:r>
            <w:r>
              <w:rPr>
                <w:rFonts w:ascii="Times New Roman" w:hAnsi="Times New Roman" w:cs="Times New Roman"/>
                <w:sz w:val="24"/>
                <w:szCs w:val="24"/>
              </w:rPr>
              <w:t>ieviest</w:t>
            </w:r>
            <w:r w:rsidRPr="00F62DFD">
              <w:rPr>
                <w:rFonts w:ascii="Times New Roman" w:hAnsi="Times New Roman" w:cs="Times New Roman"/>
                <w:sz w:val="24"/>
                <w:szCs w:val="24"/>
              </w:rPr>
              <w:t xml:space="preserve"> atbalst</w:t>
            </w:r>
            <w:r>
              <w:rPr>
                <w:rFonts w:ascii="Times New Roman" w:hAnsi="Times New Roman" w:cs="Times New Roman"/>
                <w:sz w:val="24"/>
                <w:szCs w:val="24"/>
              </w:rPr>
              <w:t>u</w:t>
            </w:r>
            <w:r w:rsidRPr="00F62DFD">
              <w:rPr>
                <w:rFonts w:ascii="Times New Roman" w:hAnsi="Times New Roman" w:cs="Times New Roman"/>
                <w:sz w:val="24"/>
                <w:szCs w:val="24"/>
              </w:rPr>
              <w:t xml:space="preserve"> reģionālajai mobilitātei, lai veicinātu klientu mobilitāti un iespēju sasniegt apmācību vietas</w:t>
            </w:r>
            <w:r w:rsidRPr="003E5B4D">
              <w:rPr>
                <w:rFonts w:ascii="Times New Roman" w:hAnsi="Times New Roman" w:cs="Times New Roman"/>
                <w:sz w:val="24"/>
                <w:szCs w:val="24"/>
              </w:rPr>
              <w:t xml:space="preserve">. </w:t>
            </w:r>
          </w:p>
          <w:p w14:paraId="75BC688F" w14:textId="741855DB" w:rsidR="003E5B4D" w:rsidRPr="003E5B4D" w:rsidRDefault="003E5B4D" w:rsidP="003E5B4D">
            <w:pPr>
              <w:shd w:val="clear" w:color="auto" w:fill="FFFFFF"/>
              <w:spacing w:after="0" w:line="240" w:lineRule="auto"/>
              <w:ind w:left="57" w:right="113"/>
              <w:jc w:val="both"/>
              <w:rPr>
                <w:rFonts w:ascii="Times New Roman" w:hAnsi="Times New Roman" w:cs="Times New Roman"/>
                <w:sz w:val="24"/>
                <w:szCs w:val="24"/>
              </w:rPr>
            </w:pPr>
            <w:r w:rsidRPr="003E5B4D">
              <w:rPr>
                <w:rFonts w:ascii="Times New Roman" w:hAnsi="Times New Roman" w:cs="Times New Roman"/>
                <w:sz w:val="24"/>
                <w:szCs w:val="24"/>
              </w:rPr>
              <w:t>Sabiedrības mērķgrupai</w:t>
            </w:r>
            <w:r>
              <w:rPr>
                <w:rFonts w:ascii="Times New Roman" w:hAnsi="Times New Roman" w:cs="Times New Roman"/>
                <w:sz w:val="24"/>
                <w:szCs w:val="24"/>
              </w:rPr>
              <w:t xml:space="preserve"> (t</w:t>
            </w:r>
            <w:r w:rsidRPr="003E5B4D">
              <w:rPr>
                <w:rFonts w:ascii="Times New Roman" w:hAnsi="Times New Roman" w:cs="Times New Roman"/>
                <w:sz w:val="24"/>
                <w:szCs w:val="24"/>
              </w:rPr>
              <w:t>iek plānots, ka reģionālās mobilitātes atbalstam varētu pieteikties vidēji 2% no visiem pasākumu dalībniekiem</w:t>
            </w:r>
            <w:r>
              <w:rPr>
                <w:rFonts w:ascii="Times New Roman" w:hAnsi="Times New Roman" w:cs="Times New Roman"/>
                <w:sz w:val="24"/>
                <w:szCs w:val="24"/>
              </w:rPr>
              <w:t>)</w:t>
            </w:r>
            <w:r w:rsidRPr="003E5B4D">
              <w:rPr>
                <w:rFonts w:ascii="Times New Roman" w:hAnsi="Times New Roman" w:cs="Times New Roman"/>
                <w:sz w:val="24"/>
                <w:szCs w:val="24"/>
              </w:rPr>
              <w:t xml:space="preserve">, atbilstoši MK noteikumu projekta </w:t>
            </w:r>
            <w:r>
              <w:rPr>
                <w:rFonts w:ascii="Times New Roman" w:hAnsi="Times New Roman" w:cs="Times New Roman"/>
                <w:sz w:val="24"/>
                <w:szCs w:val="24"/>
              </w:rPr>
              <w:t>29.punktam,</w:t>
            </w:r>
            <w:r w:rsidRPr="003E5B4D">
              <w:rPr>
                <w:rFonts w:ascii="Times New Roman" w:hAnsi="Times New Roman" w:cs="Times New Roman"/>
                <w:sz w:val="24"/>
                <w:szCs w:val="24"/>
              </w:rPr>
              <w:t xml:space="preserve"> bezdarbniekam, lai saņemtu atbalstu reģionālai mobilitātei iesniedz:</w:t>
            </w:r>
          </w:p>
          <w:p w14:paraId="58041A5A" w14:textId="77777777" w:rsidR="003E5B4D" w:rsidRPr="003E5B4D" w:rsidRDefault="003E5B4D" w:rsidP="003E5B4D">
            <w:pPr>
              <w:shd w:val="clear" w:color="auto" w:fill="FFFFFF"/>
              <w:spacing w:after="0" w:line="240" w:lineRule="auto"/>
              <w:ind w:left="57" w:right="113"/>
              <w:jc w:val="both"/>
              <w:rPr>
                <w:rFonts w:ascii="Times New Roman" w:hAnsi="Times New Roman" w:cs="Times New Roman"/>
                <w:sz w:val="24"/>
                <w:szCs w:val="24"/>
              </w:rPr>
            </w:pPr>
            <w:r w:rsidRPr="003E5B4D">
              <w:rPr>
                <w:rFonts w:ascii="Times New Roman" w:hAnsi="Times New Roman" w:cs="Times New Roman"/>
                <w:sz w:val="24"/>
                <w:szCs w:val="24"/>
              </w:rPr>
              <w:t>- iesniegumu par nepieciešamo finanšu atbalstu reģionālai mobilitātei;</w:t>
            </w:r>
          </w:p>
          <w:p w14:paraId="31BE6099" w14:textId="29AB5E82" w:rsidR="004F135B" w:rsidRPr="00A76ADD" w:rsidRDefault="003E5B4D" w:rsidP="00C67A0E">
            <w:pPr>
              <w:shd w:val="clear" w:color="auto" w:fill="FFFFFF"/>
              <w:spacing w:after="0" w:line="240" w:lineRule="auto"/>
              <w:ind w:left="57" w:right="113"/>
              <w:jc w:val="both"/>
              <w:rPr>
                <w:rFonts w:ascii="Times New Roman" w:hAnsi="Times New Roman" w:cs="Times New Roman"/>
                <w:sz w:val="24"/>
                <w:szCs w:val="24"/>
                <w:lang w:eastAsia="lv-LV"/>
              </w:rPr>
            </w:pPr>
            <w:r w:rsidRPr="003E5B4D">
              <w:rPr>
                <w:rFonts w:ascii="Times New Roman" w:hAnsi="Times New Roman" w:cs="Times New Roman"/>
                <w:sz w:val="24"/>
                <w:szCs w:val="24"/>
              </w:rPr>
              <w:t>- pēc katra apmācību mēneša beigām, bet ne vēlāk kā līdz kārtējā mēneša piektajam datumam bezdarbnieks iesniedz finansējuma saņēmējam izdevumus apliecinošus dokumentus par iepriekšējo apmācību mēnesi.</w:t>
            </w:r>
          </w:p>
        </w:tc>
      </w:tr>
      <w:tr w:rsidR="00CC1A56" w:rsidRPr="00A76ADD" w14:paraId="61914012" w14:textId="77777777" w:rsidTr="0089655E">
        <w:trPr>
          <w:trHeight w:val="523"/>
        </w:trPr>
        <w:tc>
          <w:tcPr>
            <w:tcW w:w="431" w:type="dxa"/>
          </w:tcPr>
          <w:p w14:paraId="03026045" w14:textId="77777777" w:rsidR="00CC1A56" w:rsidRPr="00A76ADD" w:rsidRDefault="00CC1A56" w:rsidP="0089655E">
            <w:pPr>
              <w:pStyle w:val="naiskr"/>
              <w:spacing w:before="0" w:beforeAutospacing="0" w:after="0" w:afterAutospacing="0"/>
              <w:ind w:left="57" w:right="57"/>
              <w:jc w:val="both"/>
            </w:pPr>
            <w:r w:rsidRPr="00A76ADD">
              <w:t>3.</w:t>
            </w:r>
          </w:p>
        </w:tc>
        <w:tc>
          <w:tcPr>
            <w:tcW w:w="2825" w:type="dxa"/>
          </w:tcPr>
          <w:p w14:paraId="0D33F6D5" w14:textId="77777777" w:rsidR="00CC1A56" w:rsidRPr="00A76ADD" w:rsidRDefault="00CC1A56" w:rsidP="0089655E">
            <w:pPr>
              <w:pStyle w:val="naiskr"/>
              <w:spacing w:before="0" w:beforeAutospacing="0" w:after="0" w:afterAutospacing="0"/>
              <w:ind w:left="57" w:right="57"/>
            </w:pPr>
            <w:r w:rsidRPr="00A76ADD">
              <w:t>Administratīvo izmaksu monetārs novērtējums</w:t>
            </w:r>
          </w:p>
        </w:tc>
        <w:tc>
          <w:tcPr>
            <w:tcW w:w="6378" w:type="dxa"/>
          </w:tcPr>
          <w:p w14:paraId="64FCF3AD" w14:textId="76C10A9A" w:rsidR="003E5B4D" w:rsidRPr="003E5B4D" w:rsidRDefault="003E5B4D" w:rsidP="003E5B4D">
            <w:pPr>
              <w:shd w:val="clear" w:color="auto" w:fill="FFFFFF"/>
              <w:spacing w:after="0" w:line="240" w:lineRule="auto"/>
              <w:ind w:left="57" w:right="113"/>
              <w:jc w:val="both"/>
              <w:rPr>
                <w:rFonts w:ascii="Times New Roman" w:hAnsi="Times New Roman" w:cs="Times New Roman"/>
                <w:sz w:val="24"/>
                <w:szCs w:val="24"/>
              </w:rPr>
            </w:pPr>
            <w:r w:rsidRPr="003E5B4D">
              <w:rPr>
                <w:rFonts w:ascii="Times New Roman" w:hAnsi="Times New Roman" w:cs="Times New Roman"/>
                <w:sz w:val="24"/>
                <w:szCs w:val="24"/>
              </w:rPr>
              <w:t>- Iesniedzot iesniegumu par nepieciešamo finanšu atbalstu reģionālai mobilitātei: (darbaspēka atlīdzības vidējā likme * laiks, kas nepieciešams bezdarbniekam, lai sagatavotu iesniegumu) * (bezdarbnieku skaits, kas varētu pieteikties uz atbalstu reģionālai mobilitātei * iesniegumu sagatavošanas biežums) + transporta izdevumi, kas radušies bezdarbniekam, nogādājot iesniegumu aģentūrā = (5,09*0,5) * (</w:t>
            </w:r>
            <w:r>
              <w:rPr>
                <w:rFonts w:ascii="Times New Roman" w:hAnsi="Times New Roman" w:cs="Times New Roman"/>
                <w:sz w:val="24"/>
                <w:szCs w:val="24"/>
              </w:rPr>
              <w:t>1 700</w:t>
            </w:r>
            <w:r w:rsidRPr="003E5B4D">
              <w:rPr>
                <w:rFonts w:ascii="Times New Roman" w:hAnsi="Times New Roman" w:cs="Times New Roman"/>
                <w:sz w:val="24"/>
                <w:szCs w:val="24"/>
              </w:rPr>
              <w:t>*1) + (2*</w:t>
            </w:r>
            <w:r>
              <w:rPr>
                <w:rFonts w:ascii="Times New Roman" w:hAnsi="Times New Roman" w:cs="Times New Roman"/>
                <w:sz w:val="24"/>
                <w:szCs w:val="24"/>
              </w:rPr>
              <w:t>1 700</w:t>
            </w:r>
            <w:r w:rsidRPr="003E5B4D">
              <w:rPr>
                <w:rFonts w:ascii="Times New Roman" w:hAnsi="Times New Roman" w:cs="Times New Roman"/>
                <w:sz w:val="24"/>
                <w:szCs w:val="24"/>
              </w:rPr>
              <w:t xml:space="preserve">) = </w:t>
            </w:r>
            <w:r>
              <w:rPr>
                <w:rFonts w:ascii="Times New Roman" w:hAnsi="Times New Roman" w:cs="Times New Roman"/>
                <w:sz w:val="24"/>
                <w:szCs w:val="24"/>
              </w:rPr>
              <w:t>4 326,50</w:t>
            </w:r>
            <w:r w:rsidRPr="003E5B4D">
              <w:rPr>
                <w:rFonts w:ascii="Times New Roman" w:hAnsi="Times New Roman" w:cs="Times New Roman"/>
                <w:sz w:val="24"/>
                <w:szCs w:val="24"/>
              </w:rPr>
              <w:t xml:space="preserve"> + </w:t>
            </w:r>
            <w:r>
              <w:rPr>
                <w:rFonts w:ascii="Times New Roman" w:hAnsi="Times New Roman" w:cs="Times New Roman"/>
                <w:sz w:val="24"/>
                <w:szCs w:val="24"/>
              </w:rPr>
              <w:t>3 400</w:t>
            </w:r>
            <w:r w:rsidRPr="003E5B4D">
              <w:rPr>
                <w:rFonts w:ascii="Times New Roman" w:hAnsi="Times New Roman" w:cs="Times New Roman"/>
                <w:sz w:val="24"/>
                <w:szCs w:val="24"/>
              </w:rPr>
              <w:t xml:space="preserve"> = </w:t>
            </w:r>
            <w:r>
              <w:rPr>
                <w:rFonts w:ascii="Times New Roman" w:hAnsi="Times New Roman" w:cs="Times New Roman"/>
                <w:sz w:val="24"/>
                <w:szCs w:val="24"/>
              </w:rPr>
              <w:t>EUR 7 726,50</w:t>
            </w:r>
            <w:r w:rsidRPr="003E5B4D">
              <w:rPr>
                <w:rFonts w:ascii="Times New Roman" w:hAnsi="Times New Roman" w:cs="Times New Roman"/>
                <w:sz w:val="24"/>
                <w:szCs w:val="24"/>
              </w:rPr>
              <w:t>;</w:t>
            </w:r>
          </w:p>
          <w:p w14:paraId="1D9112F7" w14:textId="2A2577B2" w:rsidR="00CC1A56" w:rsidRPr="00A76ADD" w:rsidRDefault="003E5B4D" w:rsidP="008D7EEB">
            <w:pPr>
              <w:shd w:val="clear" w:color="auto" w:fill="FFFFFF"/>
              <w:spacing w:after="0" w:line="240" w:lineRule="auto"/>
              <w:ind w:left="57" w:right="113"/>
              <w:jc w:val="both"/>
              <w:rPr>
                <w:rFonts w:ascii="Times New Roman" w:hAnsi="Times New Roman" w:cs="Times New Roman"/>
                <w:sz w:val="24"/>
                <w:szCs w:val="24"/>
              </w:rPr>
            </w:pPr>
            <w:r w:rsidRPr="003E5B4D">
              <w:rPr>
                <w:rFonts w:ascii="Times New Roman" w:hAnsi="Times New Roman" w:cs="Times New Roman"/>
                <w:sz w:val="24"/>
                <w:szCs w:val="24"/>
              </w:rPr>
              <w:t xml:space="preserve">- Sniedzot pēc katra apmācību mēneša beigām, bet ne vēlāk kā līdz kārtējā mēneša piektajam datumam izdevumus apliecinošus dokumentus par iepriekšējo apmācību mēnesi: (darbaspēka atlīdzības vidējā likme * laiks, kas nepieciešams bezdarbniekam, lai sagatavotu nepieciešamo informāciju par izdevumus apliecinošiem dokumentiem) * (bezdarbnieku skaits, kas saņem </w:t>
            </w:r>
            <w:r w:rsidRPr="003E5B4D">
              <w:rPr>
                <w:rFonts w:ascii="Times New Roman" w:hAnsi="Times New Roman" w:cs="Times New Roman"/>
                <w:sz w:val="24"/>
                <w:szCs w:val="24"/>
              </w:rPr>
              <w:lastRenderedPageBreak/>
              <w:t>atbalstu reģionālai mobilitātei</w:t>
            </w:r>
            <w:r>
              <w:rPr>
                <w:rFonts w:ascii="Times New Roman" w:hAnsi="Times New Roman" w:cs="Times New Roman"/>
                <w:sz w:val="24"/>
                <w:szCs w:val="24"/>
              </w:rPr>
              <w:t xml:space="preserve"> </w:t>
            </w:r>
            <w:r w:rsidRPr="003E5B4D">
              <w:rPr>
                <w:rFonts w:ascii="Times New Roman" w:hAnsi="Times New Roman" w:cs="Times New Roman"/>
                <w:sz w:val="24"/>
                <w:szCs w:val="24"/>
              </w:rPr>
              <w:t>*</w:t>
            </w:r>
            <w:r>
              <w:rPr>
                <w:rFonts w:ascii="Times New Roman" w:hAnsi="Times New Roman" w:cs="Times New Roman"/>
                <w:sz w:val="24"/>
                <w:szCs w:val="24"/>
              </w:rPr>
              <w:t xml:space="preserve"> </w:t>
            </w:r>
            <w:r w:rsidRPr="003E5B4D">
              <w:rPr>
                <w:rFonts w:ascii="Times New Roman" w:hAnsi="Times New Roman" w:cs="Times New Roman"/>
                <w:sz w:val="24"/>
                <w:szCs w:val="24"/>
              </w:rPr>
              <w:t>informācijas sagatavošanas biežums) + transporta izdevumi, kas radušies bezdarbniekam, nogādājot informāciju aģentūrā, + izdevumi par kopiju izgatavošanu = (5,09*0,5) * (</w:t>
            </w:r>
            <w:r w:rsidR="008D7EEB">
              <w:rPr>
                <w:rFonts w:ascii="Times New Roman" w:hAnsi="Times New Roman" w:cs="Times New Roman"/>
                <w:sz w:val="24"/>
                <w:szCs w:val="24"/>
              </w:rPr>
              <w:t>1 700*9</w:t>
            </w:r>
            <w:r w:rsidRPr="003E5B4D">
              <w:rPr>
                <w:rFonts w:ascii="Times New Roman" w:hAnsi="Times New Roman" w:cs="Times New Roman"/>
                <w:sz w:val="24"/>
                <w:szCs w:val="24"/>
              </w:rPr>
              <w:t>) + ((1+2)*</w:t>
            </w:r>
            <w:r w:rsidR="008D7EEB">
              <w:rPr>
                <w:rFonts w:ascii="Times New Roman" w:hAnsi="Times New Roman" w:cs="Times New Roman"/>
                <w:sz w:val="24"/>
                <w:szCs w:val="24"/>
              </w:rPr>
              <w:t>1 700</w:t>
            </w:r>
            <w:r w:rsidRPr="003E5B4D">
              <w:rPr>
                <w:rFonts w:ascii="Times New Roman" w:hAnsi="Times New Roman" w:cs="Times New Roman"/>
                <w:sz w:val="24"/>
                <w:szCs w:val="24"/>
              </w:rPr>
              <w:t xml:space="preserve">) = </w:t>
            </w:r>
            <w:r w:rsidR="008D7EEB">
              <w:rPr>
                <w:rFonts w:ascii="Times New Roman" w:hAnsi="Times New Roman" w:cs="Times New Roman"/>
                <w:sz w:val="24"/>
                <w:szCs w:val="24"/>
              </w:rPr>
              <w:t>38 938,50</w:t>
            </w:r>
            <w:r w:rsidRPr="003E5B4D">
              <w:rPr>
                <w:rFonts w:ascii="Times New Roman" w:hAnsi="Times New Roman" w:cs="Times New Roman"/>
                <w:sz w:val="24"/>
                <w:szCs w:val="24"/>
              </w:rPr>
              <w:t xml:space="preserve"> + </w:t>
            </w:r>
            <w:r w:rsidR="008D7EEB">
              <w:rPr>
                <w:rFonts w:ascii="Times New Roman" w:hAnsi="Times New Roman" w:cs="Times New Roman"/>
                <w:sz w:val="24"/>
                <w:szCs w:val="24"/>
              </w:rPr>
              <w:t xml:space="preserve">3 400 </w:t>
            </w:r>
            <w:r w:rsidRPr="003E5B4D">
              <w:rPr>
                <w:rFonts w:ascii="Times New Roman" w:hAnsi="Times New Roman" w:cs="Times New Roman"/>
                <w:sz w:val="24"/>
                <w:szCs w:val="24"/>
              </w:rPr>
              <w:t xml:space="preserve">= </w:t>
            </w:r>
            <w:r w:rsidR="008D7EEB">
              <w:rPr>
                <w:rFonts w:ascii="Times New Roman" w:hAnsi="Times New Roman" w:cs="Times New Roman"/>
                <w:sz w:val="24"/>
                <w:szCs w:val="24"/>
              </w:rPr>
              <w:t>EUR 42 338,50</w:t>
            </w:r>
            <w:r w:rsidRPr="003E5B4D">
              <w:rPr>
                <w:rFonts w:ascii="Times New Roman" w:hAnsi="Times New Roman" w:cs="Times New Roman"/>
                <w:sz w:val="24"/>
                <w:szCs w:val="24"/>
              </w:rPr>
              <w:t>.</w:t>
            </w:r>
          </w:p>
        </w:tc>
      </w:tr>
      <w:tr w:rsidR="00CC1A56" w:rsidRPr="00A76ADD" w14:paraId="474C7997" w14:textId="77777777" w:rsidTr="0089655E">
        <w:trPr>
          <w:trHeight w:val="357"/>
        </w:trPr>
        <w:tc>
          <w:tcPr>
            <w:tcW w:w="431" w:type="dxa"/>
          </w:tcPr>
          <w:p w14:paraId="1C53E5E5" w14:textId="77777777" w:rsidR="00CC1A56" w:rsidRPr="00A76ADD" w:rsidRDefault="00CC1A56" w:rsidP="0089655E">
            <w:pPr>
              <w:pStyle w:val="naiskr"/>
              <w:spacing w:before="0" w:beforeAutospacing="0" w:after="0" w:afterAutospacing="0"/>
              <w:ind w:left="57" w:right="57"/>
              <w:jc w:val="both"/>
            </w:pPr>
            <w:r w:rsidRPr="00A76ADD">
              <w:lastRenderedPageBreak/>
              <w:t>4.</w:t>
            </w:r>
          </w:p>
        </w:tc>
        <w:tc>
          <w:tcPr>
            <w:tcW w:w="2825" w:type="dxa"/>
          </w:tcPr>
          <w:p w14:paraId="59A73AD6" w14:textId="77777777" w:rsidR="00CC1A56" w:rsidRPr="00A76ADD" w:rsidRDefault="00CC1A56" w:rsidP="0089655E">
            <w:pPr>
              <w:pStyle w:val="naiskr"/>
              <w:spacing w:before="0" w:beforeAutospacing="0" w:after="0" w:afterAutospacing="0"/>
              <w:ind w:left="57" w:right="57"/>
            </w:pPr>
            <w:r w:rsidRPr="00A76ADD">
              <w:t>Cita informācija</w:t>
            </w:r>
          </w:p>
        </w:tc>
        <w:tc>
          <w:tcPr>
            <w:tcW w:w="6378" w:type="dxa"/>
          </w:tcPr>
          <w:p w14:paraId="7F8909DE" w14:textId="77777777" w:rsidR="00CC1A56" w:rsidRPr="00A76ADD" w:rsidRDefault="007F44BF" w:rsidP="0089655E">
            <w:pPr>
              <w:shd w:val="clear" w:color="auto" w:fill="FFFFFF"/>
              <w:spacing w:after="0" w:line="240" w:lineRule="auto"/>
              <w:ind w:left="57" w:right="113"/>
              <w:jc w:val="both"/>
              <w:rPr>
                <w:rFonts w:ascii="Times New Roman" w:hAnsi="Times New Roman" w:cs="Times New Roman"/>
                <w:sz w:val="24"/>
                <w:szCs w:val="24"/>
              </w:rPr>
            </w:pPr>
            <w:r w:rsidRPr="00A76ADD">
              <w:rPr>
                <w:rFonts w:ascii="Times New Roman" w:hAnsi="Times New Roman" w:cs="Times New Roman"/>
                <w:sz w:val="24"/>
                <w:szCs w:val="24"/>
              </w:rPr>
              <w:t>Nav.</w:t>
            </w:r>
          </w:p>
        </w:tc>
      </w:tr>
    </w:tbl>
    <w:p w14:paraId="189798E3" w14:textId="77777777" w:rsidR="00935C43" w:rsidRPr="00A76ADD" w:rsidRDefault="00935C43" w:rsidP="0089655E">
      <w:pPr>
        <w:spacing w:after="0" w:line="240" w:lineRule="auto"/>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1276"/>
        <w:gridCol w:w="1275"/>
        <w:gridCol w:w="1418"/>
        <w:gridCol w:w="1422"/>
      </w:tblGrid>
      <w:tr w:rsidR="005A7179" w:rsidRPr="00A76ADD" w14:paraId="21C9A116" w14:textId="77777777" w:rsidTr="0089655E">
        <w:trPr>
          <w:trHeight w:val="361"/>
          <w:jc w:val="center"/>
        </w:trPr>
        <w:tc>
          <w:tcPr>
            <w:tcW w:w="9639" w:type="dxa"/>
            <w:gridSpan w:val="6"/>
            <w:vAlign w:val="center"/>
          </w:tcPr>
          <w:p w14:paraId="6DE914A3" w14:textId="77777777" w:rsidR="005A7179" w:rsidRPr="00A76ADD" w:rsidRDefault="005A7179" w:rsidP="0089655E">
            <w:pPr>
              <w:pStyle w:val="naisnod"/>
              <w:spacing w:before="0" w:beforeAutospacing="0" w:after="0" w:afterAutospacing="0"/>
              <w:jc w:val="center"/>
              <w:rPr>
                <w:b/>
                <w:i/>
              </w:rPr>
            </w:pPr>
            <w:r w:rsidRPr="00A76ADD">
              <w:br w:type="page"/>
            </w:r>
            <w:r w:rsidRPr="00A76ADD">
              <w:rPr>
                <w:b/>
              </w:rPr>
              <w:t>III. Tiesību akta projekta ietekme uz valsts budžetu un pašvaldību budžetiem</w:t>
            </w:r>
          </w:p>
        </w:tc>
      </w:tr>
      <w:tr w:rsidR="005A7179" w:rsidRPr="00A76ADD" w14:paraId="25951DD1" w14:textId="77777777" w:rsidTr="00883BC7">
        <w:trPr>
          <w:jc w:val="center"/>
        </w:trPr>
        <w:tc>
          <w:tcPr>
            <w:tcW w:w="3114" w:type="dxa"/>
            <w:vMerge w:val="restart"/>
            <w:vAlign w:val="center"/>
          </w:tcPr>
          <w:p w14:paraId="4F3583CF" w14:textId="20FD2150" w:rsidR="003F700D" w:rsidRPr="00A76ADD" w:rsidRDefault="005A7179" w:rsidP="0089655E">
            <w:pPr>
              <w:pStyle w:val="naisf"/>
              <w:spacing w:before="0" w:beforeAutospacing="0" w:after="0" w:afterAutospacing="0"/>
              <w:jc w:val="center"/>
              <w:rPr>
                <w:b/>
              </w:rPr>
            </w:pPr>
            <w:r w:rsidRPr="00A76ADD">
              <w:rPr>
                <w:b/>
              </w:rPr>
              <w:t>Rādītāji</w:t>
            </w:r>
          </w:p>
          <w:p w14:paraId="352DF279" w14:textId="77777777" w:rsidR="003F700D" w:rsidRPr="00A76ADD" w:rsidRDefault="003F700D" w:rsidP="0089655E">
            <w:pPr>
              <w:spacing w:after="0" w:line="240" w:lineRule="auto"/>
              <w:rPr>
                <w:rFonts w:ascii="Times New Roman" w:hAnsi="Times New Roman" w:cs="Times New Roman"/>
                <w:lang w:eastAsia="lv-LV"/>
              </w:rPr>
            </w:pPr>
          </w:p>
          <w:p w14:paraId="48CA9C06" w14:textId="77777777" w:rsidR="003F700D" w:rsidRPr="00A76ADD" w:rsidRDefault="003F700D" w:rsidP="0089655E">
            <w:pPr>
              <w:spacing w:after="0" w:line="240" w:lineRule="auto"/>
              <w:rPr>
                <w:rFonts w:ascii="Times New Roman" w:hAnsi="Times New Roman" w:cs="Times New Roman"/>
                <w:lang w:eastAsia="lv-LV"/>
              </w:rPr>
            </w:pPr>
          </w:p>
          <w:p w14:paraId="29F3C60B" w14:textId="6F953B37" w:rsidR="00EE0D9F" w:rsidRPr="00A76ADD" w:rsidRDefault="00EE0D9F" w:rsidP="0089655E">
            <w:pPr>
              <w:spacing w:after="0" w:line="240" w:lineRule="auto"/>
              <w:rPr>
                <w:rFonts w:ascii="Times New Roman" w:hAnsi="Times New Roman" w:cs="Times New Roman"/>
                <w:lang w:eastAsia="lv-LV"/>
              </w:rPr>
            </w:pPr>
          </w:p>
          <w:p w14:paraId="4B0D95BB" w14:textId="77777777" w:rsidR="005A7179" w:rsidRPr="00A76ADD" w:rsidRDefault="005A7179" w:rsidP="0089655E">
            <w:pPr>
              <w:spacing w:after="0" w:line="240" w:lineRule="auto"/>
              <w:rPr>
                <w:rFonts w:ascii="Times New Roman" w:hAnsi="Times New Roman" w:cs="Times New Roman"/>
                <w:lang w:eastAsia="lv-LV"/>
              </w:rPr>
            </w:pPr>
          </w:p>
        </w:tc>
        <w:tc>
          <w:tcPr>
            <w:tcW w:w="2410" w:type="dxa"/>
            <w:gridSpan w:val="2"/>
            <w:vMerge w:val="restart"/>
            <w:vAlign w:val="center"/>
          </w:tcPr>
          <w:p w14:paraId="530E8C97" w14:textId="77777777" w:rsidR="005A7179" w:rsidRPr="00A76ADD" w:rsidRDefault="005A7179" w:rsidP="0089655E">
            <w:pPr>
              <w:pStyle w:val="naisf"/>
              <w:spacing w:before="0" w:beforeAutospacing="0" w:after="0" w:afterAutospacing="0"/>
              <w:jc w:val="center"/>
              <w:rPr>
                <w:b/>
              </w:rPr>
            </w:pPr>
            <w:r w:rsidRPr="00A76ADD">
              <w:rPr>
                <w:b/>
              </w:rPr>
              <w:t>2014.gads</w:t>
            </w:r>
          </w:p>
        </w:tc>
        <w:tc>
          <w:tcPr>
            <w:tcW w:w="4115" w:type="dxa"/>
            <w:gridSpan w:val="3"/>
            <w:vAlign w:val="center"/>
          </w:tcPr>
          <w:p w14:paraId="70346860" w14:textId="77777777" w:rsidR="005A7179" w:rsidRPr="00A76ADD" w:rsidRDefault="005A7179" w:rsidP="0089655E">
            <w:pPr>
              <w:pStyle w:val="naisf"/>
              <w:spacing w:before="0" w:beforeAutospacing="0" w:after="0" w:afterAutospacing="0"/>
              <w:jc w:val="center"/>
              <w:rPr>
                <w:b/>
                <w:i/>
              </w:rPr>
            </w:pPr>
            <w:r w:rsidRPr="00A76ADD">
              <w:t>Turpmākie trīs gadi (</w:t>
            </w:r>
            <w:r w:rsidRPr="00A76ADD">
              <w:rPr>
                <w:i/>
              </w:rPr>
              <w:t>euro</w:t>
            </w:r>
            <w:r w:rsidRPr="00A76ADD">
              <w:t>)</w:t>
            </w:r>
          </w:p>
        </w:tc>
      </w:tr>
      <w:tr w:rsidR="005A7179" w:rsidRPr="00A76ADD" w14:paraId="533C27AC" w14:textId="77777777" w:rsidTr="00883BC7">
        <w:trPr>
          <w:jc w:val="center"/>
        </w:trPr>
        <w:tc>
          <w:tcPr>
            <w:tcW w:w="3114" w:type="dxa"/>
            <w:vMerge/>
            <w:vAlign w:val="center"/>
          </w:tcPr>
          <w:p w14:paraId="64A5A6FA" w14:textId="77777777" w:rsidR="005A7179" w:rsidRPr="00A76ADD" w:rsidRDefault="005A7179" w:rsidP="0089655E">
            <w:pPr>
              <w:pStyle w:val="naisf"/>
              <w:spacing w:before="0" w:beforeAutospacing="0" w:after="0" w:afterAutospacing="0"/>
              <w:jc w:val="center"/>
              <w:rPr>
                <w:b/>
                <w:i/>
              </w:rPr>
            </w:pPr>
          </w:p>
        </w:tc>
        <w:tc>
          <w:tcPr>
            <w:tcW w:w="2410" w:type="dxa"/>
            <w:gridSpan w:val="2"/>
            <w:vMerge/>
            <w:vAlign w:val="center"/>
          </w:tcPr>
          <w:p w14:paraId="4203ACAC" w14:textId="77777777" w:rsidR="005A7179" w:rsidRPr="00A76ADD" w:rsidRDefault="005A7179" w:rsidP="0089655E">
            <w:pPr>
              <w:pStyle w:val="naisf"/>
              <w:spacing w:before="0" w:beforeAutospacing="0" w:after="0" w:afterAutospacing="0"/>
              <w:jc w:val="center"/>
              <w:rPr>
                <w:b/>
                <w:i/>
              </w:rPr>
            </w:pPr>
          </w:p>
        </w:tc>
        <w:tc>
          <w:tcPr>
            <w:tcW w:w="1275" w:type="dxa"/>
            <w:vAlign w:val="center"/>
          </w:tcPr>
          <w:p w14:paraId="220412E2" w14:textId="77777777" w:rsidR="005A7179" w:rsidRPr="00A76ADD" w:rsidRDefault="005A7179" w:rsidP="0089655E">
            <w:pPr>
              <w:pStyle w:val="naisf"/>
              <w:spacing w:before="0" w:beforeAutospacing="0" w:after="0" w:afterAutospacing="0"/>
              <w:jc w:val="center"/>
              <w:rPr>
                <w:b/>
                <w:i/>
              </w:rPr>
            </w:pPr>
            <w:r w:rsidRPr="00A76ADD">
              <w:rPr>
                <w:b/>
                <w:bCs/>
              </w:rPr>
              <w:t>2015.</w:t>
            </w:r>
          </w:p>
        </w:tc>
        <w:tc>
          <w:tcPr>
            <w:tcW w:w="1418" w:type="dxa"/>
            <w:vAlign w:val="center"/>
          </w:tcPr>
          <w:p w14:paraId="11553E1F" w14:textId="77777777" w:rsidR="005A7179" w:rsidRPr="00A76ADD" w:rsidRDefault="005A7179" w:rsidP="0089655E">
            <w:pPr>
              <w:pStyle w:val="naisf"/>
              <w:spacing w:before="0" w:beforeAutospacing="0" w:after="0" w:afterAutospacing="0"/>
              <w:jc w:val="center"/>
              <w:rPr>
                <w:b/>
                <w:i/>
              </w:rPr>
            </w:pPr>
            <w:r w:rsidRPr="00A76ADD">
              <w:rPr>
                <w:b/>
                <w:bCs/>
              </w:rPr>
              <w:t>2016.</w:t>
            </w:r>
          </w:p>
        </w:tc>
        <w:tc>
          <w:tcPr>
            <w:tcW w:w="1422" w:type="dxa"/>
            <w:vAlign w:val="center"/>
          </w:tcPr>
          <w:p w14:paraId="0E3CF2D2" w14:textId="77777777" w:rsidR="005A7179" w:rsidRPr="00A76ADD" w:rsidRDefault="005A7179" w:rsidP="0089655E">
            <w:pPr>
              <w:pStyle w:val="naisf"/>
              <w:spacing w:before="0" w:beforeAutospacing="0" w:after="0" w:afterAutospacing="0"/>
              <w:jc w:val="center"/>
              <w:rPr>
                <w:b/>
                <w:i/>
              </w:rPr>
            </w:pPr>
            <w:r w:rsidRPr="00A76ADD">
              <w:rPr>
                <w:b/>
                <w:bCs/>
              </w:rPr>
              <w:t>2017.</w:t>
            </w:r>
          </w:p>
        </w:tc>
      </w:tr>
      <w:tr w:rsidR="005A7179" w:rsidRPr="00A76ADD" w14:paraId="123AC2FB" w14:textId="77777777" w:rsidTr="00883BC7">
        <w:trPr>
          <w:jc w:val="center"/>
        </w:trPr>
        <w:tc>
          <w:tcPr>
            <w:tcW w:w="3114" w:type="dxa"/>
            <w:vMerge/>
            <w:vAlign w:val="center"/>
          </w:tcPr>
          <w:p w14:paraId="45CAD2F7" w14:textId="77777777" w:rsidR="005A7179" w:rsidRPr="00A76ADD" w:rsidRDefault="005A7179" w:rsidP="0089655E">
            <w:pPr>
              <w:pStyle w:val="naisf"/>
              <w:spacing w:before="0" w:beforeAutospacing="0" w:after="0" w:afterAutospacing="0"/>
              <w:jc w:val="center"/>
              <w:rPr>
                <w:b/>
                <w:i/>
              </w:rPr>
            </w:pPr>
          </w:p>
        </w:tc>
        <w:tc>
          <w:tcPr>
            <w:tcW w:w="1134" w:type="dxa"/>
            <w:vAlign w:val="center"/>
          </w:tcPr>
          <w:p w14:paraId="110C33A3" w14:textId="77777777" w:rsidR="005A7179" w:rsidRPr="00A76ADD" w:rsidRDefault="005A7179" w:rsidP="0089655E">
            <w:pPr>
              <w:pStyle w:val="naisf"/>
              <w:spacing w:before="0" w:beforeAutospacing="0" w:after="0" w:afterAutospacing="0"/>
              <w:jc w:val="center"/>
              <w:rPr>
                <w:b/>
                <w:i/>
              </w:rPr>
            </w:pPr>
            <w:r w:rsidRPr="00A76ADD">
              <w:t>saskaņā ar valsts budžetu kārtējam gadam</w:t>
            </w:r>
          </w:p>
        </w:tc>
        <w:tc>
          <w:tcPr>
            <w:tcW w:w="1276" w:type="dxa"/>
            <w:vAlign w:val="center"/>
          </w:tcPr>
          <w:p w14:paraId="1C25A8E4" w14:textId="77777777" w:rsidR="005A7179" w:rsidRPr="00A76ADD" w:rsidRDefault="005A7179" w:rsidP="0089655E">
            <w:pPr>
              <w:pStyle w:val="naisf"/>
              <w:spacing w:before="0" w:beforeAutospacing="0" w:after="0" w:afterAutospacing="0"/>
              <w:jc w:val="center"/>
              <w:rPr>
                <w:b/>
                <w:i/>
              </w:rPr>
            </w:pPr>
            <w:r w:rsidRPr="00A76ADD">
              <w:t>izmaiņas kārtējā gadā, salīdzinot ar valsts budžetu kārtējam gadam</w:t>
            </w:r>
          </w:p>
        </w:tc>
        <w:tc>
          <w:tcPr>
            <w:tcW w:w="1275" w:type="dxa"/>
            <w:vAlign w:val="center"/>
          </w:tcPr>
          <w:p w14:paraId="6BCD00E7" w14:textId="77777777" w:rsidR="005A7179" w:rsidRPr="00A76ADD" w:rsidRDefault="005A7179" w:rsidP="0089655E">
            <w:pPr>
              <w:pStyle w:val="naisf"/>
              <w:spacing w:before="0" w:beforeAutospacing="0" w:after="0" w:afterAutospacing="0"/>
              <w:jc w:val="center"/>
              <w:rPr>
                <w:b/>
                <w:i/>
              </w:rPr>
            </w:pPr>
            <w:r w:rsidRPr="00A76ADD">
              <w:t>izmaiņas, salīdzinot ar kārtējo (n) gadu</w:t>
            </w:r>
          </w:p>
        </w:tc>
        <w:tc>
          <w:tcPr>
            <w:tcW w:w="1418" w:type="dxa"/>
            <w:vAlign w:val="center"/>
          </w:tcPr>
          <w:p w14:paraId="32A88219" w14:textId="77777777" w:rsidR="005A7179" w:rsidRPr="00A76ADD" w:rsidRDefault="005A7179" w:rsidP="0089655E">
            <w:pPr>
              <w:pStyle w:val="naisf"/>
              <w:spacing w:before="0" w:beforeAutospacing="0" w:after="0" w:afterAutospacing="0"/>
              <w:jc w:val="center"/>
              <w:rPr>
                <w:b/>
                <w:i/>
              </w:rPr>
            </w:pPr>
            <w:r w:rsidRPr="00A76ADD">
              <w:t>izmaiņas, salīdzinot ar kārtējo (n) gadu</w:t>
            </w:r>
          </w:p>
        </w:tc>
        <w:tc>
          <w:tcPr>
            <w:tcW w:w="1422" w:type="dxa"/>
            <w:vAlign w:val="center"/>
          </w:tcPr>
          <w:p w14:paraId="0593CD61" w14:textId="77777777" w:rsidR="005A7179" w:rsidRPr="00A76ADD" w:rsidRDefault="005A7179" w:rsidP="0089655E">
            <w:pPr>
              <w:pStyle w:val="naisf"/>
              <w:spacing w:before="0" w:beforeAutospacing="0" w:after="0" w:afterAutospacing="0"/>
              <w:jc w:val="center"/>
              <w:rPr>
                <w:b/>
                <w:i/>
              </w:rPr>
            </w:pPr>
            <w:r w:rsidRPr="00A76ADD">
              <w:t>izmaiņas, salīdzinot ar kārtējo (n) gadu</w:t>
            </w:r>
          </w:p>
        </w:tc>
      </w:tr>
      <w:tr w:rsidR="00F91BD8" w:rsidRPr="00A76ADD" w14:paraId="146FAC6B" w14:textId="77777777" w:rsidTr="00883BC7">
        <w:trPr>
          <w:jc w:val="center"/>
        </w:trPr>
        <w:tc>
          <w:tcPr>
            <w:tcW w:w="3114" w:type="dxa"/>
            <w:vAlign w:val="center"/>
          </w:tcPr>
          <w:p w14:paraId="7356C842" w14:textId="77777777" w:rsidR="00F91BD8" w:rsidRPr="00A76ADD" w:rsidRDefault="00F91BD8" w:rsidP="00F91BD8">
            <w:pPr>
              <w:pStyle w:val="naisf"/>
              <w:spacing w:before="0" w:beforeAutospacing="0" w:after="0" w:afterAutospacing="0"/>
              <w:jc w:val="center"/>
              <w:rPr>
                <w:bCs/>
              </w:rPr>
            </w:pPr>
            <w:r w:rsidRPr="00A76ADD">
              <w:rPr>
                <w:bCs/>
              </w:rPr>
              <w:t>1</w:t>
            </w:r>
          </w:p>
        </w:tc>
        <w:tc>
          <w:tcPr>
            <w:tcW w:w="1134" w:type="dxa"/>
            <w:vAlign w:val="center"/>
          </w:tcPr>
          <w:p w14:paraId="634D8B34" w14:textId="4E21576B" w:rsidR="00F91BD8" w:rsidRPr="00F91BD8" w:rsidRDefault="00F91BD8" w:rsidP="00F91BD8">
            <w:pPr>
              <w:pStyle w:val="naisf"/>
              <w:spacing w:before="0" w:beforeAutospacing="0" w:after="0" w:afterAutospacing="0"/>
              <w:jc w:val="center"/>
              <w:rPr>
                <w:bCs/>
              </w:rPr>
            </w:pPr>
            <w:r w:rsidRPr="00F91BD8">
              <w:rPr>
                <w:bCs/>
              </w:rPr>
              <w:t>2</w:t>
            </w:r>
          </w:p>
        </w:tc>
        <w:tc>
          <w:tcPr>
            <w:tcW w:w="1276" w:type="dxa"/>
            <w:vAlign w:val="center"/>
          </w:tcPr>
          <w:p w14:paraId="30E23437" w14:textId="702384FA" w:rsidR="00F91BD8" w:rsidRPr="00F91BD8" w:rsidRDefault="00F91BD8" w:rsidP="00F91BD8">
            <w:pPr>
              <w:pStyle w:val="naisf"/>
              <w:spacing w:before="0" w:beforeAutospacing="0" w:after="0" w:afterAutospacing="0"/>
              <w:jc w:val="center"/>
              <w:rPr>
                <w:bCs/>
              </w:rPr>
            </w:pPr>
            <w:r w:rsidRPr="00F91BD8">
              <w:rPr>
                <w:bCs/>
              </w:rPr>
              <w:t>3</w:t>
            </w:r>
          </w:p>
        </w:tc>
        <w:tc>
          <w:tcPr>
            <w:tcW w:w="1275" w:type="dxa"/>
            <w:vAlign w:val="center"/>
          </w:tcPr>
          <w:p w14:paraId="70F9F227" w14:textId="1DB1543F" w:rsidR="00F91BD8" w:rsidRPr="00F91BD8" w:rsidRDefault="00F91BD8" w:rsidP="00F91BD8">
            <w:pPr>
              <w:pStyle w:val="naisf"/>
              <w:spacing w:before="0" w:beforeAutospacing="0" w:after="0" w:afterAutospacing="0"/>
              <w:jc w:val="center"/>
              <w:rPr>
                <w:bCs/>
              </w:rPr>
            </w:pPr>
            <w:r w:rsidRPr="00F91BD8">
              <w:rPr>
                <w:bCs/>
              </w:rPr>
              <w:t>4</w:t>
            </w:r>
          </w:p>
        </w:tc>
        <w:tc>
          <w:tcPr>
            <w:tcW w:w="1418" w:type="dxa"/>
            <w:vAlign w:val="center"/>
          </w:tcPr>
          <w:p w14:paraId="3FCBA9A5" w14:textId="36F9BE3E" w:rsidR="00F91BD8" w:rsidRPr="00F91BD8" w:rsidRDefault="00F91BD8" w:rsidP="00F91BD8">
            <w:pPr>
              <w:pStyle w:val="naisf"/>
              <w:spacing w:before="0" w:beforeAutospacing="0" w:after="0" w:afterAutospacing="0"/>
              <w:jc w:val="center"/>
              <w:rPr>
                <w:bCs/>
              </w:rPr>
            </w:pPr>
            <w:r w:rsidRPr="00F91BD8">
              <w:rPr>
                <w:bCs/>
              </w:rPr>
              <w:t>5</w:t>
            </w:r>
          </w:p>
        </w:tc>
        <w:tc>
          <w:tcPr>
            <w:tcW w:w="1422" w:type="dxa"/>
            <w:vAlign w:val="center"/>
          </w:tcPr>
          <w:p w14:paraId="0337F2F1" w14:textId="260423B2" w:rsidR="00F91BD8" w:rsidRPr="00F91BD8" w:rsidRDefault="00F91BD8" w:rsidP="00F91BD8">
            <w:pPr>
              <w:pStyle w:val="naisf"/>
              <w:spacing w:before="0" w:beforeAutospacing="0" w:after="0" w:afterAutospacing="0"/>
              <w:jc w:val="center"/>
              <w:rPr>
                <w:bCs/>
              </w:rPr>
            </w:pPr>
            <w:r w:rsidRPr="00F91BD8">
              <w:rPr>
                <w:bCs/>
              </w:rPr>
              <w:t>6</w:t>
            </w:r>
          </w:p>
        </w:tc>
      </w:tr>
      <w:tr w:rsidR="00591BA7" w:rsidRPr="00A76ADD" w14:paraId="4BBC5768" w14:textId="77777777" w:rsidTr="00883BC7">
        <w:trPr>
          <w:jc w:val="center"/>
        </w:trPr>
        <w:tc>
          <w:tcPr>
            <w:tcW w:w="3114" w:type="dxa"/>
          </w:tcPr>
          <w:p w14:paraId="1B364670" w14:textId="77777777" w:rsidR="00591BA7" w:rsidRPr="00A76ADD" w:rsidRDefault="00591BA7" w:rsidP="00591BA7">
            <w:pPr>
              <w:pStyle w:val="naisf"/>
              <w:spacing w:before="0" w:beforeAutospacing="0" w:after="0" w:afterAutospacing="0"/>
              <w:rPr>
                <w:i/>
              </w:rPr>
            </w:pPr>
            <w:r w:rsidRPr="00A76ADD">
              <w:t>1. Budžeta ieņēmumi:</w:t>
            </w:r>
          </w:p>
        </w:tc>
        <w:tc>
          <w:tcPr>
            <w:tcW w:w="1134" w:type="dxa"/>
          </w:tcPr>
          <w:p w14:paraId="0C38FEB2" w14:textId="07DA2EF9" w:rsidR="00591BA7" w:rsidRPr="00F91BD8" w:rsidRDefault="00591BA7" w:rsidP="00591BA7">
            <w:pPr>
              <w:pStyle w:val="naisf"/>
              <w:spacing w:before="0" w:beforeAutospacing="0" w:after="0" w:afterAutospacing="0"/>
              <w:jc w:val="center"/>
            </w:pPr>
            <w:r w:rsidRPr="00F91BD8">
              <w:t>0</w:t>
            </w:r>
          </w:p>
        </w:tc>
        <w:tc>
          <w:tcPr>
            <w:tcW w:w="1276" w:type="dxa"/>
          </w:tcPr>
          <w:p w14:paraId="018FBB80" w14:textId="5848A8A0" w:rsidR="00591BA7" w:rsidRPr="00F91BD8" w:rsidRDefault="00591BA7" w:rsidP="00591BA7">
            <w:pPr>
              <w:pStyle w:val="naisf"/>
              <w:spacing w:before="0" w:beforeAutospacing="0" w:after="0" w:afterAutospacing="0"/>
              <w:jc w:val="center"/>
            </w:pPr>
            <w:r w:rsidRPr="00F91BD8">
              <w:t>0</w:t>
            </w:r>
          </w:p>
        </w:tc>
        <w:tc>
          <w:tcPr>
            <w:tcW w:w="1275" w:type="dxa"/>
          </w:tcPr>
          <w:p w14:paraId="0218BFE5" w14:textId="7A6DA3AE" w:rsidR="00591BA7" w:rsidRPr="00F91BD8" w:rsidRDefault="00591BA7" w:rsidP="00591BA7">
            <w:pPr>
              <w:pStyle w:val="naisf"/>
              <w:spacing w:before="0" w:beforeAutospacing="0" w:after="0" w:afterAutospacing="0"/>
              <w:jc w:val="center"/>
            </w:pPr>
            <w:r>
              <w:t>7 661 021</w:t>
            </w:r>
          </w:p>
        </w:tc>
        <w:tc>
          <w:tcPr>
            <w:tcW w:w="1418" w:type="dxa"/>
          </w:tcPr>
          <w:p w14:paraId="0A8675FC" w14:textId="341C8E3B" w:rsidR="00591BA7" w:rsidRPr="00F91BD8" w:rsidRDefault="00591BA7" w:rsidP="0025245B">
            <w:pPr>
              <w:pStyle w:val="naisf"/>
              <w:spacing w:before="0" w:beforeAutospacing="0" w:after="0" w:afterAutospacing="0"/>
              <w:jc w:val="center"/>
            </w:pPr>
            <w:r>
              <w:t>12 631 479</w:t>
            </w:r>
          </w:p>
        </w:tc>
        <w:tc>
          <w:tcPr>
            <w:tcW w:w="1422" w:type="dxa"/>
          </w:tcPr>
          <w:p w14:paraId="6368EF97" w14:textId="468938E3" w:rsidR="00591BA7" w:rsidRPr="00F91BD8" w:rsidRDefault="00591BA7" w:rsidP="0025245B">
            <w:pPr>
              <w:pStyle w:val="naisf"/>
              <w:spacing w:before="0" w:beforeAutospacing="0" w:after="0" w:afterAutospacing="0"/>
              <w:jc w:val="center"/>
            </w:pPr>
            <w:r>
              <w:t>12 631 479</w:t>
            </w:r>
          </w:p>
        </w:tc>
      </w:tr>
      <w:tr w:rsidR="00591BA7" w:rsidRPr="00A76ADD" w14:paraId="4656A5ED" w14:textId="77777777" w:rsidTr="00883BC7">
        <w:trPr>
          <w:jc w:val="center"/>
        </w:trPr>
        <w:tc>
          <w:tcPr>
            <w:tcW w:w="3114" w:type="dxa"/>
          </w:tcPr>
          <w:p w14:paraId="13721291" w14:textId="77777777" w:rsidR="00591BA7" w:rsidRPr="00A76ADD" w:rsidRDefault="00591BA7" w:rsidP="00591BA7">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2. Budžeta izdevumi:</w:t>
            </w:r>
          </w:p>
        </w:tc>
        <w:tc>
          <w:tcPr>
            <w:tcW w:w="1134" w:type="dxa"/>
          </w:tcPr>
          <w:p w14:paraId="1A3EF9BA" w14:textId="18C6AD53" w:rsidR="00591BA7" w:rsidRPr="00F91BD8" w:rsidRDefault="00591BA7" w:rsidP="00591BA7">
            <w:pPr>
              <w:pStyle w:val="naisf"/>
              <w:spacing w:before="0" w:beforeAutospacing="0" w:after="0" w:afterAutospacing="0"/>
              <w:jc w:val="center"/>
            </w:pPr>
            <w:r w:rsidRPr="00F91BD8">
              <w:t>0</w:t>
            </w:r>
          </w:p>
        </w:tc>
        <w:tc>
          <w:tcPr>
            <w:tcW w:w="1276" w:type="dxa"/>
          </w:tcPr>
          <w:p w14:paraId="7CFF1F1F" w14:textId="18F40FAA" w:rsidR="00591BA7" w:rsidRPr="00F91BD8" w:rsidRDefault="00591BA7" w:rsidP="00591BA7">
            <w:pPr>
              <w:pStyle w:val="naisf"/>
              <w:spacing w:before="0" w:beforeAutospacing="0" w:after="0" w:afterAutospacing="0"/>
              <w:jc w:val="center"/>
            </w:pPr>
            <w:r w:rsidRPr="00F91BD8">
              <w:t>0</w:t>
            </w:r>
          </w:p>
        </w:tc>
        <w:tc>
          <w:tcPr>
            <w:tcW w:w="1275" w:type="dxa"/>
          </w:tcPr>
          <w:p w14:paraId="6259DE32" w14:textId="775B5B4D" w:rsidR="00591BA7" w:rsidRPr="00F91BD8" w:rsidRDefault="00591BA7" w:rsidP="00591BA7">
            <w:pPr>
              <w:pStyle w:val="naisf"/>
              <w:spacing w:before="0" w:beforeAutospacing="0" w:after="0" w:afterAutospacing="0"/>
              <w:jc w:val="center"/>
            </w:pPr>
            <w:r>
              <w:t>8 800 000</w:t>
            </w:r>
          </w:p>
        </w:tc>
        <w:tc>
          <w:tcPr>
            <w:tcW w:w="1418" w:type="dxa"/>
          </w:tcPr>
          <w:p w14:paraId="2CAE20C5" w14:textId="06CA906A" w:rsidR="00591BA7" w:rsidRPr="00F91BD8" w:rsidRDefault="00591BA7" w:rsidP="00591BA7">
            <w:pPr>
              <w:pStyle w:val="naisf"/>
              <w:spacing w:before="0" w:beforeAutospacing="0" w:after="0" w:afterAutospacing="0"/>
              <w:jc w:val="center"/>
            </w:pPr>
            <w:r>
              <w:t>14 509 425</w:t>
            </w:r>
          </w:p>
        </w:tc>
        <w:tc>
          <w:tcPr>
            <w:tcW w:w="1422" w:type="dxa"/>
          </w:tcPr>
          <w:p w14:paraId="2F2C0207" w14:textId="016764BE" w:rsidR="00591BA7" w:rsidRPr="00F91BD8" w:rsidRDefault="00591BA7" w:rsidP="00591BA7">
            <w:pPr>
              <w:pStyle w:val="naisf"/>
              <w:spacing w:before="0" w:beforeAutospacing="0" w:after="0" w:afterAutospacing="0"/>
              <w:jc w:val="center"/>
            </w:pPr>
            <w:r>
              <w:t>14 509 425</w:t>
            </w:r>
          </w:p>
        </w:tc>
      </w:tr>
      <w:tr w:rsidR="00591BA7" w:rsidRPr="00A76ADD" w14:paraId="76AA303B" w14:textId="77777777" w:rsidTr="00883BC7">
        <w:trPr>
          <w:jc w:val="center"/>
        </w:trPr>
        <w:tc>
          <w:tcPr>
            <w:tcW w:w="3114" w:type="dxa"/>
          </w:tcPr>
          <w:p w14:paraId="052857B5" w14:textId="77777777" w:rsidR="00591BA7" w:rsidRPr="00A76ADD" w:rsidRDefault="00591BA7" w:rsidP="00591BA7">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3. Finansiālā ietekme:</w:t>
            </w:r>
          </w:p>
        </w:tc>
        <w:tc>
          <w:tcPr>
            <w:tcW w:w="1134" w:type="dxa"/>
            <w:shd w:val="clear" w:color="auto" w:fill="auto"/>
            <w:vAlign w:val="center"/>
          </w:tcPr>
          <w:p w14:paraId="77B96FBA" w14:textId="3A6004DD" w:rsidR="00591BA7" w:rsidRPr="00F91BD8" w:rsidRDefault="00591BA7" w:rsidP="00591BA7">
            <w:pPr>
              <w:pStyle w:val="naisf"/>
              <w:spacing w:before="0" w:beforeAutospacing="0" w:after="0" w:afterAutospacing="0"/>
              <w:jc w:val="center"/>
            </w:pPr>
            <w:r w:rsidRPr="00F91BD8">
              <w:t>0</w:t>
            </w:r>
          </w:p>
        </w:tc>
        <w:tc>
          <w:tcPr>
            <w:tcW w:w="1276" w:type="dxa"/>
          </w:tcPr>
          <w:p w14:paraId="20001C85" w14:textId="10A7745F" w:rsidR="00591BA7" w:rsidRPr="00F91BD8" w:rsidRDefault="00591BA7" w:rsidP="00591BA7">
            <w:pPr>
              <w:pStyle w:val="naisf"/>
              <w:spacing w:before="0" w:beforeAutospacing="0" w:after="0" w:afterAutospacing="0"/>
              <w:jc w:val="center"/>
            </w:pPr>
            <w:r w:rsidRPr="00F91BD8">
              <w:t>0</w:t>
            </w:r>
          </w:p>
        </w:tc>
        <w:tc>
          <w:tcPr>
            <w:tcW w:w="1275" w:type="dxa"/>
          </w:tcPr>
          <w:p w14:paraId="3F52EE29" w14:textId="2292A9AC" w:rsidR="00591BA7" w:rsidRPr="00F91BD8" w:rsidRDefault="00591BA7" w:rsidP="00591BA7">
            <w:pPr>
              <w:pStyle w:val="naisf"/>
              <w:spacing w:before="0" w:beforeAutospacing="0" w:after="0" w:afterAutospacing="0"/>
              <w:jc w:val="center"/>
            </w:pPr>
            <w:r w:rsidRPr="00CF5475">
              <w:t>-</w:t>
            </w:r>
            <w:r>
              <w:t>1 138 979</w:t>
            </w:r>
          </w:p>
        </w:tc>
        <w:tc>
          <w:tcPr>
            <w:tcW w:w="1418" w:type="dxa"/>
          </w:tcPr>
          <w:p w14:paraId="6B877E8C" w14:textId="347CED77" w:rsidR="00591BA7" w:rsidRPr="00F91BD8" w:rsidRDefault="00591BA7" w:rsidP="00591BA7">
            <w:pPr>
              <w:pStyle w:val="naisf"/>
              <w:spacing w:before="0" w:beforeAutospacing="0" w:after="0" w:afterAutospacing="0"/>
              <w:jc w:val="center"/>
            </w:pPr>
            <w:r w:rsidRPr="00CF5475">
              <w:t>-</w:t>
            </w:r>
            <w:r>
              <w:t>1 877 946</w:t>
            </w:r>
          </w:p>
        </w:tc>
        <w:tc>
          <w:tcPr>
            <w:tcW w:w="1422" w:type="dxa"/>
          </w:tcPr>
          <w:p w14:paraId="480EB107" w14:textId="47EAA474" w:rsidR="00591BA7" w:rsidRPr="00F91BD8" w:rsidRDefault="00591BA7" w:rsidP="00591BA7">
            <w:pPr>
              <w:pStyle w:val="naisf"/>
              <w:spacing w:before="0" w:beforeAutospacing="0" w:after="0" w:afterAutospacing="0"/>
              <w:jc w:val="center"/>
            </w:pPr>
            <w:r w:rsidRPr="00CF5475">
              <w:t>-</w:t>
            </w:r>
            <w:r>
              <w:t>1 877 946</w:t>
            </w:r>
          </w:p>
        </w:tc>
      </w:tr>
      <w:tr w:rsidR="00F91BD8" w:rsidRPr="00A76ADD" w14:paraId="34D01B0B" w14:textId="77777777" w:rsidTr="00883BC7">
        <w:trPr>
          <w:trHeight w:val="1380"/>
          <w:jc w:val="center"/>
        </w:trPr>
        <w:tc>
          <w:tcPr>
            <w:tcW w:w="3114" w:type="dxa"/>
          </w:tcPr>
          <w:p w14:paraId="7A094DB4" w14:textId="77777777" w:rsidR="00F91BD8" w:rsidRPr="00A76ADD" w:rsidRDefault="00F91BD8" w:rsidP="00F91BD8">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4. Finanšu līdzekļi papildu izdevumu finansēšanai (kompensējošu izdevumu samazinājumu norāda ar "+" zīmi)</w:t>
            </w:r>
          </w:p>
        </w:tc>
        <w:tc>
          <w:tcPr>
            <w:tcW w:w="1134" w:type="dxa"/>
          </w:tcPr>
          <w:p w14:paraId="51F6DF69" w14:textId="02A1166B" w:rsidR="00F91BD8" w:rsidRPr="00F91BD8" w:rsidRDefault="00F91BD8" w:rsidP="00F91BD8">
            <w:pPr>
              <w:pStyle w:val="naisf"/>
              <w:spacing w:before="0" w:beforeAutospacing="0" w:after="0" w:afterAutospacing="0"/>
              <w:jc w:val="center"/>
            </w:pPr>
            <w:r w:rsidRPr="00F91BD8">
              <w:t>N/A</w:t>
            </w:r>
          </w:p>
        </w:tc>
        <w:tc>
          <w:tcPr>
            <w:tcW w:w="1276" w:type="dxa"/>
          </w:tcPr>
          <w:p w14:paraId="06E5A414" w14:textId="78E5C6A2" w:rsidR="00F91BD8" w:rsidRPr="00F91BD8" w:rsidRDefault="00F91BD8" w:rsidP="00F91BD8">
            <w:pPr>
              <w:pStyle w:val="naisf"/>
              <w:spacing w:before="0" w:beforeAutospacing="0" w:after="0" w:afterAutospacing="0"/>
              <w:jc w:val="center"/>
            </w:pPr>
            <w:r w:rsidRPr="00F91BD8">
              <w:t>N/A</w:t>
            </w:r>
          </w:p>
        </w:tc>
        <w:tc>
          <w:tcPr>
            <w:tcW w:w="1275" w:type="dxa"/>
          </w:tcPr>
          <w:p w14:paraId="32D43A14" w14:textId="220224CD" w:rsidR="00F91BD8" w:rsidRPr="00F91BD8" w:rsidRDefault="00F91BD8" w:rsidP="00F91BD8">
            <w:pPr>
              <w:pStyle w:val="naisf"/>
              <w:spacing w:before="0" w:beforeAutospacing="0" w:after="0" w:afterAutospacing="0"/>
              <w:jc w:val="center"/>
            </w:pPr>
            <w:r w:rsidRPr="00F91BD8">
              <w:t>N/A</w:t>
            </w:r>
          </w:p>
        </w:tc>
        <w:tc>
          <w:tcPr>
            <w:tcW w:w="1418" w:type="dxa"/>
          </w:tcPr>
          <w:p w14:paraId="12C4EE8E" w14:textId="474A7EE6" w:rsidR="00F91BD8" w:rsidRPr="00F91BD8" w:rsidRDefault="00F91BD8" w:rsidP="00F91BD8">
            <w:pPr>
              <w:pStyle w:val="naisf"/>
              <w:spacing w:before="0" w:beforeAutospacing="0" w:after="0" w:afterAutospacing="0"/>
              <w:jc w:val="center"/>
            </w:pPr>
            <w:r w:rsidRPr="00F91BD8">
              <w:t>N/A</w:t>
            </w:r>
          </w:p>
        </w:tc>
        <w:tc>
          <w:tcPr>
            <w:tcW w:w="1422" w:type="dxa"/>
          </w:tcPr>
          <w:p w14:paraId="28007689" w14:textId="0FF320C3" w:rsidR="00F91BD8" w:rsidRPr="00F91BD8" w:rsidRDefault="00F91BD8" w:rsidP="00F91BD8">
            <w:pPr>
              <w:pStyle w:val="naisf"/>
              <w:spacing w:before="0" w:beforeAutospacing="0" w:after="0" w:afterAutospacing="0"/>
              <w:jc w:val="center"/>
            </w:pPr>
            <w:r w:rsidRPr="00F91BD8">
              <w:t>N/A</w:t>
            </w:r>
          </w:p>
        </w:tc>
      </w:tr>
      <w:tr w:rsidR="00F91BD8" w:rsidRPr="00A76ADD" w14:paraId="26C4E6BB" w14:textId="77777777" w:rsidTr="00883BC7">
        <w:trPr>
          <w:jc w:val="center"/>
        </w:trPr>
        <w:tc>
          <w:tcPr>
            <w:tcW w:w="3114" w:type="dxa"/>
          </w:tcPr>
          <w:p w14:paraId="2EAA5475" w14:textId="77777777" w:rsidR="00F91BD8" w:rsidRPr="00A76ADD" w:rsidRDefault="00F91BD8" w:rsidP="00F91BD8">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5. Precizēta finansiālā ietekme:</w:t>
            </w:r>
          </w:p>
        </w:tc>
        <w:tc>
          <w:tcPr>
            <w:tcW w:w="1134" w:type="dxa"/>
          </w:tcPr>
          <w:p w14:paraId="5776CFB7" w14:textId="7D3C9F32" w:rsidR="00F91BD8" w:rsidRPr="00F91BD8" w:rsidRDefault="00F91BD8" w:rsidP="00F91BD8">
            <w:pPr>
              <w:pStyle w:val="naisf"/>
              <w:spacing w:before="0" w:beforeAutospacing="0" w:after="0" w:afterAutospacing="0"/>
              <w:jc w:val="center"/>
            </w:pPr>
            <w:r w:rsidRPr="00F91BD8">
              <w:t>N/A</w:t>
            </w:r>
          </w:p>
        </w:tc>
        <w:tc>
          <w:tcPr>
            <w:tcW w:w="1276" w:type="dxa"/>
          </w:tcPr>
          <w:p w14:paraId="040B76B3" w14:textId="19B43083" w:rsidR="00F91BD8" w:rsidRPr="00F91BD8" w:rsidRDefault="00F91BD8" w:rsidP="00F91BD8">
            <w:pPr>
              <w:pStyle w:val="naisf"/>
              <w:spacing w:before="0" w:beforeAutospacing="0" w:after="0" w:afterAutospacing="0"/>
              <w:jc w:val="center"/>
            </w:pPr>
            <w:r w:rsidRPr="00F91BD8">
              <w:t>N/A</w:t>
            </w:r>
          </w:p>
        </w:tc>
        <w:tc>
          <w:tcPr>
            <w:tcW w:w="1275" w:type="dxa"/>
          </w:tcPr>
          <w:p w14:paraId="46D574FD" w14:textId="30B5C212" w:rsidR="00F91BD8" w:rsidRPr="00F91BD8" w:rsidRDefault="00F91BD8" w:rsidP="00F91BD8">
            <w:pPr>
              <w:spacing w:after="0" w:line="240" w:lineRule="auto"/>
              <w:jc w:val="center"/>
              <w:rPr>
                <w:rFonts w:ascii="Times New Roman" w:hAnsi="Times New Roman" w:cs="Times New Roman"/>
                <w:sz w:val="24"/>
                <w:szCs w:val="24"/>
              </w:rPr>
            </w:pPr>
            <w:r w:rsidRPr="00F91BD8">
              <w:rPr>
                <w:rFonts w:ascii="Times New Roman" w:hAnsi="Times New Roman" w:cs="Times New Roman"/>
              </w:rPr>
              <w:t>N/A</w:t>
            </w:r>
          </w:p>
        </w:tc>
        <w:tc>
          <w:tcPr>
            <w:tcW w:w="1418" w:type="dxa"/>
          </w:tcPr>
          <w:p w14:paraId="05F5DE16" w14:textId="47E2F405" w:rsidR="00F91BD8" w:rsidRPr="00F91BD8" w:rsidRDefault="00F91BD8" w:rsidP="00F91BD8">
            <w:pPr>
              <w:spacing w:after="0" w:line="240" w:lineRule="auto"/>
              <w:jc w:val="center"/>
              <w:rPr>
                <w:rFonts w:ascii="Times New Roman" w:hAnsi="Times New Roman" w:cs="Times New Roman"/>
                <w:sz w:val="24"/>
                <w:szCs w:val="24"/>
              </w:rPr>
            </w:pPr>
            <w:r w:rsidRPr="00F91BD8">
              <w:rPr>
                <w:rFonts w:ascii="Times New Roman" w:hAnsi="Times New Roman" w:cs="Times New Roman"/>
              </w:rPr>
              <w:t>N/A</w:t>
            </w:r>
          </w:p>
        </w:tc>
        <w:tc>
          <w:tcPr>
            <w:tcW w:w="1422" w:type="dxa"/>
          </w:tcPr>
          <w:p w14:paraId="4455B31B" w14:textId="68B84898" w:rsidR="00F91BD8" w:rsidRPr="00F91BD8" w:rsidRDefault="00F91BD8" w:rsidP="00F91BD8">
            <w:pPr>
              <w:spacing w:after="0" w:line="240" w:lineRule="auto"/>
              <w:jc w:val="center"/>
              <w:rPr>
                <w:rFonts w:ascii="Times New Roman" w:hAnsi="Times New Roman" w:cs="Times New Roman"/>
                <w:sz w:val="24"/>
                <w:szCs w:val="24"/>
              </w:rPr>
            </w:pPr>
            <w:r w:rsidRPr="00F91BD8">
              <w:rPr>
                <w:rFonts w:ascii="Times New Roman" w:hAnsi="Times New Roman" w:cs="Times New Roman"/>
              </w:rPr>
              <w:t>N/A</w:t>
            </w:r>
          </w:p>
        </w:tc>
      </w:tr>
      <w:tr w:rsidR="00F91BD8" w:rsidRPr="00A76ADD" w14:paraId="7C591F9B" w14:textId="77777777" w:rsidTr="00883BC7">
        <w:trPr>
          <w:jc w:val="center"/>
        </w:trPr>
        <w:tc>
          <w:tcPr>
            <w:tcW w:w="3114" w:type="dxa"/>
            <w:shd w:val="clear" w:color="auto" w:fill="auto"/>
          </w:tcPr>
          <w:p w14:paraId="6AD45831" w14:textId="77777777" w:rsidR="00F91BD8" w:rsidRPr="00A76ADD" w:rsidRDefault="00F91BD8" w:rsidP="00F91BD8">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6. Detalizēts ieņēmumu un izdevumu aprēķins (ja nepie</w:t>
            </w:r>
            <w:r w:rsidRPr="00A76ADD">
              <w:rPr>
                <w:rFonts w:ascii="Times New Roman" w:hAnsi="Times New Roman" w:cs="Times New Roman"/>
                <w:sz w:val="24"/>
                <w:szCs w:val="24"/>
              </w:rPr>
              <w:softHyphen/>
              <w:t>ciešams, detalizētu ieņēmumu un izdevumu aprēķinu var pie</w:t>
            </w:r>
            <w:r w:rsidRPr="00A76ADD">
              <w:rPr>
                <w:rFonts w:ascii="Times New Roman" w:hAnsi="Times New Roman" w:cs="Times New Roman"/>
                <w:sz w:val="24"/>
                <w:szCs w:val="24"/>
              </w:rPr>
              <w:softHyphen/>
              <w:t>vienot anotācijas pielikumā):</w:t>
            </w:r>
          </w:p>
        </w:tc>
        <w:tc>
          <w:tcPr>
            <w:tcW w:w="6525" w:type="dxa"/>
            <w:gridSpan w:val="5"/>
            <w:vMerge w:val="restart"/>
            <w:shd w:val="clear" w:color="auto" w:fill="auto"/>
            <w:vAlign w:val="center"/>
          </w:tcPr>
          <w:p w14:paraId="3FD4E0AE" w14:textId="77777777" w:rsidR="009B5667" w:rsidRP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color w:val="000000"/>
                <w:sz w:val="24"/>
                <w:szCs w:val="24"/>
                <w:shd w:val="clear" w:color="auto" w:fill="FFFFFF"/>
              </w:rPr>
              <w:t xml:space="preserve">SAM projektam plānots kopējais finansējums (kopējās attiecināmās izmaksas) EUR 96 428 049 apmērā, tai skaitā, Eiropas Sociālā fonda (turpmāk – ESF) finansējums EUR 81 963 841, valsts budžeta (turpmāk – VB) finansējums EUR 12 185 719 un privātais līdzfinansējums EUR 2 278 489. </w:t>
            </w:r>
          </w:p>
          <w:p w14:paraId="64BC439B" w14:textId="77777777" w:rsid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color w:val="000000"/>
                <w:sz w:val="24"/>
                <w:szCs w:val="24"/>
                <w:shd w:val="clear" w:color="auto" w:fill="FFFFFF"/>
              </w:rPr>
              <w:t>Budžeta ieņēmumi ir finansējuma ESF daļa 85% apmērā no projekta attiecināmām izmaksām.</w:t>
            </w:r>
          </w:p>
          <w:p w14:paraId="71EC7585" w14:textId="29F33C59" w:rsidR="00431F46" w:rsidRDefault="00094F04" w:rsidP="00094F0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w:t>
            </w:r>
            <w:r w:rsidRPr="00094F04">
              <w:rPr>
                <w:rFonts w:ascii="Times New Roman" w:hAnsi="Times New Roman"/>
                <w:color w:val="000000"/>
                <w:sz w:val="24"/>
                <w:szCs w:val="24"/>
                <w:shd w:val="clear" w:color="auto" w:fill="FFFFFF"/>
              </w:rPr>
              <w:t xml:space="preserve">askaņā ar </w:t>
            </w:r>
            <w:r>
              <w:rPr>
                <w:rFonts w:ascii="Times New Roman" w:hAnsi="Times New Roman"/>
                <w:color w:val="000000"/>
                <w:sz w:val="24"/>
                <w:szCs w:val="24"/>
                <w:shd w:val="clear" w:color="auto" w:fill="FFFFFF"/>
              </w:rPr>
              <w:t>DP</w:t>
            </w:r>
            <w:r w:rsidRPr="00094F04">
              <w:rPr>
                <w:rFonts w:ascii="Times New Roman" w:hAnsi="Times New Roman"/>
                <w:color w:val="000000"/>
                <w:sz w:val="24"/>
                <w:szCs w:val="24"/>
                <w:shd w:val="clear" w:color="auto" w:fill="FFFFFF"/>
              </w:rPr>
              <w:t xml:space="preserve"> noteikto, 7.prioritārajam virziena “Nodarbinātība un darbaspēka mobilitāte” ESF piešķīrumam paredzama </w:t>
            </w:r>
            <w:r w:rsidR="00195986">
              <w:rPr>
                <w:rFonts w:ascii="Times New Roman" w:hAnsi="Times New Roman"/>
                <w:color w:val="000000"/>
                <w:sz w:val="24"/>
                <w:szCs w:val="24"/>
                <w:shd w:val="clear" w:color="auto" w:fill="FFFFFF"/>
              </w:rPr>
              <w:t xml:space="preserve">finansējuma </w:t>
            </w:r>
            <w:r w:rsidRPr="00094F04">
              <w:rPr>
                <w:rFonts w:ascii="Times New Roman" w:hAnsi="Times New Roman"/>
                <w:color w:val="000000"/>
                <w:sz w:val="24"/>
                <w:szCs w:val="24"/>
                <w:shd w:val="clear" w:color="auto" w:fill="FFFFFF"/>
              </w:rPr>
              <w:t xml:space="preserve">rezerve EUR 6 616 521 apmērā. </w:t>
            </w:r>
            <w:r w:rsidR="00195986">
              <w:rPr>
                <w:rFonts w:ascii="Times New Roman" w:hAnsi="Times New Roman"/>
                <w:color w:val="000000"/>
                <w:sz w:val="24"/>
                <w:szCs w:val="24"/>
                <w:shd w:val="clear" w:color="auto" w:fill="FFFFFF"/>
              </w:rPr>
              <w:t>Finansējuma r</w:t>
            </w:r>
            <w:r w:rsidRPr="00094F04">
              <w:rPr>
                <w:rFonts w:ascii="Times New Roman" w:hAnsi="Times New Roman"/>
                <w:color w:val="000000"/>
                <w:sz w:val="24"/>
                <w:szCs w:val="24"/>
                <w:shd w:val="clear" w:color="auto" w:fill="FFFFFF"/>
              </w:rPr>
              <w:t xml:space="preserve">ezervi paredzēts </w:t>
            </w:r>
            <w:r w:rsidR="00195986">
              <w:rPr>
                <w:rFonts w:ascii="Times New Roman" w:hAnsi="Times New Roman"/>
                <w:color w:val="000000"/>
                <w:sz w:val="24"/>
                <w:szCs w:val="24"/>
                <w:shd w:val="clear" w:color="auto" w:fill="FFFFFF"/>
              </w:rPr>
              <w:t xml:space="preserve">nodrošināt </w:t>
            </w:r>
            <w:r w:rsidRPr="00094F04">
              <w:rPr>
                <w:rFonts w:ascii="Times New Roman" w:hAnsi="Times New Roman"/>
                <w:color w:val="000000"/>
                <w:sz w:val="24"/>
                <w:szCs w:val="24"/>
                <w:shd w:val="clear" w:color="auto" w:fill="FFFFFF"/>
              </w:rPr>
              <w:t xml:space="preserve">7.1.1.SAM ietvaros EUR 3 846 460 apmērā </w:t>
            </w:r>
            <w:r w:rsidR="009C4313" w:rsidRPr="00E022DC">
              <w:rPr>
                <w:rFonts w:ascii="Times New Roman" w:hAnsi="Times New Roman"/>
                <w:color w:val="000000"/>
                <w:sz w:val="24"/>
                <w:szCs w:val="24"/>
                <w:shd w:val="clear" w:color="auto" w:fill="FFFFFF"/>
              </w:rPr>
              <w:t>(</w:t>
            </w:r>
            <w:r w:rsidR="0087043A" w:rsidRPr="00E022DC">
              <w:rPr>
                <w:rFonts w:ascii="Times New Roman" w:hAnsi="Times New Roman"/>
                <w:color w:val="000000"/>
                <w:sz w:val="24"/>
                <w:szCs w:val="24"/>
                <w:shd w:val="clear" w:color="auto" w:fill="FFFFFF"/>
              </w:rPr>
              <w:t xml:space="preserve">aptuveni </w:t>
            </w:r>
            <w:r w:rsidR="009C4313" w:rsidRPr="00E022DC">
              <w:rPr>
                <w:rFonts w:ascii="Times New Roman" w:hAnsi="Times New Roman"/>
                <w:color w:val="000000"/>
                <w:sz w:val="24"/>
                <w:szCs w:val="24"/>
                <w:shd w:val="clear" w:color="auto" w:fill="FFFFFF"/>
              </w:rPr>
              <w:t xml:space="preserve">4,69% no </w:t>
            </w:r>
            <w:r w:rsidR="0087043A" w:rsidRPr="00E022DC">
              <w:rPr>
                <w:rFonts w:ascii="Times New Roman" w:hAnsi="Times New Roman"/>
                <w:color w:val="000000"/>
                <w:sz w:val="24"/>
                <w:szCs w:val="24"/>
                <w:shd w:val="clear" w:color="auto" w:fill="FFFFFF"/>
              </w:rPr>
              <w:t>7.1.1.</w:t>
            </w:r>
            <w:r w:rsidR="004E03A9" w:rsidRPr="00E022DC">
              <w:rPr>
                <w:rFonts w:ascii="Times New Roman" w:hAnsi="Times New Roman"/>
                <w:color w:val="000000"/>
                <w:sz w:val="24"/>
                <w:szCs w:val="24"/>
                <w:shd w:val="clear" w:color="auto" w:fill="FFFFFF"/>
              </w:rPr>
              <w:t>SAM</w:t>
            </w:r>
            <w:r w:rsidR="0087043A" w:rsidRPr="00E022DC">
              <w:rPr>
                <w:rFonts w:ascii="Times New Roman" w:hAnsi="Times New Roman"/>
                <w:color w:val="000000"/>
                <w:sz w:val="24"/>
                <w:szCs w:val="24"/>
                <w:shd w:val="clear" w:color="auto" w:fill="FFFFFF"/>
              </w:rPr>
              <w:t xml:space="preserve"> finansējuma)</w:t>
            </w:r>
            <w:r w:rsidR="0087043A">
              <w:rPr>
                <w:rFonts w:ascii="Times New Roman" w:hAnsi="Times New Roman"/>
                <w:color w:val="000000"/>
                <w:sz w:val="24"/>
                <w:szCs w:val="24"/>
                <w:shd w:val="clear" w:color="auto" w:fill="FFFFFF"/>
              </w:rPr>
              <w:t xml:space="preserve"> </w:t>
            </w:r>
            <w:r w:rsidRPr="00094F04">
              <w:rPr>
                <w:rFonts w:ascii="Times New Roman" w:hAnsi="Times New Roman"/>
                <w:color w:val="000000"/>
                <w:sz w:val="24"/>
                <w:szCs w:val="24"/>
                <w:shd w:val="clear" w:color="auto" w:fill="FFFFFF"/>
              </w:rPr>
              <w:t>un pasākumā 7.2.1.3. (“Jauniešu garantijas pasākumu īstenošana pēc 2018.gada”) EUR 2 770 061 apmērā.</w:t>
            </w:r>
            <w:r w:rsidR="00431F46">
              <w:rPr>
                <w:rFonts w:ascii="Times New Roman" w:hAnsi="Times New Roman"/>
                <w:color w:val="000000"/>
                <w:sz w:val="24"/>
                <w:szCs w:val="24"/>
                <w:shd w:val="clear" w:color="auto" w:fill="FFFFFF"/>
              </w:rPr>
              <w:t xml:space="preserve"> Ņemot vērā minēto, projekta iesniegumā finansējuma saņēmējs </w:t>
            </w:r>
            <w:r w:rsidR="00431F46" w:rsidRPr="00431F46">
              <w:rPr>
                <w:rFonts w:ascii="Times New Roman" w:hAnsi="Times New Roman"/>
                <w:color w:val="000000"/>
                <w:sz w:val="24"/>
                <w:szCs w:val="24"/>
                <w:shd w:val="clear" w:color="auto" w:fill="FFFFFF"/>
              </w:rPr>
              <w:t>kopējo attiecināmo finansējumu plāno ne vairāk kā EUR 91 902 801, t.sk., ESF finansējumu – EUR 78 117 381, valsts budžeta finansējumu – EUR 11 613 859 un privāto līdzfinansējumu EUR 2 171</w:t>
            </w:r>
            <w:r w:rsidR="00431F46">
              <w:rPr>
                <w:rFonts w:ascii="Times New Roman" w:hAnsi="Times New Roman"/>
                <w:color w:val="000000"/>
                <w:sz w:val="24"/>
                <w:szCs w:val="24"/>
                <w:shd w:val="clear" w:color="auto" w:fill="FFFFFF"/>
              </w:rPr>
              <w:t> </w:t>
            </w:r>
            <w:r w:rsidR="00431F46" w:rsidRPr="00431F46">
              <w:rPr>
                <w:rFonts w:ascii="Times New Roman" w:hAnsi="Times New Roman"/>
                <w:color w:val="000000"/>
                <w:sz w:val="24"/>
                <w:szCs w:val="24"/>
                <w:shd w:val="clear" w:color="auto" w:fill="FFFFFF"/>
              </w:rPr>
              <w:t>562</w:t>
            </w:r>
            <w:r w:rsidR="00431F46">
              <w:rPr>
                <w:rFonts w:ascii="Times New Roman" w:hAnsi="Times New Roman"/>
                <w:color w:val="000000"/>
                <w:sz w:val="24"/>
                <w:szCs w:val="24"/>
                <w:shd w:val="clear" w:color="auto" w:fill="FFFFFF"/>
              </w:rPr>
              <w:t>.</w:t>
            </w:r>
          </w:p>
          <w:p w14:paraId="01953ED4" w14:textId="19D2DD6E" w:rsidR="00094F04" w:rsidRDefault="00094F04" w:rsidP="00094F04">
            <w:pPr>
              <w:spacing w:after="0" w:line="240" w:lineRule="auto"/>
              <w:jc w:val="both"/>
              <w:rPr>
                <w:rFonts w:ascii="Times New Roman" w:hAnsi="Times New Roman"/>
                <w:color w:val="000000"/>
                <w:sz w:val="24"/>
                <w:szCs w:val="24"/>
                <w:shd w:val="clear" w:color="auto" w:fill="FFFFFF"/>
              </w:rPr>
            </w:pPr>
            <w:r w:rsidRPr="00094F04">
              <w:rPr>
                <w:rFonts w:ascii="Times New Roman" w:hAnsi="Times New Roman"/>
                <w:color w:val="000000"/>
                <w:sz w:val="24"/>
                <w:szCs w:val="24"/>
                <w:shd w:val="clear" w:color="auto" w:fill="FFFFFF"/>
              </w:rPr>
              <w:t>Lēmums, vai rezervi izmantot projekta ietvaros, tiks pieņemts pēc prioritātes ietvaros sasniegto rezultātu uz 2018. gada 31.decembri analīzes.</w:t>
            </w:r>
            <w:r w:rsidR="00431F46">
              <w:rPr>
                <w:rFonts w:ascii="Times New Roman" w:hAnsi="Times New Roman"/>
                <w:color w:val="000000"/>
                <w:sz w:val="24"/>
                <w:szCs w:val="24"/>
                <w:shd w:val="clear" w:color="auto" w:fill="FFFFFF"/>
              </w:rPr>
              <w:t xml:space="preserve"> </w:t>
            </w:r>
            <w:r w:rsidRPr="00094F04">
              <w:rPr>
                <w:rFonts w:ascii="Times New Roman" w:hAnsi="Times New Roman"/>
                <w:color w:val="000000"/>
                <w:sz w:val="24"/>
                <w:szCs w:val="24"/>
                <w:shd w:val="clear" w:color="auto" w:fill="FFFFFF"/>
              </w:rPr>
              <w:t xml:space="preserve">Ietekmes uz budžetu aprēķinos pieņemts, ka prioritārā </w:t>
            </w:r>
            <w:r w:rsidRPr="00094F04">
              <w:rPr>
                <w:rFonts w:ascii="Times New Roman" w:hAnsi="Times New Roman"/>
                <w:color w:val="000000"/>
                <w:sz w:val="24"/>
                <w:szCs w:val="24"/>
                <w:shd w:val="clear" w:color="auto" w:fill="FFFFFF"/>
              </w:rPr>
              <w:lastRenderedPageBreak/>
              <w:t>virziena ietvaros mērķi uz 2018.gadu tiks sasniegti un rezerves finansējums tiks iekļauts projekta budžetā.</w:t>
            </w:r>
          </w:p>
          <w:p w14:paraId="49857238" w14:textId="77777777" w:rsidR="00431F46" w:rsidRPr="00094F04" w:rsidRDefault="00431F46" w:rsidP="00094F04">
            <w:pPr>
              <w:spacing w:after="0" w:line="240" w:lineRule="auto"/>
              <w:jc w:val="both"/>
              <w:rPr>
                <w:rFonts w:ascii="Times New Roman" w:hAnsi="Times New Roman"/>
                <w:color w:val="000000"/>
                <w:sz w:val="24"/>
                <w:szCs w:val="24"/>
                <w:shd w:val="clear" w:color="auto" w:fill="FFFFFF"/>
              </w:rPr>
            </w:pPr>
          </w:p>
          <w:p w14:paraId="257A8DB1" w14:textId="77777777" w:rsidR="009B5667" w:rsidRP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color w:val="000000"/>
                <w:sz w:val="24"/>
                <w:szCs w:val="24"/>
                <w:shd w:val="clear" w:color="auto" w:fill="FFFFFF"/>
              </w:rPr>
              <w:t>Budžeta izdevumi ir kopējie projekta ieviešanai nepieciešamie publiskā finansējuma (ESF un VB) līdzekļi attiecīgajā gadā aptuveni 97,64% apmērā no projekta attiecināmajām izmaksām.</w:t>
            </w:r>
          </w:p>
          <w:p w14:paraId="699A86DB" w14:textId="77777777" w:rsidR="009B5667" w:rsidRP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color w:val="000000"/>
                <w:sz w:val="24"/>
                <w:szCs w:val="24"/>
                <w:shd w:val="clear" w:color="auto" w:fill="FFFFFF"/>
              </w:rPr>
              <w:t>Turklāt projekta ieviešanai tiks piesaistīts privātais līdzfinansējums aptuveni 2,36% apmērā.</w:t>
            </w:r>
          </w:p>
          <w:p w14:paraId="68346B4E" w14:textId="77777777" w:rsidR="009B5667" w:rsidRPr="009B5667" w:rsidRDefault="009B5667" w:rsidP="009B5667">
            <w:pPr>
              <w:spacing w:after="0" w:line="240" w:lineRule="auto"/>
              <w:jc w:val="both"/>
              <w:rPr>
                <w:rFonts w:ascii="Times New Roman" w:hAnsi="Times New Roman"/>
                <w:color w:val="000000"/>
                <w:sz w:val="24"/>
                <w:szCs w:val="24"/>
                <w:shd w:val="clear" w:color="auto" w:fill="FFFFFF"/>
              </w:rPr>
            </w:pPr>
          </w:p>
          <w:p w14:paraId="3E0570D1" w14:textId="77777777" w:rsidR="009B5667" w:rsidRP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color w:val="000000"/>
                <w:sz w:val="24"/>
                <w:szCs w:val="24"/>
                <w:shd w:val="clear" w:color="auto" w:fill="FFFFFF"/>
              </w:rPr>
              <w:t>Projektu plānots ieviest no 2015. gada I ceturkšņa līdz 2021.gada IV ceturksnim. Pirmajā ieviešanas gadā plānots mazāks finansējums, saistībā ar aktivitāšu uzsākšanu un pēdējā gadā plānots mazāks finansējums saistībā ar projekta noslēgšanos, bet pārējos gados finansējums plānots vienmērīgi.</w:t>
            </w:r>
          </w:p>
          <w:p w14:paraId="71C5E7D3" w14:textId="77777777" w:rsidR="009B5667" w:rsidRPr="009B5667" w:rsidRDefault="009B5667" w:rsidP="009B5667">
            <w:pPr>
              <w:spacing w:after="0" w:line="240" w:lineRule="auto"/>
              <w:jc w:val="both"/>
              <w:rPr>
                <w:rFonts w:ascii="Times New Roman" w:hAnsi="Times New Roman"/>
                <w:color w:val="000000"/>
                <w:sz w:val="24"/>
                <w:szCs w:val="24"/>
                <w:shd w:val="clear" w:color="auto" w:fill="FFFFFF"/>
              </w:rPr>
            </w:pPr>
          </w:p>
          <w:p w14:paraId="505B8B0E" w14:textId="6119F3D1" w:rsidR="009B5667" w:rsidRP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b/>
                <w:color w:val="000000"/>
                <w:sz w:val="24"/>
                <w:szCs w:val="24"/>
                <w:u w:val="single"/>
                <w:shd w:val="clear" w:color="auto" w:fill="FFFFFF"/>
              </w:rPr>
              <w:t>2015. gadam</w:t>
            </w:r>
            <w:r w:rsidRPr="009B5667">
              <w:rPr>
                <w:rFonts w:ascii="Times New Roman" w:hAnsi="Times New Roman"/>
                <w:color w:val="000000"/>
                <w:sz w:val="24"/>
                <w:szCs w:val="24"/>
                <w:shd w:val="clear" w:color="auto" w:fill="FFFFFF"/>
              </w:rPr>
              <w:t xml:space="preserve"> indikatīvi kopējās izmaksas EUR </w:t>
            </w:r>
            <w:r w:rsidR="009604AD">
              <w:rPr>
                <w:rFonts w:ascii="Times New Roman" w:hAnsi="Times New Roman"/>
                <w:color w:val="000000"/>
                <w:sz w:val="24"/>
                <w:szCs w:val="24"/>
                <w:shd w:val="clear" w:color="auto" w:fill="FFFFFF"/>
              </w:rPr>
              <w:t>9 012 700</w:t>
            </w:r>
            <w:r w:rsidRPr="009B5667">
              <w:rPr>
                <w:rFonts w:ascii="Times New Roman" w:hAnsi="Times New Roman"/>
                <w:color w:val="000000"/>
                <w:sz w:val="24"/>
                <w:szCs w:val="24"/>
                <w:shd w:val="clear" w:color="auto" w:fill="FFFFFF"/>
              </w:rPr>
              <w:t xml:space="preserve">, tai skaitā publiskais finansējums EUR </w:t>
            </w:r>
            <w:r w:rsidR="009604AD">
              <w:rPr>
                <w:rFonts w:ascii="Times New Roman" w:hAnsi="Times New Roman"/>
                <w:color w:val="000000"/>
                <w:sz w:val="24"/>
                <w:szCs w:val="24"/>
                <w:shd w:val="clear" w:color="auto" w:fill="FFFFFF"/>
              </w:rPr>
              <w:t>8 800 000</w:t>
            </w:r>
            <w:r w:rsidRPr="009B5667">
              <w:rPr>
                <w:rFonts w:ascii="Times New Roman" w:hAnsi="Times New Roman"/>
                <w:color w:val="000000"/>
                <w:sz w:val="24"/>
                <w:szCs w:val="24"/>
                <w:shd w:val="clear" w:color="auto" w:fill="FFFFFF"/>
              </w:rPr>
              <w:t xml:space="preserve">, no tā ESF finansējums EUR </w:t>
            </w:r>
            <w:r w:rsidR="009604AD">
              <w:rPr>
                <w:rFonts w:ascii="Times New Roman" w:hAnsi="Times New Roman"/>
                <w:color w:val="000000"/>
                <w:sz w:val="24"/>
                <w:szCs w:val="24"/>
                <w:shd w:val="clear" w:color="auto" w:fill="FFFFFF"/>
              </w:rPr>
              <w:t>7 661 021</w:t>
            </w:r>
            <w:r w:rsidRPr="009B5667">
              <w:rPr>
                <w:rFonts w:ascii="Times New Roman" w:hAnsi="Times New Roman"/>
                <w:color w:val="000000"/>
                <w:sz w:val="24"/>
                <w:szCs w:val="24"/>
                <w:shd w:val="clear" w:color="auto" w:fill="FFFFFF"/>
              </w:rPr>
              <w:t xml:space="preserve"> un valsts budžeta līdzfinansējums EUR </w:t>
            </w:r>
            <w:r w:rsidR="009604AD">
              <w:rPr>
                <w:rFonts w:ascii="Times New Roman" w:hAnsi="Times New Roman"/>
                <w:color w:val="000000"/>
                <w:sz w:val="24"/>
                <w:szCs w:val="24"/>
                <w:shd w:val="clear" w:color="auto" w:fill="FFFFFF"/>
              </w:rPr>
              <w:t>1 138 979</w:t>
            </w:r>
            <w:r w:rsidRPr="009B5667">
              <w:rPr>
                <w:rFonts w:ascii="Times New Roman" w:hAnsi="Times New Roman"/>
                <w:color w:val="000000"/>
                <w:sz w:val="24"/>
                <w:szCs w:val="24"/>
                <w:shd w:val="clear" w:color="auto" w:fill="FFFFFF"/>
              </w:rPr>
              <w:t xml:space="preserve"> un privātais līdzfinansējums EUR </w:t>
            </w:r>
            <w:r w:rsidR="009604AD">
              <w:rPr>
                <w:rFonts w:ascii="Times New Roman" w:hAnsi="Times New Roman"/>
                <w:color w:val="000000"/>
                <w:sz w:val="24"/>
                <w:szCs w:val="24"/>
                <w:shd w:val="clear" w:color="auto" w:fill="FFFFFF"/>
              </w:rPr>
              <w:t>212 700</w:t>
            </w:r>
            <w:r w:rsidRPr="009B5667">
              <w:rPr>
                <w:rFonts w:ascii="Times New Roman" w:hAnsi="Times New Roman"/>
                <w:color w:val="000000"/>
                <w:sz w:val="24"/>
                <w:szCs w:val="24"/>
                <w:shd w:val="clear" w:color="auto" w:fill="FFFFFF"/>
              </w:rPr>
              <w:t xml:space="preserve">. Budžeta ilgtermiņa saistībās 2015. gadam šobrīd finansējums projektam nav paredzēts. </w:t>
            </w:r>
            <w:r>
              <w:rPr>
                <w:rFonts w:ascii="Times New Roman" w:hAnsi="Times New Roman"/>
                <w:color w:val="000000"/>
                <w:sz w:val="24"/>
                <w:szCs w:val="24"/>
                <w:shd w:val="clear" w:color="auto" w:fill="FFFFFF"/>
              </w:rPr>
              <w:t>Labklājības ministrija</w:t>
            </w:r>
            <w:r w:rsidRPr="009B5667">
              <w:rPr>
                <w:rFonts w:ascii="Times New Roman" w:hAnsi="Times New Roman"/>
                <w:color w:val="000000"/>
                <w:sz w:val="24"/>
                <w:szCs w:val="24"/>
                <w:shd w:val="clear" w:color="auto" w:fill="FFFFFF"/>
              </w:rPr>
              <w:t xml:space="preserve"> 2015.gadā normatīvajos aktos noteiktajā kārtībā sagatavos un iesniegs </w:t>
            </w:r>
            <w:r>
              <w:rPr>
                <w:rFonts w:ascii="Times New Roman" w:hAnsi="Times New Roman"/>
                <w:color w:val="000000"/>
                <w:sz w:val="24"/>
                <w:szCs w:val="24"/>
                <w:shd w:val="clear" w:color="auto" w:fill="FFFFFF"/>
              </w:rPr>
              <w:t>Finanšu ministrijai</w:t>
            </w:r>
            <w:r w:rsidRPr="009B5667">
              <w:rPr>
                <w:rFonts w:ascii="Times New Roman" w:hAnsi="Times New Roman"/>
                <w:color w:val="000000"/>
                <w:sz w:val="24"/>
                <w:szCs w:val="24"/>
                <w:shd w:val="clear" w:color="auto" w:fill="FFFFFF"/>
              </w:rPr>
              <w:t xml:space="preserve"> līdzekļu pieprasījumu, indikatīvi, EUR </w:t>
            </w:r>
            <w:r w:rsidR="00591BA7">
              <w:rPr>
                <w:rFonts w:ascii="Times New Roman" w:hAnsi="Times New Roman"/>
                <w:color w:val="000000"/>
                <w:sz w:val="24"/>
                <w:szCs w:val="24"/>
                <w:shd w:val="clear" w:color="auto" w:fill="FFFFFF"/>
              </w:rPr>
              <w:t>8 800 000</w:t>
            </w:r>
            <w:r w:rsidRPr="009B5667">
              <w:rPr>
                <w:rFonts w:ascii="Times New Roman" w:hAnsi="Times New Roman"/>
                <w:color w:val="000000"/>
                <w:sz w:val="24"/>
                <w:szCs w:val="24"/>
                <w:shd w:val="clear" w:color="auto" w:fill="FFFFFF"/>
              </w:rPr>
              <w:t xml:space="preserve"> apmērā,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2F2663C" w14:textId="6BC68AFA" w:rsidR="009B5667" w:rsidRPr="009B5667" w:rsidRDefault="009B5667" w:rsidP="009B5667">
            <w:pPr>
              <w:spacing w:after="0" w:line="240" w:lineRule="auto"/>
              <w:jc w:val="both"/>
              <w:rPr>
                <w:rFonts w:ascii="Times New Roman" w:hAnsi="Times New Roman"/>
                <w:color w:val="000000"/>
                <w:sz w:val="24"/>
                <w:szCs w:val="24"/>
                <w:shd w:val="clear" w:color="auto" w:fill="FFFFFF"/>
              </w:rPr>
            </w:pPr>
            <w:r w:rsidRPr="009B5667">
              <w:rPr>
                <w:rFonts w:ascii="Times New Roman" w:hAnsi="Times New Roman"/>
                <w:b/>
                <w:color w:val="000000"/>
                <w:sz w:val="24"/>
                <w:szCs w:val="24"/>
                <w:u w:val="single"/>
                <w:shd w:val="clear" w:color="auto" w:fill="FFFFFF"/>
              </w:rPr>
              <w:t>No 2016. gada līdz 2020.gadam</w:t>
            </w:r>
            <w:r w:rsidRPr="009B5667">
              <w:rPr>
                <w:rFonts w:ascii="Times New Roman" w:hAnsi="Times New Roman"/>
                <w:color w:val="000000"/>
                <w:sz w:val="24"/>
                <w:szCs w:val="24"/>
                <w:shd w:val="clear" w:color="auto" w:fill="FFFFFF"/>
              </w:rPr>
              <w:t xml:space="preserve"> ik gadu kopējās izmaksas indikatīvi EUR </w:t>
            </w:r>
            <w:r w:rsidR="009604AD">
              <w:rPr>
                <w:rFonts w:ascii="Times New Roman" w:hAnsi="Times New Roman"/>
                <w:color w:val="000000"/>
                <w:sz w:val="24"/>
                <w:szCs w:val="24"/>
                <w:shd w:val="clear" w:color="auto" w:fill="FFFFFF"/>
              </w:rPr>
              <w:t>14 860 609</w:t>
            </w:r>
            <w:r w:rsidRPr="009B5667">
              <w:rPr>
                <w:rFonts w:ascii="Times New Roman" w:hAnsi="Times New Roman"/>
                <w:color w:val="000000"/>
                <w:sz w:val="24"/>
                <w:szCs w:val="24"/>
                <w:shd w:val="clear" w:color="auto" w:fill="FFFFFF"/>
              </w:rPr>
              <w:t xml:space="preserve"> , tai skaitā publiskais finansējums EUR </w:t>
            </w:r>
            <w:r w:rsidR="009604AD">
              <w:rPr>
                <w:rFonts w:ascii="Times New Roman" w:hAnsi="Times New Roman"/>
                <w:color w:val="000000"/>
                <w:sz w:val="24"/>
                <w:szCs w:val="24"/>
                <w:shd w:val="clear" w:color="auto" w:fill="FFFFFF"/>
              </w:rPr>
              <w:t>14 509 425</w:t>
            </w:r>
            <w:r w:rsidRPr="009B5667">
              <w:rPr>
                <w:rFonts w:ascii="Times New Roman" w:hAnsi="Times New Roman"/>
                <w:color w:val="000000"/>
                <w:sz w:val="24"/>
                <w:szCs w:val="24"/>
                <w:shd w:val="clear" w:color="auto" w:fill="FFFFFF"/>
              </w:rPr>
              <w:t xml:space="preserve">, no tā ESF finansējums EUR </w:t>
            </w:r>
            <w:r w:rsidR="009604AD">
              <w:rPr>
                <w:rFonts w:ascii="Times New Roman" w:hAnsi="Times New Roman"/>
                <w:color w:val="000000"/>
                <w:sz w:val="24"/>
                <w:szCs w:val="24"/>
                <w:shd w:val="clear" w:color="auto" w:fill="FFFFFF"/>
              </w:rPr>
              <w:t>12 631 479</w:t>
            </w:r>
            <w:r w:rsidRPr="009B5667">
              <w:rPr>
                <w:rFonts w:ascii="Times New Roman" w:hAnsi="Times New Roman"/>
                <w:color w:val="000000"/>
                <w:sz w:val="24"/>
                <w:szCs w:val="24"/>
                <w:shd w:val="clear" w:color="auto" w:fill="FFFFFF"/>
              </w:rPr>
              <w:t xml:space="preserve"> un valsts budžeta līdzfinansējums EUR </w:t>
            </w:r>
            <w:r w:rsidR="009604AD">
              <w:rPr>
                <w:rFonts w:ascii="Times New Roman" w:hAnsi="Times New Roman"/>
                <w:color w:val="000000"/>
                <w:sz w:val="24"/>
                <w:szCs w:val="24"/>
                <w:shd w:val="clear" w:color="auto" w:fill="FFFFFF"/>
              </w:rPr>
              <w:t>1 877 946</w:t>
            </w:r>
            <w:r w:rsidRPr="009B5667">
              <w:rPr>
                <w:rFonts w:ascii="Times New Roman" w:hAnsi="Times New Roman"/>
                <w:color w:val="000000"/>
                <w:sz w:val="24"/>
                <w:szCs w:val="24"/>
                <w:shd w:val="clear" w:color="auto" w:fill="FFFFFF"/>
              </w:rPr>
              <w:t xml:space="preserve"> un privātais līdzfinansējums EUR </w:t>
            </w:r>
            <w:r w:rsidR="009604AD">
              <w:rPr>
                <w:rFonts w:ascii="Times New Roman" w:hAnsi="Times New Roman"/>
                <w:color w:val="000000"/>
                <w:sz w:val="24"/>
                <w:szCs w:val="24"/>
                <w:shd w:val="clear" w:color="auto" w:fill="FFFFFF"/>
              </w:rPr>
              <w:t>351 184</w:t>
            </w:r>
            <w:r w:rsidRPr="009B5667">
              <w:rPr>
                <w:rFonts w:ascii="Times New Roman" w:hAnsi="Times New Roman"/>
                <w:color w:val="000000"/>
                <w:sz w:val="24"/>
                <w:szCs w:val="24"/>
                <w:shd w:val="clear" w:color="auto" w:fill="FFFFFF"/>
              </w:rPr>
              <w:t>. Budžeta ilgtermiņa saistībās 2016. gadam</w:t>
            </w:r>
            <w:r w:rsidR="00591BA7">
              <w:rPr>
                <w:rFonts w:ascii="Times New Roman" w:hAnsi="Times New Roman"/>
                <w:color w:val="000000"/>
                <w:sz w:val="24"/>
                <w:szCs w:val="24"/>
                <w:shd w:val="clear" w:color="auto" w:fill="FFFFFF"/>
              </w:rPr>
              <w:t xml:space="preserve"> un turpmākiem gadiem</w:t>
            </w:r>
            <w:r w:rsidRPr="009B5667">
              <w:rPr>
                <w:rFonts w:ascii="Times New Roman" w:hAnsi="Times New Roman"/>
                <w:color w:val="000000"/>
                <w:sz w:val="24"/>
                <w:szCs w:val="24"/>
                <w:shd w:val="clear" w:color="auto" w:fill="FFFFFF"/>
              </w:rPr>
              <w:t xml:space="preserve"> šobrīd finansējums projektam nav paredzēts. Finansējumu, indikatīvi EUR </w:t>
            </w:r>
            <w:r w:rsidR="00591BA7">
              <w:rPr>
                <w:rFonts w:ascii="Times New Roman" w:hAnsi="Times New Roman"/>
                <w:color w:val="000000"/>
                <w:sz w:val="24"/>
                <w:szCs w:val="24"/>
                <w:shd w:val="clear" w:color="auto" w:fill="FFFFFF"/>
              </w:rPr>
              <w:t>14 509 425</w:t>
            </w:r>
            <w:r w:rsidRPr="009B5667">
              <w:rPr>
                <w:rFonts w:ascii="Times New Roman" w:hAnsi="Times New Roman"/>
                <w:color w:val="000000"/>
                <w:sz w:val="24"/>
                <w:szCs w:val="24"/>
                <w:shd w:val="clear" w:color="auto" w:fill="FFFFFF"/>
              </w:rPr>
              <w:t>, tiks pieprasīts iekļaut budžetā 2016. gad</w:t>
            </w:r>
            <w:r w:rsidR="00591BA7">
              <w:rPr>
                <w:rFonts w:ascii="Times New Roman" w:hAnsi="Times New Roman"/>
                <w:color w:val="000000"/>
                <w:sz w:val="24"/>
                <w:szCs w:val="24"/>
                <w:shd w:val="clear" w:color="auto" w:fill="FFFFFF"/>
              </w:rPr>
              <w:t>am</w:t>
            </w:r>
            <w:r w:rsidRPr="009B5667">
              <w:rPr>
                <w:rFonts w:ascii="Times New Roman" w:hAnsi="Times New Roman"/>
                <w:color w:val="000000"/>
                <w:sz w:val="24"/>
                <w:szCs w:val="24"/>
                <w:shd w:val="clear" w:color="auto" w:fill="FFFFFF"/>
              </w:rPr>
              <w:t xml:space="preserve"> un ilgtermiņa saistībās turpmākiem gadiem 2016. gada valsts budžeta sagatavošanas laikā.</w:t>
            </w:r>
          </w:p>
          <w:p w14:paraId="175F7070" w14:textId="6AD333E9" w:rsidR="00F91BD8" w:rsidRDefault="009B5667" w:rsidP="00F91BD8">
            <w:pPr>
              <w:spacing w:after="0" w:line="240" w:lineRule="auto"/>
              <w:jc w:val="both"/>
              <w:rPr>
                <w:rFonts w:ascii="Times New Roman" w:hAnsi="Times New Roman" w:cs="Times New Roman"/>
                <w:sz w:val="24"/>
                <w:szCs w:val="24"/>
              </w:rPr>
            </w:pPr>
            <w:r w:rsidRPr="009B5667">
              <w:rPr>
                <w:rFonts w:ascii="Times New Roman" w:hAnsi="Times New Roman"/>
                <w:b/>
                <w:color w:val="000000"/>
                <w:sz w:val="24"/>
                <w:szCs w:val="24"/>
                <w:u w:val="single"/>
                <w:shd w:val="clear" w:color="auto" w:fill="FFFFFF"/>
              </w:rPr>
              <w:t>2021. gadam</w:t>
            </w:r>
            <w:r w:rsidRPr="009B5667">
              <w:rPr>
                <w:rFonts w:ascii="Times New Roman" w:hAnsi="Times New Roman"/>
                <w:color w:val="000000"/>
                <w:sz w:val="24"/>
                <w:szCs w:val="24"/>
                <w:shd w:val="clear" w:color="auto" w:fill="FFFFFF"/>
              </w:rPr>
              <w:t xml:space="preserve"> indikatīvi kopējās izmaksas EUR </w:t>
            </w:r>
            <w:r w:rsidR="009604AD">
              <w:rPr>
                <w:rFonts w:ascii="Times New Roman" w:hAnsi="Times New Roman"/>
                <w:color w:val="000000"/>
                <w:sz w:val="24"/>
                <w:szCs w:val="24"/>
                <w:shd w:val="clear" w:color="auto" w:fill="FFFFFF"/>
              </w:rPr>
              <w:t>13 112 304</w:t>
            </w:r>
            <w:r w:rsidRPr="009B5667">
              <w:rPr>
                <w:rFonts w:ascii="Times New Roman" w:hAnsi="Times New Roman"/>
                <w:color w:val="000000"/>
                <w:sz w:val="24"/>
                <w:szCs w:val="24"/>
                <w:shd w:val="clear" w:color="auto" w:fill="FFFFFF"/>
              </w:rPr>
              <w:t xml:space="preserve">, tai skaitā publiskais finansējums EUR </w:t>
            </w:r>
            <w:r w:rsidR="009604AD">
              <w:rPr>
                <w:rFonts w:ascii="Times New Roman" w:hAnsi="Times New Roman"/>
                <w:color w:val="000000"/>
                <w:sz w:val="24"/>
                <w:szCs w:val="24"/>
                <w:shd w:val="clear" w:color="auto" w:fill="FFFFFF"/>
              </w:rPr>
              <w:t>12 802 435</w:t>
            </w:r>
            <w:r w:rsidRPr="009B5667">
              <w:rPr>
                <w:rFonts w:ascii="Times New Roman" w:hAnsi="Times New Roman"/>
                <w:color w:val="000000"/>
                <w:sz w:val="24"/>
                <w:szCs w:val="24"/>
                <w:shd w:val="clear" w:color="auto" w:fill="FFFFFF"/>
              </w:rPr>
              <w:t xml:space="preserve">, no tā ESF finansējums EUR </w:t>
            </w:r>
            <w:r w:rsidR="009604AD">
              <w:rPr>
                <w:rFonts w:ascii="Times New Roman" w:hAnsi="Times New Roman"/>
                <w:color w:val="000000"/>
                <w:sz w:val="24"/>
                <w:szCs w:val="24"/>
                <w:shd w:val="clear" w:color="auto" w:fill="FFFFFF"/>
              </w:rPr>
              <w:t>11 145 425</w:t>
            </w:r>
            <w:r w:rsidRPr="009B5667">
              <w:rPr>
                <w:rFonts w:ascii="Times New Roman" w:hAnsi="Times New Roman"/>
                <w:color w:val="000000"/>
                <w:sz w:val="24"/>
                <w:szCs w:val="24"/>
                <w:shd w:val="clear" w:color="auto" w:fill="FFFFFF"/>
              </w:rPr>
              <w:t xml:space="preserve"> un valsts budžeta līdzfinansējums EUR </w:t>
            </w:r>
            <w:r w:rsidR="009604AD">
              <w:rPr>
                <w:rFonts w:ascii="Times New Roman" w:hAnsi="Times New Roman"/>
                <w:color w:val="000000"/>
                <w:sz w:val="24"/>
                <w:szCs w:val="24"/>
                <w:shd w:val="clear" w:color="auto" w:fill="FFFFFF"/>
              </w:rPr>
              <w:t>1 657 010</w:t>
            </w:r>
            <w:r w:rsidRPr="009B5667">
              <w:rPr>
                <w:rFonts w:ascii="Times New Roman" w:hAnsi="Times New Roman"/>
                <w:color w:val="000000"/>
                <w:sz w:val="24"/>
                <w:szCs w:val="24"/>
                <w:shd w:val="clear" w:color="auto" w:fill="FFFFFF"/>
              </w:rPr>
              <w:t xml:space="preserve"> un privātais līdzfinansējums EUR </w:t>
            </w:r>
            <w:r w:rsidR="009604AD">
              <w:rPr>
                <w:rFonts w:ascii="Times New Roman" w:hAnsi="Times New Roman"/>
                <w:color w:val="000000"/>
                <w:sz w:val="24"/>
                <w:szCs w:val="24"/>
                <w:shd w:val="clear" w:color="auto" w:fill="FFFFFF"/>
              </w:rPr>
              <w:t>309 869</w:t>
            </w:r>
            <w:r w:rsidRPr="009B5667">
              <w:rPr>
                <w:rFonts w:ascii="Times New Roman" w:hAnsi="Times New Roman"/>
                <w:color w:val="000000"/>
                <w:sz w:val="24"/>
                <w:szCs w:val="24"/>
                <w:shd w:val="clear" w:color="auto" w:fill="FFFFFF"/>
              </w:rPr>
              <w:t>.</w:t>
            </w:r>
          </w:p>
          <w:p w14:paraId="19B85985" w14:textId="662B560A" w:rsidR="009C4313" w:rsidRPr="00E022DC" w:rsidRDefault="00403A2F" w:rsidP="009C4313">
            <w:pPr>
              <w:spacing w:after="0" w:line="240" w:lineRule="auto"/>
              <w:jc w:val="both"/>
              <w:rPr>
                <w:rFonts w:ascii="Times New Roman" w:hAnsi="Times New Roman" w:cs="Times New Roman"/>
                <w:sz w:val="24"/>
                <w:szCs w:val="24"/>
              </w:rPr>
            </w:pPr>
            <w:r w:rsidRPr="00E022DC">
              <w:rPr>
                <w:rFonts w:ascii="Times New Roman" w:hAnsi="Times New Roman" w:cs="Times New Roman"/>
                <w:sz w:val="24"/>
                <w:szCs w:val="24"/>
              </w:rPr>
              <w:t xml:space="preserve">Gadījumā, </w:t>
            </w:r>
            <w:r w:rsidR="00195986" w:rsidRPr="00E022DC">
              <w:rPr>
                <w:rFonts w:ascii="Times New Roman" w:hAnsi="Times New Roman" w:cs="Times New Roman"/>
                <w:sz w:val="24"/>
                <w:szCs w:val="24"/>
              </w:rPr>
              <w:t>ja SAM ietvaros būs pieejams finansējums 95,31% apmērā, t.i., bez plānotās finansējuma rezerves</w:t>
            </w:r>
            <w:r w:rsidRPr="00E022DC">
              <w:rPr>
                <w:rFonts w:ascii="Times New Roman" w:hAnsi="Times New Roman" w:cs="Times New Roman"/>
                <w:sz w:val="24"/>
                <w:szCs w:val="24"/>
              </w:rPr>
              <w:t>, tiks samazināts</w:t>
            </w:r>
            <w:r w:rsidR="009C4313" w:rsidRPr="00E022DC">
              <w:rPr>
                <w:rFonts w:ascii="Times New Roman" w:hAnsi="Times New Roman" w:cs="Times New Roman"/>
                <w:sz w:val="24"/>
                <w:szCs w:val="24"/>
              </w:rPr>
              <w:t xml:space="preserve"> finansējums projektam</w:t>
            </w:r>
            <w:r w:rsidRPr="00E022DC">
              <w:rPr>
                <w:rFonts w:ascii="Times New Roman" w:hAnsi="Times New Roman" w:cs="Times New Roman"/>
                <w:sz w:val="24"/>
                <w:szCs w:val="24"/>
              </w:rPr>
              <w:t xml:space="preserve"> 2019</w:t>
            </w:r>
            <w:r w:rsidR="009C4313" w:rsidRPr="00E022DC">
              <w:rPr>
                <w:rFonts w:ascii="Times New Roman" w:hAnsi="Times New Roman" w:cs="Times New Roman"/>
                <w:sz w:val="24"/>
                <w:szCs w:val="24"/>
              </w:rPr>
              <w:t>.-2021.gadā līdz šādam apjomam:</w:t>
            </w:r>
          </w:p>
          <w:p w14:paraId="0CB838E1" w14:textId="77777777" w:rsidR="009C4313" w:rsidRPr="00E022DC" w:rsidRDefault="009C4313" w:rsidP="009C4313">
            <w:pPr>
              <w:spacing w:after="0" w:line="240" w:lineRule="auto"/>
              <w:jc w:val="both"/>
              <w:rPr>
                <w:rFonts w:ascii="Times New Roman" w:hAnsi="Times New Roman"/>
                <w:color w:val="000000"/>
                <w:sz w:val="24"/>
                <w:szCs w:val="24"/>
                <w:shd w:val="clear" w:color="auto" w:fill="FFFFFF"/>
              </w:rPr>
            </w:pPr>
            <w:r w:rsidRPr="00E022DC">
              <w:rPr>
                <w:rFonts w:ascii="Times New Roman" w:hAnsi="Times New Roman" w:cs="Times New Roman"/>
                <w:sz w:val="24"/>
                <w:szCs w:val="24"/>
              </w:rPr>
              <w:t xml:space="preserve">2019. un 2020. gadam </w:t>
            </w:r>
            <w:r w:rsidRPr="00E022DC">
              <w:rPr>
                <w:rFonts w:ascii="Times New Roman" w:hAnsi="Times New Roman"/>
                <w:color w:val="000000"/>
                <w:sz w:val="24"/>
                <w:szCs w:val="24"/>
                <w:shd w:val="clear" w:color="auto" w:fill="FFFFFF"/>
              </w:rPr>
              <w:t>ik gadu kopējās izmaksas indikatīvi EUR 13 352 192, tai skaitā publiskais finansējums EUR 13 036 651, no tā ESF finansējums EUR 11 349 325 un valsts budžeta līdzfinansējums EUR 1 687 326 un privātais līdzfinansējums EUR 315 541;</w:t>
            </w:r>
          </w:p>
          <w:p w14:paraId="62373E2D" w14:textId="41A1F88C" w:rsidR="00403A2F" w:rsidRPr="00A76ADD" w:rsidRDefault="009C4313" w:rsidP="009C4313">
            <w:pPr>
              <w:spacing w:after="0" w:line="240" w:lineRule="auto"/>
              <w:jc w:val="both"/>
              <w:rPr>
                <w:rFonts w:ascii="Times New Roman" w:hAnsi="Times New Roman" w:cs="Times New Roman"/>
                <w:sz w:val="24"/>
                <w:szCs w:val="24"/>
              </w:rPr>
            </w:pPr>
            <w:r w:rsidRPr="00E022DC">
              <w:rPr>
                <w:rFonts w:ascii="Times New Roman" w:hAnsi="Times New Roman"/>
                <w:color w:val="000000"/>
                <w:sz w:val="24"/>
                <w:szCs w:val="24"/>
                <w:shd w:val="clear" w:color="auto" w:fill="FFFFFF"/>
              </w:rPr>
              <w:lastRenderedPageBreak/>
              <w:t>2021. gadam indikatīvi kopējās izmaksas EUR 11 603 891, tai skaitā publiskais finansējums EUR 11 329 663, no tā ESF finansējums EUR 9 863 273 un valsts budžeta līdzfinansējums EUR 1 466 390 un privātais līdzfinansējums EUR 274 228.</w:t>
            </w:r>
          </w:p>
        </w:tc>
      </w:tr>
      <w:tr w:rsidR="00F91BD8" w:rsidRPr="00A76ADD" w14:paraId="43BD2643" w14:textId="77777777" w:rsidTr="00883BC7">
        <w:trPr>
          <w:jc w:val="center"/>
        </w:trPr>
        <w:tc>
          <w:tcPr>
            <w:tcW w:w="3114" w:type="dxa"/>
          </w:tcPr>
          <w:p w14:paraId="021E86A8" w14:textId="504F1058" w:rsidR="00F91BD8" w:rsidRPr="00A76ADD" w:rsidRDefault="00F91BD8" w:rsidP="00F91BD8">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6.1. detalizēts ieņēmumu aprēķins</w:t>
            </w:r>
          </w:p>
        </w:tc>
        <w:tc>
          <w:tcPr>
            <w:tcW w:w="6525" w:type="dxa"/>
            <w:gridSpan w:val="5"/>
            <w:vMerge/>
          </w:tcPr>
          <w:p w14:paraId="68208C8F" w14:textId="77777777" w:rsidR="00F91BD8" w:rsidRPr="00A76ADD" w:rsidRDefault="00F91BD8" w:rsidP="00F91BD8">
            <w:pPr>
              <w:pStyle w:val="naisf"/>
              <w:spacing w:before="0" w:beforeAutospacing="0" w:after="0" w:afterAutospacing="0"/>
              <w:rPr>
                <w:b/>
                <w:i/>
              </w:rPr>
            </w:pPr>
          </w:p>
        </w:tc>
      </w:tr>
      <w:tr w:rsidR="00F91BD8" w:rsidRPr="00A76ADD" w14:paraId="0F9A11AC" w14:textId="77777777" w:rsidTr="00883BC7">
        <w:trPr>
          <w:jc w:val="center"/>
        </w:trPr>
        <w:tc>
          <w:tcPr>
            <w:tcW w:w="3114" w:type="dxa"/>
          </w:tcPr>
          <w:p w14:paraId="4A71C0CA" w14:textId="77777777" w:rsidR="00F91BD8" w:rsidRPr="00A76ADD" w:rsidRDefault="00F91BD8" w:rsidP="00F91BD8">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t>6.2. detalizēts izdevumu aprēķins</w:t>
            </w:r>
          </w:p>
        </w:tc>
        <w:tc>
          <w:tcPr>
            <w:tcW w:w="6525" w:type="dxa"/>
            <w:gridSpan w:val="5"/>
            <w:vMerge/>
          </w:tcPr>
          <w:p w14:paraId="08FDE72B" w14:textId="77777777" w:rsidR="00F91BD8" w:rsidRPr="00A76ADD" w:rsidRDefault="00F91BD8" w:rsidP="00F91BD8">
            <w:pPr>
              <w:pStyle w:val="naisf"/>
              <w:spacing w:before="0" w:beforeAutospacing="0" w:after="0" w:afterAutospacing="0"/>
              <w:rPr>
                <w:b/>
                <w:i/>
              </w:rPr>
            </w:pPr>
          </w:p>
        </w:tc>
      </w:tr>
      <w:tr w:rsidR="00F91BD8" w:rsidRPr="00A76ADD" w14:paraId="36A0A859" w14:textId="77777777" w:rsidTr="00883BC7">
        <w:trPr>
          <w:trHeight w:val="556"/>
          <w:jc w:val="center"/>
        </w:trPr>
        <w:tc>
          <w:tcPr>
            <w:tcW w:w="3114" w:type="dxa"/>
          </w:tcPr>
          <w:p w14:paraId="24A4BE0A" w14:textId="77777777" w:rsidR="00F91BD8" w:rsidRPr="00A76ADD" w:rsidRDefault="00F91BD8" w:rsidP="00F91BD8">
            <w:pPr>
              <w:spacing w:after="0" w:line="240" w:lineRule="auto"/>
              <w:rPr>
                <w:rFonts w:ascii="Times New Roman" w:hAnsi="Times New Roman" w:cs="Times New Roman"/>
                <w:sz w:val="24"/>
                <w:szCs w:val="24"/>
              </w:rPr>
            </w:pPr>
            <w:r w:rsidRPr="00A76ADD">
              <w:rPr>
                <w:rFonts w:ascii="Times New Roman" w:hAnsi="Times New Roman" w:cs="Times New Roman"/>
                <w:sz w:val="24"/>
                <w:szCs w:val="24"/>
              </w:rPr>
              <w:lastRenderedPageBreak/>
              <w:t>7. Cita informācija</w:t>
            </w:r>
          </w:p>
        </w:tc>
        <w:tc>
          <w:tcPr>
            <w:tcW w:w="6525" w:type="dxa"/>
            <w:gridSpan w:val="5"/>
          </w:tcPr>
          <w:p w14:paraId="54A00606" w14:textId="77777777" w:rsidR="00F91BD8" w:rsidRDefault="00F91BD8" w:rsidP="00C64158">
            <w:pPr>
              <w:pStyle w:val="naisf"/>
              <w:tabs>
                <w:tab w:val="left" w:pos="4644"/>
              </w:tabs>
              <w:spacing w:before="0" w:beforeAutospacing="0" w:after="0" w:afterAutospacing="0"/>
              <w:jc w:val="both"/>
            </w:pPr>
            <w:r>
              <w:t>Finansējuma sadalījums pa gadiem norādīts indikatīvi un var tikt precizēts pēc SAM ietvaros paredzētā projekta apstiprināšanas.</w:t>
            </w:r>
          </w:p>
          <w:p w14:paraId="267C43C4" w14:textId="77777777" w:rsidR="004D4173" w:rsidRPr="00E022DC" w:rsidRDefault="00056D49">
            <w:pPr>
              <w:pStyle w:val="naisf"/>
              <w:tabs>
                <w:tab w:val="left" w:pos="4644"/>
              </w:tabs>
              <w:spacing w:before="0" w:beforeAutospacing="0" w:after="0" w:afterAutospacing="0"/>
              <w:jc w:val="both"/>
              <w:rPr>
                <w:bCs/>
              </w:rPr>
            </w:pPr>
            <w:r w:rsidRPr="00056D49">
              <w:rPr>
                <w:bCs/>
              </w:rPr>
              <w:t xml:space="preserve">Pirms </w:t>
            </w:r>
            <w:r>
              <w:rPr>
                <w:bCs/>
              </w:rPr>
              <w:t>SAM</w:t>
            </w:r>
            <w:r w:rsidRPr="00056D49">
              <w:rPr>
                <w:bCs/>
              </w:rPr>
              <w:t xml:space="preserve"> projekta apstiprināšanas projekta ietvaros radušās izmaksas var uzskatīt par attiecināmām, ja tās atbilst </w:t>
            </w:r>
            <w:r>
              <w:rPr>
                <w:bCs/>
              </w:rPr>
              <w:t>MK noteikuma projekta</w:t>
            </w:r>
            <w:r w:rsidRPr="00056D49">
              <w:rPr>
                <w:bCs/>
              </w:rPr>
              <w:t xml:space="preserve"> minētajām izmaksu pozīcijām, un tās ir ra</w:t>
            </w:r>
            <w:r w:rsidRPr="00E022DC">
              <w:rPr>
                <w:bCs/>
              </w:rPr>
              <w:t>dušās ne agrāk kā 2015.gada 2.janvārī.</w:t>
            </w:r>
          </w:p>
          <w:p w14:paraId="5F624803" w14:textId="284B2791" w:rsidR="00E421E9" w:rsidRPr="00E022DC" w:rsidRDefault="00C64158" w:rsidP="003C0358">
            <w:pPr>
              <w:pStyle w:val="naisf"/>
              <w:spacing w:before="0" w:beforeAutospacing="0" w:after="0" w:afterAutospacing="0"/>
              <w:jc w:val="both"/>
              <w:rPr>
                <w:bCs/>
              </w:rPr>
            </w:pPr>
            <w:r w:rsidRPr="00E022DC">
              <w:rPr>
                <w:bCs/>
              </w:rPr>
              <w:t xml:space="preserve">SAM ietvaros </w:t>
            </w:r>
            <w:r w:rsidR="00E421E9" w:rsidRPr="00E022DC">
              <w:rPr>
                <w:bCs/>
              </w:rPr>
              <w:t>paredzētas</w:t>
            </w:r>
            <w:r w:rsidRPr="00E022DC">
              <w:rPr>
                <w:bCs/>
              </w:rPr>
              <w:t xml:space="preserve"> veselības apdrošināšanas izmaksas</w:t>
            </w:r>
            <w:r w:rsidR="00195986" w:rsidRPr="00E022DC">
              <w:rPr>
                <w:bCs/>
              </w:rPr>
              <w:t xml:space="preserve"> EUR 143 136 apmērā</w:t>
            </w:r>
            <w:r w:rsidRPr="00E022DC">
              <w:rPr>
                <w:bCs/>
              </w:rPr>
              <w:t xml:space="preserve"> (</w:t>
            </w:r>
            <w:r w:rsidR="00BD2109" w:rsidRPr="00E022DC">
              <w:rPr>
                <w:bCs/>
              </w:rPr>
              <w:t>i</w:t>
            </w:r>
            <w:r w:rsidRPr="00E022DC">
              <w:rPr>
                <w:bCs/>
              </w:rPr>
              <w:t>ndikatīvi viena projekta darbinieka veselības apdrošināšanas izmaksas ir EUR 213 gadā. Veselības apdrošināšanas izmaksas projekta ietvaros līdz 202</w:t>
            </w:r>
            <w:r w:rsidR="00BD2109" w:rsidRPr="00E022DC">
              <w:rPr>
                <w:bCs/>
              </w:rPr>
              <w:t>1</w:t>
            </w:r>
            <w:r w:rsidRPr="00E022DC">
              <w:rPr>
                <w:bCs/>
              </w:rPr>
              <w:t xml:space="preserve">.gada beigām </w:t>
            </w:r>
            <w:r w:rsidR="00BD2109" w:rsidRPr="00E022DC">
              <w:rPr>
                <w:bCs/>
              </w:rPr>
              <w:t>96</w:t>
            </w:r>
            <w:r w:rsidRPr="00E022DC">
              <w:rPr>
                <w:bCs/>
              </w:rPr>
              <w:t xml:space="preserve"> projekta darbiniekiem)</w:t>
            </w:r>
            <w:r w:rsidR="00E421E9" w:rsidRPr="00E022DC">
              <w:rPr>
                <w:bCs/>
              </w:rPr>
              <w:t xml:space="preserve"> kā projekta attiecināmās izmaksas</w:t>
            </w:r>
            <w:r w:rsidRPr="00E022DC">
              <w:rPr>
                <w:bCs/>
              </w:rPr>
              <w:t>.</w:t>
            </w:r>
            <w:r w:rsidR="003C0358" w:rsidRPr="00E022DC">
              <w:rPr>
                <w:bCs/>
              </w:rPr>
              <w:t xml:space="preserve"> </w:t>
            </w:r>
            <w:r w:rsidRPr="00E022DC">
              <w:rPr>
                <w:bCs/>
              </w:rPr>
              <w:t>Lai nodrošinātu vienlīdzīgu situāciju visiem labklājības nozarē strādājošajiem, tai skaitā arī labklājības nozares ES fondu projektu personālam, SAM ietvaros ir paredzēts segt veselības apdrošināšanas izmaksas projekta īstenošanas administrēšanas personālam (</w:t>
            </w:r>
            <w:r w:rsidR="00BD2109" w:rsidRPr="00E022DC">
              <w:rPr>
                <w:bCs/>
              </w:rPr>
              <w:t>25</w:t>
            </w:r>
            <w:r w:rsidRPr="00E022DC">
              <w:rPr>
                <w:bCs/>
              </w:rPr>
              <w:t xml:space="preserve"> darbinieki) un finansējuma saņēmēja projekta īstenošanas personālam (</w:t>
            </w:r>
            <w:r w:rsidR="00BD2109" w:rsidRPr="00E022DC">
              <w:rPr>
                <w:bCs/>
              </w:rPr>
              <w:t>7</w:t>
            </w:r>
            <w:r w:rsidRPr="00E022DC">
              <w:rPr>
                <w:bCs/>
              </w:rPr>
              <w:t>1 darbinieks) pie nosacījuma, ja veselības apdrošināšana paredzēta finansējuma saņēmēja iestādē.</w:t>
            </w:r>
          </w:p>
          <w:p w14:paraId="04E44A37" w14:textId="587692D0" w:rsidR="00C64158" w:rsidRPr="00E421E9" w:rsidRDefault="00E421E9" w:rsidP="003C0358">
            <w:pPr>
              <w:pStyle w:val="naisf"/>
              <w:spacing w:before="0" w:beforeAutospacing="0" w:after="0" w:afterAutospacing="0"/>
              <w:jc w:val="both"/>
              <w:rPr>
                <w:bCs/>
              </w:rPr>
            </w:pPr>
            <w:r w:rsidRPr="00E022DC">
              <w:rPr>
                <w:bCs/>
              </w:rPr>
              <w:t xml:space="preserve">Labklājības ministrija rosinās </w:t>
            </w:r>
            <w:r w:rsidRPr="00E022DC">
              <w:rPr>
                <w:color w:val="000000"/>
              </w:rPr>
              <w:t>Finanšu ministriju pārskatīt veselības apdrošināšanas izmaksu plānošanas nosacījumus un veikt atbilstošas korekcijas vadlīnijās “Vadlīnijas attiecināmo un neattiecināmo izmaksu noteikšanai 2014.-2020.gada plānošanas periodā”.</w:t>
            </w:r>
            <w:r w:rsidR="00C64158" w:rsidRPr="00E421E9">
              <w:rPr>
                <w:bCs/>
              </w:rPr>
              <w:t xml:space="preserve"> </w:t>
            </w:r>
          </w:p>
          <w:p w14:paraId="5F1B5535" w14:textId="5B22F608" w:rsidR="003C0358" w:rsidRPr="004D4173" w:rsidRDefault="003C0358" w:rsidP="003C0358">
            <w:pPr>
              <w:pStyle w:val="naisf"/>
              <w:tabs>
                <w:tab w:val="left" w:pos="4644"/>
              </w:tabs>
              <w:spacing w:before="0" w:beforeAutospacing="0" w:after="0" w:afterAutospacing="0"/>
              <w:jc w:val="both"/>
              <w:rPr>
                <w:bCs/>
              </w:rPr>
            </w:pPr>
            <w:r w:rsidRPr="003C0358">
              <w:rPr>
                <w:bCs/>
              </w:rPr>
              <w:t>SAM ietvaros paredzētas sludinājumu izmaksas plašsaziņas līdzekļos, tās plānotas darba devēju informēšanai par iespēju iesaistīties/pieteikties projekta īstenošan</w:t>
            </w:r>
            <w:r>
              <w:rPr>
                <w:bCs/>
              </w:rPr>
              <w:t>ā</w:t>
            </w:r>
            <w:r w:rsidRPr="003C0358">
              <w:rPr>
                <w:bCs/>
              </w:rPr>
              <w:t xml:space="preserve"> atbilstoši MK 25.01.2011. noteikumos Nr.75 “Noteikumi par aktīvo nodarbinātības pasākumu un preventīvo bezdarba samazināšanas pasākumu organizēšanas un finansēšanas kārtību un pasākumu īstenotāju izvēles principiem” noteiktajam. Balstoties uz līdzšinējo pieredzi, sludinājumi plašsaziņas līdzekļos tiek publicēti vidēji divas reizes gadā un to vidējās viena sl</w:t>
            </w:r>
            <w:r>
              <w:rPr>
                <w:bCs/>
              </w:rPr>
              <w:t>u</w:t>
            </w:r>
            <w:r w:rsidRPr="003C0358">
              <w:rPr>
                <w:bCs/>
              </w:rPr>
              <w:t>dinājuma izmaksas ir aptuveni no EUR 80 līdz EUR 120.</w:t>
            </w:r>
          </w:p>
        </w:tc>
      </w:tr>
    </w:tbl>
    <w:p w14:paraId="0C7D5738" w14:textId="77777777" w:rsidR="00F21E42" w:rsidRPr="00A76ADD" w:rsidRDefault="00F21E42" w:rsidP="0089655E">
      <w:pPr>
        <w:spacing w:after="0" w:line="240" w:lineRule="auto"/>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644"/>
        <w:gridCol w:w="6520"/>
      </w:tblGrid>
      <w:tr w:rsidR="00CC1A56" w:rsidRPr="00A76ADD" w14:paraId="625465D7" w14:textId="77777777" w:rsidTr="0089655E">
        <w:trPr>
          <w:trHeight w:val="461"/>
          <w:jc w:val="center"/>
        </w:trPr>
        <w:tc>
          <w:tcPr>
            <w:tcW w:w="9634" w:type="dxa"/>
            <w:gridSpan w:val="3"/>
            <w:vAlign w:val="center"/>
          </w:tcPr>
          <w:p w14:paraId="40A3ADEE" w14:textId="77777777" w:rsidR="00CC1A56" w:rsidRPr="00A76ADD" w:rsidRDefault="00CC1A56" w:rsidP="0089655E">
            <w:pPr>
              <w:pStyle w:val="naisnod"/>
              <w:spacing w:before="0" w:beforeAutospacing="0" w:after="0" w:afterAutospacing="0"/>
              <w:jc w:val="center"/>
              <w:rPr>
                <w:b/>
              </w:rPr>
            </w:pPr>
            <w:r w:rsidRPr="00A76ADD">
              <w:br w:type="page"/>
            </w:r>
            <w:r w:rsidRPr="00A76ADD">
              <w:rPr>
                <w:b/>
              </w:rPr>
              <w:t>IV. Tiesību akta projekta ietekme uz spēkā esošo tiesību normu sistēmu</w:t>
            </w:r>
          </w:p>
        </w:tc>
      </w:tr>
      <w:tr w:rsidR="00CC1A56" w:rsidRPr="00A76ADD" w14:paraId="547E5DA0" w14:textId="77777777" w:rsidTr="00E022DC">
        <w:trPr>
          <w:jc w:val="center"/>
        </w:trPr>
        <w:tc>
          <w:tcPr>
            <w:tcW w:w="470" w:type="dxa"/>
          </w:tcPr>
          <w:p w14:paraId="5AD3D5E6" w14:textId="77777777" w:rsidR="00CC1A56" w:rsidRPr="00A76ADD" w:rsidRDefault="00CC1A56" w:rsidP="0089655E">
            <w:pPr>
              <w:pStyle w:val="naiskr"/>
              <w:tabs>
                <w:tab w:val="left" w:pos="2628"/>
              </w:tabs>
              <w:spacing w:before="0" w:beforeAutospacing="0" w:after="0" w:afterAutospacing="0"/>
              <w:jc w:val="both"/>
              <w:rPr>
                <w:iCs/>
              </w:rPr>
            </w:pPr>
            <w:r w:rsidRPr="00A76ADD">
              <w:rPr>
                <w:iCs/>
              </w:rPr>
              <w:t>1.</w:t>
            </w:r>
          </w:p>
        </w:tc>
        <w:tc>
          <w:tcPr>
            <w:tcW w:w="2644" w:type="dxa"/>
          </w:tcPr>
          <w:p w14:paraId="0BC1CEDF" w14:textId="77777777" w:rsidR="00CC1A56" w:rsidRPr="00A76ADD" w:rsidRDefault="00CC1A56" w:rsidP="0089655E">
            <w:pPr>
              <w:pStyle w:val="naiskr"/>
              <w:tabs>
                <w:tab w:val="left" w:pos="2628"/>
              </w:tabs>
              <w:spacing w:before="0" w:beforeAutospacing="0" w:after="0" w:afterAutospacing="0"/>
              <w:jc w:val="both"/>
              <w:rPr>
                <w:iCs/>
              </w:rPr>
            </w:pPr>
            <w:r w:rsidRPr="00A76ADD">
              <w:t>Nepieciešamie saistītie tiesību aktu projekti</w:t>
            </w:r>
          </w:p>
        </w:tc>
        <w:tc>
          <w:tcPr>
            <w:tcW w:w="6520" w:type="dxa"/>
          </w:tcPr>
          <w:p w14:paraId="2529ED39" w14:textId="77777777" w:rsidR="00CC1A56" w:rsidRPr="00A76ADD" w:rsidRDefault="005C3BBF" w:rsidP="0089655E">
            <w:pPr>
              <w:shd w:val="clear" w:color="auto" w:fill="FFFFFF"/>
              <w:spacing w:after="0" w:line="240" w:lineRule="auto"/>
              <w:jc w:val="both"/>
              <w:rPr>
                <w:rFonts w:ascii="Times New Roman" w:hAnsi="Times New Roman" w:cs="Times New Roman"/>
                <w:color w:val="000000"/>
                <w:sz w:val="24"/>
                <w:szCs w:val="24"/>
                <w:lang w:eastAsia="lv-LV"/>
              </w:rPr>
            </w:pPr>
            <w:r w:rsidRPr="00A76ADD">
              <w:rPr>
                <w:rFonts w:ascii="Times New Roman" w:hAnsi="Times New Roman" w:cs="Times New Roman"/>
                <w:sz w:val="24"/>
                <w:szCs w:val="24"/>
              </w:rPr>
              <w:t>MK noteikumu projekts šo jomu neskar.</w:t>
            </w:r>
          </w:p>
        </w:tc>
      </w:tr>
      <w:tr w:rsidR="00CC1A56" w:rsidRPr="00A76ADD" w14:paraId="0FF5BEF5" w14:textId="77777777" w:rsidTr="00E022DC">
        <w:trPr>
          <w:jc w:val="center"/>
        </w:trPr>
        <w:tc>
          <w:tcPr>
            <w:tcW w:w="470" w:type="dxa"/>
          </w:tcPr>
          <w:p w14:paraId="0EDAACA1" w14:textId="77777777" w:rsidR="00CC1A56" w:rsidRPr="00A76ADD" w:rsidRDefault="00CC1A56" w:rsidP="0089655E">
            <w:pPr>
              <w:pStyle w:val="naiskr"/>
              <w:tabs>
                <w:tab w:val="left" w:pos="2628"/>
              </w:tabs>
              <w:spacing w:before="0" w:beforeAutospacing="0" w:after="0" w:afterAutospacing="0"/>
              <w:jc w:val="both"/>
              <w:rPr>
                <w:iCs/>
              </w:rPr>
            </w:pPr>
            <w:r w:rsidRPr="00A76ADD">
              <w:rPr>
                <w:iCs/>
              </w:rPr>
              <w:t>2.</w:t>
            </w:r>
          </w:p>
        </w:tc>
        <w:tc>
          <w:tcPr>
            <w:tcW w:w="2644" w:type="dxa"/>
          </w:tcPr>
          <w:p w14:paraId="761D465F" w14:textId="77777777" w:rsidR="00CC1A56" w:rsidRPr="00A76ADD" w:rsidRDefault="00CC1A56" w:rsidP="0089655E">
            <w:pPr>
              <w:pStyle w:val="naiskr"/>
              <w:tabs>
                <w:tab w:val="left" w:pos="2628"/>
              </w:tabs>
              <w:spacing w:before="0" w:beforeAutospacing="0" w:after="0" w:afterAutospacing="0"/>
              <w:jc w:val="both"/>
            </w:pPr>
            <w:r w:rsidRPr="00A76ADD">
              <w:t>Atbildīgā institūcija</w:t>
            </w:r>
          </w:p>
        </w:tc>
        <w:tc>
          <w:tcPr>
            <w:tcW w:w="6520" w:type="dxa"/>
          </w:tcPr>
          <w:p w14:paraId="5C2198F4" w14:textId="77777777" w:rsidR="00CC1A56" w:rsidRPr="00A76ADD" w:rsidRDefault="0055242A" w:rsidP="0089655E">
            <w:pPr>
              <w:shd w:val="clear" w:color="auto" w:fill="FFFFFF"/>
              <w:spacing w:after="0" w:line="240" w:lineRule="auto"/>
              <w:jc w:val="both"/>
              <w:rPr>
                <w:rFonts w:ascii="Times New Roman" w:hAnsi="Times New Roman" w:cs="Times New Roman"/>
                <w:color w:val="000000"/>
                <w:sz w:val="24"/>
                <w:szCs w:val="24"/>
                <w:lang w:eastAsia="lv-LV"/>
              </w:rPr>
            </w:pPr>
            <w:r w:rsidRPr="00A76ADD">
              <w:rPr>
                <w:rFonts w:ascii="Times New Roman" w:hAnsi="Times New Roman" w:cs="Times New Roman"/>
                <w:sz w:val="24"/>
                <w:szCs w:val="24"/>
              </w:rPr>
              <w:t>Labklājības ministrija</w:t>
            </w:r>
          </w:p>
        </w:tc>
      </w:tr>
      <w:tr w:rsidR="00CC1A56" w:rsidRPr="00A76ADD" w14:paraId="67DD2255" w14:textId="77777777" w:rsidTr="00E022DC">
        <w:trPr>
          <w:jc w:val="center"/>
        </w:trPr>
        <w:tc>
          <w:tcPr>
            <w:tcW w:w="470" w:type="dxa"/>
          </w:tcPr>
          <w:p w14:paraId="61AB6936" w14:textId="77777777" w:rsidR="00CC1A56" w:rsidRPr="00A76ADD" w:rsidRDefault="00CC1A56" w:rsidP="0089655E">
            <w:pPr>
              <w:pStyle w:val="naiskr"/>
              <w:tabs>
                <w:tab w:val="left" w:pos="2628"/>
              </w:tabs>
              <w:spacing w:before="0" w:beforeAutospacing="0" w:after="0" w:afterAutospacing="0"/>
              <w:jc w:val="both"/>
              <w:rPr>
                <w:iCs/>
              </w:rPr>
            </w:pPr>
            <w:r w:rsidRPr="00A76ADD">
              <w:rPr>
                <w:iCs/>
              </w:rPr>
              <w:t>3.</w:t>
            </w:r>
          </w:p>
        </w:tc>
        <w:tc>
          <w:tcPr>
            <w:tcW w:w="2644" w:type="dxa"/>
          </w:tcPr>
          <w:p w14:paraId="07F01CE7" w14:textId="77777777" w:rsidR="00CC1A56" w:rsidRPr="00A76ADD" w:rsidRDefault="00CC1A56" w:rsidP="0089655E">
            <w:pPr>
              <w:pStyle w:val="naiskr"/>
              <w:tabs>
                <w:tab w:val="left" w:pos="2628"/>
              </w:tabs>
              <w:spacing w:before="0" w:beforeAutospacing="0" w:after="0" w:afterAutospacing="0"/>
              <w:jc w:val="both"/>
              <w:rPr>
                <w:iCs/>
              </w:rPr>
            </w:pPr>
            <w:r w:rsidRPr="00A76ADD">
              <w:t>Cita informācija</w:t>
            </w:r>
          </w:p>
        </w:tc>
        <w:tc>
          <w:tcPr>
            <w:tcW w:w="6520" w:type="dxa"/>
          </w:tcPr>
          <w:p w14:paraId="21918D0E" w14:textId="2790B3F2" w:rsidR="00CC1A56" w:rsidRPr="004D4173" w:rsidRDefault="004D4173">
            <w:pPr>
              <w:pStyle w:val="naiskr"/>
              <w:tabs>
                <w:tab w:val="left" w:pos="2628"/>
              </w:tabs>
              <w:spacing w:before="0" w:beforeAutospacing="0" w:after="0" w:afterAutospacing="0"/>
              <w:jc w:val="both"/>
              <w:rPr>
                <w:iCs/>
              </w:rPr>
            </w:pPr>
            <w:r w:rsidRPr="004D4173">
              <w:rPr>
                <w:iCs/>
              </w:rPr>
              <w:t xml:space="preserve">Labklājības ministrija ir ierosinājusi </w:t>
            </w:r>
            <w:r w:rsidRPr="004D4173">
              <w:t>grozījumus MK noteikumos Nr.75 atbilstoši informācijai, kas norādīta anotācijas I sadaļas “Tiesību akta projekta izstrādes nepieciešamība” 2.punktā “Pašreizējā situācija un problēmas, kuru risināšanai tiesību akta projekts izstrādāts, tiesiskā regulējuma mērķis un būtība” (</w:t>
            </w:r>
            <w:r>
              <w:t>izsludināts Valsts sekretāru sanāksmē š.g. 27.novembrī, VSS-1072</w:t>
            </w:r>
            <w:r w:rsidRPr="004D4173">
              <w:t>).</w:t>
            </w:r>
          </w:p>
        </w:tc>
      </w:tr>
    </w:tbl>
    <w:p w14:paraId="455DB573" w14:textId="77777777" w:rsidR="0050490E" w:rsidRPr="00E27512" w:rsidRDefault="0050490E" w:rsidP="0089655E">
      <w:pPr>
        <w:spacing w:after="0" w:line="240" w:lineRule="auto"/>
        <w:rPr>
          <w:rFonts w:ascii="Times New Roman" w:hAnsi="Times New Roman"/>
          <w:color w:val="000000"/>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2296"/>
        <w:gridCol w:w="6521"/>
      </w:tblGrid>
      <w:tr w:rsidR="0050490E" w:rsidRPr="00E27512" w14:paraId="1D00E5FD" w14:textId="77777777" w:rsidTr="0089655E">
        <w:tc>
          <w:tcPr>
            <w:tcW w:w="9640" w:type="dxa"/>
            <w:gridSpan w:val="3"/>
            <w:shd w:val="clear" w:color="auto" w:fill="auto"/>
          </w:tcPr>
          <w:p w14:paraId="3706DAB3" w14:textId="77777777" w:rsidR="0050490E" w:rsidRPr="00E27512" w:rsidRDefault="0050490E" w:rsidP="0089655E">
            <w:pPr>
              <w:tabs>
                <w:tab w:val="left" w:pos="495"/>
                <w:tab w:val="center" w:pos="4782"/>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ab/>
            </w:r>
            <w:r>
              <w:rPr>
                <w:rFonts w:ascii="Times New Roman" w:hAnsi="Times New Roman"/>
                <w:b/>
                <w:color w:val="000000"/>
                <w:sz w:val="24"/>
                <w:szCs w:val="24"/>
              </w:rPr>
              <w:tab/>
            </w:r>
            <w:r w:rsidRPr="00E27512">
              <w:rPr>
                <w:rFonts w:ascii="Times New Roman" w:hAnsi="Times New Roman"/>
                <w:b/>
                <w:color w:val="000000"/>
                <w:sz w:val="24"/>
                <w:szCs w:val="24"/>
              </w:rPr>
              <w:t>V. Tiesību akta projekta atbilstība Latvijas Republikas starptautiskajām saistībām</w:t>
            </w:r>
          </w:p>
        </w:tc>
      </w:tr>
      <w:tr w:rsidR="0050490E" w:rsidRPr="00E27512" w14:paraId="579A234F" w14:textId="77777777" w:rsidTr="00E022DC">
        <w:tc>
          <w:tcPr>
            <w:tcW w:w="823" w:type="dxa"/>
            <w:shd w:val="clear" w:color="auto" w:fill="auto"/>
          </w:tcPr>
          <w:p w14:paraId="4683D009"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1.</w:t>
            </w:r>
          </w:p>
        </w:tc>
        <w:tc>
          <w:tcPr>
            <w:tcW w:w="2296" w:type="dxa"/>
            <w:shd w:val="clear" w:color="auto" w:fill="auto"/>
          </w:tcPr>
          <w:p w14:paraId="49D0BACB" w14:textId="77777777" w:rsidR="0050490E" w:rsidRPr="00E27512" w:rsidRDefault="0050490E" w:rsidP="0089655E">
            <w:pPr>
              <w:tabs>
                <w:tab w:val="left" w:pos="2628"/>
              </w:tabs>
              <w:spacing w:after="0" w:line="240" w:lineRule="auto"/>
              <w:rPr>
                <w:rFonts w:ascii="Times New Roman" w:hAnsi="Times New Roman"/>
                <w:iCs/>
                <w:color w:val="000000"/>
                <w:sz w:val="24"/>
                <w:szCs w:val="24"/>
              </w:rPr>
            </w:pPr>
            <w:r w:rsidRPr="00E27512">
              <w:rPr>
                <w:rFonts w:ascii="Times New Roman" w:hAnsi="Times New Roman"/>
                <w:color w:val="000000"/>
                <w:sz w:val="24"/>
                <w:szCs w:val="24"/>
              </w:rPr>
              <w:t>Saistības pret Eiropas Savienību</w:t>
            </w:r>
          </w:p>
        </w:tc>
        <w:tc>
          <w:tcPr>
            <w:tcW w:w="6521" w:type="dxa"/>
            <w:shd w:val="clear" w:color="auto" w:fill="auto"/>
          </w:tcPr>
          <w:p w14:paraId="679AC932" w14:textId="0BC8EF08" w:rsidR="0050490E" w:rsidRPr="0078211A" w:rsidRDefault="0050490E" w:rsidP="0089655E">
            <w:pPr>
              <w:pStyle w:val="naiskr"/>
              <w:tabs>
                <w:tab w:val="left" w:pos="2628"/>
              </w:tabs>
              <w:spacing w:before="0" w:beforeAutospacing="0" w:after="0" w:afterAutospacing="0"/>
              <w:jc w:val="both"/>
              <w:rPr>
                <w:color w:val="000000"/>
              </w:rPr>
            </w:pPr>
            <w:r w:rsidRPr="00E27512">
              <w:rPr>
                <w:color w:val="000000"/>
              </w:rPr>
              <w:t xml:space="preserve">MK noteikumu projekts paredz, ka finanšu atbalstu </w:t>
            </w:r>
            <w:r>
              <w:rPr>
                <w:color w:val="000000"/>
              </w:rPr>
              <w:t xml:space="preserve">SAM atbalstāmās darbības </w:t>
            </w:r>
            <w:r w:rsidR="00974CF0">
              <w:rPr>
                <w:color w:val="000000"/>
              </w:rPr>
              <w:t>apmācība pie darba devēja</w:t>
            </w:r>
            <w:r w:rsidRPr="0078211A">
              <w:rPr>
                <w:color w:val="000000"/>
              </w:rPr>
              <w:t xml:space="preserve"> ietvaros </w:t>
            </w:r>
            <w:r>
              <w:rPr>
                <w:color w:val="000000"/>
              </w:rPr>
              <w:t>NVA</w:t>
            </w:r>
            <w:r w:rsidRPr="0078211A">
              <w:rPr>
                <w:color w:val="000000"/>
              </w:rPr>
              <w:t xml:space="preserve"> sniedz saskaņā ar:</w:t>
            </w:r>
          </w:p>
          <w:p w14:paraId="38257FFF" w14:textId="49012D36" w:rsidR="0050490E" w:rsidRPr="0078211A" w:rsidRDefault="0050490E" w:rsidP="0089655E">
            <w:pPr>
              <w:pStyle w:val="naiskr"/>
              <w:tabs>
                <w:tab w:val="left" w:pos="2628"/>
              </w:tabs>
              <w:spacing w:before="0" w:beforeAutospacing="0" w:after="0" w:afterAutospacing="0"/>
              <w:jc w:val="both"/>
              <w:rPr>
                <w:color w:val="000000"/>
              </w:rPr>
            </w:pPr>
            <w:r w:rsidRPr="0078211A">
              <w:rPr>
                <w:color w:val="000000"/>
              </w:rPr>
              <w:t xml:space="preserve">1) </w:t>
            </w:r>
            <w:r w:rsidR="00B5688E" w:rsidRPr="00B5688E">
              <w:rPr>
                <w:bCs/>
                <w:color w:val="000000"/>
              </w:rPr>
              <w:t xml:space="preserve">Komisijas 2013.gada 18.decembra Regulu (ES) Nr.1407/2013 par Līguma par ES darbību 107. un 108.panta piemērošanu </w:t>
            </w:r>
            <w:r w:rsidR="00B5688E" w:rsidRPr="00B5688E">
              <w:rPr>
                <w:bCs/>
                <w:i/>
                <w:color w:val="000000"/>
              </w:rPr>
              <w:t>de minimis</w:t>
            </w:r>
            <w:r w:rsidR="00B5688E" w:rsidRPr="00B5688E">
              <w:rPr>
                <w:bCs/>
                <w:color w:val="000000"/>
              </w:rPr>
              <w:t xml:space="preserve"> atbalstam (ES Oficiālais Vēstnesis, 2013.gada 24.decembris, Nr.L 352/1) (turpmāk </w:t>
            </w:r>
            <w:r w:rsidR="00B5688E" w:rsidRPr="00B5688E">
              <w:rPr>
                <w:color w:val="000000"/>
              </w:rPr>
              <w:t>–</w:t>
            </w:r>
            <w:r w:rsidR="00B5688E" w:rsidRPr="00B5688E">
              <w:rPr>
                <w:bCs/>
                <w:color w:val="000000"/>
              </w:rPr>
              <w:t xml:space="preserve"> Komisijas regula Nr.1407/2013)</w:t>
            </w:r>
            <w:r w:rsidRPr="0078211A">
              <w:rPr>
                <w:color w:val="000000"/>
              </w:rPr>
              <w:t>;</w:t>
            </w:r>
          </w:p>
          <w:p w14:paraId="11AC24A5" w14:textId="2117D9F5" w:rsidR="0050490E" w:rsidRPr="0078211A" w:rsidRDefault="0050490E" w:rsidP="0089655E">
            <w:pPr>
              <w:pStyle w:val="naiskr"/>
              <w:tabs>
                <w:tab w:val="left" w:pos="2628"/>
              </w:tabs>
              <w:spacing w:before="0" w:beforeAutospacing="0" w:after="0" w:afterAutospacing="0"/>
              <w:jc w:val="both"/>
              <w:rPr>
                <w:color w:val="000000"/>
              </w:rPr>
            </w:pPr>
            <w:r w:rsidRPr="0078211A">
              <w:rPr>
                <w:color w:val="000000"/>
              </w:rPr>
              <w:t xml:space="preserve">2) </w:t>
            </w:r>
            <w:r w:rsidR="00B5688E" w:rsidRPr="00B5688E">
              <w:rPr>
                <w:bCs/>
                <w:color w:val="000000"/>
              </w:rPr>
              <w:t xml:space="preserve">Komisijas 2014.gada 27.jūnija Regulu (EK) Nr.717/2014 par Līguma par ES darbību 107. un 108.panta piemērošanu </w:t>
            </w:r>
            <w:r w:rsidR="00B5688E" w:rsidRPr="00B5688E">
              <w:rPr>
                <w:bCs/>
                <w:i/>
                <w:color w:val="000000"/>
              </w:rPr>
              <w:t>de minimis</w:t>
            </w:r>
            <w:r w:rsidR="00B5688E" w:rsidRPr="00B5688E">
              <w:rPr>
                <w:bCs/>
                <w:color w:val="000000"/>
              </w:rPr>
              <w:t xml:space="preserve"> atbalstam zvejniecības un akvakultūras nozarē (ES Oficiālais Vēstnesis, 2014.gada 28.jūnijs, Nr.L 190/45) (turpmāk </w:t>
            </w:r>
            <w:r w:rsidR="00B5688E" w:rsidRPr="00B5688E">
              <w:rPr>
                <w:color w:val="000000"/>
              </w:rPr>
              <w:t>–</w:t>
            </w:r>
            <w:r w:rsidR="00B5688E" w:rsidRPr="00B5688E">
              <w:rPr>
                <w:bCs/>
                <w:color w:val="000000"/>
              </w:rPr>
              <w:t xml:space="preserve"> Komisijas regula Nr.717/2014)</w:t>
            </w:r>
            <w:r w:rsidR="008829D4" w:rsidRPr="00B5688E">
              <w:rPr>
                <w:bCs/>
                <w:color w:val="000000"/>
              </w:rPr>
              <w:t xml:space="preserve"> </w:t>
            </w:r>
            <w:r w:rsidRPr="0078211A">
              <w:rPr>
                <w:color w:val="000000"/>
              </w:rPr>
              <w:t xml:space="preserve">(attiecībā uz darba devējiem, kuri darbojas zivsaimniecības nozarē saskaņā ar </w:t>
            </w:r>
            <w:r w:rsidR="00B5688E" w:rsidRPr="00B5688E">
              <w:rPr>
                <w:bCs/>
                <w:color w:val="000000"/>
              </w:rPr>
              <w:t>Eiropas Parlamenta un Padomes 2013.gada 11.decembra Regulu (ES) Nr.1379/2013 par zvejas un akvakultūras produktu tirgu kopīgo organizāciju</w:t>
            </w:r>
            <w:r w:rsidR="00B5688E" w:rsidRPr="00B5688E">
              <w:rPr>
                <w:color w:val="000000"/>
              </w:rPr>
              <w:t xml:space="preserve"> </w:t>
            </w:r>
            <w:r w:rsidR="00B5688E" w:rsidRPr="00B5688E">
              <w:rPr>
                <w:bCs/>
                <w:color w:val="000000"/>
              </w:rPr>
              <w:t>un ar ko groza Padomes Regulas (EK) Nr.1184/2006 un (EK) Nr.1224/2009 un atceļ Padomes Regulu (EK) Nr. 104/2000</w:t>
            </w:r>
            <w:r w:rsidR="008829D4">
              <w:rPr>
                <w:bCs/>
                <w:color w:val="000000"/>
              </w:rPr>
              <w:t xml:space="preserve"> (turpmāk - </w:t>
            </w:r>
            <w:r w:rsidRPr="0078211A">
              <w:rPr>
                <w:color w:val="000000"/>
              </w:rPr>
              <w:t>Eiropas Parlamenta un Padomes regulu Nr.1379/2013</w:t>
            </w:r>
            <w:r w:rsidR="008829D4">
              <w:rPr>
                <w:color w:val="000000"/>
              </w:rPr>
              <w:t>)</w:t>
            </w:r>
            <w:r w:rsidRPr="0078211A">
              <w:rPr>
                <w:color w:val="000000"/>
              </w:rPr>
              <w:t>);</w:t>
            </w:r>
          </w:p>
          <w:p w14:paraId="14067A9A" w14:textId="5081B7FF" w:rsidR="0050490E" w:rsidRPr="00E27512" w:rsidRDefault="0050490E" w:rsidP="00974CF0">
            <w:pPr>
              <w:pStyle w:val="naiskr"/>
              <w:tabs>
                <w:tab w:val="left" w:pos="2628"/>
              </w:tabs>
              <w:spacing w:before="0" w:beforeAutospacing="0" w:after="0" w:afterAutospacing="0"/>
              <w:jc w:val="both"/>
              <w:rPr>
                <w:color w:val="000000"/>
              </w:rPr>
            </w:pPr>
            <w:r w:rsidRPr="0078211A">
              <w:rPr>
                <w:color w:val="000000"/>
              </w:rPr>
              <w:t xml:space="preserve">3) </w:t>
            </w:r>
            <w:r w:rsidR="008829D4" w:rsidRPr="008829D4">
              <w:rPr>
                <w:bCs/>
                <w:color w:val="000000"/>
              </w:rPr>
              <w:t xml:space="preserve">Komisijas 2013.gada 18.decembra Regulu (ES) Nr. 1408/2013 par Līguma par ES darbību 107. un 108.panta piemērošanu </w:t>
            </w:r>
            <w:r w:rsidR="008829D4" w:rsidRPr="008829D4">
              <w:rPr>
                <w:bCs/>
                <w:i/>
                <w:color w:val="000000"/>
              </w:rPr>
              <w:t>de minimis</w:t>
            </w:r>
            <w:r w:rsidR="008829D4" w:rsidRPr="008829D4">
              <w:rPr>
                <w:bCs/>
                <w:color w:val="000000"/>
              </w:rPr>
              <w:t xml:space="preserve"> atbalstam lauksaimniecības nozarē (ES Oficiālais Vēstnesis, 2013.gada 24.decembris, Nr.L 352/9) (turpmāk </w:t>
            </w:r>
            <w:r w:rsidR="008829D4" w:rsidRPr="008829D4">
              <w:rPr>
                <w:color w:val="000000"/>
              </w:rPr>
              <w:t>–</w:t>
            </w:r>
            <w:r w:rsidR="008829D4" w:rsidRPr="008829D4">
              <w:rPr>
                <w:bCs/>
                <w:color w:val="000000"/>
              </w:rPr>
              <w:t xml:space="preserve"> Komisijas regula Nr.1408/2013)</w:t>
            </w:r>
            <w:r w:rsidR="008829D4" w:rsidRPr="008829D4">
              <w:rPr>
                <w:color w:val="000000"/>
              </w:rPr>
              <w:t xml:space="preserve"> </w:t>
            </w:r>
            <w:r w:rsidRPr="0078211A">
              <w:rPr>
                <w:color w:val="000000"/>
              </w:rPr>
              <w:t>(attiecībā uz darba devējiem, kuri darbojas lauksaimniecības produktu ražošanas nozarē).</w:t>
            </w:r>
          </w:p>
        </w:tc>
      </w:tr>
      <w:tr w:rsidR="0050490E" w:rsidRPr="00E27512" w14:paraId="13CC9095" w14:textId="77777777" w:rsidTr="00E022DC">
        <w:tc>
          <w:tcPr>
            <w:tcW w:w="823" w:type="dxa"/>
            <w:shd w:val="clear" w:color="auto" w:fill="auto"/>
          </w:tcPr>
          <w:p w14:paraId="4F4984D6"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2.</w:t>
            </w:r>
          </w:p>
        </w:tc>
        <w:tc>
          <w:tcPr>
            <w:tcW w:w="2296" w:type="dxa"/>
            <w:shd w:val="clear" w:color="auto" w:fill="auto"/>
          </w:tcPr>
          <w:p w14:paraId="5279D83D" w14:textId="77777777" w:rsidR="0050490E" w:rsidRPr="00E27512" w:rsidRDefault="0050490E" w:rsidP="0089655E">
            <w:pPr>
              <w:tabs>
                <w:tab w:val="left" w:pos="2628"/>
              </w:tabs>
              <w:spacing w:after="0" w:line="240" w:lineRule="auto"/>
              <w:rPr>
                <w:rFonts w:ascii="Times New Roman" w:hAnsi="Times New Roman"/>
                <w:iCs/>
                <w:color w:val="000000"/>
                <w:sz w:val="24"/>
                <w:szCs w:val="24"/>
              </w:rPr>
            </w:pPr>
            <w:r w:rsidRPr="00E27512">
              <w:rPr>
                <w:rFonts w:ascii="Times New Roman" w:hAnsi="Times New Roman"/>
                <w:color w:val="000000"/>
                <w:sz w:val="24"/>
                <w:szCs w:val="24"/>
              </w:rPr>
              <w:t>Citas starptautiskās saistības</w:t>
            </w:r>
          </w:p>
        </w:tc>
        <w:tc>
          <w:tcPr>
            <w:tcW w:w="6521" w:type="dxa"/>
            <w:shd w:val="clear" w:color="auto" w:fill="auto"/>
          </w:tcPr>
          <w:p w14:paraId="2769757A" w14:textId="77777777" w:rsidR="0050490E" w:rsidRPr="00E27512" w:rsidRDefault="0050490E" w:rsidP="0089655E">
            <w:pPr>
              <w:pStyle w:val="naiskr"/>
              <w:tabs>
                <w:tab w:val="left" w:pos="2628"/>
              </w:tabs>
              <w:spacing w:before="0" w:beforeAutospacing="0" w:after="0" w:afterAutospacing="0"/>
              <w:jc w:val="both"/>
              <w:rPr>
                <w:iCs/>
                <w:color w:val="000000"/>
              </w:rPr>
            </w:pPr>
            <w:r w:rsidRPr="00E27512">
              <w:rPr>
                <w:iCs/>
                <w:color w:val="000000"/>
              </w:rPr>
              <w:t>MK noteikumu projekts šo jomu neskar.</w:t>
            </w:r>
          </w:p>
        </w:tc>
      </w:tr>
      <w:tr w:rsidR="0050490E" w:rsidRPr="00E27512" w14:paraId="05DA5EAA" w14:textId="77777777" w:rsidTr="00E022DC">
        <w:tc>
          <w:tcPr>
            <w:tcW w:w="823" w:type="dxa"/>
            <w:shd w:val="clear" w:color="auto" w:fill="auto"/>
          </w:tcPr>
          <w:p w14:paraId="29D34DA4"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3.</w:t>
            </w:r>
          </w:p>
        </w:tc>
        <w:tc>
          <w:tcPr>
            <w:tcW w:w="2296" w:type="dxa"/>
            <w:shd w:val="clear" w:color="auto" w:fill="auto"/>
          </w:tcPr>
          <w:p w14:paraId="2A56582F" w14:textId="77777777" w:rsidR="0050490E" w:rsidRPr="00E27512" w:rsidRDefault="0050490E" w:rsidP="0089655E">
            <w:pPr>
              <w:tabs>
                <w:tab w:val="left" w:pos="2628"/>
              </w:tabs>
              <w:spacing w:after="0" w:line="240" w:lineRule="auto"/>
              <w:rPr>
                <w:rFonts w:ascii="Times New Roman" w:hAnsi="Times New Roman"/>
                <w:color w:val="000000"/>
                <w:sz w:val="24"/>
                <w:szCs w:val="24"/>
              </w:rPr>
            </w:pPr>
            <w:r w:rsidRPr="00E27512">
              <w:rPr>
                <w:rFonts w:ascii="Times New Roman" w:hAnsi="Times New Roman"/>
                <w:color w:val="000000"/>
                <w:sz w:val="24"/>
                <w:szCs w:val="24"/>
              </w:rPr>
              <w:t>Cita informācija</w:t>
            </w:r>
          </w:p>
        </w:tc>
        <w:tc>
          <w:tcPr>
            <w:tcW w:w="6521" w:type="dxa"/>
            <w:shd w:val="clear" w:color="auto" w:fill="auto"/>
          </w:tcPr>
          <w:p w14:paraId="4D81C11D" w14:textId="77777777" w:rsidR="0050490E" w:rsidRPr="00E27512" w:rsidRDefault="0050490E" w:rsidP="0089655E">
            <w:pPr>
              <w:pStyle w:val="naiskr"/>
              <w:tabs>
                <w:tab w:val="left" w:pos="2628"/>
              </w:tabs>
              <w:spacing w:before="0" w:beforeAutospacing="0" w:after="0" w:afterAutospacing="0"/>
              <w:jc w:val="both"/>
              <w:rPr>
                <w:iCs/>
                <w:color w:val="000000"/>
              </w:rPr>
            </w:pPr>
            <w:r w:rsidRPr="00E27512">
              <w:rPr>
                <w:color w:val="000000"/>
              </w:rPr>
              <w:t>Nav.</w:t>
            </w:r>
          </w:p>
        </w:tc>
      </w:tr>
    </w:tbl>
    <w:p w14:paraId="256E4D2B" w14:textId="77777777" w:rsidR="0050490E" w:rsidRPr="00E27512" w:rsidRDefault="0050490E" w:rsidP="0089655E">
      <w:pPr>
        <w:spacing w:after="0" w:line="240" w:lineRule="auto"/>
        <w:jc w:val="center"/>
        <w:rPr>
          <w:rFonts w:ascii="Times New Roman" w:hAnsi="Times New Roman"/>
          <w:color w:val="000000"/>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539"/>
        <w:gridCol w:w="2176"/>
        <w:gridCol w:w="2502"/>
      </w:tblGrid>
      <w:tr w:rsidR="0050490E" w:rsidRPr="00E27512" w14:paraId="0E63B1D8" w14:textId="77777777" w:rsidTr="0089655E">
        <w:tc>
          <w:tcPr>
            <w:tcW w:w="9640" w:type="dxa"/>
            <w:gridSpan w:val="4"/>
            <w:shd w:val="clear" w:color="auto" w:fill="auto"/>
          </w:tcPr>
          <w:p w14:paraId="139320F2" w14:textId="77777777" w:rsidR="0050490E" w:rsidRPr="00E27512" w:rsidRDefault="0050490E" w:rsidP="0089655E">
            <w:pPr>
              <w:pStyle w:val="naisnod"/>
              <w:spacing w:before="0" w:beforeAutospacing="0" w:after="0" w:afterAutospacing="0"/>
              <w:jc w:val="center"/>
              <w:rPr>
                <w:color w:val="000000"/>
              </w:rPr>
            </w:pPr>
            <w:r w:rsidRPr="00E27512">
              <w:rPr>
                <w:b/>
                <w:color w:val="000000"/>
              </w:rPr>
              <w:t>1.tabula</w:t>
            </w:r>
            <w:r>
              <w:rPr>
                <w:b/>
                <w:color w:val="000000"/>
              </w:rPr>
              <w:t xml:space="preserve">. </w:t>
            </w:r>
            <w:r w:rsidRPr="00E27512">
              <w:rPr>
                <w:b/>
                <w:color w:val="000000"/>
              </w:rPr>
              <w:t>Tiesību akta projekta atbilstība ES tiesību aktiem</w:t>
            </w:r>
          </w:p>
        </w:tc>
      </w:tr>
      <w:tr w:rsidR="0050490E" w:rsidRPr="00E27512" w14:paraId="0D1F078A" w14:textId="77777777" w:rsidTr="0089655E">
        <w:tc>
          <w:tcPr>
            <w:tcW w:w="2423" w:type="dxa"/>
            <w:shd w:val="clear" w:color="auto" w:fill="auto"/>
          </w:tcPr>
          <w:p w14:paraId="21AA5B5A"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Attiecīgā ES tiesību akta datums, numurs un nosaukums</w:t>
            </w:r>
          </w:p>
        </w:tc>
        <w:tc>
          <w:tcPr>
            <w:tcW w:w="7217" w:type="dxa"/>
            <w:gridSpan w:val="3"/>
            <w:shd w:val="clear" w:color="auto" w:fill="auto"/>
          </w:tcPr>
          <w:p w14:paraId="1F7F41CC" w14:textId="77777777" w:rsidR="0050490E" w:rsidRPr="00E27512" w:rsidRDefault="0050490E" w:rsidP="0089655E">
            <w:pPr>
              <w:pStyle w:val="naiskr"/>
              <w:tabs>
                <w:tab w:val="left" w:pos="2628"/>
              </w:tabs>
              <w:spacing w:before="0" w:beforeAutospacing="0" w:after="0" w:afterAutospacing="0"/>
              <w:jc w:val="both"/>
              <w:rPr>
                <w:color w:val="000000"/>
              </w:rPr>
            </w:pPr>
            <w:r w:rsidRPr="00E27512">
              <w:rPr>
                <w:color w:val="000000"/>
              </w:rPr>
              <w:t>1) Komisijas regula Nr.1407/2013;</w:t>
            </w:r>
          </w:p>
          <w:p w14:paraId="700BE821" w14:textId="77777777" w:rsidR="0050490E" w:rsidRPr="0078211A" w:rsidRDefault="0050490E" w:rsidP="0089655E">
            <w:pPr>
              <w:pStyle w:val="naiskr"/>
              <w:tabs>
                <w:tab w:val="left" w:pos="2628"/>
              </w:tabs>
              <w:spacing w:before="0" w:beforeAutospacing="0" w:after="0" w:afterAutospacing="0"/>
              <w:jc w:val="both"/>
              <w:rPr>
                <w:color w:val="000000"/>
              </w:rPr>
            </w:pPr>
            <w:r w:rsidRPr="0078211A">
              <w:rPr>
                <w:color w:val="000000"/>
              </w:rPr>
              <w:t>2) Komisijas regula Nr.717/2014;</w:t>
            </w:r>
          </w:p>
          <w:p w14:paraId="13D51C99" w14:textId="77777777" w:rsidR="0050490E" w:rsidRPr="0078211A" w:rsidRDefault="0050490E" w:rsidP="0089655E">
            <w:pPr>
              <w:pStyle w:val="naiskr"/>
              <w:tabs>
                <w:tab w:val="left" w:pos="2628"/>
              </w:tabs>
              <w:spacing w:before="0" w:beforeAutospacing="0" w:after="0" w:afterAutospacing="0"/>
              <w:jc w:val="both"/>
              <w:rPr>
                <w:color w:val="000000"/>
              </w:rPr>
            </w:pPr>
            <w:r w:rsidRPr="0078211A">
              <w:rPr>
                <w:color w:val="000000"/>
              </w:rPr>
              <w:t>3) Eiropas Parlamenta un Padomes regula Nr.1379/2013;</w:t>
            </w:r>
          </w:p>
          <w:p w14:paraId="71B6CE8E" w14:textId="77777777" w:rsidR="0050490E" w:rsidRPr="00E27512" w:rsidRDefault="0050490E" w:rsidP="0089655E">
            <w:pPr>
              <w:pStyle w:val="naiskr"/>
              <w:tabs>
                <w:tab w:val="left" w:pos="2628"/>
              </w:tabs>
              <w:spacing w:before="0" w:beforeAutospacing="0" w:after="0" w:afterAutospacing="0"/>
              <w:jc w:val="both"/>
              <w:rPr>
                <w:color w:val="000000"/>
              </w:rPr>
            </w:pPr>
            <w:r w:rsidRPr="0078211A">
              <w:rPr>
                <w:color w:val="000000"/>
              </w:rPr>
              <w:t>4) Komisijas regula Nr.1408/2013</w:t>
            </w:r>
            <w:r>
              <w:rPr>
                <w:color w:val="000000"/>
              </w:rPr>
              <w:t>.</w:t>
            </w:r>
          </w:p>
        </w:tc>
      </w:tr>
      <w:tr w:rsidR="0050490E" w:rsidRPr="00E27512" w14:paraId="5181C478" w14:textId="77777777" w:rsidTr="0089655E">
        <w:tc>
          <w:tcPr>
            <w:tcW w:w="2423" w:type="dxa"/>
            <w:shd w:val="clear" w:color="auto" w:fill="auto"/>
          </w:tcPr>
          <w:p w14:paraId="7A70E69C"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A</w:t>
            </w:r>
          </w:p>
        </w:tc>
        <w:tc>
          <w:tcPr>
            <w:tcW w:w="2539" w:type="dxa"/>
            <w:shd w:val="clear" w:color="auto" w:fill="auto"/>
          </w:tcPr>
          <w:p w14:paraId="584BF8B0"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B</w:t>
            </w:r>
          </w:p>
        </w:tc>
        <w:tc>
          <w:tcPr>
            <w:tcW w:w="2176" w:type="dxa"/>
            <w:shd w:val="clear" w:color="auto" w:fill="auto"/>
          </w:tcPr>
          <w:p w14:paraId="75906841"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C</w:t>
            </w:r>
          </w:p>
        </w:tc>
        <w:tc>
          <w:tcPr>
            <w:tcW w:w="2502" w:type="dxa"/>
            <w:shd w:val="clear" w:color="auto" w:fill="auto"/>
          </w:tcPr>
          <w:p w14:paraId="3FFC6A2B"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D</w:t>
            </w:r>
          </w:p>
        </w:tc>
      </w:tr>
      <w:tr w:rsidR="0050490E" w:rsidRPr="00E27512" w14:paraId="6B1C9E65" w14:textId="77777777" w:rsidTr="0089655E">
        <w:tc>
          <w:tcPr>
            <w:tcW w:w="2423" w:type="dxa"/>
            <w:shd w:val="clear" w:color="auto" w:fill="auto"/>
          </w:tcPr>
          <w:p w14:paraId="7A5B090E"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 xml:space="preserve">Attiecīgā ES tiesību akta panta numurs (uzskaitot katru tiesību akta </w:t>
            </w:r>
            <w:r w:rsidRPr="00E27512">
              <w:rPr>
                <w:rFonts w:ascii="Times New Roman" w:hAnsi="Times New Roman"/>
                <w:color w:val="000000"/>
                <w:sz w:val="24"/>
                <w:szCs w:val="24"/>
              </w:rPr>
              <w:br/>
              <w:t>vienību – pantu, daļu, punktu, apakšpunktu)</w:t>
            </w:r>
          </w:p>
        </w:tc>
        <w:tc>
          <w:tcPr>
            <w:tcW w:w="2539" w:type="dxa"/>
            <w:shd w:val="clear" w:color="auto" w:fill="auto"/>
          </w:tcPr>
          <w:p w14:paraId="117759A5"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2176" w:type="dxa"/>
            <w:shd w:val="clear" w:color="auto" w:fill="auto"/>
          </w:tcPr>
          <w:p w14:paraId="2AB6D6A6" w14:textId="77777777" w:rsidR="0050490E" w:rsidRPr="00E27512" w:rsidRDefault="0050490E" w:rsidP="0089655E">
            <w:pPr>
              <w:pStyle w:val="naiskr"/>
              <w:spacing w:before="0" w:beforeAutospacing="0" w:after="0" w:afterAutospacing="0"/>
              <w:rPr>
                <w:color w:val="000000"/>
              </w:rPr>
            </w:pPr>
            <w:r w:rsidRPr="00E27512">
              <w:rPr>
                <w:color w:val="000000"/>
              </w:rPr>
              <w:t>Informācija par to, vai šīs tabulas A ailē minētās ES tiesību akta vienības tiek pārņemtas vai ieviestas pilnībā vai daļēji.</w:t>
            </w:r>
          </w:p>
          <w:p w14:paraId="435571A0" w14:textId="77777777" w:rsidR="0050490E" w:rsidRPr="00E27512" w:rsidRDefault="0050490E" w:rsidP="0089655E">
            <w:pPr>
              <w:pStyle w:val="naiskr"/>
              <w:spacing w:before="0" w:beforeAutospacing="0" w:after="0" w:afterAutospacing="0"/>
              <w:rPr>
                <w:color w:val="000000"/>
              </w:rPr>
            </w:pPr>
            <w:r w:rsidRPr="00E27512">
              <w:rPr>
                <w:color w:val="000000"/>
              </w:rPr>
              <w:t xml:space="preserve">Ja attiecīgā ES tiesību akta vienība tiek pārņemta vai ieviesta daļēji, – sniedz attiecīgu skaidrojumu, kā arī precīzi norāda, kad </w:t>
            </w:r>
            <w:r w:rsidRPr="00E27512">
              <w:rPr>
                <w:color w:val="000000"/>
              </w:rPr>
              <w:lastRenderedPageBreak/>
              <w:t>un kādā veidā ES tiesību akta vienība tiks pārņemta vai ieviesta pilnībā.</w:t>
            </w:r>
          </w:p>
          <w:p w14:paraId="3FF4E05D"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Norāda institūciju, kas ir atbildīga par šo saistību izpildi pilnībā</w:t>
            </w:r>
          </w:p>
        </w:tc>
        <w:tc>
          <w:tcPr>
            <w:tcW w:w="2502" w:type="dxa"/>
            <w:shd w:val="clear" w:color="auto" w:fill="auto"/>
          </w:tcPr>
          <w:p w14:paraId="30503670" w14:textId="77777777" w:rsidR="0050490E" w:rsidRPr="00E27512" w:rsidRDefault="0050490E" w:rsidP="0089655E">
            <w:pPr>
              <w:pStyle w:val="naiskr"/>
              <w:spacing w:before="0" w:beforeAutospacing="0" w:after="0" w:afterAutospacing="0"/>
              <w:rPr>
                <w:color w:val="000000"/>
              </w:rPr>
            </w:pPr>
            <w:r w:rsidRPr="00E27512">
              <w:rPr>
                <w:color w:val="000000"/>
              </w:rPr>
              <w:lastRenderedPageBreak/>
              <w:t>Informācija par to, vai šīs tabulas B ailē minētās projekta vienības paredz stingrākas prasības nekā šīs tabulas A ailē minētās ES tiesību akta vienības.</w:t>
            </w:r>
          </w:p>
          <w:p w14:paraId="10453AAF" w14:textId="77777777" w:rsidR="0050490E" w:rsidRPr="00E27512" w:rsidRDefault="0050490E" w:rsidP="0089655E">
            <w:pPr>
              <w:pStyle w:val="naiskr"/>
              <w:spacing w:before="0" w:beforeAutospacing="0" w:after="0" w:afterAutospacing="0"/>
              <w:rPr>
                <w:color w:val="000000"/>
              </w:rPr>
            </w:pPr>
            <w:r w:rsidRPr="00E27512">
              <w:rPr>
                <w:color w:val="000000"/>
              </w:rPr>
              <w:t xml:space="preserve">Ja projekts satur stingrākas prasības nekā attiecīgais ES tiesību </w:t>
            </w:r>
            <w:smartTag w:uri="schemas-tilde-lv/tildestengine" w:element="veidnes">
              <w:smartTagPr>
                <w:attr w:name="id" w:val="-1"/>
                <w:attr w:name="baseform" w:val="akts"/>
                <w:attr w:name="text" w:val="akts"/>
              </w:smartTagPr>
              <w:r w:rsidRPr="00E27512">
                <w:rPr>
                  <w:color w:val="000000"/>
                </w:rPr>
                <w:t>akts</w:t>
              </w:r>
            </w:smartTag>
            <w:r w:rsidRPr="00E27512">
              <w:rPr>
                <w:color w:val="000000"/>
              </w:rPr>
              <w:t>, – norāda pamatojumu un samērīgumu.</w:t>
            </w:r>
          </w:p>
          <w:p w14:paraId="4AE916CD"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50490E" w:rsidRPr="00E27512" w14:paraId="18DA11E3" w14:textId="77777777" w:rsidTr="0089655E">
        <w:tc>
          <w:tcPr>
            <w:tcW w:w="2423" w:type="dxa"/>
            <w:shd w:val="clear" w:color="auto" w:fill="auto"/>
          </w:tcPr>
          <w:p w14:paraId="43F5866C" w14:textId="77777777" w:rsidR="0050490E" w:rsidRPr="0078211A" w:rsidRDefault="0050490E" w:rsidP="0089655E">
            <w:pPr>
              <w:pStyle w:val="naiskr"/>
              <w:spacing w:before="0" w:beforeAutospacing="0" w:after="0" w:afterAutospacing="0"/>
              <w:rPr>
                <w:color w:val="000000"/>
              </w:rPr>
            </w:pPr>
            <w:r w:rsidRPr="0078211A">
              <w:rPr>
                <w:color w:val="000000"/>
              </w:rPr>
              <w:lastRenderedPageBreak/>
              <w:t>Komisijas regulas Nr.1407/2013  1.panta 1.punkts</w:t>
            </w:r>
          </w:p>
        </w:tc>
        <w:tc>
          <w:tcPr>
            <w:tcW w:w="2539" w:type="dxa"/>
            <w:shd w:val="clear" w:color="auto" w:fill="auto"/>
          </w:tcPr>
          <w:p w14:paraId="3D32AF48" w14:textId="36FBFE55"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.1.apakš</w:t>
            </w:r>
            <w:r w:rsidRPr="0078211A">
              <w:rPr>
                <w:rFonts w:ascii="Times New Roman" w:hAnsi="Times New Roman"/>
                <w:iCs/>
                <w:color w:val="000000"/>
                <w:sz w:val="24"/>
                <w:szCs w:val="24"/>
              </w:rPr>
              <w:t xml:space="preserve">punkts </w:t>
            </w:r>
          </w:p>
        </w:tc>
        <w:tc>
          <w:tcPr>
            <w:tcW w:w="2176" w:type="dxa"/>
            <w:shd w:val="clear" w:color="auto" w:fill="auto"/>
            <w:vAlign w:val="center"/>
          </w:tcPr>
          <w:p w14:paraId="5C7B3306"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7D614D29"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50490E" w:rsidRPr="00E27512" w14:paraId="43FED08C" w14:textId="77777777" w:rsidTr="0089655E">
        <w:tc>
          <w:tcPr>
            <w:tcW w:w="2423" w:type="dxa"/>
            <w:shd w:val="clear" w:color="auto" w:fill="auto"/>
          </w:tcPr>
          <w:p w14:paraId="00ECEBD7" w14:textId="77777777" w:rsidR="0050490E" w:rsidRPr="0078211A" w:rsidRDefault="0050490E" w:rsidP="0089655E">
            <w:pPr>
              <w:pStyle w:val="naiskr"/>
              <w:spacing w:before="0" w:beforeAutospacing="0" w:after="0" w:afterAutospacing="0"/>
              <w:rPr>
                <w:color w:val="000000"/>
              </w:rPr>
            </w:pPr>
            <w:r>
              <w:rPr>
                <w:color w:val="000000"/>
              </w:rPr>
              <w:t>Komisijas regulas Nr.717/2014 1.panta 1.punkts</w:t>
            </w:r>
          </w:p>
        </w:tc>
        <w:tc>
          <w:tcPr>
            <w:tcW w:w="2539" w:type="dxa"/>
            <w:shd w:val="clear" w:color="auto" w:fill="auto"/>
          </w:tcPr>
          <w:p w14:paraId="1C203754" w14:textId="74B43792"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.1.apakš</w:t>
            </w:r>
            <w:r w:rsidRPr="0078211A">
              <w:rPr>
                <w:rFonts w:ascii="Times New Roman" w:hAnsi="Times New Roman"/>
                <w:iCs/>
                <w:color w:val="000000"/>
                <w:sz w:val="24"/>
                <w:szCs w:val="24"/>
              </w:rPr>
              <w:t>punkts</w:t>
            </w:r>
          </w:p>
        </w:tc>
        <w:tc>
          <w:tcPr>
            <w:tcW w:w="2176" w:type="dxa"/>
            <w:shd w:val="clear" w:color="auto" w:fill="auto"/>
            <w:vAlign w:val="center"/>
          </w:tcPr>
          <w:p w14:paraId="1AF7490B"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1BB9DA77"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50490E" w:rsidRPr="00E27512" w14:paraId="6C1CC1B2" w14:textId="77777777" w:rsidTr="0089655E">
        <w:tc>
          <w:tcPr>
            <w:tcW w:w="2423" w:type="dxa"/>
            <w:shd w:val="clear" w:color="auto" w:fill="auto"/>
          </w:tcPr>
          <w:p w14:paraId="21936DBB" w14:textId="77777777" w:rsidR="0050490E" w:rsidRPr="0078211A" w:rsidRDefault="0050490E" w:rsidP="0089655E">
            <w:pPr>
              <w:pStyle w:val="naiskr"/>
              <w:spacing w:before="0" w:beforeAutospacing="0" w:after="0" w:afterAutospacing="0"/>
              <w:rPr>
                <w:color w:val="000000"/>
              </w:rPr>
            </w:pPr>
            <w:r w:rsidRPr="0078211A">
              <w:rPr>
                <w:color w:val="000000"/>
              </w:rPr>
              <w:t xml:space="preserve">Komisijas regulas </w:t>
            </w:r>
            <w:r>
              <w:rPr>
                <w:color w:val="000000"/>
              </w:rPr>
              <w:t>Nr.</w:t>
            </w:r>
            <w:r w:rsidRPr="0078211A">
              <w:rPr>
                <w:color w:val="000000"/>
              </w:rPr>
              <w:t>1408/2013 1.panta 1.punkts</w:t>
            </w:r>
          </w:p>
        </w:tc>
        <w:tc>
          <w:tcPr>
            <w:tcW w:w="2539" w:type="dxa"/>
            <w:shd w:val="clear" w:color="auto" w:fill="auto"/>
          </w:tcPr>
          <w:p w14:paraId="2FE55914" w14:textId="57FAAE08"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.1.apakš</w:t>
            </w:r>
            <w:r w:rsidRPr="0078211A">
              <w:rPr>
                <w:rFonts w:ascii="Times New Roman" w:hAnsi="Times New Roman"/>
                <w:iCs/>
                <w:color w:val="000000"/>
                <w:sz w:val="24"/>
                <w:szCs w:val="24"/>
              </w:rPr>
              <w:t>punkts</w:t>
            </w:r>
          </w:p>
        </w:tc>
        <w:tc>
          <w:tcPr>
            <w:tcW w:w="2176" w:type="dxa"/>
            <w:shd w:val="clear" w:color="auto" w:fill="auto"/>
            <w:vAlign w:val="center"/>
          </w:tcPr>
          <w:p w14:paraId="0C972C4F"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1E8B9696"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50490E" w:rsidRPr="00E27512" w14:paraId="609ED448" w14:textId="77777777" w:rsidTr="0089655E">
        <w:tc>
          <w:tcPr>
            <w:tcW w:w="2423" w:type="dxa"/>
            <w:shd w:val="clear" w:color="auto" w:fill="auto"/>
          </w:tcPr>
          <w:p w14:paraId="263FB543" w14:textId="77777777" w:rsidR="0050490E" w:rsidRPr="0078211A" w:rsidRDefault="0050490E" w:rsidP="0089655E">
            <w:pPr>
              <w:pStyle w:val="naiskr"/>
              <w:spacing w:before="0" w:beforeAutospacing="0" w:after="0" w:afterAutospacing="0"/>
              <w:rPr>
                <w:color w:val="000000"/>
              </w:rPr>
            </w:pPr>
            <w:r w:rsidRPr="0078211A">
              <w:rPr>
                <w:color w:val="000000"/>
              </w:rPr>
              <w:t xml:space="preserve">Komisijas regulas Nr.1407/2013 2.panta 2.punkts; 3.panta 2.punkts </w:t>
            </w:r>
          </w:p>
        </w:tc>
        <w:tc>
          <w:tcPr>
            <w:tcW w:w="2539" w:type="dxa"/>
            <w:shd w:val="clear" w:color="auto" w:fill="auto"/>
          </w:tcPr>
          <w:p w14:paraId="75199EE2" w14:textId="006AE780"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.2.apakš</w:t>
            </w:r>
            <w:r w:rsidRPr="0078211A">
              <w:rPr>
                <w:rFonts w:ascii="Times New Roman" w:hAnsi="Times New Roman"/>
                <w:iCs/>
                <w:color w:val="000000"/>
                <w:sz w:val="24"/>
                <w:szCs w:val="24"/>
              </w:rPr>
              <w:t>punkts</w:t>
            </w:r>
          </w:p>
        </w:tc>
        <w:tc>
          <w:tcPr>
            <w:tcW w:w="2176" w:type="dxa"/>
            <w:shd w:val="clear" w:color="auto" w:fill="auto"/>
          </w:tcPr>
          <w:p w14:paraId="72F1323E"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2A217554"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50490E" w:rsidRPr="00E27512" w14:paraId="1C464E35" w14:textId="77777777" w:rsidTr="0089655E">
        <w:tc>
          <w:tcPr>
            <w:tcW w:w="2423" w:type="dxa"/>
            <w:shd w:val="clear" w:color="auto" w:fill="auto"/>
          </w:tcPr>
          <w:p w14:paraId="4842B3E9" w14:textId="77777777" w:rsidR="0050490E" w:rsidRDefault="0050490E" w:rsidP="0089655E">
            <w:pPr>
              <w:pStyle w:val="naiskr"/>
              <w:spacing w:before="0" w:beforeAutospacing="0" w:after="0" w:afterAutospacing="0"/>
              <w:rPr>
                <w:color w:val="000000"/>
              </w:rPr>
            </w:pPr>
            <w:r w:rsidRPr="0078211A">
              <w:rPr>
                <w:color w:val="000000"/>
              </w:rPr>
              <w:t>Komisijas regulas Nr.</w:t>
            </w:r>
            <w:r>
              <w:rPr>
                <w:color w:val="000000"/>
              </w:rPr>
              <w:t>717</w:t>
            </w:r>
            <w:r w:rsidRPr="0078211A">
              <w:rPr>
                <w:color w:val="000000"/>
              </w:rPr>
              <w:t xml:space="preserve">/2007 </w:t>
            </w:r>
          </w:p>
          <w:p w14:paraId="41FCBEBF" w14:textId="77777777" w:rsidR="0050490E" w:rsidRPr="0078211A" w:rsidRDefault="0050490E" w:rsidP="0089655E">
            <w:pPr>
              <w:pStyle w:val="naiskr"/>
              <w:spacing w:before="0" w:beforeAutospacing="0" w:after="0" w:afterAutospacing="0"/>
              <w:rPr>
                <w:color w:val="000000"/>
              </w:rPr>
            </w:pPr>
            <w:r w:rsidRPr="0078211A">
              <w:rPr>
                <w:color w:val="000000"/>
              </w:rPr>
              <w:t>2.panta 2.punkts; 3.panta 2.punkts</w:t>
            </w:r>
          </w:p>
        </w:tc>
        <w:tc>
          <w:tcPr>
            <w:tcW w:w="2539" w:type="dxa"/>
            <w:shd w:val="clear" w:color="auto" w:fill="auto"/>
          </w:tcPr>
          <w:p w14:paraId="182E7BB5" w14:textId="4779E918"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.2.apakš</w:t>
            </w:r>
            <w:r w:rsidRPr="0078211A">
              <w:rPr>
                <w:rFonts w:ascii="Times New Roman" w:hAnsi="Times New Roman"/>
                <w:iCs/>
                <w:color w:val="000000"/>
                <w:sz w:val="24"/>
                <w:szCs w:val="24"/>
              </w:rPr>
              <w:t>punkts</w:t>
            </w:r>
          </w:p>
        </w:tc>
        <w:tc>
          <w:tcPr>
            <w:tcW w:w="2176" w:type="dxa"/>
            <w:shd w:val="clear" w:color="auto" w:fill="auto"/>
          </w:tcPr>
          <w:p w14:paraId="4A4C8BD2"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759CD28C"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50490E" w:rsidRPr="00E27512" w14:paraId="2D5E5EEC" w14:textId="77777777" w:rsidTr="0089655E">
        <w:tc>
          <w:tcPr>
            <w:tcW w:w="2423" w:type="dxa"/>
            <w:shd w:val="clear" w:color="auto" w:fill="auto"/>
          </w:tcPr>
          <w:p w14:paraId="5032F8C8" w14:textId="77777777" w:rsidR="0050490E" w:rsidRPr="0078211A" w:rsidRDefault="0050490E" w:rsidP="0089655E">
            <w:pPr>
              <w:pStyle w:val="naiskr"/>
              <w:spacing w:before="0" w:beforeAutospacing="0" w:after="0" w:afterAutospacing="0"/>
              <w:rPr>
                <w:color w:val="000000"/>
              </w:rPr>
            </w:pPr>
            <w:r w:rsidRPr="0078211A">
              <w:rPr>
                <w:color w:val="000000"/>
              </w:rPr>
              <w:t>Eiropas Parlamenta un Padomes regulas Nr.1379/2013 1.pants</w:t>
            </w:r>
          </w:p>
        </w:tc>
        <w:tc>
          <w:tcPr>
            <w:tcW w:w="2539" w:type="dxa"/>
            <w:shd w:val="clear" w:color="auto" w:fill="auto"/>
          </w:tcPr>
          <w:p w14:paraId="4E7EECF8" w14:textId="55FA1F36"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.2.apakš</w:t>
            </w:r>
            <w:r w:rsidRPr="0078211A">
              <w:rPr>
                <w:rFonts w:ascii="Times New Roman" w:hAnsi="Times New Roman"/>
                <w:iCs/>
                <w:color w:val="000000"/>
                <w:sz w:val="24"/>
                <w:szCs w:val="24"/>
              </w:rPr>
              <w:t>punkts</w:t>
            </w:r>
          </w:p>
        </w:tc>
        <w:tc>
          <w:tcPr>
            <w:tcW w:w="2176" w:type="dxa"/>
            <w:shd w:val="clear" w:color="auto" w:fill="auto"/>
          </w:tcPr>
          <w:p w14:paraId="7655B78A"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516F13FB" w14:textId="77777777" w:rsidR="0050490E" w:rsidRPr="0078211A" w:rsidRDefault="0050490E" w:rsidP="0089655E">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50490E" w:rsidRPr="00E27512" w14:paraId="7DA48B6F" w14:textId="77777777" w:rsidTr="001B3759">
        <w:tc>
          <w:tcPr>
            <w:tcW w:w="2423" w:type="dxa"/>
            <w:shd w:val="clear" w:color="auto" w:fill="auto"/>
            <w:vAlign w:val="center"/>
          </w:tcPr>
          <w:p w14:paraId="186C5C4D" w14:textId="7BE30083" w:rsidR="0050490E" w:rsidRPr="0078211A" w:rsidRDefault="0050490E" w:rsidP="001B3759">
            <w:pPr>
              <w:pStyle w:val="naiskr"/>
              <w:spacing w:before="0" w:beforeAutospacing="0" w:after="0" w:afterAutospacing="0"/>
              <w:jc w:val="center"/>
              <w:rPr>
                <w:color w:val="000000"/>
              </w:rPr>
            </w:pPr>
            <w:r w:rsidRPr="0078211A">
              <w:rPr>
                <w:color w:val="000000"/>
              </w:rPr>
              <w:t xml:space="preserve">Komisijas regulas </w:t>
            </w:r>
            <w:r>
              <w:rPr>
                <w:color w:val="000000"/>
              </w:rPr>
              <w:t>Nr.</w:t>
            </w:r>
            <w:r w:rsidRPr="0078211A">
              <w:rPr>
                <w:color w:val="000000"/>
              </w:rPr>
              <w:t>1408/2013 2.panta 2.punkts, 3.panta 2.punkts</w:t>
            </w:r>
          </w:p>
        </w:tc>
        <w:tc>
          <w:tcPr>
            <w:tcW w:w="2539" w:type="dxa"/>
            <w:shd w:val="clear" w:color="auto" w:fill="auto"/>
          </w:tcPr>
          <w:p w14:paraId="101DC447" w14:textId="58F33C1B" w:rsidR="0050490E" w:rsidRPr="0078211A" w:rsidRDefault="0050490E"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.2.apakš</w:t>
            </w:r>
            <w:r w:rsidRPr="0078211A">
              <w:rPr>
                <w:rFonts w:ascii="Times New Roman" w:hAnsi="Times New Roman"/>
                <w:iCs/>
                <w:color w:val="000000"/>
                <w:sz w:val="24"/>
                <w:szCs w:val="24"/>
              </w:rPr>
              <w:t>punkts</w:t>
            </w:r>
          </w:p>
        </w:tc>
        <w:tc>
          <w:tcPr>
            <w:tcW w:w="2176" w:type="dxa"/>
            <w:shd w:val="clear" w:color="auto" w:fill="auto"/>
          </w:tcPr>
          <w:p w14:paraId="60FF8426" w14:textId="77777777" w:rsidR="0050490E" w:rsidRPr="0078211A" w:rsidRDefault="0050490E" w:rsidP="001B3759">
            <w:pPr>
              <w:spacing w:after="0" w:line="240" w:lineRule="auto"/>
              <w:jc w:val="center"/>
              <w:rPr>
                <w:rFonts w:ascii="Times New Roman" w:hAnsi="Times New Roman"/>
                <w:color w:val="000000"/>
                <w:sz w:val="24"/>
                <w:szCs w:val="24"/>
              </w:rPr>
            </w:pPr>
            <w:r w:rsidRPr="0078211A">
              <w:rPr>
                <w:rFonts w:ascii="Times New Roman" w:hAnsi="Times New Roman"/>
                <w:iCs/>
                <w:color w:val="000000"/>
                <w:sz w:val="24"/>
                <w:szCs w:val="24"/>
              </w:rPr>
              <w:t>Vienība tiek ieviesta pilnībā.</w:t>
            </w:r>
          </w:p>
        </w:tc>
        <w:tc>
          <w:tcPr>
            <w:tcW w:w="2502" w:type="dxa"/>
            <w:shd w:val="clear" w:color="auto" w:fill="auto"/>
          </w:tcPr>
          <w:p w14:paraId="457D9406" w14:textId="77777777" w:rsidR="0050490E" w:rsidRPr="0078211A" w:rsidRDefault="0050490E" w:rsidP="001B375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Netiek paredzētas stingrākas prasības.</w:t>
            </w:r>
          </w:p>
        </w:tc>
      </w:tr>
      <w:tr w:rsidR="001B3759" w:rsidRPr="00E27512" w14:paraId="285745E0" w14:textId="77777777" w:rsidTr="002551BF">
        <w:tc>
          <w:tcPr>
            <w:tcW w:w="2423" w:type="dxa"/>
            <w:shd w:val="clear" w:color="auto" w:fill="auto"/>
          </w:tcPr>
          <w:p w14:paraId="2AAE5F0F" w14:textId="368CE185" w:rsidR="001B3759" w:rsidRPr="001B3759" w:rsidRDefault="001B3759" w:rsidP="001B3759">
            <w:pPr>
              <w:pStyle w:val="naiskr"/>
              <w:spacing w:before="0" w:beforeAutospacing="0" w:after="0" w:afterAutospacing="0"/>
              <w:rPr>
                <w:color w:val="000000"/>
              </w:rPr>
            </w:pPr>
            <w:r w:rsidRPr="001B3759">
              <w:rPr>
                <w:bCs/>
                <w:color w:val="000000"/>
              </w:rPr>
              <w:t>Komisijas regulas Nr.1407/2013 3.panta 2.punkts</w:t>
            </w:r>
            <w:r w:rsidR="00B673D4">
              <w:rPr>
                <w:bCs/>
                <w:color w:val="000000"/>
              </w:rPr>
              <w:t>,</w:t>
            </w:r>
            <w:r w:rsidR="00B673D4" w:rsidRPr="001B3759">
              <w:rPr>
                <w:bCs/>
                <w:color w:val="000000"/>
              </w:rPr>
              <w:t xml:space="preserve"> 5.panta 1. un 2.punkts</w:t>
            </w:r>
          </w:p>
        </w:tc>
        <w:tc>
          <w:tcPr>
            <w:tcW w:w="2539" w:type="dxa"/>
            <w:shd w:val="clear" w:color="auto" w:fill="auto"/>
          </w:tcPr>
          <w:p w14:paraId="7E819B29" w14:textId="221F6CE0" w:rsidR="001B3759" w:rsidRPr="0078211A" w:rsidRDefault="001B3759"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.4.apakš</w:t>
            </w:r>
            <w:r w:rsidRPr="0078211A">
              <w:rPr>
                <w:rFonts w:ascii="Times New Roman" w:hAnsi="Times New Roman"/>
                <w:iCs/>
                <w:color w:val="000000"/>
                <w:sz w:val="24"/>
                <w:szCs w:val="24"/>
              </w:rPr>
              <w:t>punkts</w:t>
            </w:r>
          </w:p>
        </w:tc>
        <w:tc>
          <w:tcPr>
            <w:tcW w:w="2176" w:type="dxa"/>
            <w:shd w:val="clear" w:color="auto" w:fill="auto"/>
          </w:tcPr>
          <w:p w14:paraId="4D2A767E" w14:textId="7C34FA14" w:rsidR="001B3759" w:rsidRPr="0078211A" w:rsidRDefault="001B3759">
            <w:pPr>
              <w:spacing w:after="0" w:line="240" w:lineRule="auto"/>
              <w:jc w:val="center"/>
              <w:rPr>
                <w:rFonts w:ascii="Times New Roman" w:hAnsi="Times New Roman"/>
                <w:iCs/>
                <w:color w:val="000000"/>
                <w:sz w:val="24"/>
                <w:szCs w:val="24"/>
              </w:rPr>
            </w:pPr>
            <w:r w:rsidRPr="001B3759">
              <w:rPr>
                <w:rFonts w:ascii="Times New Roman" w:hAnsi="Times New Roman"/>
                <w:iCs/>
                <w:color w:val="000000"/>
                <w:sz w:val="24"/>
                <w:szCs w:val="24"/>
              </w:rPr>
              <w:t>Vienība tiek ieviesta pilnībā.</w:t>
            </w:r>
          </w:p>
        </w:tc>
        <w:tc>
          <w:tcPr>
            <w:tcW w:w="2502" w:type="dxa"/>
            <w:shd w:val="clear" w:color="auto" w:fill="auto"/>
          </w:tcPr>
          <w:p w14:paraId="7110B0B0" w14:textId="5C7CF907" w:rsidR="001B3759" w:rsidRPr="0078211A" w:rsidRDefault="001B3759" w:rsidP="0089655E">
            <w:pPr>
              <w:spacing w:after="0" w:line="240" w:lineRule="auto"/>
              <w:jc w:val="center"/>
              <w:rPr>
                <w:rFonts w:ascii="Times New Roman" w:hAnsi="Times New Roman"/>
                <w:iCs/>
                <w:color w:val="000000"/>
                <w:sz w:val="24"/>
                <w:szCs w:val="24"/>
              </w:rPr>
            </w:pPr>
            <w:r w:rsidRPr="001B3759">
              <w:rPr>
                <w:rFonts w:ascii="Times New Roman" w:hAnsi="Times New Roman"/>
                <w:iCs/>
                <w:color w:val="000000"/>
                <w:sz w:val="24"/>
                <w:szCs w:val="24"/>
              </w:rPr>
              <w:t>Netiek paredzētas stingrākas prasības.</w:t>
            </w:r>
          </w:p>
        </w:tc>
      </w:tr>
      <w:tr w:rsidR="001B3759" w:rsidRPr="00E27512" w14:paraId="4834E8F5" w14:textId="77777777" w:rsidTr="002551BF">
        <w:tc>
          <w:tcPr>
            <w:tcW w:w="2423" w:type="dxa"/>
            <w:shd w:val="clear" w:color="auto" w:fill="auto"/>
          </w:tcPr>
          <w:p w14:paraId="40231F5E" w14:textId="6A31403A" w:rsidR="001B3759" w:rsidRPr="001B3759" w:rsidRDefault="001B3759">
            <w:pPr>
              <w:pStyle w:val="naiskr"/>
              <w:spacing w:before="0" w:beforeAutospacing="0" w:after="0" w:afterAutospacing="0"/>
              <w:rPr>
                <w:bCs/>
                <w:color w:val="000000"/>
              </w:rPr>
            </w:pPr>
            <w:r w:rsidRPr="001B3759">
              <w:rPr>
                <w:bCs/>
                <w:color w:val="000000"/>
              </w:rPr>
              <w:t xml:space="preserve">Komisijas regulas </w:t>
            </w:r>
            <w:r w:rsidR="00B673D4">
              <w:rPr>
                <w:bCs/>
                <w:color w:val="000000"/>
              </w:rPr>
              <w:t xml:space="preserve">Nr.717/2014 </w:t>
            </w:r>
            <w:r w:rsidR="00B673D4" w:rsidRPr="001B3759">
              <w:rPr>
                <w:bCs/>
                <w:color w:val="000000"/>
              </w:rPr>
              <w:t>3.panta 2.punkts</w:t>
            </w:r>
            <w:r w:rsidR="00B673D4">
              <w:rPr>
                <w:bCs/>
                <w:color w:val="000000"/>
              </w:rPr>
              <w:t>,</w:t>
            </w:r>
            <w:r w:rsidR="00B673D4" w:rsidRPr="001B3759">
              <w:rPr>
                <w:bCs/>
                <w:color w:val="000000"/>
              </w:rPr>
              <w:t xml:space="preserve"> 5.panta 1.</w:t>
            </w:r>
            <w:r w:rsidR="00B673D4">
              <w:rPr>
                <w:bCs/>
                <w:color w:val="000000"/>
              </w:rPr>
              <w:t>, 2.</w:t>
            </w:r>
            <w:r w:rsidR="00B673D4" w:rsidRPr="001B3759">
              <w:rPr>
                <w:bCs/>
                <w:color w:val="000000"/>
              </w:rPr>
              <w:t xml:space="preserve"> un </w:t>
            </w:r>
            <w:r w:rsidR="00B673D4">
              <w:rPr>
                <w:bCs/>
                <w:color w:val="000000"/>
              </w:rPr>
              <w:t>3</w:t>
            </w:r>
            <w:r w:rsidR="00B673D4" w:rsidRPr="001B3759">
              <w:rPr>
                <w:bCs/>
                <w:color w:val="000000"/>
              </w:rPr>
              <w:t>.punkts</w:t>
            </w:r>
            <w:r w:rsidR="00B673D4" w:rsidRPr="001B3759" w:rsidDel="00B673D4">
              <w:rPr>
                <w:bCs/>
                <w:color w:val="000000"/>
              </w:rPr>
              <w:t xml:space="preserve"> </w:t>
            </w:r>
          </w:p>
        </w:tc>
        <w:tc>
          <w:tcPr>
            <w:tcW w:w="2539" w:type="dxa"/>
            <w:shd w:val="clear" w:color="auto" w:fill="auto"/>
          </w:tcPr>
          <w:p w14:paraId="1E771DB6" w14:textId="25E7EA97" w:rsidR="001B3759" w:rsidRPr="0078211A" w:rsidRDefault="001B3759"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sidR="00B673D4">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.4.apakš</w:t>
            </w:r>
            <w:r w:rsidRPr="0078211A">
              <w:rPr>
                <w:rFonts w:ascii="Times New Roman" w:hAnsi="Times New Roman"/>
                <w:iCs/>
                <w:color w:val="000000"/>
                <w:sz w:val="24"/>
                <w:szCs w:val="24"/>
              </w:rPr>
              <w:t>punkts</w:t>
            </w:r>
          </w:p>
        </w:tc>
        <w:tc>
          <w:tcPr>
            <w:tcW w:w="2176" w:type="dxa"/>
            <w:shd w:val="clear" w:color="auto" w:fill="auto"/>
          </w:tcPr>
          <w:p w14:paraId="5ABB8A4F" w14:textId="176ACB2D" w:rsidR="001B3759" w:rsidRPr="001B3759" w:rsidRDefault="001B3759">
            <w:pPr>
              <w:spacing w:after="0" w:line="240" w:lineRule="auto"/>
              <w:jc w:val="center"/>
              <w:rPr>
                <w:rFonts w:ascii="Times New Roman" w:hAnsi="Times New Roman"/>
                <w:iCs/>
                <w:color w:val="000000"/>
                <w:sz w:val="24"/>
                <w:szCs w:val="24"/>
              </w:rPr>
            </w:pPr>
            <w:r w:rsidRPr="001B3759">
              <w:rPr>
                <w:rFonts w:ascii="Times New Roman" w:hAnsi="Times New Roman"/>
                <w:iCs/>
                <w:color w:val="000000"/>
                <w:sz w:val="24"/>
                <w:szCs w:val="24"/>
              </w:rPr>
              <w:t>Vienība tiek ieviesta pilnībā.</w:t>
            </w:r>
          </w:p>
        </w:tc>
        <w:tc>
          <w:tcPr>
            <w:tcW w:w="2502" w:type="dxa"/>
            <w:shd w:val="clear" w:color="auto" w:fill="auto"/>
          </w:tcPr>
          <w:p w14:paraId="67B5E591" w14:textId="68099B2A" w:rsidR="001B3759" w:rsidRPr="001B3759" w:rsidRDefault="001B3759" w:rsidP="001B3759">
            <w:pPr>
              <w:spacing w:after="0" w:line="240" w:lineRule="auto"/>
              <w:jc w:val="center"/>
              <w:rPr>
                <w:rFonts w:ascii="Times New Roman" w:hAnsi="Times New Roman"/>
                <w:iCs/>
                <w:color w:val="000000"/>
                <w:sz w:val="24"/>
                <w:szCs w:val="24"/>
              </w:rPr>
            </w:pPr>
            <w:r w:rsidRPr="001B3759">
              <w:rPr>
                <w:rFonts w:ascii="Times New Roman" w:hAnsi="Times New Roman"/>
                <w:iCs/>
                <w:color w:val="000000"/>
                <w:sz w:val="24"/>
                <w:szCs w:val="24"/>
              </w:rPr>
              <w:t>Netiek paredzētas stingrākas prasības.</w:t>
            </w:r>
          </w:p>
        </w:tc>
      </w:tr>
      <w:tr w:rsidR="00B673D4" w:rsidRPr="00E27512" w14:paraId="2D38EBDD" w14:textId="77777777" w:rsidTr="002551BF">
        <w:tc>
          <w:tcPr>
            <w:tcW w:w="2423" w:type="dxa"/>
            <w:shd w:val="clear" w:color="auto" w:fill="auto"/>
          </w:tcPr>
          <w:p w14:paraId="20E94A45" w14:textId="789F6AAC" w:rsidR="00B673D4" w:rsidRPr="001B3759" w:rsidRDefault="00B673D4" w:rsidP="00B673D4">
            <w:pPr>
              <w:pStyle w:val="naiskr"/>
              <w:spacing w:before="0" w:beforeAutospacing="0" w:after="0" w:afterAutospacing="0"/>
              <w:rPr>
                <w:bCs/>
                <w:color w:val="000000"/>
              </w:rPr>
            </w:pPr>
            <w:r>
              <w:rPr>
                <w:bCs/>
                <w:color w:val="000000"/>
              </w:rPr>
              <w:t xml:space="preserve">Komisijas regulas </w:t>
            </w:r>
            <w:r w:rsidRPr="001B3759">
              <w:rPr>
                <w:bCs/>
                <w:color w:val="000000"/>
              </w:rPr>
              <w:t>Nr.140</w:t>
            </w:r>
            <w:r>
              <w:rPr>
                <w:bCs/>
                <w:color w:val="000000"/>
              </w:rPr>
              <w:t>8</w:t>
            </w:r>
            <w:r w:rsidRPr="001B3759">
              <w:rPr>
                <w:bCs/>
                <w:color w:val="000000"/>
              </w:rPr>
              <w:t>/2013</w:t>
            </w:r>
            <w:r>
              <w:rPr>
                <w:bCs/>
                <w:color w:val="000000"/>
              </w:rPr>
              <w:t xml:space="preserve"> </w:t>
            </w:r>
            <w:r w:rsidRPr="001B3759">
              <w:rPr>
                <w:bCs/>
                <w:color w:val="000000"/>
              </w:rPr>
              <w:t>3.panta 2.punkts</w:t>
            </w:r>
            <w:r>
              <w:rPr>
                <w:bCs/>
                <w:color w:val="000000"/>
              </w:rPr>
              <w:t>,</w:t>
            </w:r>
            <w:r w:rsidRPr="001B3759">
              <w:rPr>
                <w:bCs/>
                <w:color w:val="000000"/>
              </w:rPr>
              <w:t xml:space="preserve"> 5.panta 1.</w:t>
            </w:r>
            <w:r>
              <w:rPr>
                <w:bCs/>
                <w:color w:val="000000"/>
              </w:rPr>
              <w:t>, 2.</w:t>
            </w:r>
            <w:r w:rsidRPr="001B3759">
              <w:rPr>
                <w:bCs/>
                <w:color w:val="000000"/>
              </w:rPr>
              <w:t xml:space="preserve"> un </w:t>
            </w:r>
            <w:r>
              <w:rPr>
                <w:bCs/>
                <w:color w:val="000000"/>
              </w:rPr>
              <w:t>3</w:t>
            </w:r>
            <w:r w:rsidRPr="001B3759">
              <w:rPr>
                <w:bCs/>
                <w:color w:val="000000"/>
              </w:rPr>
              <w:t>.punkts</w:t>
            </w:r>
          </w:p>
        </w:tc>
        <w:tc>
          <w:tcPr>
            <w:tcW w:w="2539" w:type="dxa"/>
            <w:shd w:val="clear" w:color="auto" w:fill="auto"/>
          </w:tcPr>
          <w:p w14:paraId="30D2F5FC" w14:textId="4D1F573B" w:rsidR="00B673D4" w:rsidRPr="0078211A" w:rsidRDefault="00B673D4" w:rsidP="004E03A9">
            <w:pPr>
              <w:spacing w:after="0" w:line="240" w:lineRule="auto"/>
              <w:jc w:val="center"/>
              <w:rPr>
                <w:rFonts w:ascii="Times New Roman" w:hAnsi="Times New Roman"/>
                <w:iCs/>
                <w:color w:val="000000"/>
                <w:sz w:val="24"/>
                <w:szCs w:val="24"/>
              </w:rPr>
            </w:pPr>
            <w:r w:rsidRPr="0078211A">
              <w:rPr>
                <w:rFonts w:ascii="Times New Roman" w:hAnsi="Times New Roman"/>
                <w:iCs/>
                <w:color w:val="000000"/>
                <w:sz w:val="24"/>
                <w:szCs w:val="24"/>
              </w:rPr>
              <w:t xml:space="preserve">MK noteikumu projekta </w:t>
            </w:r>
            <w:r>
              <w:rPr>
                <w:rFonts w:ascii="Times New Roman" w:hAnsi="Times New Roman"/>
                <w:iCs/>
                <w:color w:val="000000"/>
                <w:sz w:val="24"/>
                <w:szCs w:val="24"/>
              </w:rPr>
              <w:t>3</w:t>
            </w:r>
            <w:r w:rsidR="004E03A9">
              <w:rPr>
                <w:rFonts w:ascii="Times New Roman" w:hAnsi="Times New Roman"/>
                <w:iCs/>
                <w:color w:val="000000"/>
                <w:sz w:val="24"/>
                <w:szCs w:val="24"/>
              </w:rPr>
              <w:t>2</w:t>
            </w:r>
            <w:r>
              <w:rPr>
                <w:rFonts w:ascii="Times New Roman" w:hAnsi="Times New Roman"/>
                <w:iCs/>
                <w:color w:val="000000"/>
                <w:sz w:val="24"/>
                <w:szCs w:val="24"/>
              </w:rPr>
              <w:t>.4.apakš</w:t>
            </w:r>
            <w:r w:rsidRPr="0078211A">
              <w:rPr>
                <w:rFonts w:ascii="Times New Roman" w:hAnsi="Times New Roman"/>
                <w:iCs/>
                <w:color w:val="000000"/>
                <w:sz w:val="24"/>
                <w:szCs w:val="24"/>
              </w:rPr>
              <w:t>punkts</w:t>
            </w:r>
          </w:p>
        </w:tc>
        <w:tc>
          <w:tcPr>
            <w:tcW w:w="2176" w:type="dxa"/>
            <w:shd w:val="clear" w:color="auto" w:fill="auto"/>
          </w:tcPr>
          <w:p w14:paraId="283391E0" w14:textId="77014533" w:rsidR="00B673D4" w:rsidRPr="001B3759" w:rsidRDefault="00B673D4">
            <w:pPr>
              <w:spacing w:after="0" w:line="240" w:lineRule="auto"/>
              <w:jc w:val="center"/>
              <w:rPr>
                <w:rFonts w:ascii="Times New Roman" w:hAnsi="Times New Roman"/>
                <w:iCs/>
                <w:color w:val="000000"/>
                <w:sz w:val="24"/>
                <w:szCs w:val="24"/>
              </w:rPr>
            </w:pPr>
            <w:r w:rsidRPr="001B3759">
              <w:rPr>
                <w:rFonts w:ascii="Times New Roman" w:hAnsi="Times New Roman"/>
                <w:iCs/>
                <w:color w:val="000000"/>
                <w:sz w:val="24"/>
                <w:szCs w:val="24"/>
              </w:rPr>
              <w:t>Vienība tiek ieviesta pilnībā.</w:t>
            </w:r>
          </w:p>
        </w:tc>
        <w:tc>
          <w:tcPr>
            <w:tcW w:w="2502" w:type="dxa"/>
            <w:shd w:val="clear" w:color="auto" w:fill="auto"/>
          </w:tcPr>
          <w:p w14:paraId="5D70033C" w14:textId="7ED2E8AC" w:rsidR="00B673D4" w:rsidRPr="001B3759" w:rsidRDefault="00B673D4" w:rsidP="00B673D4">
            <w:pPr>
              <w:spacing w:after="0" w:line="240" w:lineRule="auto"/>
              <w:jc w:val="center"/>
              <w:rPr>
                <w:rFonts w:ascii="Times New Roman" w:hAnsi="Times New Roman"/>
                <w:iCs/>
                <w:color w:val="000000"/>
                <w:sz w:val="24"/>
                <w:szCs w:val="24"/>
              </w:rPr>
            </w:pPr>
            <w:r w:rsidRPr="001B3759">
              <w:rPr>
                <w:rFonts w:ascii="Times New Roman" w:hAnsi="Times New Roman"/>
                <w:iCs/>
                <w:color w:val="000000"/>
                <w:sz w:val="24"/>
                <w:szCs w:val="24"/>
              </w:rPr>
              <w:t>Netiek paredzētas stingrākas prasības.</w:t>
            </w:r>
          </w:p>
        </w:tc>
      </w:tr>
      <w:tr w:rsidR="00B673D4" w:rsidRPr="00E27512" w14:paraId="5E5BCD33" w14:textId="77777777" w:rsidTr="0089655E">
        <w:tc>
          <w:tcPr>
            <w:tcW w:w="4962" w:type="dxa"/>
            <w:gridSpan w:val="2"/>
            <w:shd w:val="clear" w:color="auto" w:fill="auto"/>
          </w:tcPr>
          <w:p w14:paraId="2C8618B0" w14:textId="77777777" w:rsidR="00B673D4" w:rsidRPr="00E27512" w:rsidRDefault="00B673D4" w:rsidP="00B673D4">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Kā ir izmantota ES tiesību aktā paredzētā rīcības brīvība dalībvalstij pārņemt vai ieviest noteiktas ES tiesību akta normas?</w:t>
            </w:r>
          </w:p>
          <w:p w14:paraId="2F6DD90D" w14:textId="77777777" w:rsidR="00B673D4" w:rsidRPr="00E27512" w:rsidRDefault="00B673D4" w:rsidP="00B673D4">
            <w:pPr>
              <w:spacing w:after="0" w:line="240" w:lineRule="auto"/>
              <w:rPr>
                <w:rFonts w:ascii="Times New Roman" w:hAnsi="Times New Roman"/>
                <w:i/>
                <w:color w:val="000000"/>
                <w:sz w:val="24"/>
                <w:szCs w:val="24"/>
              </w:rPr>
            </w:pPr>
            <w:r w:rsidRPr="00E27512">
              <w:rPr>
                <w:rFonts w:ascii="Times New Roman" w:hAnsi="Times New Roman"/>
                <w:color w:val="000000"/>
                <w:sz w:val="24"/>
                <w:szCs w:val="24"/>
              </w:rPr>
              <w:lastRenderedPageBreak/>
              <w:t>Kādēļ?</w:t>
            </w:r>
          </w:p>
        </w:tc>
        <w:tc>
          <w:tcPr>
            <w:tcW w:w="4678" w:type="dxa"/>
            <w:gridSpan w:val="2"/>
            <w:shd w:val="clear" w:color="auto" w:fill="auto"/>
          </w:tcPr>
          <w:p w14:paraId="242C9BA5" w14:textId="77777777" w:rsidR="00B673D4" w:rsidRPr="00E27512" w:rsidRDefault="00B673D4" w:rsidP="00B673D4">
            <w:pPr>
              <w:spacing w:after="0" w:line="240" w:lineRule="auto"/>
              <w:rPr>
                <w:rFonts w:ascii="Times New Roman" w:hAnsi="Times New Roman"/>
                <w:color w:val="000000"/>
                <w:sz w:val="24"/>
                <w:szCs w:val="24"/>
              </w:rPr>
            </w:pPr>
            <w:r w:rsidRPr="00E27512">
              <w:rPr>
                <w:rFonts w:ascii="Times New Roman" w:hAnsi="Times New Roman"/>
                <w:iCs/>
                <w:color w:val="000000"/>
                <w:sz w:val="24"/>
                <w:szCs w:val="24"/>
              </w:rPr>
              <w:lastRenderedPageBreak/>
              <w:t>MK noteikumu projekts šo jomu neskar.</w:t>
            </w:r>
          </w:p>
        </w:tc>
      </w:tr>
      <w:tr w:rsidR="00B673D4" w:rsidRPr="00E27512" w14:paraId="0C22AF1E" w14:textId="77777777" w:rsidTr="0089655E">
        <w:tc>
          <w:tcPr>
            <w:tcW w:w="4962" w:type="dxa"/>
            <w:gridSpan w:val="2"/>
            <w:shd w:val="clear" w:color="auto" w:fill="auto"/>
          </w:tcPr>
          <w:p w14:paraId="02DC0994" w14:textId="77777777" w:rsidR="00B673D4" w:rsidRPr="00E27512" w:rsidRDefault="00B673D4" w:rsidP="00B673D4">
            <w:pPr>
              <w:spacing w:after="0" w:line="240" w:lineRule="auto"/>
              <w:rPr>
                <w:rFonts w:ascii="Times New Roman" w:hAnsi="Times New Roman"/>
                <w:i/>
                <w:color w:val="000000"/>
                <w:sz w:val="24"/>
                <w:szCs w:val="24"/>
              </w:rPr>
            </w:pPr>
            <w:r w:rsidRPr="00E27512">
              <w:rPr>
                <w:rFonts w:ascii="Times New Roman" w:hAnsi="Times New Roman"/>
                <w:color w:val="000000"/>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78" w:type="dxa"/>
            <w:gridSpan w:val="2"/>
            <w:shd w:val="clear" w:color="auto" w:fill="auto"/>
          </w:tcPr>
          <w:p w14:paraId="4E682365" w14:textId="77777777" w:rsidR="00B673D4" w:rsidRPr="00E27512" w:rsidRDefault="00B673D4" w:rsidP="00B673D4">
            <w:pPr>
              <w:spacing w:after="0" w:line="240" w:lineRule="auto"/>
              <w:rPr>
                <w:rFonts w:ascii="Times New Roman" w:hAnsi="Times New Roman"/>
                <w:color w:val="000000"/>
                <w:sz w:val="24"/>
                <w:szCs w:val="24"/>
              </w:rPr>
            </w:pPr>
            <w:r w:rsidRPr="00E27512">
              <w:rPr>
                <w:rFonts w:ascii="Times New Roman" w:hAnsi="Times New Roman"/>
                <w:iCs/>
                <w:color w:val="000000"/>
                <w:sz w:val="24"/>
                <w:szCs w:val="24"/>
              </w:rPr>
              <w:t>MK noteikumu projekts šo jomu neskar.</w:t>
            </w:r>
          </w:p>
        </w:tc>
      </w:tr>
      <w:tr w:rsidR="00B673D4" w:rsidRPr="00E27512" w14:paraId="040F7DBB" w14:textId="77777777" w:rsidTr="0089655E">
        <w:tc>
          <w:tcPr>
            <w:tcW w:w="4962" w:type="dxa"/>
            <w:gridSpan w:val="2"/>
            <w:shd w:val="clear" w:color="auto" w:fill="auto"/>
          </w:tcPr>
          <w:p w14:paraId="29A4B8B7" w14:textId="77777777" w:rsidR="00B673D4" w:rsidRPr="00E27512" w:rsidRDefault="00B673D4" w:rsidP="00B673D4">
            <w:pPr>
              <w:pStyle w:val="naiskr"/>
              <w:spacing w:before="0" w:beforeAutospacing="0" w:after="0" w:afterAutospacing="0"/>
              <w:rPr>
                <w:i/>
                <w:color w:val="000000"/>
              </w:rPr>
            </w:pPr>
            <w:r w:rsidRPr="00E27512">
              <w:rPr>
                <w:color w:val="000000"/>
              </w:rPr>
              <w:t>Cita informācija</w:t>
            </w:r>
          </w:p>
        </w:tc>
        <w:tc>
          <w:tcPr>
            <w:tcW w:w="4678" w:type="dxa"/>
            <w:gridSpan w:val="2"/>
            <w:shd w:val="clear" w:color="auto" w:fill="auto"/>
          </w:tcPr>
          <w:p w14:paraId="2F4EFB67" w14:textId="77777777" w:rsidR="00B673D4" w:rsidRPr="00E27512" w:rsidRDefault="00B673D4" w:rsidP="00B673D4">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Nav.</w:t>
            </w:r>
          </w:p>
        </w:tc>
      </w:tr>
    </w:tbl>
    <w:p w14:paraId="61572435" w14:textId="77777777" w:rsidR="0050490E" w:rsidRPr="00E27512" w:rsidRDefault="0050490E" w:rsidP="0089655E">
      <w:pPr>
        <w:spacing w:after="0" w:line="240" w:lineRule="auto"/>
        <w:jc w:val="center"/>
        <w:rPr>
          <w:rFonts w:ascii="Times New Roman" w:hAnsi="Times New Roman"/>
          <w:color w:val="000000"/>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096"/>
        <w:gridCol w:w="3160"/>
      </w:tblGrid>
      <w:tr w:rsidR="0050490E" w:rsidRPr="00E27512" w14:paraId="67757484" w14:textId="77777777" w:rsidTr="0089655E">
        <w:tc>
          <w:tcPr>
            <w:tcW w:w="9640" w:type="dxa"/>
            <w:gridSpan w:val="3"/>
            <w:shd w:val="clear" w:color="auto" w:fill="auto"/>
          </w:tcPr>
          <w:p w14:paraId="6714E4B6" w14:textId="77777777" w:rsidR="0050490E" w:rsidRPr="00E27512" w:rsidRDefault="0050490E" w:rsidP="0089655E">
            <w:pPr>
              <w:pStyle w:val="naisnod"/>
              <w:spacing w:before="0" w:beforeAutospacing="0" w:after="0" w:afterAutospacing="0"/>
              <w:jc w:val="center"/>
              <w:rPr>
                <w:b/>
                <w:color w:val="000000"/>
              </w:rPr>
            </w:pPr>
            <w:r w:rsidRPr="00E27512">
              <w:rPr>
                <w:b/>
                <w:color w:val="000000"/>
              </w:rPr>
              <w:t>2.tabula</w:t>
            </w:r>
            <w:r>
              <w:rPr>
                <w:b/>
                <w:color w:val="000000"/>
              </w:rPr>
              <w:t xml:space="preserve">. </w:t>
            </w:r>
            <w:r w:rsidRPr="00E27512">
              <w:rPr>
                <w:b/>
                <w:color w:val="000000"/>
              </w:rPr>
              <w:t>Ar tiesību akta projektu uzņemtās saistības, kas izriet no starptautiskajiem tiesību aktiem vai starptautiskas institūcijas vai organizācijas dokumentiem</w:t>
            </w:r>
          </w:p>
          <w:p w14:paraId="279703B1"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b/>
                <w:color w:val="000000"/>
                <w:sz w:val="24"/>
                <w:szCs w:val="24"/>
              </w:rPr>
              <w:t>Pasākumi šo saistību izpildei</w:t>
            </w:r>
          </w:p>
        </w:tc>
      </w:tr>
      <w:tr w:rsidR="0050490E" w:rsidRPr="00E27512" w14:paraId="0FC9B836" w14:textId="77777777" w:rsidTr="0089655E">
        <w:tc>
          <w:tcPr>
            <w:tcW w:w="3384" w:type="dxa"/>
            <w:shd w:val="clear" w:color="auto" w:fill="auto"/>
          </w:tcPr>
          <w:p w14:paraId="2003D647"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Attiecīgā starptautiskā tiesību akta vai starptautiskas institūcijas vai organizācijas dokumenta (turpmāk – starptautiskais dokuments) datums, numurs un nosaukums</w:t>
            </w:r>
          </w:p>
        </w:tc>
        <w:tc>
          <w:tcPr>
            <w:tcW w:w="6256" w:type="dxa"/>
            <w:gridSpan w:val="2"/>
            <w:shd w:val="clear" w:color="auto" w:fill="auto"/>
          </w:tcPr>
          <w:p w14:paraId="4E4031F7" w14:textId="77777777" w:rsidR="0050490E" w:rsidRPr="00E27512" w:rsidRDefault="0050490E" w:rsidP="0089655E">
            <w:pPr>
              <w:tabs>
                <w:tab w:val="left" w:pos="325"/>
              </w:tabs>
              <w:spacing w:after="0" w:line="240" w:lineRule="auto"/>
              <w:rPr>
                <w:rFonts w:ascii="Times New Roman" w:hAnsi="Times New Roman"/>
                <w:i/>
                <w:color w:val="000000"/>
                <w:sz w:val="24"/>
                <w:szCs w:val="24"/>
              </w:rPr>
            </w:pPr>
            <w:r w:rsidRPr="00E27512">
              <w:rPr>
                <w:rFonts w:ascii="Times New Roman" w:hAnsi="Times New Roman"/>
                <w:iCs/>
                <w:color w:val="000000"/>
                <w:sz w:val="24"/>
                <w:szCs w:val="24"/>
              </w:rPr>
              <w:t>MK noteikumu projekts šo jomu neskar.</w:t>
            </w:r>
          </w:p>
        </w:tc>
      </w:tr>
      <w:tr w:rsidR="0050490E" w:rsidRPr="00E27512" w14:paraId="29326B0D" w14:textId="77777777" w:rsidTr="0089655E">
        <w:tc>
          <w:tcPr>
            <w:tcW w:w="3384" w:type="dxa"/>
            <w:shd w:val="clear" w:color="auto" w:fill="auto"/>
          </w:tcPr>
          <w:p w14:paraId="48AC9D2C"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A</w:t>
            </w:r>
          </w:p>
        </w:tc>
        <w:tc>
          <w:tcPr>
            <w:tcW w:w="3096" w:type="dxa"/>
            <w:shd w:val="clear" w:color="auto" w:fill="auto"/>
          </w:tcPr>
          <w:p w14:paraId="21168B9C"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B</w:t>
            </w:r>
          </w:p>
        </w:tc>
        <w:tc>
          <w:tcPr>
            <w:tcW w:w="3160" w:type="dxa"/>
            <w:shd w:val="clear" w:color="auto" w:fill="auto"/>
          </w:tcPr>
          <w:p w14:paraId="78F6A55A" w14:textId="77777777" w:rsidR="0050490E" w:rsidRPr="00E27512" w:rsidRDefault="0050490E" w:rsidP="0089655E">
            <w:pPr>
              <w:spacing w:after="0" w:line="240" w:lineRule="auto"/>
              <w:jc w:val="center"/>
              <w:rPr>
                <w:rFonts w:ascii="Times New Roman" w:hAnsi="Times New Roman"/>
                <w:color w:val="000000"/>
                <w:sz w:val="24"/>
                <w:szCs w:val="24"/>
              </w:rPr>
            </w:pPr>
            <w:r w:rsidRPr="00E27512">
              <w:rPr>
                <w:rFonts w:ascii="Times New Roman" w:hAnsi="Times New Roman"/>
                <w:color w:val="000000"/>
                <w:sz w:val="24"/>
                <w:szCs w:val="24"/>
              </w:rPr>
              <w:t>C</w:t>
            </w:r>
          </w:p>
        </w:tc>
      </w:tr>
      <w:tr w:rsidR="0050490E" w:rsidRPr="00E27512" w14:paraId="6ABE4059" w14:textId="77777777" w:rsidTr="0089655E">
        <w:tc>
          <w:tcPr>
            <w:tcW w:w="3384" w:type="dxa"/>
            <w:shd w:val="clear" w:color="auto" w:fill="auto"/>
          </w:tcPr>
          <w:p w14:paraId="0E41A738" w14:textId="77777777" w:rsidR="0050490E" w:rsidRPr="00E27512" w:rsidRDefault="0050490E" w:rsidP="0089655E">
            <w:pPr>
              <w:pStyle w:val="naiskr"/>
              <w:spacing w:before="0" w:beforeAutospacing="0" w:after="0" w:afterAutospacing="0"/>
              <w:rPr>
                <w:color w:val="000000"/>
              </w:rPr>
            </w:pPr>
            <w:r w:rsidRPr="00E27512">
              <w:rPr>
                <w:color w:val="000000"/>
              </w:rPr>
              <w:t>Starptautiskās saistības (pēc būtības), kas izriet no norādītā starptautiskā dokumenta.</w:t>
            </w:r>
          </w:p>
          <w:p w14:paraId="07B8CC7D"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Konkrēti veicamie pasākumi vai uzdevumi, kas nepieciešami šo starptautisko saistību izpildei</w:t>
            </w:r>
          </w:p>
        </w:tc>
        <w:tc>
          <w:tcPr>
            <w:tcW w:w="3096" w:type="dxa"/>
            <w:shd w:val="clear" w:color="auto" w:fill="auto"/>
          </w:tcPr>
          <w:p w14:paraId="57899347"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60" w:type="dxa"/>
            <w:shd w:val="clear" w:color="auto" w:fill="auto"/>
          </w:tcPr>
          <w:p w14:paraId="53E3E9A7" w14:textId="77777777" w:rsidR="0050490E" w:rsidRPr="00E27512" w:rsidRDefault="0050490E" w:rsidP="0089655E">
            <w:pPr>
              <w:pStyle w:val="naiskr"/>
              <w:spacing w:before="0" w:beforeAutospacing="0" w:after="0" w:afterAutospacing="0"/>
              <w:rPr>
                <w:color w:val="000000"/>
              </w:rPr>
            </w:pPr>
            <w:r w:rsidRPr="00E27512">
              <w:rPr>
                <w:color w:val="000000"/>
              </w:rPr>
              <w:t>Informācija par to, vai starptautiskās saistības, kas minētas šīs tabulas A ailē, tiek izpildītas pilnībā vai daļēji.</w:t>
            </w:r>
          </w:p>
          <w:p w14:paraId="698783DB" w14:textId="77777777" w:rsidR="0050490E" w:rsidRPr="00E27512" w:rsidRDefault="0050490E" w:rsidP="0089655E">
            <w:pPr>
              <w:pStyle w:val="naiskr"/>
              <w:spacing w:before="0" w:beforeAutospacing="0" w:after="0" w:afterAutospacing="0"/>
              <w:rPr>
                <w:color w:val="000000"/>
              </w:rPr>
            </w:pPr>
            <w:r w:rsidRPr="00E27512">
              <w:rPr>
                <w:color w:val="000000"/>
              </w:rPr>
              <w:t>Ja attiecīgās starptautiskās saistības tiek izpildītas daļēji, sniedz attiecīgu skaidrojumu, kā arī precīzi norāda, kad un kādā veidā starptautiskās saistības tiks izpildītas pilnībā.</w:t>
            </w:r>
          </w:p>
          <w:p w14:paraId="0EDA60BF"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Norāda institūciju, kas ir atbildīga par šo saistību izpildi pilnībā</w:t>
            </w:r>
          </w:p>
        </w:tc>
      </w:tr>
      <w:tr w:rsidR="0050490E" w:rsidRPr="00E27512" w14:paraId="774A2E8A" w14:textId="77777777" w:rsidTr="0089655E">
        <w:tc>
          <w:tcPr>
            <w:tcW w:w="3384" w:type="dxa"/>
            <w:shd w:val="clear" w:color="auto" w:fill="auto"/>
          </w:tcPr>
          <w:p w14:paraId="1FB782AE"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iCs/>
                <w:color w:val="000000"/>
                <w:sz w:val="24"/>
                <w:szCs w:val="24"/>
              </w:rPr>
              <w:t>Noteikumu projekts šo jomu neskar.</w:t>
            </w:r>
          </w:p>
        </w:tc>
        <w:tc>
          <w:tcPr>
            <w:tcW w:w="3096" w:type="dxa"/>
            <w:shd w:val="clear" w:color="auto" w:fill="auto"/>
          </w:tcPr>
          <w:p w14:paraId="5E1D19B6"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iCs/>
                <w:color w:val="000000"/>
                <w:sz w:val="24"/>
                <w:szCs w:val="24"/>
              </w:rPr>
              <w:t>MK noteikumu projekts šo jomu neskar.</w:t>
            </w:r>
          </w:p>
        </w:tc>
        <w:tc>
          <w:tcPr>
            <w:tcW w:w="3160" w:type="dxa"/>
            <w:shd w:val="clear" w:color="auto" w:fill="auto"/>
          </w:tcPr>
          <w:p w14:paraId="1D70466B"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iCs/>
                <w:color w:val="000000"/>
                <w:sz w:val="24"/>
                <w:szCs w:val="24"/>
              </w:rPr>
              <w:t>MK noteikumu projekts šo jomu neskar.</w:t>
            </w:r>
          </w:p>
        </w:tc>
      </w:tr>
      <w:tr w:rsidR="0050490E" w:rsidRPr="00E27512" w14:paraId="67C7E282" w14:textId="77777777" w:rsidTr="0089655E">
        <w:tc>
          <w:tcPr>
            <w:tcW w:w="3384" w:type="dxa"/>
            <w:shd w:val="clear" w:color="auto" w:fill="auto"/>
          </w:tcPr>
          <w:p w14:paraId="73E862C2"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Vai starptautiskajā dokumentā paredzētās saistības nav pretrunā ar jau esošajām Latvijas Republikas starptautiskajām saistībām</w:t>
            </w:r>
          </w:p>
        </w:tc>
        <w:tc>
          <w:tcPr>
            <w:tcW w:w="6256" w:type="dxa"/>
            <w:gridSpan w:val="2"/>
            <w:shd w:val="clear" w:color="auto" w:fill="auto"/>
          </w:tcPr>
          <w:p w14:paraId="3521ABC8" w14:textId="77777777" w:rsidR="0050490E" w:rsidRPr="00E27512" w:rsidRDefault="0050490E" w:rsidP="0089655E">
            <w:pPr>
              <w:spacing w:after="0" w:line="240" w:lineRule="auto"/>
              <w:rPr>
                <w:rFonts w:ascii="Times New Roman" w:hAnsi="Times New Roman"/>
                <w:i/>
                <w:color w:val="000000"/>
                <w:sz w:val="24"/>
                <w:szCs w:val="24"/>
              </w:rPr>
            </w:pPr>
            <w:r w:rsidRPr="00E27512">
              <w:rPr>
                <w:rFonts w:ascii="Times New Roman" w:hAnsi="Times New Roman"/>
                <w:iCs/>
                <w:color w:val="000000"/>
                <w:sz w:val="24"/>
                <w:szCs w:val="24"/>
              </w:rPr>
              <w:t>MK noteikumu projekts šo jomu neskar.</w:t>
            </w:r>
          </w:p>
        </w:tc>
      </w:tr>
      <w:tr w:rsidR="0050490E" w:rsidRPr="00E27512" w14:paraId="7DCE8299" w14:textId="77777777" w:rsidTr="0089655E">
        <w:tc>
          <w:tcPr>
            <w:tcW w:w="3384" w:type="dxa"/>
            <w:shd w:val="clear" w:color="auto" w:fill="auto"/>
          </w:tcPr>
          <w:p w14:paraId="7A4980AC"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Cita informācija</w:t>
            </w:r>
          </w:p>
        </w:tc>
        <w:tc>
          <w:tcPr>
            <w:tcW w:w="6256" w:type="dxa"/>
            <w:gridSpan w:val="2"/>
            <w:shd w:val="clear" w:color="auto" w:fill="auto"/>
          </w:tcPr>
          <w:p w14:paraId="70DA3274" w14:textId="77777777" w:rsidR="0050490E" w:rsidRPr="00E27512" w:rsidRDefault="0050490E" w:rsidP="0089655E">
            <w:pPr>
              <w:spacing w:after="0" w:line="240" w:lineRule="auto"/>
              <w:rPr>
                <w:rFonts w:ascii="Times New Roman" w:hAnsi="Times New Roman"/>
                <w:color w:val="000000"/>
                <w:sz w:val="24"/>
                <w:szCs w:val="24"/>
              </w:rPr>
            </w:pPr>
            <w:r w:rsidRPr="00E27512">
              <w:rPr>
                <w:rFonts w:ascii="Times New Roman" w:hAnsi="Times New Roman"/>
                <w:color w:val="000000"/>
                <w:sz w:val="24"/>
                <w:szCs w:val="24"/>
              </w:rPr>
              <w:t>Nav.</w:t>
            </w:r>
          </w:p>
        </w:tc>
      </w:tr>
    </w:tbl>
    <w:p w14:paraId="2F114A57" w14:textId="77777777" w:rsidR="0050490E" w:rsidRPr="00A76ADD" w:rsidRDefault="0050490E" w:rsidP="0089655E">
      <w:pPr>
        <w:spacing w:after="0" w:line="240" w:lineRule="auto"/>
        <w:rPr>
          <w:rFonts w:ascii="Times New Roman" w:hAnsi="Times New Roman" w:cs="Times New Roman"/>
          <w:sz w:val="24"/>
          <w:szCs w:val="24"/>
          <w:highlight w:val="yellow"/>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35"/>
        <w:gridCol w:w="6237"/>
      </w:tblGrid>
      <w:tr w:rsidR="00CC1A56" w:rsidRPr="00A76ADD" w14:paraId="47D7A37C" w14:textId="77777777" w:rsidTr="0089655E">
        <w:trPr>
          <w:trHeight w:val="421"/>
          <w:jc w:val="center"/>
        </w:trPr>
        <w:tc>
          <w:tcPr>
            <w:tcW w:w="9634" w:type="dxa"/>
            <w:gridSpan w:val="3"/>
            <w:vAlign w:val="center"/>
          </w:tcPr>
          <w:p w14:paraId="011CC5A9" w14:textId="53BED1AE" w:rsidR="00CC1A56" w:rsidRPr="00A76ADD" w:rsidRDefault="002F7324" w:rsidP="0089655E">
            <w:pPr>
              <w:pStyle w:val="naisnod"/>
              <w:spacing w:before="0" w:beforeAutospacing="0" w:after="0" w:afterAutospacing="0"/>
              <w:ind w:left="57" w:right="57"/>
              <w:jc w:val="center"/>
            </w:pPr>
            <w:r w:rsidRPr="00A76ADD">
              <w:rPr>
                <w:b/>
              </w:rPr>
              <w:t>V</w:t>
            </w:r>
            <w:r w:rsidR="008D0993" w:rsidRPr="00A76ADD">
              <w:rPr>
                <w:b/>
              </w:rPr>
              <w:t>I</w:t>
            </w:r>
            <w:r w:rsidR="00CC1A56" w:rsidRPr="00A76ADD">
              <w:rPr>
                <w:b/>
              </w:rPr>
              <w:t>. Sabiedrības līdzdalība un komunikācijas aktivitātes</w:t>
            </w:r>
          </w:p>
        </w:tc>
      </w:tr>
      <w:tr w:rsidR="00CC1A56" w:rsidRPr="00A76ADD" w14:paraId="5A93C3F9" w14:textId="77777777" w:rsidTr="0089655E">
        <w:trPr>
          <w:trHeight w:val="553"/>
          <w:jc w:val="center"/>
        </w:trPr>
        <w:tc>
          <w:tcPr>
            <w:tcW w:w="562" w:type="dxa"/>
          </w:tcPr>
          <w:p w14:paraId="36A7A3A4" w14:textId="77777777" w:rsidR="00CC1A56" w:rsidRPr="00A76ADD" w:rsidRDefault="00CC1A56" w:rsidP="0089655E">
            <w:pPr>
              <w:spacing w:after="0" w:line="240" w:lineRule="auto"/>
              <w:ind w:left="57" w:right="57"/>
              <w:jc w:val="both"/>
              <w:rPr>
                <w:rFonts w:ascii="Times New Roman" w:hAnsi="Times New Roman" w:cs="Times New Roman"/>
                <w:bCs/>
                <w:sz w:val="24"/>
                <w:szCs w:val="24"/>
              </w:rPr>
            </w:pPr>
            <w:r w:rsidRPr="00A76ADD">
              <w:rPr>
                <w:rFonts w:ascii="Times New Roman" w:hAnsi="Times New Roman" w:cs="Times New Roman"/>
                <w:bCs/>
                <w:sz w:val="24"/>
                <w:szCs w:val="24"/>
              </w:rPr>
              <w:t>1.</w:t>
            </w:r>
          </w:p>
        </w:tc>
        <w:tc>
          <w:tcPr>
            <w:tcW w:w="2835" w:type="dxa"/>
          </w:tcPr>
          <w:p w14:paraId="583D967B" w14:textId="77777777" w:rsidR="00CC1A56" w:rsidRPr="00A76ADD" w:rsidRDefault="00CC1A56" w:rsidP="0089655E">
            <w:pPr>
              <w:tabs>
                <w:tab w:val="left" w:pos="170"/>
              </w:tabs>
              <w:spacing w:after="0" w:line="240" w:lineRule="auto"/>
              <w:ind w:left="57" w:right="57"/>
              <w:rPr>
                <w:rFonts w:ascii="Times New Roman" w:hAnsi="Times New Roman" w:cs="Times New Roman"/>
                <w:sz w:val="24"/>
                <w:szCs w:val="24"/>
                <w:lang w:eastAsia="lv-LV"/>
              </w:rPr>
            </w:pPr>
            <w:r w:rsidRPr="00A76ADD">
              <w:rPr>
                <w:rFonts w:ascii="Times New Roman" w:hAnsi="Times New Roman" w:cs="Times New Roman"/>
                <w:sz w:val="24"/>
                <w:szCs w:val="24"/>
                <w:lang w:eastAsia="lv-LV"/>
              </w:rPr>
              <w:t>Plānotās sabiedrības līdzdalības un komunikācijas aktivitātes saistībā ar projektu</w:t>
            </w:r>
          </w:p>
        </w:tc>
        <w:tc>
          <w:tcPr>
            <w:tcW w:w="6237" w:type="dxa"/>
          </w:tcPr>
          <w:p w14:paraId="4449B439" w14:textId="1EDF15B2" w:rsidR="00BE3615" w:rsidRPr="00A76ADD" w:rsidRDefault="00355126" w:rsidP="00C64158">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A76ADD">
              <w:rPr>
                <w:rFonts w:ascii="Times New Roman" w:hAnsi="Times New Roman" w:cs="Times New Roman"/>
                <w:bCs/>
                <w:sz w:val="24"/>
                <w:szCs w:val="24"/>
                <w:lang w:eastAsia="lv-LV"/>
              </w:rPr>
              <w:t xml:space="preserve">Īstenojot projektu, finansējuma saņēmējs nodrošina informācijas un publicitātes pasākumus, kas noteikti Eiropas Parlamenta un Padomes 2013.gada 17.decembra Regulā (ES) Nr.1303/2013, ar ko paredz kopīgus noteikumus par Eiropas Reģionālās attīstības fondu, </w:t>
            </w:r>
            <w:r w:rsidR="008829D4">
              <w:rPr>
                <w:rFonts w:ascii="Times New Roman" w:hAnsi="Times New Roman" w:cs="Times New Roman"/>
                <w:bCs/>
                <w:sz w:val="24"/>
                <w:szCs w:val="24"/>
                <w:lang w:eastAsia="lv-LV"/>
              </w:rPr>
              <w:t>ESF</w:t>
            </w:r>
            <w:r w:rsidRPr="00A76ADD">
              <w:rPr>
                <w:rFonts w:ascii="Times New Roman" w:hAnsi="Times New Roman" w:cs="Times New Roman"/>
                <w:bCs/>
                <w:sz w:val="24"/>
                <w:szCs w:val="24"/>
                <w:lang w:eastAsia="lv-LV"/>
              </w:rPr>
              <w:t xml:space="preserve">, Kohēzijas fondu, Eiropas Lauksaimniecības fondu lauku attīstībai un Eiropas Jūrlietu un zivsaimniecības fondu un vispārīgus noteikumus par Eiropas </w:t>
            </w:r>
            <w:r w:rsidRPr="00A76ADD">
              <w:rPr>
                <w:rFonts w:ascii="Times New Roman" w:hAnsi="Times New Roman" w:cs="Times New Roman"/>
                <w:bCs/>
                <w:sz w:val="24"/>
                <w:szCs w:val="24"/>
                <w:lang w:eastAsia="lv-LV"/>
              </w:rPr>
              <w:lastRenderedPageBreak/>
              <w:t>Reģionālās attīstības</w:t>
            </w:r>
            <w:r w:rsidR="002C1A63">
              <w:rPr>
                <w:rFonts w:ascii="Times New Roman" w:hAnsi="Times New Roman" w:cs="Times New Roman"/>
                <w:bCs/>
                <w:sz w:val="24"/>
                <w:szCs w:val="24"/>
                <w:lang w:eastAsia="lv-LV"/>
              </w:rPr>
              <w:t xml:space="preserve"> fondu, </w:t>
            </w:r>
            <w:r w:rsidR="008829D4">
              <w:rPr>
                <w:rFonts w:ascii="Times New Roman" w:hAnsi="Times New Roman" w:cs="Times New Roman"/>
                <w:bCs/>
                <w:sz w:val="24"/>
                <w:szCs w:val="24"/>
                <w:lang w:eastAsia="lv-LV"/>
              </w:rPr>
              <w:t>ESF</w:t>
            </w:r>
            <w:r w:rsidR="002C1A63">
              <w:rPr>
                <w:rFonts w:ascii="Times New Roman" w:hAnsi="Times New Roman" w:cs="Times New Roman"/>
                <w:bCs/>
                <w:sz w:val="24"/>
                <w:szCs w:val="24"/>
                <w:lang w:eastAsia="lv-LV"/>
              </w:rPr>
              <w:t xml:space="preserve">, </w:t>
            </w:r>
            <w:r w:rsidRPr="00A76ADD">
              <w:rPr>
                <w:rFonts w:ascii="Times New Roman" w:hAnsi="Times New Roman" w:cs="Times New Roman"/>
                <w:bCs/>
                <w:sz w:val="24"/>
                <w:szCs w:val="24"/>
                <w:lang w:eastAsia="lv-LV"/>
              </w:rPr>
              <w:t xml:space="preserve">Kohēzijas fondu un Eiropas Jūrlietu un zivsaimniecības fondu un atceļ Padomes Regulu (EK) Nr.1083/2006 prasību nodrošināšanu, un normatīvajos aktos par </w:t>
            </w:r>
            <w:r w:rsidR="008829D4">
              <w:rPr>
                <w:rFonts w:ascii="Times New Roman" w:hAnsi="Times New Roman" w:cs="Times New Roman"/>
                <w:bCs/>
                <w:sz w:val="24"/>
                <w:szCs w:val="24"/>
                <w:lang w:eastAsia="lv-LV"/>
              </w:rPr>
              <w:t>ES</w:t>
            </w:r>
            <w:r w:rsidRPr="00A76ADD">
              <w:rPr>
                <w:rFonts w:ascii="Times New Roman" w:hAnsi="Times New Roman" w:cs="Times New Roman"/>
                <w:bCs/>
                <w:sz w:val="24"/>
                <w:szCs w:val="24"/>
                <w:lang w:eastAsia="lv-LV"/>
              </w:rPr>
              <w:t xml:space="preserve"> fondu publicitātes un vizuālās identitātes prasību nodrošināšanu</w:t>
            </w:r>
            <w:r w:rsidR="000D655A">
              <w:rPr>
                <w:rFonts w:ascii="Times New Roman" w:hAnsi="Times New Roman" w:cs="Times New Roman"/>
                <w:bCs/>
                <w:sz w:val="24"/>
                <w:szCs w:val="24"/>
                <w:lang w:eastAsia="lv-LV"/>
              </w:rPr>
              <w:t>.</w:t>
            </w:r>
          </w:p>
        </w:tc>
      </w:tr>
      <w:tr w:rsidR="00CC1A56" w:rsidRPr="00A76ADD" w14:paraId="6BD80B7C" w14:textId="77777777" w:rsidTr="0089655E">
        <w:trPr>
          <w:trHeight w:val="339"/>
          <w:jc w:val="center"/>
        </w:trPr>
        <w:tc>
          <w:tcPr>
            <w:tcW w:w="562" w:type="dxa"/>
          </w:tcPr>
          <w:p w14:paraId="71D21C6B" w14:textId="77777777" w:rsidR="00CC1A56" w:rsidRPr="00A76ADD" w:rsidRDefault="00CC1A56" w:rsidP="0089655E">
            <w:pPr>
              <w:spacing w:after="0" w:line="240" w:lineRule="auto"/>
              <w:ind w:left="57" w:right="57"/>
              <w:jc w:val="both"/>
              <w:rPr>
                <w:rFonts w:ascii="Times New Roman" w:hAnsi="Times New Roman" w:cs="Times New Roman"/>
                <w:bCs/>
                <w:sz w:val="24"/>
                <w:szCs w:val="24"/>
              </w:rPr>
            </w:pPr>
            <w:r w:rsidRPr="00A76ADD">
              <w:rPr>
                <w:rFonts w:ascii="Times New Roman" w:hAnsi="Times New Roman" w:cs="Times New Roman"/>
                <w:bCs/>
                <w:sz w:val="24"/>
                <w:szCs w:val="24"/>
              </w:rPr>
              <w:lastRenderedPageBreak/>
              <w:t>2.</w:t>
            </w:r>
          </w:p>
        </w:tc>
        <w:tc>
          <w:tcPr>
            <w:tcW w:w="2835" w:type="dxa"/>
          </w:tcPr>
          <w:p w14:paraId="24992378" w14:textId="77777777" w:rsidR="00CC1A56" w:rsidRPr="00A76ADD" w:rsidRDefault="00CC1A56" w:rsidP="0089655E">
            <w:pPr>
              <w:spacing w:after="0" w:line="240" w:lineRule="auto"/>
              <w:ind w:left="57" w:right="57"/>
              <w:rPr>
                <w:rFonts w:ascii="Times New Roman" w:hAnsi="Times New Roman" w:cs="Times New Roman"/>
                <w:sz w:val="24"/>
                <w:szCs w:val="24"/>
                <w:lang w:eastAsia="lv-LV"/>
              </w:rPr>
            </w:pPr>
            <w:r w:rsidRPr="00A76ADD">
              <w:rPr>
                <w:rFonts w:ascii="Times New Roman" w:hAnsi="Times New Roman" w:cs="Times New Roman"/>
                <w:sz w:val="24"/>
                <w:szCs w:val="24"/>
                <w:lang w:eastAsia="lv-LV"/>
              </w:rPr>
              <w:t>Sabiedrības līdzdalība projekta izstrādē</w:t>
            </w:r>
          </w:p>
        </w:tc>
        <w:tc>
          <w:tcPr>
            <w:tcW w:w="6237" w:type="dxa"/>
          </w:tcPr>
          <w:p w14:paraId="46E6E8D3" w14:textId="16FEA28F" w:rsidR="00F91BD8" w:rsidRPr="00F91BD8" w:rsidRDefault="00F91BD8" w:rsidP="00F91BD8">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sidRPr="00F91BD8">
              <w:rPr>
                <w:rFonts w:ascii="Times New Roman" w:hAnsi="Times New Roman" w:cs="Times New Roman"/>
                <w:bCs/>
                <w:sz w:val="24"/>
                <w:szCs w:val="24"/>
                <w:lang w:eastAsia="lv-LV"/>
              </w:rPr>
              <w:t xml:space="preserve">Sabiedrības līdzdalība MK projekta izstrādē tika nodrošināta, ievietojot MK noteikumu projektu tīmekļa vietnē </w:t>
            </w:r>
            <w:hyperlink r:id="rId11" w:history="1">
              <w:r w:rsidRPr="00F91BD8">
                <w:rPr>
                  <w:rFonts w:ascii="Times New Roman" w:hAnsi="Times New Roman" w:cs="Times New Roman"/>
                  <w:bCs/>
                  <w:sz w:val="24"/>
                  <w:szCs w:val="24"/>
                  <w:u w:val="single"/>
                  <w:lang w:eastAsia="lv-LV"/>
                </w:rPr>
                <w:t>www.lm.gov.lv</w:t>
              </w:r>
            </w:hyperlink>
            <w:r w:rsidRPr="00F91BD8">
              <w:rPr>
                <w:rFonts w:ascii="Times New Roman" w:hAnsi="Times New Roman" w:cs="Times New Roman"/>
                <w:bCs/>
                <w:sz w:val="24"/>
                <w:szCs w:val="24"/>
                <w:lang w:eastAsia="lv-LV"/>
              </w:rPr>
              <w:t xml:space="preserve"> un aicinot sabiedrības pārstāvjus:</w:t>
            </w:r>
          </w:p>
          <w:p w14:paraId="3C58413F" w14:textId="6FF081C7" w:rsidR="00F91BD8" w:rsidRPr="00F91BD8" w:rsidRDefault="00F91BD8" w:rsidP="00F91BD8">
            <w:pPr>
              <w:shd w:val="clear" w:color="auto" w:fill="FFFFFF"/>
              <w:spacing w:after="0" w:line="240" w:lineRule="auto"/>
              <w:ind w:left="57" w:right="113"/>
              <w:jc w:val="both"/>
              <w:rPr>
                <w:rFonts w:ascii="Times New Roman" w:hAnsi="Times New Roman" w:cs="Times New Roman"/>
                <w:bCs/>
                <w:sz w:val="24"/>
                <w:szCs w:val="24"/>
                <w:lang w:eastAsia="lv-LV"/>
              </w:rPr>
            </w:pPr>
            <w:r w:rsidRPr="00F91BD8">
              <w:rPr>
                <w:rFonts w:ascii="Times New Roman" w:hAnsi="Times New Roman" w:cs="Times New Roman"/>
                <w:bCs/>
                <w:sz w:val="24"/>
                <w:szCs w:val="24"/>
                <w:lang w:eastAsia="lv-LV"/>
              </w:rPr>
              <w:t>1) rakstiski snie</w:t>
            </w:r>
            <w:r w:rsidR="00EA55C8">
              <w:rPr>
                <w:rFonts w:ascii="Times New Roman" w:hAnsi="Times New Roman" w:cs="Times New Roman"/>
                <w:bCs/>
                <w:sz w:val="24"/>
                <w:szCs w:val="24"/>
                <w:lang w:eastAsia="lv-LV"/>
              </w:rPr>
              <w:t>g</w:t>
            </w:r>
            <w:r w:rsidRPr="00F91BD8">
              <w:rPr>
                <w:rFonts w:ascii="Times New Roman" w:hAnsi="Times New Roman" w:cs="Times New Roman"/>
                <w:bCs/>
                <w:sz w:val="24"/>
                <w:szCs w:val="24"/>
                <w:lang w:eastAsia="lv-LV"/>
              </w:rPr>
              <w:t xml:space="preserve">t viedokli par MK projektu tā izstrādes stadijā – nosūtot elektroniski uz e-pastu: </w:t>
            </w:r>
            <w:hyperlink r:id="rId12" w:history="1">
              <w:r w:rsidRPr="00F91BD8">
                <w:rPr>
                  <w:rFonts w:ascii="Times New Roman" w:hAnsi="Times New Roman" w:cs="Times New Roman"/>
                  <w:bCs/>
                  <w:sz w:val="24"/>
                  <w:szCs w:val="24"/>
                  <w:u w:val="single"/>
                  <w:lang w:eastAsia="lv-LV"/>
                </w:rPr>
                <w:t>atbildiga.iestade@lm.gov.lv</w:t>
              </w:r>
            </w:hyperlink>
            <w:r w:rsidRPr="00F91BD8">
              <w:rPr>
                <w:rFonts w:ascii="Times New Roman" w:hAnsi="Times New Roman" w:cs="Times New Roman"/>
                <w:bCs/>
                <w:sz w:val="24"/>
                <w:szCs w:val="24"/>
                <w:lang w:eastAsia="lv-LV"/>
              </w:rPr>
              <w:t xml:space="preserve">, </w:t>
            </w:r>
          </w:p>
          <w:p w14:paraId="47B9B0EF" w14:textId="04546AB0" w:rsidR="00F91BD8" w:rsidRPr="00F91BD8" w:rsidRDefault="00F91BD8" w:rsidP="00F91BD8">
            <w:pPr>
              <w:shd w:val="clear" w:color="auto" w:fill="FFFFFF"/>
              <w:spacing w:after="0" w:line="240" w:lineRule="auto"/>
              <w:ind w:left="57" w:right="113"/>
              <w:jc w:val="both"/>
              <w:rPr>
                <w:rFonts w:ascii="Times New Roman" w:hAnsi="Times New Roman" w:cs="Times New Roman"/>
                <w:bCs/>
                <w:sz w:val="24"/>
                <w:szCs w:val="24"/>
                <w:lang w:eastAsia="lv-LV"/>
              </w:rPr>
            </w:pPr>
            <w:r w:rsidRPr="00F91BD8">
              <w:rPr>
                <w:rFonts w:ascii="Times New Roman" w:hAnsi="Times New Roman" w:cs="Times New Roman"/>
                <w:bCs/>
                <w:sz w:val="24"/>
                <w:szCs w:val="24"/>
                <w:lang w:eastAsia="lv-LV"/>
              </w:rPr>
              <w:t xml:space="preserve">2) sagatavot atzinumu par MK projektu pēc tā izsludināšanas Valsts sekretāru sanāksmē, </w:t>
            </w:r>
          </w:p>
          <w:p w14:paraId="38238731" w14:textId="77777777" w:rsidR="00CC1A56" w:rsidRDefault="00F91BD8" w:rsidP="00F91BD8">
            <w:pPr>
              <w:shd w:val="clear" w:color="auto" w:fill="FFFFFF"/>
              <w:spacing w:after="0" w:line="240" w:lineRule="auto"/>
              <w:ind w:left="57" w:right="113"/>
              <w:jc w:val="both"/>
              <w:rPr>
                <w:rFonts w:ascii="Times New Roman" w:hAnsi="Times New Roman" w:cs="Times New Roman"/>
                <w:bCs/>
                <w:sz w:val="24"/>
                <w:szCs w:val="24"/>
                <w:lang w:eastAsia="lv-LV"/>
              </w:rPr>
            </w:pPr>
            <w:r w:rsidRPr="00F91BD8">
              <w:rPr>
                <w:rFonts w:ascii="Times New Roman" w:hAnsi="Times New Roman" w:cs="Times New Roman"/>
                <w:bCs/>
                <w:sz w:val="24"/>
                <w:szCs w:val="24"/>
                <w:lang w:eastAsia="lv-LV"/>
              </w:rPr>
              <w:t xml:space="preserve">3) </w:t>
            </w:r>
            <w:r w:rsidR="00EA55C8">
              <w:rPr>
                <w:rFonts w:ascii="Times New Roman" w:hAnsi="Times New Roman" w:cs="Times New Roman"/>
                <w:bCs/>
                <w:sz w:val="24"/>
                <w:szCs w:val="24"/>
                <w:lang w:eastAsia="lv-LV"/>
              </w:rPr>
              <w:t xml:space="preserve">sniegt viedokli </w:t>
            </w:r>
            <w:r w:rsidRPr="00F91BD8">
              <w:rPr>
                <w:rFonts w:ascii="Times New Roman" w:hAnsi="Times New Roman" w:cs="Times New Roman"/>
                <w:bCs/>
                <w:sz w:val="24"/>
                <w:szCs w:val="24"/>
                <w:lang w:eastAsia="lv-LV"/>
              </w:rPr>
              <w:t>klātienē.</w:t>
            </w:r>
          </w:p>
          <w:p w14:paraId="21F269F8" w14:textId="354486A7" w:rsidR="00475EDD" w:rsidRPr="00A76ADD" w:rsidRDefault="00475EDD" w:rsidP="00475EDD">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bCs/>
                <w:sz w:val="24"/>
                <w:szCs w:val="24"/>
                <w:lang w:eastAsia="lv-LV"/>
              </w:rPr>
              <w:t>S</w:t>
            </w:r>
            <w:r w:rsidRPr="00475EDD">
              <w:rPr>
                <w:rFonts w:ascii="Times New Roman" w:hAnsi="Times New Roman" w:cs="Times New Roman"/>
                <w:bCs/>
                <w:sz w:val="24"/>
                <w:szCs w:val="24"/>
                <w:lang w:eastAsia="lv-LV"/>
              </w:rPr>
              <w:t>abiedrības līdzdalība tika nodrošināta arī 2014.–2020.gada plānošanas perioda Eiropas Savienības struktūrfondu un Kohēzijas fonda nodarbinātības un darbaspēka mobilitātes prioritārā virziena pagaidu apakškomitejas 2014.gada 30.oktobra sēdē.</w:t>
            </w:r>
          </w:p>
        </w:tc>
      </w:tr>
      <w:tr w:rsidR="00CC1A56" w:rsidRPr="00A76ADD" w14:paraId="6301ACB1" w14:textId="77777777" w:rsidTr="0089655E">
        <w:trPr>
          <w:trHeight w:val="476"/>
          <w:jc w:val="center"/>
        </w:trPr>
        <w:tc>
          <w:tcPr>
            <w:tcW w:w="562" w:type="dxa"/>
          </w:tcPr>
          <w:p w14:paraId="5A3D7D52" w14:textId="237EC284" w:rsidR="00CC1A56" w:rsidRPr="00A76ADD" w:rsidRDefault="00CC1A56" w:rsidP="0089655E">
            <w:pPr>
              <w:spacing w:after="0" w:line="240" w:lineRule="auto"/>
              <w:ind w:left="57" w:right="57"/>
              <w:jc w:val="both"/>
              <w:rPr>
                <w:rFonts w:ascii="Times New Roman" w:hAnsi="Times New Roman" w:cs="Times New Roman"/>
                <w:bCs/>
                <w:sz w:val="24"/>
                <w:szCs w:val="24"/>
              </w:rPr>
            </w:pPr>
            <w:r w:rsidRPr="00A76ADD">
              <w:rPr>
                <w:rFonts w:ascii="Times New Roman" w:hAnsi="Times New Roman" w:cs="Times New Roman"/>
                <w:bCs/>
                <w:sz w:val="24"/>
                <w:szCs w:val="24"/>
              </w:rPr>
              <w:t>3.</w:t>
            </w:r>
          </w:p>
        </w:tc>
        <w:tc>
          <w:tcPr>
            <w:tcW w:w="2835" w:type="dxa"/>
          </w:tcPr>
          <w:p w14:paraId="03FD9493" w14:textId="77777777" w:rsidR="00CC1A56" w:rsidRPr="00A76ADD" w:rsidRDefault="00CC1A56" w:rsidP="0089655E">
            <w:pPr>
              <w:spacing w:after="0" w:line="240" w:lineRule="auto"/>
              <w:ind w:left="57" w:right="57"/>
              <w:rPr>
                <w:rFonts w:ascii="Times New Roman" w:hAnsi="Times New Roman" w:cs="Times New Roman"/>
                <w:sz w:val="24"/>
                <w:szCs w:val="24"/>
                <w:lang w:eastAsia="lv-LV"/>
              </w:rPr>
            </w:pPr>
            <w:r w:rsidRPr="00A76ADD">
              <w:rPr>
                <w:rFonts w:ascii="Times New Roman" w:hAnsi="Times New Roman" w:cs="Times New Roman"/>
                <w:sz w:val="24"/>
                <w:szCs w:val="24"/>
                <w:lang w:eastAsia="lv-LV"/>
              </w:rPr>
              <w:t>Sabiedrības līdzdalības rezultāti</w:t>
            </w:r>
          </w:p>
        </w:tc>
        <w:tc>
          <w:tcPr>
            <w:tcW w:w="6237" w:type="dxa"/>
          </w:tcPr>
          <w:p w14:paraId="32398074" w14:textId="37B4EE33" w:rsidR="00CC1A56" w:rsidRPr="00A76ADD" w:rsidRDefault="00674496" w:rsidP="0089655E">
            <w:pPr>
              <w:shd w:val="clear" w:color="auto" w:fill="FFFFFF"/>
              <w:spacing w:after="0" w:line="240" w:lineRule="auto"/>
              <w:ind w:left="57" w:right="113"/>
              <w:jc w:val="both"/>
              <w:rPr>
                <w:rFonts w:ascii="Times New Roman" w:hAnsi="Times New Roman" w:cs="Times New Roman"/>
                <w:sz w:val="24"/>
                <w:szCs w:val="24"/>
                <w:lang w:eastAsia="lv-LV"/>
              </w:rPr>
            </w:pPr>
            <w:r w:rsidRPr="00674496">
              <w:rPr>
                <w:rFonts w:ascii="Times New Roman" w:hAnsi="Times New Roman" w:cs="Times New Roman"/>
                <w:sz w:val="24"/>
                <w:szCs w:val="24"/>
                <w:lang w:eastAsia="lv-LV"/>
              </w:rPr>
              <w:t>Sabiedrības līdzdalības rezultātā ir izstrādāts šis noteikumu projekts, kura atbalstāmās darbības ir maksimāli mērķētas uz sabiedrību un tā</w:t>
            </w:r>
            <w:r>
              <w:rPr>
                <w:rFonts w:ascii="Times New Roman" w:hAnsi="Times New Roman" w:cs="Times New Roman"/>
                <w:sz w:val="24"/>
                <w:szCs w:val="24"/>
                <w:lang w:eastAsia="lv-LV"/>
              </w:rPr>
              <w:t>s</w:t>
            </w:r>
            <w:r w:rsidRPr="00674496">
              <w:rPr>
                <w:rFonts w:ascii="Times New Roman" w:hAnsi="Times New Roman" w:cs="Times New Roman"/>
                <w:sz w:val="24"/>
                <w:szCs w:val="24"/>
                <w:lang w:eastAsia="lv-LV"/>
              </w:rPr>
              <w:t xml:space="preserve"> interesēm.</w:t>
            </w:r>
          </w:p>
        </w:tc>
      </w:tr>
      <w:tr w:rsidR="00CC1A56" w:rsidRPr="00A76ADD" w14:paraId="64152457" w14:textId="77777777" w:rsidTr="0089655E">
        <w:trPr>
          <w:trHeight w:val="476"/>
          <w:jc w:val="center"/>
        </w:trPr>
        <w:tc>
          <w:tcPr>
            <w:tcW w:w="562" w:type="dxa"/>
          </w:tcPr>
          <w:p w14:paraId="524AF83D" w14:textId="77777777" w:rsidR="00CC1A56" w:rsidRPr="00A76ADD" w:rsidRDefault="00CC1A56" w:rsidP="0089655E">
            <w:pPr>
              <w:spacing w:after="0" w:line="240" w:lineRule="auto"/>
              <w:ind w:left="57" w:right="57"/>
              <w:jc w:val="both"/>
              <w:rPr>
                <w:rFonts w:ascii="Times New Roman" w:hAnsi="Times New Roman" w:cs="Times New Roman"/>
                <w:bCs/>
                <w:sz w:val="24"/>
                <w:szCs w:val="24"/>
              </w:rPr>
            </w:pPr>
            <w:r w:rsidRPr="00A76ADD">
              <w:rPr>
                <w:rFonts w:ascii="Times New Roman" w:hAnsi="Times New Roman" w:cs="Times New Roman"/>
                <w:bCs/>
                <w:sz w:val="24"/>
                <w:szCs w:val="24"/>
              </w:rPr>
              <w:t>4.</w:t>
            </w:r>
          </w:p>
        </w:tc>
        <w:tc>
          <w:tcPr>
            <w:tcW w:w="2835" w:type="dxa"/>
          </w:tcPr>
          <w:p w14:paraId="21221241" w14:textId="77777777" w:rsidR="00CC1A56" w:rsidRPr="00A76ADD" w:rsidRDefault="00CC1A56" w:rsidP="0089655E">
            <w:pPr>
              <w:spacing w:after="0" w:line="240" w:lineRule="auto"/>
              <w:ind w:left="57" w:right="57"/>
              <w:rPr>
                <w:rFonts w:ascii="Times New Roman" w:hAnsi="Times New Roman" w:cs="Times New Roman"/>
                <w:sz w:val="24"/>
                <w:szCs w:val="24"/>
                <w:lang w:eastAsia="lv-LV"/>
              </w:rPr>
            </w:pPr>
            <w:r w:rsidRPr="00A76ADD">
              <w:rPr>
                <w:rFonts w:ascii="Times New Roman" w:hAnsi="Times New Roman" w:cs="Times New Roman"/>
                <w:sz w:val="24"/>
                <w:szCs w:val="24"/>
                <w:lang w:eastAsia="lv-LV"/>
              </w:rPr>
              <w:t>Cita informācija</w:t>
            </w:r>
          </w:p>
        </w:tc>
        <w:tc>
          <w:tcPr>
            <w:tcW w:w="6237" w:type="dxa"/>
          </w:tcPr>
          <w:p w14:paraId="33231624" w14:textId="77777777" w:rsidR="00CC1A56" w:rsidRPr="00A76ADD" w:rsidRDefault="00514DDD" w:rsidP="0089655E">
            <w:pPr>
              <w:spacing w:after="0" w:line="240" w:lineRule="auto"/>
              <w:ind w:left="57" w:right="113"/>
              <w:jc w:val="both"/>
              <w:rPr>
                <w:rFonts w:ascii="Times New Roman" w:hAnsi="Times New Roman" w:cs="Times New Roman"/>
                <w:sz w:val="24"/>
                <w:szCs w:val="24"/>
                <w:lang w:eastAsia="lv-LV"/>
              </w:rPr>
            </w:pPr>
            <w:r w:rsidRPr="00A76ADD">
              <w:rPr>
                <w:rFonts w:ascii="Times New Roman" w:hAnsi="Times New Roman" w:cs="Times New Roman"/>
                <w:sz w:val="24"/>
                <w:szCs w:val="24"/>
              </w:rPr>
              <w:t>Nav.</w:t>
            </w:r>
          </w:p>
        </w:tc>
      </w:tr>
    </w:tbl>
    <w:p w14:paraId="006BB060" w14:textId="77777777" w:rsidR="00F21E42" w:rsidRPr="00A76ADD" w:rsidRDefault="00F21E42" w:rsidP="0089655E">
      <w:pPr>
        <w:spacing w:after="0" w:line="240" w:lineRule="auto"/>
        <w:rPr>
          <w:rFonts w:ascii="Times New Roman" w:hAnsi="Times New Roman" w:cs="Times New Roman"/>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268"/>
      </w:tblGrid>
      <w:tr w:rsidR="00CC1A56" w:rsidRPr="00A76ADD" w14:paraId="621941AE" w14:textId="77777777" w:rsidTr="0089655E">
        <w:trPr>
          <w:trHeight w:val="381"/>
          <w:jc w:val="center"/>
        </w:trPr>
        <w:tc>
          <w:tcPr>
            <w:tcW w:w="9665" w:type="dxa"/>
            <w:gridSpan w:val="3"/>
            <w:vAlign w:val="center"/>
          </w:tcPr>
          <w:p w14:paraId="5898343F" w14:textId="049142DD" w:rsidR="00CC1A56" w:rsidRPr="00A76ADD" w:rsidRDefault="002F7324" w:rsidP="0089655E">
            <w:pPr>
              <w:pStyle w:val="naisnod"/>
              <w:spacing w:before="0" w:beforeAutospacing="0" w:after="0" w:afterAutospacing="0"/>
              <w:ind w:left="57" w:right="57"/>
              <w:jc w:val="center"/>
            </w:pPr>
            <w:r w:rsidRPr="00A76ADD">
              <w:rPr>
                <w:b/>
              </w:rPr>
              <w:t>V</w:t>
            </w:r>
            <w:r w:rsidR="008D0993" w:rsidRPr="00A76ADD">
              <w:rPr>
                <w:b/>
              </w:rPr>
              <w:t>II</w:t>
            </w:r>
            <w:r w:rsidR="00CC1A56" w:rsidRPr="00A76ADD">
              <w:rPr>
                <w:b/>
              </w:rPr>
              <w:t>. Tiesību akta projekta izpildes nodrošināšana un tās ietekme uz institūcijām</w:t>
            </w:r>
          </w:p>
        </w:tc>
      </w:tr>
      <w:tr w:rsidR="00CC1A56" w:rsidRPr="00A76ADD" w14:paraId="09EAE2BA" w14:textId="77777777" w:rsidTr="0089655E">
        <w:trPr>
          <w:trHeight w:val="427"/>
          <w:jc w:val="center"/>
        </w:trPr>
        <w:tc>
          <w:tcPr>
            <w:tcW w:w="584" w:type="dxa"/>
          </w:tcPr>
          <w:p w14:paraId="7DF9A685" w14:textId="77777777" w:rsidR="00CC1A56" w:rsidRPr="00A76ADD" w:rsidRDefault="00CC1A56" w:rsidP="0089655E">
            <w:pPr>
              <w:pStyle w:val="naisnod"/>
              <w:spacing w:before="0" w:beforeAutospacing="0" w:after="0" w:afterAutospacing="0"/>
              <w:ind w:left="57" w:right="57"/>
              <w:jc w:val="both"/>
            </w:pPr>
            <w:r w:rsidRPr="00A76ADD">
              <w:t>1.</w:t>
            </w:r>
          </w:p>
        </w:tc>
        <w:tc>
          <w:tcPr>
            <w:tcW w:w="2813" w:type="dxa"/>
          </w:tcPr>
          <w:p w14:paraId="6D763540" w14:textId="77777777" w:rsidR="00CC1A56" w:rsidRPr="00A76ADD" w:rsidRDefault="00CC1A56" w:rsidP="0089655E">
            <w:pPr>
              <w:pStyle w:val="naisf"/>
              <w:spacing w:before="0" w:beforeAutospacing="0" w:after="0" w:afterAutospacing="0"/>
              <w:ind w:left="57" w:right="57"/>
            </w:pPr>
            <w:r w:rsidRPr="00A76ADD">
              <w:t>Projekta izpildē iesaistītās institūcijas</w:t>
            </w:r>
          </w:p>
        </w:tc>
        <w:tc>
          <w:tcPr>
            <w:tcW w:w="6268" w:type="dxa"/>
          </w:tcPr>
          <w:p w14:paraId="6AE5B8AE" w14:textId="25685846" w:rsidR="00CC1A56" w:rsidRPr="00A76ADD" w:rsidRDefault="00674496" w:rsidP="00536377">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A578DC">
              <w:rPr>
                <w:rFonts w:ascii="Times New Roman" w:hAnsi="Times New Roman" w:cs="Times New Roman"/>
                <w:sz w:val="24"/>
                <w:szCs w:val="24"/>
              </w:rPr>
              <w:t>Labklājības ministrija</w:t>
            </w:r>
            <w:r>
              <w:rPr>
                <w:rFonts w:ascii="Times New Roman" w:hAnsi="Times New Roman" w:cs="Times New Roman"/>
                <w:sz w:val="24"/>
                <w:szCs w:val="24"/>
              </w:rPr>
              <w:t xml:space="preserve"> kā </w:t>
            </w:r>
            <w:r w:rsidR="00A578DC" w:rsidRPr="00A578DC">
              <w:rPr>
                <w:rFonts w:ascii="Times New Roman" w:hAnsi="Times New Roman" w:cs="Times New Roman"/>
                <w:sz w:val="24"/>
                <w:szCs w:val="24"/>
              </w:rPr>
              <w:t>atbildīgā iestāde</w:t>
            </w:r>
            <w:r w:rsidR="00F21C20" w:rsidRPr="00A76ADD">
              <w:rPr>
                <w:rFonts w:ascii="Times New Roman" w:hAnsi="Times New Roman" w:cs="Times New Roman"/>
                <w:sz w:val="24"/>
                <w:szCs w:val="24"/>
              </w:rPr>
              <w:t xml:space="preserve">, </w:t>
            </w:r>
            <w:r w:rsidR="00475EDD">
              <w:rPr>
                <w:rFonts w:ascii="Times New Roman" w:hAnsi="Times New Roman" w:cs="Times New Roman"/>
                <w:sz w:val="24"/>
                <w:szCs w:val="24"/>
              </w:rPr>
              <w:t xml:space="preserve">Centrālā finanšu un līgumu aģentūra kā sadarbības iestāde un </w:t>
            </w:r>
            <w:r w:rsidR="0050490E">
              <w:rPr>
                <w:rFonts w:ascii="Times New Roman" w:hAnsi="Times New Roman" w:cs="Times New Roman"/>
                <w:sz w:val="24"/>
                <w:szCs w:val="24"/>
              </w:rPr>
              <w:t>NVA</w:t>
            </w:r>
            <w:r w:rsidR="00F21C20" w:rsidRPr="00A76ADD">
              <w:rPr>
                <w:rFonts w:ascii="Times New Roman" w:hAnsi="Times New Roman" w:cs="Times New Roman"/>
                <w:sz w:val="24"/>
                <w:szCs w:val="24"/>
              </w:rPr>
              <w:t xml:space="preserve"> kā </w:t>
            </w:r>
            <w:r w:rsidR="008829D4">
              <w:rPr>
                <w:rFonts w:ascii="Times New Roman" w:hAnsi="Times New Roman" w:cs="Times New Roman"/>
                <w:sz w:val="24"/>
                <w:szCs w:val="24"/>
              </w:rPr>
              <w:t>ES</w:t>
            </w:r>
            <w:r w:rsidR="00F21C20" w:rsidRPr="00A76ADD">
              <w:rPr>
                <w:rFonts w:ascii="Times New Roman" w:hAnsi="Times New Roman" w:cs="Times New Roman"/>
                <w:sz w:val="24"/>
                <w:szCs w:val="24"/>
              </w:rPr>
              <w:t xml:space="preserve"> fondu finansējuma saņēmējs.</w:t>
            </w:r>
          </w:p>
        </w:tc>
      </w:tr>
      <w:tr w:rsidR="00CC1A56" w:rsidRPr="00A76ADD" w14:paraId="3510445C" w14:textId="77777777" w:rsidTr="0089655E">
        <w:trPr>
          <w:trHeight w:val="463"/>
          <w:jc w:val="center"/>
        </w:trPr>
        <w:tc>
          <w:tcPr>
            <w:tcW w:w="584" w:type="dxa"/>
          </w:tcPr>
          <w:p w14:paraId="1308A242" w14:textId="77777777" w:rsidR="00CC1A56" w:rsidRPr="00A76ADD" w:rsidRDefault="00CC1A56" w:rsidP="0089655E">
            <w:pPr>
              <w:pStyle w:val="naisnod"/>
              <w:spacing w:before="0" w:beforeAutospacing="0" w:after="0" w:afterAutospacing="0"/>
              <w:ind w:left="57" w:right="57"/>
              <w:jc w:val="both"/>
            </w:pPr>
            <w:r w:rsidRPr="00A76ADD">
              <w:t>2.</w:t>
            </w:r>
          </w:p>
        </w:tc>
        <w:tc>
          <w:tcPr>
            <w:tcW w:w="2813" w:type="dxa"/>
          </w:tcPr>
          <w:p w14:paraId="4D4589A7" w14:textId="77777777" w:rsidR="00CC1A56" w:rsidRPr="00A76ADD" w:rsidRDefault="00CC1A56" w:rsidP="0089655E">
            <w:pPr>
              <w:pStyle w:val="naisf"/>
              <w:spacing w:before="0" w:beforeAutospacing="0" w:after="0" w:afterAutospacing="0"/>
              <w:ind w:left="57" w:right="57"/>
            </w:pPr>
            <w:r w:rsidRPr="00A76ADD">
              <w:t>Projekta izpildes ietekme uz pār</w:t>
            </w:r>
            <w:r w:rsidRPr="00A76ADD">
              <w:softHyphen/>
              <w:t>valdes funkcijām un institucionālo struktūru.</w:t>
            </w:r>
          </w:p>
          <w:p w14:paraId="7FBEB709" w14:textId="77777777" w:rsidR="00CC1A56" w:rsidRPr="00A76ADD" w:rsidRDefault="00CC1A56" w:rsidP="0089655E">
            <w:pPr>
              <w:pStyle w:val="naisf"/>
              <w:spacing w:before="0" w:beforeAutospacing="0" w:after="0" w:afterAutospacing="0"/>
              <w:ind w:left="57" w:right="57"/>
            </w:pPr>
            <w:r w:rsidRPr="00A76ADD">
              <w:t>Jaunu institūciju izveide, esošu institūciju likvidācija vai reorga</w:t>
            </w:r>
            <w:r w:rsidRPr="00A76ADD">
              <w:softHyphen/>
              <w:t>nizācija, to ietekme uz institūcijas cilvēkresursiem</w:t>
            </w:r>
          </w:p>
        </w:tc>
        <w:tc>
          <w:tcPr>
            <w:tcW w:w="6268" w:type="dxa"/>
          </w:tcPr>
          <w:p w14:paraId="5280DFA3" w14:textId="77777777" w:rsidR="00CC1A56" w:rsidRPr="00A76ADD" w:rsidRDefault="00232033" w:rsidP="0089655E">
            <w:pPr>
              <w:shd w:val="clear" w:color="auto" w:fill="FFFFFF"/>
              <w:spacing w:after="0" w:line="240" w:lineRule="auto"/>
              <w:ind w:left="57" w:right="113"/>
              <w:jc w:val="both"/>
              <w:rPr>
                <w:rFonts w:ascii="Times New Roman" w:hAnsi="Times New Roman" w:cs="Times New Roman"/>
                <w:sz w:val="24"/>
                <w:szCs w:val="24"/>
                <w:lang w:eastAsia="lv-LV"/>
              </w:rPr>
            </w:pPr>
            <w:r w:rsidRPr="00A76ADD">
              <w:rPr>
                <w:rFonts w:ascii="Times New Roman" w:hAnsi="Times New Roman" w:cs="Times New Roman"/>
                <w:sz w:val="24"/>
                <w:szCs w:val="24"/>
              </w:rPr>
              <w:t xml:space="preserve">MK </w:t>
            </w:r>
            <w:r w:rsidR="00B10319" w:rsidRPr="00A76ADD">
              <w:rPr>
                <w:rFonts w:ascii="Times New Roman" w:hAnsi="Times New Roman" w:cs="Times New Roman"/>
                <w:sz w:val="24"/>
                <w:szCs w:val="24"/>
              </w:rPr>
              <w:t>noteikumu</w:t>
            </w:r>
            <w:r w:rsidRPr="00A76ADD">
              <w:rPr>
                <w:rFonts w:ascii="Times New Roman" w:hAnsi="Times New Roman" w:cs="Times New Roman"/>
                <w:sz w:val="24"/>
                <w:szCs w:val="24"/>
              </w:rPr>
              <w:t xml:space="preserve"> projekts šo jomu neskar.</w:t>
            </w:r>
          </w:p>
        </w:tc>
      </w:tr>
      <w:tr w:rsidR="00CC1A56" w:rsidRPr="00A76ADD" w14:paraId="216C7616" w14:textId="77777777" w:rsidTr="0089655E">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4C1B5696" w14:textId="77777777" w:rsidR="00CC1A56" w:rsidRPr="00A76ADD" w:rsidRDefault="00CC1A56" w:rsidP="0089655E">
            <w:pPr>
              <w:pStyle w:val="naisnod"/>
              <w:spacing w:before="0" w:beforeAutospacing="0" w:after="0" w:afterAutospacing="0"/>
              <w:ind w:left="57" w:right="57"/>
              <w:jc w:val="both"/>
            </w:pPr>
            <w:r w:rsidRPr="00A76ADD">
              <w:t>3.</w:t>
            </w:r>
          </w:p>
        </w:tc>
        <w:tc>
          <w:tcPr>
            <w:tcW w:w="2813" w:type="dxa"/>
            <w:tcBorders>
              <w:top w:val="single" w:sz="4" w:space="0" w:color="auto"/>
              <w:left w:val="single" w:sz="4" w:space="0" w:color="auto"/>
              <w:bottom w:val="single" w:sz="4" w:space="0" w:color="auto"/>
              <w:right w:val="single" w:sz="4" w:space="0" w:color="auto"/>
            </w:tcBorders>
          </w:tcPr>
          <w:p w14:paraId="4FD5982D" w14:textId="77777777" w:rsidR="00CC1A56" w:rsidRPr="00A76ADD" w:rsidRDefault="00CC1A56" w:rsidP="0089655E">
            <w:pPr>
              <w:pStyle w:val="naisf"/>
              <w:spacing w:before="0" w:beforeAutospacing="0" w:after="0" w:afterAutospacing="0"/>
              <w:ind w:left="57" w:right="57"/>
            </w:pPr>
            <w:r w:rsidRPr="00A76ADD">
              <w:t>Cita informācija</w:t>
            </w:r>
          </w:p>
        </w:tc>
        <w:tc>
          <w:tcPr>
            <w:tcW w:w="6268" w:type="dxa"/>
            <w:tcBorders>
              <w:top w:val="single" w:sz="4" w:space="0" w:color="auto"/>
              <w:left w:val="single" w:sz="4" w:space="0" w:color="auto"/>
              <w:bottom w:val="single" w:sz="4" w:space="0" w:color="auto"/>
              <w:right w:val="single" w:sz="4" w:space="0" w:color="auto"/>
            </w:tcBorders>
          </w:tcPr>
          <w:p w14:paraId="503BCE76" w14:textId="77777777" w:rsidR="00CC1A56" w:rsidRPr="00A76ADD" w:rsidRDefault="00232033" w:rsidP="0089655E">
            <w:pPr>
              <w:spacing w:after="0" w:line="240" w:lineRule="auto"/>
              <w:ind w:left="57" w:right="57"/>
              <w:jc w:val="both"/>
              <w:rPr>
                <w:rFonts w:ascii="Times New Roman" w:hAnsi="Times New Roman" w:cs="Times New Roman"/>
                <w:sz w:val="24"/>
                <w:szCs w:val="24"/>
                <w:lang w:eastAsia="lv-LV"/>
              </w:rPr>
            </w:pPr>
            <w:r w:rsidRPr="00A76ADD">
              <w:rPr>
                <w:rFonts w:ascii="Times New Roman" w:hAnsi="Times New Roman" w:cs="Times New Roman"/>
                <w:sz w:val="24"/>
                <w:szCs w:val="24"/>
              </w:rPr>
              <w:t>Nav.</w:t>
            </w:r>
          </w:p>
        </w:tc>
      </w:tr>
    </w:tbl>
    <w:p w14:paraId="69776857" w14:textId="77777777" w:rsidR="00BE474B" w:rsidRPr="0050490E" w:rsidRDefault="00BE474B" w:rsidP="0089655E">
      <w:pPr>
        <w:spacing w:after="0" w:line="240" w:lineRule="auto"/>
        <w:rPr>
          <w:rFonts w:ascii="Times New Roman" w:hAnsi="Times New Roman" w:cs="Times New Roman"/>
          <w:sz w:val="24"/>
          <w:szCs w:val="24"/>
        </w:rPr>
      </w:pPr>
    </w:p>
    <w:p w14:paraId="40454B17" w14:textId="79F35A57" w:rsidR="00A2311F" w:rsidRPr="0050490E" w:rsidRDefault="00A2311F" w:rsidP="0089655E">
      <w:pPr>
        <w:spacing w:after="0" w:line="240" w:lineRule="auto"/>
        <w:jc w:val="both"/>
        <w:rPr>
          <w:rFonts w:ascii="Times New Roman" w:eastAsia="Times New Roman" w:hAnsi="Times New Roman" w:cs="Times New Roman"/>
          <w:sz w:val="24"/>
          <w:szCs w:val="24"/>
          <w:lang w:eastAsia="lv-LV"/>
        </w:rPr>
      </w:pPr>
      <w:r w:rsidRPr="0050490E">
        <w:rPr>
          <w:rFonts w:ascii="Times New Roman" w:eastAsia="Times New Roman" w:hAnsi="Times New Roman" w:cs="Times New Roman"/>
          <w:sz w:val="24"/>
          <w:szCs w:val="24"/>
          <w:lang w:eastAsia="lv-LV"/>
        </w:rPr>
        <w:t>Ministru prezidente</w:t>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0050490E">
        <w:rPr>
          <w:rFonts w:ascii="Times New Roman" w:eastAsia="Times New Roman" w:hAnsi="Times New Roman" w:cs="Times New Roman"/>
          <w:sz w:val="24"/>
          <w:szCs w:val="24"/>
          <w:lang w:eastAsia="lv-LV"/>
        </w:rPr>
        <w:tab/>
      </w:r>
      <w:r w:rsid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L.Straujuma</w:t>
      </w:r>
    </w:p>
    <w:p w14:paraId="68EC7897" w14:textId="77777777" w:rsidR="00752263" w:rsidRDefault="00752263" w:rsidP="0089655E">
      <w:pPr>
        <w:spacing w:after="0" w:line="240" w:lineRule="auto"/>
        <w:jc w:val="both"/>
        <w:rPr>
          <w:rFonts w:ascii="Times New Roman" w:eastAsia="Times New Roman" w:hAnsi="Times New Roman" w:cs="Times New Roman"/>
          <w:sz w:val="24"/>
          <w:szCs w:val="24"/>
          <w:lang w:eastAsia="lv-LV"/>
        </w:rPr>
      </w:pPr>
    </w:p>
    <w:p w14:paraId="768A8DE3" w14:textId="07DDAAE1" w:rsidR="00A2311F" w:rsidRPr="0050490E" w:rsidRDefault="00A2311F" w:rsidP="0089655E">
      <w:pPr>
        <w:spacing w:after="0" w:line="240" w:lineRule="auto"/>
        <w:jc w:val="both"/>
        <w:rPr>
          <w:rFonts w:ascii="Times New Roman" w:eastAsia="Times New Roman" w:hAnsi="Times New Roman" w:cs="Times New Roman"/>
          <w:sz w:val="24"/>
          <w:szCs w:val="24"/>
          <w:lang w:eastAsia="lv-LV"/>
        </w:rPr>
      </w:pPr>
      <w:r w:rsidRPr="0050490E">
        <w:rPr>
          <w:rFonts w:ascii="Times New Roman" w:eastAsia="Times New Roman" w:hAnsi="Times New Roman" w:cs="Times New Roman"/>
          <w:sz w:val="24"/>
          <w:szCs w:val="24"/>
          <w:lang w:eastAsia="lv-LV"/>
        </w:rPr>
        <w:t>Labklājības ministrs</w:t>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ab/>
      </w:r>
      <w:r w:rsidR="0050490E">
        <w:rPr>
          <w:rFonts w:ascii="Times New Roman" w:eastAsia="Times New Roman" w:hAnsi="Times New Roman" w:cs="Times New Roman"/>
          <w:sz w:val="24"/>
          <w:szCs w:val="24"/>
          <w:lang w:eastAsia="lv-LV"/>
        </w:rPr>
        <w:tab/>
      </w:r>
      <w:r w:rsidR="0050490E">
        <w:rPr>
          <w:rFonts w:ascii="Times New Roman" w:eastAsia="Times New Roman" w:hAnsi="Times New Roman" w:cs="Times New Roman"/>
          <w:sz w:val="24"/>
          <w:szCs w:val="24"/>
          <w:lang w:eastAsia="lv-LV"/>
        </w:rPr>
        <w:tab/>
      </w:r>
      <w:r w:rsidRPr="0050490E">
        <w:rPr>
          <w:rFonts w:ascii="Times New Roman" w:eastAsia="Times New Roman" w:hAnsi="Times New Roman" w:cs="Times New Roman"/>
          <w:sz w:val="24"/>
          <w:szCs w:val="24"/>
          <w:lang w:eastAsia="lv-LV"/>
        </w:rPr>
        <w:t>U.Augulis</w:t>
      </w:r>
    </w:p>
    <w:p w14:paraId="3C722757" w14:textId="77777777" w:rsidR="00A2311F" w:rsidRPr="00A76ADD" w:rsidRDefault="00A2311F" w:rsidP="0089655E">
      <w:pPr>
        <w:spacing w:after="0" w:line="240" w:lineRule="auto"/>
        <w:rPr>
          <w:rFonts w:ascii="Times New Roman" w:hAnsi="Times New Roman" w:cs="Times New Roman"/>
          <w:sz w:val="24"/>
          <w:szCs w:val="24"/>
        </w:rPr>
      </w:pPr>
    </w:p>
    <w:p w14:paraId="025C0169" w14:textId="77777777" w:rsidR="00A2311F" w:rsidRPr="00A76ADD" w:rsidRDefault="00A2311F" w:rsidP="0089655E">
      <w:pPr>
        <w:spacing w:after="0" w:line="240" w:lineRule="auto"/>
        <w:rPr>
          <w:rFonts w:ascii="Times New Roman" w:hAnsi="Times New Roman" w:cs="Times New Roman"/>
          <w:sz w:val="24"/>
          <w:szCs w:val="24"/>
        </w:rPr>
      </w:pPr>
    </w:p>
    <w:p w14:paraId="3990FA88" w14:textId="77777777" w:rsidR="00F21E42" w:rsidRPr="00A76ADD" w:rsidRDefault="00F21E42" w:rsidP="0089655E">
      <w:pPr>
        <w:spacing w:after="0" w:line="240" w:lineRule="auto"/>
        <w:rPr>
          <w:rFonts w:ascii="Times New Roman" w:hAnsi="Times New Roman" w:cs="Times New Roman"/>
          <w:sz w:val="24"/>
          <w:szCs w:val="24"/>
        </w:rPr>
      </w:pPr>
    </w:p>
    <w:p w14:paraId="5BA88D56" w14:textId="51DD374A" w:rsidR="00D473ED" w:rsidRPr="00A76ADD" w:rsidRDefault="00FD4006" w:rsidP="0089655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195986">
        <w:rPr>
          <w:rFonts w:ascii="Times New Roman" w:hAnsi="Times New Roman" w:cs="Times New Roman"/>
          <w:sz w:val="20"/>
          <w:szCs w:val="20"/>
        </w:rPr>
        <w:t>8</w:t>
      </w:r>
      <w:r w:rsidR="008829D4">
        <w:rPr>
          <w:rFonts w:ascii="Times New Roman" w:hAnsi="Times New Roman" w:cs="Times New Roman"/>
          <w:sz w:val="20"/>
          <w:szCs w:val="20"/>
        </w:rPr>
        <w:t>.</w:t>
      </w:r>
      <w:r>
        <w:rPr>
          <w:rFonts w:ascii="Times New Roman" w:hAnsi="Times New Roman" w:cs="Times New Roman"/>
          <w:sz w:val="20"/>
          <w:szCs w:val="20"/>
        </w:rPr>
        <w:t>1</w:t>
      </w:r>
      <w:r w:rsidR="00B673D4">
        <w:rPr>
          <w:rFonts w:ascii="Times New Roman" w:hAnsi="Times New Roman" w:cs="Times New Roman"/>
          <w:sz w:val="20"/>
          <w:szCs w:val="20"/>
        </w:rPr>
        <w:t>2</w:t>
      </w:r>
      <w:r w:rsidR="00F07BB7" w:rsidRPr="00A76ADD">
        <w:rPr>
          <w:rFonts w:ascii="Times New Roman" w:hAnsi="Times New Roman" w:cs="Times New Roman"/>
          <w:sz w:val="20"/>
          <w:szCs w:val="20"/>
        </w:rPr>
        <w:t>.2014</w:t>
      </w:r>
      <w:r w:rsidR="00D473ED" w:rsidRPr="00A76ADD">
        <w:rPr>
          <w:rFonts w:ascii="Times New Roman" w:hAnsi="Times New Roman" w:cs="Times New Roman"/>
          <w:sz w:val="20"/>
          <w:szCs w:val="20"/>
        </w:rPr>
        <w:t xml:space="preserve">. </w:t>
      </w:r>
      <w:r w:rsidR="002551BF">
        <w:rPr>
          <w:rFonts w:ascii="Times New Roman" w:hAnsi="Times New Roman" w:cs="Times New Roman"/>
          <w:sz w:val="20"/>
          <w:szCs w:val="20"/>
        </w:rPr>
        <w:t>1</w:t>
      </w:r>
      <w:r w:rsidR="00E022DC">
        <w:rPr>
          <w:rFonts w:ascii="Times New Roman" w:hAnsi="Times New Roman" w:cs="Times New Roman"/>
          <w:sz w:val="20"/>
          <w:szCs w:val="20"/>
        </w:rPr>
        <w:t>8</w:t>
      </w:r>
      <w:r w:rsidR="009905E8" w:rsidRPr="00A76ADD">
        <w:rPr>
          <w:rFonts w:ascii="Times New Roman" w:hAnsi="Times New Roman" w:cs="Times New Roman"/>
          <w:sz w:val="20"/>
          <w:szCs w:val="20"/>
        </w:rPr>
        <w:t>:</w:t>
      </w:r>
      <w:r w:rsidR="00E022DC">
        <w:rPr>
          <w:rFonts w:ascii="Times New Roman" w:hAnsi="Times New Roman" w:cs="Times New Roman"/>
          <w:sz w:val="20"/>
          <w:szCs w:val="20"/>
        </w:rPr>
        <w:t>39</w:t>
      </w:r>
    </w:p>
    <w:p w14:paraId="6C42FD1F" w14:textId="1F5C2830" w:rsidR="00D473ED" w:rsidRPr="00A76ADD" w:rsidRDefault="00E022DC" w:rsidP="0089655E">
      <w:pPr>
        <w:spacing w:after="0" w:line="240" w:lineRule="auto"/>
        <w:rPr>
          <w:rFonts w:ascii="Times New Roman" w:hAnsi="Times New Roman" w:cs="Times New Roman"/>
          <w:sz w:val="20"/>
          <w:szCs w:val="20"/>
        </w:rPr>
      </w:pPr>
      <w:r>
        <w:rPr>
          <w:rFonts w:ascii="Times New Roman" w:hAnsi="Times New Roman" w:cs="Times New Roman"/>
          <w:sz w:val="20"/>
          <w:szCs w:val="20"/>
        </w:rPr>
        <w:t>4 004</w:t>
      </w:r>
      <w:bookmarkStart w:id="8" w:name="_GoBack"/>
      <w:bookmarkEnd w:id="8"/>
    </w:p>
    <w:p w14:paraId="60F58924" w14:textId="337D1565" w:rsidR="00D473ED" w:rsidRPr="00A76ADD" w:rsidRDefault="008829D4" w:rsidP="0089655E">
      <w:pPr>
        <w:spacing w:after="0" w:line="240" w:lineRule="auto"/>
        <w:rPr>
          <w:rFonts w:ascii="Times New Roman" w:hAnsi="Times New Roman" w:cs="Times New Roman"/>
          <w:sz w:val="20"/>
          <w:szCs w:val="20"/>
        </w:rPr>
      </w:pPr>
      <w:r>
        <w:rPr>
          <w:rFonts w:ascii="Times New Roman" w:hAnsi="Times New Roman" w:cs="Times New Roman"/>
          <w:sz w:val="20"/>
          <w:szCs w:val="20"/>
        </w:rPr>
        <w:t>A.Vībe</w:t>
      </w:r>
      <w:r w:rsidR="00D473ED" w:rsidRPr="00A76ADD">
        <w:rPr>
          <w:rFonts w:ascii="Times New Roman" w:hAnsi="Times New Roman" w:cs="Times New Roman"/>
          <w:sz w:val="20"/>
          <w:szCs w:val="20"/>
        </w:rPr>
        <w:t>, 670216</w:t>
      </w:r>
      <w:r>
        <w:rPr>
          <w:rFonts w:ascii="Times New Roman" w:hAnsi="Times New Roman" w:cs="Times New Roman"/>
          <w:sz w:val="20"/>
          <w:szCs w:val="20"/>
        </w:rPr>
        <w:t>48</w:t>
      </w:r>
    </w:p>
    <w:p w14:paraId="469B2616" w14:textId="423466D1" w:rsidR="00B673D4" w:rsidRDefault="00E022DC" w:rsidP="0089655E">
      <w:pPr>
        <w:spacing w:after="0" w:line="240" w:lineRule="auto"/>
        <w:rPr>
          <w:rFonts w:ascii="Times New Roman" w:hAnsi="Times New Roman" w:cs="Times New Roman"/>
          <w:sz w:val="20"/>
          <w:szCs w:val="20"/>
        </w:rPr>
      </w:pPr>
      <w:hyperlink r:id="rId13" w:history="1">
        <w:r w:rsidR="008829D4" w:rsidRPr="00707D94">
          <w:rPr>
            <w:rStyle w:val="Hyperlink"/>
            <w:rFonts w:ascii="Times New Roman" w:hAnsi="Times New Roman" w:cs="Times New Roman"/>
            <w:sz w:val="20"/>
            <w:szCs w:val="20"/>
          </w:rPr>
          <w:t>Anna.Vibe@lm.gov.lv</w:t>
        </w:r>
      </w:hyperlink>
      <w:r w:rsidR="008829D4">
        <w:rPr>
          <w:rFonts w:ascii="Times New Roman" w:hAnsi="Times New Roman" w:cs="Times New Roman"/>
          <w:sz w:val="20"/>
          <w:szCs w:val="20"/>
        </w:rPr>
        <w:t xml:space="preserve"> </w:t>
      </w:r>
    </w:p>
    <w:p w14:paraId="6F592EBF" w14:textId="1B879676" w:rsidR="00D473ED" w:rsidRPr="00B673D4" w:rsidRDefault="00B673D4" w:rsidP="002551BF">
      <w:pPr>
        <w:tabs>
          <w:tab w:val="left" w:pos="1245"/>
        </w:tabs>
        <w:rPr>
          <w:rFonts w:ascii="Times New Roman" w:hAnsi="Times New Roman" w:cs="Times New Roman"/>
          <w:sz w:val="20"/>
          <w:szCs w:val="20"/>
        </w:rPr>
      </w:pPr>
      <w:r>
        <w:rPr>
          <w:rFonts w:ascii="Times New Roman" w:hAnsi="Times New Roman" w:cs="Times New Roman"/>
          <w:sz w:val="20"/>
          <w:szCs w:val="20"/>
        </w:rPr>
        <w:tab/>
      </w:r>
    </w:p>
    <w:sectPr w:rsidR="00D473ED" w:rsidRPr="00B673D4" w:rsidSect="0050490E">
      <w:headerReference w:type="default" r:id="rId14"/>
      <w:footerReference w:type="default" r:id="rId15"/>
      <w:footerReference w:type="first" r:id="rId16"/>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DFAC" w14:textId="77777777" w:rsidR="002C45E5" w:rsidRDefault="002C45E5" w:rsidP="006D6C82">
      <w:pPr>
        <w:spacing w:after="0" w:line="240" w:lineRule="auto"/>
      </w:pPr>
      <w:r>
        <w:separator/>
      </w:r>
    </w:p>
  </w:endnote>
  <w:endnote w:type="continuationSeparator" w:id="0">
    <w:p w14:paraId="77B92B0E" w14:textId="77777777" w:rsidR="002C45E5" w:rsidRDefault="002C45E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54BBD138" w:rsidR="00A01B7A" w:rsidRPr="00767938" w:rsidRDefault="008829D4" w:rsidP="00A01B7A">
    <w:pPr>
      <w:tabs>
        <w:tab w:val="center" w:pos="4153"/>
        <w:tab w:val="right" w:pos="8306"/>
      </w:tabs>
      <w:spacing w:after="0" w:line="240" w:lineRule="auto"/>
      <w:jc w:val="both"/>
      <w:rPr>
        <w:rFonts w:ascii="Times New Roman" w:eastAsia="Times New Roman" w:hAnsi="Times New Roman" w:cs="Times New Roman"/>
        <w:color w:val="000000" w:themeColor="text1"/>
        <w:sz w:val="20"/>
        <w:szCs w:val="20"/>
        <w:lang w:eastAsia="lv-LV"/>
      </w:rPr>
    </w:pPr>
    <w:r w:rsidRPr="00767938">
      <w:rPr>
        <w:rFonts w:ascii="Times New Roman" w:eastAsia="Times New Roman" w:hAnsi="Times New Roman" w:cs="Times New Roman"/>
        <w:color w:val="000000" w:themeColor="text1"/>
        <w:sz w:val="20"/>
        <w:szCs w:val="20"/>
        <w:lang w:eastAsia="lv-LV"/>
      </w:rPr>
      <w:t>LMAnot_</w:t>
    </w:r>
    <w:r w:rsidR="00B673D4">
      <w:rPr>
        <w:rFonts w:ascii="Times New Roman" w:eastAsia="Times New Roman" w:hAnsi="Times New Roman" w:cs="Times New Roman"/>
        <w:color w:val="000000" w:themeColor="text1"/>
        <w:sz w:val="20"/>
        <w:szCs w:val="20"/>
        <w:lang w:eastAsia="lv-LV"/>
      </w:rPr>
      <w:t>1</w:t>
    </w:r>
    <w:r w:rsidR="00E421E9">
      <w:rPr>
        <w:rFonts w:ascii="Times New Roman" w:eastAsia="Times New Roman" w:hAnsi="Times New Roman" w:cs="Times New Roman"/>
        <w:color w:val="000000" w:themeColor="text1"/>
        <w:sz w:val="20"/>
        <w:szCs w:val="20"/>
        <w:lang w:eastAsia="lv-LV"/>
      </w:rPr>
      <w:t>8</w:t>
    </w:r>
    <w:r w:rsidR="00B673D4">
      <w:rPr>
        <w:rFonts w:ascii="Times New Roman" w:eastAsia="Times New Roman" w:hAnsi="Times New Roman" w:cs="Times New Roman"/>
        <w:color w:val="000000" w:themeColor="text1"/>
        <w:sz w:val="20"/>
        <w:szCs w:val="20"/>
        <w:lang w:eastAsia="lv-LV"/>
      </w:rPr>
      <w:t>12</w:t>
    </w:r>
    <w:r w:rsidR="00B673D4" w:rsidRPr="00767938">
      <w:rPr>
        <w:rFonts w:ascii="Times New Roman" w:eastAsia="Times New Roman" w:hAnsi="Times New Roman" w:cs="Times New Roman"/>
        <w:color w:val="000000" w:themeColor="text1"/>
        <w:sz w:val="20"/>
        <w:szCs w:val="20"/>
        <w:lang w:eastAsia="lv-LV"/>
      </w:rPr>
      <w:t>2014</w:t>
    </w:r>
    <w:r w:rsidRPr="00767938">
      <w:rPr>
        <w:rFonts w:ascii="Times New Roman" w:eastAsia="Times New Roman" w:hAnsi="Times New Roman" w:cs="Times New Roman"/>
        <w:color w:val="000000" w:themeColor="text1"/>
        <w:sz w:val="20"/>
        <w:szCs w:val="20"/>
        <w:lang w:eastAsia="lv-LV"/>
      </w:rPr>
      <w:t xml:space="preserve">_SAM711; </w:t>
    </w:r>
    <w:r w:rsidR="00210AA3" w:rsidRPr="00210AA3">
      <w:rPr>
        <w:rFonts w:ascii="Times New Roman" w:eastAsia="Times New Roman" w:hAnsi="Times New Roman" w:cs="Times New Roman"/>
        <w:color w:val="000000" w:themeColor="text1"/>
        <w:sz w:val="20"/>
        <w:szCs w:val="20"/>
        <w:lang w:eastAsia="lv-LV"/>
      </w:rPr>
      <w:t>Ministru kabineta noteikumu “</w:t>
    </w:r>
    <w:r w:rsidR="00210AA3" w:rsidRPr="00210AA3">
      <w:rPr>
        <w:rFonts w:ascii="Times New Roman" w:eastAsia="Times New Roman" w:hAnsi="Times New Roman" w:cs="Times New Roman"/>
        <w:bCs/>
        <w:color w:val="000000" w:themeColor="text1"/>
        <w:sz w:val="20"/>
        <w:szCs w:val="20"/>
        <w:lang w:eastAsia="lv-LV"/>
      </w:rPr>
      <w:t>Darbības programmas „Izaugsme un nodarbinātība” 7.1.1. specifiskā atbalsta mērķa „</w:t>
    </w:r>
    <w:r w:rsidR="00210AA3" w:rsidRPr="00210AA3">
      <w:rPr>
        <w:rFonts w:ascii="Times New Roman" w:eastAsia="Times New Roman" w:hAnsi="Times New Roman" w:cs="Times New Roman"/>
        <w:color w:val="000000" w:themeColor="text1"/>
        <w:sz w:val="20"/>
        <w:szCs w:val="20"/>
        <w:lang w:eastAsia="lv-LV"/>
      </w:rPr>
      <w:t>Paaugstināt bezdarbnieku kvalifikāciju un prasmes atbilstoši darba tirgus pieprasījumam</w:t>
    </w:r>
    <w:r w:rsidR="00210AA3" w:rsidRPr="00210AA3">
      <w:rPr>
        <w:rFonts w:ascii="Times New Roman" w:eastAsia="Times New Roman" w:hAnsi="Times New Roman" w:cs="Times New Roman"/>
        <w:bCs/>
        <w:color w:val="000000" w:themeColor="text1"/>
        <w:sz w:val="20"/>
        <w:szCs w:val="20"/>
        <w:lang w:eastAsia="lv-LV"/>
      </w:rPr>
      <w:t>” īstenošanas noteikumi</w:t>
    </w:r>
    <w:r w:rsidR="00210AA3" w:rsidRPr="00210AA3">
      <w:rPr>
        <w:rFonts w:ascii="Times New Roman" w:eastAsia="Times New Roman" w:hAnsi="Times New Roman" w:cs="Times New Roman"/>
        <w:color w:val="000000" w:themeColor="text1"/>
        <w:sz w:val="20"/>
        <w:szCs w:val="20"/>
        <w:lang w:eastAsia="lv-LV"/>
      </w:rPr>
      <w:t>”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C416" w14:textId="3C80B0AE" w:rsidR="000521D5" w:rsidRPr="008829D4" w:rsidRDefault="00A01B7A" w:rsidP="000521D5">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8829D4">
      <w:rPr>
        <w:rFonts w:ascii="Times New Roman" w:eastAsia="Times New Roman" w:hAnsi="Times New Roman" w:cs="Times New Roman"/>
        <w:sz w:val="20"/>
        <w:szCs w:val="20"/>
        <w:lang w:eastAsia="lv-LV"/>
      </w:rPr>
      <w:t>LMAnot_</w:t>
    </w:r>
    <w:r w:rsidR="00B673D4">
      <w:rPr>
        <w:rFonts w:ascii="Times New Roman" w:eastAsia="Times New Roman" w:hAnsi="Times New Roman" w:cs="Times New Roman"/>
        <w:sz w:val="20"/>
        <w:szCs w:val="20"/>
        <w:lang w:eastAsia="lv-LV"/>
      </w:rPr>
      <w:t>1</w:t>
    </w:r>
    <w:r w:rsidR="00E421E9">
      <w:rPr>
        <w:rFonts w:ascii="Times New Roman" w:eastAsia="Times New Roman" w:hAnsi="Times New Roman" w:cs="Times New Roman"/>
        <w:sz w:val="20"/>
        <w:szCs w:val="20"/>
        <w:lang w:eastAsia="lv-LV"/>
      </w:rPr>
      <w:t>8</w:t>
    </w:r>
    <w:r w:rsidR="00B673D4">
      <w:rPr>
        <w:rFonts w:ascii="Times New Roman" w:eastAsia="Times New Roman" w:hAnsi="Times New Roman" w:cs="Times New Roman"/>
        <w:sz w:val="20"/>
        <w:szCs w:val="20"/>
        <w:lang w:eastAsia="lv-LV"/>
      </w:rPr>
      <w:t>12</w:t>
    </w:r>
    <w:r w:rsidR="00B673D4" w:rsidRPr="008829D4">
      <w:rPr>
        <w:rFonts w:ascii="Times New Roman" w:eastAsia="Times New Roman" w:hAnsi="Times New Roman" w:cs="Times New Roman"/>
        <w:sz w:val="20"/>
        <w:szCs w:val="20"/>
        <w:lang w:eastAsia="lv-LV"/>
      </w:rPr>
      <w:t>2014</w:t>
    </w:r>
    <w:r w:rsidRPr="008829D4">
      <w:rPr>
        <w:rFonts w:ascii="Times New Roman" w:eastAsia="Times New Roman" w:hAnsi="Times New Roman" w:cs="Times New Roman"/>
        <w:sz w:val="20"/>
        <w:szCs w:val="20"/>
        <w:lang w:eastAsia="lv-LV"/>
      </w:rPr>
      <w:t>_SAM71</w:t>
    </w:r>
    <w:r w:rsidR="008829D4" w:rsidRPr="008829D4">
      <w:rPr>
        <w:rFonts w:ascii="Times New Roman" w:eastAsia="Times New Roman" w:hAnsi="Times New Roman" w:cs="Times New Roman"/>
        <w:sz w:val="20"/>
        <w:szCs w:val="20"/>
        <w:lang w:eastAsia="lv-LV"/>
      </w:rPr>
      <w:t>1</w:t>
    </w:r>
    <w:r w:rsidR="000521D5" w:rsidRPr="008829D4">
      <w:rPr>
        <w:rFonts w:ascii="Times New Roman" w:eastAsia="Times New Roman" w:hAnsi="Times New Roman" w:cs="Times New Roman"/>
        <w:sz w:val="20"/>
        <w:szCs w:val="20"/>
        <w:lang w:eastAsia="lv-LV"/>
      </w:rPr>
      <w:t xml:space="preserve">; </w:t>
    </w:r>
    <w:r w:rsidR="00210AA3">
      <w:rPr>
        <w:rFonts w:ascii="Times New Roman" w:eastAsia="Times New Roman" w:hAnsi="Times New Roman" w:cs="Times New Roman"/>
        <w:sz w:val="20"/>
        <w:szCs w:val="20"/>
        <w:lang w:eastAsia="lv-LV"/>
      </w:rPr>
      <w:t>Ministru kabineta noteikumu “</w:t>
    </w:r>
    <w:r w:rsidR="00210AA3" w:rsidRPr="00210AA3">
      <w:rPr>
        <w:rFonts w:ascii="Times New Roman" w:eastAsia="Times New Roman" w:hAnsi="Times New Roman" w:cs="Times New Roman"/>
        <w:bCs/>
        <w:sz w:val="20"/>
        <w:szCs w:val="20"/>
        <w:lang w:eastAsia="lv-LV"/>
      </w:rPr>
      <w:t>Darbības programmas „Izaugsme un nodarbinātība” 7.1.1. specifiskā atbalsta mērķa „</w:t>
    </w:r>
    <w:r w:rsidR="00210AA3" w:rsidRPr="00210AA3">
      <w:rPr>
        <w:rFonts w:ascii="Times New Roman" w:eastAsia="Times New Roman" w:hAnsi="Times New Roman" w:cs="Times New Roman"/>
        <w:sz w:val="20"/>
        <w:szCs w:val="20"/>
        <w:lang w:eastAsia="lv-LV"/>
      </w:rPr>
      <w:t>Paaugstināt bezdarbnieku kvalifikāciju un prasmes atbilstoši darba tirgus pieprasījumam</w:t>
    </w:r>
    <w:r w:rsidR="00210AA3" w:rsidRPr="00210AA3">
      <w:rPr>
        <w:rFonts w:ascii="Times New Roman" w:eastAsia="Times New Roman" w:hAnsi="Times New Roman" w:cs="Times New Roman"/>
        <w:bCs/>
        <w:sz w:val="20"/>
        <w:szCs w:val="20"/>
        <w:lang w:eastAsia="lv-LV"/>
      </w:rPr>
      <w:t>” īstenošanas noteikumi</w:t>
    </w:r>
    <w:r w:rsidR="008829D4" w:rsidRPr="008829D4">
      <w:rPr>
        <w:rFonts w:ascii="Times New Roman" w:eastAsia="Times New Roman" w:hAnsi="Times New Roman" w:cs="Times New Roman"/>
        <w:sz w:val="20"/>
        <w:szCs w:val="20"/>
        <w:lang w:eastAsia="lv-LV"/>
      </w:rPr>
      <w:t>”</w:t>
    </w:r>
    <w:r w:rsidRPr="008829D4">
      <w:rPr>
        <w:rFonts w:ascii="Times New Roman" w:eastAsia="Times New Roman" w:hAnsi="Times New Roman" w:cs="Times New Roman"/>
        <w:sz w:val="20"/>
        <w:szCs w:val="20"/>
        <w:lang w:eastAsia="lv-LV"/>
      </w:rPr>
      <w:t xml:space="preserve"> projekta sākotnējās ietekmes novērtējuma ziņojums (anotācija)</w:t>
    </w:r>
  </w:p>
  <w:p w14:paraId="02AFB522" w14:textId="5771C89C" w:rsidR="00D0364B" w:rsidRPr="000521D5" w:rsidRDefault="00EE0D9F" w:rsidP="00EE0D9F">
    <w:pPr>
      <w:pStyle w:val="Footer"/>
      <w:tabs>
        <w:tab w:val="clear" w:pos="4153"/>
        <w:tab w:val="clear" w:pos="8306"/>
        <w:tab w:val="left" w:pos="1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8FDF" w14:textId="77777777" w:rsidR="002C45E5" w:rsidRDefault="002C45E5" w:rsidP="006D6C82">
      <w:pPr>
        <w:spacing w:after="0" w:line="240" w:lineRule="auto"/>
      </w:pPr>
      <w:r>
        <w:separator/>
      </w:r>
    </w:p>
  </w:footnote>
  <w:footnote w:type="continuationSeparator" w:id="0">
    <w:p w14:paraId="76480D04" w14:textId="77777777" w:rsidR="002C45E5" w:rsidRDefault="002C45E5" w:rsidP="006D6C82">
      <w:pPr>
        <w:spacing w:after="0" w:line="240" w:lineRule="auto"/>
      </w:pPr>
      <w:r>
        <w:continuationSeparator/>
      </w:r>
    </w:p>
  </w:footnote>
  <w:footnote w:id="1">
    <w:p w14:paraId="5591D264" w14:textId="349C39D6" w:rsidR="00674496" w:rsidRPr="00D87631" w:rsidRDefault="00674496" w:rsidP="00674496">
      <w:pPr>
        <w:pStyle w:val="FootnoteText"/>
        <w:jc w:val="both"/>
      </w:pPr>
      <w:r w:rsidRPr="00D87631">
        <w:rPr>
          <w:rStyle w:val="FootnoteReference"/>
        </w:rPr>
        <w:t>*</w:t>
      </w:r>
      <w:r w:rsidRPr="00D87631">
        <w:t xml:space="preserve"> </w:t>
      </w:r>
      <w:r>
        <w:t>7</w:t>
      </w:r>
      <w:r w:rsidRPr="00D87631">
        <w:t xml:space="preserve">.1.1.specifiskā atbalsta mērķa </w:t>
      </w:r>
      <w:r w:rsidR="00301CB2">
        <w:t>“</w:t>
      </w:r>
      <w:r w:rsidRPr="00674496">
        <w:t>Paaugstināt bezdarbnieku kvalifikāciju un prasmes atbilstoši darba tirgus pieprasījumam</w:t>
      </w:r>
      <w:r w:rsidRPr="00D87631">
        <w:t>” sākotnējais novērtējums</w:t>
      </w:r>
      <w:r>
        <w:t>,</w:t>
      </w:r>
      <w:r w:rsidRPr="00D87631">
        <w:t xml:space="preserve"> kas izskatīts 2014.gada </w:t>
      </w:r>
      <w:r>
        <w:t>30.oktobra</w:t>
      </w:r>
      <w:r w:rsidRPr="00D87631">
        <w:t xml:space="preserve"> </w:t>
      </w:r>
      <w:r w:rsidRPr="00674496">
        <w:t>2014.-2020.gada plānošanas perioda Eiropas Savienības struktūrfondu un Kohēzijas fonda nodarbinātības un darbaspēka mobilitātes prioritārā virziena apakškomitejas sēdē</w:t>
      </w:r>
      <w:r w:rsidR="00301CB2">
        <w:t xml:space="preserve"> (pieejams ES fondu Uzraudzības komiteju dokumentu vadības sistēmā (e-portfelī) - </w:t>
      </w:r>
      <w:r w:rsidR="00301CB2" w:rsidRPr="00301CB2">
        <w:t>http://komitejas.esfondi.lv/Dokumenti/Forms/AllItems.aspx?RootFolder=%2fDokumenti%2f2014%20-%202020%2f07_Apak%C5%A1komitejas_2014-2020_%28subcommittees%29%2f01_S%C4%93des_%28meetings%29%2f04_30%2e10%2e2014%2f02_Darba_materi%C4%81li_%28Working_materials%29&amp;FolderCTID=&amp;View=%7b891B9B05-E11F-48BB-8B73-BA7E31F29B09%7d</w:t>
      </w:r>
      <w:r w:rsidR="00301CB2">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E022DC">
          <w:rPr>
            <w:noProof/>
          </w:rPr>
          <w:t>11</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729E7"/>
    <w:rsid w:val="00073983"/>
    <w:rsid w:val="000853C0"/>
    <w:rsid w:val="00090609"/>
    <w:rsid w:val="00093BB9"/>
    <w:rsid w:val="00094F04"/>
    <w:rsid w:val="000A2A2F"/>
    <w:rsid w:val="000A48CD"/>
    <w:rsid w:val="000A50F4"/>
    <w:rsid w:val="000A556B"/>
    <w:rsid w:val="000A6213"/>
    <w:rsid w:val="000A69BD"/>
    <w:rsid w:val="000B3753"/>
    <w:rsid w:val="000B6BFA"/>
    <w:rsid w:val="000C042F"/>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60A74"/>
    <w:rsid w:val="00161A38"/>
    <w:rsid w:val="00162400"/>
    <w:rsid w:val="00162A45"/>
    <w:rsid w:val="0016361D"/>
    <w:rsid w:val="00166E6E"/>
    <w:rsid w:val="00167190"/>
    <w:rsid w:val="001679C6"/>
    <w:rsid w:val="001727BC"/>
    <w:rsid w:val="00176916"/>
    <w:rsid w:val="0018780A"/>
    <w:rsid w:val="00191247"/>
    <w:rsid w:val="00193FB1"/>
    <w:rsid w:val="001943F6"/>
    <w:rsid w:val="00195986"/>
    <w:rsid w:val="00197E17"/>
    <w:rsid w:val="001A7327"/>
    <w:rsid w:val="001B0E13"/>
    <w:rsid w:val="001B1214"/>
    <w:rsid w:val="001B3759"/>
    <w:rsid w:val="001B6876"/>
    <w:rsid w:val="001B7660"/>
    <w:rsid w:val="001C3597"/>
    <w:rsid w:val="001C366A"/>
    <w:rsid w:val="001C50E5"/>
    <w:rsid w:val="001C7D4E"/>
    <w:rsid w:val="001E04D8"/>
    <w:rsid w:val="001E2D9C"/>
    <w:rsid w:val="001E5DCA"/>
    <w:rsid w:val="001E6208"/>
    <w:rsid w:val="001E645F"/>
    <w:rsid w:val="001F21C4"/>
    <w:rsid w:val="001F41D8"/>
    <w:rsid w:val="001F5194"/>
    <w:rsid w:val="001F792A"/>
    <w:rsid w:val="00204981"/>
    <w:rsid w:val="00206171"/>
    <w:rsid w:val="00210AA3"/>
    <w:rsid w:val="0021153C"/>
    <w:rsid w:val="002123C9"/>
    <w:rsid w:val="002141C0"/>
    <w:rsid w:val="00216066"/>
    <w:rsid w:val="0021686B"/>
    <w:rsid w:val="002202EB"/>
    <w:rsid w:val="00220CB7"/>
    <w:rsid w:val="0022527B"/>
    <w:rsid w:val="00232033"/>
    <w:rsid w:val="00235486"/>
    <w:rsid w:val="00246498"/>
    <w:rsid w:val="00246978"/>
    <w:rsid w:val="0025245B"/>
    <w:rsid w:val="00254049"/>
    <w:rsid w:val="00254F1A"/>
    <w:rsid w:val="002551BF"/>
    <w:rsid w:val="00257C93"/>
    <w:rsid w:val="00260E17"/>
    <w:rsid w:val="00260F04"/>
    <w:rsid w:val="002665C2"/>
    <w:rsid w:val="0026710C"/>
    <w:rsid w:val="002675CE"/>
    <w:rsid w:val="00270EBE"/>
    <w:rsid w:val="00277744"/>
    <w:rsid w:val="0028094F"/>
    <w:rsid w:val="002874DE"/>
    <w:rsid w:val="0029098B"/>
    <w:rsid w:val="00291D87"/>
    <w:rsid w:val="002938C7"/>
    <w:rsid w:val="00297EC2"/>
    <w:rsid w:val="002A161A"/>
    <w:rsid w:val="002A2FE7"/>
    <w:rsid w:val="002A5126"/>
    <w:rsid w:val="002A55E4"/>
    <w:rsid w:val="002B0D05"/>
    <w:rsid w:val="002B1692"/>
    <w:rsid w:val="002B7E3A"/>
    <w:rsid w:val="002C1473"/>
    <w:rsid w:val="002C1581"/>
    <w:rsid w:val="002C1A63"/>
    <w:rsid w:val="002C45E5"/>
    <w:rsid w:val="002C6E24"/>
    <w:rsid w:val="002C722B"/>
    <w:rsid w:val="002D1F05"/>
    <w:rsid w:val="002D2016"/>
    <w:rsid w:val="002D5017"/>
    <w:rsid w:val="002E284F"/>
    <w:rsid w:val="002E6B41"/>
    <w:rsid w:val="002F2310"/>
    <w:rsid w:val="002F2D45"/>
    <w:rsid w:val="002F70D8"/>
    <w:rsid w:val="002F7324"/>
    <w:rsid w:val="00301B68"/>
    <w:rsid w:val="00301CB2"/>
    <w:rsid w:val="00303FFC"/>
    <w:rsid w:val="003060C0"/>
    <w:rsid w:val="00306DFF"/>
    <w:rsid w:val="00314E0B"/>
    <w:rsid w:val="00314F7C"/>
    <w:rsid w:val="00315AB8"/>
    <w:rsid w:val="00316A8E"/>
    <w:rsid w:val="00320A19"/>
    <w:rsid w:val="00321D39"/>
    <w:rsid w:val="003259BB"/>
    <w:rsid w:val="00326E13"/>
    <w:rsid w:val="00327D5C"/>
    <w:rsid w:val="003352F8"/>
    <w:rsid w:val="00336B3A"/>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A3A21"/>
    <w:rsid w:val="003A4860"/>
    <w:rsid w:val="003A5522"/>
    <w:rsid w:val="003A55C7"/>
    <w:rsid w:val="003A77B7"/>
    <w:rsid w:val="003B0FBE"/>
    <w:rsid w:val="003C0358"/>
    <w:rsid w:val="003C1407"/>
    <w:rsid w:val="003D58F4"/>
    <w:rsid w:val="003D7FCC"/>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187B"/>
    <w:rsid w:val="00431F46"/>
    <w:rsid w:val="00432D28"/>
    <w:rsid w:val="00444D42"/>
    <w:rsid w:val="00445A9C"/>
    <w:rsid w:val="00446630"/>
    <w:rsid w:val="0044755D"/>
    <w:rsid w:val="00450395"/>
    <w:rsid w:val="00451DE5"/>
    <w:rsid w:val="00454771"/>
    <w:rsid w:val="00462F04"/>
    <w:rsid w:val="00467554"/>
    <w:rsid w:val="00470125"/>
    <w:rsid w:val="00472A75"/>
    <w:rsid w:val="00473FE0"/>
    <w:rsid w:val="00475C8F"/>
    <w:rsid w:val="00475EDD"/>
    <w:rsid w:val="00481F9F"/>
    <w:rsid w:val="004863B9"/>
    <w:rsid w:val="00486A99"/>
    <w:rsid w:val="00486BA1"/>
    <w:rsid w:val="00487C61"/>
    <w:rsid w:val="004A0562"/>
    <w:rsid w:val="004A470F"/>
    <w:rsid w:val="004A51B4"/>
    <w:rsid w:val="004A79B6"/>
    <w:rsid w:val="004B287A"/>
    <w:rsid w:val="004B291A"/>
    <w:rsid w:val="004B4BC8"/>
    <w:rsid w:val="004C0127"/>
    <w:rsid w:val="004C0612"/>
    <w:rsid w:val="004C31E6"/>
    <w:rsid w:val="004C48A0"/>
    <w:rsid w:val="004C55C1"/>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90E26"/>
    <w:rsid w:val="005913E4"/>
    <w:rsid w:val="005914D9"/>
    <w:rsid w:val="00591BA7"/>
    <w:rsid w:val="005935C2"/>
    <w:rsid w:val="005A0987"/>
    <w:rsid w:val="005A5C59"/>
    <w:rsid w:val="005A5D2D"/>
    <w:rsid w:val="005A646A"/>
    <w:rsid w:val="005A705B"/>
    <w:rsid w:val="005A7179"/>
    <w:rsid w:val="005B104F"/>
    <w:rsid w:val="005B1977"/>
    <w:rsid w:val="005B1A2E"/>
    <w:rsid w:val="005B5313"/>
    <w:rsid w:val="005C3BBF"/>
    <w:rsid w:val="005C5E5B"/>
    <w:rsid w:val="005C718F"/>
    <w:rsid w:val="005D1219"/>
    <w:rsid w:val="005D46AF"/>
    <w:rsid w:val="005D6EC7"/>
    <w:rsid w:val="005E044D"/>
    <w:rsid w:val="005F05CE"/>
    <w:rsid w:val="005F05CF"/>
    <w:rsid w:val="005F0DF3"/>
    <w:rsid w:val="005F403C"/>
    <w:rsid w:val="005F4D8E"/>
    <w:rsid w:val="0060421D"/>
    <w:rsid w:val="00614CDA"/>
    <w:rsid w:val="00615406"/>
    <w:rsid w:val="00620A76"/>
    <w:rsid w:val="006210E5"/>
    <w:rsid w:val="006226FE"/>
    <w:rsid w:val="00622ABE"/>
    <w:rsid w:val="00623238"/>
    <w:rsid w:val="00630B64"/>
    <w:rsid w:val="006318CB"/>
    <w:rsid w:val="00637E1F"/>
    <w:rsid w:val="00644079"/>
    <w:rsid w:val="00645815"/>
    <w:rsid w:val="00653BCC"/>
    <w:rsid w:val="00654303"/>
    <w:rsid w:val="00657B8C"/>
    <w:rsid w:val="00660D3B"/>
    <w:rsid w:val="00662D55"/>
    <w:rsid w:val="0066392D"/>
    <w:rsid w:val="006673B6"/>
    <w:rsid w:val="0067184D"/>
    <w:rsid w:val="00674496"/>
    <w:rsid w:val="00677B45"/>
    <w:rsid w:val="00682E06"/>
    <w:rsid w:val="006831EC"/>
    <w:rsid w:val="006833BD"/>
    <w:rsid w:val="006838C8"/>
    <w:rsid w:val="006861B4"/>
    <w:rsid w:val="00692D5D"/>
    <w:rsid w:val="00693711"/>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54BE"/>
    <w:rsid w:val="006D573E"/>
    <w:rsid w:val="006D6C82"/>
    <w:rsid w:val="006E0343"/>
    <w:rsid w:val="006E169E"/>
    <w:rsid w:val="006E2EBF"/>
    <w:rsid w:val="006E3024"/>
    <w:rsid w:val="006E3A88"/>
    <w:rsid w:val="006F5DBA"/>
    <w:rsid w:val="006F615E"/>
    <w:rsid w:val="006F6735"/>
    <w:rsid w:val="007005A5"/>
    <w:rsid w:val="007032FF"/>
    <w:rsid w:val="007040B5"/>
    <w:rsid w:val="00706A2D"/>
    <w:rsid w:val="00715808"/>
    <w:rsid w:val="00720177"/>
    <w:rsid w:val="00726959"/>
    <w:rsid w:val="00731A91"/>
    <w:rsid w:val="00734D79"/>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E2E"/>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85C"/>
    <w:rsid w:val="007B1908"/>
    <w:rsid w:val="007B55C1"/>
    <w:rsid w:val="007C397D"/>
    <w:rsid w:val="007C5BDB"/>
    <w:rsid w:val="007D385B"/>
    <w:rsid w:val="007D41A0"/>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7C5B"/>
    <w:rsid w:val="00860ADE"/>
    <w:rsid w:val="00863CD4"/>
    <w:rsid w:val="00864B01"/>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5B1F"/>
    <w:rsid w:val="00895B23"/>
    <w:rsid w:val="0089655E"/>
    <w:rsid w:val="00897E02"/>
    <w:rsid w:val="008A08C8"/>
    <w:rsid w:val="008A10C7"/>
    <w:rsid w:val="008A16D3"/>
    <w:rsid w:val="008A4CB4"/>
    <w:rsid w:val="008A660F"/>
    <w:rsid w:val="008A79E9"/>
    <w:rsid w:val="008B39BD"/>
    <w:rsid w:val="008B4290"/>
    <w:rsid w:val="008B6024"/>
    <w:rsid w:val="008C04F8"/>
    <w:rsid w:val="008C4D11"/>
    <w:rsid w:val="008C6D46"/>
    <w:rsid w:val="008C7B33"/>
    <w:rsid w:val="008D0993"/>
    <w:rsid w:val="008D2146"/>
    <w:rsid w:val="008D7EEB"/>
    <w:rsid w:val="008E47D7"/>
    <w:rsid w:val="008F39D3"/>
    <w:rsid w:val="008F6700"/>
    <w:rsid w:val="008F6D8E"/>
    <w:rsid w:val="008F742D"/>
    <w:rsid w:val="009019B3"/>
    <w:rsid w:val="00902AA6"/>
    <w:rsid w:val="00902D3F"/>
    <w:rsid w:val="009034AE"/>
    <w:rsid w:val="0090399E"/>
    <w:rsid w:val="009068BA"/>
    <w:rsid w:val="00907C4E"/>
    <w:rsid w:val="00914A21"/>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65B"/>
    <w:rsid w:val="00965695"/>
    <w:rsid w:val="009661DC"/>
    <w:rsid w:val="009665F6"/>
    <w:rsid w:val="009666DB"/>
    <w:rsid w:val="00970AEC"/>
    <w:rsid w:val="009711A1"/>
    <w:rsid w:val="009716C7"/>
    <w:rsid w:val="009728D3"/>
    <w:rsid w:val="00973321"/>
    <w:rsid w:val="00974CF0"/>
    <w:rsid w:val="00975BC8"/>
    <w:rsid w:val="00981F38"/>
    <w:rsid w:val="00984E0C"/>
    <w:rsid w:val="009905E8"/>
    <w:rsid w:val="009945CD"/>
    <w:rsid w:val="00994FB5"/>
    <w:rsid w:val="00995B4E"/>
    <w:rsid w:val="009A23DD"/>
    <w:rsid w:val="009A5F8B"/>
    <w:rsid w:val="009B252C"/>
    <w:rsid w:val="009B4385"/>
    <w:rsid w:val="009B5667"/>
    <w:rsid w:val="009B5EDB"/>
    <w:rsid w:val="009B7605"/>
    <w:rsid w:val="009C0B81"/>
    <w:rsid w:val="009C39B5"/>
    <w:rsid w:val="009C4313"/>
    <w:rsid w:val="009C4BBC"/>
    <w:rsid w:val="009C5386"/>
    <w:rsid w:val="009D7CD8"/>
    <w:rsid w:val="009E12A1"/>
    <w:rsid w:val="009E1B92"/>
    <w:rsid w:val="009E5995"/>
    <w:rsid w:val="009F029E"/>
    <w:rsid w:val="009F37C9"/>
    <w:rsid w:val="009F3C67"/>
    <w:rsid w:val="009F788A"/>
    <w:rsid w:val="00A01B7A"/>
    <w:rsid w:val="00A02169"/>
    <w:rsid w:val="00A03690"/>
    <w:rsid w:val="00A07A9E"/>
    <w:rsid w:val="00A1504C"/>
    <w:rsid w:val="00A22686"/>
    <w:rsid w:val="00A2311F"/>
    <w:rsid w:val="00A240CC"/>
    <w:rsid w:val="00A33379"/>
    <w:rsid w:val="00A347F0"/>
    <w:rsid w:val="00A35878"/>
    <w:rsid w:val="00A37357"/>
    <w:rsid w:val="00A41BAE"/>
    <w:rsid w:val="00A44A57"/>
    <w:rsid w:val="00A46FE2"/>
    <w:rsid w:val="00A472BA"/>
    <w:rsid w:val="00A578DC"/>
    <w:rsid w:val="00A60497"/>
    <w:rsid w:val="00A60D7E"/>
    <w:rsid w:val="00A65744"/>
    <w:rsid w:val="00A65B55"/>
    <w:rsid w:val="00A6792B"/>
    <w:rsid w:val="00A7043B"/>
    <w:rsid w:val="00A74718"/>
    <w:rsid w:val="00A76ADD"/>
    <w:rsid w:val="00A81161"/>
    <w:rsid w:val="00A856F0"/>
    <w:rsid w:val="00A90517"/>
    <w:rsid w:val="00A920FA"/>
    <w:rsid w:val="00A96537"/>
    <w:rsid w:val="00A971FA"/>
    <w:rsid w:val="00AA1E9D"/>
    <w:rsid w:val="00AA222B"/>
    <w:rsid w:val="00AA2AC4"/>
    <w:rsid w:val="00AA5D5A"/>
    <w:rsid w:val="00AB23D6"/>
    <w:rsid w:val="00AB321F"/>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30266"/>
    <w:rsid w:val="00B31B7A"/>
    <w:rsid w:val="00B321EE"/>
    <w:rsid w:val="00B34704"/>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CC"/>
    <w:rsid w:val="00BB2CCB"/>
    <w:rsid w:val="00BB357C"/>
    <w:rsid w:val="00BB35A6"/>
    <w:rsid w:val="00BB3EAD"/>
    <w:rsid w:val="00BB4876"/>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7058"/>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BC"/>
    <w:rsid w:val="00C6238D"/>
    <w:rsid w:val="00C63017"/>
    <w:rsid w:val="00C63E56"/>
    <w:rsid w:val="00C64158"/>
    <w:rsid w:val="00C64A63"/>
    <w:rsid w:val="00C664CE"/>
    <w:rsid w:val="00C67A0E"/>
    <w:rsid w:val="00C67AF8"/>
    <w:rsid w:val="00C713D8"/>
    <w:rsid w:val="00C72760"/>
    <w:rsid w:val="00C7617A"/>
    <w:rsid w:val="00C771F7"/>
    <w:rsid w:val="00C80769"/>
    <w:rsid w:val="00C81D58"/>
    <w:rsid w:val="00C845E5"/>
    <w:rsid w:val="00C8589F"/>
    <w:rsid w:val="00C87E76"/>
    <w:rsid w:val="00C92466"/>
    <w:rsid w:val="00C96472"/>
    <w:rsid w:val="00CA39D4"/>
    <w:rsid w:val="00CA3BE3"/>
    <w:rsid w:val="00CA668E"/>
    <w:rsid w:val="00CA6864"/>
    <w:rsid w:val="00CA74AB"/>
    <w:rsid w:val="00CA7833"/>
    <w:rsid w:val="00CB1CA0"/>
    <w:rsid w:val="00CB2095"/>
    <w:rsid w:val="00CB26A7"/>
    <w:rsid w:val="00CC1A56"/>
    <w:rsid w:val="00CC7BD9"/>
    <w:rsid w:val="00CD2E50"/>
    <w:rsid w:val="00CD3D07"/>
    <w:rsid w:val="00CD67CD"/>
    <w:rsid w:val="00CE197A"/>
    <w:rsid w:val="00CE1E89"/>
    <w:rsid w:val="00CE6517"/>
    <w:rsid w:val="00CE71A7"/>
    <w:rsid w:val="00CF0350"/>
    <w:rsid w:val="00CF13D1"/>
    <w:rsid w:val="00CF1723"/>
    <w:rsid w:val="00CF4EE7"/>
    <w:rsid w:val="00D0364B"/>
    <w:rsid w:val="00D05580"/>
    <w:rsid w:val="00D06691"/>
    <w:rsid w:val="00D074D8"/>
    <w:rsid w:val="00D07EF9"/>
    <w:rsid w:val="00D21A8F"/>
    <w:rsid w:val="00D22B97"/>
    <w:rsid w:val="00D2367B"/>
    <w:rsid w:val="00D24B46"/>
    <w:rsid w:val="00D31445"/>
    <w:rsid w:val="00D31CB0"/>
    <w:rsid w:val="00D343A0"/>
    <w:rsid w:val="00D37528"/>
    <w:rsid w:val="00D404FE"/>
    <w:rsid w:val="00D40F2E"/>
    <w:rsid w:val="00D428C0"/>
    <w:rsid w:val="00D473ED"/>
    <w:rsid w:val="00D504D3"/>
    <w:rsid w:val="00D52C77"/>
    <w:rsid w:val="00D530B1"/>
    <w:rsid w:val="00D53B1F"/>
    <w:rsid w:val="00D5496D"/>
    <w:rsid w:val="00D5750F"/>
    <w:rsid w:val="00D61C0C"/>
    <w:rsid w:val="00D61CB4"/>
    <w:rsid w:val="00D67874"/>
    <w:rsid w:val="00D741A3"/>
    <w:rsid w:val="00D74D00"/>
    <w:rsid w:val="00D74F83"/>
    <w:rsid w:val="00D77819"/>
    <w:rsid w:val="00D80A27"/>
    <w:rsid w:val="00D81398"/>
    <w:rsid w:val="00D8774F"/>
    <w:rsid w:val="00D90A3F"/>
    <w:rsid w:val="00D93F13"/>
    <w:rsid w:val="00D95EA5"/>
    <w:rsid w:val="00D95FDE"/>
    <w:rsid w:val="00DA3550"/>
    <w:rsid w:val="00DA5407"/>
    <w:rsid w:val="00DB474A"/>
    <w:rsid w:val="00DB4E8D"/>
    <w:rsid w:val="00DC43E1"/>
    <w:rsid w:val="00DC4BEE"/>
    <w:rsid w:val="00DD00CA"/>
    <w:rsid w:val="00DD1390"/>
    <w:rsid w:val="00DD1F36"/>
    <w:rsid w:val="00DD3888"/>
    <w:rsid w:val="00DD4A0D"/>
    <w:rsid w:val="00DD5A4C"/>
    <w:rsid w:val="00DD5E9C"/>
    <w:rsid w:val="00DD6BB2"/>
    <w:rsid w:val="00DD7A86"/>
    <w:rsid w:val="00DE0F62"/>
    <w:rsid w:val="00DE1693"/>
    <w:rsid w:val="00DE2FFA"/>
    <w:rsid w:val="00DE4A4A"/>
    <w:rsid w:val="00E022DC"/>
    <w:rsid w:val="00E04C89"/>
    <w:rsid w:val="00E055E0"/>
    <w:rsid w:val="00E06DE4"/>
    <w:rsid w:val="00E0751F"/>
    <w:rsid w:val="00E1297A"/>
    <w:rsid w:val="00E139C6"/>
    <w:rsid w:val="00E13C41"/>
    <w:rsid w:val="00E1563C"/>
    <w:rsid w:val="00E20737"/>
    <w:rsid w:val="00E21E83"/>
    <w:rsid w:val="00E23CBA"/>
    <w:rsid w:val="00E243BF"/>
    <w:rsid w:val="00E2764C"/>
    <w:rsid w:val="00E31FAF"/>
    <w:rsid w:val="00E3446E"/>
    <w:rsid w:val="00E35333"/>
    <w:rsid w:val="00E421E9"/>
    <w:rsid w:val="00E44861"/>
    <w:rsid w:val="00E46B62"/>
    <w:rsid w:val="00E479F2"/>
    <w:rsid w:val="00E55912"/>
    <w:rsid w:val="00E57D20"/>
    <w:rsid w:val="00E70FE8"/>
    <w:rsid w:val="00E74162"/>
    <w:rsid w:val="00E7560D"/>
    <w:rsid w:val="00E76D0C"/>
    <w:rsid w:val="00E77ED8"/>
    <w:rsid w:val="00E80958"/>
    <w:rsid w:val="00E813BA"/>
    <w:rsid w:val="00E83230"/>
    <w:rsid w:val="00E858D5"/>
    <w:rsid w:val="00E869D3"/>
    <w:rsid w:val="00E90E54"/>
    <w:rsid w:val="00E9206A"/>
    <w:rsid w:val="00EA1B7F"/>
    <w:rsid w:val="00EA55C8"/>
    <w:rsid w:val="00EA6120"/>
    <w:rsid w:val="00EA62E8"/>
    <w:rsid w:val="00EB3B4E"/>
    <w:rsid w:val="00EB4471"/>
    <w:rsid w:val="00EB63F5"/>
    <w:rsid w:val="00EC0484"/>
    <w:rsid w:val="00EC1C7E"/>
    <w:rsid w:val="00EC4331"/>
    <w:rsid w:val="00EC4A1C"/>
    <w:rsid w:val="00EC4B33"/>
    <w:rsid w:val="00ED194E"/>
    <w:rsid w:val="00ED4855"/>
    <w:rsid w:val="00ED56D4"/>
    <w:rsid w:val="00ED63AA"/>
    <w:rsid w:val="00EE0D9F"/>
    <w:rsid w:val="00EE5B3B"/>
    <w:rsid w:val="00EE6945"/>
    <w:rsid w:val="00EF1768"/>
    <w:rsid w:val="00EF6FED"/>
    <w:rsid w:val="00F00CD5"/>
    <w:rsid w:val="00F07BB7"/>
    <w:rsid w:val="00F11F5B"/>
    <w:rsid w:val="00F12401"/>
    <w:rsid w:val="00F15C0D"/>
    <w:rsid w:val="00F16D63"/>
    <w:rsid w:val="00F211E0"/>
    <w:rsid w:val="00F21C20"/>
    <w:rsid w:val="00F21E42"/>
    <w:rsid w:val="00F23F1D"/>
    <w:rsid w:val="00F32FAB"/>
    <w:rsid w:val="00F41771"/>
    <w:rsid w:val="00F473C3"/>
    <w:rsid w:val="00F50896"/>
    <w:rsid w:val="00F50DCB"/>
    <w:rsid w:val="00F51925"/>
    <w:rsid w:val="00F568C0"/>
    <w:rsid w:val="00F574AF"/>
    <w:rsid w:val="00F5790D"/>
    <w:rsid w:val="00F62DFD"/>
    <w:rsid w:val="00F666B4"/>
    <w:rsid w:val="00F73FA9"/>
    <w:rsid w:val="00F74740"/>
    <w:rsid w:val="00F8484C"/>
    <w:rsid w:val="00F85E6D"/>
    <w:rsid w:val="00F86C1C"/>
    <w:rsid w:val="00F9013A"/>
    <w:rsid w:val="00F91BD8"/>
    <w:rsid w:val="00F925CF"/>
    <w:rsid w:val="00F92702"/>
    <w:rsid w:val="00F93860"/>
    <w:rsid w:val="00F97AE4"/>
    <w:rsid w:val="00FA0151"/>
    <w:rsid w:val="00FA52A9"/>
    <w:rsid w:val="00FB1CB0"/>
    <w:rsid w:val="00FC3A40"/>
    <w:rsid w:val="00FC6320"/>
    <w:rsid w:val="00FC6CF7"/>
    <w:rsid w:val="00FC7E55"/>
    <w:rsid w:val="00FD0304"/>
    <w:rsid w:val="00FD1665"/>
    <w:rsid w:val="00FD3D15"/>
    <w:rsid w:val="00FD4006"/>
    <w:rsid w:val="00FE11AA"/>
    <w:rsid w:val="00FE23B4"/>
    <w:rsid w:val="00FE25D4"/>
    <w:rsid w:val="00FE27C9"/>
    <w:rsid w:val="00FE56B3"/>
    <w:rsid w:val="00FE75DC"/>
    <w:rsid w:val="00FE7DD2"/>
    <w:rsid w:val="00FF1DDA"/>
    <w:rsid w:val="00FF3242"/>
    <w:rsid w:val="00FF341E"/>
    <w:rsid w:val="00FF55E4"/>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m.gov.lv/f/files/aktivitates/12212_mizgltbas_apakaktivitte.doc" TargetMode="External"/><Relationship Id="rId13" Type="http://schemas.openxmlformats.org/officeDocument/2006/relationships/hyperlink" Target="mailto:Anna.Vibe@l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ildiga.iestade@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nva.gov.lv/index.php?cid=6&amp;mid=9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252E-1385-48F6-8FA1-350F250D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20550</Words>
  <Characters>11715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7.1.1. specifiskā atbalsta mērķa “Paaugstināt bezdarbnieku kvalifikāciju un prasmes atbilstoši darba tirgus pieprasījumam” īstenošanu” projekta sākotnējās ietekmes novērtējuma ziņojums (anotāci</vt:lpstr>
    </vt:vector>
  </TitlesOfParts>
  <Company>Labklājības ministrija</Company>
  <LinksUpToDate>false</LinksUpToDate>
  <CharactersWithSpaces>32201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7.1.1. specifiskā atbalsta mērķa “Paaugstināt bezdarbnieku kvalifikāciju un prasmes atbilstoši darba tirgus pieprasījumam” īstenošanu” projekta sākotnējās ietekmes novērtējuma ziņojums (anotācija)</dc:title>
  <dc:subject>Anotācija</dc:subject>
  <dc:creator>Anna Vībe</dc:creator>
  <dc:description>E-pasts: Anna.Vibe@lm.gov.lv_x000d_
Tālr.: 67021648</dc:description>
  <cp:lastModifiedBy>Anna Vibe</cp:lastModifiedBy>
  <cp:revision>3</cp:revision>
  <cp:lastPrinted>2014-12-12T10:30:00Z</cp:lastPrinted>
  <dcterms:created xsi:type="dcterms:W3CDTF">2014-12-18T14:07:00Z</dcterms:created>
  <dcterms:modified xsi:type="dcterms:W3CDTF">2014-12-18T16:39:00Z</dcterms:modified>
</cp:coreProperties>
</file>