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54" w:rsidRPr="00064954" w:rsidRDefault="00064954" w:rsidP="00064954">
      <w:pPr>
        <w:spacing w:after="0" w:line="240" w:lineRule="auto"/>
        <w:jc w:val="center"/>
        <w:rPr>
          <w:rFonts w:ascii="Times New Roman" w:eastAsia="Times New Roman" w:hAnsi="Times New Roman" w:cs="Times New Roman"/>
          <w:b/>
          <w:sz w:val="24"/>
          <w:szCs w:val="24"/>
          <w:lang w:eastAsia="lv-LV"/>
        </w:rPr>
      </w:pPr>
      <w:r w:rsidRPr="00064954">
        <w:rPr>
          <w:rFonts w:ascii="Times New Roman" w:eastAsia="Times New Roman" w:hAnsi="Times New Roman" w:cs="Times New Roman"/>
          <w:b/>
          <w:sz w:val="24"/>
          <w:szCs w:val="24"/>
          <w:lang w:eastAsia="lv-LV"/>
        </w:rPr>
        <w:t>Ministru kabineta noteikumu projekta</w:t>
      </w:r>
    </w:p>
    <w:p w:rsidR="00064954" w:rsidRPr="00064954" w:rsidRDefault="00064954" w:rsidP="00064954">
      <w:pPr>
        <w:spacing w:after="0" w:line="240" w:lineRule="auto"/>
        <w:jc w:val="center"/>
        <w:rPr>
          <w:rFonts w:ascii="Times New Roman" w:eastAsia="Times New Roman" w:hAnsi="Times New Roman" w:cs="Times New Roman"/>
          <w:b/>
          <w:sz w:val="24"/>
          <w:szCs w:val="24"/>
          <w:lang w:eastAsia="lv-LV"/>
        </w:rPr>
      </w:pPr>
      <w:r w:rsidRPr="00064954">
        <w:rPr>
          <w:rFonts w:ascii="Times New Roman" w:eastAsia="Times New Roman" w:hAnsi="Times New Roman" w:cs="Times New Roman"/>
          <w:b/>
          <w:bCs/>
          <w:sz w:val="24"/>
          <w:szCs w:val="24"/>
          <w:lang w:eastAsia="lv-LV"/>
        </w:rPr>
        <w:t>„Grozījumi Ministru kabineta 2007.gada 30.oktobra noteikumos Nr. 731 ”Noteikumi par darbības programmas ”Cilvēkresursi un nodarbinātība” papildinājuma aktivitāti ”Kapacitātes stiprināšana darba tirgus institūcijām”””</w:t>
      </w:r>
    </w:p>
    <w:p w:rsidR="00064954" w:rsidRPr="00064954" w:rsidRDefault="00064954" w:rsidP="00064954">
      <w:pPr>
        <w:spacing w:after="0" w:line="240" w:lineRule="auto"/>
        <w:jc w:val="center"/>
        <w:rPr>
          <w:rFonts w:ascii="Times New Roman" w:eastAsia="Times New Roman" w:hAnsi="Times New Roman" w:cs="Times New Roman"/>
          <w:b/>
          <w:sz w:val="24"/>
          <w:szCs w:val="24"/>
          <w:lang w:eastAsia="lv-LV"/>
        </w:rPr>
      </w:pPr>
      <w:r w:rsidRPr="00064954">
        <w:rPr>
          <w:rFonts w:ascii="Times New Roman" w:eastAsia="Times New Roman" w:hAnsi="Times New Roman" w:cs="Times New Roman"/>
          <w:b/>
          <w:sz w:val="24"/>
          <w:szCs w:val="24"/>
          <w:lang w:eastAsia="lv-LV"/>
        </w:rPr>
        <w:t>sākotnējās ietekmes novērtējuma ziņojums (anotācija)</w:t>
      </w:r>
    </w:p>
    <w:p w:rsidR="00CC1A56" w:rsidRPr="00584A0C" w:rsidRDefault="00CC1A56" w:rsidP="00CC1A56">
      <w:pPr>
        <w:pStyle w:val="naisf"/>
        <w:spacing w:before="0" w:beforeAutospacing="0" w:after="0" w:afterAutospacing="0"/>
        <w:jc w:val="right"/>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5"/>
      </w:tblGrid>
      <w:tr w:rsidR="00CC1A56" w:rsidRPr="00DD49B6" w:rsidTr="001E645F">
        <w:trPr>
          <w:trHeight w:val="419"/>
        </w:trPr>
        <w:tc>
          <w:tcPr>
            <w:tcW w:w="5000" w:type="pct"/>
            <w:gridSpan w:val="3"/>
            <w:vAlign w:val="center"/>
          </w:tcPr>
          <w:p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rsidTr="001E645F">
        <w:trPr>
          <w:trHeight w:val="415"/>
        </w:trPr>
        <w:tc>
          <w:tcPr>
            <w:tcW w:w="227" w:type="pct"/>
          </w:tcPr>
          <w:p w:rsidR="00CC1A56" w:rsidRPr="00DD49B6" w:rsidRDefault="00CC1A56" w:rsidP="007D385B">
            <w:pPr>
              <w:pStyle w:val="naiskr"/>
              <w:spacing w:before="0" w:beforeAutospacing="0" w:after="0" w:afterAutospacing="0"/>
              <w:ind w:left="57" w:right="57"/>
              <w:jc w:val="center"/>
            </w:pPr>
            <w:r w:rsidRPr="00DD49B6">
              <w:t>1.</w:t>
            </w:r>
          </w:p>
        </w:tc>
        <w:tc>
          <w:tcPr>
            <w:tcW w:w="1566" w:type="pct"/>
          </w:tcPr>
          <w:p w:rsidR="008C2310" w:rsidRDefault="00CC1A56" w:rsidP="007D385B">
            <w:pPr>
              <w:pStyle w:val="naiskr"/>
              <w:spacing w:before="0" w:beforeAutospacing="0" w:after="0" w:afterAutospacing="0"/>
              <w:ind w:left="57" w:right="57"/>
            </w:pPr>
            <w:r w:rsidRPr="00DD49B6">
              <w:t>Pamatojums</w:t>
            </w:r>
          </w:p>
          <w:p w:rsidR="008C2310" w:rsidRDefault="008C2310" w:rsidP="008C2310">
            <w:pPr>
              <w:rPr>
                <w:lang w:eastAsia="lv-LV"/>
              </w:rPr>
            </w:pPr>
          </w:p>
          <w:p w:rsidR="00CC1A56" w:rsidRPr="008C2310" w:rsidRDefault="00CC1A56" w:rsidP="008C2310">
            <w:pPr>
              <w:ind w:firstLine="720"/>
              <w:rPr>
                <w:lang w:eastAsia="lv-LV"/>
              </w:rPr>
            </w:pPr>
          </w:p>
        </w:tc>
        <w:tc>
          <w:tcPr>
            <w:tcW w:w="3207" w:type="pct"/>
          </w:tcPr>
          <w:p w:rsidR="00CC1A56" w:rsidRPr="006D573E" w:rsidRDefault="00064954" w:rsidP="00E54C92">
            <w:pPr>
              <w:spacing w:after="0" w:line="240" w:lineRule="auto"/>
              <w:ind w:left="142" w:right="141"/>
              <w:jc w:val="both"/>
              <w:rPr>
                <w:rFonts w:ascii="Times New Roman" w:hAnsi="Times New Roman" w:cs="Times New Roman"/>
                <w:sz w:val="24"/>
                <w:szCs w:val="24"/>
                <w:shd w:val="clear" w:color="auto" w:fill="FFFFFF"/>
              </w:rPr>
            </w:pPr>
            <w:r w:rsidRPr="00064954">
              <w:rPr>
                <w:rFonts w:ascii="Times New Roman" w:hAnsi="Times New Roman" w:cs="Times New Roman"/>
                <w:sz w:val="24"/>
                <w:szCs w:val="24"/>
              </w:rPr>
              <w:t>Ministru kabineta noteikumu projekts „Grozījumi Ministru kabineta 2007.gada 30.oktobra noteikumos Nr.731 ”Noteikumi par darbības programmas ”Cilvēkresursi un nodarbinātība” papildinājuma aktivitāti ”Kapacitātes stiprināšana darba tirgus institūcijām””” (turpmāk – MK noteikumu projekts) izstrādāts</w:t>
            </w:r>
            <w:r w:rsidRPr="00064954">
              <w:rPr>
                <w:rFonts w:ascii="Times New Roman" w:eastAsia="PMingLiU" w:hAnsi="Times New Roman" w:cs="Times New Roman"/>
                <w:color w:val="000000"/>
                <w:sz w:val="24"/>
                <w:szCs w:val="24"/>
                <w:lang w:eastAsia="zh-TW"/>
              </w:rPr>
              <w:t xml:space="preserve"> atbilstoši Labklājības ministrijas rosinātajiem grozījumiem darbības programmas „Cilvēkresursi un </w:t>
            </w:r>
            <w:r>
              <w:rPr>
                <w:rFonts w:ascii="Times New Roman" w:eastAsia="PMingLiU" w:hAnsi="Times New Roman" w:cs="Times New Roman"/>
                <w:color w:val="000000"/>
                <w:sz w:val="24"/>
                <w:szCs w:val="24"/>
                <w:lang w:eastAsia="zh-TW"/>
              </w:rPr>
              <w:t>nodarbinātība” papildinājumā.</w:t>
            </w:r>
          </w:p>
        </w:tc>
      </w:tr>
      <w:tr w:rsidR="00CC1A56" w:rsidRPr="00DD49B6" w:rsidTr="001E645F">
        <w:trPr>
          <w:trHeight w:val="472"/>
        </w:trPr>
        <w:tc>
          <w:tcPr>
            <w:tcW w:w="227" w:type="pct"/>
          </w:tcPr>
          <w:p w:rsidR="00CC1A56" w:rsidRPr="00DD49B6" w:rsidRDefault="00CC1A56" w:rsidP="007D385B">
            <w:pPr>
              <w:pStyle w:val="naiskr"/>
              <w:spacing w:before="0" w:beforeAutospacing="0" w:after="0" w:afterAutospacing="0"/>
              <w:ind w:left="57" w:right="57"/>
              <w:jc w:val="center"/>
            </w:pPr>
            <w:r w:rsidRPr="00DD49B6">
              <w:t>2.</w:t>
            </w:r>
          </w:p>
        </w:tc>
        <w:tc>
          <w:tcPr>
            <w:tcW w:w="1566" w:type="pct"/>
          </w:tcPr>
          <w:p w:rsidR="00CC1A56" w:rsidRPr="00DD49B6"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7" w:type="pct"/>
          </w:tcPr>
          <w:p w:rsidR="005907D0" w:rsidRPr="005907D0" w:rsidRDefault="005907D0" w:rsidP="005907D0">
            <w:pPr>
              <w:pStyle w:val="ListParagraph"/>
              <w:spacing w:after="0" w:line="240" w:lineRule="auto"/>
              <w:ind w:left="142" w:right="142"/>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1.</w:t>
            </w:r>
            <w:r w:rsidR="00F55F58" w:rsidRPr="00F55F58">
              <w:rPr>
                <w:rFonts w:ascii="Times New Roman" w:hAnsi="Times New Roman" w:cs="Times New Roman"/>
                <w:sz w:val="24"/>
                <w:szCs w:val="24"/>
              </w:rPr>
              <w:t xml:space="preserve"> </w:t>
            </w:r>
            <w:r w:rsidRPr="005907D0">
              <w:rPr>
                <w:rFonts w:ascii="Times New Roman" w:eastAsia="Calibri" w:hAnsi="Times New Roman" w:cs="Times New Roman"/>
                <w:sz w:val="24"/>
                <w:szCs w:val="24"/>
              </w:rPr>
              <w:t xml:space="preserve"> </w:t>
            </w:r>
            <w:r w:rsidR="00926CFB">
              <w:rPr>
                <w:rFonts w:ascii="Times New Roman" w:eastAsia="Calibri" w:hAnsi="Times New Roman" w:cs="Times New Roman"/>
                <w:sz w:val="24"/>
                <w:szCs w:val="24"/>
              </w:rPr>
              <w:t xml:space="preserve"> D</w:t>
            </w:r>
            <w:r w:rsidR="00926CFB" w:rsidRPr="005907D0">
              <w:rPr>
                <w:rFonts w:ascii="Times New Roman" w:eastAsia="Calibri" w:hAnsi="Times New Roman" w:cs="Times New Roman"/>
                <w:sz w:val="24"/>
                <w:szCs w:val="24"/>
              </w:rPr>
              <w:t>arbības programmas „Cilvēkresursi un nodarbinātība” papildinājuma 1.3.1.4.aktivitātes „Kapacitātes stiprināšana darba tirgus institūcijām” (turpmāk – 1.3.1.4.aktivitāte)</w:t>
            </w:r>
            <w:r w:rsidR="00926CFB">
              <w:rPr>
                <w:rFonts w:ascii="Times New Roman" w:eastAsia="Calibri" w:hAnsi="Times New Roman" w:cs="Times New Roman"/>
                <w:sz w:val="24"/>
                <w:szCs w:val="24"/>
              </w:rPr>
              <w:t xml:space="preserve"> viena no atbalstāmajām darbībām ir</w:t>
            </w:r>
            <w:r w:rsidR="00926CFB" w:rsidRPr="005907D0">
              <w:rPr>
                <w:rFonts w:ascii="Times New Roman" w:eastAsia="Calibri" w:hAnsi="Times New Roman" w:cs="Times New Roman"/>
                <w:sz w:val="24"/>
                <w:szCs w:val="24"/>
              </w:rPr>
              <w:t xml:space="preserve"> Nodarbinātības </w:t>
            </w:r>
            <w:r w:rsidR="00926CFB">
              <w:rPr>
                <w:rFonts w:ascii="Times New Roman" w:eastAsia="Calibri" w:hAnsi="Times New Roman" w:cs="Times New Roman"/>
                <w:sz w:val="24"/>
                <w:szCs w:val="24"/>
              </w:rPr>
              <w:t>valsts aģentūra</w:t>
            </w:r>
            <w:r w:rsidR="00E54C92">
              <w:rPr>
                <w:rFonts w:ascii="Times New Roman" w:eastAsia="Calibri" w:hAnsi="Times New Roman" w:cs="Times New Roman"/>
                <w:sz w:val="24"/>
                <w:szCs w:val="24"/>
              </w:rPr>
              <w:t>s</w:t>
            </w:r>
            <w:r w:rsidR="00926CFB">
              <w:rPr>
                <w:rFonts w:ascii="Times New Roman" w:eastAsia="Calibri" w:hAnsi="Times New Roman" w:cs="Times New Roman"/>
                <w:sz w:val="24"/>
                <w:szCs w:val="24"/>
              </w:rPr>
              <w:t xml:space="preserve"> (turpmāk – NVA) darba metožu pilnveido</w:t>
            </w:r>
            <w:r w:rsidR="005C3342">
              <w:rPr>
                <w:rFonts w:ascii="Times New Roman" w:eastAsia="Calibri" w:hAnsi="Times New Roman" w:cs="Times New Roman"/>
                <w:sz w:val="24"/>
                <w:szCs w:val="24"/>
              </w:rPr>
              <w:t>šana, kas visefektīvāk</w:t>
            </w:r>
            <w:r w:rsidR="00926CFB">
              <w:rPr>
                <w:rFonts w:ascii="Times New Roman" w:eastAsia="Calibri" w:hAnsi="Times New Roman" w:cs="Times New Roman"/>
                <w:sz w:val="24"/>
                <w:szCs w:val="24"/>
              </w:rPr>
              <w:t xml:space="preserve"> </w:t>
            </w:r>
            <w:r w:rsidR="005C3342">
              <w:rPr>
                <w:rFonts w:ascii="Times New Roman" w:eastAsia="Calibri" w:hAnsi="Times New Roman" w:cs="Times New Roman"/>
                <w:sz w:val="24"/>
                <w:szCs w:val="24"/>
              </w:rPr>
              <w:t xml:space="preserve">sekmē 1.3.1.4.aktivitātes mērķa sasniegšanu - </w:t>
            </w:r>
            <w:r w:rsidR="005C3342">
              <w:rPr>
                <w:rFonts w:ascii="Times New Roman" w:hAnsi="Times New Roman" w:cs="Times New Roman"/>
                <w:sz w:val="24"/>
                <w:szCs w:val="24"/>
              </w:rPr>
              <w:t>izveidot modernu un uz klientiem vērstu institūciju</w:t>
            </w:r>
            <w:r w:rsidR="005C3342" w:rsidRPr="005C3342">
              <w:rPr>
                <w:rFonts w:ascii="Times New Roman" w:hAnsi="Times New Roman" w:cs="Times New Roman"/>
                <w:sz w:val="24"/>
                <w:szCs w:val="24"/>
              </w:rPr>
              <w:t>, kas operatīvi reaģē uz klientu pieprasījumu un sniedz atbilstošas kompetentas konsultācijas, nodrošina informatīvo atbalstu, sekmē darbaspēka konkurētspēju un darba kvalitātes paaugstināšanu</w:t>
            </w:r>
            <w:r w:rsidR="005C3342">
              <w:rPr>
                <w:rFonts w:ascii="Times New Roman" w:hAnsi="Times New Roman" w:cs="Times New Roman"/>
                <w:sz w:val="24"/>
                <w:szCs w:val="24"/>
              </w:rPr>
              <w:t>. Lai sasniegtu 1.3.1.4.aktivitātes mērķi, N</w:t>
            </w:r>
            <w:r w:rsidR="00926CFB">
              <w:rPr>
                <w:rFonts w:ascii="Times New Roman" w:eastAsia="Calibri" w:hAnsi="Times New Roman" w:cs="Times New Roman"/>
                <w:sz w:val="24"/>
                <w:szCs w:val="24"/>
              </w:rPr>
              <w:t xml:space="preserve">VA </w:t>
            </w:r>
            <w:r w:rsidRPr="005907D0">
              <w:rPr>
                <w:rFonts w:ascii="Times New Roman" w:eastAsia="Calibri" w:hAnsi="Times New Roman" w:cs="Times New Roman"/>
                <w:sz w:val="24"/>
                <w:szCs w:val="24"/>
              </w:rPr>
              <w:t xml:space="preserve">kā </w:t>
            </w:r>
            <w:r w:rsidRPr="005907D0">
              <w:rPr>
                <w:rFonts w:ascii="Times New Roman" w:eastAsia="Calibri" w:hAnsi="Times New Roman" w:cs="Times New Roman"/>
                <w:sz w:val="24"/>
                <w:szCs w:val="24"/>
                <w:lang w:eastAsia="lv-LV"/>
              </w:rPr>
              <w:t>moderna</w:t>
            </w:r>
            <w:r w:rsidR="000C11FA">
              <w:rPr>
                <w:rFonts w:ascii="Times New Roman" w:eastAsia="Calibri" w:hAnsi="Times New Roman" w:cs="Times New Roman"/>
                <w:sz w:val="24"/>
                <w:szCs w:val="24"/>
                <w:lang w:eastAsia="lv-LV"/>
              </w:rPr>
              <w:t>i</w:t>
            </w:r>
            <w:r w:rsidRPr="005907D0">
              <w:rPr>
                <w:rFonts w:ascii="Times New Roman" w:eastAsia="Calibri" w:hAnsi="Times New Roman" w:cs="Times New Roman"/>
                <w:sz w:val="24"/>
                <w:szCs w:val="24"/>
                <w:lang w:eastAsia="lv-LV"/>
              </w:rPr>
              <w:t xml:space="preserve"> un uz klientiem vērsta</w:t>
            </w:r>
            <w:r w:rsidR="008F1703">
              <w:rPr>
                <w:rFonts w:ascii="Times New Roman" w:eastAsia="Calibri" w:hAnsi="Times New Roman" w:cs="Times New Roman"/>
                <w:sz w:val="24"/>
                <w:szCs w:val="24"/>
                <w:lang w:eastAsia="lv-LV"/>
              </w:rPr>
              <w:t>i</w:t>
            </w:r>
            <w:r w:rsidRPr="005907D0">
              <w:rPr>
                <w:rFonts w:ascii="Times New Roman" w:eastAsia="Calibri" w:hAnsi="Times New Roman" w:cs="Times New Roman"/>
                <w:sz w:val="24"/>
                <w:szCs w:val="24"/>
                <w:lang w:eastAsia="lv-LV"/>
              </w:rPr>
              <w:t xml:space="preserve"> institūcija</w:t>
            </w:r>
            <w:r w:rsidR="000C11FA">
              <w:rPr>
                <w:rFonts w:ascii="Times New Roman" w:eastAsia="Calibri" w:hAnsi="Times New Roman" w:cs="Times New Roman"/>
                <w:sz w:val="24"/>
                <w:szCs w:val="24"/>
                <w:lang w:eastAsia="lv-LV"/>
              </w:rPr>
              <w:t>i</w:t>
            </w:r>
            <w:r w:rsidR="00A2200A">
              <w:rPr>
                <w:rFonts w:ascii="Times New Roman" w:eastAsia="Calibri" w:hAnsi="Times New Roman" w:cs="Times New Roman"/>
                <w:sz w:val="24"/>
                <w:szCs w:val="24"/>
                <w:lang w:eastAsia="lv-LV"/>
              </w:rPr>
              <w:t xml:space="preserve"> jāturpina</w:t>
            </w:r>
            <w:r w:rsidRPr="005907D0">
              <w:rPr>
                <w:rFonts w:ascii="Times New Roman" w:eastAsia="Calibri" w:hAnsi="Times New Roman" w:cs="Times New Roman"/>
                <w:sz w:val="24"/>
                <w:szCs w:val="24"/>
                <w:lang w:eastAsia="lv-LV"/>
              </w:rPr>
              <w:t xml:space="preserve"> </w:t>
            </w:r>
            <w:r w:rsidR="00A2200A">
              <w:rPr>
                <w:rFonts w:ascii="Times New Roman" w:eastAsia="Calibri" w:hAnsi="Times New Roman" w:cs="Times New Roman"/>
                <w:sz w:val="24"/>
                <w:szCs w:val="24"/>
                <w:lang w:eastAsia="lv-LV"/>
              </w:rPr>
              <w:t>uzlabo</w:t>
            </w:r>
            <w:r w:rsidR="005C3342">
              <w:rPr>
                <w:rFonts w:ascii="Times New Roman" w:eastAsia="Calibri" w:hAnsi="Times New Roman" w:cs="Times New Roman"/>
                <w:sz w:val="24"/>
                <w:szCs w:val="24"/>
                <w:lang w:eastAsia="lv-LV"/>
              </w:rPr>
              <w:t>t klientu apkalpošanas kvalitāte</w:t>
            </w:r>
            <w:r w:rsidR="00A2200A">
              <w:rPr>
                <w:rFonts w:ascii="Times New Roman" w:eastAsia="Calibri" w:hAnsi="Times New Roman" w:cs="Times New Roman"/>
                <w:sz w:val="24"/>
                <w:szCs w:val="24"/>
                <w:lang w:eastAsia="lv-LV"/>
              </w:rPr>
              <w:t>. Līdz ar to</w:t>
            </w:r>
            <w:r w:rsidRPr="005907D0">
              <w:rPr>
                <w:rFonts w:ascii="Times New Roman" w:eastAsia="Calibri" w:hAnsi="Times New Roman" w:cs="Times New Roman"/>
                <w:sz w:val="24"/>
                <w:szCs w:val="24"/>
                <w:lang w:eastAsia="lv-LV"/>
              </w:rPr>
              <w:t xml:space="preserve"> </w:t>
            </w:r>
            <w:r w:rsidR="005C3342">
              <w:rPr>
                <w:rFonts w:ascii="Times New Roman" w:eastAsia="Calibri" w:hAnsi="Times New Roman" w:cs="Times New Roman"/>
                <w:sz w:val="24"/>
                <w:szCs w:val="24"/>
                <w:lang w:eastAsia="lv-LV"/>
              </w:rPr>
              <w:t>NVA darba metožu pilnveidošanas pasākumu</w:t>
            </w:r>
            <w:r w:rsidR="00926CFB">
              <w:rPr>
                <w:rFonts w:ascii="Times New Roman" w:eastAsia="Calibri" w:hAnsi="Times New Roman" w:cs="Times New Roman"/>
                <w:sz w:val="24"/>
                <w:szCs w:val="24"/>
                <w:lang w:eastAsia="lv-LV"/>
              </w:rPr>
              <w:t xml:space="preserve"> ietvaros ir izstrādājusi tr</w:t>
            </w:r>
            <w:r w:rsidR="003D6F4E">
              <w:rPr>
                <w:rFonts w:ascii="Times New Roman" w:eastAsia="Calibri" w:hAnsi="Times New Roman" w:cs="Times New Roman"/>
                <w:sz w:val="24"/>
                <w:szCs w:val="24"/>
                <w:lang w:eastAsia="lv-LV"/>
              </w:rPr>
              <w:t>īs operatīvās klientu apkalpošanas</w:t>
            </w:r>
            <w:r w:rsidR="00926CFB">
              <w:rPr>
                <w:rFonts w:ascii="Times New Roman" w:eastAsia="Calibri" w:hAnsi="Times New Roman" w:cs="Times New Roman"/>
                <w:sz w:val="24"/>
                <w:szCs w:val="24"/>
                <w:lang w:eastAsia="lv-LV"/>
              </w:rPr>
              <w:t xml:space="preserve"> metodes - </w:t>
            </w:r>
            <w:r w:rsidR="003D6F4E" w:rsidRPr="003D6F4E">
              <w:rPr>
                <w:rFonts w:ascii="Times New Roman" w:eastAsia="Calibri" w:hAnsi="Times New Roman" w:cs="Times New Roman"/>
                <w:sz w:val="24"/>
                <w:szCs w:val="24"/>
              </w:rPr>
              <w:t>bezdarbnieku kl</w:t>
            </w:r>
            <w:r w:rsidR="00E54C92">
              <w:rPr>
                <w:rFonts w:ascii="Times New Roman" w:eastAsia="Calibri" w:hAnsi="Times New Roman" w:cs="Times New Roman"/>
                <w:sz w:val="24"/>
                <w:szCs w:val="24"/>
              </w:rPr>
              <w:t>asifikācijas/profilēšanas metodi</w:t>
            </w:r>
            <w:r w:rsidR="003D6F4E" w:rsidRPr="003D6F4E">
              <w:rPr>
                <w:rFonts w:ascii="Times New Roman" w:eastAsia="Calibri" w:hAnsi="Times New Roman" w:cs="Times New Roman"/>
                <w:sz w:val="24"/>
                <w:szCs w:val="24"/>
              </w:rPr>
              <w:t>, darba tirgu</w:t>
            </w:r>
            <w:r w:rsidR="00E54C92">
              <w:rPr>
                <w:rFonts w:ascii="Times New Roman" w:eastAsia="Calibri" w:hAnsi="Times New Roman" w:cs="Times New Roman"/>
                <w:sz w:val="24"/>
                <w:szCs w:val="24"/>
              </w:rPr>
              <w:t>s īstermiņa prognozēšanas metodi</w:t>
            </w:r>
            <w:r w:rsidR="003D6F4E" w:rsidRPr="003D6F4E">
              <w:rPr>
                <w:rFonts w:ascii="Times New Roman" w:eastAsia="Calibri" w:hAnsi="Times New Roman" w:cs="Times New Roman"/>
                <w:sz w:val="24"/>
                <w:szCs w:val="24"/>
              </w:rPr>
              <w:t xml:space="preserve"> un apmācību</w:t>
            </w:r>
            <w:r w:rsidR="00E54C92">
              <w:rPr>
                <w:rFonts w:ascii="Times New Roman" w:eastAsia="Calibri" w:hAnsi="Times New Roman" w:cs="Times New Roman"/>
                <w:sz w:val="24"/>
                <w:szCs w:val="24"/>
              </w:rPr>
              <w:t xml:space="preserve"> pasākumu kvalitātes monitoringa metodi</w:t>
            </w:r>
            <w:r w:rsidR="003D6F4E">
              <w:rPr>
                <w:rFonts w:ascii="Times New Roman" w:eastAsia="Calibri" w:hAnsi="Times New Roman" w:cs="Times New Roman"/>
                <w:b/>
                <w:sz w:val="24"/>
                <w:szCs w:val="24"/>
              </w:rPr>
              <w:t xml:space="preserve">. </w:t>
            </w:r>
            <w:r w:rsidR="003D6F4E" w:rsidRPr="003D6F4E">
              <w:rPr>
                <w:rFonts w:ascii="Times New Roman" w:eastAsia="Calibri" w:hAnsi="Times New Roman" w:cs="Times New Roman"/>
                <w:sz w:val="24"/>
                <w:szCs w:val="24"/>
              </w:rPr>
              <w:t xml:space="preserve">Lai nodrošinātu šo metožu pilnveidošanu un </w:t>
            </w:r>
            <w:r w:rsidR="003D6F4E">
              <w:rPr>
                <w:rFonts w:ascii="Times New Roman" w:eastAsia="Calibri" w:hAnsi="Times New Roman" w:cs="Times New Roman"/>
                <w:sz w:val="24"/>
                <w:szCs w:val="24"/>
              </w:rPr>
              <w:t xml:space="preserve">efektīvu </w:t>
            </w:r>
            <w:r w:rsidR="003D6F4E" w:rsidRPr="003D6F4E">
              <w:rPr>
                <w:rFonts w:ascii="Times New Roman" w:eastAsia="Calibri" w:hAnsi="Times New Roman" w:cs="Times New Roman"/>
                <w:sz w:val="24"/>
                <w:szCs w:val="24"/>
              </w:rPr>
              <w:t>pielietošanu klientu apkalpošanā,</w:t>
            </w:r>
            <w:r w:rsidR="003D6F4E">
              <w:rPr>
                <w:rFonts w:ascii="Times New Roman" w:eastAsia="Calibri" w:hAnsi="Times New Roman" w:cs="Times New Roman"/>
                <w:b/>
                <w:sz w:val="24"/>
                <w:szCs w:val="24"/>
              </w:rPr>
              <w:t xml:space="preserve"> </w:t>
            </w:r>
            <w:r w:rsidRPr="005907D0">
              <w:rPr>
                <w:rFonts w:ascii="Times New Roman" w:eastAsia="Calibri" w:hAnsi="Times New Roman" w:cs="Times New Roman"/>
                <w:sz w:val="24"/>
                <w:szCs w:val="24"/>
                <w:lang w:eastAsia="lv-LV"/>
              </w:rPr>
              <w:t>ir nepieciešams nomāt informācijas tehnoloģiju (turpmāk – IT) ris</w:t>
            </w:r>
            <w:r w:rsidR="003D6F4E">
              <w:rPr>
                <w:rFonts w:ascii="Times New Roman" w:eastAsia="Calibri" w:hAnsi="Times New Roman" w:cs="Times New Roman"/>
                <w:sz w:val="24"/>
                <w:szCs w:val="24"/>
                <w:lang w:eastAsia="lv-LV"/>
              </w:rPr>
              <w:t>inājumus</w:t>
            </w:r>
            <w:r w:rsidR="00E54C92">
              <w:rPr>
                <w:rFonts w:ascii="Times New Roman" w:eastAsia="Calibri" w:hAnsi="Times New Roman" w:cs="Times New Roman"/>
                <w:sz w:val="24"/>
                <w:szCs w:val="24"/>
                <w:lang w:eastAsia="lv-LV"/>
              </w:rPr>
              <w:t>/rīkus (turpmāk – rīki)</w:t>
            </w:r>
            <w:r w:rsidR="003D6F4E">
              <w:rPr>
                <w:rFonts w:ascii="Times New Roman" w:eastAsia="Calibri" w:hAnsi="Times New Roman" w:cs="Times New Roman"/>
                <w:sz w:val="24"/>
                <w:szCs w:val="24"/>
                <w:lang w:eastAsia="lv-LV"/>
              </w:rPr>
              <w:t xml:space="preserve"> NVA klientu apkalpošanas uzlabošanai</w:t>
            </w:r>
            <w:r w:rsidRPr="005907D0">
              <w:rPr>
                <w:rFonts w:ascii="Times New Roman" w:eastAsia="Calibri" w:hAnsi="Times New Roman" w:cs="Times New Roman"/>
                <w:sz w:val="24"/>
                <w:szCs w:val="24"/>
                <w:lang w:eastAsia="lv-LV"/>
              </w:rPr>
              <w:t xml:space="preserve">. </w:t>
            </w:r>
            <w:r w:rsidR="00A2200A">
              <w:rPr>
                <w:rFonts w:ascii="Times New Roman" w:eastAsia="Calibri" w:hAnsi="Times New Roman" w:cs="Times New Roman"/>
                <w:sz w:val="24"/>
                <w:szCs w:val="24"/>
                <w:lang w:eastAsia="lv-LV"/>
              </w:rPr>
              <w:t>Savukārt, lai</w:t>
            </w:r>
            <w:r w:rsidRPr="005907D0">
              <w:rPr>
                <w:rFonts w:ascii="Times New Roman" w:eastAsia="Calibri" w:hAnsi="Times New Roman" w:cs="Times New Roman"/>
                <w:sz w:val="24"/>
                <w:szCs w:val="24"/>
                <w:lang w:eastAsia="lv-LV"/>
              </w:rPr>
              <w:t xml:space="preserve"> nodroši</w:t>
            </w:r>
            <w:r w:rsidR="00E54C92">
              <w:rPr>
                <w:rFonts w:ascii="Times New Roman" w:eastAsia="Calibri" w:hAnsi="Times New Roman" w:cs="Times New Roman"/>
                <w:sz w:val="24"/>
                <w:szCs w:val="24"/>
                <w:lang w:eastAsia="lv-LV"/>
              </w:rPr>
              <w:t>nātu IT rīku</w:t>
            </w:r>
            <w:r w:rsidR="003D6F4E">
              <w:rPr>
                <w:rFonts w:ascii="Times New Roman" w:eastAsia="Calibri" w:hAnsi="Times New Roman" w:cs="Times New Roman"/>
                <w:sz w:val="24"/>
                <w:szCs w:val="24"/>
                <w:lang w:eastAsia="lv-LV"/>
              </w:rPr>
              <w:t xml:space="preserve"> pielietošanu</w:t>
            </w:r>
            <w:r w:rsidRPr="005907D0">
              <w:rPr>
                <w:rFonts w:ascii="Times New Roman" w:eastAsia="Calibri" w:hAnsi="Times New Roman" w:cs="Times New Roman"/>
                <w:sz w:val="24"/>
                <w:szCs w:val="24"/>
                <w:lang w:eastAsia="lv-LV"/>
              </w:rPr>
              <w:t xml:space="preserve"> NVA darbā ar klientiem, ir nepieciešams papildināt</w:t>
            </w:r>
            <w:r w:rsidRPr="005907D0">
              <w:rPr>
                <w:rFonts w:ascii="Times New Roman" w:eastAsia="Calibri" w:hAnsi="Times New Roman" w:cs="Times New Roman"/>
                <w:sz w:val="24"/>
                <w:szCs w:val="24"/>
              </w:rPr>
              <w:t xml:space="preserve"> 1.3.1.4</w:t>
            </w:r>
            <w:r w:rsidR="004117D8">
              <w:rPr>
                <w:rFonts w:ascii="Times New Roman" w:eastAsia="Calibri" w:hAnsi="Times New Roman" w:cs="Times New Roman"/>
                <w:sz w:val="24"/>
                <w:szCs w:val="24"/>
              </w:rPr>
              <w:t>.aktivitāti</w:t>
            </w:r>
            <w:r w:rsidRPr="005907D0">
              <w:rPr>
                <w:rFonts w:ascii="Times New Roman" w:eastAsia="Calibri" w:hAnsi="Times New Roman" w:cs="Times New Roman"/>
                <w:sz w:val="24"/>
                <w:szCs w:val="24"/>
              </w:rPr>
              <w:t xml:space="preserve"> ar jaunu atbalstāmo darbību </w:t>
            </w:r>
            <w:r w:rsidR="004117D8">
              <w:rPr>
                <w:rFonts w:ascii="Times New Roman" w:eastAsia="Calibri" w:hAnsi="Times New Roman" w:cs="Times New Roman"/>
                <w:sz w:val="24"/>
                <w:szCs w:val="24"/>
              </w:rPr>
              <w:t xml:space="preserve">un izmaksu pozīciju </w:t>
            </w:r>
            <w:r w:rsidRPr="005907D0">
              <w:rPr>
                <w:rFonts w:ascii="Times New Roman" w:eastAsia="Calibri" w:hAnsi="Times New Roman" w:cs="Times New Roman"/>
                <w:sz w:val="24"/>
                <w:szCs w:val="24"/>
              </w:rPr>
              <w:t>„Operatīvās klientu apkalpošanas IT rīku noma”. Šīs jaunās a</w:t>
            </w:r>
            <w:r w:rsidRPr="005907D0">
              <w:rPr>
                <w:rFonts w:ascii="Times New Roman" w:eastAsia="Calibri" w:hAnsi="Times New Roman" w:cs="Times New Roman"/>
                <w:sz w:val="24"/>
                <w:szCs w:val="24"/>
                <w:lang w:eastAsia="lv-LV"/>
              </w:rPr>
              <w:t>tbalstāmās darbības ietvaros tiktu nodrošināt</w:t>
            </w:r>
            <w:r w:rsidR="00E54C92">
              <w:rPr>
                <w:rFonts w:ascii="Times New Roman" w:eastAsia="Calibri" w:hAnsi="Times New Roman" w:cs="Times New Roman"/>
                <w:sz w:val="24"/>
                <w:szCs w:val="24"/>
                <w:lang w:eastAsia="lv-LV"/>
              </w:rPr>
              <w:t>a šādu trīs IT rīku</w:t>
            </w:r>
            <w:r w:rsidRPr="005907D0">
              <w:rPr>
                <w:rFonts w:ascii="Times New Roman" w:eastAsia="Calibri" w:hAnsi="Times New Roman" w:cs="Times New Roman"/>
                <w:sz w:val="24"/>
                <w:szCs w:val="24"/>
                <w:lang w:eastAsia="lv-LV"/>
              </w:rPr>
              <w:t xml:space="preserve"> noma</w:t>
            </w:r>
            <w:r w:rsidR="005C3342">
              <w:rPr>
                <w:rFonts w:ascii="Times New Roman" w:eastAsia="Calibri" w:hAnsi="Times New Roman" w:cs="Times New Roman"/>
                <w:sz w:val="24"/>
                <w:szCs w:val="24"/>
                <w:lang w:eastAsia="lv-LV"/>
              </w:rPr>
              <w:t xml:space="preserve">, kas nodrošinātu </w:t>
            </w:r>
            <w:r w:rsidR="009B659B">
              <w:rPr>
                <w:rFonts w:ascii="Times New Roman" w:eastAsia="Calibri" w:hAnsi="Times New Roman" w:cs="Times New Roman"/>
                <w:sz w:val="24"/>
                <w:szCs w:val="24"/>
                <w:lang w:eastAsia="lv-LV"/>
              </w:rPr>
              <w:t xml:space="preserve">NVA </w:t>
            </w:r>
            <w:r w:rsidR="005C3342">
              <w:rPr>
                <w:rFonts w:ascii="Times New Roman" w:eastAsia="Calibri" w:hAnsi="Times New Roman" w:cs="Times New Roman"/>
                <w:sz w:val="24"/>
                <w:szCs w:val="24"/>
                <w:lang w:eastAsia="lv-LV"/>
              </w:rPr>
              <w:t xml:space="preserve">izstrādāto </w:t>
            </w:r>
            <w:r w:rsidR="009B659B">
              <w:rPr>
                <w:rFonts w:ascii="Times New Roman" w:eastAsia="Calibri" w:hAnsi="Times New Roman" w:cs="Times New Roman"/>
                <w:sz w:val="24"/>
                <w:szCs w:val="24"/>
                <w:lang w:eastAsia="lv-LV"/>
              </w:rPr>
              <w:t>klientu apkalpošanas metožu novērtēšanu darbībā</w:t>
            </w:r>
            <w:r w:rsidRPr="005907D0">
              <w:rPr>
                <w:rFonts w:ascii="Times New Roman" w:eastAsia="Calibri" w:hAnsi="Times New Roman" w:cs="Times New Roman"/>
                <w:sz w:val="24"/>
                <w:szCs w:val="24"/>
                <w:lang w:eastAsia="lv-LV"/>
              </w:rPr>
              <w:t xml:space="preserve">: </w:t>
            </w:r>
          </w:p>
          <w:p w:rsidR="005907D0" w:rsidRPr="00221D3C" w:rsidRDefault="001C168A" w:rsidP="005907D0">
            <w:pPr>
              <w:numPr>
                <w:ilvl w:val="0"/>
                <w:numId w:val="15"/>
              </w:numPr>
              <w:spacing w:after="0" w:line="240" w:lineRule="auto"/>
              <w:ind w:left="142" w:right="142"/>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 </w:t>
            </w:r>
            <w:r w:rsidR="003D6F4E">
              <w:rPr>
                <w:rFonts w:ascii="Times New Roman" w:eastAsia="Calibri" w:hAnsi="Times New Roman" w:cs="Times New Roman"/>
                <w:sz w:val="24"/>
                <w:szCs w:val="24"/>
              </w:rPr>
              <w:t xml:space="preserve">1) </w:t>
            </w:r>
            <w:r w:rsidR="00E54C92" w:rsidRPr="00221D3C">
              <w:rPr>
                <w:rFonts w:ascii="Times New Roman" w:eastAsia="Calibri" w:hAnsi="Times New Roman" w:cs="Times New Roman"/>
                <w:sz w:val="24"/>
                <w:szCs w:val="24"/>
              </w:rPr>
              <w:t>e</w:t>
            </w:r>
            <w:r w:rsidR="005907D0" w:rsidRPr="00221D3C">
              <w:rPr>
                <w:rFonts w:ascii="Times New Roman" w:eastAsia="Calibri" w:hAnsi="Times New Roman" w:cs="Times New Roman"/>
                <w:sz w:val="24"/>
                <w:szCs w:val="24"/>
              </w:rPr>
              <w:t>lektroniskās bezdarbnieku klasifikācijas/profilēšana</w:t>
            </w:r>
            <w:r w:rsidR="003D6F4E" w:rsidRPr="00221D3C">
              <w:rPr>
                <w:rFonts w:ascii="Times New Roman" w:eastAsia="Calibri" w:hAnsi="Times New Roman" w:cs="Times New Roman"/>
                <w:sz w:val="24"/>
                <w:szCs w:val="24"/>
              </w:rPr>
              <w:t>s rīka noma</w:t>
            </w:r>
            <w:r w:rsidRPr="00221D3C">
              <w:rPr>
                <w:rFonts w:ascii="Times New Roman" w:eastAsia="Calibri" w:hAnsi="Times New Roman" w:cs="Times New Roman"/>
                <w:sz w:val="24"/>
                <w:szCs w:val="24"/>
              </w:rPr>
              <w:t>, kas ļaus veikt bezdarbnieku profilēšanu elektroniskā vidē</w:t>
            </w:r>
            <w:r w:rsidR="0049437E" w:rsidRPr="00221D3C">
              <w:rPr>
                <w:rFonts w:ascii="Times New Roman" w:eastAsia="Calibri" w:hAnsi="Times New Roman" w:cs="Times New Roman"/>
                <w:sz w:val="24"/>
                <w:szCs w:val="24"/>
              </w:rPr>
              <w:t>,</w:t>
            </w:r>
            <w:r w:rsidR="0049437E" w:rsidRPr="00221D3C">
              <w:rPr>
                <w:rFonts w:ascii="Times New Roman" w:hAnsi="Times New Roman" w:cs="Times New Roman"/>
                <w:sz w:val="24"/>
                <w:szCs w:val="24"/>
              </w:rPr>
              <w:t xml:space="preserve"> ātrāk nosakot bezdarbniekiem </w:t>
            </w:r>
            <w:r w:rsidR="0049437E" w:rsidRPr="00221D3C">
              <w:rPr>
                <w:rFonts w:ascii="Times New Roman" w:hAnsi="Times New Roman" w:cs="Times New Roman"/>
                <w:sz w:val="24"/>
                <w:szCs w:val="24"/>
              </w:rPr>
              <w:lastRenderedPageBreak/>
              <w:t>nepieciešamos pakalpojumus un pasākumus bezdarba situācijas risināšanai</w:t>
            </w:r>
            <w:r w:rsidR="005907D0" w:rsidRPr="00221D3C">
              <w:rPr>
                <w:rFonts w:ascii="Times New Roman" w:eastAsia="Calibri" w:hAnsi="Times New Roman" w:cs="Times New Roman"/>
                <w:sz w:val="24"/>
                <w:szCs w:val="24"/>
              </w:rPr>
              <w:t>;</w:t>
            </w:r>
          </w:p>
          <w:p w:rsidR="005907D0" w:rsidRPr="003D6F4E" w:rsidRDefault="00E54C92" w:rsidP="003D6F4E">
            <w:pPr>
              <w:pStyle w:val="ListParagraph"/>
              <w:numPr>
                <w:ilvl w:val="0"/>
                <w:numId w:val="17"/>
              </w:numPr>
              <w:spacing w:after="0" w:line="240" w:lineRule="auto"/>
              <w:ind w:left="142" w:right="142" w:firstLine="65"/>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d</w:t>
            </w:r>
            <w:r w:rsidR="005907D0" w:rsidRPr="003D6F4E">
              <w:rPr>
                <w:rFonts w:ascii="Times New Roman" w:eastAsia="Calibri" w:hAnsi="Times New Roman" w:cs="Times New Roman"/>
                <w:sz w:val="24"/>
                <w:szCs w:val="24"/>
              </w:rPr>
              <w:t>arba tirgus īstermiņa pieprasījuma prognožu vizualizācija</w:t>
            </w:r>
            <w:r w:rsidR="003D6F4E">
              <w:rPr>
                <w:rFonts w:ascii="Times New Roman" w:eastAsia="Calibri" w:hAnsi="Times New Roman" w:cs="Times New Roman"/>
                <w:sz w:val="24"/>
                <w:szCs w:val="24"/>
              </w:rPr>
              <w:t>s rīka noma</w:t>
            </w:r>
            <w:r w:rsidR="001C168A">
              <w:rPr>
                <w:rFonts w:ascii="Times New Roman" w:eastAsia="Calibri" w:hAnsi="Times New Roman" w:cs="Times New Roman"/>
                <w:sz w:val="24"/>
                <w:szCs w:val="24"/>
              </w:rPr>
              <w:t>, kas ļaus</w:t>
            </w:r>
            <w:r w:rsidR="001C168A" w:rsidRPr="00EF131E">
              <w:rPr>
                <w:rFonts w:ascii="Times New Roman" w:eastAsia="Times New Roman" w:hAnsi="Times New Roman" w:cs="Times New Roman"/>
                <w:sz w:val="24"/>
                <w:szCs w:val="24"/>
                <w:lang w:eastAsia="lv-LV"/>
              </w:rPr>
              <w:t xml:space="preserve"> ātri atlasīt informāciju par kopējā pieprasījuma izmaiņu tendencēm dažādās profesiju grupās valstī, kā arī par pieprasījuma darba tirgū īstermiņa tende</w:t>
            </w:r>
            <w:r w:rsidR="001C168A">
              <w:rPr>
                <w:rFonts w:ascii="Times New Roman" w:eastAsia="Times New Roman" w:hAnsi="Times New Roman" w:cs="Times New Roman"/>
                <w:sz w:val="24"/>
                <w:szCs w:val="24"/>
                <w:lang w:eastAsia="lv-LV"/>
              </w:rPr>
              <w:t>ncēm reģionu griezumā</w:t>
            </w:r>
            <w:r w:rsidR="005907D0" w:rsidRPr="003D6F4E">
              <w:rPr>
                <w:rFonts w:ascii="Times New Roman" w:eastAsia="Calibri" w:hAnsi="Times New Roman" w:cs="Times New Roman"/>
                <w:sz w:val="24"/>
                <w:szCs w:val="24"/>
              </w:rPr>
              <w:t>;</w:t>
            </w:r>
          </w:p>
          <w:p w:rsidR="005907D0" w:rsidRPr="009A4625" w:rsidRDefault="001C168A" w:rsidP="009A4625">
            <w:pPr>
              <w:pStyle w:val="NoSpacing"/>
              <w:ind w:left="142" w:right="141"/>
              <w:jc w:val="both"/>
              <w:rPr>
                <w:rFonts w:ascii="Times New Roman" w:hAnsi="Times New Roman" w:cs="Times New Roman"/>
                <w:sz w:val="24"/>
                <w:szCs w:val="24"/>
              </w:rPr>
            </w:pPr>
            <w:r>
              <w:rPr>
                <w:rFonts w:eastAsia="Calibri"/>
                <w:sz w:val="24"/>
                <w:szCs w:val="24"/>
              </w:rPr>
              <w:t xml:space="preserve"> </w:t>
            </w:r>
            <w:r w:rsidR="003D6F4E" w:rsidRPr="009A4625">
              <w:rPr>
                <w:rFonts w:ascii="Times New Roman" w:eastAsia="Calibri" w:hAnsi="Times New Roman" w:cs="Times New Roman"/>
                <w:sz w:val="24"/>
                <w:szCs w:val="24"/>
              </w:rPr>
              <w:t xml:space="preserve">3) </w:t>
            </w:r>
            <w:r w:rsidR="00E54C92" w:rsidRPr="009A4625">
              <w:rPr>
                <w:rFonts w:ascii="Times New Roman" w:eastAsia="Calibri" w:hAnsi="Times New Roman" w:cs="Times New Roman"/>
                <w:sz w:val="24"/>
                <w:szCs w:val="24"/>
              </w:rPr>
              <w:t>a</w:t>
            </w:r>
            <w:r w:rsidR="005907D0" w:rsidRPr="009A4625">
              <w:rPr>
                <w:rFonts w:ascii="Times New Roman" w:eastAsia="Calibri" w:hAnsi="Times New Roman" w:cs="Times New Roman"/>
                <w:sz w:val="24"/>
                <w:szCs w:val="24"/>
              </w:rPr>
              <w:t>pmācību</w:t>
            </w:r>
            <w:r w:rsidR="003D6F4E" w:rsidRPr="009A4625">
              <w:rPr>
                <w:rFonts w:ascii="Times New Roman" w:eastAsia="Calibri" w:hAnsi="Times New Roman" w:cs="Times New Roman"/>
                <w:sz w:val="24"/>
                <w:szCs w:val="24"/>
              </w:rPr>
              <w:t xml:space="preserve"> pasākumu kvalitātes monitoringa rīka noma</w:t>
            </w:r>
            <w:r w:rsidRPr="009A4625">
              <w:rPr>
                <w:rFonts w:ascii="Times New Roman" w:eastAsia="Calibri" w:hAnsi="Times New Roman" w:cs="Times New Roman"/>
                <w:sz w:val="24"/>
                <w:szCs w:val="24"/>
              </w:rPr>
              <w:t>, kas</w:t>
            </w:r>
            <w:r w:rsidR="0049437E" w:rsidRPr="009A4625">
              <w:rPr>
                <w:rFonts w:ascii="Times New Roman" w:eastAsia="Calibri" w:hAnsi="Times New Roman" w:cs="Times New Roman"/>
                <w:sz w:val="24"/>
                <w:szCs w:val="24"/>
                <w:lang w:eastAsia="lv-LV"/>
              </w:rPr>
              <w:t xml:space="preserve"> ļaus nodrošināt </w:t>
            </w:r>
            <w:r w:rsidR="009A4625" w:rsidRPr="009A4625">
              <w:rPr>
                <w:rFonts w:ascii="Times New Roman" w:hAnsi="Times New Roman" w:cs="Times New Roman"/>
                <w:sz w:val="24"/>
                <w:szCs w:val="24"/>
              </w:rPr>
              <w:t>pasākumu pārraudzību un problēmsituāciju izskaušanu bezdarbnieku apmācībā, uzlabojot tās kvalitāti un rezultātā palielinot darbiekārtojumu un klientu informētību par apmācību programmām un izglītības iestādēm, kas tos piedāvā.</w:t>
            </w:r>
          </w:p>
          <w:p w:rsidR="009B659B" w:rsidRPr="005B36D9" w:rsidRDefault="005907D0" w:rsidP="009B659B">
            <w:pPr>
              <w:spacing w:after="0" w:line="240" w:lineRule="auto"/>
              <w:ind w:left="142" w:right="141"/>
              <w:jc w:val="both"/>
              <w:rPr>
                <w:rFonts w:ascii="Times New Roman" w:eastAsia="Times New Roman" w:hAnsi="Times New Roman" w:cs="Times New Roman"/>
                <w:sz w:val="24"/>
                <w:szCs w:val="24"/>
                <w:lang w:eastAsia="lv-LV"/>
              </w:rPr>
            </w:pPr>
            <w:r w:rsidRPr="005907D0">
              <w:rPr>
                <w:rFonts w:ascii="Times New Roman" w:eastAsia="Calibri" w:hAnsi="Times New Roman" w:cs="Times New Roman"/>
                <w:sz w:val="24"/>
                <w:szCs w:val="24"/>
                <w:lang w:eastAsia="lv-LV"/>
              </w:rPr>
              <w:t>IT rīki</w:t>
            </w:r>
            <w:r w:rsidR="001C168A">
              <w:rPr>
                <w:rFonts w:ascii="Times New Roman" w:eastAsia="Calibri" w:hAnsi="Times New Roman" w:cs="Times New Roman"/>
                <w:sz w:val="24"/>
                <w:szCs w:val="24"/>
                <w:lang w:eastAsia="lv-LV"/>
              </w:rPr>
              <w:t>, kurus plānots nomāt jaunās atbalstāmās darbības ietvaros,</w:t>
            </w:r>
            <w:r w:rsidRPr="005907D0">
              <w:rPr>
                <w:rFonts w:ascii="Times New Roman" w:eastAsia="Calibri" w:hAnsi="Times New Roman" w:cs="Times New Roman"/>
                <w:sz w:val="24"/>
                <w:szCs w:val="24"/>
                <w:lang w:eastAsia="lv-LV"/>
              </w:rPr>
              <w:t xml:space="preserve"> ir programmatūras ri</w:t>
            </w:r>
            <w:r w:rsidR="001C168A">
              <w:rPr>
                <w:rFonts w:ascii="Times New Roman" w:eastAsia="Calibri" w:hAnsi="Times New Roman" w:cs="Times New Roman"/>
                <w:sz w:val="24"/>
                <w:szCs w:val="24"/>
                <w:lang w:eastAsia="lv-LV"/>
              </w:rPr>
              <w:t xml:space="preserve">sinājumi jeb prototipi, </w:t>
            </w:r>
            <w:r w:rsidR="009B659B">
              <w:rPr>
                <w:rFonts w:ascii="Times New Roman" w:eastAsia="Calibri" w:hAnsi="Times New Roman" w:cs="Times New Roman"/>
                <w:sz w:val="24"/>
                <w:szCs w:val="24"/>
                <w:lang w:eastAsia="lv-LV"/>
              </w:rPr>
              <w:t>kurus</w:t>
            </w:r>
          </w:p>
          <w:p w:rsidR="005B36D9" w:rsidRDefault="005B36D9" w:rsidP="005B36D9">
            <w:pPr>
              <w:spacing w:after="0" w:line="240" w:lineRule="auto"/>
              <w:ind w:left="142" w:right="142"/>
              <w:jc w:val="both"/>
              <w:rPr>
                <w:rFonts w:ascii="Times New Roman" w:eastAsia="Times New Roman" w:hAnsi="Times New Roman" w:cs="Times New Roman"/>
                <w:sz w:val="24"/>
                <w:szCs w:val="24"/>
                <w:lang w:eastAsia="lv-LV"/>
              </w:rPr>
            </w:pPr>
            <w:r w:rsidRPr="005B36D9">
              <w:rPr>
                <w:rFonts w:ascii="Times New Roman" w:eastAsia="Times New Roman" w:hAnsi="Times New Roman" w:cs="Times New Roman"/>
                <w:sz w:val="24"/>
                <w:szCs w:val="24"/>
                <w:lang w:eastAsia="lv-LV"/>
              </w:rPr>
              <w:t>plānots nomāt no pakalpojuma sniedzēja, kas tiks piesaistīts</w:t>
            </w:r>
            <w:r>
              <w:rPr>
                <w:rFonts w:ascii="Times New Roman" w:eastAsia="Times New Roman" w:hAnsi="Times New Roman" w:cs="Times New Roman"/>
                <w:sz w:val="24"/>
                <w:szCs w:val="24"/>
                <w:lang w:eastAsia="lv-LV"/>
              </w:rPr>
              <w:t>,</w:t>
            </w:r>
            <w:r w:rsidRPr="005B36D9">
              <w:rPr>
                <w:rFonts w:ascii="Times New Roman" w:eastAsia="Times New Roman" w:hAnsi="Times New Roman" w:cs="Times New Roman"/>
                <w:sz w:val="24"/>
                <w:szCs w:val="24"/>
                <w:lang w:eastAsia="lv-LV"/>
              </w:rPr>
              <w:t xml:space="preserve"> piemērojot iepirkuma procedūru.</w:t>
            </w:r>
          </w:p>
          <w:p w:rsidR="0077215B" w:rsidRDefault="0077215B" w:rsidP="00EC19EC">
            <w:pPr>
              <w:pStyle w:val="FootnoteText"/>
              <w:ind w:left="142" w:right="141"/>
              <w:jc w:val="both"/>
              <w:rPr>
                <w:rFonts w:ascii="Times New Roman" w:hAnsi="Times New Roman" w:cs="Times New Roman"/>
                <w:sz w:val="24"/>
                <w:szCs w:val="24"/>
              </w:rPr>
            </w:pPr>
            <w:r w:rsidRPr="00EC19EC">
              <w:rPr>
                <w:rFonts w:ascii="Times New Roman" w:hAnsi="Times New Roman" w:cs="Times New Roman"/>
                <w:sz w:val="24"/>
                <w:szCs w:val="24"/>
              </w:rPr>
              <w:t xml:space="preserve">Operatīvās klientu apkalpošanas </w:t>
            </w:r>
            <w:r w:rsidR="0049437E">
              <w:rPr>
                <w:rFonts w:ascii="Times New Roman" w:hAnsi="Times New Roman" w:cs="Times New Roman"/>
                <w:sz w:val="24"/>
                <w:szCs w:val="24"/>
              </w:rPr>
              <w:t xml:space="preserve">3 </w:t>
            </w:r>
            <w:r w:rsidRPr="00EC19EC">
              <w:rPr>
                <w:rFonts w:ascii="Times New Roman" w:hAnsi="Times New Roman" w:cs="Times New Roman"/>
                <w:sz w:val="24"/>
                <w:szCs w:val="24"/>
              </w:rPr>
              <w:t xml:space="preserve">IT rīku noma </w:t>
            </w:r>
            <w:r w:rsidR="0049437E">
              <w:rPr>
                <w:rFonts w:ascii="Times New Roman" w:hAnsi="Times New Roman" w:cs="Times New Roman"/>
                <w:sz w:val="24"/>
                <w:szCs w:val="24"/>
              </w:rPr>
              <w:t xml:space="preserve">1.3.1.4.aktivitātes projekta ietvaros </w:t>
            </w:r>
            <w:r w:rsidRPr="00EC19EC">
              <w:rPr>
                <w:rFonts w:ascii="Times New Roman" w:hAnsi="Times New Roman" w:cs="Times New Roman"/>
                <w:sz w:val="24"/>
                <w:szCs w:val="24"/>
              </w:rPr>
              <w:t>2014.gadā nepieciešama kā īstermiņa risi</w:t>
            </w:r>
            <w:r w:rsidR="009A4625">
              <w:rPr>
                <w:rFonts w:ascii="Times New Roman" w:hAnsi="Times New Roman" w:cs="Times New Roman"/>
                <w:sz w:val="24"/>
                <w:szCs w:val="24"/>
              </w:rPr>
              <w:t xml:space="preserve">nājums pirms gala produkta - </w:t>
            </w:r>
            <w:r w:rsidRPr="00EC19EC">
              <w:rPr>
                <w:rFonts w:ascii="Times New Roman" w:hAnsi="Times New Roman" w:cs="Times New Roman"/>
                <w:sz w:val="24"/>
                <w:szCs w:val="24"/>
              </w:rPr>
              <w:t>informācijas sistēma, kas uzlabos NVA pamatfunkciju veikšanu un darb</w:t>
            </w:r>
            <w:r w:rsidR="009A4625">
              <w:rPr>
                <w:rFonts w:ascii="Times New Roman" w:hAnsi="Times New Roman" w:cs="Times New Roman"/>
                <w:sz w:val="24"/>
                <w:szCs w:val="24"/>
              </w:rPr>
              <w:t>a tirgus īstermiņa prognozēšanu -</w:t>
            </w:r>
            <w:r w:rsidRPr="00EC19EC">
              <w:rPr>
                <w:rFonts w:ascii="Times New Roman" w:hAnsi="Times New Roman" w:cs="Times New Roman"/>
                <w:sz w:val="24"/>
                <w:szCs w:val="24"/>
              </w:rPr>
              <w:t xml:space="preserve"> izstrādes LM </w:t>
            </w:r>
            <w:r w:rsidR="00EC19EC" w:rsidRPr="00EC19EC">
              <w:rPr>
                <w:rFonts w:ascii="Times New Roman" w:hAnsi="Times New Roman" w:cs="Times New Roman"/>
                <w:sz w:val="24"/>
                <w:szCs w:val="24"/>
              </w:rPr>
              <w:t>projekta „Vienotās LM informācijas sistēmas (LabIS) nozares centralizēto funkciju informācijas sistēmu un centralizētas IKT infrastruktūras attīstība”</w:t>
            </w:r>
            <w:r w:rsidR="009A4625">
              <w:rPr>
                <w:rFonts w:ascii="Times New Roman" w:hAnsi="Times New Roman" w:cs="Times New Roman"/>
                <w:sz w:val="24"/>
                <w:szCs w:val="24"/>
              </w:rPr>
              <w:t xml:space="preserve"> (turpmāk – LabIS projekts) ietvaros. Šis LabIS projekts </w:t>
            </w:r>
            <w:r w:rsidR="00EC19EC">
              <w:rPr>
                <w:rFonts w:ascii="Times New Roman" w:hAnsi="Times New Roman" w:cs="Times New Roman"/>
                <w:sz w:val="24"/>
                <w:szCs w:val="24"/>
              </w:rPr>
              <w:t xml:space="preserve">tiek īstenots </w:t>
            </w:r>
            <w:r w:rsidR="00EC19EC" w:rsidRPr="0029634E">
              <w:rPr>
                <w:rFonts w:ascii="Times New Roman" w:hAnsi="Times New Roman" w:cs="Times New Roman"/>
                <w:sz w:val="24"/>
                <w:szCs w:val="24"/>
              </w:rPr>
              <w:t>darbības programmas „Infrastruktūra un pakalpojumi” papildinājuma 3.2.2.1.1.apaksāktivtātes „Informācijas sistēmu un elektronisko pakalpojumu attīstība” ietvaros</w:t>
            </w:r>
            <w:r w:rsidR="009A4625">
              <w:rPr>
                <w:rFonts w:ascii="Times New Roman" w:hAnsi="Times New Roman" w:cs="Times New Roman"/>
                <w:sz w:val="24"/>
                <w:szCs w:val="24"/>
              </w:rPr>
              <w:t xml:space="preserve"> un informācijas sistēmu</w:t>
            </w:r>
            <w:r w:rsidRPr="00EC19EC">
              <w:rPr>
                <w:rFonts w:ascii="Times New Roman" w:hAnsi="Times New Roman" w:cs="Times New Roman"/>
                <w:sz w:val="24"/>
                <w:szCs w:val="24"/>
              </w:rPr>
              <w:t xml:space="preserve"> </w:t>
            </w:r>
            <w:r w:rsidR="009A4625">
              <w:rPr>
                <w:rFonts w:ascii="Times New Roman" w:hAnsi="Times New Roman" w:cs="Times New Roman"/>
                <w:sz w:val="24"/>
                <w:szCs w:val="24"/>
              </w:rPr>
              <w:t xml:space="preserve">LabIS projekta ietvaros </w:t>
            </w:r>
            <w:r w:rsidRPr="00EC19EC">
              <w:rPr>
                <w:rFonts w:ascii="Times New Roman" w:hAnsi="Times New Roman" w:cs="Times New Roman"/>
                <w:sz w:val="24"/>
                <w:szCs w:val="24"/>
              </w:rPr>
              <w:t>plānots ieviest</w:t>
            </w:r>
            <w:r w:rsidR="009A4625">
              <w:rPr>
                <w:rFonts w:ascii="Times New Roman" w:hAnsi="Times New Roman" w:cs="Times New Roman"/>
                <w:sz w:val="24"/>
                <w:szCs w:val="24"/>
              </w:rPr>
              <w:t xml:space="preserve"> 2015.gadā (šobrīd informācijas sistēmas </w:t>
            </w:r>
            <w:r w:rsidRPr="0077215B">
              <w:rPr>
                <w:rFonts w:ascii="Times New Roman" w:hAnsi="Times New Roman" w:cs="Times New Roman"/>
                <w:sz w:val="24"/>
                <w:szCs w:val="24"/>
              </w:rPr>
              <w:t>izstrāde aizkavējusies iepirkuma procedūras apstrīdējuma dēļ).</w:t>
            </w:r>
          </w:p>
          <w:p w:rsidR="009A4625" w:rsidRPr="009A4625" w:rsidRDefault="009A4625" w:rsidP="009A4625">
            <w:pPr>
              <w:pStyle w:val="NoSpacing"/>
              <w:ind w:left="142" w:right="141"/>
              <w:jc w:val="both"/>
              <w:rPr>
                <w:rFonts w:ascii="Times New Roman" w:hAnsi="Times New Roman" w:cs="Times New Roman"/>
                <w:sz w:val="24"/>
                <w:szCs w:val="24"/>
              </w:rPr>
            </w:pPr>
            <w:r w:rsidRPr="009A4625">
              <w:rPr>
                <w:rFonts w:ascii="Times New Roman" w:hAnsi="Times New Roman" w:cs="Times New Roman"/>
                <w:sz w:val="24"/>
                <w:szCs w:val="24"/>
              </w:rPr>
              <w:t>Bez IT rīkiem nebūs iespējams piemērot 3 operatīvās klientu apkalpošanas metodes, kuras izstrādātas, lai uzlabotu NVA klientu</w:t>
            </w:r>
            <w:r>
              <w:rPr>
                <w:rFonts w:ascii="Times New Roman" w:hAnsi="Times New Roman" w:cs="Times New Roman"/>
                <w:sz w:val="24"/>
                <w:szCs w:val="24"/>
              </w:rPr>
              <w:t xml:space="preserve"> (bezdarbnieku</w:t>
            </w:r>
            <w:r w:rsidRPr="009A4625">
              <w:rPr>
                <w:rFonts w:ascii="Times New Roman" w:hAnsi="Times New Roman" w:cs="Times New Roman"/>
                <w:sz w:val="24"/>
                <w:szCs w:val="24"/>
              </w:rPr>
              <w:t xml:space="preserve"> un darba devēju) apkalpošanas kvalitāti un operatīvi reaģētu uz klientu pieprasījumu, t.sk. Jauniešu garantijas ietvaros, un būtiski aizkavēsies to ieviešana, kas atstās iespaidu uz visu klientu apkalpošanas procesu.</w:t>
            </w:r>
          </w:p>
          <w:p w:rsidR="00EF131E" w:rsidRDefault="00EF131E" w:rsidP="00EF131E">
            <w:pPr>
              <w:spacing w:after="0" w:line="240" w:lineRule="auto"/>
              <w:jc w:val="both"/>
              <w:rPr>
                <w:rFonts w:ascii="Times New Roman" w:eastAsia="Times New Roman" w:hAnsi="Times New Roman" w:cs="Times New Roman"/>
                <w:sz w:val="24"/>
                <w:szCs w:val="24"/>
                <w:lang w:eastAsia="lv-LV"/>
              </w:rPr>
            </w:pPr>
          </w:p>
          <w:p w:rsidR="005B36D9" w:rsidRPr="00D95ECF" w:rsidRDefault="00D476D3" w:rsidP="00D97D19">
            <w:pPr>
              <w:pStyle w:val="NoSpacing"/>
              <w:ind w:left="142" w:right="141"/>
              <w:jc w:val="both"/>
              <w:rPr>
                <w:rStyle w:val="HTMLTypewriter"/>
                <w:rFonts w:ascii="Times New Roman" w:eastAsia="Calibri" w:hAnsi="Times New Roman" w:cs="Times New Roman"/>
                <w:sz w:val="24"/>
                <w:szCs w:val="24"/>
              </w:rPr>
            </w:pPr>
            <w:r w:rsidRPr="00D97D19">
              <w:rPr>
                <w:rFonts w:ascii="Times New Roman" w:eastAsia="Times New Roman" w:hAnsi="Times New Roman" w:cs="Times New Roman"/>
                <w:sz w:val="24"/>
                <w:szCs w:val="24"/>
                <w:lang w:eastAsia="lv-LV"/>
              </w:rPr>
              <w:t xml:space="preserve">Lai nodrošinātu </w:t>
            </w:r>
            <w:r w:rsidR="001C168A" w:rsidRPr="00D97D19">
              <w:rPr>
                <w:rFonts w:ascii="Times New Roman" w:eastAsia="Times New Roman" w:hAnsi="Times New Roman" w:cs="Times New Roman"/>
                <w:sz w:val="24"/>
                <w:szCs w:val="24"/>
                <w:lang w:eastAsia="lv-LV"/>
              </w:rPr>
              <w:t xml:space="preserve">trīs </w:t>
            </w:r>
            <w:r w:rsidRPr="00D97D19">
              <w:rPr>
                <w:rFonts w:ascii="Times New Roman" w:eastAsia="Times New Roman" w:hAnsi="Times New Roman" w:cs="Times New Roman"/>
                <w:sz w:val="24"/>
                <w:szCs w:val="24"/>
                <w:lang w:eastAsia="lv-LV"/>
              </w:rPr>
              <w:t>IT rīku nomu,</w:t>
            </w:r>
            <w:r w:rsidR="001C168A" w:rsidRPr="00D97D19">
              <w:rPr>
                <w:rFonts w:ascii="Times New Roman" w:eastAsia="Times New Roman" w:hAnsi="Times New Roman" w:cs="Times New Roman"/>
                <w:sz w:val="24"/>
                <w:szCs w:val="24"/>
                <w:lang w:eastAsia="lv-LV"/>
              </w:rPr>
              <w:t xml:space="preserve"> kam nepieciešams finansējums</w:t>
            </w:r>
            <w:r w:rsidR="008C2310" w:rsidRPr="00D97D19">
              <w:rPr>
                <w:rFonts w:ascii="Times New Roman" w:eastAsia="Times New Roman" w:hAnsi="Times New Roman" w:cs="Times New Roman"/>
                <w:sz w:val="24"/>
                <w:szCs w:val="24"/>
                <w:lang w:eastAsia="lv-LV"/>
              </w:rPr>
              <w:t xml:space="preserve"> 15 085 </w:t>
            </w:r>
            <w:r w:rsidR="00221D3C" w:rsidRPr="00221D3C">
              <w:rPr>
                <w:rFonts w:ascii="Times New Roman" w:eastAsia="Times New Roman" w:hAnsi="Times New Roman" w:cs="Times New Roman"/>
                <w:sz w:val="24"/>
                <w:szCs w:val="24"/>
                <w:lang w:eastAsia="lv-LV"/>
              </w:rPr>
              <w:t>EUR</w:t>
            </w:r>
            <w:r w:rsidR="00E54C92" w:rsidRPr="00D97D19">
              <w:rPr>
                <w:rFonts w:ascii="Times New Roman" w:eastAsia="Times New Roman" w:hAnsi="Times New Roman" w:cs="Times New Roman"/>
                <w:i/>
                <w:sz w:val="24"/>
                <w:szCs w:val="24"/>
                <w:lang w:eastAsia="lv-LV"/>
              </w:rPr>
              <w:t xml:space="preserve"> </w:t>
            </w:r>
            <w:r w:rsidR="00E54C92" w:rsidRPr="00D97D19">
              <w:rPr>
                <w:rFonts w:ascii="Times New Roman" w:eastAsia="Times New Roman" w:hAnsi="Times New Roman" w:cs="Times New Roman"/>
                <w:sz w:val="24"/>
                <w:szCs w:val="24"/>
                <w:lang w:eastAsia="lv-LV"/>
              </w:rPr>
              <w:t>apmērā</w:t>
            </w:r>
            <w:r w:rsidR="008C2310" w:rsidRPr="00D97D19">
              <w:rPr>
                <w:rFonts w:ascii="Times New Roman" w:eastAsia="Times New Roman" w:hAnsi="Times New Roman" w:cs="Times New Roman"/>
                <w:sz w:val="24"/>
                <w:szCs w:val="24"/>
                <w:lang w:eastAsia="lv-LV"/>
              </w:rPr>
              <w:t xml:space="preserve">, kā arī </w:t>
            </w:r>
            <w:r w:rsidR="00D60CFD" w:rsidRPr="00D97D19">
              <w:rPr>
                <w:rFonts w:ascii="Times New Roman" w:eastAsia="Times New Roman" w:hAnsi="Times New Roman" w:cs="Times New Roman"/>
                <w:sz w:val="24"/>
                <w:szCs w:val="24"/>
                <w:lang w:eastAsia="lv-LV"/>
              </w:rPr>
              <w:t xml:space="preserve">nodrošinātu citu esošo un jaunu aktivitāšu (t.sk., darba metožu pilnveidošanu, NVA filiāļu tīkla darbības efektivitātes izvērtējumu un </w:t>
            </w:r>
            <w:r w:rsidR="008C2310" w:rsidRPr="00D97D19">
              <w:rPr>
                <w:rFonts w:ascii="Times New Roman" w:eastAsia="Times New Roman" w:hAnsi="Times New Roman" w:cs="Times New Roman"/>
                <w:sz w:val="24"/>
                <w:szCs w:val="24"/>
                <w:lang w:eastAsia="lv-LV"/>
              </w:rPr>
              <w:t>NVA darbinieku apmācību</w:t>
            </w:r>
            <w:r w:rsidR="00D60CFD" w:rsidRPr="00D97D19">
              <w:rPr>
                <w:rFonts w:ascii="Times New Roman" w:eastAsia="Times New Roman" w:hAnsi="Times New Roman" w:cs="Times New Roman"/>
                <w:sz w:val="24"/>
                <w:szCs w:val="24"/>
                <w:lang w:eastAsia="lv-LV"/>
              </w:rPr>
              <w:t>)</w:t>
            </w:r>
            <w:r w:rsidRPr="00D97D19">
              <w:rPr>
                <w:rFonts w:ascii="Times New Roman" w:eastAsia="Times New Roman" w:hAnsi="Times New Roman" w:cs="Times New Roman"/>
                <w:sz w:val="24"/>
                <w:szCs w:val="24"/>
                <w:lang w:eastAsia="lv-LV"/>
              </w:rPr>
              <w:t xml:space="preserve"> īstenošanas turpināšanu</w:t>
            </w:r>
            <w:r w:rsidR="00D14938" w:rsidRPr="00D97D19">
              <w:rPr>
                <w:rFonts w:ascii="Times New Roman" w:eastAsia="Times New Roman" w:hAnsi="Times New Roman" w:cs="Times New Roman"/>
                <w:sz w:val="24"/>
                <w:szCs w:val="24"/>
                <w:lang w:eastAsia="lv-LV"/>
              </w:rPr>
              <w:t xml:space="preserve"> MK noteikumos Nr.731 noteikto atbalstāmo darbību un</w:t>
            </w:r>
            <w:r w:rsidRPr="00D97D19">
              <w:rPr>
                <w:rFonts w:ascii="Times New Roman" w:eastAsia="Times New Roman" w:hAnsi="Times New Roman" w:cs="Times New Roman"/>
                <w:sz w:val="24"/>
                <w:szCs w:val="24"/>
                <w:lang w:eastAsia="lv-LV"/>
              </w:rPr>
              <w:t xml:space="preserve"> </w:t>
            </w:r>
            <w:r w:rsidR="008C2310" w:rsidRPr="00D97D19">
              <w:rPr>
                <w:rFonts w:ascii="Times New Roman" w:eastAsia="Times New Roman" w:hAnsi="Times New Roman" w:cs="Times New Roman"/>
                <w:sz w:val="24"/>
                <w:szCs w:val="24"/>
                <w:lang w:eastAsia="lv-LV"/>
              </w:rPr>
              <w:t xml:space="preserve">projekta ietvaros arī </w:t>
            </w:r>
            <w:r w:rsidRPr="00D97D19">
              <w:rPr>
                <w:rFonts w:ascii="Times New Roman" w:eastAsia="Times New Roman" w:hAnsi="Times New Roman" w:cs="Times New Roman"/>
                <w:sz w:val="24"/>
                <w:szCs w:val="24"/>
                <w:lang w:eastAsia="lv-LV"/>
              </w:rPr>
              <w:t>2014.gadā</w:t>
            </w:r>
            <w:r w:rsidR="009A1BF6" w:rsidRPr="00D97D19">
              <w:rPr>
                <w:rFonts w:ascii="Times New Roman" w:eastAsia="Times New Roman" w:hAnsi="Times New Roman" w:cs="Times New Roman"/>
                <w:sz w:val="24"/>
                <w:szCs w:val="24"/>
                <w:lang w:eastAsia="lv-LV"/>
              </w:rPr>
              <w:t>,</w:t>
            </w:r>
            <w:r w:rsidRPr="00D97D19">
              <w:rPr>
                <w:rFonts w:ascii="Times New Roman" w:eastAsia="Times New Roman" w:hAnsi="Times New Roman" w:cs="Times New Roman"/>
                <w:sz w:val="24"/>
                <w:szCs w:val="24"/>
                <w:lang w:eastAsia="lv-LV"/>
              </w:rPr>
              <w:t xml:space="preserve"> 1.3.1.4.akti</w:t>
            </w:r>
            <w:r w:rsidR="009A1BF6" w:rsidRPr="00D97D19">
              <w:rPr>
                <w:rFonts w:ascii="Times New Roman" w:eastAsia="Times New Roman" w:hAnsi="Times New Roman" w:cs="Times New Roman"/>
                <w:sz w:val="24"/>
                <w:szCs w:val="24"/>
                <w:lang w:eastAsia="lv-LV"/>
              </w:rPr>
              <w:t>vitātei ir nepieciešams papildu</w:t>
            </w:r>
            <w:r w:rsidRPr="00D97D19">
              <w:rPr>
                <w:rFonts w:ascii="Times New Roman" w:eastAsia="Times New Roman" w:hAnsi="Times New Roman" w:cs="Times New Roman"/>
                <w:sz w:val="24"/>
                <w:szCs w:val="24"/>
                <w:lang w:eastAsia="lv-LV"/>
              </w:rPr>
              <w:t xml:space="preserve"> finansējums </w:t>
            </w:r>
            <w:r w:rsidRPr="00D97D19">
              <w:rPr>
                <w:rFonts w:ascii="Times New Roman" w:hAnsi="Times New Roman" w:cs="Times New Roman"/>
                <w:sz w:val="24"/>
                <w:szCs w:val="24"/>
              </w:rPr>
              <w:t xml:space="preserve">151 146 </w:t>
            </w:r>
            <w:r w:rsidR="00221D3C">
              <w:rPr>
                <w:rFonts w:ascii="Times New Roman" w:hAnsi="Times New Roman" w:cs="Times New Roman"/>
                <w:sz w:val="24"/>
                <w:szCs w:val="24"/>
              </w:rPr>
              <w:t>EUR</w:t>
            </w:r>
            <w:r w:rsidRPr="00D97D19">
              <w:rPr>
                <w:rFonts w:ascii="Times New Roman" w:hAnsi="Times New Roman" w:cs="Times New Roman"/>
                <w:i/>
                <w:sz w:val="24"/>
                <w:szCs w:val="24"/>
              </w:rPr>
              <w:t xml:space="preserve"> </w:t>
            </w:r>
            <w:r w:rsidRPr="00D97D19">
              <w:rPr>
                <w:rFonts w:ascii="Times New Roman" w:hAnsi="Times New Roman" w:cs="Times New Roman"/>
                <w:sz w:val="24"/>
                <w:szCs w:val="24"/>
              </w:rPr>
              <w:t>apmērā</w:t>
            </w:r>
            <w:r w:rsidRPr="00D97D19">
              <w:rPr>
                <w:rFonts w:ascii="Times New Roman" w:eastAsia="Times New Roman" w:hAnsi="Times New Roman" w:cs="Times New Roman"/>
                <w:sz w:val="24"/>
                <w:szCs w:val="24"/>
                <w:lang w:eastAsia="lv-LV"/>
              </w:rPr>
              <w:t xml:space="preserve">, ko iespējams pārdalīt </w:t>
            </w:r>
            <w:r w:rsidR="004A5D27" w:rsidRPr="00D97D19">
              <w:rPr>
                <w:rFonts w:ascii="Times New Roman" w:eastAsia="Times New Roman" w:hAnsi="Times New Roman" w:cs="Times New Roman"/>
                <w:sz w:val="24"/>
                <w:szCs w:val="24"/>
                <w:lang w:eastAsia="lv-LV"/>
              </w:rPr>
              <w:t xml:space="preserve">no Labklājības </w:t>
            </w:r>
            <w:r w:rsidR="004A5D27" w:rsidRPr="00D97D19">
              <w:rPr>
                <w:rFonts w:ascii="Times New Roman" w:eastAsia="Times New Roman" w:hAnsi="Times New Roman" w:cs="Times New Roman"/>
                <w:sz w:val="24"/>
                <w:szCs w:val="24"/>
                <w:lang w:eastAsia="lv-LV"/>
              </w:rPr>
              <w:lastRenderedPageBreak/>
              <w:t>ministrijas pārziņā esošās darbības programmas „Cilvēkresursi un nodarbinātība” papildinājuma 1.3.1.3.2.apakšaktivitātes „</w:t>
            </w:r>
            <w:r w:rsidR="004A5D27" w:rsidRPr="00D97D19">
              <w:rPr>
                <w:rFonts w:ascii="Times New Roman" w:eastAsia="MS Mincho" w:hAnsi="Times New Roman" w:cs="Times New Roman"/>
                <w:color w:val="000000"/>
                <w:sz w:val="24"/>
                <w:szCs w:val="24"/>
                <w:lang w:eastAsia="ja-JP"/>
              </w:rPr>
              <w:t>Darba attiecību un darba drošības normatīvo aktu praktiska piemērošana nozarēs un uzņēmumos”, kuras īstenošana ir noslēgusies un apakšaktivitātē i</w:t>
            </w:r>
            <w:r w:rsidR="007A52A7" w:rsidRPr="00D97D19">
              <w:rPr>
                <w:rFonts w:ascii="Times New Roman" w:eastAsia="MS Mincho" w:hAnsi="Times New Roman" w:cs="Times New Roman"/>
                <w:color w:val="000000"/>
                <w:sz w:val="24"/>
                <w:szCs w:val="24"/>
                <w:lang w:eastAsia="ja-JP"/>
              </w:rPr>
              <w:t>r finanšu līdzekļu ietaupījums</w:t>
            </w:r>
            <w:r w:rsidR="004A5D27" w:rsidRPr="00D97D19">
              <w:rPr>
                <w:rFonts w:ascii="Times New Roman" w:eastAsia="MS Mincho" w:hAnsi="Times New Roman" w:cs="Times New Roman"/>
                <w:color w:val="000000"/>
                <w:sz w:val="24"/>
                <w:szCs w:val="24"/>
                <w:lang w:eastAsia="ja-JP"/>
              </w:rPr>
              <w:t>.</w:t>
            </w:r>
            <w:r w:rsidR="005B36D9" w:rsidRPr="00D97D19">
              <w:rPr>
                <w:rFonts w:ascii="Times New Roman" w:eastAsia="MS Mincho" w:hAnsi="Times New Roman" w:cs="Times New Roman"/>
                <w:color w:val="000000"/>
                <w:sz w:val="24"/>
                <w:szCs w:val="24"/>
                <w:lang w:eastAsia="ja-JP"/>
              </w:rPr>
              <w:t xml:space="preserve"> </w:t>
            </w:r>
            <w:r w:rsidR="005B36D9" w:rsidRPr="00D97D19">
              <w:rPr>
                <w:rFonts w:ascii="Times New Roman" w:eastAsia="Times New Roman" w:hAnsi="Times New Roman" w:cs="Times New Roman"/>
                <w:sz w:val="24"/>
                <w:szCs w:val="24"/>
                <w:lang w:eastAsia="lv-LV"/>
              </w:rPr>
              <w:t xml:space="preserve"> Finanšu līdzekļu ietaupījums pamatā ir radies Latvijas Darba Devēju Konfederācijas īstenotajā projektā</w:t>
            </w:r>
            <w:r w:rsidR="00D95ECF">
              <w:rPr>
                <w:rFonts w:ascii="Times New Roman" w:eastAsia="Times New Roman" w:hAnsi="Times New Roman" w:cs="Times New Roman"/>
                <w:sz w:val="24"/>
                <w:szCs w:val="24"/>
                <w:lang w:eastAsia="lv-LV"/>
              </w:rPr>
              <w:t xml:space="preserve"> „</w:t>
            </w:r>
            <w:r w:rsidR="00D95ECF" w:rsidRPr="00D95ECF">
              <w:rPr>
                <w:rFonts w:ascii="Times New Roman" w:hAnsi="Times New Roman" w:cs="Times New Roman"/>
                <w:sz w:val="24"/>
                <w:szCs w:val="24"/>
              </w:rPr>
              <w:t>Darba attiecību un darba drošības normatīvi aktu praktiska piemērošana nozarēs un uzņēmumos</w:t>
            </w:r>
            <w:r w:rsidR="00D95ECF">
              <w:rPr>
                <w:rFonts w:ascii="Times New Roman" w:hAnsi="Times New Roman" w:cs="Times New Roman"/>
                <w:sz w:val="24"/>
                <w:szCs w:val="24"/>
              </w:rPr>
              <w:t>” (turpmāk – LDDK projekts)</w:t>
            </w:r>
            <w:r w:rsidR="005B36D9" w:rsidRPr="00D97D19">
              <w:rPr>
                <w:rFonts w:ascii="Times New Roman" w:eastAsia="Times New Roman" w:hAnsi="Times New Roman" w:cs="Times New Roman"/>
                <w:sz w:val="24"/>
                <w:szCs w:val="24"/>
                <w:lang w:eastAsia="lv-LV"/>
              </w:rPr>
              <w:t xml:space="preserve">, jo </w:t>
            </w:r>
            <w:r w:rsidR="00D95ECF">
              <w:rPr>
                <w:rFonts w:ascii="Times New Roman" w:eastAsia="Times New Roman" w:hAnsi="Times New Roman" w:cs="Times New Roman"/>
                <w:sz w:val="24"/>
                <w:szCs w:val="24"/>
                <w:lang w:eastAsia="lv-LV"/>
              </w:rPr>
              <w:t xml:space="preserve">LDDK </w:t>
            </w:r>
            <w:r w:rsidR="005B36D9" w:rsidRPr="00D97D19">
              <w:rPr>
                <w:rFonts w:ascii="Times New Roman" w:eastAsia="Times New Roman" w:hAnsi="Times New Roman" w:cs="Times New Roman"/>
                <w:sz w:val="24"/>
                <w:szCs w:val="24"/>
                <w:lang w:eastAsia="lv-LV"/>
              </w:rPr>
              <w:t>projekta īstenošanas beigu posmā tika pieņemts lēmums projekta ietvaros neīstenot</w:t>
            </w:r>
            <w:r w:rsidR="005B36D9" w:rsidRPr="00D97D19">
              <w:rPr>
                <w:rFonts w:ascii="Times New Roman" w:hAnsi="Times New Roman" w:cs="Times New Roman"/>
                <w:sz w:val="24"/>
                <w:szCs w:val="24"/>
              </w:rPr>
              <w:t xml:space="preserve"> </w:t>
            </w:r>
            <w:r w:rsidR="004117D8">
              <w:rPr>
                <w:rFonts w:ascii="Times New Roman" w:hAnsi="Times New Roman" w:cs="Times New Roman"/>
                <w:sz w:val="24"/>
                <w:szCs w:val="24"/>
              </w:rPr>
              <w:t>Sabiedrības informēšanas kampaņu</w:t>
            </w:r>
            <w:r w:rsidR="005B36D9" w:rsidRPr="00D97D19">
              <w:rPr>
                <w:rFonts w:ascii="Times New Roman" w:hAnsi="Times New Roman" w:cs="Times New Roman"/>
                <w:sz w:val="24"/>
                <w:szCs w:val="24"/>
              </w:rPr>
              <w:t xml:space="preserve">, ar kuru tika plānots uzlabot darba devēju, darba ņēmēju un sabiedrības kopumā izpratni un attieksmi par normatīvo aktu ievērošanu darba aizsardzības jomā, </w:t>
            </w:r>
            <w:r w:rsidR="005B36D9" w:rsidRPr="00D97D19">
              <w:rPr>
                <w:rStyle w:val="HTMLTypewriter"/>
                <w:rFonts w:ascii="Times New Roman" w:eastAsia="Calibri" w:hAnsi="Times New Roman" w:cs="Times New Roman"/>
                <w:sz w:val="24"/>
                <w:szCs w:val="24"/>
              </w:rPr>
              <w:t>kas samazinātu darba aizsardzības normatīvo aktu pārkāpumu un nelaimes gadījumus</w:t>
            </w:r>
            <w:r w:rsidR="005B36D9" w:rsidRPr="0037690E">
              <w:rPr>
                <w:rStyle w:val="HTMLTypewriter"/>
                <w:rFonts w:ascii="Times New Roman" w:eastAsia="Calibri" w:hAnsi="Times New Roman" w:cs="Times New Roman"/>
                <w:sz w:val="24"/>
                <w:szCs w:val="24"/>
              </w:rPr>
              <w:t xml:space="preserve"> darbā</w:t>
            </w:r>
            <w:r w:rsidR="005B36D9">
              <w:rPr>
                <w:rStyle w:val="HTMLTypewriter"/>
                <w:rFonts w:ascii="Times New Roman" w:eastAsia="Calibri" w:hAnsi="Times New Roman" w:cs="Times New Roman"/>
                <w:sz w:val="24"/>
                <w:szCs w:val="24"/>
              </w:rPr>
              <w:t xml:space="preserve"> (kampaņa netika īstenota, jo līdzīga satura pasākumi tika īstenoti citās projekta aktivitātēs). Tāpat ietaupījumu veido </w:t>
            </w:r>
            <w:r w:rsidR="005B36D9" w:rsidRPr="00D97D19">
              <w:rPr>
                <w:rStyle w:val="HTMLTypewriter"/>
                <w:rFonts w:ascii="Times New Roman" w:eastAsia="Calibri" w:hAnsi="Times New Roman" w:cs="Times New Roman"/>
                <w:sz w:val="24"/>
                <w:szCs w:val="24"/>
              </w:rPr>
              <w:t>arī neparedzēto izmaksu svītrošana no projektiem, kā arī projektu ietvaros noslēgto atsevišķu līgumu izpildes summas bija mazākas par sākotnēji plānotajām (t.sk., PVN likmes maiņas dēļ).</w:t>
            </w:r>
            <w:r w:rsidR="00D95ECF">
              <w:rPr>
                <w:rStyle w:val="HTMLTypewriter"/>
                <w:rFonts w:ascii="Times New Roman" w:eastAsia="Calibri" w:hAnsi="Times New Roman" w:cs="Times New Roman"/>
                <w:sz w:val="24"/>
                <w:szCs w:val="24"/>
              </w:rPr>
              <w:t xml:space="preserve"> Finanšu līdzekļu ietaupījums LDDK projektā ir 285 869,16 </w:t>
            </w:r>
            <w:r w:rsidR="00221D3C" w:rsidRPr="00221D3C">
              <w:rPr>
                <w:rStyle w:val="HTMLTypewriter"/>
                <w:rFonts w:ascii="Times New Roman" w:eastAsia="Calibri" w:hAnsi="Times New Roman" w:cs="Times New Roman"/>
                <w:sz w:val="24"/>
                <w:szCs w:val="24"/>
              </w:rPr>
              <w:t>EUR</w:t>
            </w:r>
            <w:r w:rsidR="00D95ECF">
              <w:rPr>
                <w:rStyle w:val="HTMLTypewriter"/>
                <w:rFonts w:ascii="Times New Roman" w:eastAsia="Calibri" w:hAnsi="Times New Roman" w:cs="Times New Roman"/>
                <w:i/>
                <w:sz w:val="24"/>
                <w:szCs w:val="24"/>
              </w:rPr>
              <w:t xml:space="preserve">, </w:t>
            </w:r>
            <w:r w:rsidR="00D95ECF" w:rsidRPr="00D95ECF">
              <w:rPr>
                <w:rStyle w:val="HTMLTypewriter"/>
                <w:rFonts w:ascii="Times New Roman" w:eastAsia="Calibri" w:hAnsi="Times New Roman" w:cs="Times New Roman"/>
                <w:sz w:val="24"/>
                <w:szCs w:val="24"/>
              </w:rPr>
              <w:t>tai skaitā</w:t>
            </w:r>
            <w:r w:rsidR="00221D3C">
              <w:rPr>
                <w:rStyle w:val="HTMLTypewriter"/>
                <w:rFonts w:ascii="Times New Roman" w:eastAsia="Calibri" w:hAnsi="Times New Roman" w:cs="Times New Roman"/>
                <w:sz w:val="24"/>
                <w:szCs w:val="24"/>
              </w:rPr>
              <w:t xml:space="preserve"> 60 000 EUR</w:t>
            </w:r>
            <w:r w:rsidR="00D95ECF">
              <w:rPr>
                <w:rStyle w:val="HTMLTypewriter"/>
                <w:rFonts w:ascii="Times New Roman" w:eastAsia="Calibri" w:hAnsi="Times New Roman" w:cs="Times New Roman"/>
                <w:sz w:val="24"/>
                <w:szCs w:val="24"/>
              </w:rPr>
              <w:t xml:space="preserve"> no LDDK pro</w:t>
            </w:r>
            <w:r w:rsidR="004117D8">
              <w:rPr>
                <w:rStyle w:val="HTMLTypewriter"/>
                <w:rFonts w:ascii="Times New Roman" w:eastAsia="Calibri" w:hAnsi="Times New Roman" w:cs="Times New Roman"/>
                <w:sz w:val="24"/>
                <w:szCs w:val="24"/>
              </w:rPr>
              <w:t>jekta svītrotās projekta nepare</w:t>
            </w:r>
            <w:r w:rsidR="00D95ECF">
              <w:rPr>
                <w:rStyle w:val="HTMLTypewriter"/>
                <w:rFonts w:ascii="Times New Roman" w:eastAsia="Calibri" w:hAnsi="Times New Roman" w:cs="Times New Roman"/>
                <w:sz w:val="24"/>
                <w:szCs w:val="24"/>
              </w:rPr>
              <w:t>dzētās izmaksas.</w:t>
            </w:r>
          </w:p>
          <w:p w:rsidR="00D97D19" w:rsidRPr="00D97D19" w:rsidRDefault="004117D8" w:rsidP="00D97D19">
            <w:pPr>
              <w:pStyle w:val="NoSpacing"/>
              <w:ind w:left="142" w:right="141"/>
              <w:jc w:val="both"/>
              <w:rPr>
                <w:rStyle w:val="A2"/>
                <w:rFonts w:ascii="Times New Roman" w:hAnsi="Times New Roman" w:cs="Times New Roman"/>
                <w:sz w:val="24"/>
                <w:szCs w:val="24"/>
              </w:rPr>
            </w:pPr>
            <w:r>
              <w:rPr>
                <w:rStyle w:val="HTMLTypewriter"/>
                <w:rFonts w:ascii="Times New Roman" w:eastAsia="Calibri" w:hAnsi="Times New Roman" w:cs="Times New Roman"/>
                <w:sz w:val="24"/>
                <w:szCs w:val="24"/>
              </w:rPr>
              <w:t>Papildu</w:t>
            </w:r>
            <w:r w:rsidR="00D97D19" w:rsidRPr="00D97D19">
              <w:rPr>
                <w:rStyle w:val="HTMLTypewriter"/>
                <w:rFonts w:ascii="Times New Roman" w:eastAsia="Calibri" w:hAnsi="Times New Roman" w:cs="Times New Roman"/>
                <w:sz w:val="24"/>
                <w:szCs w:val="24"/>
              </w:rPr>
              <w:t xml:space="preserve"> finansējums NVA darbinieku apmācībām ir nepieciešams, jo </w:t>
            </w:r>
            <w:r w:rsidR="00D97D19">
              <w:rPr>
                <w:rFonts w:ascii="Times New Roman" w:hAnsi="Times New Roman" w:cs="Times New Roman"/>
                <w:sz w:val="24"/>
                <w:szCs w:val="24"/>
              </w:rPr>
              <w:t>a</w:t>
            </w:r>
            <w:r w:rsidR="00D97D19" w:rsidRPr="00D97D19">
              <w:rPr>
                <w:rFonts w:ascii="Times New Roman" w:hAnsi="Times New Roman" w:cs="Times New Roman"/>
                <w:sz w:val="24"/>
                <w:szCs w:val="24"/>
              </w:rPr>
              <w:t xml:space="preserve">pmācībās iegūtās prasmes un </w:t>
            </w:r>
            <w:r w:rsidR="00D97D19">
              <w:rPr>
                <w:rFonts w:ascii="Times New Roman" w:hAnsi="Times New Roman" w:cs="Times New Roman"/>
                <w:sz w:val="24"/>
                <w:szCs w:val="24"/>
              </w:rPr>
              <w:t>iemaņas būtiski uzlabo NVA</w:t>
            </w:r>
            <w:r w:rsidR="00D97D19" w:rsidRPr="00D97D19">
              <w:rPr>
                <w:rFonts w:ascii="Times New Roman" w:hAnsi="Times New Roman" w:cs="Times New Roman"/>
                <w:sz w:val="24"/>
                <w:szCs w:val="24"/>
              </w:rPr>
              <w:t xml:space="preserve"> funkciju un uzdevumu izpildi, darbiniekiem ir iespēja izprast un apvienot savus </w:t>
            </w:r>
            <w:r w:rsidR="00D97D19">
              <w:rPr>
                <w:rFonts w:ascii="Times New Roman" w:hAnsi="Times New Roman" w:cs="Times New Roman"/>
                <w:sz w:val="24"/>
                <w:szCs w:val="24"/>
              </w:rPr>
              <w:t>individuālos mērķus ar NVA</w:t>
            </w:r>
            <w:r w:rsidR="00D97D19" w:rsidRPr="00D97D19">
              <w:rPr>
                <w:rFonts w:ascii="Times New Roman" w:hAnsi="Times New Roman" w:cs="Times New Roman"/>
                <w:sz w:val="24"/>
                <w:szCs w:val="24"/>
              </w:rPr>
              <w:t xml:space="preserve"> mērķiem, kā arī maksimāli attīstīt darbinieku p</w:t>
            </w:r>
            <w:r w:rsidR="00D97D19">
              <w:rPr>
                <w:rFonts w:ascii="Times New Roman" w:hAnsi="Times New Roman" w:cs="Times New Roman"/>
                <w:sz w:val="24"/>
                <w:szCs w:val="24"/>
              </w:rPr>
              <w:t>otenciālu viņu pašu un NVA</w:t>
            </w:r>
            <w:r w:rsidR="00D97D19" w:rsidRPr="00D97D19">
              <w:rPr>
                <w:rFonts w:ascii="Times New Roman" w:hAnsi="Times New Roman" w:cs="Times New Roman"/>
                <w:sz w:val="24"/>
                <w:szCs w:val="24"/>
              </w:rPr>
              <w:t xml:space="preserve"> labā. Apmācība veicinās pr</w:t>
            </w:r>
            <w:r>
              <w:rPr>
                <w:rFonts w:ascii="Times New Roman" w:hAnsi="Times New Roman" w:cs="Times New Roman"/>
                <w:sz w:val="24"/>
                <w:szCs w:val="24"/>
              </w:rPr>
              <w:t>ojekta sākotnējā</w:t>
            </w:r>
            <w:r w:rsidR="00D97D19">
              <w:rPr>
                <w:rFonts w:ascii="Times New Roman" w:hAnsi="Times New Roman" w:cs="Times New Roman"/>
                <w:sz w:val="24"/>
                <w:szCs w:val="24"/>
              </w:rPr>
              <w:t xml:space="preserve"> mērķa sasniegšanu.</w:t>
            </w:r>
            <w:r w:rsidR="00D97D19" w:rsidRPr="00D97D19">
              <w:rPr>
                <w:rFonts w:ascii="Times New Roman" w:hAnsi="Times New Roman" w:cs="Times New Roman"/>
                <w:sz w:val="24"/>
                <w:szCs w:val="24"/>
              </w:rPr>
              <w:t xml:space="preserve"> </w:t>
            </w:r>
            <w:r w:rsidR="00D97D19">
              <w:rPr>
                <w:rFonts w:ascii="Times New Roman" w:hAnsi="Times New Roman" w:cs="Times New Roman"/>
                <w:sz w:val="24"/>
                <w:szCs w:val="24"/>
              </w:rPr>
              <w:t>Apmācī</w:t>
            </w:r>
            <w:r w:rsidR="00D97D19" w:rsidRPr="00D97D19">
              <w:rPr>
                <w:rFonts w:ascii="Times New Roman" w:hAnsi="Times New Roman" w:cs="Times New Roman"/>
                <w:sz w:val="24"/>
                <w:szCs w:val="24"/>
              </w:rPr>
              <w:t>bu gaitā tiek veidotas darbiniekiem nepieciešamās pr</w:t>
            </w:r>
            <w:r w:rsidR="00D97D19">
              <w:rPr>
                <w:rFonts w:ascii="Times New Roman" w:hAnsi="Times New Roman" w:cs="Times New Roman"/>
                <w:sz w:val="24"/>
                <w:szCs w:val="24"/>
              </w:rPr>
              <w:t>asmes, lai var uzlabot NVA</w:t>
            </w:r>
            <w:r w:rsidR="00D97D19" w:rsidRPr="00D97D19">
              <w:rPr>
                <w:rFonts w:ascii="Times New Roman" w:hAnsi="Times New Roman" w:cs="Times New Roman"/>
                <w:sz w:val="24"/>
                <w:szCs w:val="24"/>
              </w:rPr>
              <w:t xml:space="preserve"> pakalpojuma pieejamību, piemērotāko personāla atlases metožu izmantošanu bezdarbnieku atlasīšanai brīvajām vakancēm.</w:t>
            </w:r>
            <w:r w:rsidR="00EC4C71">
              <w:rPr>
                <w:rFonts w:ascii="Times New Roman" w:hAnsi="Times New Roman" w:cs="Times New Roman"/>
                <w:sz w:val="24"/>
                <w:szCs w:val="24"/>
              </w:rPr>
              <w:t xml:space="preserve"> Apmācību vajadzības tiks noteiktas un apmācību pasākumi NVA darbiniekiem tiks īstenoti</w:t>
            </w:r>
            <w:r w:rsidR="00EC4C71">
              <w:rPr>
                <w:rFonts w:ascii="Tms Rmn" w:hAnsi="Tms Rmn" w:cs="Tms Rmn"/>
                <w:color w:val="000000"/>
              </w:rPr>
              <w:t xml:space="preserve"> atbilstoši attiecīgas NVA filiāles attīstības plānam.</w:t>
            </w:r>
          </w:p>
          <w:p w:rsidR="00D97D19" w:rsidRDefault="00D97D19" w:rsidP="00D97D19">
            <w:pPr>
              <w:pStyle w:val="NoSpacing"/>
              <w:ind w:left="142" w:right="141"/>
              <w:jc w:val="both"/>
              <w:rPr>
                <w:rFonts w:ascii="Times New Roman" w:hAnsi="Times New Roman" w:cs="Times New Roman"/>
                <w:sz w:val="24"/>
                <w:szCs w:val="24"/>
              </w:rPr>
            </w:pPr>
            <w:r w:rsidRPr="00D97D19">
              <w:rPr>
                <w:rFonts w:ascii="Times New Roman" w:hAnsi="Times New Roman" w:cs="Times New Roman"/>
                <w:sz w:val="24"/>
                <w:szCs w:val="24"/>
              </w:rPr>
              <w:t>Tā kā NV</w:t>
            </w:r>
            <w:r>
              <w:rPr>
                <w:rFonts w:ascii="Times New Roman" w:hAnsi="Times New Roman" w:cs="Times New Roman"/>
                <w:sz w:val="24"/>
                <w:szCs w:val="24"/>
              </w:rPr>
              <w:t>A darbiniekiem darbs ir saistīts</w:t>
            </w:r>
            <w:r w:rsidRPr="00D97D19">
              <w:rPr>
                <w:rFonts w:ascii="Times New Roman" w:hAnsi="Times New Roman" w:cs="Times New Roman"/>
                <w:sz w:val="24"/>
                <w:szCs w:val="24"/>
              </w:rPr>
              <w:t xml:space="preserve"> ar klientu apkalpošanu, tad </w:t>
            </w:r>
            <w:r w:rsidR="00EC4C71">
              <w:rPr>
                <w:rFonts w:ascii="Times New Roman" w:hAnsi="Times New Roman" w:cs="Times New Roman"/>
                <w:sz w:val="24"/>
                <w:szCs w:val="24"/>
              </w:rPr>
              <w:t>projekta apmācību aktivitāšu</w:t>
            </w:r>
            <w:r w:rsidRPr="00D97D19">
              <w:rPr>
                <w:rFonts w:ascii="Times New Roman" w:hAnsi="Times New Roman" w:cs="Times New Roman"/>
                <w:sz w:val="24"/>
                <w:szCs w:val="24"/>
              </w:rPr>
              <w:t xml:space="preserve"> ietvaros NVA darbiniekiem tiks sniegtas </w:t>
            </w:r>
            <w:r w:rsidR="00EC4C71">
              <w:rPr>
                <w:rFonts w:ascii="Times New Roman" w:hAnsi="Times New Roman" w:cs="Times New Roman"/>
                <w:sz w:val="24"/>
                <w:szCs w:val="24"/>
              </w:rPr>
              <w:t xml:space="preserve">arī </w:t>
            </w:r>
            <w:r w:rsidRPr="00D97D19">
              <w:rPr>
                <w:rFonts w:ascii="Times New Roman" w:hAnsi="Times New Roman" w:cs="Times New Roman"/>
                <w:sz w:val="24"/>
                <w:szCs w:val="24"/>
              </w:rPr>
              <w:t>psihologa konsultācijas un grupu supervīzijas</w:t>
            </w:r>
            <w:r w:rsidR="00EC4C71">
              <w:rPr>
                <w:rFonts w:ascii="Times New Roman" w:hAnsi="Times New Roman" w:cs="Times New Roman"/>
                <w:sz w:val="24"/>
                <w:szCs w:val="24"/>
              </w:rPr>
              <w:t xml:space="preserve"> </w:t>
            </w:r>
            <w:r w:rsidR="00EC4C71" w:rsidRPr="00D97D19">
              <w:rPr>
                <w:rFonts w:ascii="Times New Roman" w:hAnsi="Times New Roman" w:cs="Times New Roman"/>
                <w:sz w:val="24"/>
                <w:szCs w:val="24"/>
              </w:rPr>
              <w:t>(smagāku gadījumu analīzei)</w:t>
            </w:r>
            <w:r w:rsidR="00EC4C71">
              <w:rPr>
                <w:rFonts w:ascii="Times New Roman" w:hAnsi="Times New Roman" w:cs="Times New Roman"/>
                <w:sz w:val="24"/>
                <w:szCs w:val="24"/>
              </w:rPr>
              <w:t xml:space="preserve"> darbam ar klientiem</w:t>
            </w:r>
            <w:r w:rsidRPr="00D97D19">
              <w:rPr>
                <w:rFonts w:ascii="Times New Roman" w:hAnsi="Times New Roman" w:cs="Times New Roman"/>
                <w:sz w:val="24"/>
                <w:szCs w:val="24"/>
              </w:rPr>
              <w:t>, kas palīdzēs attīstīt un pilnveidot individuālo darbu ar dažādām specifiskām bezdarbnieku mērķgrupām.</w:t>
            </w:r>
          </w:p>
          <w:p w:rsidR="0077215B" w:rsidRPr="0077215B" w:rsidRDefault="0077215B" w:rsidP="0077215B">
            <w:pPr>
              <w:pStyle w:val="NoSpacing"/>
              <w:ind w:left="142" w:right="141"/>
              <w:jc w:val="both"/>
              <w:rPr>
                <w:rFonts w:ascii="Times New Roman" w:hAnsi="Times New Roman" w:cs="Times New Roman"/>
                <w:sz w:val="24"/>
                <w:szCs w:val="24"/>
              </w:rPr>
            </w:pPr>
            <w:r w:rsidRPr="0077215B">
              <w:rPr>
                <w:rFonts w:ascii="Times New Roman" w:hAnsi="Times New Roman" w:cs="Times New Roman"/>
                <w:sz w:val="24"/>
                <w:szCs w:val="24"/>
              </w:rPr>
              <w:t xml:space="preserve">Savukārt, </w:t>
            </w:r>
            <w:r w:rsidRPr="0077215B">
              <w:rPr>
                <w:rFonts w:ascii="Times New Roman" w:eastAsia="Times New Roman" w:hAnsi="Times New Roman" w:cs="Times New Roman"/>
                <w:sz w:val="24"/>
                <w:szCs w:val="24"/>
                <w:lang w:eastAsia="lv-LV"/>
              </w:rPr>
              <w:t xml:space="preserve">NVA filiāļu tīkla darbības efektivitātes izvērtējuma ietvaros </w:t>
            </w:r>
            <w:r w:rsidRPr="0077215B">
              <w:rPr>
                <w:rFonts w:ascii="Times New Roman" w:hAnsi="Times New Roman" w:cs="Times New Roman"/>
                <w:sz w:val="24"/>
                <w:szCs w:val="24"/>
              </w:rPr>
              <w:t xml:space="preserve">tiks izvērtēta esošo NVA filiāļu tīkla darbības efektivitāte, tiks sagatavoti priekšlikumi filiāļu tīkla darbības efektivitātes uzlabošanai </w:t>
            </w:r>
            <w:r>
              <w:rPr>
                <w:rFonts w:ascii="Times New Roman" w:hAnsi="Times New Roman" w:cs="Times New Roman"/>
                <w:sz w:val="24"/>
                <w:szCs w:val="24"/>
              </w:rPr>
              <w:t>un</w:t>
            </w:r>
            <w:r w:rsidRPr="0077215B">
              <w:rPr>
                <w:rFonts w:ascii="Times New Roman" w:hAnsi="Times New Roman" w:cs="Times New Roman"/>
                <w:sz w:val="24"/>
                <w:szCs w:val="24"/>
              </w:rPr>
              <w:t xml:space="preserve"> filiāļu tīkla </w:t>
            </w:r>
            <w:r w:rsidRPr="0077215B">
              <w:rPr>
                <w:rFonts w:ascii="Times New Roman" w:hAnsi="Times New Roman" w:cs="Times New Roman"/>
                <w:sz w:val="24"/>
                <w:szCs w:val="24"/>
              </w:rPr>
              <w:lastRenderedPageBreak/>
              <w:t>reorganizācijas priekšlikumi, kurus aģentūra izmantos savas darbības organizēšanai un klientu apkalpošanas uzlabošanai.</w:t>
            </w:r>
          </w:p>
          <w:p w:rsidR="00BF1C90" w:rsidRDefault="00BF1C90" w:rsidP="004A5D27">
            <w:pPr>
              <w:spacing w:after="0" w:line="240" w:lineRule="auto"/>
              <w:ind w:right="142"/>
              <w:jc w:val="both"/>
              <w:rPr>
                <w:rFonts w:ascii="Times New Roman" w:hAnsi="Times New Roman" w:cs="Times New Roman"/>
                <w:sz w:val="24"/>
                <w:szCs w:val="24"/>
              </w:rPr>
            </w:pPr>
          </w:p>
          <w:p w:rsidR="00CD56FB" w:rsidRPr="00CD56FB" w:rsidRDefault="00CD56FB" w:rsidP="00CD56FB">
            <w:pPr>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Ņemot vērā, ka finansējuma pārdaļu rezultātā nedaudz mazinās</w:t>
            </w:r>
            <w:r w:rsidRPr="00CD56FB">
              <w:rPr>
                <w:rFonts w:ascii="Times New Roman" w:hAnsi="Times New Roman" w:cs="Times New Roman"/>
                <w:sz w:val="24"/>
                <w:szCs w:val="24"/>
              </w:rPr>
              <w:t xml:space="preserve"> Eiropas Sociālā fonda </w:t>
            </w:r>
            <w:r>
              <w:rPr>
                <w:rFonts w:ascii="Times New Roman" w:hAnsi="Times New Roman" w:cs="Times New Roman"/>
                <w:sz w:val="24"/>
                <w:szCs w:val="24"/>
              </w:rPr>
              <w:t>(turpmāk – ESF) izmaksu intensitāte 1.3.1.4.aktivitātē (pēc pārdales intensitāte ir 84,994%), nepieciešams MK noteikumos Nr.731 noteikt, ka</w:t>
            </w:r>
            <w:r w:rsidRPr="00D71ACA">
              <w:rPr>
                <w:sz w:val="28"/>
                <w:szCs w:val="28"/>
              </w:rPr>
              <w:t xml:space="preserve"> </w:t>
            </w:r>
            <w:r>
              <w:rPr>
                <w:rFonts w:ascii="Times New Roman" w:hAnsi="Times New Roman" w:cs="Times New Roman"/>
                <w:sz w:val="24"/>
                <w:szCs w:val="24"/>
              </w:rPr>
              <w:t>m</w:t>
            </w:r>
            <w:r w:rsidRPr="00CD56FB">
              <w:rPr>
                <w:rFonts w:ascii="Times New Roman" w:hAnsi="Times New Roman" w:cs="Times New Roman"/>
                <w:sz w:val="24"/>
                <w:szCs w:val="24"/>
              </w:rPr>
              <w:t xml:space="preserve">aksimālais attiecināmais </w:t>
            </w:r>
            <w:r>
              <w:rPr>
                <w:rFonts w:ascii="Times New Roman" w:hAnsi="Times New Roman" w:cs="Times New Roman"/>
                <w:sz w:val="24"/>
                <w:szCs w:val="24"/>
              </w:rPr>
              <w:t xml:space="preserve">ESF </w:t>
            </w:r>
            <w:r w:rsidRPr="00CD56FB">
              <w:rPr>
                <w:rFonts w:ascii="Times New Roman" w:hAnsi="Times New Roman" w:cs="Times New Roman"/>
                <w:sz w:val="24"/>
                <w:szCs w:val="24"/>
              </w:rPr>
              <w:t xml:space="preserve">finansējuma apmērs ir 85 procenti no </w:t>
            </w:r>
            <w:r>
              <w:rPr>
                <w:rFonts w:ascii="Times New Roman" w:hAnsi="Times New Roman" w:cs="Times New Roman"/>
                <w:sz w:val="24"/>
                <w:szCs w:val="24"/>
              </w:rPr>
              <w:t>1.3.1.4.</w:t>
            </w:r>
            <w:r w:rsidRPr="00CD56FB">
              <w:rPr>
                <w:rFonts w:ascii="Times New Roman" w:hAnsi="Times New Roman" w:cs="Times New Roman"/>
                <w:sz w:val="24"/>
                <w:szCs w:val="24"/>
              </w:rPr>
              <w:t xml:space="preserve">aktivitātei pieejamā kopējā attiecināmā finansējuma, bet ne vairāk, kā </w:t>
            </w:r>
            <w:r>
              <w:rPr>
                <w:rFonts w:ascii="Times New Roman" w:hAnsi="Times New Roman" w:cs="Times New Roman"/>
                <w:sz w:val="24"/>
                <w:szCs w:val="24"/>
              </w:rPr>
              <w:t>summa, kas noteikta MK noteikumu Nr.731</w:t>
            </w:r>
            <w:r w:rsidRPr="00CD56FB">
              <w:rPr>
                <w:rFonts w:ascii="Times New Roman" w:hAnsi="Times New Roman" w:cs="Times New Roman"/>
                <w:sz w:val="24"/>
                <w:szCs w:val="24"/>
              </w:rPr>
              <w:t xml:space="preserve"> 6.punktā</w:t>
            </w:r>
            <w:r>
              <w:rPr>
                <w:rFonts w:ascii="Times New Roman" w:hAnsi="Times New Roman" w:cs="Times New Roman"/>
                <w:sz w:val="24"/>
                <w:szCs w:val="24"/>
              </w:rPr>
              <w:t>.</w:t>
            </w:r>
          </w:p>
          <w:p w:rsidR="00CD56FB" w:rsidRDefault="00CD56FB" w:rsidP="00CD56FB">
            <w:pPr>
              <w:spacing w:after="0" w:line="240" w:lineRule="auto"/>
              <w:ind w:left="142" w:right="142"/>
              <w:jc w:val="both"/>
              <w:rPr>
                <w:rFonts w:ascii="Times New Roman" w:hAnsi="Times New Roman" w:cs="Times New Roman"/>
                <w:sz w:val="24"/>
                <w:szCs w:val="24"/>
              </w:rPr>
            </w:pPr>
          </w:p>
          <w:p w:rsidR="00CC1A56" w:rsidRPr="00064954" w:rsidRDefault="003B0FBE" w:rsidP="00E54C92">
            <w:pPr>
              <w:spacing w:after="0" w:line="240" w:lineRule="auto"/>
              <w:ind w:left="142" w:right="141"/>
              <w:jc w:val="both"/>
              <w:rPr>
                <w:rFonts w:ascii="Times New Roman" w:hAnsi="Times New Roman" w:cs="Times New Roman"/>
                <w:sz w:val="24"/>
                <w:szCs w:val="24"/>
              </w:rPr>
            </w:pPr>
            <w:r w:rsidRPr="00064954">
              <w:rPr>
                <w:rFonts w:ascii="Times New Roman" w:hAnsi="Times New Roman" w:cs="Times New Roman"/>
                <w:sz w:val="24"/>
                <w:szCs w:val="24"/>
              </w:rPr>
              <w:t>Ņemot vērā iepriekš minēto, nepieciešams veikt grozījumus</w:t>
            </w:r>
            <w:r w:rsidR="00064954" w:rsidRPr="00064954">
              <w:rPr>
                <w:rFonts w:ascii="Times New Roman" w:hAnsi="Times New Roman" w:cs="Times New Roman"/>
                <w:sz w:val="24"/>
                <w:szCs w:val="24"/>
              </w:rPr>
              <w:t xml:space="preserve"> MK noteikumos Nr.731, palielinot 1.3.1.4.aktivitātes kopējo attiecināmo finansējumu par 151 146 </w:t>
            </w:r>
            <w:r w:rsidR="00221D3C" w:rsidRPr="00221D3C">
              <w:rPr>
                <w:rFonts w:ascii="Times New Roman" w:hAnsi="Times New Roman" w:cs="Times New Roman"/>
                <w:sz w:val="24"/>
                <w:szCs w:val="24"/>
              </w:rPr>
              <w:t>EUR</w:t>
            </w:r>
            <w:r w:rsidR="00064954" w:rsidRPr="00064954">
              <w:rPr>
                <w:rFonts w:ascii="Times New Roman" w:hAnsi="Times New Roman" w:cs="Times New Roman"/>
                <w:i/>
                <w:sz w:val="24"/>
                <w:szCs w:val="24"/>
              </w:rPr>
              <w:t xml:space="preserve">, </w:t>
            </w:r>
            <w:r w:rsidR="00064954" w:rsidRPr="00E54C92">
              <w:rPr>
                <w:rFonts w:ascii="Times New Roman" w:hAnsi="Times New Roman" w:cs="Times New Roman"/>
                <w:sz w:val="24"/>
                <w:szCs w:val="24"/>
              </w:rPr>
              <w:t>kā arī</w:t>
            </w:r>
            <w:r w:rsidR="00064954" w:rsidRPr="00064954">
              <w:rPr>
                <w:rFonts w:ascii="Times New Roman" w:hAnsi="Times New Roman" w:cs="Times New Roman"/>
                <w:sz w:val="24"/>
                <w:szCs w:val="24"/>
              </w:rPr>
              <w:t xml:space="preserve"> ieplānot jaunu atbalstāmo darbību „Operatīvās klientu apkalpošanas IT rīku noma” un jaunu izmaksu apakšpozīciju</w:t>
            </w:r>
            <w:r w:rsidR="00064954">
              <w:rPr>
                <w:rFonts w:ascii="Times New Roman" w:hAnsi="Times New Roman" w:cs="Times New Roman"/>
                <w:sz w:val="24"/>
                <w:szCs w:val="24"/>
              </w:rPr>
              <w:t xml:space="preserve"> IT rīku nomas nodrošināšanai.</w:t>
            </w:r>
          </w:p>
        </w:tc>
      </w:tr>
      <w:tr w:rsidR="00CC1A56" w:rsidRPr="00DD49B6" w:rsidTr="001E645F">
        <w:trPr>
          <w:trHeight w:val="476"/>
        </w:trPr>
        <w:tc>
          <w:tcPr>
            <w:tcW w:w="227" w:type="pct"/>
          </w:tcPr>
          <w:p w:rsidR="00CC1A56" w:rsidRPr="00DD49B6" w:rsidRDefault="00CC1A56" w:rsidP="007D385B">
            <w:pPr>
              <w:pStyle w:val="naiskr"/>
              <w:spacing w:before="0" w:beforeAutospacing="0" w:after="0" w:afterAutospacing="0"/>
              <w:ind w:left="57" w:right="57"/>
              <w:jc w:val="center"/>
            </w:pPr>
            <w:r w:rsidRPr="00DD49B6">
              <w:lastRenderedPageBreak/>
              <w:t>3.</w:t>
            </w:r>
          </w:p>
        </w:tc>
        <w:tc>
          <w:tcPr>
            <w:tcW w:w="1566" w:type="pct"/>
          </w:tcPr>
          <w:p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07" w:type="pct"/>
          </w:tcPr>
          <w:p w:rsidR="00CC1A56" w:rsidRPr="0093520F" w:rsidRDefault="003B60BC" w:rsidP="00BF1BDA">
            <w:pPr>
              <w:spacing w:after="0" w:line="240" w:lineRule="auto"/>
              <w:ind w:left="142" w:right="57"/>
              <w:rPr>
                <w:rFonts w:ascii="Times New Roman" w:hAnsi="Times New Roman" w:cs="Times New Roman"/>
                <w:b/>
                <w:sz w:val="24"/>
                <w:szCs w:val="24"/>
              </w:rPr>
            </w:pPr>
            <w:r>
              <w:rPr>
                <w:rFonts w:ascii="Times New Roman" w:hAnsi="Times New Roman" w:cs="Times New Roman"/>
                <w:sz w:val="24"/>
                <w:szCs w:val="24"/>
              </w:rPr>
              <w:t>MK noteikumu</w:t>
            </w:r>
            <w:r w:rsidR="002A161A" w:rsidRPr="0093520F">
              <w:rPr>
                <w:rFonts w:ascii="Times New Roman" w:hAnsi="Times New Roman" w:cs="Times New Roman"/>
                <w:sz w:val="24"/>
                <w:szCs w:val="24"/>
              </w:rPr>
              <w:t xml:space="preserve"> projekts šo jomu neskar</w:t>
            </w:r>
            <w:r w:rsidR="0093520F" w:rsidRPr="0093520F">
              <w:rPr>
                <w:rFonts w:ascii="Times New Roman" w:hAnsi="Times New Roman" w:cs="Times New Roman"/>
                <w:sz w:val="24"/>
                <w:szCs w:val="24"/>
              </w:rPr>
              <w:t>.</w:t>
            </w:r>
          </w:p>
        </w:tc>
      </w:tr>
      <w:tr w:rsidR="00CC1A56" w:rsidRPr="00DD49B6" w:rsidTr="001E645F">
        <w:tc>
          <w:tcPr>
            <w:tcW w:w="227" w:type="pct"/>
          </w:tcPr>
          <w:p w:rsidR="00CC1A56" w:rsidRPr="00DD49B6" w:rsidRDefault="00CC1A56" w:rsidP="007D385B">
            <w:pPr>
              <w:pStyle w:val="naiskr"/>
              <w:spacing w:before="0" w:beforeAutospacing="0" w:after="0" w:afterAutospacing="0"/>
              <w:ind w:left="57" w:right="57"/>
              <w:jc w:val="center"/>
            </w:pPr>
            <w:r w:rsidRPr="00DD49B6">
              <w:t>4.</w:t>
            </w:r>
          </w:p>
        </w:tc>
        <w:tc>
          <w:tcPr>
            <w:tcW w:w="1566" w:type="pct"/>
          </w:tcPr>
          <w:p w:rsidR="00CC1A56" w:rsidRPr="00DD49B6" w:rsidRDefault="00CC1A56" w:rsidP="007D385B">
            <w:pPr>
              <w:pStyle w:val="naiskr"/>
              <w:spacing w:before="0" w:beforeAutospacing="0" w:after="0" w:afterAutospacing="0"/>
              <w:ind w:left="57" w:right="57"/>
            </w:pPr>
            <w:r w:rsidRPr="00DD49B6">
              <w:t>Cita informācija</w:t>
            </w:r>
          </w:p>
        </w:tc>
        <w:tc>
          <w:tcPr>
            <w:tcW w:w="3207" w:type="pct"/>
          </w:tcPr>
          <w:p w:rsidR="00CC1A56" w:rsidRPr="00221D3C" w:rsidRDefault="00C50204" w:rsidP="00BD56EE">
            <w:pPr>
              <w:spacing w:after="0" w:line="240" w:lineRule="auto"/>
              <w:ind w:left="142" w:right="141"/>
              <w:jc w:val="both"/>
              <w:rPr>
                <w:rFonts w:ascii="Times New Roman" w:hAnsi="Times New Roman" w:cs="Times New Roman"/>
                <w:sz w:val="24"/>
                <w:szCs w:val="24"/>
              </w:rPr>
            </w:pPr>
            <w:r w:rsidRPr="00221D3C">
              <w:rPr>
                <w:rFonts w:ascii="Times New Roman" w:hAnsi="Times New Roman" w:cs="Times New Roman"/>
                <w:sz w:val="24"/>
                <w:szCs w:val="24"/>
              </w:rPr>
              <w:t>Finansējuma pārdale tiek ierosināta, ņemot vērā 2014.gada 19.februāra Koalīcijas partneru darba grupas Par</w:t>
            </w:r>
            <w:r w:rsidRPr="00221D3C">
              <w:rPr>
                <w:rFonts w:eastAsia="Times New Roman"/>
                <w:b/>
                <w:sz w:val="24"/>
                <w:szCs w:val="24"/>
                <w:lang w:eastAsia="zh-CN"/>
              </w:rPr>
              <w:t xml:space="preserve"> </w:t>
            </w:r>
            <w:r w:rsidRPr="00221D3C">
              <w:rPr>
                <w:rFonts w:ascii="Times New Roman" w:eastAsia="Times New Roman" w:hAnsi="Times New Roman" w:cs="Times New Roman"/>
                <w:sz w:val="24"/>
                <w:szCs w:val="24"/>
                <w:lang w:eastAsia="zh-CN"/>
              </w:rPr>
              <w:t>ES struktūrfondu un Kohēzijas fonda jautājumiem</w:t>
            </w:r>
            <w:r w:rsidRPr="00221D3C">
              <w:rPr>
                <w:rFonts w:ascii="Times New Roman" w:hAnsi="Times New Roman" w:cs="Times New Roman"/>
                <w:sz w:val="24"/>
                <w:szCs w:val="24"/>
              </w:rPr>
              <w:t xml:space="preserve"> protokola 1.3.apakšpunktā un 4.a) punktā noteikto.</w:t>
            </w:r>
          </w:p>
        </w:tc>
      </w:tr>
    </w:tbl>
    <w:p w:rsidR="00CC1A56" w:rsidRPr="00DD49B6" w:rsidRDefault="00CC1A56" w:rsidP="00CC1A56">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DD49B6" w:rsidTr="007D385B">
        <w:trPr>
          <w:trHeight w:val="556"/>
        </w:trPr>
        <w:tc>
          <w:tcPr>
            <w:tcW w:w="9503" w:type="dxa"/>
            <w:gridSpan w:val="3"/>
            <w:vAlign w:val="center"/>
          </w:tcPr>
          <w:p w:rsidR="00CC1A56" w:rsidRPr="00DD49B6" w:rsidRDefault="00CC1A56" w:rsidP="007D385B">
            <w:pPr>
              <w:pStyle w:val="naisnod"/>
              <w:spacing w:before="0" w:beforeAutospacing="0" w:after="0" w:afterAutospacing="0"/>
              <w:ind w:left="57" w:right="57"/>
              <w:jc w:val="center"/>
              <w:rPr>
                <w:b/>
              </w:rPr>
            </w:pPr>
            <w:r w:rsidRPr="00DD49B6">
              <w:rPr>
                <w:b/>
              </w:rPr>
              <w:t>II. Tiesību akta projekta ietekme uz sabiedrību, tautsaimniecības attīstību</w:t>
            </w:r>
          </w:p>
          <w:p w:rsidR="00CC1A56" w:rsidRPr="00DD49B6" w:rsidRDefault="00CC1A56" w:rsidP="007D385B">
            <w:pPr>
              <w:pStyle w:val="naisnod"/>
              <w:spacing w:before="0" w:beforeAutospacing="0" w:after="0" w:afterAutospacing="0"/>
              <w:ind w:left="57" w:right="57"/>
              <w:jc w:val="center"/>
              <w:rPr>
                <w:b/>
              </w:rPr>
            </w:pPr>
            <w:r w:rsidRPr="00DD49B6">
              <w:rPr>
                <w:b/>
              </w:rPr>
              <w:t>un administratīvo slogu</w:t>
            </w:r>
          </w:p>
        </w:tc>
      </w:tr>
      <w:tr w:rsidR="00CC1A56" w:rsidRPr="00DD49B6" w:rsidTr="007D385B">
        <w:trPr>
          <w:trHeight w:val="467"/>
        </w:trPr>
        <w:tc>
          <w:tcPr>
            <w:tcW w:w="431" w:type="dxa"/>
          </w:tcPr>
          <w:p w:rsidR="00CC1A56" w:rsidRPr="00DD49B6" w:rsidRDefault="00CC1A56" w:rsidP="007D385B">
            <w:pPr>
              <w:pStyle w:val="naiskr"/>
              <w:spacing w:before="0" w:beforeAutospacing="0" w:after="0" w:afterAutospacing="0"/>
              <w:ind w:left="57" w:right="57"/>
              <w:jc w:val="both"/>
            </w:pPr>
            <w:r w:rsidRPr="00DD49B6">
              <w:t>1.</w:t>
            </w:r>
          </w:p>
        </w:tc>
        <w:tc>
          <w:tcPr>
            <w:tcW w:w="2976" w:type="dxa"/>
          </w:tcPr>
          <w:p w:rsidR="00CC1A56" w:rsidRPr="00DD49B6" w:rsidRDefault="00CC1A56" w:rsidP="007D385B">
            <w:pPr>
              <w:pStyle w:val="naiskr"/>
              <w:spacing w:before="0" w:beforeAutospacing="0" w:after="0" w:afterAutospacing="0"/>
              <w:ind w:left="57" w:right="57"/>
            </w:pPr>
            <w:r w:rsidRPr="00DD49B6">
              <w:t>Sabiedrības mērķgrupas, kuras tiesiskais regulējums ietekmē vai varētu ietekmēt</w:t>
            </w:r>
          </w:p>
        </w:tc>
        <w:tc>
          <w:tcPr>
            <w:tcW w:w="6096" w:type="dxa"/>
          </w:tcPr>
          <w:p w:rsidR="00CC1A56" w:rsidRPr="00D22893" w:rsidRDefault="00D22893" w:rsidP="001B7C9C">
            <w:pPr>
              <w:shd w:val="clear" w:color="auto" w:fill="FFFFFF"/>
              <w:spacing w:after="0" w:line="240" w:lineRule="auto"/>
              <w:ind w:left="142" w:right="142"/>
              <w:jc w:val="both"/>
              <w:rPr>
                <w:rFonts w:ascii="Times New Roman" w:hAnsi="Times New Roman" w:cs="Times New Roman"/>
                <w:sz w:val="24"/>
                <w:szCs w:val="24"/>
              </w:rPr>
            </w:pPr>
            <w:bookmarkStart w:id="0" w:name="p21"/>
            <w:bookmarkEnd w:id="0"/>
            <w:r>
              <w:rPr>
                <w:rFonts w:ascii="Times New Roman" w:hAnsi="Times New Roman" w:cs="Times New Roman"/>
                <w:sz w:val="24"/>
                <w:szCs w:val="24"/>
              </w:rPr>
              <w:t>Nodarbinātības valsts aģentūras klienti, jo tiks uzlabota pieejamo pakalpojumu kvalitāte.</w:t>
            </w:r>
          </w:p>
        </w:tc>
      </w:tr>
      <w:tr w:rsidR="00CC1A56" w:rsidRPr="00DD49B6" w:rsidTr="007D385B">
        <w:trPr>
          <w:trHeight w:val="523"/>
        </w:trPr>
        <w:tc>
          <w:tcPr>
            <w:tcW w:w="431" w:type="dxa"/>
          </w:tcPr>
          <w:p w:rsidR="00CC1A56" w:rsidRPr="00DD49B6" w:rsidRDefault="00CC1A56" w:rsidP="007D385B">
            <w:pPr>
              <w:pStyle w:val="naiskr"/>
              <w:spacing w:before="0" w:beforeAutospacing="0" w:after="0" w:afterAutospacing="0"/>
              <w:ind w:left="57" w:right="57"/>
              <w:jc w:val="both"/>
            </w:pPr>
            <w:r w:rsidRPr="00DD49B6">
              <w:t>2.</w:t>
            </w:r>
          </w:p>
        </w:tc>
        <w:tc>
          <w:tcPr>
            <w:tcW w:w="2976" w:type="dxa"/>
          </w:tcPr>
          <w:p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rsidR="00CC1A56" w:rsidRPr="00D404FE" w:rsidRDefault="00D404FE" w:rsidP="001B7C9C">
            <w:pPr>
              <w:shd w:val="clear" w:color="auto" w:fill="FFFFFF"/>
              <w:spacing w:after="0" w:line="240" w:lineRule="auto"/>
              <w:ind w:left="142" w:right="142"/>
              <w:jc w:val="both"/>
              <w:rPr>
                <w:rFonts w:ascii="Times New Roman" w:hAnsi="Times New Roman" w:cs="Times New Roman"/>
                <w:sz w:val="24"/>
                <w:szCs w:val="24"/>
                <w:lang w:eastAsia="lv-LV"/>
              </w:rPr>
            </w:pPr>
            <w:r w:rsidRPr="00D404FE">
              <w:rPr>
                <w:rFonts w:ascii="Times New Roman" w:hAnsi="Times New Roman" w:cs="Times New Roman"/>
                <w:sz w:val="24"/>
                <w:szCs w:val="24"/>
                <w:lang w:eastAsia="lv-LV"/>
              </w:rPr>
              <w:t>Sabiedrības grupām un institūcijām projekta tiesiskais regulējums nemaina tiesības un pienākumus, kā arī veicamās darbības.</w:t>
            </w:r>
          </w:p>
        </w:tc>
      </w:tr>
      <w:tr w:rsidR="00CC1A56" w:rsidRPr="00DD49B6" w:rsidTr="007D385B">
        <w:trPr>
          <w:trHeight w:val="523"/>
        </w:trPr>
        <w:tc>
          <w:tcPr>
            <w:tcW w:w="431" w:type="dxa"/>
          </w:tcPr>
          <w:p w:rsidR="00CC1A56" w:rsidRPr="00DD49B6" w:rsidRDefault="00CC1A56" w:rsidP="007D385B">
            <w:pPr>
              <w:pStyle w:val="naiskr"/>
              <w:spacing w:before="0" w:beforeAutospacing="0" w:after="0" w:afterAutospacing="0"/>
              <w:ind w:left="57" w:right="57"/>
              <w:jc w:val="both"/>
            </w:pPr>
            <w:r w:rsidRPr="00DD49B6">
              <w:t>3.</w:t>
            </w:r>
          </w:p>
        </w:tc>
        <w:tc>
          <w:tcPr>
            <w:tcW w:w="2976" w:type="dxa"/>
          </w:tcPr>
          <w:p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rsidR="00CC1A56" w:rsidRPr="00DD49B6" w:rsidRDefault="00D404FE" w:rsidP="001B7C9C">
            <w:pPr>
              <w:shd w:val="clear" w:color="auto" w:fill="FFFFFF"/>
              <w:spacing w:after="0" w:line="240" w:lineRule="auto"/>
              <w:ind w:left="142" w:right="57"/>
              <w:rPr>
                <w:rFonts w:ascii="Times New Roman" w:hAnsi="Times New Roman" w:cs="Times New Roman"/>
                <w:sz w:val="24"/>
                <w:szCs w:val="24"/>
                <w:lang w:eastAsia="lv-LV"/>
              </w:rPr>
            </w:pPr>
            <w:r w:rsidRPr="0093520F">
              <w:rPr>
                <w:rFonts w:ascii="Times New Roman" w:hAnsi="Times New Roman" w:cs="Times New Roman"/>
                <w:sz w:val="24"/>
                <w:szCs w:val="24"/>
              </w:rPr>
              <w:t>MK rīkojuma projekts šo jomu neskar.</w:t>
            </w:r>
          </w:p>
        </w:tc>
      </w:tr>
      <w:tr w:rsidR="00CC1A56" w:rsidRPr="00DD49B6" w:rsidTr="007D385B">
        <w:trPr>
          <w:trHeight w:val="357"/>
        </w:trPr>
        <w:tc>
          <w:tcPr>
            <w:tcW w:w="431" w:type="dxa"/>
          </w:tcPr>
          <w:p w:rsidR="00CC1A56" w:rsidRPr="00DD49B6" w:rsidRDefault="00CC1A56" w:rsidP="007D385B">
            <w:pPr>
              <w:pStyle w:val="naiskr"/>
              <w:spacing w:before="0" w:beforeAutospacing="0" w:after="0" w:afterAutospacing="0"/>
              <w:ind w:left="57" w:right="57"/>
              <w:jc w:val="both"/>
            </w:pPr>
            <w:r w:rsidRPr="00DD49B6">
              <w:t>4.</w:t>
            </w:r>
          </w:p>
        </w:tc>
        <w:tc>
          <w:tcPr>
            <w:tcW w:w="2976" w:type="dxa"/>
          </w:tcPr>
          <w:p w:rsidR="00CC1A56" w:rsidRPr="00DD49B6" w:rsidRDefault="00CC1A56" w:rsidP="007D385B">
            <w:pPr>
              <w:pStyle w:val="naiskr"/>
              <w:spacing w:before="0" w:beforeAutospacing="0" w:after="0" w:afterAutospacing="0"/>
              <w:ind w:left="57" w:right="57"/>
            </w:pPr>
            <w:r w:rsidRPr="00DD49B6">
              <w:t>Cita informācija</w:t>
            </w:r>
          </w:p>
        </w:tc>
        <w:tc>
          <w:tcPr>
            <w:tcW w:w="6096" w:type="dxa"/>
          </w:tcPr>
          <w:p w:rsidR="00CC1A56" w:rsidRPr="00DD49B6" w:rsidRDefault="007F44BF" w:rsidP="001B7C9C">
            <w:pPr>
              <w:shd w:val="clear" w:color="auto" w:fill="FFFFFF"/>
              <w:spacing w:after="0" w:line="240" w:lineRule="auto"/>
              <w:ind w:left="142" w:right="57"/>
              <w:rPr>
                <w:rFonts w:ascii="Times New Roman" w:hAnsi="Times New Roman" w:cs="Times New Roman"/>
                <w:sz w:val="24"/>
                <w:szCs w:val="24"/>
                <w:lang w:eastAsia="lv-LV"/>
              </w:rPr>
            </w:pPr>
            <w:r>
              <w:rPr>
                <w:rFonts w:ascii="Times New Roman" w:hAnsi="Times New Roman" w:cs="Times New Roman"/>
                <w:sz w:val="24"/>
                <w:szCs w:val="24"/>
              </w:rPr>
              <w:t>Nav.</w:t>
            </w:r>
          </w:p>
        </w:tc>
      </w:tr>
    </w:tbl>
    <w:p w:rsidR="00D14938" w:rsidRPr="00DD49B6" w:rsidRDefault="00D14938" w:rsidP="00CC1A56">
      <w:pPr>
        <w:spacing w:after="0" w:line="240" w:lineRule="auto"/>
        <w:rPr>
          <w:rFonts w:ascii="Times New Roman" w:hAnsi="Times New Roman" w:cs="Times New Roman"/>
          <w:sz w:val="24"/>
          <w:szCs w:val="24"/>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273"/>
        <w:gridCol w:w="1538"/>
        <w:gridCol w:w="1150"/>
        <w:gridCol w:w="1194"/>
        <w:gridCol w:w="1240"/>
      </w:tblGrid>
      <w:tr w:rsidR="00CC1A56" w:rsidRPr="00DD49B6" w:rsidTr="00E452B1">
        <w:trPr>
          <w:trHeight w:val="361"/>
          <w:jc w:val="center"/>
        </w:trPr>
        <w:tc>
          <w:tcPr>
            <w:tcW w:w="9577" w:type="dxa"/>
            <w:gridSpan w:val="6"/>
            <w:vAlign w:val="center"/>
          </w:tcPr>
          <w:p w:rsidR="00CC1A56" w:rsidRPr="00DD49B6" w:rsidRDefault="00CC1A56" w:rsidP="007D385B">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CC1A56" w:rsidRPr="00DD49B6" w:rsidTr="00E452B1">
        <w:trPr>
          <w:jc w:val="center"/>
        </w:trPr>
        <w:tc>
          <w:tcPr>
            <w:tcW w:w="3182" w:type="dxa"/>
            <w:vMerge w:val="restart"/>
            <w:vAlign w:val="center"/>
          </w:tcPr>
          <w:p w:rsidR="00CC1A56" w:rsidRPr="00DD49B6" w:rsidRDefault="00CC1A56" w:rsidP="007D385B">
            <w:pPr>
              <w:pStyle w:val="naisf"/>
              <w:spacing w:before="0" w:beforeAutospacing="0" w:after="0" w:afterAutospacing="0"/>
              <w:jc w:val="center"/>
              <w:rPr>
                <w:b/>
              </w:rPr>
            </w:pPr>
            <w:r w:rsidRPr="00DD49B6">
              <w:rPr>
                <w:b/>
              </w:rPr>
              <w:t>Rādītāji</w:t>
            </w:r>
          </w:p>
        </w:tc>
        <w:tc>
          <w:tcPr>
            <w:tcW w:w="2811" w:type="dxa"/>
            <w:gridSpan w:val="2"/>
            <w:vMerge w:val="restart"/>
            <w:vAlign w:val="center"/>
          </w:tcPr>
          <w:p w:rsidR="00CC1A56" w:rsidRPr="00DD49B6" w:rsidRDefault="00CC1A56" w:rsidP="007D385B">
            <w:pPr>
              <w:pStyle w:val="naisf"/>
              <w:spacing w:before="0" w:beforeAutospacing="0" w:after="0" w:afterAutospacing="0"/>
              <w:jc w:val="center"/>
              <w:rPr>
                <w:b/>
              </w:rPr>
            </w:pPr>
            <w:r>
              <w:rPr>
                <w:b/>
              </w:rPr>
              <w:t>2014.</w:t>
            </w:r>
            <w:r w:rsidRPr="00DD49B6">
              <w:rPr>
                <w:b/>
              </w:rPr>
              <w:t>gad</w:t>
            </w:r>
            <w:r w:rsidRPr="00962BF1">
              <w:rPr>
                <w:b/>
              </w:rPr>
              <w:t>s</w:t>
            </w:r>
          </w:p>
        </w:tc>
        <w:tc>
          <w:tcPr>
            <w:tcW w:w="3584" w:type="dxa"/>
            <w:gridSpan w:val="3"/>
            <w:vAlign w:val="center"/>
          </w:tcPr>
          <w:p w:rsidR="00CC1A56" w:rsidRPr="00DD49B6" w:rsidRDefault="00D22893" w:rsidP="007D385B">
            <w:pPr>
              <w:pStyle w:val="naisf"/>
              <w:spacing w:before="0" w:beforeAutospacing="0" w:after="0" w:afterAutospacing="0"/>
              <w:jc w:val="center"/>
              <w:rPr>
                <w:b/>
                <w:i/>
              </w:rPr>
            </w:pPr>
            <w:r>
              <w:t>Turpmākie trīs gadi (</w:t>
            </w:r>
            <w:r w:rsidRPr="00D22893">
              <w:rPr>
                <w:i/>
              </w:rPr>
              <w:t>euro</w:t>
            </w:r>
            <w:r w:rsidR="00CC1A56" w:rsidRPr="00DD49B6">
              <w:t>)</w:t>
            </w:r>
          </w:p>
        </w:tc>
      </w:tr>
      <w:tr w:rsidR="00CC1A56" w:rsidRPr="00DD49B6" w:rsidTr="00E452B1">
        <w:trPr>
          <w:jc w:val="center"/>
        </w:trPr>
        <w:tc>
          <w:tcPr>
            <w:tcW w:w="3182" w:type="dxa"/>
            <w:vMerge/>
            <w:vAlign w:val="center"/>
          </w:tcPr>
          <w:p w:rsidR="00CC1A56" w:rsidRPr="00DD49B6" w:rsidRDefault="00CC1A56" w:rsidP="007D385B">
            <w:pPr>
              <w:pStyle w:val="naisf"/>
              <w:spacing w:before="0" w:beforeAutospacing="0" w:after="0" w:afterAutospacing="0"/>
              <w:jc w:val="center"/>
              <w:rPr>
                <w:b/>
                <w:i/>
              </w:rPr>
            </w:pPr>
          </w:p>
        </w:tc>
        <w:tc>
          <w:tcPr>
            <w:tcW w:w="2811" w:type="dxa"/>
            <w:gridSpan w:val="2"/>
            <w:vMerge/>
            <w:vAlign w:val="center"/>
          </w:tcPr>
          <w:p w:rsidR="00CC1A56" w:rsidRPr="00DD49B6" w:rsidRDefault="00CC1A56" w:rsidP="007D385B">
            <w:pPr>
              <w:pStyle w:val="naisf"/>
              <w:spacing w:before="0" w:beforeAutospacing="0" w:after="0" w:afterAutospacing="0"/>
              <w:jc w:val="center"/>
              <w:rPr>
                <w:b/>
                <w:i/>
              </w:rPr>
            </w:pPr>
          </w:p>
        </w:tc>
        <w:tc>
          <w:tcPr>
            <w:tcW w:w="1150" w:type="dxa"/>
            <w:vAlign w:val="center"/>
          </w:tcPr>
          <w:p w:rsidR="00CC1A56" w:rsidRPr="00DD49B6" w:rsidRDefault="00CC1A56" w:rsidP="007D385B">
            <w:pPr>
              <w:pStyle w:val="naisf"/>
              <w:spacing w:before="0" w:beforeAutospacing="0" w:after="0" w:afterAutospacing="0"/>
              <w:jc w:val="center"/>
              <w:rPr>
                <w:b/>
                <w:i/>
              </w:rPr>
            </w:pPr>
            <w:r>
              <w:rPr>
                <w:b/>
                <w:bCs/>
              </w:rPr>
              <w:t>2015.</w:t>
            </w:r>
          </w:p>
        </w:tc>
        <w:tc>
          <w:tcPr>
            <w:tcW w:w="1194" w:type="dxa"/>
            <w:vAlign w:val="center"/>
          </w:tcPr>
          <w:p w:rsidR="00CC1A56" w:rsidRPr="00DD49B6" w:rsidRDefault="00CC1A56" w:rsidP="007D385B">
            <w:pPr>
              <w:pStyle w:val="naisf"/>
              <w:spacing w:before="0" w:beforeAutospacing="0" w:after="0" w:afterAutospacing="0"/>
              <w:jc w:val="center"/>
              <w:rPr>
                <w:b/>
                <w:i/>
              </w:rPr>
            </w:pPr>
            <w:r>
              <w:rPr>
                <w:b/>
                <w:bCs/>
              </w:rPr>
              <w:t>2016.</w:t>
            </w:r>
          </w:p>
        </w:tc>
        <w:tc>
          <w:tcPr>
            <w:tcW w:w="1240" w:type="dxa"/>
            <w:vAlign w:val="center"/>
          </w:tcPr>
          <w:p w:rsidR="00CC1A56" w:rsidRPr="00DD49B6" w:rsidRDefault="00CC1A56" w:rsidP="007D385B">
            <w:pPr>
              <w:pStyle w:val="naisf"/>
              <w:spacing w:before="0" w:beforeAutospacing="0" w:after="0" w:afterAutospacing="0"/>
              <w:jc w:val="center"/>
              <w:rPr>
                <w:b/>
                <w:i/>
              </w:rPr>
            </w:pPr>
            <w:r>
              <w:rPr>
                <w:b/>
                <w:bCs/>
              </w:rPr>
              <w:t>2017.</w:t>
            </w:r>
          </w:p>
        </w:tc>
      </w:tr>
      <w:tr w:rsidR="00CC1A56" w:rsidRPr="00DD49B6" w:rsidTr="00E452B1">
        <w:trPr>
          <w:jc w:val="center"/>
        </w:trPr>
        <w:tc>
          <w:tcPr>
            <w:tcW w:w="3182" w:type="dxa"/>
            <w:vMerge/>
            <w:vAlign w:val="center"/>
          </w:tcPr>
          <w:p w:rsidR="00CC1A56" w:rsidRPr="00DD49B6" w:rsidRDefault="00CC1A56" w:rsidP="007D385B">
            <w:pPr>
              <w:pStyle w:val="naisf"/>
              <w:spacing w:before="0" w:beforeAutospacing="0" w:after="0" w:afterAutospacing="0"/>
              <w:jc w:val="center"/>
              <w:rPr>
                <w:b/>
                <w:i/>
              </w:rPr>
            </w:pPr>
          </w:p>
        </w:tc>
        <w:tc>
          <w:tcPr>
            <w:tcW w:w="1273" w:type="dxa"/>
            <w:vAlign w:val="center"/>
          </w:tcPr>
          <w:p w:rsidR="00CC1A56" w:rsidRPr="00DD49B6" w:rsidRDefault="00CC1A56" w:rsidP="007D385B">
            <w:pPr>
              <w:pStyle w:val="naisf"/>
              <w:spacing w:before="0" w:beforeAutospacing="0" w:after="0" w:afterAutospacing="0"/>
              <w:jc w:val="center"/>
              <w:rPr>
                <w:b/>
                <w:i/>
              </w:rPr>
            </w:pPr>
            <w:r>
              <w:t>s</w:t>
            </w:r>
            <w:r w:rsidRPr="00DD49B6">
              <w:t>askaņā ar valsts budžetu kārtējam gadam</w:t>
            </w:r>
          </w:p>
        </w:tc>
        <w:tc>
          <w:tcPr>
            <w:tcW w:w="1538" w:type="dxa"/>
            <w:vAlign w:val="center"/>
          </w:tcPr>
          <w:p w:rsidR="00CC1A56" w:rsidRPr="00DD49B6" w:rsidRDefault="00CC1A56" w:rsidP="007D385B">
            <w:pPr>
              <w:pStyle w:val="naisf"/>
              <w:spacing w:before="0" w:beforeAutospacing="0" w:after="0" w:afterAutospacing="0"/>
              <w:jc w:val="center"/>
              <w:rPr>
                <w:b/>
                <w:i/>
              </w:rPr>
            </w:pPr>
            <w:r>
              <w:t>i</w:t>
            </w:r>
            <w:r w:rsidRPr="00DD49B6">
              <w:t>zmaiņas kārtējā gadā, salīdzinot ar valsts budžetu kārtējam gadam</w:t>
            </w:r>
          </w:p>
        </w:tc>
        <w:tc>
          <w:tcPr>
            <w:tcW w:w="1150" w:type="dxa"/>
            <w:vAlign w:val="center"/>
          </w:tcPr>
          <w:p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c>
          <w:tcPr>
            <w:tcW w:w="1194" w:type="dxa"/>
            <w:vAlign w:val="center"/>
          </w:tcPr>
          <w:p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c>
          <w:tcPr>
            <w:tcW w:w="1240" w:type="dxa"/>
            <w:vAlign w:val="center"/>
          </w:tcPr>
          <w:p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r>
      <w:tr w:rsidR="00CC1A56" w:rsidRPr="00DD49B6" w:rsidTr="00E452B1">
        <w:trPr>
          <w:jc w:val="center"/>
        </w:trPr>
        <w:tc>
          <w:tcPr>
            <w:tcW w:w="3182" w:type="dxa"/>
            <w:vAlign w:val="center"/>
          </w:tcPr>
          <w:p w:rsidR="00CC1A56" w:rsidRPr="00DD49B6" w:rsidRDefault="00CC1A56" w:rsidP="007D385B">
            <w:pPr>
              <w:pStyle w:val="naisf"/>
              <w:spacing w:before="0" w:beforeAutospacing="0" w:after="0" w:afterAutospacing="0"/>
              <w:jc w:val="center"/>
              <w:rPr>
                <w:bCs/>
              </w:rPr>
            </w:pPr>
            <w:r w:rsidRPr="00DD49B6">
              <w:rPr>
                <w:bCs/>
              </w:rPr>
              <w:lastRenderedPageBreak/>
              <w:t>1</w:t>
            </w:r>
          </w:p>
        </w:tc>
        <w:tc>
          <w:tcPr>
            <w:tcW w:w="1273" w:type="dxa"/>
            <w:vAlign w:val="center"/>
          </w:tcPr>
          <w:p w:rsidR="00CC1A56" w:rsidRPr="00DD49B6" w:rsidRDefault="00CC1A56" w:rsidP="007D385B">
            <w:pPr>
              <w:pStyle w:val="naisf"/>
              <w:spacing w:before="0" w:beforeAutospacing="0" w:after="0" w:afterAutospacing="0"/>
              <w:jc w:val="center"/>
              <w:rPr>
                <w:bCs/>
              </w:rPr>
            </w:pPr>
            <w:r w:rsidRPr="00DD49B6">
              <w:rPr>
                <w:bCs/>
              </w:rPr>
              <w:t>2</w:t>
            </w:r>
          </w:p>
        </w:tc>
        <w:tc>
          <w:tcPr>
            <w:tcW w:w="1538" w:type="dxa"/>
            <w:vAlign w:val="center"/>
          </w:tcPr>
          <w:p w:rsidR="00CC1A56" w:rsidRPr="00DD49B6" w:rsidRDefault="00CC1A56" w:rsidP="007D385B">
            <w:pPr>
              <w:pStyle w:val="naisf"/>
              <w:spacing w:before="0" w:beforeAutospacing="0" w:after="0" w:afterAutospacing="0"/>
              <w:jc w:val="center"/>
              <w:rPr>
                <w:bCs/>
              </w:rPr>
            </w:pPr>
            <w:r w:rsidRPr="00DD49B6">
              <w:rPr>
                <w:bCs/>
              </w:rPr>
              <w:t>3</w:t>
            </w:r>
          </w:p>
        </w:tc>
        <w:tc>
          <w:tcPr>
            <w:tcW w:w="1150" w:type="dxa"/>
            <w:vAlign w:val="center"/>
          </w:tcPr>
          <w:p w:rsidR="00CC1A56" w:rsidRPr="00DD49B6" w:rsidRDefault="00CC1A56" w:rsidP="007D385B">
            <w:pPr>
              <w:pStyle w:val="naisf"/>
              <w:spacing w:before="0" w:beforeAutospacing="0" w:after="0" w:afterAutospacing="0"/>
              <w:jc w:val="center"/>
              <w:rPr>
                <w:bCs/>
              </w:rPr>
            </w:pPr>
            <w:r w:rsidRPr="00DD49B6">
              <w:rPr>
                <w:bCs/>
              </w:rPr>
              <w:t>4</w:t>
            </w:r>
          </w:p>
        </w:tc>
        <w:tc>
          <w:tcPr>
            <w:tcW w:w="1194" w:type="dxa"/>
            <w:vAlign w:val="center"/>
          </w:tcPr>
          <w:p w:rsidR="00CC1A56" w:rsidRPr="00DD49B6" w:rsidRDefault="00CC1A56" w:rsidP="007D385B">
            <w:pPr>
              <w:pStyle w:val="naisf"/>
              <w:spacing w:before="0" w:beforeAutospacing="0" w:after="0" w:afterAutospacing="0"/>
              <w:jc w:val="center"/>
              <w:rPr>
                <w:bCs/>
              </w:rPr>
            </w:pPr>
            <w:r w:rsidRPr="00DD49B6">
              <w:rPr>
                <w:bCs/>
              </w:rPr>
              <w:t>5</w:t>
            </w:r>
          </w:p>
        </w:tc>
        <w:tc>
          <w:tcPr>
            <w:tcW w:w="1240" w:type="dxa"/>
            <w:vAlign w:val="center"/>
          </w:tcPr>
          <w:p w:rsidR="00CC1A56" w:rsidRPr="00DD49B6" w:rsidRDefault="00CC1A56" w:rsidP="007D385B">
            <w:pPr>
              <w:pStyle w:val="naisf"/>
              <w:spacing w:before="0" w:beforeAutospacing="0" w:after="0" w:afterAutospacing="0"/>
              <w:jc w:val="center"/>
              <w:rPr>
                <w:bCs/>
              </w:rPr>
            </w:pPr>
            <w:r w:rsidRPr="00DD49B6">
              <w:rPr>
                <w:bCs/>
              </w:rPr>
              <w:t>6</w:t>
            </w:r>
          </w:p>
        </w:tc>
      </w:tr>
      <w:tr w:rsidR="00EC4C71" w:rsidRPr="00DD49B6" w:rsidTr="00E452B1">
        <w:trPr>
          <w:jc w:val="center"/>
        </w:trPr>
        <w:tc>
          <w:tcPr>
            <w:tcW w:w="3182" w:type="dxa"/>
          </w:tcPr>
          <w:p w:rsidR="00EC4C71" w:rsidRPr="00DD49B6" w:rsidRDefault="00EC4C71" w:rsidP="00EC4C71">
            <w:pPr>
              <w:pStyle w:val="naisf"/>
              <w:spacing w:before="0" w:beforeAutospacing="0" w:after="0" w:afterAutospacing="0"/>
              <w:rPr>
                <w:i/>
              </w:rPr>
            </w:pPr>
            <w:r w:rsidRPr="00DD49B6">
              <w:t>1. Budžeta ieņēmumi:</w:t>
            </w:r>
          </w:p>
        </w:tc>
        <w:tc>
          <w:tcPr>
            <w:tcW w:w="1273" w:type="dxa"/>
          </w:tcPr>
          <w:p w:rsidR="00EC4C71" w:rsidRPr="00DD49B6" w:rsidRDefault="00EC4C71" w:rsidP="00EC4C71">
            <w:pPr>
              <w:pStyle w:val="naisf"/>
              <w:spacing w:before="0" w:beforeAutospacing="0" w:after="0" w:afterAutospacing="0"/>
              <w:jc w:val="center"/>
              <w:rPr>
                <w:b/>
                <w:i/>
              </w:rPr>
            </w:pPr>
            <w:r>
              <w:rPr>
                <w:b/>
                <w:i/>
              </w:rPr>
              <w:t>147 407</w:t>
            </w:r>
          </w:p>
        </w:tc>
        <w:tc>
          <w:tcPr>
            <w:tcW w:w="1538" w:type="dxa"/>
          </w:tcPr>
          <w:p w:rsidR="00EC4C71" w:rsidRPr="00DD49B6" w:rsidRDefault="00EC4C71" w:rsidP="00EC4C71">
            <w:pPr>
              <w:pStyle w:val="naisf"/>
              <w:spacing w:before="0" w:beforeAutospacing="0" w:after="0" w:afterAutospacing="0"/>
              <w:jc w:val="center"/>
              <w:rPr>
                <w:b/>
                <w:i/>
              </w:rPr>
            </w:pPr>
            <w:r>
              <w:rPr>
                <w:b/>
                <w:i/>
              </w:rPr>
              <w:t>243 669</w:t>
            </w:r>
          </w:p>
        </w:tc>
        <w:tc>
          <w:tcPr>
            <w:tcW w:w="1150" w:type="dxa"/>
          </w:tcPr>
          <w:p w:rsidR="00EC4C71" w:rsidRPr="00DD49B6" w:rsidRDefault="00EC4C71" w:rsidP="00EC4C71">
            <w:pPr>
              <w:pStyle w:val="naisf"/>
              <w:spacing w:before="0" w:beforeAutospacing="0" w:after="0" w:afterAutospacing="0"/>
              <w:jc w:val="center"/>
              <w:rPr>
                <w:b/>
                <w:i/>
              </w:rPr>
            </w:pPr>
            <w:r>
              <w:rPr>
                <w:b/>
                <w:i/>
              </w:rPr>
              <w:t>-147 407</w:t>
            </w:r>
          </w:p>
        </w:tc>
        <w:tc>
          <w:tcPr>
            <w:tcW w:w="1194" w:type="dxa"/>
          </w:tcPr>
          <w:p w:rsidR="00EC4C71" w:rsidRPr="00DD49B6" w:rsidRDefault="00EC4C71" w:rsidP="00EC4C71">
            <w:pPr>
              <w:pStyle w:val="naisf"/>
              <w:spacing w:before="0" w:beforeAutospacing="0" w:after="0" w:afterAutospacing="0"/>
              <w:jc w:val="center"/>
              <w:rPr>
                <w:b/>
                <w:i/>
              </w:rPr>
            </w:pPr>
            <w:r>
              <w:rPr>
                <w:b/>
                <w:i/>
              </w:rPr>
              <w:t>-147 407</w:t>
            </w:r>
          </w:p>
        </w:tc>
        <w:tc>
          <w:tcPr>
            <w:tcW w:w="1240" w:type="dxa"/>
          </w:tcPr>
          <w:p w:rsidR="00EC4C71" w:rsidRPr="00DD49B6" w:rsidRDefault="00EC4C71" w:rsidP="00EC4C71">
            <w:pPr>
              <w:pStyle w:val="naisf"/>
              <w:spacing w:before="0" w:beforeAutospacing="0" w:after="0" w:afterAutospacing="0"/>
              <w:jc w:val="center"/>
              <w:rPr>
                <w:b/>
                <w:i/>
              </w:rPr>
            </w:pPr>
            <w:r>
              <w:rPr>
                <w:b/>
                <w:i/>
              </w:rPr>
              <w:t>-147 407</w:t>
            </w:r>
          </w:p>
        </w:tc>
      </w:tr>
      <w:tr w:rsidR="00EC4C71" w:rsidRPr="00DD49B6" w:rsidTr="00E452B1">
        <w:trPr>
          <w:jc w:val="center"/>
        </w:trPr>
        <w:tc>
          <w:tcPr>
            <w:tcW w:w="3182" w:type="dxa"/>
          </w:tcPr>
          <w:p w:rsidR="00EC4C71" w:rsidRPr="00DD49B6" w:rsidRDefault="00EC4C71" w:rsidP="00EC4C71">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3" w:type="dxa"/>
          </w:tcPr>
          <w:p w:rsidR="00EC4C71" w:rsidRPr="00DD49B6" w:rsidRDefault="00EC4C71" w:rsidP="00EC4C71">
            <w:pPr>
              <w:pStyle w:val="naisf"/>
              <w:spacing w:before="0" w:beforeAutospacing="0" w:after="0" w:afterAutospacing="0"/>
              <w:jc w:val="center"/>
              <w:rPr>
                <w:b/>
                <w:i/>
              </w:rPr>
            </w:pPr>
            <w:r>
              <w:rPr>
                <w:b/>
                <w:i/>
              </w:rPr>
              <w:t>173 420</w:t>
            </w:r>
          </w:p>
        </w:tc>
        <w:tc>
          <w:tcPr>
            <w:tcW w:w="1538" w:type="dxa"/>
          </w:tcPr>
          <w:p w:rsidR="00EC4C71" w:rsidRPr="00DD49B6" w:rsidRDefault="00EC4C71" w:rsidP="00EC4C71">
            <w:pPr>
              <w:pStyle w:val="naisf"/>
              <w:spacing w:before="0" w:beforeAutospacing="0" w:after="0" w:afterAutospacing="0"/>
              <w:jc w:val="center"/>
              <w:rPr>
                <w:b/>
                <w:i/>
              </w:rPr>
            </w:pPr>
            <w:r>
              <w:rPr>
                <w:b/>
                <w:i/>
              </w:rPr>
              <w:t>289 913</w:t>
            </w:r>
          </w:p>
        </w:tc>
        <w:tc>
          <w:tcPr>
            <w:tcW w:w="1150" w:type="dxa"/>
          </w:tcPr>
          <w:p w:rsidR="00EC4C71" w:rsidRPr="00DD49B6" w:rsidRDefault="00EC4C71" w:rsidP="00EC4C71">
            <w:pPr>
              <w:pStyle w:val="naisf"/>
              <w:spacing w:before="0" w:beforeAutospacing="0" w:after="0" w:afterAutospacing="0"/>
              <w:jc w:val="center"/>
              <w:rPr>
                <w:b/>
                <w:i/>
              </w:rPr>
            </w:pPr>
            <w:r>
              <w:rPr>
                <w:b/>
                <w:i/>
              </w:rPr>
              <w:t>-173 420</w:t>
            </w:r>
          </w:p>
        </w:tc>
        <w:tc>
          <w:tcPr>
            <w:tcW w:w="1194" w:type="dxa"/>
          </w:tcPr>
          <w:p w:rsidR="00EC4C71" w:rsidRPr="00DD49B6" w:rsidRDefault="00EC4C71" w:rsidP="00EC4C71">
            <w:pPr>
              <w:pStyle w:val="naisf"/>
              <w:spacing w:before="0" w:beforeAutospacing="0" w:after="0" w:afterAutospacing="0"/>
              <w:jc w:val="center"/>
              <w:rPr>
                <w:b/>
                <w:i/>
              </w:rPr>
            </w:pPr>
            <w:r>
              <w:rPr>
                <w:b/>
                <w:i/>
              </w:rPr>
              <w:t>-173 420</w:t>
            </w:r>
          </w:p>
        </w:tc>
        <w:tc>
          <w:tcPr>
            <w:tcW w:w="1240" w:type="dxa"/>
          </w:tcPr>
          <w:p w:rsidR="00EC4C71" w:rsidRPr="00DD49B6" w:rsidRDefault="00EC4C71" w:rsidP="00EC4C71">
            <w:pPr>
              <w:pStyle w:val="naisf"/>
              <w:spacing w:before="0" w:beforeAutospacing="0" w:after="0" w:afterAutospacing="0"/>
              <w:jc w:val="center"/>
              <w:rPr>
                <w:b/>
                <w:i/>
              </w:rPr>
            </w:pPr>
            <w:r>
              <w:rPr>
                <w:b/>
                <w:i/>
              </w:rPr>
              <w:t>-173 420</w:t>
            </w:r>
          </w:p>
        </w:tc>
      </w:tr>
      <w:tr w:rsidR="00EC4C71" w:rsidRPr="00DD49B6" w:rsidTr="00D22893">
        <w:trPr>
          <w:jc w:val="center"/>
        </w:trPr>
        <w:tc>
          <w:tcPr>
            <w:tcW w:w="3182" w:type="dxa"/>
          </w:tcPr>
          <w:p w:rsidR="00EC4C71" w:rsidRPr="00DD49B6" w:rsidRDefault="00EC4C71" w:rsidP="00EC4C71">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vAlign w:val="center"/>
          </w:tcPr>
          <w:p w:rsidR="00EC4C71" w:rsidRPr="00AD06A1" w:rsidRDefault="00EC4C71" w:rsidP="00EC4C71">
            <w:pPr>
              <w:pStyle w:val="naisf"/>
              <w:spacing w:before="0" w:beforeAutospacing="0" w:after="0" w:afterAutospacing="0"/>
              <w:jc w:val="center"/>
              <w:rPr>
                <w:b/>
                <w:i/>
              </w:rPr>
            </w:pPr>
            <w:r w:rsidRPr="00AD06A1">
              <w:rPr>
                <w:b/>
                <w:i/>
              </w:rPr>
              <w:t>-26 013</w:t>
            </w:r>
          </w:p>
        </w:tc>
        <w:tc>
          <w:tcPr>
            <w:tcW w:w="1538" w:type="dxa"/>
          </w:tcPr>
          <w:p w:rsidR="00EC4C71" w:rsidRPr="00DD49B6" w:rsidRDefault="00EC4C71" w:rsidP="00EC4C71">
            <w:pPr>
              <w:pStyle w:val="naisf"/>
              <w:spacing w:before="0" w:beforeAutospacing="0" w:after="0" w:afterAutospacing="0"/>
              <w:jc w:val="center"/>
              <w:rPr>
                <w:b/>
                <w:i/>
              </w:rPr>
            </w:pPr>
            <w:r>
              <w:rPr>
                <w:b/>
                <w:i/>
              </w:rPr>
              <w:t>- 46 244</w:t>
            </w:r>
          </w:p>
        </w:tc>
        <w:tc>
          <w:tcPr>
            <w:tcW w:w="1150" w:type="dxa"/>
            <w:vAlign w:val="center"/>
          </w:tcPr>
          <w:p w:rsidR="00EC4C71" w:rsidRPr="00AD06A1" w:rsidRDefault="00EC4C71" w:rsidP="00EC4C71">
            <w:pPr>
              <w:pStyle w:val="naisf"/>
              <w:spacing w:before="0" w:beforeAutospacing="0" w:after="0" w:afterAutospacing="0"/>
              <w:jc w:val="center"/>
              <w:rPr>
                <w:b/>
                <w:i/>
              </w:rPr>
            </w:pPr>
            <w:r w:rsidRPr="00AD06A1">
              <w:rPr>
                <w:b/>
                <w:i/>
              </w:rPr>
              <w:t>26 013</w:t>
            </w:r>
          </w:p>
        </w:tc>
        <w:tc>
          <w:tcPr>
            <w:tcW w:w="1194" w:type="dxa"/>
            <w:vAlign w:val="center"/>
          </w:tcPr>
          <w:p w:rsidR="00EC4C71" w:rsidRPr="00AD06A1" w:rsidRDefault="00EC4C71" w:rsidP="00EC4C71">
            <w:pPr>
              <w:pStyle w:val="naisf"/>
              <w:spacing w:before="0" w:beforeAutospacing="0" w:after="0" w:afterAutospacing="0"/>
              <w:jc w:val="center"/>
              <w:rPr>
                <w:b/>
                <w:i/>
              </w:rPr>
            </w:pPr>
            <w:r w:rsidRPr="00AD06A1">
              <w:rPr>
                <w:b/>
                <w:i/>
              </w:rPr>
              <w:t>26 013</w:t>
            </w:r>
          </w:p>
        </w:tc>
        <w:tc>
          <w:tcPr>
            <w:tcW w:w="1240" w:type="dxa"/>
            <w:vAlign w:val="center"/>
          </w:tcPr>
          <w:p w:rsidR="00EC4C71" w:rsidRPr="00AD06A1" w:rsidRDefault="00EC4C71" w:rsidP="00EC4C71">
            <w:pPr>
              <w:pStyle w:val="naisf"/>
              <w:spacing w:before="0" w:beforeAutospacing="0" w:after="0" w:afterAutospacing="0"/>
              <w:jc w:val="center"/>
              <w:rPr>
                <w:b/>
                <w:i/>
              </w:rPr>
            </w:pPr>
            <w:r w:rsidRPr="00AD06A1">
              <w:rPr>
                <w:b/>
                <w:i/>
              </w:rPr>
              <w:t>26 013</w:t>
            </w:r>
          </w:p>
        </w:tc>
      </w:tr>
      <w:tr w:rsidR="002B0D05" w:rsidRPr="00DD49B6" w:rsidTr="00E452B1">
        <w:trPr>
          <w:trHeight w:val="1380"/>
          <w:jc w:val="center"/>
        </w:trPr>
        <w:tc>
          <w:tcPr>
            <w:tcW w:w="3182" w:type="dxa"/>
          </w:tcPr>
          <w:p w:rsidR="002B0D05" w:rsidRPr="00DD49B6" w:rsidRDefault="002B0D05"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4. Finanšu līdzekļi papildu izdevumu finansēšanai (kompensējošu izdevumu samazinājumu norāda ar </w:t>
            </w:r>
            <w:r>
              <w:rPr>
                <w:rFonts w:ascii="Times New Roman" w:hAnsi="Times New Roman" w:cs="Times New Roman"/>
                <w:sz w:val="24"/>
                <w:szCs w:val="24"/>
              </w:rPr>
              <w:t>"</w:t>
            </w:r>
            <w:r w:rsidRPr="00DD49B6">
              <w:rPr>
                <w:rFonts w:ascii="Times New Roman" w:hAnsi="Times New Roman" w:cs="Times New Roman"/>
                <w:sz w:val="24"/>
                <w:szCs w:val="24"/>
              </w:rPr>
              <w:t>+</w:t>
            </w:r>
            <w:r>
              <w:rPr>
                <w:rFonts w:ascii="Times New Roman" w:hAnsi="Times New Roman" w:cs="Times New Roman"/>
                <w:sz w:val="24"/>
                <w:szCs w:val="24"/>
              </w:rPr>
              <w:t>"</w:t>
            </w:r>
            <w:r w:rsidRPr="00DD49B6">
              <w:rPr>
                <w:rFonts w:ascii="Times New Roman" w:hAnsi="Times New Roman" w:cs="Times New Roman"/>
                <w:sz w:val="24"/>
                <w:szCs w:val="24"/>
              </w:rPr>
              <w:t xml:space="preserve"> zīmi)</w:t>
            </w:r>
          </w:p>
        </w:tc>
        <w:tc>
          <w:tcPr>
            <w:tcW w:w="1273" w:type="dxa"/>
          </w:tcPr>
          <w:p w:rsidR="002B0D05" w:rsidRPr="00E61B13" w:rsidRDefault="002B0D05" w:rsidP="007D385B">
            <w:pPr>
              <w:pStyle w:val="naisf"/>
              <w:spacing w:before="0" w:beforeAutospacing="0" w:after="0" w:afterAutospacing="0"/>
              <w:jc w:val="center"/>
              <w:rPr>
                <w:b/>
                <w:i/>
              </w:rPr>
            </w:pPr>
            <w:r w:rsidRPr="00E61B13">
              <w:rPr>
                <w:b/>
              </w:rPr>
              <w:t>X</w:t>
            </w:r>
          </w:p>
        </w:tc>
        <w:tc>
          <w:tcPr>
            <w:tcW w:w="1538" w:type="dxa"/>
          </w:tcPr>
          <w:p w:rsidR="002B0D05" w:rsidRPr="00E61B13" w:rsidRDefault="002B0D05" w:rsidP="002B0D05">
            <w:pPr>
              <w:pStyle w:val="naisf"/>
              <w:spacing w:before="0" w:beforeAutospacing="0" w:after="0" w:afterAutospacing="0"/>
              <w:jc w:val="center"/>
              <w:rPr>
                <w:b/>
              </w:rPr>
            </w:pPr>
            <w:r w:rsidRPr="00E61B13">
              <w:rPr>
                <w:b/>
              </w:rPr>
              <w:t>0</w:t>
            </w:r>
          </w:p>
        </w:tc>
        <w:tc>
          <w:tcPr>
            <w:tcW w:w="1150" w:type="dxa"/>
          </w:tcPr>
          <w:p w:rsidR="002B0D05" w:rsidRPr="00E61B13" w:rsidRDefault="002B0D05" w:rsidP="002B0D05">
            <w:pPr>
              <w:pStyle w:val="naisf"/>
              <w:spacing w:before="0" w:beforeAutospacing="0" w:after="0" w:afterAutospacing="0"/>
              <w:jc w:val="center"/>
              <w:rPr>
                <w:b/>
              </w:rPr>
            </w:pPr>
            <w:r w:rsidRPr="00E61B13">
              <w:rPr>
                <w:b/>
              </w:rPr>
              <w:t>0</w:t>
            </w:r>
          </w:p>
        </w:tc>
        <w:tc>
          <w:tcPr>
            <w:tcW w:w="1194" w:type="dxa"/>
          </w:tcPr>
          <w:p w:rsidR="002B0D05" w:rsidRPr="00E61B13" w:rsidRDefault="002B0D05" w:rsidP="002B0D05">
            <w:pPr>
              <w:pStyle w:val="naisf"/>
              <w:spacing w:before="0" w:beforeAutospacing="0" w:after="0" w:afterAutospacing="0"/>
              <w:jc w:val="center"/>
              <w:rPr>
                <w:b/>
              </w:rPr>
            </w:pPr>
            <w:r w:rsidRPr="00E61B13">
              <w:rPr>
                <w:b/>
              </w:rPr>
              <w:t>0</w:t>
            </w:r>
          </w:p>
        </w:tc>
        <w:tc>
          <w:tcPr>
            <w:tcW w:w="1240" w:type="dxa"/>
          </w:tcPr>
          <w:p w:rsidR="002B0D05" w:rsidRPr="00E61B13" w:rsidRDefault="002B0D05" w:rsidP="002B0D05">
            <w:pPr>
              <w:pStyle w:val="naisf"/>
              <w:spacing w:before="0" w:beforeAutospacing="0" w:after="0" w:afterAutospacing="0"/>
              <w:jc w:val="center"/>
              <w:rPr>
                <w:b/>
              </w:rPr>
            </w:pPr>
            <w:r w:rsidRPr="00E61B13">
              <w:rPr>
                <w:b/>
              </w:rPr>
              <w:t>0</w:t>
            </w:r>
          </w:p>
        </w:tc>
      </w:tr>
      <w:tr w:rsidR="002B0D05" w:rsidRPr="00DD49B6" w:rsidTr="00E452B1">
        <w:trPr>
          <w:jc w:val="center"/>
        </w:trPr>
        <w:tc>
          <w:tcPr>
            <w:tcW w:w="3182" w:type="dxa"/>
          </w:tcPr>
          <w:p w:rsidR="002B0D05" w:rsidRPr="00DD49B6" w:rsidRDefault="002B0D05"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273" w:type="dxa"/>
          </w:tcPr>
          <w:p w:rsidR="002B0D05" w:rsidRPr="00E61B13" w:rsidRDefault="002B0D05" w:rsidP="007D385B">
            <w:pPr>
              <w:pStyle w:val="naisf"/>
              <w:spacing w:before="0" w:beforeAutospacing="0" w:after="0" w:afterAutospacing="0"/>
              <w:jc w:val="center"/>
              <w:rPr>
                <w:b/>
                <w:i/>
              </w:rPr>
            </w:pPr>
            <w:r w:rsidRPr="00E61B13">
              <w:rPr>
                <w:b/>
              </w:rPr>
              <w:t>X</w:t>
            </w:r>
          </w:p>
        </w:tc>
        <w:tc>
          <w:tcPr>
            <w:tcW w:w="1538" w:type="dxa"/>
          </w:tcPr>
          <w:p w:rsidR="002B0D05" w:rsidRPr="00BD76EA" w:rsidRDefault="002B0D05" w:rsidP="002B0D05">
            <w:pPr>
              <w:pStyle w:val="naisf"/>
              <w:spacing w:before="0" w:beforeAutospacing="0" w:after="0" w:afterAutospacing="0"/>
              <w:jc w:val="center"/>
              <w:rPr>
                <w:b/>
              </w:rPr>
            </w:pPr>
            <w:r w:rsidRPr="00BD76EA">
              <w:rPr>
                <w:b/>
              </w:rPr>
              <w:t>N/A</w:t>
            </w:r>
          </w:p>
        </w:tc>
        <w:tc>
          <w:tcPr>
            <w:tcW w:w="1150" w:type="dxa"/>
          </w:tcPr>
          <w:p w:rsidR="002B0D05" w:rsidRPr="00BD76EA" w:rsidRDefault="002B0D05" w:rsidP="002B0D05">
            <w:pPr>
              <w:jc w:val="center"/>
              <w:rPr>
                <w:rFonts w:ascii="Times New Roman" w:hAnsi="Times New Roman" w:cs="Times New Roman"/>
                <w:sz w:val="24"/>
                <w:szCs w:val="24"/>
              </w:rPr>
            </w:pPr>
            <w:r w:rsidRPr="00BD76EA">
              <w:rPr>
                <w:rFonts w:ascii="Times New Roman" w:hAnsi="Times New Roman" w:cs="Times New Roman"/>
                <w:b/>
                <w:sz w:val="24"/>
                <w:szCs w:val="24"/>
              </w:rPr>
              <w:t>N/A</w:t>
            </w:r>
          </w:p>
        </w:tc>
        <w:tc>
          <w:tcPr>
            <w:tcW w:w="1194" w:type="dxa"/>
          </w:tcPr>
          <w:p w:rsidR="002B0D05" w:rsidRPr="00BD76EA" w:rsidRDefault="002B0D05" w:rsidP="002B0D05">
            <w:pPr>
              <w:jc w:val="center"/>
              <w:rPr>
                <w:rFonts w:ascii="Times New Roman" w:hAnsi="Times New Roman" w:cs="Times New Roman"/>
                <w:sz w:val="24"/>
                <w:szCs w:val="24"/>
              </w:rPr>
            </w:pPr>
            <w:r w:rsidRPr="00BD76EA">
              <w:rPr>
                <w:rFonts w:ascii="Times New Roman" w:hAnsi="Times New Roman" w:cs="Times New Roman"/>
                <w:b/>
                <w:sz w:val="24"/>
                <w:szCs w:val="24"/>
              </w:rPr>
              <w:t>N/A</w:t>
            </w:r>
          </w:p>
        </w:tc>
        <w:tc>
          <w:tcPr>
            <w:tcW w:w="1240" w:type="dxa"/>
          </w:tcPr>
          <w:p w:rsidR="002B0D05" w:rsidRPr="00BD76EA" w:rsidRDefault="002B0D05" w:rsidP="002B0D05">
            <w:pPr>
              <w:jc w:val="center"/>
              <w:rPr>
                <w:rFonts w:ascii="Times New Roman" w:hAnsi="Times New Roman" w:cs="Times New Roman"/>
                <w:sz w:val="24"/>
                <w:szCs w:val="24"/>
              </w:rPr>
            </w:pPr>
            <w:r w:rsidRPr="00BD76EA">
              <w:rPr>
                <w:rFonts w:ascii="Times New Roman" w:hAnsi="Times New Roman" w:cs="Times New Roman"/>
                <w:b/>
                <w:sz w:val="24"/>
                <w:szCs w:val="24"/>
              </w:rPr>
              <w:t>N/A</w:t>
            </w:r>
          </w:p>
        </w:tc>
      </w:tr>
      <w:tr w:rsidR="00CC1A56" w:rsidRPr="00DD49B6" w:rsidTr="00E452B1">
        <w:trPr>
          <w:jc w:val="center"/>
        </w:trPr>
        <w:tc>
          <w:tcPr>
            <w:tcW w:w="3182" w:type="dxa"/>
            <w:shd w:val="clear" w:color="auto" w:fill="auto"/>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395" w:type="dxa"/>
            <w:gridSpan w:val="5"/>
            <w:vMerge w:val="restart"/>
            <w:shd w:val="clear" w:color="auto" w:fill="auto"/>
            <w:vAlign w:val="center"/>
          </w:tcPr>
          <w:p w:rsidR="001B7C9C" w:rsidRPr="00347937" w:rsidRDefault="001B7C9C" w:rsidP="001B7C9C">
            <w:pPr>
              <w:pStyle w:val="NoSpacing"/>
              <w:jc w:val="both"/>
              <w:rPr>
                <w:rFonts w:ascii="Times New Roman" w:hAnsi="Times New Roman" w:cs="Times New Roman"/>
                <w:sz w:val="24"/>
                <w:szCs w:val="24"/>
              </w:rPr>
            </w:pPr>
            <w:r w:rsidRPr="00347937">
              <w:rPr>
                <w:rFonts w:ascii="Times New Roman" w:hAnsi="Times New Roman" w:cs="Times New Roman"/>
                <w:sz w:val="24"/>
                <w:szCs w:val="24"/>
              </w:rPr>
              <w:t>Budžeta izdevumi ir kopējās projekta ieviešanai nepieciešamās izmaksas attiecīgajā gadā, un budžeta ieņēmumi ir projekta attiecināmo izmaksu finansējuma ESF da</w:t>
            </w:r>
            <w:r w:rsidR="00026148">
              <w:rPr>
                <w:rFonts w:ascii="Times New Roman" w:hAnsi="Times New Roman" w:cs="Times New Roman"/>
                <w:sz w:val="24"/>
                <w:szCs w:val="24"/>
              </w:rPr>
              <w:t>ļa. ESF finansējuma apmērs ir 85</w:t>
            </w:r>
            <w:r w:rsidRPr="00347937">
              <w:rPr>
                <w:rFonts w:ascii="Times New Roman" w:hAnsi="Times New Roman" w:cs="Times New Roman"/>
                <w:sz w:val="24"/>
                <w:szCs w:val="24"/>
              </w:rPr>
              <w:t>% no kopējām attiecināmajām projektu izmaksām.</w:t>
            </w:r>
          </w:p>
          <w:p w:rsidR="001B7C9C" w:rsidRDefault="001B7C9C" w:rsidP="001B7C9C">
            <w:pPr>
              <w:pStyle w:val="NoSpacing"/>
              <w:jc w:val="both"/>
              <w:rPr>
                <w:rFonts w:ascii="Times New Roman" w:hAnsi="Times New Roman" w:cs="Times New Roman"/>
                <w:sz w:val="24"/>
                <w:szCs w:val="24"/>
              </w:rPr>
            </w:pPr>
          </w:p>
          <w:p w:rsidR="00CE6D77" w:rsidRDefault="00CE6D77" w:rsidP="00CE6D77">
            <w:pPr>
              <w:pStyle w:val="NoSpacing"/>
              <w:jc w:val="both"/>
              <w:rPr>
                <w:rFonts w:ascii="Times New Roman" w:hAnsi="Times New Roman" w:cs="Times New Roman"/>
                <w:sz w:val="24"/>
                <w:szCs w:val="24"/>
              </w:rPr>
            </w:pPr>
            <w:r w:rsidRPr="00347937">
              <w:rPr>
                <w:rFonts w:ascii="Times New Roman" w:hAnsi="Times New Roman" w:cs="Times New Roman"/>
                <w:sz w:val="24"/>
                <w:szCs w:val="24"/>
              </w:rPr>
              <w:t>Aktivitātei pieejamais attiecināmais finansējums ir 3 449 855 EUR, tai skaitā ESF finansējums 2 932 167 EUR un valsts budžeta līdzfinansējums 517 688 EUR.</w:t>
            </w:r>
          </w:p>
          <w:p w:rsidR="00CE6D77" w:rsidRDefault="00CE6D77" w:rsidP="00CE6D77">
            <w:pPr>
              <w:pStyle w:val="NoSpacing"/>
              <w:jc w:val="both"/>
              <w:rPr>
                <w:rFonts w:ascii="Times New Roman" w:hAnsi="Times New Roman" w:cs="Times New Roman"/>
                <w:sz w:val="24"/>
                <w:szCs w:val="24"/>
              </w:rPr>
            </w:pPr>
          </w:p>
          <w:p w:rsidR="00CE6D77" w:rsidRPr="00347937" w:rsidRDefault="00CE6D77" w:rsidP="00CE6D77">
            <w:pPr>
              <w:pStyle w:val="NoSpacing"/>
              <w:jc w:val="both"/>
              <w:rPr>
                <w:rFonts w:ascii="Times New Roman" w:hAnsi="Times New Roman" w:cs="Times New Roman"/>
                <w:sz w:val="24"/>
                <w:szCs w:val="24"/>
              </w:rPr>
            </w:pPr>
            <w:r w:rsidRPr="00347937">
              <w:rPr>
                <w:rFonts w:ascii="Times New Roman" w:hAnsi="Times New Roman" w:cs="Times New Roman"/>
                <w:sz w:val="24"/>
                <w:szCs w:val="24"/>
              </w:rPr>
              <w:t>No 2008. līdz 201</w:t>
            </w:r>
            <w:r>
              <w:rPr>
                <w:rFonts w:ascii="Times New Roman" w:hAnsi="Times New Roman" w:cs="Times New Roman"/>
                <w:sz w:val="24"/>
                <w:szCs w:val="24"/>
              </w:rPr>
              <w:t>3</w:t>
            </w:r>
            <w:r w:rsidRPr="00347937">
              <w:rPr>
                <w:rFonts w:ascii="Times New Roman" w:hAnsi="Times New Roman" w:cs="Times New Roman"/>
                <w:sz w:val="24"/>
                <w:szCs w:val="24"/>
              </w:rPr>
              <w:t>.</w:t>
            </w:r>
            <w:r>
              <w:rPr>
                <w:rFonts w:ascii="Times New Roman" w:hAnsi="Times New Roman" w:cs="Times New Roman"/>
                <w:sz w:val="24"/>
                <w:szCs w:val="24"/>
              </w:rPr>
              <w:t xml:space="preserve"> </w:t>
            </w:r>
            <w:r w:rsidRPr="00347937">
              <w:rPr>
                <w:rFonts w:ascii="Times New Roman" w:hAnsi="Times New Roman" w:cs="Times New Roman"/>
                <w:sz w:val="24"/>
                <w:szCs w:val="24"/>
              </w:rPr>
              <w:t xml:space="preserve">gadam projekta kopējās izmaksas ir </w:t>
            </w:r>
            <w:r>
              <w:rPr>
                <w:rFonts w:ascii="Times New Roman" w:hAnsi="Times New Roman" w:cs="Times New Roman"/>
                <w:sz w:val="24"/>
                <w:szCs w:val="24"/>
              </w:rPr>
              <w:t>3 145 689</w:t>
            </w:r>
            <w:r w:rsidRPr="00347937">
              <w:rPr>
                <w:rFonts w:ascii="Times New Roman" w:hAnsi="Times New Roman" w:cs="Times New Roman"/>
                <w:sz w:val="24"/>
                <w:szCs w:val="24"/>
              </w:rPr>
              <w:t xml:space="preserve"> EUR, no tām attiecināmās izmaksas </w:t>
            </w:r>
            <w:r>
              <w:rPr>
                <w:rFonts w:ascii="Times New Roman" w:hAnsi="Times New Roman" w:cs="Times New Roman"/>
                <w:sz w:val="24"/>
                <w:szCs w:val="24"/>
              </w:rPr>
              <w:t>2 975 401</w:t>
            </w:r>
            <w:r w:rsidRPr="00347937">
              <w:rPr>
                <w:rFonts w:ascii="Times New Roman" w:hAnsi="Times New Roman" w:cs="Times New Roman"/>
                <w:sz w:val="24"/>
                <w:szCs w:val="24"/>
              </w:rPr>
              <w:t xml:space="preserve"> EUR, tai skaitā ESF finansējums </w:t>
            </w:r>
            <w:r>
              <w:rPr>
                <w:rFonts w:ascii="Times New Roman" w:hAnsi="Times New Roman" w:cs="Times New Roman"/>
                <w:sz w:val="24"/>
                <w:szCs w:val="24"/>
              </w:rPr>
              <w:t>2 529 091</w:t>
            </w:r>
            <w:r w:rsidRPr="00347937">
              <w:rPr>
                <w:rFonts w:ascii="Times New Roman" w:hAnsi="Times New Roman" w:cs="Times New Roman"/>
                <w:sz w:val="24"/>
                <w:szCs w:val="24"/>
              </w:rPr>
              <w:t xml:space="preserve"> EUR un valsts budžeta finansējums </w:t>
            </w:r>
            <w:r>
              <w:rPr>
                <w:rFonts w:ascii="Times New Roman" w:hAnsi="Times New Roman" w:cs="Times New Roman"/>
                <w:sz w:val="24"/>
                <w:szCs w:val="24"/>
              </w:rPr>
              <w:t>446 310</w:t>
            </w:r>
            <w:r w:rsidRPr="00347937">
              <w:rPr>
                <w:rFonts w:ascii="Times New Roman" w:hAnsi="Times New Roman" w:cs="Times New Roman"/>
                <w:sz w:val="24"/>
                <w:szCs w:val="24"/>
              </w:rPr>
              <w:t xml:space="preserve"> EUR</w:t>
            </w:r>
            <w:r>
              <w:rPr>
                <w:rFonts w:ascii="Times New Roman" w:hAnsi="Times New Roman" w:cs="Times New Roman"/>
                <w:sz w:val="24"/>
                <w:szCs w:val="24"/>
              </w:rPr>
              <w:t>,</w:t>
            </w:r>
            <w:r w:rsidRPr="00347937">
              <w:rPr>
                <w:rFonts w:ascii="Times New Roman" w:hAnsi="Times New Roman" w:cs="Times New Roman"/>
                <w:sz w:val="24"/>
                <w:szCs w:val="24"/>
              </w:rPr>
              <w:t xml:space="preserve"> un neattiecināmās izmaksas </w:t>
            </w:r>
            <w:r>
              <w:rPr>
                <w:rFonts w:ascii="Times New Roman" w:hAnsi="Times New Roman" w:cs="Times New Roman"/>
                <w:sz w:val="24"/>
                <w:szCs w:val="24"/>
              </w:rPr>
              <w:t>170 288</w:t>
            </w:r>
            <w:r w:rsidRPr="00347937">
              <w:rPr>
                <w:rFonts w:ascii="Times New Roman" w:hAnsi="Times New Roman" w:cs="Times New Roman"/>
                <w:sz w:val="24"/>
                <w:szCs w:val="24"/>
              </w:rPr>
              <w:t xml:space="preserve"> EUR, tai skaitā neatbilstoši veiktas izmaksas </w:t>
            </w:r>
            <w:r>
              <w:rPr>
                <w:rFonts w:ascii="Times New Roman" w:hAnsi="Times New Roman" w:cs="Times New Roman"/>
                <w:sz w:val="24"/>
                <w:szCs w:val="24"/>
              </w:rPr>
              <w:t>14 850</w:t>
            </w:r>
            <w:r w:rsidRPr="00347937">
              <w:rPr>
                <w:rFonts w:ascii="Times New Roman" w:hAnsi="Times New Roman" w:cs="Times New Roman"/>
                <w:sz w:val="24"/>
                <w:szCs w:val="24"/>
              </w:rPr>
              <w:t xml:space="preserve"> EUR.</w:t>
            </w:r>
          </w:p>
          <w:p w:rsidR="00CE6D77" w:rsidRDefault="00CE6D77" w:rsidP="00CE6D77">
            <w:pPr>
              <w:pStyle w:val="NoSpacing"/>
              <w:jc w:val="both"/>
              <w:rPr>
                <w:rFonts w:ascii="Times New Roman" w:hAnsi="Times New Roman" w:cs="Times New Roman"/>
                <w:sz w:val="24"/>
                <w:szCs w:val="24"/>
              </w:rPr>
            </w:pPr>
          </w:p>
          <w:p w:rsidR="00CE6D77" w:rsidRPr="00347937" w:rsidRDefault="00CE6D77" w:rsidP="00CE6D77">
            <w:pPr>
              <w:pStyle w:val="NoSpacing"/>
              <w:jc w:val="both"/>
              <w:rPr>
                <w:rFonts w:ascii="Times New Roman" w:hAnsi="Times New Roman" w:cs="Times New Roman"/>
                <w:sz w:val="24"/>
                <w:szCs w:val="24"/>
              </w:rPr>
            </w:pPr>
            <w:r w:rsidRPr="00347937">
              <w:rPr>
                <w:rFonts w:ascii="Times New Roman" w:hAnsi="Times New Roman" w:cs="Times New Roman"/>
                <w:sz w:val="24"/>
                <w:szCs w:val="24"/>
              </w:rPr>
              <w:t>No 2008. līdz 201</w:t>
            </w:r>
            <w:r>
              <w:rPr>
                <w:rFonts w:ascii="Times New Roman" w:hAnsi="Times New Roman" w:cs="Times New Roman"/>
                <w:sz w:val="24"/>
                <w:szCs w:val="24"/>
              </w:rPr>
              <w:t>3</w:t>
            </w:r>
            <w:r w:rsidRPr="00347937">
              <w:rPr>
                <w:rFonts w:ascii="Times New Roman" w:hAnsi="Times New Roman" w:cs="Times New Roman"/>
                <w:sz w:val="24"/>
                <w:szCs w:val="24"/>
              </w:rPr>
              <w:t>.</w:t>
            </w:r>
            <w:r>
              <w:rPr>
                <w:rFonts w:ascii="Times New Roman" w:hAnsi="Times New Roman" w:cs="Times New Roman"/>
                <w:sz w:val="24"/>
                <w:szCs w:val="24"/>
              </w:rPr>
              <w:t xml:space="preserve"> </w:t>
            </w:r>
            <w:r w:rsidRPr="00347937">
              <w:rPr>
                <w:rFonts w:ascii="Times New Roman" w:hAnsi="Times New Roman" w:cs="Times New Roman"/>
                <w:sz w:val="24"/>
                <w:szCs w:val="24"/>
              </w:rPr>
              <w:t xml:space="preserve">gadam budžeta izdevumi norādīti </w:t>
            </w:r>
            <w:r>
              <w:rPr>
                <w:rFonts w:ascii="Times New Roman" w:hAnsi="Times New Roman" w:cs="Times New Roman"/>
                <w:sz w:val="24"/>
                <w:szCs w:val="24"/>
              </w:rPr>
              <w:t xml:space="preserve">3 351 526 EUR un tas ir </w:t>
            </w:r>
            <w:r w:rsidRPr="00347937">
              <w:rPr>
                <w:rFonts w:ascii="Times New Roman" w:hAnsi="Times New Roman" w:cs="Times New Roman"/>
                <w:sz w:val="24"/>
                <w:szCs w:val="24"/>
              </w:rPr>
              <w:t xml:space="preserve">par </w:t>
            </w:r>
            <w:r>
              <w:rPr>
                <w:rFonts w:ascii="Times New Roman" w:hAnsi="Times New Roman" w:cs="Times New Roman"/>
                <w:sz w:val="24"/>
                <w:szCs w:val="24"/>
              </w:rPr>
              <w:t>205 837</w:t>
            </w:r>
            <w:r w:rsidRPr="00347937">
              <w:rPr>
                <w:rFonts w:ascii="Times New Roman" w:hAnsi="Times New Roman" w:cs="Times New Roman"/>
                <w:sz w:val="24"/>
                <w:szCs w:val="24"/>
              </w:rPr>
              <w:t xml:space="preserve"> EUR vairāk kā norādīti projektā. Tas saistīts ar 2010. gadā darījuma kontā iemaksātu finansējumu 187 789 EUR apmērā, kurš vēlāk atmaksāts budžetā un 2011.</w:t>
            </w:r>
            <w:r>
              <w:rPr>
                <w:rFonts w:ascii="Times New Roman" w:hAnsi="Times New Roman" w:cs="Times New Roman"/>
                <w:sz w:val="24"/>
                <w:szCs w:val="24"/>
              </w:rPr>
              <w:t xml:space="preserve"> un 2012.</w:t>
            </w:r>
            <w:r w:rsidRPr="00347937">
              <w:rPr>
                <w:rFonts w:ascii="Times New Roman" w:hAnsi="Times New Roman" w:cs="Times New Roman"/>
                <w:sz w:val="24"/>
                <w:szCs w:val="24"/>
              </w:rPr>
              <w:t xml:space="preserve"> gadā pakalpojuma sniedzējam samaksātu un 2013. gadā atmaksātu avans</w:t>
            </w:r>
            <w:r>
              <w:rPr>
                <w:rFonts w:ascii="Times New Roman" w:hAnsi="Times New Roman" w:cs="Times New Roman"/>
                <w:sz w:val="24"/>
                <w:szCs w:val="24"/>
              </w:rPr>
              <w:t>iem</w:t>
            </w:r>
            <w:r w:rsidRPr="00347937">
              <w:rPr>
                <w:rFonts w:ascii="Times New Roman" w:hAnsi="Times New Roman" w:cs="Times New Roman"/>
                <w:sz w:val="24"/>
                <w:szCs w:val="24"/>
              </w:rPr>
              <w:t xml:space="preserve"> </w:t>
            </w:r>
            <w:r>
              <w:rPr>
                <w:rFonts w:ascii="Times New Roman" w:hAnsi="Times New Roman" w:cs="Times New Roman"/>
                <w:sz w:val="24"/>
                <w:szCs w:val="24"/>
              </w:rPr>
              <w:t xml:space="preserve">kopumā 18 048 </w:t>
            </w:r>
            <w:r w:rsidRPr="00347937">
              <w:rPr>
                <w:rFonts w:ascii="Times New Roman" w:hAnsi="Times New Roman" w:cs="Times New Roman"/>
                <w:sz w:val="24"/>
                <w:szCs w:val="24"/>
              </w:rPr>
              <w:t>EUR apmērā.</w:t>
            </w:r>
          </w:p>
          <w:p w:rsidR="00CE6D77" w:rsidRDefault="00CE6D77" w:rsidP="00CE6D77">
            <w:pPr>
              <w:pStyle w:val="NoSpacing"/>
              <w:jc w:val="both"/>
              <w:rPr>
                <w:rFonts w:ascii="Times New Roman" w:hAnsi="Times New Roman" w:cs="Times New Roman"/>
                <w:sz w:val="24"/>
                <w:szCs w:val="24"/>
              </w:rPr>
            </w:pPr>
          </w:p>
          <w:p w:rsidR="00CE6D77" w:rsidRPr="00347937" w:rsidRDefault="00CE6D77" w:rsidP="00CE6D77">
            <w:pPr>
              <w:pStyle w:val="NoSpacing"/>
              <w:jc w:val="both"/>
              <w:rPr>
                <w:rFonts w:ascii="Times New Roman" w:hAnsi="Times New Roman" w:cs="Times New Roman"/>
                <w:sz w:val="24"/>
                <w:szCs w:val="24"/>
              </w:rPr>
            </w:pPr>
            <w:r w:rsidRPr="00347937">
              <w:rPr>
                <w:rFonts w:ascii="Times New Roman" w:hAnsi="Times New Roman" w:cs="Times New Roman"/>
                <w:sz w:val="24"/>
                <w:szCs w:val="24"/>
              </w:rPr>
              <w:t xml:space="preserve">2014.gadā indikatīvi kopējās izmaksas </w:t>
            </w:r>
            <w:r>
              <w:rPr>
                <w:rFonts w:ascii="Times New Roman" w:hAnsi="Times New Roman" w:cs="Times New Roman"/>
                <w:sz w:val="24"/>
                <w:szCs w:val="24"/>
              </w:rPr>
              <w:t>463 333</w:t>
            </w:r>
            <w:r w:rsidRPr="00347937">
              <w:rPr>
                <w:rFonts w:ascii="Times New Roman" w:hAnsi="Times New Roman" w:cs="Times New Roman"/>
                <w:sz w:val="24"/>
                <w:szCs w:val="24"/>
              </w:rPr>
              <w:t xml:space="preserve">EUR, no tām attiecināmās izmaksas </w:t>
            </w:r>
            <w:r>
              <w:rPr>
                <w:rFonts w:ascii="Times New Roman" w:hAnsi="Times New Roman" w:cs="Times New Roman"/>
                <w:sz w:val="24"/>
                <w:szCs w:val="24"/>
              </w:rPr>
              <w:t>460 335</w:t>
            </w:r>
            <w:r w:rsidRPr="00347937">
              <w:rPr>
                <w:rFonts w:ascii="Times New Roman" w:hAnsi="Times New Roman" w:cs="Times New Roman"/>
                <w:sz w:val="24"/>
                <w:szCs w:val="24"/>
              </w:rPr>
              <w:t xml:space="preserve">EUR, tai skaitā ESF finansējums </w:t>
            </w:r>
            <w:r>
              <w:rPr>
                <w:rFonts w:ascii="Times New Roman" w:hAnsi="Times New Roman" w:cs="Times New Roman"/>
                <w:sz w:val="24"/>
                <w:szCs w:val="24"/>
              </w:rPr>
              <w:t>391 076</w:t>
            </w:r>
            <w:r w:rsidRPr="00347937">
              <w:rPr>
                <w:rFonts w:ascii="Times New Roman" w:hAnsi="Times New Roman" w:cs="Times New Roman"/>
                <w:sz w:val="24"/>
                <w:szCs w:val="24"/>
              </w:rPr>
              <w:t xml:space="preserve">EUR un valsts budžeta finansējums </w:t>
            </w:r>
            <w:r>
              <w:rPr>
                <w:rFonts w:ascii="Times New Roman" w:hAnsi="Times New Roman" w:cs="Times New Roman"/>
                <w:sz w:val="24"/>
                <w:szCs w:val="24"/>
              </w:rPr>
              <w:t>69 259</w:t>
            </w:r>
            <w:r w:rsidRPr="00347937">
              <w:rPr>
                <w:rFonts w:ascii="Times New Roman" w:hAnsi="Times New Roman" w:cs="Times New Roman"/>
                <w:sz w:val="24"/>
                <w:szCs w:val="24"/>
              </w:rPr>
              <w:t>EUR</w:t>
            </w:r>
            <w:r>
              <w:rPr>
                <w:rFonts w:ascii="Times New Roman" w:hAnsi="Times New Roman" w:cs="Times New Roman"/>
                <w:sz w:val="24"/>
                <w:szCs w:val="24"/>
              </w:rPr>
              <w:t>,</w:t>
            </w:r>
            <w:r w:rsidRPr="00347937">
              <w:rPr>
                <w:rFonts w:ascii="Times New Roman" w:hAnsi="Times New Roman" w:cs="Times New Roman"/>
                <w:sz w:val="24"/>
                <w:szCs w:val="24"/>
              </w:rPr>
              <w:t xml:space="preserve"> un valsts budžeta neattiecināmās izmaksas 2 998 EUR.</w:t>
            </w:r>
          </w:p>
          <w:p w:rsidR="00CC1A56" w:rsidRPr="00CE6D77" w:rsidRDefault="00CE6D77" w:rsidP="009A1BF6">
            <w:pPr>
              <w:pStyle w:val="NoSpacing"/>
              <w:jc w:val="both"/>
              <w:rPr>
                <w:rFonts w:ascii="Times New Roman" w:hAnsi="Times New Roman" w:cs="Times New Roman"/>
                <w:sz w:val="24"/>
                <w:szCs w:val="24"/>
              </w:rPr>
            </w:pPr>
            <w:r w:rsidRPr="00347937">
              <w:rPr>
                <w:rFonts w:ascii="Times New Roman" w:hAnsi="Times New Roman" w:cs="Times New Roman"/>
                <w:sz w:val="24"/>
                <w:szCs w:val="24"/>
              </w:rPr>
              <w:t>Likumā „Par valsts budžetu 2014. gadam” projekta ieviešanai paredzēts finansējums 173 420 EUR apmērā</w:t>
            </w:r>
            <w:r>
              <w:rPr>
                <w:rFonts w:ascii="Times New Roman" w:hAnsi="Times New Roman" w:cs="Times New Roman"/>
                <w:sz w:val="24"/>
                <w:szCs w:val="24"/>
              </w:rPr>
              <w:t>,</w:t>
            </w:r>
            <w:r w:rsidRPr="00347937">
              <w:rPr>
                <w:rFonts w:ascii="Times New Roman" w:hAnsi="Times New Roman" w:cs="Times New Roman"/>
                <w:sz w:val="24"/>
                <w:szCs w:val="24"/>
              </w:rPr>
              <w:t xml:space="preserve"> un tas ir par </w:t>
            </w:r>
            <w:r>
              <w:rPr>
                <w:rFonts w:ascii="Times New Roman" w:hAnsi="Times New Roman" w:cs="Times New Roman"/>
                <w:sz w:val="24"/>
                <w:szCs w:val="24"/>
              </w:rPr>
              <w:t xml:space="preserve">289 913 </w:t>
            </w:r>
            <w:r w:rsidRPr="00347937">
              <w:rPr>
                <w:rFonts w:ascii="Times New Roman" w:hAnsi="Times New Roman" w:cs="Times New Roman"/>
                <w:sz w:val="24"/>
                <w:szCs w:val="24"/>
              </w:rPr>
              <w:t>EUR mazāk kā paredzamās projekta izmaksas. Starpību veido aktivitātei papildus piešķirtais finansējums 151 146 EUR apmērā, projektam papildus piešķirtais, iepriekš aktivitātē projektiem nepiesaistītais finansējums 7 509 EUR apmērā, pakalpojumu sniedzēja budžetā atmaksāts avansa maksājums, kurš būs nepieciešams attiecīgo projekta aktivitāšu nodrošināšanai 2014.</w:t>
            </w:r>
            <w:r>
              <w:rPr>
                <w:rFonts w:ascii="Times New Roman" w:hAnsi="Times New Roman" w:cs="Times New Roman"/>
                <w:sz w:val="24"/>
                <w:szCs w:val="24"/>
              </w:rPr>
              <w:t xml:space="preserve"> </w:t>
            </w:r>
            <w:r w:rsidRPr="00347937">
              <w:rPr>
                <w:rFonts w:ascii="Times New Roman" w:hAnsi="Times New Roman" w:cs="Times New Roman"/>
                <w:sz w:val="24"/>
                <w:szCs w:val="24"/>
              </w:rPr>
              <w:t xml:space="preserve">gadā </w:t>
            </w:r>
            <w:r>
              <w:rPr>
                <w:rFonts w:ascii="Times New Roman" w:hAnsi="Times New Roman" w:cs="Times New Roman"/>
                <w:sz w:val="24"/>
                <w:szCs w:val="24"/>
              </w:rPr>
              <w:t>18 050</w:t>
            </w:r>
            <w:r w:rsidRPr="00347937">
              <w:rPr>
                <w:rFonts w:ascii="Times New Roman" w:hAnsi="Times New Roman" w:cs="Times New Roman"/>
                <w:sz w:val="24"/>
                <w:szCs w:val="24"/>
              </w:rPr>
              <w:t xml:space="preserve"> EUR apmērā</w:t>
            </w:r>
            <w:r>
              <w:rPr>
                <w:rFonts w:ascii="Times New Roman" w:hAnsi="Times New Roman" w:cs="Times New Roman"/>
                <w:sz w:val="24"/>
                <w:szCs w:val="24"/>
              </w:rPr>
              <w:t>, finansējuma atlikums 2013. gadā 11 495 EUR apmērā</w:t>
            </w:r>
            <w:r w:rsidRPr="00347937">
              <w:rPr>
                <w:rFonts w:ascii="Times New Roman" w:hAnsi="Times New Roman" w:cs="Times New Roman"/>
                <w:sz w:val="24"/>
                <w:szCs w:val="24"/>
              </w:rPr>
              <w:t xml:space="preserve"> un projekta 2013.</w:t>
            </w:r>
            <w:r>
              <w:rPr>
                <w:rFonts w:ascii="Times New Roman" w:hAnsi="Times New Roman" w:cs="Times New Roman"/>
                <w:sz w:val="24"/>
                <w:szCs w:val="24"/>
              </w:rPr>
              <w:t xml:space="preserve"> </w:t>
            </w:r>
            <w:r w:rsidRPr="00347937">
              <w:rPr>
                <w:rFonts w:ascii="Times New Roman" w:hAnsi="Times New Roman" w:cs="Times New Roman"/>
                <w:sz w:val="24"/>
                <w:szCs w:val="24"/>
              </w:rPr>
              <w:t xml:space="preserve">gada </w:t>
            </w:r>
            <w:r>
              <w:rPr>
                <w:rFonts w:ascii="Times New Roman" w:hAnsi="Times New Roman" w:cs="Times New Roman"/>
                <w:sz w:val="24"/>
                <w:szCs w:val="24"/>
              </w:rPr>
              <w:t xml:space="preserve">nepieprasītais finansējums </w:t>
            </w:r>
            <w:r w:rsidRPr="00347937">
              <w:rPr>
                <w:rFonts w:ascii="Times New Roman" w:hAnsi="Times New Roman" w:cs="Times New Roman"/>
                <w:sz w:val="24"/>
                <w:szCs w:val="24"/>
              </w:rPr>
              <w:t xml:space="preserve">101 713 EUR apmērā. </w:t>
            </w:r>
            <w:r w:rsidRPr="00347937">
              <w:rPr>
                <w:rFonts w:ascii="Times New Roman" w:hAnsi="Times New Roman" w:cs="Times New Roman"/>
                <w:sz w:val="24"/>
                <w:szCs w:val="24"/>
              </w:rPr>
              <w:lastRenderedPageBreak/>
              <w:t>Aktivitātei papildus piešķirtā finansējuma daļa</w:t>
            </w:r>
            <w:r>
              <w:rPr>
                <w:rFonts w:ascii="Times New Roman" w:hAnsi="Times New Roman" w:cs="Times New Roman"/>
                <w:sz w:val="24"/>
                <w:szCs w:val="24"/>
              </w:rPr>
              <w:t xml:space="preserve"> 151 146 EUR apmērā</w:t>
            </w:r>
            <w:r w:rsidRPr="00347937">
              <w:rPr>
                <w:rFonts w:ascii="Times New Roman" w:hAnsi="Times New Roman" w:cs="Times New Roman"/>
                <w:sz w:val="24"/>
                <w:szCs w:val="24"/>
              </w:rPr>
              <w:t xml:space="preserve"> tiks pārdalīta no </w:t>
            </w:r>
            <w:r>
              <w:rPr>
                <w:rFonts w:ascii="Times New Roman" w:hAnsi="Times New Roman" w:cs="Times New Roman"/>
                <w:sz w:val="24"/>
                <w:szCs w:val="24"/>
              </w:rPr>
              <w:t>1.3.1.3.2.</w:t>
            </w:r>
            <w:r w:rsidRPr="00347937">
              <w:rPr>
                <w:rFonts w:ascii="Times New Roman" w:hAnsi="Times New Roman" w:cs="Times New Roman"/>
                <w:sz w:val="24"/>
                <w:szCs w:val="24"/>
              </w:rPr>
              <w:t xml:space="preserve">apakšaktivitātes </w:t>
            </w:r>
            <w:r>
              <w:rPr>
                <w:rFonts w:ascii="Times New Roman" w:hAnsi="Times New Roman" w:cs="Times New Roman"/>
                <w:sz w:val="24"/>
                <w:szCs w:val="24"/>
              </w:rPr>
              <w:t>ietaupījuma</w:t>
            </w:r>
            <w:r w:rsidRPr="00347937">
              <w:rPr>
                <w:rFonts w:ascii="Times New Roman" w:hAnsi="Times New Roman" w:cs="Times New Roman"/>
                <w:sz w:val="24"/>
                <w:szCs w:val="24"/>
              </w:rPr>
              <w:t>. Pārējais finansējums tiks pieprasīts no 74.resora „Gadskārtēja valsts budžeta izpildes procesā pārdalāmais finansējums” programmas 80.00.00 „Nesadalītais finansējums Eiropas Savienības politiku instrumentu un pārējās ārvalstu finanšu palīdzības līdzfinansēto projektu un pasākumu īstenošanai”.</w:t>
            </w:r>
          </w:p>
        </w:tc>
      </w:tr>
      <w:tr w:rsidR="00CC1A56" w:rsidRPr="00DD49B6" w:rsidTr="00E452B1">
        <w:trPr>
          <w:jc w:val="center"/>
        </w:trPr>
        <w:tc>
          <w:tcPr>
            <w:tcW w:w="3182" w:type="dxa"/>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395" w:type="dxa"/>
            <w:gridSpan w:val="5"/>
            <w:vMerge/>
          </w:tcPr>
          <w:p w:rsidR="00CC1A56" w:rsidRPr="00DD49B6" w:rsidRDefault="00CC1A56" w:rsidP="007D385B">
            <w:pPr>
              <w:pStyle w:val="naisf"/>
              <w:spacing w:before="0" w:beforeAutospacing="0" w:after="0" w:afterAutospacing="0"/>
              <w:rPr>
                <w:b/>
                <w:i/>
              </w:rPr>
            </w:pPr>
          </w:p>
        </w:tc>
      </w:tr>
      <w:tr w:rsidR="00CC1A56" w:rsidRPr="00DD49B6" w:rsidTr="00E452B1">
        <w:trPr>
          <w:jc w:val="center"/>
        </w:trPr>
        <w:tc>
          <w:tcPr>
            <w:tcW w:w="3182" w:type="dxa"/>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395" w:type="dxa"/>
            <w:gridSpan w:val="5"/>
            <w:vMerge/>
          </w:tcPr>
          <w:p w:rsidR="00CC1A56" w:rsidRPr="00DD49B6" w:rsidRDefault="00CC1A56" w:rsidP="007D385B">
            <w:pPr>
              <w:pStyle w:val="naisf"/>
              <w:spacing w:before="0" w:beforeAutospacing="0" w:after="0" w:afterAutospacing="0"/>
              <w:rPr>
                <w:b/>
                <w:i/>
              </w:rPr>
            </w:pPr>
          </w:p>
        </w:tc>
      </w:tr>
      <w:tr w:rsidR="00CC1A56" w:rsidRPr="00DD49B6" w:rsidTr="00E452B1">
        <w:trPr>
          <w:trHeight w:val="556"/>
          <w:jc w:val="center"/>
        </w:trPr>
        <w:tc>
          <w:tcPr>
            <w:tcW w:w="3182" w:type="dxa"/>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7. Cita informācija</w:t>
            </w:r>
          </w:p>
        </w:tc>
        <w:tc>
          <w:tcPr>
            <w:tcW w:w="6395" w:type="dxa"/>
            <w:gridSpan w:val="5"/>
          </w:tcPr>
          <w:p w:rsidR="00CC1A56" w:rsidRPr="00DD49B6" w:rsidRDefault="00EC19EC" w:rsidP="00EC19EC">
            <w:pPr>
              <w:pStyle w:val="naisf"/>
              <w:tabs>
                <w:tab w:val="left" w:pos="4644"/>
              </w:tabs>
              <w:spacing w:before="0" w:beforeAutospacing="0" w:after="0" w:afterAutospacing="0"/>
              <w:jc w:val="both"/>
              <w:rPr>
                <w:b/>
                <w:i/>
              </w:rPr>
            </w:pPr>
            <w:r>
              <w:t>V</w:t>
            </w:r>
            <w:r w:rsidRPr="0029634E">
              <w:t>eicot finansējuma pārdali, tiek nodrošināta atbilstība MK 2012.gada 8.maija protokollēmuma Nr.25 26.§ 7.punktam, kas nosaka, ka, ja Eiropas Savienības struktūrfondu un Kohēzijas fonda (turpmāk - ES fondi)  prioritātes ietvaros kādā no aktivitātēm ir uzņemtas virssaistības un kādā šīs prioritātes projektā ir konstatēta neatbilstība vai tiek lauzts līgums, atbrīvotais finansējums neatbilstoši veikto izdevumu apmērā nevar tikt novirzīts citu ES fonda projektu īstenošanai.</w:t>
            </w:r>
          </w:p>
        </w:tc>
      </w:tr>
    </w:tbl>
    <w:p w:rsidR="00CC1A56" w:rsidRPr="00DD49B6" w:rsidRDefault="00CC1A56"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DD49B6" w:rsidTr="007D385B">
        <w:trPr>
          <w:trHeight w:val="461"/>
          <w:jc w:val="center"/>
        </w:trPr>
        <w:tc>
          <w:tcPr>
            <w:tcW w:w="9511" w:type="dxa"/>
            <w:gridSpan w:val="3"/>
            <w:vAlign w:val="center"/>
          </w:tcPr>
          <w:p w:rsidR="00CC1A56" w:rsidRPr="00DD49B6" w:rsidRDefault="00CC1A56" w:rsidP="007D385B">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CC1A56" w:rsidRPr="00DD49B6" w:rsidTr="007D385B">
        <w:trPr>
          <w:jc w:val="center"/>
        </w:trPr>
        <w:tc>
          <w:tcPr>
            <w:tcW w:w="470" w:type="dxa"/>
          </w:tcPr>
          <w:p w:rsidR="00CC1A56" w:rsidRPr="008D13E2" w:rsidRDefault="00CC1A56" w:rsidP="007D385B">
            <w:pPr>
              <w:pStyle w:val="naiskr"/>
              <w:tabs>
                <w:tab w:val="left" w:pos="2628"/>
              </w:tabs>
              <w:spacing w:before="0" w:beforeAutospacing="0" w:after="0" w:afterAutospacing="0"/>
              <w:jc w:val="both"/>
              <w:rPr>
                <w:iCs/>
              </w:rPr>
            </w:pPr>
            <w:r w:rsidRPr="008D13E2">
              <w:rPr>
                <w:iCs/>
              </w:rPr>
              <w:t>1.</w:t>
            </w:r>
          </w:p>
        </w:tc>
        <w:tc>
          <w:tcPr>
            <w:tcW w:w="2728" w:type="dxa"/>
          </w:tcPr>
          <w:p w:rsidR="00CC1A56" w:rsidRPr="008D13E2" w:rsidRDefault="00CC1A56" w:rsidP="007D385B">
            <w:pPr>
              <w:pStyle w:val="naiskr"/>
              <w:tabs>
                <w:tab w:val="left" w:pos="2628"/>
              </w:tabs>
              <w:spacing w:before="0" w:beforeAutospacing="0" w:after="0" w:afterAutospacing="0"/>
              <w:jc w:val="both"/>
              <w:rPr>
                <w:iCs/>
              </w:rPr>
            </w:pPr>
            <w:r w:rsidRPr="008D13E2">
              <w:t>Nepieciešamie saistītie tiesību aktu projekti</w:t>
            </w:r>
          </w:p>
        </w:tc>
        <w:tc>
          <w:tcPr>
            <w:tcW w:w="6313" w:type="dxa"/>
          </w:tcPr>
          <w:p w:rsidR="008E6D76" w:rsidRPr="004A5D27" w:rsidRDefault="00697A3C" w:rsidP="004A5D2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MK noteikumu</w:t>
            </w:r>
            <w:r w:rsidR="00365B8E" w:rsidRPr="008D13E2">
              <w:rPr>
                <w:rFonts w:ascii="Times New Roman" w:hAnsi="Times New Roman" w:cs="Times New Roman"/>
                <w:sz w:val="24"/>
                <w:szCs w:val="24"/>
              </w:rPr>
              <w:t xml:space="preserve"> projekts rada nepieciešamīb</w:t>
            </w:r>
            <w:r w:rsidR="004A5D27">
              <w:rPr>
                <w:rFonts w:ascii="Times New Roman" w:hAnsi="Times New Roman" w:cs="Times New Roman"/>
                <w:sz w:val="24"/>
                <w:szCs w:val="24"/>
              </w:rPr>
              <w:t xml:space="preserve">u veikt atbilstošus grozījumus </w:t>
            </w:r>
            <w:r w:rsidR="008E6D76" w:rsidRPr="004A5D27">
              <w:rPr>
                <w:rFonts w:ascii="Times New Roman" w:eastAsia="MS Mincho" w:hAnsi="Times New Roman" w:cs="Times New Roman"/>
                <w:color w:val="000000"/>
                <w:sz w:val="24"/>
                <w:szCs w:val="24"/>
                <w:lang w:eastAsia="ja-JP"/>
              </w:rPr>
              <w:t>Ministru kabineta 2008.gada 4.marta noteikumos Nr.152 „Noteikumi par darbības programmas „Cilvēkresursi un nodarbinātība” papildinājuma apakšaktivitāti „Darba attiecību un darba drošības normatīvo aktu praktiska piem</w:t>
            </w:r>
            <w:r w:rsidR="007A52A7">
              <w:rPr>
                <w:rFonts w:ascii="Times New Roman" w:eastAsia="MS Mincho" w:hAnsi="Times New Roman" w:cs="Times New Roman"/>
                <w:color w:val="000000"/>
                <w:sz w:val="24"/>
                <w:szCs w:val="24"/>
                <w:lang w:eastAsia="ja-JP"/>
              </w:rPr>
              <w:t>ērošana nozarēs un uzņēmumos””</w:t>
            </w:r>
            <w:r w:rsidR="0077215B">
              <w:rPr>
                <w:rFonts w:ascii="Times New Roman" w:eastAsia="MS Mincho" w:hAnsi="Times New Roman" w:cs="Times New Roman"/>
                <w:color w:val="000000"/>
                <w:sz w:val="24"/>
                <w:szCs w:val="24"/>
                <w:lang w:eastAsia="ja-JP"/>
              </w:rPr>
              <w:t xml:space="preserve"> (turpmāk – MK noteikumi Nr.152)</w:t>
            </w:r>
            <w:r w:rsidR="004A5D27">
              <w:rPr>
                <w:rFonts w:ascii="Times New Roman" w:eastAsia="MS Mincho" w:hAnsi="Times New Roman" w:cs="Times New Roman"/>
                <w:color w:val="000000"/>
                <w:sz w:val="24"/>
                <w:szCs w:val="24"/>
                <w:lang w:eastAsia="ja-JP"/>
              </w:rPr>
              <w:t>.</w:t>
            </w:r>
          </w:p>
          <w:p w:rsidR="00CC1A56" w:rsidRPr="00DD49B6" w:rsidRDefault="0093003D" w:rsidP="00D22893">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Minētie</w:t>
            </w:r>
            <w:r w:rsidR="00365B8E" w:rsidRPr="008D13E2">
              <w:rPr>
                <w:rFonts w:ascii="Times New Roman" w:hAnsi="Times New Roman" w:cs="Times New Roman"/>
                <w:sz w:val="24"/>
                <w:szCs w:val="24"/>
              </w:rPr>
              <w:t xml:space="preserve"> grozījumi tiesību aktos tiks iesniegti Valsts kancelejā izskatīšanai MK sē</w:t>
            </w:r>
            <w:r w:rsidR="00221D3C">
              <w:rPr>
                <w:rFonts w:ascii="Times New Roman" w:hAnsi="Times New Roman" w:cs="Times New Roman"/>
                <w:sz w:val="24"/>
                <w:szCs w:val="24"/>
              </w:rPr>
              <w:t>dē indikatīvi 2014.gada martā</w:t>
            </w:r>
            <w:r w:rsidR="00365B8E" w:rsidRPr="008D13E2">
              <w:rPr>
                <w:rFonts w:ascii="Times New Roman" w:hAnsi="Times New Roman" w:cs="Times New Roman"/>
                <w:sz w:val="24"/>
                <w:szCs w:val="24"/>
              </w:rPr>
              <w:t>.</w:t>
            </w:r>
          </w:p>
        </w:tc>
      </w:tr>
      <w:tr w:rsidR="00CC1A56" w:rsidRPr="00DD49B6" w:rsidTr="007D385B">
        <w:trPr>
          <w:jc w:val="center"/>
        </w:trPr>
        <w:tc>
          <w:tcPr>
            <w:tcW w:w="470" w:type="dxa"/>
          </w:tcPr>
          <w:p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313" w:type="dxa"/>
          </w:tcPr>
          <w:p w:rsidR="00CC1A56" w:rsidRPr="00DD49B6" w:rsidRDefault="0055242A" w:rsidP="007D385B">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Labklājības ministrija</w:t>
            </w:r>
          </w:p>
        </w:tc>
      </w:tr>
      <w:tr w:rsidR="00CC1A56" w:rsidRPr="00DD49B6" w:rsidTr="007D385B">
        <w:trPr>
          <w:jc w:val="center"/>
        </w:trPr>
        <w:tc>
          <w:tcPr>
            <w:tcW w:w="470" w:type="dxa"/>
          </w:tcPr>
          <w:p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313" w:type="dxa"/>
          </w:tcPr>
          <w:p w:rsidR="00CC1A56" w:rsidRDefault="009A1BF6" w:rsidP="007D385B">
            <w:pPr>
              <w:pStyle w:val="naiskr"/>
              <w:tabs>
                <w:tab w:val="left" w:pos="2628"/>
              </w:tabs>
              <w:spacing w:before="0" w:beforeAutospacing="0" w:after="0" w:afterAutospacing="0"/>
              <w:jc w:val="both"/>
              <w:rPr>
                <w:iCs/>
              </w:rPr>
            </w:pPr>
            <w:r>
              <w:rPr>
                <w:iCs/>
              </w:rPr>
              <w:t xml:space="preserve">MK noteikumu projekts var tikt virzīts izskatīšanai MK sēdē vienlaikus vai pēc attiecīgu grozījumu darbības programmas „Cilvēkresursi un nodarbinātība” papildinājumā </w:t>
            </w:r>
            <w:r w:rsidR="00C23266">
              <w:rPr>
                <w:iCs/>
              </w:rPr>
              <w:t>izskatīšanas MK sēdē.</w:t>
            </w:r>
          </w:p>
          <w:p w:rsidR="0077215B" w:rsidRPr="00DD49B6" w:rsidRDefault="0077215B" w:rsidP="007D385B">
            <w:pPr>
              <w:pStyle w:val="naiskr"/>
              <w:tabs>
                <w:tab w:val="left" w:pos="2628"/>
              </w:tabs>
              <w:spacing w:before="0" w:beforeAutospacing="0" w:after="0" w:afterAutospacing="0"/>
              <w:jc w:val="both"/>
              <w:rPr>
                <w:iCs/>
              </w:rPr>
            </w:pPr>
            <w:r>
              <w:rPr>
                <w:iCs/>
              </w:rPr>
              <w:t xml:space="preserve">MK noteikumu projekts </w:t>
            </w:r>
            <w:r w:rsidRPr="00426B10">
              <w:t xml:space="preserve">tiks virzīts izskatīšanai MK sēdē vienlaicīgi ar attiecīgajiem grozījumiem </w:t>
            </w:r>
            <w:r>
              <w:t>MK noteikumos Nr.152.</w:t>
            </w:r>
          </w:p>
        </w:tc>
      </w:tr>
    </w:tbl>
    <w:p w:rsidR="00CC1A56" w:rsidRPr="00DD49B6" w:rsidDel="009D1634" w:rsidRDefault="00CC1A56"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rsidTr="007D385B">
        <w:trPr>
          <w:trHeight w:val="421"/>
          <w:jc w:val="center"/>
        </w:trPr>
        <w:tc>
          <w:tcPr>
            <w:tcW w:w="9524" w:type="dxa"/>
            <w:gridSpan w:val="3"/>
            <w:vAlign w:val="center"/>
          </w:tcPr>
          <w:p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rsidTr="007D385B">
        <w:trPr>
          <w:trHeight w:val="553"/>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rsidR="00CC1A56" w:rsidRPr="00DD49B6" w:rsidRDefault="002874DE" w:rsidP="008E6D76">
            <w:pPr>
              <w:shd w:val="clear" w:color="auto" w:fill="FFFFFF"/>
              <w:spacing w:after="0" w:line="240" w:lineRule="auto"/>
              <w:ind w:left="169" w:right="83"/>
              <w:jc w:val="both"/>
              <w:rPr>
                <w:rFonts w:ascii="Times New Roman" w:hAnsi="Times New Roman" w:cs="Times New Roman"/>
                <w:sz w:val="24"/>
                <w:szCs w:val="24"/>
              </w:rPr>
            </w:pPr>
            <w:bookmarkStart w:id="1" w:name="p61"/>
            <w:bookmarkEnd w:id="1"/>
            <w:r w:rsidRPr="008E6D76">
              <w:rPr>
                <w:rFonts w:ascii="Times New Roman" w:hAnsi="Times New Roman" w:cs="Times New Roman"/>
                <w:sz w:val="24"/>
                <w:szCs w:val="24"/>
              </w:rPr>
              <w:t>Sabiedrības līdz</w:t>
            </w:r>
            <w:r w:rsidR="008E6D76" w:rsidRPr="008E6D76">
              <w:rPr>
                <w:rFonts w:ascii="Times New Roman" w:hAnsi="Times New Roman" w:cs="Times New Roman"/>
                <w:sz w:val="24"/>
                <w:szCs w:val="24"/>
              </w:rPr>
              <w:t>dalība nebija nepieciešama, jo 1.3.1.4.aktivitāte tiek īstenota ierobežotas projektu iesniegumu atlases veidā un tās ietvaros jau ir noslēgti līgumi par projekta īstenošanu</w:t>
            </w:r>
            <w:r w:rsidR="008E6D76">
              <w:rPr>
                <w:rFonts w:ascii="Times New Roman" w:hAnsi="Times New Roman" w:cs="Times New Roman"/>
                <w:sz w:val="24"/>
                <w:szCs w:val="24"/>
              </w:rPr>
              <w:t>.</w:t>
            </w:r>
          </w:p>
        </w:tc>
      </w:tr>
      <w:tr w:rsidR="00CC1A56" w:rsidRPr="00DD49B6" w:rsidTr="007D385B">
        <w:trPr>
          <w:trHeight w:val="339"/>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rsidR="00CC1A56" w:rsidRPr="00DD49B6" w:rsidRDefault="003B60BC" w:rsidP="007D385B">
            <w:pPr>
              <w:shd w:val="clear" w:color="auto" w:fill="FFFFFF"/>
              <w:spacing w:after="0" w:line="240" w:lineRule="auto"/>
              <w:ind w:left="169"/>
              <w:jc w:val="both"/>
              <w:rPr>
                <w:rFonts w:ascii="Times New Roman" w:hAnsi="Times New Roman" w:cs="Times New Roman"/>
                <w:sz w:val="24"/>
                <w:szCs w:val="24"/>
                <w:lang w:eastAsia="lv-LV"/>
              </w:rPr>
            </w:pPr>
            <w:bookmarkStart w:id="2" w:name="p62"/>
            <w:bookmarkEnd w:id="2"/>
            <w:r>
              <w:rPr>
                <w:rFonts w:ascii="Times New Roman" w:hAnsi="Times New Roman" w:cs="Times New Roman"/>
                <w:sz w:val="24"/>
                <w:szCs w:val="24"/>
              </w:rPr>
              <w:t>MK noteikumu</w:t>
            </w:r>
            <w:r w:rsidR="00514DDD" w:rsidRPr="0093520F">
              <w:rPr>
                <w:rFonts w:ascii="Times New Roman" w:hAnsi="Times New Roman" w:cs="Times New Roman"/>
                <w:sz w:val="24"/>
                <w:szCs w:val="24"/>
              </w:rPr>
              <w:t xml:space="preserve"> projekts šo jomu neskar.</w:t>
            </w:r>
          </w:p>
        </w:tc>
      </w:tr>
      <w:tr w:rsidR="00CC1A56" w:rsidRPr="00DD49B6" w:rsidTr="007D385B">
        <w:trPr>
          <w:trHeight w:val="476"/>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rsidR="00CC1A56" w:rsidRPr="00DD49B6" w:rsidRDefault="003B60BC" w:rsidP="007D385B">
            <w:pPr>
              <w:shd w:val="clear" w:color="auto" w:fill="FFFFFF"/>
              <w:spacing w:after="0" w:line="240" w:lineRule="auto"/>
              <w:ind w:left="169"/>
              <w:jc w:val="both"/>
              <w:rPr>
                <w:rFonts w:ascii="Times New Roman" w:hAnsi="Times New Roman" w:cs="Times New Roman"/>
                <w:sz w:val="24"/>
                <w:szCs w:val="24"/>
                <w:lang w:eastAsia="lv-LV"/>
              </w:rPr>
            </w:pPr>
            <w:r>
              <w:rPr>
                <w:rFonts w:ascii="Times New Roman" w:hAnsi="Times New Roman" w:cs="Times New Roman"/>
                <w:sz w:val="24"/>
                <w:szCs w:val="24"/>
              </w:rPr>
              <w:t>MK noteikumu</w:t>
            </w:r>
            <w:r w:rsidR="00514DDD" w:rsidRPr="0093520F">
              <w:rPr>
                <w:rFonts w:ascii="Times New Roman" w:hAnsi="Times New Roman" w:cs="Times New Roman"/>
                <w:sz w:val="24"/>
                <w:szCs w:val="24"/>
              </w:rPr>
              <w:t xml:space="preserve"> projekts šo jomu neskar.</w:t>
            </w:r>
          </w:p>
        </w:tc>
      </w:tr>
      <w:tr w:rsidR="00CC1A56" w:rsidRPr="00DD49B6" w:rsidTr="007D385B">
        <w:trPr>
          <w:trHeight w:val="476"/>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rsidR="00CC1A56" w:rsidRPr="00DD49B6" w:rsidRDefault="00514DDD" w:rsidP="007D385B">
            <w:pPr>
              <w:spacing w:after="0" w:line="240" w:lineRule="auto"/>
              <w:ind w:left="169"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CC1A56" w:rsidRDefault="00CC1A56" w:rsidP="00CC1A56">
      <w:pPr>
        <w:spacing w:after="0" w:line="240" w:lineRule="auto"/>
        <w:rPr>
          <w:rFonts w:ascii="Times New Roman" w:hAnsi="Times New Roman" w:cs="Times New Roman"/>
          <w:sz w:val="24"/>
          <w:szCs w:val="24"/>
        </w:rPr>
      </w:pPr>
    </w:p>
    <w:p w:rsidR="001B7C9C" w:rsidRPr="00DD49B6" w:rsidRDefault="001B7C9C"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rsidTr="007D385B">
        <w:trPr>
          <w:trHeight w:val="381"/>
          <w:jc w:val="center"/>
        </w:trPr>
        <w:tc>
          <w:tcPr>
            <w:tcW w:w="9518" w:type="dxa"/>
            <w:gridSpan w:val="3"/>
            <w:vAlign w:val="center"/>
          </w:tcPr>
          <w:p w:rsidR="00CC1A56" w:rsidRPr="00DD49B6" w:rsidRDefault="00CC1A56" w:rsidP="007D385B">
            <w:pPr>
              <w:pStyle w:val="naisnod"/>
              <w:spacing w:before="0" w:beforeAutospacing="0" w:after="0" w:afterAutospacing="0"/>
              <w:ind w:left="57" w:right="57"/>
              <w:jc w:val="center"/>
            </w:pPr>
            <w:r w:rsidRPr="00DD49B6">
              <w:rPr>
                <w:b/>
              </w:rPr>
              <w:lastRenderedPageBreak/>
              <w:t>VII. Tiesību akta projekta izpildes nodrošināšana un tās ietekme uz institūcijām</w:t>
            </w:r>
          </w:p>
        </w:tc>
      </w:tr>
      <w:tr w:rsidR="00CC1A56" w:rsidRPr="00DD49B6" w:rsidTr="007D385B">
        <w:trPr>
          <w:trHeight w:val="427"/>
          <w:jc w:val="center"/>
        </w:trPr>
        <w:tc>
          <w:tcPr>
            <w:tcW w:w="437" w:type="dxa"/>
          </w:tcPr>
          <w:p w:rsidR="00CC1A56" w:rsidRPr="00DD49B6" w:rsidRDefault="00CC1A56" w:rsidP="007D385B">
            <w:pPr>
              <w:pStyle w:val="naisnod"/>
              <w:spacing w:before="0" w:beforeAutospacing="0" w:after="0" w:afterAutospacing="0"/>
              <w:ind w:left="57" w:right="57"/>
              <w:jc w:val="both"/>
            </w:pPr>
            <w:r w:rsidRPr="00DD49B6">
              <w:t>1.</w:t>
            </w:r>
          </w:p>
        </w:tc>
        <w:tc>
          <w:tcPr>
            <w:tcW w:w="3615" w:type="dxa"/>
          </w:tcPr>
          <w:p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rsidR="00CC1A56" w:rsidRPr="00DD49B6" w:rsidRDefault="006E3024" w:rsidP="007D385B">
            <w:pPr>
              <w:shd w:val="clear" w:color="auto" w:fill="FFFFFF"/>
              <w:spacing w:after="0" w:line="240" w:lineRule="auto"/>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sidRPr="006E3024">
              <w:rPr>
                <w:rFonts w:ascii="Times New Roman" w:hAnsi="Times New Roman" w:cs="Times New Roman"/>
                <w:sz w:val="24"/>
                <w:szCs w:val="24"/>
              </w:rPr>
              <w:t>Labklājības ministrija kā E</w:t>
            </w:r>
            <w:r w:rsidR="00774AFB">
              <w:rPr>
                <w:rFonts w:ascii="Times New Roman" w:hAnsi="Times New Roman" w:cs="Times New Roman"/>
                <w:sz w:val="24"/>
                <w:szCs w:val="24"/>
              </w:rPr>
              <w:t xml:space="preserve">iropas </w:t>
            </w:r>
            <w:r w:rsidRPr="006E3024">
              <w:rPr>
                <w:rFonts w:ascii="Times New Roman" w:hAnsi="Times New Roman" w:cs="Times New Roman"/>
                <w:sz w:val="24"/>
                <w:szCs w:val="24"/>
              </w:rPr>
              <w:t>S</w:t>
            </w:r>
            <w:r w:rsidR="00774AFB">
              <w:rPr>
                <w:rFonts w:ascii="Times New Roman" w:hAnsi="Times New Roman" w:cs="Times New Roman"/>
                <w:sz w:val="24"/>
                <w:szCs w:val="24"/>
              </w:rPr>
              <w:t>avienības</w:t>
            </w:r>
            <w:r w:rsidRPr="006E3024">
              <w:rPr>
                <w:rFonts w:ascii="Times New Roman" w:hAnsi="Times New Roman" w:cs="Times New Roman"/>
                <w:sz w:val="24"/>
                <w:szCs w:val="24"/>
              </w:rPr>
              <w:t xml:space="preserve"> fondu atbildīgā iestāde, Nodarbinātības valsts aģentūra kā E</w:t>
            </w:r>
            <w:r w:rsidR="00D44056">
              <w:rPr>
                <w:rFonts w:ascii="Times New Roman" w:hAnsi="Times New Roman" w:cs="Times New Roman"/>
                <w:sz w:val="24"/>
                <w:szCs w:val="24"/>
              </w:rPr>
              <w:t xml:space="preserve">iropas </w:t>
            </w:r>
            <w:r w:rsidRPr="006E3024">
              <w:rPr>
                <w:rFonts w:ascii="Times New Roman" w:hAnsi="Times New Roman" w:cs="Times New Roman"/>
                <w:sz w:val="24"/>
                <w:szCs w:val="24"/>
              </w:rPr>
              <w:t>S</w:t>
            </w:r>
            <w:r w:rsidR="00D44056">
              <w:rPr>
                <w:rFonts w:ascii="Times New Roman" w:hAnsi="Times New Roman" w:cs="Times New Roman"/>
                <w:sz w:val="24"/>
                <w:szCs w:val="24"/>
              </w:rPr>
              <w:t>avienības</w:t>
            </w:r>
            <w:r w:rsidRPr="006E3024">
              <w:rPr>
                <w:rFonts w:ascii="Times New Roman" w:hAnsi="Times New Roman" w:cs="Times New Roman"/>
                <w:sz w:val="24"/>
                <w:szCs w:val="24"/>
              </w:rPr>
              <w:t xml:space="preserve"> fondu finansējuma saņēmējs.</w:t>
            </w:r>
          </w:p>
        </w:tc>
      </w:tr>
      <w:tr w:rsidR="00CC1A56" w:rsidRPr="00DD49B6" w:rsidTr="007D385B">
        <w:trPr>
          <w:trHeight w:val="463"/>
          <w:jc w:val="center"/>
        </w:trPr>
        <w:tc>
          <w:tcPr>
            <w:tcW w:w="437" w:type="dxa"/>
          </w:tcPr>
          <w:p w:rsidR="00CC1A56" w:rsidRPr="00DD49B6" w:rsidRDefault="00CC1A56" w:rsidP="007D385B">
            <w:pPr>
              <w:pStyle w:val="naisnod"/>
              <w:spacing w:before="0" w:beforeAutospacing="0" w:after="0" w:afterAutospacing="0"/>
              <w:ind w:left="57" w:right="57"/>
              <w:jc w:val="both"/>
            </w:pPr>
            <w:r w:rsidRPr="00DD49B6">
              <w:t>2.</w:t>
            </w:r>
          </w:p>
        </w:tc>
        <w:tc>
          <w:tcPr>
            <w:tcW w:w="3615" w:type="dxa"/>
          </w:tcPr>
          <w:p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rsidR="00CC1A56" w:rsidRPr="00DD49B6" w:rsidRDefault="003B60BC" w:rsidP="007D385B">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MK noteikumu</w:t>
            </w:r>
            <w:r w:rsidR="00232033" w:rsidRPr="0093520F">
              <w:rPr>
                <w:rFonts w:ascii="Times New Roman" w:hAnsi="Times New Roman" w:cs="Times New Roman"/>
                <w:sz w:val="24"/>
                <w:szCs w:val="24"/>
              </w:rPr>
              <w:t xml:space="preserve"> projekts šo jomu neskar.</w:t>
            </w:r>
          </w:p>
        </w:tc>
      </w:tr>
      <w:tr w:rsidR="00CC1A56" w:rsidRPr="00DD49B6"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9A4625" w:rsidRDefault="009A4625" w:rsidP="00843389">
      <w:pPr>
        <w:spacing w:after="0" w:line="240" w:lineRule="auto"/>
        <w:rPr>
          <w:rFonts w:ascii="Times New Roman" w:hAnsi="Times New Roman" w:cs="Times New Roman"/>
          <w:sz w:val="24"/>
          <w:szCs w:val="24"/>
        </w:rPr>
      </w:pPr>
    </w:p>
    <w:p w:rsidR="00843389" w:rsidRDefault="00843389" w:rsidP="00843389">
      <w:pPr>
        <w:spacing w:after="0" w:line="240" w:lineRule="auto"/>
        <w:rPr>
          <w:rFonts w:ascii="Times New Roman" w:hAnsi="Times New Roman" w:cs="Times New Roman"/>
          <w:sz w:val="24"/>
          <w:szCs w:val="24"/>
        </w:rPr>
      </w:pPr>
      <w:r w:rsidRPr="00843389">
        <w:rPr>
          <w:rFonts w:ascii="Times New Roman" w:hAnsi="Times New Roman" w:cs="Times New Roman"/>
          <w:sz w:val="24"/>
          <w:szCs w:val="24"/>
        </w:rPr>
        <w:t>A</w:t>
      </w:r>
      <w:r w:rsidR="003B60BC">
        <w:rPr>
          <w:rFonts w:ascii="Times New Roman" w:hAnsi="Times New Roman" w:cs="Times New Roman"/>
          <w:sz w:val="24"/>
          <w:szCs w:val="24"/>
        </w:rPr>
        <w:t>notācijas V sadaļa – MK noteikumu</w:t>
      </w:r>
      <w:r w:rsidRPr="00843389">
        <w:rPr>
          <w:rFonts w:ascii="Times New Roman" w:hAnsi="Times New Roman" w:cs="Times New Roman"/>
          <w:sz w:val="24"/>
          <w:szCs w:val="24"/>
        </w:rPr>
        <w:t xml:space="preserve"> projekts šo jomu neskar.</w:t>
      </w:r>
    </w:p>
    <w:p w:rsidR="007A52A7" w:rsidRDefault="007A52A7" w:rsidP="00843389">
      <w:pPr>
        <w:spacing w:after="0" w:line="240" w:lineRule="auto"/>
        <w:rPr>
          <w:rFonts w:ascii="Times New Roman" w:hAnsi="Times New Roman" w:cs="Times New Roman"/>
          <w:sz w:val="24"/>
          <w:szCs w:val="24"/>
        </w:rPr>
      </w:pPr>
    </w:p>
    <w:p w:rsidR="008E6D76" w:rsidRDefault="008E6D76" w:rsidP="00843389">
      <w:pPr>
        <w:spacing w:after="0" w:line="240" w:lineRule="auto"/>
        <w:rPr>
          <w:rFonts w:ascii="Times New Roman" w:hAnsi="Times New Roman" w:cs="Times New Roman"/>
          <w:sz w:val="24"/>
          <w:szCs w:val="24"/>
        </w:rPr>
      </w:pPr>
    </w:p>
    <w:p w:rsidR="009A4625" w:rsidRDefault="009A4625" w:rsidP="00843389">
      <w:pPr>
        <w:spacing w:after="0" w:line="240" w:lineRule="auto"/>
        <w:rPr>
          <w:rFonts w:ascii="Times New Roman" w:hAnsi="Times New Roman" w:cs="Times New Roman"/>
          <w:sz w:val="24"/>
          <w:szCs w:val="24"/>
        </w:rPr>
      </w:pPr>
    </w:p>
    <w:p w:rsidR="009A4625" w:rsidRDefault="009A4625" w:rsidP="00843389">
      <w:pPr>
        <w:spacing w:after="0" w:line="240" w:lineRule="auto"/>
        <w:rPr>
          <w:rFonts w:ascii="Times New Roman" w:hAnsi="Times New Roman" w:cs="Times New Roman"/>
          <w:sz w:val="24"/>
          <w:szCs w:val="24"/>
        </w:rPr>
      </w:pPr>
    </w:p>
    <w:p w:rsidR="009A4625" w:rsidRDefault="009A4625" w:rsidP="00843389">
      <w:pPr>
        <w:spacing w:after="0" w:line="240" w:lineRule="auto"/>
        <w:rPr>
          <w:rFonts w:ascii="Times New Roman" w:hAnsi="Times New Roman" w:cs="Times New Roman"/>
          <w:sz w:val="24"/>
          <w:szCs w:val="24"/>
        </w:rPr>
      </w:pPr>
    </w:p>
    <w:p w:rsidR="009A4625" w:rsidRDefault="009A4625" w:rsidP="00843389">
      <w:pPr>
        <w:spacing w:after="0" w:line="240" w:lineRule="auto"/>
        <w:rPr>
          <w:rFonts w:ascii="Times New Roman" w:hAnsi="Times New Roman" w:cs="Times New Roman"/>
          <w:sz w:val="24"/>
          <w:szCs w:val="24"/>
        </w:rPr>
      </w:pPr>
    </w:p>
    <w:p w:rsidR="009A4625" w:rsidRDefault="009A4625" w:rsidP="00843389">
      <w:pPr>
        <w:spacing w:after="0" w:line="240" w:lineRule="auto"/>
        <w:rPr>
          <w:rFonts w:ascii="Times New Roman" w:hAnsi="Times New Roman" w:cs="Times New Roman"/>
          <w:sz w:val="24"/>
          <w:szCs w:val="24"/>
        </w:rPr>
      </w:pPr>
    </w:p>
    <w:p w:rsidR="009A4625" w:rsidRDefault="009A4625" w:rsidP="00843389">
      <w:pPr>
        <w:spacing w:after="0" w:line="240" w:lineRule="auto"/>
        <w:rPr>
          <w:rFonts w:ascii="Times New Roman" w:hAnsi="Times New Roman" w:cs="Times New Roman"/>
          <w:sz w:val="24"/>
          <w:szCs w:val="24"/>
        </w:rPr>
      </w:pPr>
    </w:p>
    <w:p w:rsidR="009A4625" w:rsidRDefault="009A4625" w:rsidP="00843389">
      <w:pPr>
        <w:spacing w:after="0" w:line="240" w:lineRule="auto"/>
        <w:rPr>
          <w:rFonts w:ascii="Times New Roman" w:hAnsi="Times New Roman" w:cs="Times New Roman"/>
          <w:sz w:val="24"/>
          <w:szCs w:val="24"/>
        </w:rPr>
      </w:pPr>
    </w:p>
    <w:p w:rsidR="009A4625" w:rsidRDefault="009A4625" w:rsidP="00843389">
      <w:pPr>
        <w:spacing w:after="0" w:line="240" w:lineRule="auto"/>
        <w:rPr>
          <w:rFonts w:ascii="Times New Roman" w:hAnsi="Times New Roman" w:cs="Times New Roman"/>
          <w:sz w:val="24"/>
          <w:szCs w:val="24"/>
        </w:rPr>
      </w:pPr>
    </w:p>
    <w:p w:rsidR="009A4625" w:rsidRDefault="009A4625" w:rsidP="00843389">
      <w:pPr>
        <w:spacing w:after="0" w:line="240" w:lineRule="auto"/>
        <w:rPr>
          <w:rFonts w:ascii="Times New Roman" w:hAnsi="Times New Roman" w:cs="Times New Roman"/>
          <w:sz w:val="24"/>
          <w:szCs w:val="24"/>
        </w:rPr>
      </w:pPr>
    </w:p>
    <w:p w:rsidR="009A4625" w:rsidRDefault="009A4625" w:rsidP="00843389">
      <w:pPr>
        <w:spacing w:after="0" w:line="240" w:lineRule="auto"/>
        <w:rPr>
          <w:rFonts w:ascii="Times New Roman" w:hAnsi="Times New Roman" w:cs="Times New Roman"/>
          <w:sz w:val="24"/>
          <w:szCs w:val="24"/>
        </w:rPr>
      </w:pPr>
    </w:p>
    <w:p w:rsidR="009A4625" w:rsidRDefault="009A4625" w:rsidP="00843389">
      <w:pPr>
        <w:spacing w:after="0" w:line="240" w:lineRule="auto"/>
        <w:rPr>
          <w:rFonts w:ascii="Times New Roman" w:hAnsi="Times New Roman" w:cs="Times New Roman"/>
          <w:sz w:val="24"/>
          <w:szCs w:val="24"/>
        </w:rPr>
      </w:pPr>
    </w:p>
    <w:p w:rsidR="009A4625" w:rsidRDefault="009A4625" w:rsidP="00843389">
      <w:pPr>
        <w:spacing w:after="0" w:line="240" w:lineRule="auto"/>
        <w:rPr>
          <w:rFonts w:ascii="Times New Roman" w:hAnsi="Times New Roman" w:cs="Times New Roman"/>
          <w:sz w:val="24"/>
          <w:szCs w:val="24"/>
        </w:rPr>
      </w:pPr>
    </w:p>
    <w:p w:rsidR="009A4625" w:rsidRDefault="009A4625" w:rsidP="00843389">
      <w:pPr>
        <w:spacing w:after="0" w:line="240" w:lineRule="auto"/>
        <w:rPr>
          <w:rFonts w:ascii="Times New Roman" w:hAnsi="Times New Roman" w:cs="Times New Roman"/>
          <w:sz w:val="24"/>
          <w:szCs w:val="24"/>
        </w:rPr>
      </w:pPr>
    </w:p>
    <w:p w:rsidR="00D473ED" w:rsidRPr="00D473ED" w:rsidRDefault="003B60BC" w:rsidP="00D473ED">
      <w:pPr>
        <w:tabs>
          <w:tab w:val="left" w:pos="7371"/>
        </w:tabs>
        <w:spacing w:after="0" w:line="240" w:lineRule="auto"/>
        <w:rPr>
          <w:rFonts w:ascii="Times New Roman" w:hAnsi="Times New Roman" w:cs="Times New Roman"/>
          <w:sz w:val="28"/>
          <w:szCs w:val="28"/>
        </w:rPr>
      </w:pPr>
      <w:r>
        <w:rPr>
          <w:rFonts w:ascii="Times New Roman" w:hAnsi="Times New Roman" w:cs="Times New Roman"/>
          <w:sz w:val="28"/>
          <w:szCs w:val="28"/>
        </w:rPr>
        <w:t>Labklājības ministrs</w:t>
      </w:r>
      <w:r>
        <w:rPr>
          <w:rFonts w:ascii="Times New Roman" w:hAnsi="Times New Roman" w:cs="Times New Roman"/>
          <w:sz w:val="28"/>
          <w:szCs w:val="28"/>
        </w:rPr>
        <w:tab/>
        <w:t>U.Augulis</w:t>
      </w:r>
    </w:p>
    <w:p w:rsidR="00D473ED" w:rsidRPr="00D473ED" w:rsidRDefault="00D473ED" w:rsidP="00D473ED">
      <w:pPr>
        <w:spacing w:after="0" w:line="240" w:lineRule="auto"/>
        <w:rPr>
          <w:rFonts w:ascii="Times New Roman" w:hAnsi="Times New Roman" w:cs="Times New Roman"/>
          <w:sz w:val="24"/>
          <w:szCs w:val="24"/>
        </w:rPr>
      </w:pPr>
    </w:p>
    <w:p w:rsidR="009A4625" w:rsidRDefault="009A4625" w:rsidP="00D473ED">
      <w:pPr>
        <w:spacing w:after="0" w:line="240" w:lineRule="auto"/>
        <w:rPr>
          <w:rFonts w:ascii="Times New Roman" w:hAnsi="Times New Roman" w:cs="Times New Roman"/>
          <w:sz w:val="20"/>
          <w:szCs w:val="20"/>
        </w:rPr>
      </w:pPr>
    </w:p>
    <w:p w:rsidR="009A4625" w:rsidRDefault="009A4625" w:rsidP="00D473ED">
      <w:pPr>
        <w:spacing w:after="0" w:line="240" w:lineRule="auto"/>
        <w:rPr>
          <w:rFonts w:ascii="Times New Roman" w:hAnsi="Times New Roman" w:cs="Times New Roman"/>
          <w:sz w:val="20"/>
          <w:szCs w:val="20"/>
        </w:rPr>
      </w:pPr>
    </w:p>
    <w:p w:rsidR="009A4625" w:rsidRDefault="009A4625" w:rsidP="00D473ED">
      <w:pPr>
        <w:spacing w:after="0" w:line="240" w:lineRule="auto"/>
        <w:rPr>
          <w:rFonts w:ascii="Times New Roman" w:hAnsi="Times New Roman" w:cs="Times New Roman"/>
          <w:sz w:val="20"/>
          <w:szCs w:val="20"/>
        </w:rPr>
      </w:pPr>
    </w:p>
    <w:p w:rsidR="009A4625" w:rsidRDefault="009A4625" w:rsidP="00D473ED">
      <w:pPr>
        <w:spacing w:after="0" w:line="240" w:lineRule="auto"/>
        <w:rPr>
          <w:rFonts w:ascii="Times New Roman" w:hAnsi="Times New Roman" w:cs="Times New Roman"/>
          <w:sz w:val="20"/>
          <w:szCs w:val="20"/>
        </w:rPr>
      </w:pPr>
    </w:p>
    <w:p w:rsidR="009A4625" w:rsidRDefault="009A4625" w:rsidP="00D473ED">
      <w:pPr>
        <w:spacing w:after="0" w:line="240" w:lineRule="auto"/>
        <w:rPr>
          <w:rFonts w:ascii="Times New Roman" w:hAnsi="Times New Roman" w:cs="Times New Roman"/>
          <w:sz w:val="20"/>
          <w:szCs w:val="20"/>
        </w:rPr>
      </w:pPr>
    </w:p>
    <w:p w:rsidR="009A4625" w:rsidRDefault="009A4625" w:rsidP="00D473ED">
      <w:pPr>
        <w:spacing w:after="0" w:line="240" w:lineRule="auto"/>
        <w:rPr>
          <w:rFonts w:ascii="Times New Roman" w:hAnsi="Times New Roman" w:cs="Times New Roman"/>
          <w:sz w:val="20"/>
          <w:szCs w:val="20"/>
        </w:rPr>
      </w:pPr>
    </w:p>
    <w:p w:rsidR="009A4625" w:rsidRDefault="009A4625" w:rsidP="00D473ED">
      <w:pPr>
        <w:spacing w:after="0" w:line="240" w:lineRule="auto"/>
        <w:rPr>
          <w:rFonts w:ascii="Times New Roman" w:hAnsi="Times New Roman" w:cs="Times New Roman"/>
          <w:sz w:val="20"/>
          <w:szCs w:val="20"/>
        </w:rPr>
      </w:pPr>
    </w:p>
    <w:p w:rsidR="009A4625" w:rsidRDefault="009A4625" w:rsidP="00D473ED">
      <w:pPr>
        <w:spacing w:after="0" w:line="240" w:lineRule="auto"/>
        <w:rPr>
          <w:rFonts w:ascii="Times New Roman" w:hAnsi="Times New Roman" w:cs="Times New Roman"/>
          <w:sz w:val="20"/>
          <w:szCs w:val="20"/>
        </w:rPr>
      </w:pPr>
    </w:p>
    <w:p w:rsidR="009A4625" w:rsidRDefault="009A4625" w:rsidP="00D473ED">
      <w:pPr>
        <w:spacing w:after="0" w:line="240" w:lineRule="auto"/>
        <w:rPr>
          <w:rFonts w:ascii="Times New Roman" w:hAnsi="Times New Roman" w:cs="Times New Roman"/>
          <w:sz w:val="20"/>
          <w:szCs w:val="20"/>
        </w:rPr>
      </w:pPr>
    </w:p>
    <w:p w:rsidR="00CD56FB" w:rsidRDefault="00CD56FB" w:rsidP="00D473ED">
      <w:pPr>
        <w:spacing w:after="0" w:line="240" w:lineRule="auto"/>
        <w:rPr>
          <w:rFonts w:ascii="Times New Roman" w:hAnsi="Times New Roman" w:cs="Times New Roman"/>
          <w:sz w:val="20"/>
          <w:szCs w:val="20"/>
        </w:rPr>
      </w:pPr>
    </w:p>
    <w:p w:rsidR="009A4625" w:rsidRDefault="009A4625" w:rsidP="00D473ED">
      <w:pPr>
        <w:spacing w:after="0" w:line="240" w:lineRule="auto"/>
        <w:rPr>
          <w:rFonts w:ascii="Times New Roman" w:hAnsi="Times New Roman" w:cs="Times New Roman"/>
          <w:sz w:val="20"/>
          <w:szCs w:val="20"/>
        </w:rPr>
      </w:pPr>
    </w:p>
    <w:p w:rsidR="009A4625" w:rsidRDefault="009A4625" w:rsidP="00D473ED">
      <w:pPr>
        <w:spacing w:after="0" w:line="240" w:lineRule="auto"/>
        <w:rPr>
          <w:rFonts w:ascii="Times New Roman" w:hAnsi="Times New Roman" w:cs="Times New Roman"/>
          <w:sz w:val="20"/>
          <w:szCs w:val="20"/>
        </w:rPr>
      </w:pPr>
    </w:p>
    <w:p w:rsidR="00D473ED" w:rsidRPr="00D473ED" w:rsidRDefault="00221D3C"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679A">
        <w:rPr>
          <w:rFonts w:ascii="Times New Roman" w:hAnsi="Times New Roman" w:cs="Times New Roman"/>
          <w:sz w:val="20"/>
          <w:szCs w:val="20"/>
        </w:rPr>
        <w:t>.03</w:t>
      </w:r>
      <w:r w:rsidR="00F07BB7">
        <w:rPr>
          <w:rFonts w:ascii="Times New Roman" w:hAnsi="Times New Roman" w:cs="Times New Roman"/>
          <w:sz w:val="20"/>
          <w:szCs w:val="20"/>
        </w:rPr>
        <w:t>.2014</w:t>
      </w:r>
      <w:r w:rsidR="00D473ED" w:rsidRPr="00D473ED">
        <w:rPr>
          <w:rFonts w:ascii="Times New Roman" w:hAnsi="Times New Roman" w:cs="Times New Roman"/>
          <w:sz w:val="20"/>
          <w:szCs w:val="20"/>
        </w:rPr>
        <w:t xml:space="preserve">. </w:t>
      </w:r>
      <w:r>
        <w:rPr>
          <w:rFonts w:ascii="Times New Roman" w:hAnsi="Times New Roman" w:cs="Times New Roman"/>
          <w:sz w:val="20"/>
          <w:szCs w:val="20"/>
        </w:rPr>
        <w:t>15:45</w:t>
      </w:r>
    </w:p>
    <w:p w:rsidR="00D473ED" w:rsidRPr="00D473ED" w:rsidRDefault="0090657D"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1939</w:t>
      </w:r>
      <w:bookmarkStart w:id="7" w:name="_GoBack"/>
      <w:bookmarkEnd w:id="7"/>
    </w:p>
    <w:p w:rsidR="00D473ED" w:rsidRPr="00D473ED" w:rsidRDefault="008E6D76"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J.Laucis</w:t>
      </w:r>
      <w:r w:rsidR="00D473ED" w:rsidRPr="00D473ED">
        <w:rPr>
          <w:rFonts w:ascii="Times New Roman" w:hAnsi="Times New Roman" w:cs="Times New Roman"/>
          <w:sz w:val="20"/>
          <w:szCs w:val="20"/>
        </w:rPr>
        <w:t>, 67021660</w:t>
      </w:r>
    </w:p>
    <w:p w:rsidR="00CE6D77" w:rsidRDefault="008E6D76"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Janis.Laucis</w:t>
      </w:r>
      <w:r w:rsidR="00D473ED" w:rsidRPr="00D473ED">
        <w:rPr>
          <w:rFonts w:ascii="Times New Roman" w:hAnsi="Times New Roman" w:cs="Times New Roman"/>
          <w:sz w:val="20"/>
          <w:szCs w:val="20"/>
        </w:rPr>
        <w:t>@lm.gov.lv</w:t>
      </w:r>
    </w:p>
    <w:p w:rsidR="00CE6D77" w:rsidRPr="00CE6D77" w:rsidRDefault="00CE6D77" w:rsidP="00CE6D77">
      <w:pPr>
        <w:rPr>
          <w:rFonts w:ascii="Times New Roman" w:hAnsi="Times New Roman" w:cs="Times New Roman"/>
          <w:sz w:val="20"/>
          <w:szCs w:val="20"/>
        </w:rPr>
      </w:pPr>
    </w:p>
    <w:p w:rsidR="00D473ED" w:rsidRPr="00CE6D77" w:rsidRDefault="00D473ED" w:rsidP="00CD56FB">
      <w:pPr>
        <w:rPr>
          <w:rFonts w:ascii="Times New Roman" w:hAnsi="Times New Roman" w:cs="Times New Roman"/>
          <w:sz w:val="20"/>
          <w:szCs w:val="20"/>
        </w:rPr>
      </w:pPr>
    </w:p>
    <w:sectPr w:rsidR="00D473ED" w:rsidRPr="00CE6D77" w:rsidSect="006D6C8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BF6" w:rsidRDefault="009A1BF6" w:rsidP="006D6C82">
      <w:pPr>
        <w:spacing w:after="0" w:line="240" w:lineRule="auto"/>
      </w:pPr>
      <w:r>
        <w:separator/>
      </w:r>
    </w:p>
  </w:endnote>
  <w:endnote w:type="continuationSeparator" w:id="0">
    <w:p w:rsidR="009A1BF6" w:rsidRDefault="009A1BF6"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Neo Sans Book">
    <w:altName w:val="Arial"/>
    <w:panose1 w:val="00000000000000000000"/>
    <w:charset w:val="EE"/>
    <w:family w:val="swiss"/>
    <w:notTrueType/>
    <w:pitch w:val="default"/>
    <w:sig w:usb0="00000005" w:usb1="00000000" w:usb2="00000000" w:usb3="00000000" w:csb0="00000002"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BF6" w:rsidRPr="008E6D76" w:rsidRDefault="009A1BF6" w:rsidP="008E6D76">
    <w:pPr>
      <w:jc w:val="both"/>
      <w:rPr>
        <w:rFonts w:ascii="Times New Roman" w:eastAsia="Times New Roman" w:hAnsi="Times New Roman" w:cs="Times New Roman"/>
        <w:sz w:val="20"/>
        <w:szCs w:val="20"/>
        <w:lang w:eastAsia="lv-LV"/>
      </w:rPr>
    </w:pPr>
    <w:r w:rsidRPr="006E169E">
      <w:rPr>
        <w:rFonts w:ascii="Times New Roman" w:hAnsi="Times New Roman" w:cs="Times New Roman"/>
        <w:sz w:val="20"/>
        <w:szCs w:val="20"/>
      </w:rPr>
      <w:t>LMAnot_</w:t>
    </w:r>
    <w:r w:rsidR="00221D3C">
      <w:rPr>
        <w:rFonts w:ascii="Times New Roman" w:hAnsi="Times New Roman" w:cs="Times New Roman"/>
        <w:sz w:val="20"/>
        <w:szCs w:val="20"/>
      </w:rPr>
      <w:t>24</w:t>
    </w:r>
    <w:r w:rsidR="00C4679A">
      <w:rPr>
        <w:rFonts w:ascii="Times New Roman" w:hAnsi="Times New Roman" w:cs="Times New Roman"/>
        <w:sz w:val="20"/>
        <w:szCs w:val="20"/>
      </w:rPr>
      <w:t>03</w:t>
    </w:r>
    <w:r>
      <w:rPr>
        <w:rFonts w:ascii="Times New Roman" w:hAnsi="Times New Roman" w:cs="Times New Roman"/>
        <w:sz w:val="20"/>
        <w:szCs w:val="20"/>
      </w:rPr>
      <w:t>14;</w:t>
    </w:r>
    <w:r w:rsidRPr="008E6D76">
      <w:rPr>
        <w:rFonts w:ascii="Times New Roman" w:eastAsia="Times New Roman" w:hAnsi="Times New Roman" w:cs="Times New Roman"/>
        <w:sz w:val="20"/>
        <w:szCs w:val="20"/>
        <w:lang w:eastAsia="lv-LV"/>
      </w:rPr>
      <w:t xml:space="preserve"> Grozījumi Ministru kabineta 2007.gada 30.oktobra noteikumos Nr. 731 ”Noteikumi par darbības programmas ”Cilvēkresursi un nodarbinātība” papildinājuma aktivitāti ”Kapacitātes stiprināšana darba tirgus institūcijām””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BF6" w:rsidRPr="008E6D76" w:rsidRDefault="009A1BF6" w:rsidP="008E6D76">
    <w:pPr>
      <w:jc w:val="both"/>
      <w:rPr>
        <w:rFonts w:ascii="Times New Roman" w:eastAsia="Times New Roman" w:hAnsi="Times New Roman" w:cs="Times New Roman"/>
        <w:sz w:val="20"/>
        <w:szCs w:val="20"/>
        <w:lang w:eastAsia="lv-LV"/>
      </w:rPr>
    </w:pPr>
    <w:r w:rsidRPr="006E169E">
      <w:rPr>
        <w:rFonts w:ascii="Times New Roman" w:hAnsi="Times New Roman" w:cs="Times New Roman"/>
        <w:sz w:val="20"/>
        <w:szCs w:val="20"/>
      </w:rPr>
      <w:t>LMAnot_</w:t>
    </w:r>
    <w:r w:rsidR="00221D3C">
      <w:rPr>
        <w:rFonts w:ascii="Times New Roman" w:hAnsi="Times New Roman" w:cs="Times New Roman"/>
        <w:sz w:val="20"/>
        <w:szCs w:val="20"/>
      </w:rPr>
      <w:t>24</w:t>
    </w:r>
    <w:r w:rsidR="00C4679A">
      <w:rPr>
        <w:rFonts w:ascii="Times New Roman" w:hAnsi="Times New Roman" w:cs="Times New Roman"/>
        <w:sz w:val="20"/>
        <w:szCs w:val="20"/>
      </w:rPr>
      <w:t>03</w:t>
    </w:r>
    <w:r>
      <w:rPr>
        <w:rFonts w:ascii="Times New Roman" w:hAnsi="Times New Roman" w:cs="Times New Roman"/>
        <w:sz w:val="20"/>
        <w:szCs w:val="20"/>
      </w:rPr>
      <w:t>14;</w:t>
    </w:r>
    <w:r w:rsidRPr="008E6D76">
      <w:rPr>
        <w:rFonts w:ascii="Times New Roman" w:eastAsia="Times New Roman" w:hAnsi="Times New Roman" w:cs="Times New Roman"/>
        <w:sz w:val="20"/>
        <w:szCs w:val="20"/>
        <w:lang w:eastAsia="lv-LV"/>
      </w:rPr>
      <w:t xml:space="preserve"> Grozījumi Ministru kabineta 2007.gada 30.oktobra noteikumos Nr. 731 ”Noteikumi par darbības programmas ”Cilvēkresursi un nodarbinātība” papildinājuma aktivitāti ”Kapacitātes stiprināšana darba tirgus institūcijām””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BF6" w:rsidRDefault="009A1BF6" w:rsidP="006D6C82">
      <w:pPr>
        <w:spacing w:after="0" w:line="240" w:lineRule="auto"/>
      </w:pPr>
      <w:r>
        <w:separator/>
      </w:r>
    </w:p>
  </w:footnote>
  <w:footnote w:type="continuationSeparator" w:id="0">
    <w:p w:rsidR="009A1BF6" w:rsidRDefault="009A1BF6"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rsidR="009A1BF6" w:rsidRDefault="009A1BF6">
        <w:pPr>
          <w:pStyle w:val="Header"/>
          <w:jc w:val="center"/>
        </w:pPr>
        <w:r>
          <w:fldChar w:fldCharType="begin"/>
        </w:r>
        <w:r>
          <w:instrText xml:space="preserve"> PAGE   \* MERGEFORMAT </w:instrText>
        </w:r>
        <w:r>
          <w:fldChar w:fldCharType="separate"/>
        </w:r>
        <w:r w:rsidR="00221D3C">
          <w:rPr>
            <w:noProof/>
          </w:rPr>
          <w:t>7</w:t>
        </w:r>
        <w:r>
          <w:rPr>
            <w:noProof/>
          </w:rPr>
          <w:fldChar w:fldCharType="end"/>
        </w:r>
      </w:p>
    </w:sdtContent>
  </w:sdt>
  <w:p w:rsidR="009A1BF6" w:rsidRDefault="009A1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2731D0"/>
    <w:multiLevelType w:val="hybridMultilevel"/>
    <w:tmpl w:val="DF42693C"/>
    <w:lvl w:ilvl="0" w:tplc="3306F118">
      <w:start w:val="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8594012"/>
    <w:multiLevelType w:val="hybridMultilevel"/>
    <w:tmpl w:val="8C0C3F72"/>
    <w:lvl w:ilvl="0" w:tplc="AF5024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5680F3A"/>
    <w:multiLevelType w:val="hybridMultilevel"/>
    <w:tmpl w:val="3CF613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9">
    <w:nsid w:val="4CD13B29"/>
    <w:multiLevelType w:val="hybridMultilevel"/>
    <w:tmpl w:val="D228E590"/>
    <w:lvl w:ilvl="0" w:tplc="51186D2C">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nsid w:val="55586917"/>
    <w:multiLevelType w:val="hybridMultilevel"/>
    <w:tmpl w:val="3B3E0B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A05324C"/>
    <w:multiLevelType w:val="hybridMultilevel"/>
    <w:tmpl w:val="5164D6E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4">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5">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6">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5"/>
  </w:num>
  <w:num w:numId="2">
    <w:abstractNumId w:val="3"/>
  </w:num>
  <w:num w:numId="3">
    <w:abstractNumId w:val="7"/>
  </w:num>
  <w:num w:numId="4">
    <w:abstractNumId w:val="16"/>
  </w:num>
  <w:num w:numId="5">
    <w:abstractNumId w:val="13"/>
  </w:num>
  <w:num w:numId="6">
    <w:abstractNumId w:val="1"/>
  </w:num>
  <w:num w:numId="7">
    <w:abstractNumId w:val="15"/>
  </w:num>
  <w:num w:numId="8">
    <w:abstractNumId w:val="10"/>
  </w:num>
  <w:num w:numId="9">
    <w:abstractNumId w:val="0"/>
  </w:num>
  <w:num w:numId="10">
    <w:abstractNumId w:val="8"/>
  </w:num>
  <w:num w:numId="11">
    <w:abstractNumId w:val="14"/>
  </w:num>
  <w:num w:numId="12">
    <w:abstractNumId w:val="6"/>
  </w:num>
  <w:num w:numId="13">
    <w:abstractNumId w:val="9"/>
  </w:num>
  <w:num w:numId="14">
    <w:abstractNumId w:val="11"/>
  </w:num>
  <w:num w:numId="15">
    <w:abstractNumId w:val="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56"/>
    <w:rsid w:val="000012B1"/>
    <w:rsid w:val="00002103"/>
    <w:rsid w:val="00026148"/>
    <w:rsid w:val="000459D0"/>
    <w:rsid w:val="00051838"/>
    <w:rsid w:val="00064954"/>
    <w:rsid w:val="00065E19"/>
    <w:rsid w:val="00072876"/>
    <w:rsid w:val="000A50F4"/>
    <w:rsid w:val="000A556B"/>
    <w:rsid w:val="000B022C"/>
    <w:rsid w:val="000C11FA"/>
    <w:rsid w:val="000C6DA7"/>
    <w:rsid w:val="001021F5"/>
    <w:rsid w:val="001144D9"/>
    <w:rsid w:val="0011756F"/>
    <w:rsid w:val="00126D51"/>
    <w:rsid w:val="00140CF3"/>
    <w:rsid w:val="00152B5A"/>
    <w:rsid w:val="001540B9"/>
    <w:rsid w:val="00163649"/>
    <w:rsid w:val="00166E6E"/>
    <w:rsid w:val="00167190"/>
    <w:rsid w:val="001761AE"/>
    <w:rsid w:val="00176916"/>
    <w:rsid w:val="00177F36"/>
    <w:rsid w:val="0018780A"/>
    <w:rsid w:val="00197EC4"/>
    <w:rsid w:val="001B1214"/>
    <w:rsid w:val="001B7C9C"/>
    <w:rsid w:val="001C168A"/>
    <w:rsid w:val="001D61A3"/>
    <w:rsid w:val="001E645F"/>
    <w:rsid w:val="00206F07"/>
    <w:rsid w:val="002123C9"/>
    <w:rsid w:val="002141C0"/>
    <w:rsid w:val="00221D3C"/>
    <w:rsid w:val="00232033"/>
    <w:rsid w:val="00253304"/>
    <w:rsid w:val="002568F2"/>
    <w:rsid w:val="0026710C"/>
    <w:rsid w:val="0028479A"/>
    <w:rsid w:val="002874DE"/>
    <w:rsid w:val="002A046C"/>
    <w:rsid w:val="002A161A"/>
    <w:rsid w:val="002B0232"/>
    <w:rsid w:val="002B0D05"/>
    <w:rsid w:val="002D1F05"/>
    <w:rsid w:val="002D2016"/>
    <w:rsid w:val="002F2310"/>
    <w:rsid w:val="00303FFC"/>
    <w:rsid w:val="00320A19"/>
    <w:rsid w:val="00321D39"/>
    <w:rsid w:val="0032210B"/>
    <w:rsid w:val="00334CA9"/>
    <w:rsid w:val="00336B3A"/>
    <w:rsid w:val="00345771"/>
    <w:rsid w:val="00347937"/>
    <w:rsid w:val="00354E5C"/>
    <w:rsid w:val="0035641C"/>
    <w:rsid w:val="00365B8E"/>
    <w:rsid w:val="003721D8"/>
    <w:rsid w:val="00376240"/>
    <w:rsid w:val="0038217F"/>
    <w:rsid w:val="00382C79"/>
    <w:rsid w:val="003A3A21"/>
    <w:rsid w:val="003B0FBE"/>
    <w:rsid w:val="003B60BC"/>
    <w:rsid w:val="003D2EF5"/>
    <w:rsid w:val="003D58F4"/>
    <w:rsid w:val="003D6F4E"/>
    <w:rsid w:val="003D7FCC"/>
    <w:rsid w:val="003E6EBD"/>
    <w:rsid w:val="004117D8"/>
    <w:rsid w:val="004144A3"/>
    <w:rsid w:val="00427EFE"/>
    <w:rsid w:val="0043187B"/>
    <w:rsid w:val="00470125"/>
    <w:rsid w:val="0049437E"/>
    <w:rsid w:val="004A0562"/>
    <w:rsid w:val="004A5D27"/>
    <w:rsid w:val="004B4BC8"/>
    <w:rsid w:val="004C0127"/>
    <w:rsid w:val="004C55C1"/>
    <w:rsid w:val="004D24D9"/>
    <w:rsid w:val="004D2900"/>
    <w:rsid w:val="004D4A4C"/>
    <w:rsid w:val="004D654A"/>
    <w:rsid w:val="004D6C8E"/>
    <w:rsid w:val="004E2B79"/>
    <w:rsid w:val="004F1BD2"/>
    <w:rsid w:val="004F6B68"/>
    <w:rsid w:val="0050327A"/>
    <w:rsid w:val="00514DDD"/>
    <w:rsid w:val="005346EE"/>
    <w:rsid w:val="0055242A"/>
    <w:rsid w:val="005820D6"/>
    <w:rsid w:val="005907D0"/>
    <w:rsid w:val="005913E4"/>
    <w:rsid w:val="005B104F"/>
    <w:rsid w:val="005B36D9"/>
    <w:rsid w:val="005C3342"/>
    <w:rsid w:val="005C718F"/>
    <w:rsid w:val="005E0A62"/>
    <w:rsid w:val="005E2E68"/>
    <w:rsid w:val="005F403C"/>
    <w:rsid w:val="006074DC"/>
    <w:rsid w:val="006409EE"/>
    <w:rsid w:val="00645EF3"/>
    <w:rsid w:val="00654303"/>
    <w:rsid w:val="006673B6"/>
    <w:rsid w:val="00687767"/>
    <w:rsid w:val="006952F4"/>
    <w:rsid w:val="00697A3C"/>
    <w:rsid w:val="006A6178"/>
    <w:rsid w:val="006B1DFB"/>
    <w:rsid w:val="006B616F"/>
    <w:rsid w:val="006B7133"/>
    <w:rsid w:val="006D23D7"/>
    <w:rsid w:val="006D573E"/>
    <w:rsid w:val="006D6C82"/>
    <w:rsid w:val="006E169E"/>
    <w:rsid w:val="006E3024"/>
    <w:rsid w:val="006E6976"/>
    <w:rsid w:val="006F615E"/>
    <w:rsid w:val="006F6735"/>
    <w:rsid w:val="007032FF"/>
    <w:rsid w:val="00710CCF"/>
    <w:rsid w:val="00756ADA"/>
    <w:rsid w:val="0077161A"/>
    <w:rsid w:val="0077215B"/>
    <w:rsid w:val="00774AFB"/>
    <w:rsid w:val="007831DA"/>
    <w:rsid w:val="00786082"/>
    <w:rsid w:val="007922A6"/>
    <w:rsid w:val="007A52A7"/>
    <w:rsid w:val="007B5D78"/>
    <w:rsid w:val="007D385B"/>
    <w:rsid w:val="007F44BF"/>
    <w:rsid w:val="007F56E6"/>
    <w:rsid w:val="007F57E5"/>
    <w:rsid w:val="00814B8D"/>
    <w:rsid w:val="008171AD"/>
    <w:rsid w:val="00843389"/>
    <w:rsid w:val="008477DE"/>
    <w:rsid w:val="00857C5B"/>
    <w:rsid w:val="00870319"/>
    <w:rsid w:val="00874FAD"/>
    <w:rsid w:val="00891D72"/>
    <w:rsid w:val="008A10C7"/>
    <w:rsid w:val="008C2310"/>
    <w:rsid w:val="008C532A"/>
    <w:rsid w:val="008D13E2"/>
    <w:rsid w:val="008E6D76"/>
    <w:rsid w:val="008F1703"/>
    <w:rsid w:val="0090657D"/>
    <w:rsid w:val="00926CFB"/>
    <w:rsid w:val="0093003D"/>
    <w:rsid w:val="0093520F"/>
    <w:rsid w:val="0094080C"/>
    <w:rsid w:val="00962BF1"/>
    <w:rsid w:val="009638E8"/>
    <w:rsid w:val="009665F6"/>
    <w:rsid w:val="00975BC8"/>
    <w:rsid w:val="009913DE"/>
    <w:rsid w:val="009945CD"/>
    <w:rsid w:val="009A1BF6"/>
    <w:rsid w:val="009A4625"/>
    <w:rsid w:val="009A5F8B"/>
    <w:rsid w:val="009B252C"/>
    <w:rsid w:val="009B5EDB"/>
    <w:rsid w:val="009B659B"/>
    <w:rsid w:val="009C39B5"/>
    <w:rsid w:val="009C5386"/>
    <w:rsid w:val="009D7F50"/>
    <w:rsid w:val="009F3C67"/>
    <w:rsid w:val="00A202EB"/>
    <w:rsid w:val="00A2200A"/>
    <w:rsid w:val="00A33379"/>
    <w:rsid w:val="00A673AD"/>
    <w:rsid w:val="00A74718"/>
    <w:rsid w:val="00A94ED9"/>
    <w:rsid w:val="00AA12B0"/>
    <w:rsid w:val="00AC0FA8"/>
    <w:rsid w:val="00AE0DE2"/>
    <w:rsid w:val="00AF7AF4"/>
    <w:rsid w:val="00B00F6C"/>
    <w:rsid w:val="00B06F07"/>
    <w:rsid w:val="00B105FC"/>
    <w:rsid w:val="00B13677"/>
    <w:rsid w:val="00B321EE"/>
    <w:rsid w:val="00B46D66"/>
    <w:rsid w:val="00B62CA2"/>
    <w:rsid w:val="00B62FB7"/>
    <w:rsid w:val="00B80868"/>
    <w:rsid w:val="00B90401"/>
    <w:rsid w:val="00B90D82"/>
    <w:rsid w:val="00B96485"/>
    <w:rsid w:val="00BB5814"/>
    <w:rsid w:val="00BC1631"/>
    <w:rsid w:val="00BD56EE"/>
    <w:rsid w:val="00BD76EA"/>
    <w:rsid w:val="00BF1BDA"/>
    <w:rsid w:val="00BF1C90"/>
    <w:rsid w:val="00C20F59"/>
    <w:rsid w:val="00C23266"/>
    <w:rsid w:val="00C37B9A"/>
    <w:rsid w:val="00C43430"/>
    <w:rsid w:val="00C4679A"/>
    <w:rsid w:val="00C50204"/>
    <w:rsid w:val="00C51095"/>
    <w:rsid w:val="00C63E56"/>
    <w:rsid w:val="00C80769"/>
    <w:rsid w:val="00C845E5"/>
    <w:rsid w:val="00CA74AB"/>
    <w:rsid w:val="00CA76DD"/>
    <w:rsid w:val="00CC1A56"/>
    <w:rsid w:val="00CD56FB"/>
    <w:rsid w:val="00CE6516"/>
    <w:rsid w:val="00CE6D77"/>
    <w:rsid w:val="00D14938"/>
    <w:rsid w:val="00D22893"/>
    <w:rsid w:val="00D404FE"/>
    <w:rsid w:val="00D44056"/>
    <w:rsid w:val="00D473ED"/>
    <w:rsid w:val="00D476D3"/>
    <w:rsid w:val="00D60002"/>
    <w:rsid w:val="00D60CFD"/>
    <w:rsid w:val="00D61CB4"/>
    <w:rsid w:val="00D64D66"/>
    <w:rsid w:val="00D95ECF"/>
    <w:rsid w:val="00D97D19"/>
    <w:rsid w:val="00DB2814"/>
    <w:rsid w:val="00DD3888"/>
    <w:rsid w:val="00DE0F62"/>
    <w:rsid w:val="00DE2DA0"/>
    <w:rsid w:val="00E2764C"/>
    <w:rsid w:val="00E30502"/>
    <w:rsid w:val="00E452B1"/>
    <w:rsid w:val="00E50358"/>
    <w:rsid w:val="00E54C92"/>
    <w:rsid w:val="00E60388"/>
    <w:rsid w:val="00E61B13"/>
    <w:rsid w:val="00E673FB"/>
    <w:rsid w:val="00E74162"/>
    <w:rsid w:val="00EA1E2D"/>
    <w:rsid w:val="00EC19EC"/>
    <w:rsid w:val="00EC30B1"/>
    <w:rsid w:val="00EC4C71"/>
    <w:rsid w:val="00ED4855"/>
    <w:rsid w:val="00ED56D4"/>
    <w:rsid w:val="00ED63AA"/>
    <w:rsid w:val="00EF131E"/>
    <w:rsid w:val="00F00CD5"/>
    <w:rsid w:val="00F07BB7"/>
    <w:rsid w:val="00F11F5B"/>
    <w:rsid w:val="00F15C0D"/>
    <w:rsid w:val="00F16D63"/>
    <w:rsid w:val="00F55F58"/>
    <w:rsid w:val="00FA6A4B"/>
    <w:rsid w:val="00FC0148"/>
    <w:rsid w:val="00FC6CF7"/>
    <w:rsid w:val="00FE25D4"/>
    <w:rsid w:val="00FE47D5"/>
    <w:rsid w:val="00FF5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E7014-59F5-4121-9346-CF392CBE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paragraph" w:styleId="NoSpacing">
    <w:name w:val="No Spacing"/>
    <w:uiPriority w:val="1"/>
    <w:qFormat/>
    <w:rsid w:val="00347937"/>
    <w:pPr>
      <w:spacing w:after="0" w:line="240" w:lineRule="auto"/>
    </w:pPr>
  </w:style>
  <w:style w:type="character" w:styleId="HTMLTypewriter">
    <w:name w:val="HTML Typewriter"/>
    <w:rsid w:val="005B36D9"/>
    <w:rPr>
      <w:rFonts w:ascii="Courier New" w:eastAsia="Times New Roman" w:hAnsi="Courier New" w:cs="Courier New"/>
      <w:sz w:val="20"/>
      <w:szCs w:val="20"/>
    </w:rPr>
  </w:style>
  <w:style w:type="character" w:customStyle="1" w:styleId="A2">
    <w:name w:val="A2"/>
    <w:rsid w:val="00D97D19"/>
    <w:rPr>
      <w:rFonts w:cs="Neo Sans Book"/>
      <w:color w:val="000000"/>
      <w:sz w:val="22"/>
      <w:szCs w:val="22"/>
    </w:rPr>
  </w:style>
  <w:style w:type="paragraph" w:styleId="NormalWeb">
    <w:name w:val="Normal (Web)"/>
    <w:basedOn w:val="Normal"/>
    <w:unhideWhenUsed/>
    <w:rsid w:val="00D97D1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77215B"/>
    <w:pPr>
      <w:spacing w:after="0" w:line="240" w:lineRule="auto"/>
    </w:pPr>
    <w:rPr>
      <w:sz w:val="20"/>
      <w:szCs w:val="20"/>
    </w:rPr>
  </w:style>
  <w:style w:type="character" w:customStyle="1" w:styleId="FootnoteTextChar">
    <w:name w:val="Footnote Text Char"/>
    <w:basedOn w:val="DefaultParagraphFont"/>
    <w:link w:val="FootnoteText"/>
    <w:uiPriority w:val="99"/>
    <w:rsid w:val="0077215B"/>
    <w:rPr>
      <w:sz w:val="20"/>
      <w:szCs w:val="20"/>
    </w:rPr>
  </w:style>
  <w:style w:type="character" w:styleId="FootnoteReference">
    <w:name w:val="footnote reference"/>
    <w:basedOn w:val="DefaultParagraphFont"/>
    <w:uiPriority w:val="99"/>
    <w:semiHidden/>
    <w:unhideWhenUsed/>
    <w:rsid w:val="007721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576941685">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209068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4FEA-B97F-4E7D-A71A-59DC3770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7</Pages>
  <Words>9900</Words>
  <Characters>5643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Grozījumi MK noteikumos Nr.731</vt:lpstr>
    </vt:vector>
  </TitlesOfParts>
  <Company>lm</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noteikumos Nr.731</dc:title>
  <dc:subject>Anotācija</dc:subject>
  <dc:creator>Janis Laucis</dc:creator>
  <cp:keywords/>
  <dc:description>Janis.Laucis@lm.gov.lv_x000d_
67021660</dc:description>
  <cp:lastModifiedBy>Janis Laucis</cp:lastModifiedBy>
  <cp:revision>23</cp:revision>
  <cp:lastPrinted>2014-02-14T12:14:00Z</cp:lastPrinted>
  <dcterms:created xsi:type="dcterms:W3CDTF">2014-01-07T07:08:00Z</dcterms:created>
  <dcterms:modified xsi:type="dcterms:W3CDTF">2014-03-24T13:45:00Z</dcterms:modified>
</cp:coreProperties>
</file>