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CEB" w:rsidRPr="00D80CEB" w:rsidRDefault="00D80CEB" w:rsidP="00D80CEB">
      <w:pPr>
        <w:pStyle w:val="naisc"/>
        <w:spacing w:before="0" w:after="0"/>
        <w:rPr>
          <w:b/>
        </w:rPr>
      </w:pPr>
      <w:r w:rsidRPr="00D80CEB">
        <w:rPr>
          <w:b/>
        </w:rPr>
        <w:t>Ministru kabine</w:t>
      </w:r>
      <w:r w:rsidR="00392A2C">
        <w:rPr>
          <w:b/>
        </w:rPr>
        <w:t>ta noteikumu projekta „Grozījumi</w:t>
      </w:r>
      <w:r w:rsidRPr="00D80CEB">
        <w:rPr>
          <w:b/>
        </w:rPr>
        <w:t xml:space="preserve"> Ministru kabineta 2009.gada 25.augusta noteikumos Nr. 949 „Noteikumi par darbības programmas „Cilvēkresursi un nodarbinātība” papildinājuma 1.3.1.7.</w:t>
      </w:r>
      <w:r w:rsidRPr="00D80CEB" w:rsidDel="009121F9">
        <w:rPr>
          <w:b/>
        </w:rPr>
        <w:t xml:space="preserve"> </w:t>
      </w:r>
      <w:r w:rsidRPr="00D80CEB">
        <w:rPr>
          <w:b/>
        </w:rPr>
        <w:t>aktivitāti „Darba tirgus pieprasījuma īstermiņa un ilgtermiņa prognozēšanas un uzraudzības sistēmas attīstība””” sākotnējās ietekmes novērtējuma ziņojums (anotācija)</w:t>
      </w:r>
    </w:p>
    <w:p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5"/>
      </w:tblGrid>
      <w:tr w:rsidR="00CC1A56" w:rsidRPr="00DD49B6" w:rsidTr="001E645F">
        <w:trPr>
          <w:trHeight w:val="419"/>
        </w:trPr>
        <w:tc>
          <w:tcPr>
            <w:tcW w:w="5000" w:type="pct"/>
            <w:gridSpan w:val="3"/>
            <w:vAlign w:val="center"/>
          </w:tcPr>
          <w:p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rsidTr="001E645F">
        <w:trPr>
          <w:trHeight w:val="415"/>
        </w:trPr>
        <w:tc>
          <w:tcPr>
            <w:tcW w:w="227" w:type="pct"/>
          </w:tcPr>
          <w:p w:rsidR="00CC1A56" w:rsidRPr="00DD49B6" w:rsidRDefault="00CC1A56" w:rsidP="007D385B">
            <w:pPr>
              <w:pStyle w:val="naiskr"/>
              <w:spacing w:before="0" w:beforeAutospacing="0" w:after="0" w:afterAutospacing="0"/>
              <w:ind w:left="57" w:right="57"/>
              <w:jc w:val="center"/>
            </w:pPr>
            <w:r w:rsidRPr="00DD49B6">
              <w:t>1.</w:t>
            </w:r>
          </w:p>
        </w:tc>
        <w:tc>
          <w:tcPr>
            <w:tcW w:w="1566" w:type="pct"/>
          </w:tcPr>
          <w:p w:rsidR="004332B9" w:rsidRDefault="00CC1A56" w:rsidP="007D385B">
            <w:pPr>
              <w:pStyle w:val="naiskr"/>
              <w:spacing w:before="0" w:beforeAutospacing="0" w:after="0" w:afterAutospacing="0"/>
              <w:ind w:left="57" w:right="57"/>
            </w:pPr>
            <w:r w:rsidRPr="00DD49B6">
              <w:t>Pamatojums</w:t>
            </w:r>
          </w:p>
          <w:p w:rsidR="004332B9" w:rsidRDefault="004332B9" w:rsidP="004332B9">
            <w:pPr>
              <w:rPr>
                <w:lang w:eastAsia="lv-LV"/>
              </w:rPr>
            </w:pPr>
          </w:p>
          <w:p w:rsidR="00CC1A56" w:rsidRPr="004332B9" w:rsidRDefault="004332B9" w:rsidP="004332B9">
            <w:pPr>
              <w:tabs>
                <w:tab w:val="left" w:pos="900"/>
              </w:tabs>
              <w:rPr>
                <w:lang w:eastAsia="lv-LV"/>
              </w:rPr>
            </w:pPr>
            <w:r>
              <w:rPr>
                <w:lang w:eastAsia="lv-LV"/>
              </w:rPr>
              <w:tab/>
            </w:r>
          </w:p>
        </w:tc>
        <w:tc>
          <w:tcPr>
            <w:tcW w:w="3207" w:type="pct"/>
          </w:tcPr>
          <w:p w:rsidR="00CC1A56" w:rsidRPr="00D80CEB" w:rsidRDefault="00D80CEB" w:rsidP="006D573E">
            <w:pPr>
              <w:spacing w:after="0" w:line="240" w:lineRule="auto"/>
              <w:ind w:left="57" w:right="57"/>
              <w:jc w:val="both"/>
              <w:rPr>
                <w:rFonts w:ascii="Times New Roman" w:hAnsi="Times New Roman" w:cs="Times New Roman"/>
                <w:sz w:val="24"/>
                <w:szCs w:val="24"/>
                <w:shd w:val="clear" w:color="auto" w:fill="FFFFFF"/>
              </w:rPr>
            </w:pPr>
            <w:r w:rsidRPr="00D80CEB">
              <w:rPr>
                <w:rFonts w:ascii="Times New Roman" w:hAnsi="Times New Roman" w:cs="Times New Roman"/>
                <w:sz w:val="24"/>
                <w:szCs w:val="24"/>
              </w:rPr>
              <w:t>Ministru kabine</w:t>
            </w:r>
            <w:r w:rsidR="00392A2C">
              <w:rPr>
                <w:rFonts w:ascii="Times New Roman" w:hAnsi="Times New Roman" w:cs="Times New Roman"/>
                <w:sz w:val="24"/>
                <w:szCs w:val="24"/>
              </w:rPr>
              <w:t>ta noteikumu projekts „Grozījumi</w:t>
            </w:r>
            <w:r w:rsidRPr="00D80CEB">
              <w:rPr>
                <w:rFonts w:ascii="Times New Roman" w:hAnsi="Times New Roman" w:cs="Times New Roman"/>
                <w:sz w:val="24"/>
                <w:szCs w:val="24"/>
              </w:rPr>
              <w:t xml:space="preserve"> Ministru kabineta 2009.gada 25.augusta noteikumos Nr.949 „Noteikumi par darbības programmas „Cilvēkresursi un nodarbinātība” papildinājuma 1.3.1.7.aktivitāti „Darba tirgus pieprasījuma īstermiņa un ilgtermiņa prognozēšanas un uzraudzības sistēmas attīstība””” (turpmāk – MK noteikumu projekts) ir izstrādāts </w:t>
            </w:r>
            <w:r w:rsidRPr="00D80CEB">
              <w:rPr>
                <w:rFonts w:ascii="Times New Roman" w:eastAsia="PMingLiU" w:hAnsi="Times New Roman" w:cs="Times New Roman"/>
                <w:color w:val="000000"/>
                <w:sz w:val="24"/>
                <w:szCs w:val="24"/>
                <w:lang w:eastAsia="zh-TW"/>
              </w:rPr>
              <w:t>atbilstoši Labklājības ministrijas rosinātajiem g</w:t>
            </w:r>
            <w:r w:rsidR="00712900">
              <w:rPr>
                <w:rFonts w:ascii="Times New Roman" w:eastAsia="PMingLiU" w:hAnsi="Times New Roman" w:cs="Times New Roman"/>
                <w:color w:val="000000"/>
                <w:sz w:val="24"/>
                <w:szCs w:val="24"/>
                <w:lang w:eastAsia="zh-TW"/>
              </w:rPr>
              <w:t>rozījumiem darbības programmas „</w:t>
            </w:r>
            <w:r w:rsidRPr="00D80CEB">
              <w:rPr>
                <w:rFonts w:ascii="Times New Roman" w:eastAsia="PMingLiU" w:hAnsi="Times New Roman" w:cs="Times New Roman"/>
                <w:color w:val="000000"/>
                <w:sz w:val="24"/>
                <w:szCs w:val="24"/>
                <w:lang w:eastAsia="zh-TW"/>
              </w:rPr>
              <w:t>Cilvēkresursi un nodarbinātība” papildinājumā.</w:t>
            </w:r>
          </w:p>
        </w:tc>
      </w:tr>
      <w:tr w:rsidR="00CC1A56" w:rsidRPr="00DD49B6" w:rsidTr="001E645F">
        <w:trPr>
          <w:trHeight w:val="472"/>
        </w:trPr>
        <w:tc>
          <w:tcPr>
            <w:tcW w:w="227" w:type="pct"/>
          </w:tcPr>
          <w:p w:rsidR="00CC1A56" w:rsidRPr="00DD49B6" w:rsidRDefault="00CC1A56" w:rsidP="007D385B">
            <w:pPr>
              <w:pStyle w:val="naiskr"/>
              <w:spacing w:before="0" w:beforeAutospacing="0" w:after="0" w:afterAutospacing="0"/>
              <w:ind w:left="57" w:right="57"/>
              <w:jc w:val="center"/>
            </w:pPr>
            <w:r w:rsidRPr="00DD49B6">
              <w:t>2.</w:t>
            </w:r>
          </w:p>
        </w:tc>
        <w:tc>
          <w:tcPr>
            <w:tcW w:w="1566" w:type="pct"/>
          </w:tcPr>
          <w:p w:rsidR="00CC1A56" w:rsidRPr="00DD49B6" w:rsidRDefault="00CC1A56" w:rsidP="007D385B">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tc>
        <w:tc>
          <w:tcPr>
            <w:tcW w:w="3207" w:type="pct"/>
          </w:tcPr>
          <w:p w:rsidR="00D80CEB" w:rsidRPr="00D80CEB" w:rsidRDefault="00D168D6" w:rsidP="00D168D6">
            <w:pPr>
              <w:spacing w:after="0" w:line="240" w:lineRule="auto"/>
              <w:ind w:left="142" w:right="141" w:hanging="142"/>
              <w:jc w:val="both"/>
              <w:rPr>
                <w:rFonts w:ascii="Times New Roman" w:eastAsia="PMingLiU" w:hAnsi="Times New Roman" w:cs="Times New Roman"/>
                <w:color w:val="000000"/>
                <w:sz w:val="24"/>
                <w:szCs w:val="24"/>
                <w:lang w:eastAsia="zh-TW"/>
              </w:rPr>
            </w:pPr>
            <w:r>
              <w:rPr>
                <w:rFonts w:ascii="Times New Roman" w:eastAsia="PMingLiU" w:hAnsi="Times New Roman" w:cs="Times New Roman"/>
                <w:color w:val="000000"/>
                <w:sz w:val="24"/>
                <w:szCs w:val="24"/>
                <w:lang w:eastAsia="zh-TW"/>
              </w:rPr>
              <w:t xml:space="preserve">  </w:t>
            </w:r>
            <w:r w:rsidR="00D80CEB" w:rsidRPr="00D80CEB">
              <w:rPr>
                <w:rFonts w:ascii="Times New Roman" w:eastAsia="PMingLiU" w:hAnsi="Times New Roman" w:cs="Times New Roman"/>
                <w:color w:val="000000"/>
                <w:sz w:val="24"/>
                <w:szCs w:val="24"/>
                <w:lang w:eastAsia="zh-TW"/>
              </w:rPr>
              <w:t>Šobrīd MK 2009.gada 25.augusta noteikumos Nr.949 „Noteikumi par darbības programmas „Cilvēkresursi un nodarbinātība” papildinājuma</w:t>
            </w:r>
            <w:r w:rsidR="00D80CEB">
              <w:rPr>
                <w:rFonts w:ascii="Times New Roman" w:eastAsia="PMingLiU" w:hAnsi="Times New Roman" w:cs="Times New Roman"/>
                <w:color w:val="000000"/>
                <w:sz w:val="24"/>
                <w:szCs w:val="24"/>
                <w:lang w:eastAsia="zh-TW"/>
              </w:rPr>
              <w:t xml:space="preserve"> </w:t>
            </w:r>
            <w:r w:rsidR="00D80CEB" w:rsidRPr="00D80CEB">
              <w:rPr>
                <w:rFonts w:ascii="Times New Roman" w:eastAsia="PMingLiU" w:hAnsi="Times New Roman" w:cs="Times New Roman"/>
                <w:color w:val="000000"/>
                <w:sz w:val="24"/>
                <w:szCs w:val="24"/>
                <w:lang w:eastAsia="zh-TW"/>
              </w:rPr>
              <w:t xml:space="preserve">1.3.1.7.aktivitāti „Darba tirgus pieprasījuma īstermiņa un ilgtermiņa prognozēšanas un uzraudzības sistēmas attīstība”””   (turpmāk – MK noteikumi Nr.949) ir noteikts, ka aktivitātes kopējais attiecināmais finansējums ir 1 422 872 </w:t>
            </w:r>
            <w:r w:rsidR="00D80CEB" w:rsidRPr="00D80CEB">
              <w:rPr>
                <w:rFonts w:ascii="Times New Roman" w:eastAsia="PMingLiU" w:hAnsi="Times New Roman" w:cs="Times New Roman"/>
                <w:i/>
                <w:color w:val="000000"/>
                <w:sz w:val="24"/>
                <w:szCs w:val="24"/>
                <w:lang w:eastAsia="zh-TW"/>
              </w:rPr>
              <w:t>euro</w:t>
            </w:r>
            <w:r w:rsidR="00D80CEB" w:rsidRPr="00D80CEB">
              <w:rPr>
                <w:rFonts w:ascii="Times New Roman" w:eastAsia="PMingLiU" w:hAnsi="Times New Roman" w:cs="Times New Roman"/>
                <w:color w:val="000000"/>
                <w:sz w:val="24"/>
                <w:szCs w:val="24"/>
                <w:lang w:eastAsia="zh-TW"/>
              </w:rPr>
              <w:t xml:space="preserve"> un apakšaktivitātes ietvaros </w:t>
            </w:r>
            <w:r w:rsidR="004332B9" w:rsidRPr="00D80CEB">
              <w:rPr>
                <w:rFonts w:ascii="Times New Roman" w:eastAsia="PMingLiU" w:hAnsi="Times New Roman" w:cs="Times New Roman"/>
                <w:color w:val="000000"/>
                <w:sz w:val="24"/>
                <w:szCs w:val="24"/>
                <w:lang w:eastAsia="zh-TW"/>
              </w:rPr>
              <w:t>Ekonomikas ministrija (līdz 2013.gada 31.decembrim) un Nodarbinātības valsts aģentūra (līdz 2014.gada 30.jūnijam)</w:t>
            </w:r>
            <w:r w:rsidR="004332B9">
              <w:rPr>
                <w:rFonts w:ascii="Times New Roman" w:eastAsia="PMingLiU" w:hAnsi="Times New Roman" w:cs="Times New Roman"/>
                <w:color w:val="000000"/>
                <w:sz w:val="24"/>
                <w:szCs w:val="24"/>
                <w:lang w:eastAsia="zh-TW"/>
              </w:rPr>
              <w:t xml:space="preserve"> īsteno 2 projektus</w:t>
            </w:r>
            <w:r w:rsidR="00D80CEB" w:rsidRPr="00D80CEB">
              <w:rPr>
                <w:rFonts w:ascii="Times New Roman" w:eastAsia="PMingLiU" w:hAnsi="Times New Roman" w:cs="Times New Roman"/>
                <w:color w:val="000000"/>
                <w:sz w:val="24"/>
                <w:szCs w:val="24"/>
                <w:lang w:eastAsia="zh-TW"/>
              </w:rPr>
              <w:t xml:space="preserve">. </w:t>
            </w:r>
          </w:p>
          <w:p w:rsidR="00D80CEB" w:rsidRDefault="00D168D6" w:rsidP="00D168D6">
            <w:pPr>
              <w:spacing w:after="0" w:line="240" w:lineRule="auto"/>
              <w:ind w:left="142" w:right="141" w:hanging="142"/>
              <w:jc w:val="both"/>
              <w:rPr>
                <w:rFonts w:ascii="Times New Roman" w:hAnsi="Times New Roman" w:cs="Times New Roman"/>
                <w:sz w:val="24"/>
                <w:szCs w:val="24"/>
              </w:rPr>
            </w:pPr>
            <w:r>
              <w:rPr>
                <w:rFonts w:ascii="Times New Roman" w:eastAsia="PMingLiU" w:hAnsi="Times New Roman" w:cs="Times New Roman"/>
                <w:color w:val="000000"/>
                <w:sz w:val="24"/>
                <w:szCs w:val="24"/>
                <w:lang w:eastAsia="zh-TW"/>
              </w:rPr>
              <w:t xml:space="preserve">  </w:t>
            </w:r>
            <w:r w:rsidR="00D80CEB" w:rsidRPr="00D80CEB">
              <w:rPr>
                <w:rFonts w:ascii="Times New Roman" w:eastAsia="PMingLiU" w:hAnsi="Times New Roman" w:cs="Times New Roman"/>
                <w:color w:val="000000"/>
                <w:sz w:val="24"/>
                <w:szCs w:val="24"/>
                <w:lang w:eastAsia="zh-TW"/>
              </w:rPr>
              <w:t xml:space="preserve">Abu projektu īstenošanas rezultātā aktivitātē ir izveidojies finanšu līdzekļu ietaupījums 191 816 </w:t>
            </w:r>
            <w:r w:rsidR="00D80CEB" w:rsidRPr="00D80CEB">
              <w:rPr>
                <w:rFonts w:ascii="Times New Roman" w:eastAsia="PMingLiU" w:hAnsi="Times New Roman" w:cs="Times New Roman"/>
                <w:i/>
                <w:color w:val="000000"/>
                <w:sz w:val="24"/>
                <w:szCs w:val="24"/>
                <w:lang w:eastAsia="zh-TW"/>
              </w:rPr>
              <w:t>euro</w:t>
            </w:r>
            <w:r w:rsidR="00D80CEB" w:rsidRPr="00D80CEB">
              <w:rPr>
                <w:rFonts w:ascii="Times New Roman" w:eastAsia="PMingLiU" w:hAnsi="Times New Roman" w:cs="Times New Roman"/>
                <w:color w:val="000000"/>
                <w:sz w:val="24"/>
                <w:szCs w:val="24"/>
                <w:lang w:eastAsia="zh-TW"/>
              </w:rPr>
              <w:t xml:space="preserve"> apmērā, kuru nepieciešams pārdalīt Labklājības ministrijas pārziņā esoš</w:t>
            </w:r>
            <w:r w:rsidR="00D80CEB">
              <w:rPr>
                <w:rFonts w:ascii="Times New Roman" w:eastAsia="PMingLiU" w:hAnsi="Times New Roman" w:cs="Times New Roman"/>
                <w:color w:val="000000"/>
                <w:sz w:val="24"/>
                <w:szCs w:val="24"/>
                <w:lang w:eastAsia="zh-TW"/>
              </w:rPr>
              <w:t>ās</w:t>
            </w:r>
            <w:r w:rsidR="00D80CEB" w:rsidRPr="00D80CEB">
              <w:rPr>
                <w:rFonts w:ascii="Times New Roman" w:eastAsia="PMingLiU" w:hAnsi="Times New Roman" w:cs="Times New Roman"/>
                <w:color w:val="000000"/>
                <w:sz w:val="24"/>
                <w:szCs w:val="24"/>
                <w:lang w:eastAsia="zh-TW"/>
              </w:rPr>
              <w:t xml:space="preserve"> darbības programmas „Cilvēkresursi un nodarbinātība” papildinājuma 1.3.1.</w:t>
            </w:r>
            <w:r w:rsidR="00D80CEB">
              <w:rPr>
                <w:rFonts w:ascii="Times New Roman" w:eastAsia="PMingLiU" w:hAnsi="Times New Roman" w:cs="Times New Roman"/>
                <w:color w:val="000000"/>
                <w:sz w:val="24"/>
                <w:szCs w:val="24"/>
                <w:lang w:eastAsia="zh-TW"/>
              </w:rPr>
              <w:t>5</w:t>
            </w:r>
            <w:r w:rsidR="00D80CEB" w:rsidRPr="00D80CEB">
              <w:rPr>
                <w:rFonts w:ascii="Times New Roman" w:eastAsia="PMingLiU" w:hAnsi="Times New Roman" w:cs="Times New Roman"/>
                <w:color w:val="000000"/>
                <w:sz w:val="24"/>
                <w:szCs w:val="24"/>
                <w:lang w:eastAsia="zh-TW"/>
              </w:rPr>
              <w:t>.</w:t>
            </w:r>
            <w:r w:rsidR="00D80CEB">
              <w:rPr>
                <w:rFonts w:ascii="Times New Roman" w:eastAsia="PMingLiU" w:hAnsi="Times New Roman" w:cs="Times New Roman"/>
                <w:color w:val="000000"/>
                <w:sz w:val="24"/>
                <w:szCs w:val="24"/>
                <w:lang w:eastAsia="zh-TW"/>
              </w:rPr>
              <w:t xml:space="preserve"> aktivitātes „</w:t>
            </w:r>
            <w:r w:rsidR="00D80CEB" w:rsidRPr="00D80CEB">
              <w:rPr>
                <w:rFonts w:ascii="Times New Roman" w:hAnsi="Times New Roman" w:cs="Times New Roman"/>
                <w:sz w:val="24"/>
                <w:szCs w:val="24"/>
              </w:rPr>
              <w:t>Vietējo nodarbinātības veicināšanas pasākumu plānu ieviešanas atbalsts</w:t>
            </w:r>
            <w:r w:rsidR="00D80CEB">
              <w:rPr>
                <w:rFonts w:ascii="Times New Roman" w:hAnsi="Times New Roman" w:cs="Times New Roman"/>
                <w:sz w:val="24"/>
                <w:szCs w:val="24"/>
              </w:rPr>
              <w:t xml:space="preserve">” </w:t>
            </w:r>
            <w:r w:rsidR="006C1E3E">
              <w:rPr>
                <w:rFonts w:ascii="Times New Roman" w:hAnsi="Times New Roman" w:cs="Times New Roman"/>
                <w:sz w:val="24"/>
                <w:szCs w:val="24"/>
              </w:rPr>
              <w:t xml:space="preserve">(turpmāk – 1.3.1.5.aktivitāte) </w:t>
            </w:r>
            <w:r w:rsidR="00D80CEB">
              <w:rPr>
                <w:rFonts w:ascii="Times New Roman" w:hAnsi="Times New Roman" w:cs="Times New Roman"/>
                <w:sz w:val="24"/>
                <w:szCs w:val="24"/>
              </w:rPr>
              <w:t>otrās kārtas</w:t>
            </w:r>
            <w:r w:rsidR="006C1E3E">
              <w:rPr>
                <w:rFonts w:ascii="Times New Roman" w:hAnsi="Times New Roman" w:cs="Times New Roman"/>
                <w:sz w:val="24"/>
                <w:szCs w:val="24"/>
              </w:rPr>
              <w:t xml:space="preserve"> </w:t>
            </w:r>
            <w:r w:rsidR="00D80CEB">
              <w:rPr>
                <w:rFonts w:ascii="Times New Roman" w:hAnsi="Times New Roman" w:cs="Times New Roman"/>
                <w:sz w:val="24"/>
                <w:szCs w:val="24"/>
              </w:rPr>
              <w:t>īstenošanas nodrošināšanai.</w:t>
            </w:r>
            <w:r w:rsidR="00CB365D">
              <w:rPr>
                <w:rFonts w:ascii="Times New Roman" w:hAnsi="Times New Roman" w:cs="Times New Roman"/>
                <w:sz w:val="24"/>
                <w:szCs w:val="24"/>
              </w:rPr>
              <w:t xml:space="preserve"> </w:t>
            </w:r>
          </w:p>
          <w:p w:rsidR="00290E9E" w:rsidRDefault="00290E9E" w:rsidP="002E295B">
            <w:pPr>
              <w:spacing w:after="0" w:line="240" w:lineRule="auto"/>
              <w:ind w:left="142" w:right="141"/>
              <w:jc w:val="both"/>
              <w:rPr>
                <w:rFonts w:ascii="Times New Roman" w:hAnsi="Times New Roman" w:cs="Times New Roman"/>
                <w:sz w:val="24"/>
                <w:szCs w:val="24"/>
              </w:rPr>
            </w:pPr>
            <w:r>
              <w:rPr>
                <w:rFonts w:ascii="Times New Roman" w:hAnsi="Times New Roman" w:cs="Times New Roman"/>
                <w:sz w:val="24"/>
                <w:szCs w:val="24"/>
              </w:rPr>
              <w:t xml:space="preserve">Finanšu līdzekļu ietaupījums veidojies no tā, ka </w:t>
            </w:r>
            <w:r w:rsidR="002E295B">
              <w:rPr>
                <w:rFonts w:ascii="Times New Roman" w:hAnsi="Times New Roman" w:cs="Times New Roman"/>
                <w:sz w:val="24"/>
                <w:szCs w:val="24"/>
              </w:rPr>
              <w:t>Ekonomikas ministrijas projektā netika īstenota aktivitāte „</w:t>
            </w:r>
            <w:r w:rsidR="002E295B" w:rsidRPr="002E295B">
              <w:rPr>
                <w:rFonts w:ascii="Times New Roman" w:hAnsi="Times New Roman" w:cs="Times New Roman"/>
                <w:sz w:val="24"/>
                <w:szCs w:val="24"/>
              </w:rPr>
              <w:t>Powersim Studio datorprogrammas licenču iegāde</w:t>
            </w:r>
            <w:r w:rsidR="002E295B">
              <w:rPr>
                <w:rFonts w:ascii="Times New Roman" w:hAnsi="Times New Roman" w:cs="Times New Roman"/>
                <w:sz w:val="24"/>
                <w:szCs w:val="24"/>
              </w:rPr>
              <w:t>” un nebija nepieciešams izmantot projekta neparedzētās izmaksas, savukārt Nodarbinātības valsts aģentūras projektā vairāku noslēgto līgumu summas ir mazākas nekā sākotnēji tika plānotas.</w:t>
            </w:r>
          </w:p>
          <w:p w:rsidR="00CB365D" w:rsidRPr="00D80CEB" w:rsidRDefault="00D168D6" w:rsidP="00D168D6">
            <w:pPr>
              <w:spacing w:after="0" w:line="240" w:lineRule="auto"/>
              <w:ind w:left="142" w:right="141" w:hanging="142"/>
              <w:jc w:val="both"/>
              <w:rPr>
                <w:rFonts w:ascii="Times New Roman" w:eastAsia="PMingLiU" w:hAnsi="Times New Roman" w:cs="Times New Roman"/>
                <w:color w:val="000000"/>
                <w:sz w:val="24"/>
                <w:szCs w:val="24"/>
                <w:lang w:eastAsia="zh-TW"/>
              </w:rPr>
            </w:pPr>
            <w:r>
              <w:rPr>
                <w:rFonts w:ascii="Times New Roman" w:eastAsia="PMingLiU" w:hAnsi="Times New Roman" w:cs="Times New Roman"/>
                <w:color w:val="000000"/>
                <w:sz w:val="24"/>
                <w:szCs w:val="24"/>
                <w:lang w:eastAsia="zh-TW"/>
              </w:rPr>
              <w:t xml:space="preserve">  </w:t>
            </w:r>
            <w:r w:rsidR="00CB365D">
              <w:rPr>
                <w:rFonts w:ascii="Times New Roman" w:eastAsia="PMingLiU" w:hAnsi="Times New Roman" w:cs="Times New Roman"/>
                <w:color w:val="000000"/>
                <w:sz w:val="24"/>
                <w:szCs w:val="24"/>
                <w:lang w:eastAsia="zh-TW"/>
              </w:rPr>
              <w:t xml:space="preserve">Finanšu līdzekļu ietaupījumu nepieciešams pārdalīt 1.3.1.5.aktivitātes otrajai kārtai, lai nodrošinātu </w:t>
            </w:r>
            <w:r w:rsidRPr="00AE0098">
              <w:rPr>
                <w:rFonts w:ascii="Times New Roman" w:hAnsi="Times New Roman"/>
                <w:sz w:val="24"/>
                <w:szCs w:val="24"/>
              </w:rPr>
              <w:t>2013.gada 6.augusta MK sēdes protokollēmum</w:t>
            </w:r>
            <w:r>
              <w:rPr>
                <w:rFonts w:ascii="Times New Roman" w:hAnsi="Times New Roman"/>
                <w:sz w:val="24"/>
                <w:szCs w:val="24"/>
              </w:rPr>
              <w:t>a</w:t>
            </w:r>
            <w:r w:rsidRPr="00AE0098">
              <w:rPr>
                <w:rFonts w:ascii="Times New Roman" w:hAnsi="Times New Roman"/>
                <w:sz w:val="24"/>
                <w:szCs w:val="24"/>
              </w:rPr>
              <w:t xml:space="preserve"> Nr.42 84.§ „Informatīvais ziņojums „Par Eiropas Savienības fondu 2007.-2013.gada un 2014.-2020.gada plānošanas perioda pārejas posmā papildu nepieciešamo finansējumu </w:t>
            </w:r>
            <w:r w:rsidRPr="00B96688">
              <w:rPr>
                <w:rFonts w:ascii="Times New Roman" w:hAnsi="Times New Roman"/>
                <w:sz w:val="24"/>
                <w:szCs w:val="24"/>
              </w:rPr>
              <w:t xml:space="preserve">aktīvo nodarbinātības pasākumu nepārtrauktai nodrošināšanai”” un 2013.gada 20.augusta MK sēdes protokollēmuma Nr.45 </w:t>
            </w:r>
            <w:r w:rsidRPr="00B96688">
              <w:rPr>
                <w:rFonts w:ascii="Times New Roman" w:hAnsi="Times New Roman"/>
                <w:sz w:val="24"/>
                <w:szCs w:val="24"/>
              </w:rPr>
              <w:lastRenderedPageBreak/>
              <w:t>97.§ „Informatīvais ziņojums „Par Eiropas Savienības struktūrfondu un Kohēzijas fonda, Eiropas Ekonomikas zonas finanšu instrumenta, Norvēģijas finanšu instrumenta un Latvijas un Šveices sadarbības programmas apguvi līdz 2013.ga</w:t>
            </w:r>
            <w:r>
              <w:rPr>
                <w:rFonts w:ascii="Times New Roman" w:hAnsi="Times New Roman"/>
                <w:sz w:val="24"/>
                <w:szCs w:val="24"/>
              </w:rPr>
              <w:t>da 30.jūnijam”” 10.3.apakšpunkta izpildi, kas</w:t>
            </w:r>
            <w:r w:rsidRPr="00B96688">
              <w:rPr>
                <w:rFonts w:ascii="Times New Roman" w:hAnsi="Times New Roman"/>
                <w:sz w:val="24"/>
                <w:szCs w:val="24"/>
              </w:rPr>
              <w:t xml:space="preserve"> konceptuāli </w:t>
            </w:r>
            <w:r>
              <w:rPr>
                <w:rFonts w:ascii="Times New Roman" w:hAnsi="Times New Roman"/>
                <w:sz w:val="24"/>
                <w:szCs w:val="24"/>
              </w:rPr>
              <w:t>atbalsta</w:t>
            </w:r>
            <w:r w:rsidRPr="00B96688">
              <w:rPr>
                <w:rFonts w:ascii="Times New Roman" w:hAnsi="Times New Roman"/>
                <w:sz w:val="24"/>
                <w:szCs w:val="24"/>
              </w:rPr>
              <w:t xml:space="preserve"> finansējuma piešķīrum</w:t>
            </w:r>
            <w:r>
              <w:rPr>
                <w:rFonts w:ascii="Times New Roman" w:hAnsi="Times New Roman"/>
                <w:sz w:val="24"/>
                <w:szCs w:val="24"/>
              </w:rPr>
              <w:t xml:space="preserve">u </w:t>
            </w:r>
            <w:r w:rsidRPr="00B96688">
              <w:rPr>
                <w:rFonts w:ascii="Times New Roman" w:hAnsi="Times New Roman"/>
                <w:sz w:val="24"/>
                <w:szCs w:val="24"/>
              </w:rPr>
              <w:t>11 128 385 EUR apmērā Labklājības ministrijas pārziņā esošo aktīvo nodarbinātības un preventīvo bezdarba samazināšanas pasākumu īstenošanai</w:t>
            </w:r>
            <w:r>
              <w:rPr>
                <w:rFonts w:ascii="Times New Roman" w:hAnsi="Times New Roman"/>
                <w:sz w:val="24"/>
                <w:szCs w:val="24"/>
              </w:rPr>
              <w:t>.</w:t>
            </w:r>
            <w:r w:rsidR="00712900">
              <w:rPr>
                <w:rFonts w:ascii="Times New Roman" w:hAnsi="Times New Roman"/>
                <w:sz w:val="24"/>
                <w:szCs w:val="24"/>
              </w:rPr>
              <w:t xml:space="preserve"> Ņemot vērā, ka papildu finansējums </w:t>
            </w:r>
            <w:r w:rsidR="00712900" w:rsidRPr="00B96688">
              <w:rPr>
                <w:rFonts w:ascii="Times New Roman" w:hAnsi="Times New Roman"/>
                <w:sz w:val="24"/>
                <w:szCs w:val="24"/>
              </w:rPr>
              <w:t xml:space="preserve"> nodarbinātības un preventīvo bezdarba samazināšanas pasākumu īstenošanai</w:t>
            </w:r>
            <w:r w:rsidR="00712900">
              <w:rPr>
                <w:rFonts w:ascii="Times New Roman" w:hAnsi="Times New Roman"/>
                <w:sz w:val="24"/>
                <w:szCs w:val="24"/>
              </w:rPr>
              <w:t xml:space="preserve">, t.sk., 1.3.1.5.aktivitātes otrās kārtas īstenošanai, tika nodrošināts mazākā apmērā kā MK protokollēmumos konceptuāli atbalstītais papildu finansējums un </w:t>
            </w:r>
            <w:r w:rsidR="005C0335" w:rsidRPr="00B96688">
              <w:rPr>
                <w:rFonts w:ascii="Times New Roman" w:hAnsi="Times New Roman"/>
                <w:sz w:val="24"/>
                <w:szCs w:val="24"/>
              </w:rPr>
              <w:t xml:space="preserve">atbilstoši finansējuma saņēmēja sniegtai informācijai, </w:t>
            </w:r>
            <w:r w:rsidR="005C0335">
              <w:rPr>
                <w:rFonts w:ascii="Times New Roman" w:hAnsi="Times New Roman"/>
                <w:sz w:val="24"/>
                <w:szCs w:val="24"/>
              </w:rPr>
              <w:t xml:space="preserve">ka, </w:t>
            </w:r>
            <w:r w:rsidR="005C0335" w:rsidRPr="00B96688">
              <w:rPr>
                <w:rFonts w:ascii="Times New Roman" w:hAnsi="Times New Roman"/>
                <w:sz w:val="24"/>
                <w:szCs w:val="24"/>
              </w:rPr>
              <w:t>lai nodrošinātu algoto pagaidu sabiedrisko darbu īstenošanai 2014.gadā</w:t>
            </w:r>
            <w:r w:rsidR="005C0335">
              <w:rPr>
                <w:rFonts w:ascii="Times New Roman" w:hAnsi="Times New Roman"/>
                <w:sz w:val="24"/>
                <w:szCs w:val="24"/>
              </w:rPr>
              <w:t>,</w:t>
            </w:r>
            <w:r w:rsidR="005C0335" w:rsidRPr="00B96688">
              <w:rPr>
                <w:rFonts w:ascii="Times New Roman" w:hAnsi="Times New Roman"/>
                <w:sz w:val="24"/>
                <w:szCs w:val="24"/>
              </w:rPr>
              <w:t xml:space="preserve"> vēl nepieciešams finansējums 1 970 182 EUR apmērā, lai iesaistīt</w:t>
            </w:r>
            <w:r w:rsidR="005C0335">
              <w:rPr>
                <w:rFonts w:ascii="Times New Roman" w:hAnsi="Times New Roman"/>
                <w:sz w:val="24"/>
                <w:szCs w:val="24"/>
              </w:rPr>
              <w:t>u</w:t>
            </w:r>
            <w:r w:rsidR="005C0335" w:rsidRPr="00B96688">
              <w:rPr>
                <w:rFonts w:ascii="Times New Roman" w:hAnsi="Times New Roman"/>
                <w:sz w:val="24"/>
                <w:szCs w:val="24"/>
              </w:rPr>
              <w:t xml:space="preserve"> projektā 21 285 bezdarbniekus, kas </w:t>
            </w:r>
            <w:r w:rsidR="005C0335">
              <w:rPr>
                <w:rFonts w:ascii="Times New Roman" w:hAnsi="Times New Roman"/>
                <w:sz w:val="24"/>
                <w:szCs w:val="24"/>
              </w:rPr>
              <w:t>i</w:t>
            </w:r>
            <w:r w:rsidR="005C0335" w:rsidRPr="00B96688">
              <w:rPr>
                <w:rFonts w:ascii="Times New Roman" w:hAnsi="Times New Roman"/>
                <w:sz w:val="24"/>
                <w:szCs w:val="24"/>
              </w:rPr>
              <w:t>zteikuši vēlmi piedalīties minētajā projektā</w:t>
            </w:r>
            <w:r w:rsidR="005C0335">
              <w:rPr>
                <w:rFonts w:ascii="Times New Roman" w:hAnsi="Times New Roman"/>
                <w:sz w:val="24"/>
                <w:szCs w:val="24"/>
              </w:rPr>
              <w:t xml:space="preserve">, finanšu līdzekļu ietaupījums 1.3.1.7.aktivitātes ietvaros tiek pārdalīts 1.3.1.5.aktivitātes otrās kārtas īstenošanai, lai </w:t>
            </w:r>
            <w:r w:rsidR="004332B9">
              <w:rPr>
                <w:rFonts w:ascii="Times New Roman" w:hAnsi="Times New Roman"/>
                <w:sz w:val="24"/>
                <w:szCs w:val="24"/>
              </w:rPr>
              <w:t xml:space="preserve">daļēji </w:t>
            </w:r>
            <w:r w:rsidR="005C0335">
              <w:rPr>
                <w:rFonts w:ascii="Times New Roman" w:hAnsi="Times New Roman"/>
                <w:sz w:val="24"/>
                <w:szCs w:val="24"/>
              </w:rPr>
              <w:t>segtu iztrūkstošo finansējumu algoto pagaidu sabiedrisko darbu īstenošanai 2014.gadā.</w:t>
            </w:r>
          </w:p>
          <w:p w:rsidR="00CC1A56" w:rsidRPr="00D80CEB" w:rsidRDefault="00D168D6" w:rsidP="00D168D6">
            <w:pPr>
              <w:spacing w:after="0" w:line="240" w:lineRule="auto"/>
              <w:ind w:left="142" w:right="141" w:hanging="142"/>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  </w:t>
            </w:r>
            <w:r w:rsidR="003B0FBE" w:rsidRPr="00064954">
              <w:rPr>
                <w:rFonts w:ascii="Times New Roman" w:hAnsi="Times New Roman" w:cs="Times New Roman"/>
                <w:sz w:val="24"/>
                <w:szCs w:val="24"/>
              </w:rPr>
              <w:t>Ņemot vērā iepriekš minēto, nepieciešams veikt grozījumus</w:t>
            </w:r>
            <w:r w:rsidR="00D80CEB">
              <w:rPr>
                <w:rFonts w:ascii="Times New Roman" w:hAnsi="Times New Roman" w:cs="Times New Roman"/>
                <w:sz w:val="24"/>
                <w:szCs w:val="24"/>
              </w:rPr>
              <w:t xml:space="preserve"> MK noteikumos Nr.949</w:t>
            </w:r>
            <w:r w:rsidR="00064954" w:rsidRPr="00064954">
              <w:rPr>
                <w:rFonts w:ascii="Times New Roman" w:hAnsi="Times New Roman" w:cs="Times New Roman"/>
                <w:sz w:val="24"/>
                <w:szCs w:val="24"/>
              </w:rPr>
              <w:t xml:space="preserve">, </w:t>
            </w:r>
            <w:r w:rsidR="00D80CEB">
              <w:rPr>
                <w:rFonts w:ascii="Times New Roman" w:hAnsi="Times New Roman" w:cs="Times New Roman"/>
                <w:sz w:val="24"/>
                <w:szCs w:val="24"/>
              </w:rPr>
              <w:t xml:space="preserve">samazinot </w:t>
            </w:r>
            <w:r w:rsidR="00D80CEB">
              <w:rPr>
                <w:rFonts w:ascii="Times New Roman" w:eastAsia="PMingLiU" w:hAnsi="Times New Roman" w:cs="Times New Roman"/>
                <w:color w:val="000000"/>
                <w:sz w:val="24"/>
                <w:szCs w:val="24"/>
                <w:lang w:eastAsia="zh-TW"/>
              </w:rPr>
              <w:t>1.3.1.7.aktivitātes</w:t>
            </w:r>
            <w:r w:rsidR="00D80CEB" w:rsidRPr="00D80CEB">
              <w:rPr>
                <w:rFonts w:ascii="Times New Roman" w:eastAsia="PMingLiU" w:hAnsi="Times New Roman" w:cs="Times New Roman"/>
                <w:color w:val="000000"/>
                <w:sz w:val="24"/>
                <w:szCs w:val="24"/>
                <w:lang w:eastAsia="zh-TW"/>
              </w:rPr>
              <w:t xml:space="preserve"> „Darba tirgus pieprasījuma īstermiņa un ilgtermiņa prognozēšanas un u</w:t>
            </w:r>
            <w:r w:rsidR="00D80CEB">
              <w:rPr>
                <w:rFonts w:ascii="Times New Roman" w:eastAsia="PMingLiU" w:hAnsi="Times New Roman" w:cs="Times New Roman"/>
                <w:color w:val="000000"/>
                <w:sz w:val="24"/>
                <w:szCs w:val="24"/>
                <w:lang w:eastAsia="zh-TW"/>
              </w:rPr>
              <w:t>zraudzības sistēmas attīstība””</w:t>
            </w:r>
            <w:r w:rsidR="006C1E3E">
              <w:rPr>
                <w:rFonts w:ascii="Times New Roman" w:eastAsia="PMingLiU" w:hAnsi="Times New Roman" w:cs="Times New Roman"/>
                <w:color w:val="000000"/>
                <w:sz w:val="24"/>
                <w:szCs w:val="24"/>
                <w:lang w:eastAsia="zh-TW"/>
              </w:rPr>
              <w:t xml:space="preserve"> (turpmāk – 1.3.1.7.aktivitāte) </w:t>
            </w:r>
            <w:r w:rsidR="00D80CEB">
              <w:rPr>
                <w:rFonts w:ascii="Times New Roman" w:eastAsia="PMingLiU" w:hAnsi="Times New Roman" w:cs="Times New Roman"/>
                <w:color w:val="000000"/>
                <w:sz w:val="24"/>
                <w:szCs w:val="24"/>
                <w:lang w:eastAsia="zh-TW"/>
              </w:rPr>
              <w:t xml:space="preserve"> kopējo attiecināmo finansējumu par </w:t>
            </w:r>
            <w:r w:rsidR="00D80CEB" w:rsidRPr="00D80CEB">
              <w:rPr>
                <w:rFonts w:ascii="Times New Roman" w:eastAsia="PMingLiU" w:hAnsi="Times New Roman" w:cs="Times New Roman"/>
                <w:color w:val="000000"/>
                <w:sz w:val="24"/>
                <w:szCs w:val="24"/>
                <w:lang w:eastAsia="zh-TW"/>
              </w:rPr>
              <w:t xml:space="preserve">191 816 </w:t>
            </w:r>
            <w:r w:rsidR="00D80CEB" w:rsidRPr="00D80CEB">
              <w:rPr>
                <w:rFonts w:ascii="Times New Roman" w:eastAsia="PMingLiU" w:hAnsi="Times New Roman" w:cs="Times New Roman"/>
                <w:i/>
                <w:color w:val="000000"/>
                <w:sz w:val="24"/>
                <w:szCs w:val="24"/>
                <w:lang w:eastAsia="zh-TW"/>
              </w:rPr>
              <w:t>euro</w:t>
            </w:r>
            <w:r>
              <w:rPr>
                <w:rFonts w:ascii="Times New Roman" w:eastAsia="PMingLiU" w:hAnsi="Times New Roman" w:cs="Times New Roman"/>
                <w:color w:val="000000"/>
                <w:sz w:val="24"/>
                <w:szCs w:val="24"/>
                <w:lang w:eastAsia="zh-TW"/>
              </w:rPr>
              <w:t>, kā arī samazinot 1.3.1.7.aktitvitātes ietvaros īstenojamo projektu maksimālās attiecināmo izmaksu kopsummas.</w:t>
            </w:r>
          </w:p>
        </w:tc>
      </w:tr>
      <w:tr w:rsidR="00CC1A56" w:rsidRPr="00DD49B6" w:rsidTr="001E645F">
        <w:trPr>
          <w:trHeight w:val="476"/>
        </w:trPr>
        <w:tc>
          <w:tcPr>
            <w:tcW w:w="227" w:type="pct"/>
          </w:tcPr>
          <w:p w:rsidR="00CC1A56" w:rsidRPr="00DD49B6" w:rsidRDefault="00CC1A56" w:rsidP="007D385B">
            <w:pPr>
              <w:pStyle w:val="naiskr"/>
              <w:spacing w:before="0" w:beforeAutospacing="0" w:after="0" w:afterAutospacing="0"/>
              <w:ind w:left="57" w:right="57"/>
              <w:jc w:val="center"/>
            </w:pPr>
            <w:r w:rsidRPr="00DD49B6">
              <w:lastRenderedPageBreak/>
              <w:t>3.</w:t>
            </w:r>
          </w:p>
        </w:tc>
        <w:tc>
          <w:tcPr>
            <w:tcW w:w="1566" w:type="pct"/>
          </w:tcPr>
          <w:p w:rsidR="00CC1A56" w:rsidRPr="00DD49B6" w:rsidRDefault="00CC1A56" w:rsidP="007D385B">
            <w:pPr>
              <w:pStyle w:val="naiskr"/>
              <w:spacing w:before="0" w:beforeAutospacing="0" w:after="0" w:afterAutospacing="0"/>
              <w:ind w:left="57" w:right="57"/>
            </w:pPr>
            <w:r w:rsidRPr="00DD49B6">
              <w:t>Projekta izstrādē iesaistītās institūcijas</w:t>
            </w:r>
          </w:p>
        </w:tc>
        <w:tc>
          <w:tcPr>
            <w:tcW w:w="3207" w:type="pct"/>
          </w:tcPr>
          <w:p w:rsidR="00CC1A56" w:rsidRPr="0093520F" w:rsidRDefault="00290E9E" w:rsidP="00BF1BDA">
            <w:pPr>
              <w:spacing w:after="0" w:line="240" w:lineRule="auto"/>
              <w:ind w:left="142" w:right="57"/>
              <w:rPr>
                <w:rFonts w:ascii="Times New Roman" w:hAnsi="Times New Roman" w:cs="Times New Roman"/>
                <w:b/>
                <w:sz w:val="24"/>
                <w:szCs w:val="24"/>
              </w:rPr>
            </w:pPr>
            <w:r>
              <w:rPr>
                <w:rFonts w:ascii="Times New Roman" w:hAnsi="Times New Roman" w:cs="Times New Roman"/>
                <w:sz w:val="24"/>
                <w:szCs w:val="24"/>
              </w:rPr>
              <w:t>MK noteikumu</w:t>
            </w:r>
            <w:r w:rsidR="002A161A" w:rsidRPr="0093520F">
              <w:rPr>
                <w:rFonts w:ascii="Times New Roman" w:hAnsi="Times New Roman" w:cs="Times New Roman"/>
                <w:sz w:val="24"/>
                <w:szCs w:val="24"/>
              </w:rPr>
              <w:t xml:space="preserve"> projekts šo jomu neskar</w:t>
            </w:r>
            <w:r w:rsidR="0093520F" w:rsidRPr="0093520F">
              <w:rPr>
                <w:rFonts w:ascii="Times New Roman" w:hAnsi="Times New Roman" w:cs="Times New Roman"/>
                <w:sz w:val="24"/>
                <w:szCs w:val="24"/>
              </w:rPr>
              <w:t>.</w:t>
            </w:r>
          </w:p>
        </w:tc>
      </w:tr>
      <w:tr w:rsidR="00CC1A56" w:rsidRPr="00DD49B6" w:rsidTr="001E645F">
        <w:tc>
          <w:tcPr>
            <w:tcW w:w="227" w:type="pct"/>
          </w:tcPr>
          <w:p w:rsidR="00CC1A56" w:rsidRPr="00DD49B6" w:rsidRDefault="00CC1A56" w:rsidP="007D385B">
            <w:pPr>
              <w:pStyle w:val="naiskr"/>
              <w:spacing w:before="0" w:beforeAutospacing="0" w:after="0" w:afterAutospacing="0"/>
              <w:ind w:left="57" w:right="57"/>
              <w:jc w:val="center"/>
            </w:pPr>
            <w:r w:rsidRPr="00DD49B6">
              <w:t>4.</w:t>
            </w:r>
          </w:p>
        </w:tc>
        <w:tc>
          <w:tcPr>
            <w:tcW w:w="1566" w:type="pct"/>
          </w:tcPr>
          <w:p w:rsidR="00CC1A56" w:rsidRPr="00DD49B6" w:rsidRDefault="00CC1A56" w:rsidP="007D385B">
            <w:pPr>
              <w:pStyle w:val="naiskr"/>
              <w:spacing w:before="0" w:beforeAutospacing="0" w:after="0" w:afterAutospacing="0"/>
              <w:ind w:left="57" w:right="57"/>
            </w:pPr>
            <w:r w:rsidRPr="00DD49B6">
              <w:t>Cita informācija</w:t>
            </w:r>
          </w:p>
        </w:tc>
        <w:tc>
          <w:tcPr>
            <w:tcW w:w="3207" w:type="pct"/>
          </w:tcPr>
          <w:p w:rsidR="00CC1A56" w:rsidRPr="00D22893" w:rsidRDefault="002A24F8" w:rsidP="00BF1BDA">
            <w:pPr>
              <w:spacing w:after="0" w:line="240" w:lineRule="auto"/>
              <w:ind w:left="142" w:right="141"/>
              <w:jc w:val="both"/>
              <w:rPr>
                <w:rFonts w:ascii="Times New Roman" w:hAnsi="Times New Roman" w:cs="Times New Roman"/>
                <w:sz w:val="24"/>
                <w:szCs w:val="24"/>
              </w:rPr>
            </w:pPr>
            <w:r>
              <w:rPr>
                <w:rFonts w:ascii="Times New Roman" w:hAnsi="Times New Roman" w:cs="Times New Roman"/>
                <w:color w:val="000000"/>
              </w:rPr>
              <w:t>Finansējuma pārdale tiek ierosināta, ņemot vērā 2014.gada 19.februāra Koalīcijas partneru darba grupas Par</w:t>
            </w:r>
            <w:r>
              <w:rPr>
                <w:rFonts w:ascii="Helv" w:hAnsi="Helv" w:cs="Helv"/>
                <w:b/>
                <w:bCs/>
                <w:color w:val="000000"/>
                <w:sz w:val="32"/>
                <w:szCs w:val="32"/>
              </w:rPr>
              <w:t xml:space="preserve"> </w:t>
            </w:r>
            <w:r>
              <w:rPr>
                <w:rFonts w:ascii="Times New Roman" w:hAnsi="Times New Roman" w:cs="Times New Roman"/>
                <w:color w:val="000000"/>
                <w:sz w:val="24"/>
                <w:szCs w:val="24"/>
              </w:rPr>
              <w:t>ES struktūrfondu un Kohēzijas fonda jautājumiem</w:t>
            </w:r>
            <w:r>
              <w:rPr>
                <w:rFonts w:ascii="Times New Roman" w:hAnsi="Times New Roman" w:cs="Times New Roman"/>
                <w:color w:val="000000"/>
              </w:rPr>
              <w:t xml:space="preserve"> protokola 1.3.apakšpunktā un 4.a) punktā noteikto.</w:t>
            </w:r>
          </w:p>
        </w:tc>
      </w:tr>
    </w:tbl>
    <w:p w:rsidR="00D80CEB" w:rsidRPr="00DD49B6" w:rsidRDefault="00D80CEB" w:rsidP="00CC1A56">
      <w:pPr>
        <w:spacing w:after="0" w:line="240" w:lineRule="auto"/>
        <w:rPr>
          <w:rFonts w:ascii="Times New Roman" w:hAnsi="Times New Roman" w:cs="Times New Roman"/>
          <w:sz w:val="24"/>
          <w:szCs w:val="24"/>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2"/>
        <w:gridCol w:w="1273"/>
        <w:gridCol w:w="1538"/>
        <w:gridCol w:w="1150"/>
        <w:gridCol w:w="1194"/>
        <w:gridCol w:w="1240"/>
      </w:tblGrid>
      <w:tr w:rsidR="00CC1A56" w:rsidRPr="00DD49B6" w:rsidTr="00E452B1">
        <w:trPr>
          <w:trHeight w:val="361"/>
          <w:jc w:val="center"/>
        </w:trPr>
        <w:tc>
          <w:tcPr>
            <w:tcW w:w="9577" w:type="dxa"/>
            <w:gridSpan w:val="6"/>
            <w:vAlign w:val="center"/>
          </w:tcPr>
          <w:p w:rsidR="00CC1A56" w:rsidRPr="00DD49B6" w:rsidRDefault="00CC1A56" w:rsidP="007D385B">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CC1A56" w:rsidRPr="00DD49B6" w:rsidTr="00E452B1">
        <w:trPr>
          <w:jc w:val="center"/>
        </w:trPr>
        <w:tc>
          <w:tcPr>
            <w:tcW w:w="3182" w:type="dxa"/>
            <w:vMerge w:val="restart"/>
            <w:vAlign w:val="center"/>
          </w:tcPr>
          <w:p w:rsidR="00CC1A56" w:rsidRPr="00DD49B6" w:rsidRDefault="00CC1A56" w:rsidP="007D385B">
            <w:pPr>
              <w:pStyle w:val="naisf"/>
              <w:spacing w:before="0" w:beforeAutospacing="0" w:after="0" w:afterAutospacing="0"/>
              <w:jc w:val="center"/>
              <w:rPr>
                <w:b/>
              </w:rPr>
            </w:pPr>
            <w:r w:rsidRPr="00DD49B6">
              <w:rPr>
                <w:b/>
              </w:rPr>
              <w:t>Rādītāji</w:t>
            </w:r>
          </w:p>
        </w:tc>
        <w:tc>
          <w:tcPr>
            <w:tcW w:w="2811" w:type="dxa"/>
            <w:gridSpan w:val="2"/>
            <w:vMerge w:val="restart"/>
            <w:vAlign w:val="center"/>
          </w:tcPr>
          <w:p w:rsidR="00CC1A56" w:rsidRPr="00DD49B6" w:rsidRDefault="00CC1A56" w:rsidP="007D385B">
            <w:pPr>
              <w:pStyle w:val="naisf"/>
              <w:spacing w:before="0" w:beforeAutospacing="0" w:after="0" w:afterAutospacing="0"/>
              <w:jc w:val="center"/>
              <w:rPr>
                <w:b/>
              </w:rPr>
            </w:pPr>
            <w:r>
              <w:rPr>
                <w:b/>
              </w:rPr>
              <w:t>2014.</w:t>
            </w:r>
            <w:r w:rsidRPr="00DD49B6">
              <w:rPr>
                <w:b/>
              </w:rPr>
              <w:t>gad</w:t>
            </w:r>
            <w:r w:rsidRPr="00962BF1">
              <w:rPr>
                <w:b/>
              </w:rPr>
              <w:t>s</w:t>
            </w:r>
          </w:p>
        </w:tc>
        <w:tc>
          <w:tcPr>
            <w:tcW w:w="3584" w:type="dxa"/>
            <w:gridSpan w:val="3"/>
            <w:vAlign w:val="center"/>
          </w:tcPr>
          <w:p w:rsidR="00CC1A56" w:rsidRPr="00DD49B6" w:rsidRDefault="00D22893" w:rsidP="007D385B">
            <w:pPr>
              <w:pStyle w:val="naisf"/>
              <w:spacing w:before="0" w:beforeAutospacing="0" w:after="0" w:afterAutospacing="0"/>
              <w:jc w:val="center"/>
              <w:rPr>
                <w:b/>
                <w:i/>
              </w:rPr>
            </w:pPr>
            <w:r>
              <w:t>Turpmākie trīs gadi (</w:t>
            </w:r>
            <w:r w:rsidRPr="00D22893">
              <w:rPr>
                <w:i/>
              </w:rPr>
              <w:t>euro</w:t>
            </w:r>
            <w:r w:rsidR="00CC1A56" w:rsidRPr="00DD49B6">
              <w:t>)</w:t>
            </w:r>
          </w:p>
        </w:tc>
      </w:tr>
      <w:tr w:rsidR="00CC1A56" w:rsidRPr="00DD49B6" w:rsidTr="00E452B1">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2811" w:type="dxa"/>
            <w:gridSpan w:val="2"/>
            <w:vMerge/>
            <w:vAlign w:val="center"/>
          </w:tcPr>
          <w:p w:rsidR="00CC1A56" w:rsidRPr="00DD49B6" w:rsidRDefault="00CC1A56" w:rsidP="007D385B">
            <w:pPr>
              <w:pStyle w:val="naisf"/>
              <w:spacing w:before="0" w:beforeAutospacing="0" w:after="0" w:afterAutospacing="0"/>
              <w:jc w:val="center"/>
              <w:rPr>
                <w:b/>
                <w:i/>
              </w:rPr>
            </w:pPr>
          </w:p>
        </w:tc>
        <w:tc>
          <w:tcPr>
            <w:tcW w:w="1150" w:type="dxa"/>
            <w:vAlign w:val="center"/>
          </w:tcPr>
          <w:p w:rsidR="00CC1A56" w:rsidRPr="00DD49B6" w:rsidRDefault="00CC1A56" w:rsidP="007D385B">
            <w:pPr>
              <w:pStyle w:val="naisf"/>
              <w:spacing w:before="0" w:beforeAutospacing="0" w:after="0" w:afterAutospacing="0"/>
              <w:jc w:val="center"/>
              <w:rPr>
                <w:b/>
                <w:i/>
              </w:rPr>
            </w:pPr>
            <w:r>
              <w:rPr>
                <w:b/>
                <w:bCs/>
              </w:rPr>
              <w:t>2015.</w:t>
            </w:r>
          </w:p>
        </w:tc>
        <w:tc>
          <w:tcPr>
            <w:tcW w:w="1194" w:type="dxa"/>
            <w:vAlign w:val="center"/>
          </w:tcPr>
          <w:p w:rsidR="00CC1A56" w:rsidRPr="00DD49B6" w:rsidRDefault="00CC1A56" w:rsidP="007D385B">
            <w:pPr>
              <w:pStyle w:val="naisf"/>
              <w:spacing w:before="0" w:beforeAutospacing="0" w:after="0" w:afterAutospacing="0"/>
              <w:jc w:val="center"/>
              <w:rPr>
                <w:b/>
                <w:i/>
              </w:rPr>
            </w:pPr>
            <w:r>
              <w:rPr>
                <w:b/>
                <w:bCs/>
              </w:rPr>
              <w:t>2016.</w:t>
            </w:r>
          </w:p>
        </w:tc>
        <w:tc>
          <w:tcPr>
            <w:tcW w:w="1240" w:type="dxa"/>
            <w:vAlign w:val="center"/>
          </w:tcPr>
          <w:p w:rsidR="00CC1A56" w:rsidRPr="00DD49B6" w:rsidRDefault="00CC1A56" w:rsidP="007D385B">
            <w:pPr>
              <w:pStyle w:val="naisf"/>
              <w:spacing w:before="0" w:beforeAutospacing="0" w:after="0" w:afterAutospacing="0"/>
              <w:jc w:val="center"/>
              <w:rPr>
                <w:b/>
                <w:i/>
              </w:rPr>
            </w:pPr>
            <w:r>
              <w:rPr>
                <w:b/>
                <w:bCs/>
              </w:rPr>
              <w:t>2017.</w:t>
            </w:r>
          </w:p>
        </w:tc>
      </w:tr>
      <w:tr w:rsidR="00CC1A56" w:rsidRPr="00DD49B6" w:rsidTr="00E452B1">
        <w:trPr>
          <w:jc w:val="center"/>
        </w:trPr>
        <w:tc>
          <w:tcPr>
            <w:tcW w:w="3182" w:type="dxa"/>
            <w:vMerge/>
            <w:vAlign w:val="center"/>
          </w:tcPr>
          <w:p w:rsidR="00CC1A56" w:rsidRPr="00DD49B6" w:rsidRDefault="00CC1A56" w:rsidP="007D385B">
            <w:pPr>
              <w:pStyle w:val="naisf"/>
              <w:spacing w:before="0" w:beforeAutospacing="0" w:after="0" w:afterAutospacing="0"/>
              <w:jc w:val="center"/>
              <w:rPr>
                <w:b/>
                <w:i/>
              </w:rPr>
            </w:pPr>
          </w:p>
        </w:tc>
        <w:tc>
          <w:tcPr>
            <w:tcW w:w="1273" w:type="dxa"/>
            <w:vAlign w:val="center"/>
          </w:tcPr>
          <w:p w:rsidR="00CC1A56" w:rsidRPr="00DD49B6" w:rsidRDefault="00CC1A56" w:rsidP="007D385B">
            <w:pPr>
              <w:pStyle w:val="naisf"/>
              <w:spacing w:before="0" w:beforeAutospacing="0" w:after="0" w:afterAutospacing="0"/>
              <w:jc w:val="center"/>
              <w:rPr>
                <w:b/>
                <w:i/>
              </w:rPr>
            </w:pPr>
            <w:r>
              <w:t>s</w:t>
            </w:r>
            <w:r w:rsidRPr="00DD49B6">
              <w:t>askaņā ar valsts budžetu kārtējam gadam</w:t>
            </w:r>
          </w:p>
        </w:tc>
        <w:tc>
          <w:tcPr>
            <w:tcW w:w="1538" w:type="dxa"/>
            <w:vAlign w:val="center"/>
          </w:tcPr>
          <w:p w:rsidR="00CC1A56" w:rsidRPr="00DD49B6" w:rsidRDefault="00CC1A56" w:rsidP="007D385B">
            <w:pPr>
              <w:pStyle w:val="naisf"/>
              <w:spacing w:before="0" w:beforeAutospacing="0" w:after="0" w:afterAutospacing="0"/>
              <w:jc w:val="center"/>
              <w:rPr>
                <w:b/>
                <w:i/>
              </w:rPr>
            </w:pPr>
            <w:r>
              <w:t>i</w:t>
            </w:r>
            <w:r w:rsidRPr="00DD49B6">
              <w:t>zmaiņas kārtējā gadā, salīdzinot ar valsts budžetu kārtējam gadam</w:t>
            </w:r>
          </w:p>
        </w:tc>
        <w:tc>
          <w:tcPr>
            <w:tcW w:w="1150"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194"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c>
          <w:tcPr>
            <w:tcW w:w="1240" w:type="dxa"/>
            <w:vAlign w:val="center"/>
          </w:tcPr>
          <w:p w:rsidR="00CC1A56" w:rsidRPr="00DD49B6" w:rsidRDefault="00CC1A56" w:rsidP="007D385B">
            <w:pPr>
              <w:pStyle w:val="naisf"/>
              <w:spacing w:before="0" w:beforeAutospacing="0" w:after="0" w:afterAutospacing="0"/>
              <w:jc w:val="center"/>
              <w:rPr>
                <w:b/>
                <w:i/>
              </w:rPr>
            </w:pPr>
            <w:r>
              <w:t>i</w:t>
            </w:r>
            <w:r w:rsidRPr="00DD49B6">
              <w:t>zmaiņas, salīdzinot ar kārtējo (n) gadu</w:t>
            </w:r>
          </w:p>
        </w:tc>
      </w:tr>
      <w:tr w:rsidR="00CC1A56" w:rsidRPr="00DD49B6" w:rsidTr="00E452B1">
        <w:trPr>
          <w:jc w:val="center"/>
        </w:trPr>
        <w:tc>
          <w:tcPr>
            <w:tcW w:w="3182" w:type="dxa"/>
            <w:vAlign w:val="center"/>
          </w:tcPr>
          <w:p w:rsidR="00CC1A56" w:rsidRPr="00DD49B6" w:rsidRDefault="00CC1A56" w:rsidP="007D385B">
            <w:pPr>
              <w:pStyle w:val="naisf"/>
              <w:spacing w:before="0" w:beforeAutospacing="0" w:after="0" w:afterAutospacing="0"/>
              <w:jc w:val="center"/>
              <w:rPr>
                <w:bCs/>
              </w:rPr>
            </w:pPr>
            <w:r w:rsidRPr="00DD49B6">
              <w:rPr>
                <w:bCs/>
              </w:rPr>
              <w:t>1</w:t>
            </w:r>
          </w:p>
        </w:tc>
        <w:tc>
          <w:tcPr>
            <w:tcW w:w="1273" w:type="dxa"/>
            <w:vAlign w:val="center"/>
          </w:tcPr>
          <w:p w:rsidR="00CC1A56" w:rsidRPr="00DD49B6" w:rsidRDefault="00CC1A56" w:rsidP="007D385B">
            <w:pPr>
              <w:pStyle w:val="naisf"/>
              <w:spacing w:before="0" w:beforeAutospacing="0" w:after="0" w:afterAutospacing="0"/>
              <w:jc w:val="center"/>
              <w:rPr>
                <w:bCs/>
              </w:rPr>
            </w:pPr>
            <w:r w:rsidRPr="00DD49B6">
              <w:rPr>
                <w:bCs/>
              </w:rPr>
              <w:t>2</w:t>
            </w:r>
          </w:p>
        </w:tc>
        <w:tc>
          <w:tcPr>
            <w:tcW w:w="1538" w:type="dxa"/>
            <w:vAlign w:val="center"/>
          </w:tcPr>
          <w:p w:rsidR="00CC1A56" w:rsidRPr="00DD49B6" w:rsidRDefault="00CC1A56" w:rsidP="007D385B">
            <w:pPr>
              <w:pStyle w:val="naisf"/>
              <w:spacing w:before="0" w:beforeAutospacing="0" w:after="0" w:afterAutospacing="0"/>
              <w:jc w:val="center"/>
              <w:rPr>
                <w:bCs/>
              </w:rPr>
            </w:pPr>
            <w:r w:rsidRPr="00DD49B6">
              <w:rPr>
                <w:bCs/>
              </w:rPr>
              <w:t>3</w:t>
            </w:r>
          </w:p>
        </w:tc>
        <w:tc>
          <w:tcPr>
            <w:tcW w:w="1150" w:type="dxa"/>
            <w:vAlign w:val="center"/>
          </w:tcPr>
          <w:p w:rsidR="00CC1A56" w:rsidRPr="00DD49B6" w:rsidRDefault="00CC1A56" w:rsidP="007D385B">
            <w:pPr>
              <w:pStyle w:val="naisf"/>
              <w:spacing w:before="0" w:beforeAutospacing="0" w:after="0" w:afterAutospacing="0"/>
              <w:jc w:val="center"/>
              <w:rPr>
                <w:bCs/>
              </w:rPr>
            </w:pPr>
            <w:r w:rsidRPr="00DD49B6">
              <w:rPr>
                <w:bCs/>
              </w:rPr>
              <w:t>4</w:t>
            </w:r>
          </w:p>
        </w:tc>
        <w:tc>
          <w:tcPr>
            <w:tcW w:w="1194" w:type="dxa"/>
            <w:vAlign w:val="center"/>
          </w:tcPr>
          <w:p w:rsidR="00CC1A56" w:rsidRPr="00DD49B6" w:rsidRDefault="00CC1A56" w:rsidP="007D385B">
            <w:pPr>
              <w:pStyle w:val="naisf"/>
              <w:spacing w:before="0" w:beforeAutospacing="0" w:after="0" w:afterAutospacing="0"/>
              <w:jc w:val="center"/>
              <w:rPr>
                <w:bCs/>
              </w:rPr>
            </w:pPr>
            <w:r w:rsidRPr="00DD49B6">
              <w:rPr>
                <w:bCs/>
              </w:rPr>
              <w:t>5</w:t>
            </w:r>
          </w:p>
        </w:tc>
        <w:tc>
          <w:tcPr>
            <w:tcW w:w="1240" w:type="dxa"/>
            <w:vAlign w:val="center"/>
          </w:tcPr>
          <w:p w:rsidR="00CC1A56" w:rsidRPr="00DD49B6" w:rsidRDefault="00CC1A56" w:rsidP="007D385B">
            <w:pPr>
              <w:pStyle w:val="naisf"/>
              <w:spacing w:before="0" w:beforeAutospacing="0" w:after="0" w:afterAutospacing="0"/>
              <w:jc w:val="center"/>
              <w:rPr>
                <w:bCs/>
              </w:rPr>
            </w:pPr>
            <w:r w:rsidRPr="00DD49B6">
              <w:rPr>
                <w:bCs/>
              </w:rPr>
              <w:t>6</w:t>
            </w:r>
          </w:p>
        </w:tc>
      </w:tr>
      <w:tr w:rsidR="00D80CEB" w:rsidRPr="00DD49B6" w:rsidTr="00E452B1">
        <w:trPr>
          <w:jc w:val="center"/>
        </w:trPr>
        <w:tc>
          <w:tcPr>
            <w:tcW w:w="3182" w:type="dxa"/>
          </w:tcPr>
          <w:p w:rsidR="00D80CEB" w:rsidRPr="00DD49B6" w:rsidRDefault="00D80CEB" w:rsidP="00E452B1">
            <w:pPr>
              <w:pStyle w:val="naisf"/>
              <w:spacing w:before="0" w:beforeAutospacing="0" w:after="0" w:afterAutospacing="0"/>
              <w:rPr>
                <w:i/>
              </w:rPr>
            </w:pPr>
            <w:r w:rsidRPr="00DD49B6">
              <w:t>1. Budžeta ieņēmumi:</w:t>
            </w:r>
          </w:p>
        </w:tc>
        <w:tc>
          <w:tcPr>
            <w:tcW w:w="1273" w:type="dxa"/>
          </w:tcPr>
          <w:p w:rsidR="00D80CEB" w:rsidRPr="00DD49B6" w:rsidRDefault="00D80CEB" w:rsidP="00D80CEB">
            <w:pPr>
              <w:pStyle w:val="naisf"/>
              <w:spacing w:before="0" w:beforeAutospacing="0" w:after="0" w:afterAutospacing="0"/>
              <w:jc w:val="center"/>
              <w:rPr>
                <w:b/>
                <w:i/>
              </w:rPr>
            </w:pPr>
            <w:r>
              <w:rPr>
                <w:b/>
                <w:i/>
              </w:rPr>
              <w:t>121 346</w:t>
            </w:r>
          </w:p>
        </w:tc>
        <w:tc>
          <w:tcPr>
            <w:tcW w:w="1538" w:type="dxa"/>
          </w:tcPr>
          <w:p w:rsidR="00D80CEB" w:rsidRPr="00DD49B6" w:rsidRDefault="00D80CEB" w:rsidP="00D80CEB">
            <w:pPr>
              <w:pStyle w:val="naisf"/>
              <w:spacing w:before="0" w:beforeAutospacing="0" w:after="0" w:afterAutospacing="0"/>
              <w:jc w:val="center"/>
              <w:rPr>
                <w:b/>
                <w:i/>
              </w:rPr>
            </w:pPr>
            <w:r>
              <w:rPr>
                <w:b/>
                <w:i/>
              </w:rPr>
              <w:t>-8 737</w:t>
            </w:r>
          </w:p>
        </w:tc>
        <w:tc>
          <w:tcPr>
            <w:tcW w:w="1150" w:type="dxa"/>
          </w:tcPr>
          <w:p w:rsidR="00D80CEB" w:rsidRPr="00DD49B6" w:rsidRDefault="00D80CEB" w:rsidP="00D80CEB">
            <w:pPr>
              <w:pStyle w:val="naisf"/>
              <w:spacing w:before="0" w:beforeAutospacing="0" w:after="0" w:afterAutospacing="0"/>
              <w:jc w:val="center"/>
              <w:rPr>
                <w:b/>
                <w:i/>
              </w:rPr>
            </w:pPr>
            <w:r>
              <w:rPr>
                <w:b/>
                <w:i/>
              </w:rPr>
              <w:t>-121 346</w:t>
            </w:r>
          </w:p>
        </w:tc>
        <w:tc>
          <w:tcPr>
            <w:tcW w:w="1194" w:type="dxa"/>
          </w:tcPr>
          <w:p w:rsidR="00D80CEB" w:rsidRPr="00DD49B6" w:rsidRDefault="00D80CEB" w:rsidP="00D80CEB">
            <w:pPr>
              <w:pStyle w:val="naisf"/>
              <w:spacing w:before="0" w:beforeAutospacing="0" w:after="0" w:afterAutospacing="0"/>
              <w:jc w:val="center"/>
              <w:rPr>
                <w:b/>
                <w:i/>
              </w:rPr>
            </w:pPr>
            <w:r>
              <w:rPr>
                <w:b/>
                <w:i/>
              </w:rPr>
              <w:t>-121 346</w:t>
            </w:r>
          </w:p>
        </w:tc>
        <w:tc>
          <w:tcPr>
            <w:tcW w:w="1240" w:type="dxa"/>
          </w:tcPr>
          <w:p w:rsidR="00D80CEB" w:rsidRPr="00DD49B6" w:rsidRDefault="00D80CEB" w:rsidP="00D80CEB">
            <w:pPr>
              <w:pStyle w:val="naisf"/>
              <w:spacing w:before="0" w:beforeAutospacing="0" w:after="0" w:afterAutospacing="0"/>
              <w:jc w:val="center"/>
              <w:rPr>
                <w:b/>
                <w:i/>
              </w:rPr>
            </w:pPr>
            <w:r>
              <w:rPr>
                <w:b/>
                <w:i/>
              </w:rPr>
              <w:t>-121 346</w:t>
            </w:r>
          </w:p>
        </w:tc>
      </w:tr>
      <w:tr w:rsidR="009D1152" w:rsidRPr="00DD49B6" w:rsidTr="00E452B1">
        <w:trPr>
          <w:jc w:val="center"/>
        </w:trPr>
        <w:tc>
          <w:tcPr>
            <w:tcW w:w="3182" w:type="dxa"/>
          </w:tcPr>
          <w:p w:rsidR="009D1152" w:rsidRPr="00DD49B6" w:rsidRDefault="009D1152" w:rsidP="009D115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2. Budžeta izdevumi:</w:t>
            </w:r>
          </w:p>
        </w:tc>
        <w:tc>
          <w:tcPr>
            <w:tcW w:w="1273" w:type="dxa"/>
          </w:tcPr>
          <w:p w:rsidR="009D1152" w:rsidRPr="00DD49B6" w:rsidRDefault="009D1152" w:rsidP="009D1152">
            <w:pPr>
              <w:pStyle w:val="naisf"/>
              <w:spacing w:before="0" w:beforeAutospacing="0" w:after="0" w:afterAutospacing="0"/>
              <w:jc w:val="center"/>
              <w:rPr>
                <w:b/>
                <w:i/>
              </w:rPr>
            </w:pPr>
            <w:r>
              <w:rPr>
                <w:b/>
                <w:i/>
              </w:rPr>
              <w:t>142 760</w:t>
            </w:r>
          </w:p>
        </w:tc>
        <w:tc>
          <w:tcPr>
            <w:tcW w:w="1538" w:type="dxa"/>
          </w:tcPr>
          <w:p w:rsidR="009D1152" w:rsidRPr="00DD49B6" w:rsidRDefault="009D1152" w:rsidP="009D1152">
            <w:pPr>
              <w:pStyle w:val="naisf"/>
              <w:spacing w:before="0" w:beforeAutospacing="0" w:after="0" w:afterAutospacing="0"/>
              <w:jc w:val="center"/>
              <w:rPr>
                <w:b/>
                <w:i/>
              </w:rPr>
            </w:pPr>
            <w:r>
              <w:rPr>
                <w:b/>
                <w:i/>
              </w:rPr>
              <w:t>-10 279</w:t>
            </w:r>
          </w:p>
        </w:tc>
        <w:tc>
          <w:tcPr>
            <w:tcW w:w="1150" w:type="dxa"/>
          </w:tcPr>
          <w:p w:rsidR="009D1152" w:rsidRPr="00DD49B6" w:rsidRDefault="009D1152" w:rsidP="009D1152">
            <w:pPr>
              <w:pStyle w:val="naisf"/>
              <w:spacing w:before="0" w:beforeAutospacing="0" w:after="0" w:afterAutospacing="0"/>
              <w:jc w:val="center"/>
              <w:rPr>
                <w:b/>
                <w:i/>
              </w:rPr>
            </w:pPr>
            <w:r>
              <w:rPr>
                <w:b/>
                <w:i/>
              </w:rPr>
              <w:t>-142 760</w:t>
            </w:r>
          </w:p>
        </w:tc>
        <w:tc>
          <w:tcPr>
            <w:tcW w:w="1194" w:type="dxa"/>
          </w:tcPr>
          <w:p w:rsidR="009D1152" w:rsidRPr="00DD49B6" w:rsidRDefault="009D1152" w:rsidP="009D1152">
            <w:pPr>
              <w:pStyle w:val="naisf"/>
              <w:spacing w:before="0" w:beforeAutospacing="0" w:after="0" w:afterAutospacing="0"/>
              <w:jc w:val="center"/>
              <w:rPr>
                <w:b/>
                <w:i/>
              </w:rPr>
            </w:pPr>
            <w:r>
              <w:rPr>
                <w:b/>
                <w:i/>
              </w:rPr>
              <w:t>-142 760</w:t>
            </w:r>
          </w:p>
        </w:tc>
        <w:tc>
          <w:tcPr>
            <w:tcW w:w="1240" w:type="dxa"/>
          </w:tcPr>
          <w:p w:rsidR="009D1152" w:rsidRPr="00DD49B6" w:rsidRDefault="009D1152" w:rsidP="009D1152">
            <w:pPr>
              <w:pStyle w:val="naisf"/>
              <w:spacing w:before="0" w:beforeAutospacing="0" w:after="0" w:afterAutospacing="0"/>
              <w:jc w:val="center"/>
              <w:rPr>
                <w:b/>
                <w:i/>
              </w:rPr>
            </w:pPr>
            <w:r>
              <w:rPr>
                <w:b/>
                <w:i/>
              </w:rPr>
              <w:t>-142 760</w:t>
            </w:r>
          </w:p>
        </w:tc>
      </w:tr>
      <w:tr w:rsidR="009D1152" w:rsidRPr="00DD49B6" w:rsidTr="00D80CEB">
        <w:trPr>
          <w:jc w:val="center"/>
        </w:trPr>
        <w:tc>
          <w:tcPr>
            <w:tcW w:w="3182" w:type="dxa"/>
          </w:tcPr>
          <w:p w:rsidR="009D1152" w:rsidRPr="00DD49B6" w:rsidRDefault="009D1152" w:rsidP="009D1152">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vAlign w:val="center"/>
          </w:tcPr>
          <w:p w:rsidR="009D1152" w:rsidRPr="00B16077" w:rsidRDefault="009D1152" w:rsidP="009D1152">
            <w:pPr>
              <w:pStyle w:val="naisf"/>
              <w:spacing w:before="0" w:beforeAutospacing="0" w:after="0" w:afterAutospacing="0"/>
              <w:jc w:val="center"/>
              <w:rPr>
                <w:b/>
                <w:i/>
              </w:rPr>
            </w:pPr>
            <w:r w:rsidRPr="00B16077">
              <w:rPr>
                <w:b/>
                <w:i/>
              </w:rPr>
              <w:t>-21 414</w:t>
            </w:r>
          </w:p>
        </w:tc>
        <w:tc>
          <w:tcPr>
            <w:tcW w:w="1538" w:type="dxa"/>
          </w:tcPr>
          <w:p w:rsidR="009D1152" w:rsidRPr="00DD49B6" w:rsidRDefault="009D1152" w:rsidP="009D1152">
            <w:pPr>
              <w:pStyle w:val="naisf"/>
              <w:spacing w:before="0" w:beforeAutospacing="0" w:after="0" w:afterAutospacing="0"/>
              <w:jc w:val="center"/>
              <w:rPr>
                <w:b/>
                <w:i/>
              </w:rPr>
            </w:pPr>
            <w:r>
              <w:rPr>
                <w:b/>
                <w:i/>
              </w:rPr>
              <w:t>1 542</w:t>
            </w:r>
          </w:p>
        </w:tc>
        <w:tc>
          <w:tcPr>
            <w:tcW w:w="1150" w:type="dxa"/>
          </w:tcPr>
          <w:p w:rsidR="009D1152" w:rsidRPr="00DD49B6" w:rsidRDefault="009D1152" w:rsidP="009D1152">
            <w:pPr>
              <w:pStyle w:val="naisf"/>
              <w:spacing w:before="0" w:beforeAutospacing="0" w:after="0" w:afterAutospacing="0"/>
              <w:jc w:val="center"/>
              <w:rPr>
                <w:b/>
                <w:i/>
              </w:rPr>
            </w:pPr>
            <w:r>
              <w:rPr>
                <w:b/>
                <w:i/>
              </w:rPr>
              <w:t>21 414</w:t>
            </w:r>
          </w:p>
        </w:tc>
        <w:tc>
          <w:tcPr>
            <w:tcW w:w="1194" w:type="dxa"/>
          </w:tcPr>
          <w:p w:rsidR="009D1152" w:rsidRPr="00DD49B6" w:rsidRDefault="009D1152" w:rsidP="009D1152">
            <w:pPr>
              <w:pStyle w:val="naisf"/>
              <w:spacing w:before="0" w:beforeAutospacing="0" w:after="0" w:afterAutospacing="0"/>
              <w:jc w:val="center"/>
              <w:rPr>
                <w:b/>
                <w:i/>
              </w:rPr>
            </w:pPr>
            <w:r>
              <w:rPr>
                <w:b/>
                <w:i/>
              </w:rPr>
              <w:t>21 414</w:t>
            </w:r>
          </w:p>
        </w:tc>
        <w:tc>
          <w:tcPr>
            <w:tcW w:w="1240" w:type="dxa"/>
          </w:tcPr>
          <w:p w:rsidR="009D1152" w:rsidRPr="00DD49B6" w:rsidRDefault="009D1152" w:rsidP="009D1152">
            <w:pPr>
              <w:pStyle w:val="naisf"/>
              <w:spacing w:before="0" w:beforeAutospacing="0" w:after="0" w:afterAutospacing="0"/>
              <w:jc w:val="center"/>
              <w:rPr>
                <w:b/>
                <w:i/>
              </w:rPr>
            </w:pPr>
            <w:r>
              <w:rPr>
                <w:b/>
                <w:i/>
              </w:rPr>
              <w:t>21 414</w:t>
            </w:r>
          </w:p>
        </w:tc>
      </w:tr>
      <w:tr w:rsidR="002B0D05" w:rsidRPr="00DD49B6" w:rsidTr="00E452B1">
        <w:trPr>
          <w:trHeight w:val="1380"/>
          <w:jc w:val="center"/>
        </w:trPr>
        <w:tc>
          <w:tcPr>
            <w:tcW w:w="3182" w:type="dxa"/>
          </w:tcPr>
          <w:p w:rsidR="002B0D05" w:rsidRPr="00DD49B6" w:rsidRDefault="002B0D05"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 xml:space="preserve">4. Finanšu līdzekļi papildu izdevumu finansēšanai (kompensējošu izdevumu samazinājumu norāda ar </w:t>
            </w:r>
            <w:r>
              <w:rPr>
                <w:rFonts w:ascii="Times New Roman" w:hAnsi="Times New Roman" w:cs="Times New Roman"/>
                <w:sz w:val="24"/>
                <w:szCs w:val="24"/>
              </w:rPr>
              <w:t>"</w:t>
            </w:r>
            <w:r w:rsidRPr="00DD49B6">
              <w:rPr>
                <w:rFonts w:ascii="Times New Roman" w:hAnsi="Times New Roman" w:cs="Times New Roman"/>
                <w:sz w:val="24"/>
                <w:szCs w:val="24"/>
              </w:rPr>
              <w:t>+</w:t>
            </w:r>
            <w:r>
              <w:rPr>
                <w:rFonts w:ascii="Times New Roman" w:hAnsi="Times New Roman" w:cs="Times New Roman"/>
                <w:sz w:val="24"/>
                <w:szCs w:val="24"/>
              </w:rPr>
              <w:t>"</w:t>
            </w:r>
            <w:r w:rsidRPr="00DD49B6">
              <w:rPr>
                <w:rFonts w:ascii="Times New Roman" w:hAnsi="Times New Roman" w:cs="Times New Roman"/>
                <w:sz w:val="24"/>
                <w:szCs w:val="24"/>
              </w:rPr>
              <w:t xml:space="preserve"> zīmi)</w:t>
            </w:r>
          </w:p>
        </w:tc>
        <w:tc>
          <w:tcPr>
            <w:tcW w:w="1273" w:type="dxa"/>
          </w:tcPr>
          <w:p w:rsidR="002B0D05" w:rsidRPr="00E61B13" w:rsidRDefault="002B0D05" w:rsidP="007D385B">
            <w:pPr>
              <w:pStyle w:val="naisf"/>
              <w:spacing w:before="0" w:beforeAutospacing="0" w:after="0" w:afterAutospacing="0"/>
              <w:jc w:val="center"/>
              <w:rPr>
                <w:b/>
                <w:i/>
              </w:rPr>
            </w:pPr>
            <w:r w:rsidRPr="00E61B13">
              <w:rPr>
                <w:b/>
              </w:rPr>
              <w:t>X</w:t>
            </w:r>
          </w:p>
        </w:tc>
        <w:tc>
          <w:tcPr>
            <w:tcW w:w="1538" w:type="dxa"/>
          </w:tcPr>
          <w:p w:rsidR="002B0D05" w:rsidRPr="00E61B13" w:rsidRDefault="002B0D05" w:rsidP="002B0D05">
            <w:pPr>
              <w:pStyle w:val="naisf"/>
              <w:spacing w:before="0" w:beforeAutospacing="0" w:after="0" w:afterAutospacing="0"/>
              <w:jc w:val="center"/>
              <w:rPr>
                <w:b/>
              </w:rPr>
            </w:pPr>
            <w:r w:rsidRPr="00E61B13">
              <w:rPr>
                <w:b/>
              </w:rPr>
              <w:t>0</w:t>
            </w:r>
          </w:p>
        </w:tc>
        <w:tc>
          <w:tcPr>
            <w:tcW w:w="1150" w:type="dxa"/>
          </w:tcPr>
          <w:p w:rsidR="002B0D05" w:rsidRPr="00E61B13" w:rsidRDefault="002B0D05" w:rsidP="002B0D05">
            <w:pPr>
              <w:pStyle w:val="naisf"/>
              <w:spacing w:before="0" w:beforeAutospacing="0" w:after="0" w:afterAutospacing="0"/>
              <w:jc w:val="center"/>
              <w:rPr>
                <w:b/>
              </w:rPr>
            </w:pPr>
            <w:r w:rsidRPr="00E61B13">
              <w:rPr>
                <w:b/>
              </w:rPr>
              <w:t>0</w:t>
            </w:r>
          </w:p>
        </w:tc>
        <w:tc>
          <w:tcPr>
            <w:tcW w:w="1194" w:type="dxa"/>
          </w:tcPr>
          <w:p w:rsidR="002B0D05" w:rsidRPr="00E61B13" w:rsidRDefault="002B0D05" w:rsidP="002B0D05">
            <w:pPr>
              <w:pStyle w:val="naisf"/>
              <w:spacing w:before="0" w:beforeAutospacing="0" w:after="0" w:afterAutospacing="0"/>
              <w:jc w:val="center"/>
              <w:rPr>
                <w:b/>
              </w:rPr>
            </w:pPr>
            <w:r w:rsidRPr="00E61B13">
              <w:rPr>
                <w:b/>
              </w:rPr>
              <w:t>0</w:t>
            </w:r>
          </w:p>
        </w:tc>
        <w:tc>
          <w:tcPr>
            <w:tcW w:w="1240" w:type="dxa"/>
          </w:tcPr>
          <w:p w:rsidR="002B0D05" w:rsidRPr="00E61B13" w:rsidRDefault="002B0D05" w:rsidP="002B0D05">
            <w:pPr>
              <w:pStyle w:val="naisf"/>
              <w:spacing w:before="0" w:beforeAutospacing="0" w:after="0" w:afterAutospacing="0"/>
              <w:jc w:val="center"/>
              <w:rPr>
                <w:b/>
              </w:rPr>
            </w:pPr>
            <w:r w:rsidRPr="00E61B13">
              <w:rPr>
                <w:b/>
              </w:rPr>
              <w:t>0</w:t>
            </w:r>
          </w:p>
        </w:tc>
      </w:tr>
      <w:tr w:rsidR="002B0D05" w:rsidRPr="00DD49B6" w:rsidTr="00E452B1">
        <w:trPr>
          <w:jc w:val="center"/>
        </w:trPr>
        <w:tc>
          <w:tcPr>
            <w:tcW w:w="3182" w:type="dxa"/>
          </w:tcPr>
          <w:p w:rsidR="002B0D05" w:rsidRPr="00DD49B6" w:rsidRDefault="002B0D05"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5. Precizēta finansiālā ietekme:</w:t>
            </w:r>
          </w:p>
        </w:tc>
        <w:tc>
          <w:tcPr>
            <w:tcW w:w="1273" w:type="dxa"/>
          </w:tcPr>
          <w:p w:rsidR="002B0D05" w:rsidRPr="00E61B13" w:rsidRDefault="002B0D05" w:rsidP="007D385B">
            <w:pPr>
              <w:pStyle w:val="naisf"/>
              <w:spacing w:before="0" w:beforeAutospacing="0" w:after="0" w:afterAutospacing="0"/>
              <w:jc w:val="center"/>
              <w:rPr>
                <w:b/>
                <w:i/>
              </w:rPr>
            </w:pPr>
            <w:r w:rsidRPr="00E61B13">
              <w:rPr>
                <w:b/>
              </w:rPr>
              <w:t>X</w:t>
            </w:r>
          </w:p>
        </w:tc>
        <w:tc>
          <w:tcPr>
            <w:tcW w:w="1538" w:type="dxa"/>
          </w:tcPr>
          <w:p w:rsidR="002B0D05" w:rsidRPr="00BD76EA" w:rsidRDefault="002B0D05" w:rsidP="002B0D05">
            <w:pPr>
              <w:pStyle w:val="naisf"/>
              <w:spacing w:before="0" w:beforeAutospacing="0" w:after="0" w:afterAutospacing="0"/>
              <w:jc w:val="center"/>
              <w:rPr>
                <w:b/>
              </w:rPr>
            </w:pPr>
            <w:r w:rsidRPr="00BD76EA">
              <w:rPr>
                <w:b/>
              </w:rPr>
              <w:t>N/A</w:t>
            </w:r>
          </w:p>
        </w:tc>
        <w:tc>
          <w:tcPr>
            <w:tcW w:w="1150"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c>
          <w:tcPr>
            <w:tcW w:w="1194"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c>
          <w:tcPr>
            <w:tcW w:w="1240" w:type="dxa"/>
          </w:tcPr>
          <w:p w:rsidR="002B0D05" w:rsidRPr="00BD76EA" w:rsidRDefault="002B0D05" w:rsidP="002B0D05">
            <w:pPr>
              <w:jc w:val="center"/>
              <w:rPr>
                <w:rFonts w:ascii="Times New Roman" w:hAnsi="Times New Roman" w:cs="Times New Roman"/>
                <w:sz w:val="24"/>
                <w:szCs w:val="24"/>
              </w:rPr>
            </w:pPr>
            <w:r w:rsidRPr="00BD76EA">
              <w:rPr>
                <w:rFonts w:ascii="Times New Roman" w:hAnsi="Times New Roman" w:cs="Times New Roman"/>
                <w:b/>
                <w:sz w:val="24"/>
                <w:szCs w:val="24"/>
              </w:rPr>
              <w:t>N/A</w:t>
            </w:r>
          </w:p>
        </w:tc>
      </w:tr>
      <w:tr w:rsidR="00CC1A56" w:rsidRPr="00DD49B6" w:rsidTr="00E452B1">
        <w:trPr>
          <w:jc w:val="center"/>
        </w:trPr>
        <w:tc>
          <w:tcPr>
            <w:tcW w:w="3182" w:type="dxa"/>
            <w:shd w:val="clear" w:color="auto" w:fill="auto"/>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395" w:type="dxa"/>
            <w:gridSpan w:val="5"/>
            <w:vMerge w:val="restart"/>
            <w:shd w:val="clear" w:color="auto" w:fill="auto"/>
            <w:vAlign w:val="center"/>
          </w:tcPr>
          <w:p w:rsidR="00D80CEB" w:rsidRPr="00D80CEB" w:rsidRDefault="00D80CEB" w:rsidP="00D80CEB">
            <w:pPr>
              <w:pStyle w:val="NoSpacing"/>
              <w:jc w:val="both"/>
              <w:rPr>
                <w:rFonts w:ascii="Times New Roman" w:hAnsi="Times New Roman" w:cs="Times New Roman"/>
                <w:sz w:val="24"/>
                <w:szCs w:val="24"/>
              </w:rPr>
            </w:pPr>
            <w:r w:rsidRPr="00D80CEB">
              <w:rPr>
                <w:rFonts w:ascii="Times New Roman" w:hAnsi="Times New Roman" w:cs="Times New Roman"/>
                <w:sz w:val="24"/>
                <w:szCs w:val="24"/>
              </w:rPr>
              <w:t>Budžeta izdevumi ir kopējās projekta ieviešanai nepieciešamās izmaksas attiecīgajā gadā, un budžeta ieņēmumi ir projekta attiecināmo izmaksu finansējuma ESF daļa. ESF finansējuma apmērs ir 85% no kopējām attiecināmajām projektu izmaksām.</w:t>
            </w:r>
          </w:p>
          <w:p w:rsidR="00D80CEB" w:rsidRDefault="00D80CEB" w:rsidP="00D80CEB">
            <w:pPr>
              <w:pStyle w:val="NoSpacing"/>
              <w:jc w:val="both"/>
              <w:rPr>
                <w:rFonts w:ascii="Times New Roman" w:hAnsi="Times New Roman" w:cs="Times New Roman"/>
                <w:sz w:val="24"/>
                <w:szCs w:val="24"/>
              </w:rPr>
            </w:pPr>
          </w:p>
          <w:p w:rsidR="00D80CEB" w:rsidRPr="00D80CEB" w:rsidRDefault="00D80CEB" w:rsidP="00D80CEB">
            <w:pPr>
              <w:pStyle w:val="NoSpacing"/>
              <w:jc w:val="both"/>
              <w:rPr>
                <w:rFonts w:ascii="Times New Roman" w:hAnsi="Times New Roman" w:cs="Times New Roman"/>
                <w:sz w:val="24"/>
                <w:szCs w:val="24"/>
              </w:rPr>
            </w:pPr>
            <w:r w:rsidRPr="00D80CEB">
              <w:rPr>
                <w:rFonts w:ascii="Times New Roman" w:hAnsi="Times New Roman" w:cs="Times New Roman"/>
                <w:sz w:val="24"/>
                <w:szCs w:val="24"/>
              </w:rPr>
              <w:t xml:space="preserve">Aktivitātei pieejamais </w:t>
            </w:r>
            <w:r w:rsidR="009D1152">
              <w:rPr>
                <w:rFonts w:ascii="Times New Roman" w:hAnsi="Times New Roman" w:cs="Times New Roman"/>
                <w:sz w:val="24"/>
                <w:szCs w:val="24"/>
              </w:rPr>
              <w:t>fin</w:t>
            </w:r>
            <w:r w:rsidR="00D168D6">
              <w:rPr>
                <w:rFonts w:ascii="Times New Roman" w:hAnsi="Times New Roman" w:cs="Times New Roman"/>
                <w:sz w:val="24"/>
                <w:szCs w:val="24"/>
              </w:rPr>
              <w:t xml:space="preserve">ansējums </w:t>
            </w:r>
            <w:r w:rsidRPr="00D80CEB">
              <w:rPr>
                <w:rFonts w:ascii="Times New Roman" w:hAnsi="Times New Roman" w:cs="Times New Roman"/>
                <w:sz w:val="24"/>
                <w:szCs w:val="24"/>
              </w:rPr>
              <w:t>ir 1 231 056 EUR, tai skaitā ESF finansējums ir 1 046 397 EUR un valsts budžeta finansējums ir 184 659 EUR.</w:t>
            </w:r>
          </w:p>
          <w:p w:rsidR="00D80CEB" w:rsidRDefault="00D80CEB" w:rsidP="00D80CEB">
            <w:pPr>
              <w:pStyle w:val="NoSpacing"/>
              <w:jc w:val="both"/>
              <w:rPr>
                <w:rFonts w:ascii="Times New Roman" w:hAnsi="Times New Roman" w:cs="Times New Roman"/>
                <w:sz w:val="24"/>
                <w:szCs w:val="24"/>
              </w:rPr>
            </w:pPr>
          </w:p>
          <w:p w:rsidR="00D80CEB" w:rsidRPr="00D80CEB" w:rsidRDefault="00D80CEB" w:rsidP="00D80CEB">
            <w:pPr>
              <w:pStyle w:val="NoSpacing"/>
              <w:jc w:val="both"/>
              <w:rPr>
                <w:rFonts w:ascii="Times New Roman" w:hAnsi="Times New Roman" w:cs="Times New Roman"/>
                <w:sz w:val="24"/>
                <w:szCs w:val="24"/>
              </w:rPr>
            </w:pPr>
            <w:r w:rsidRPr="00D80CEB">
              <w:rPr>
                <w:rFonts w:ascii="Times New Roman" w:hAnsi="Times New Roman" w:cs="Times New Roman"/>
                <w:sz w:val="24"/>
                <w:szCs w:val="24"/>
              </w:rPr>
              <w:t>Līdz 2012.gadam aktivitātē kopējās izmaksas ir 633 714 EUR, no tām attiecināmās izmaksas ir 633 714 EUR, tai skaitā ESF finansējums 538 657 EUR un valsts budžeta finansējums 95 057 EUR.</w:t>
            </w:r>
          </w:p>
          <w:p w:rsidR="00D80CEB" w:rsidRDefault="00D80CEB" w:rsidP="00D80CEB">
            <w:pPr>
              <w:pStyle w:val="NoSpacing"/>
              <w:jc w:val="both"/>
              <w:rPr>
                <w:rFonts w:ascii="Times New Roman" w:hAnsi="Times New Roman" w:cs="Times New Roman"/>
                <w:sz w:val="24"/>
                <w:szCs w:val="24"/>
              </w:rPr>
            </w:pPr>
          </w:p>
          <w:p w:rsidR="00D80CEB" w:rsidRDefault="00D80CEB" w:rsidP="00D80CEB">
            <w:pPr>
              <w:pStyle w:val="NoSpacing"/>
              <w:jc w:val="both"/>
              <w:rPr>
                <w:rFonts w:ascii="Times New Roman" w:hAnsi="Times New Roman" w:cs="Times New Roman"/>
                <w:sz w:val="24"/>
                <w:szCs w:val="24"/>
              </w:rPr>
            </w:pPr>
            <w:r w:rsidRPr="00D80CEB">
              <w:rPr>
                <w:rFonts w:ascii="Times New Roman" w:hAnsi="Times New Roman" w:cs="Times New Roman"/>
                <w:sz w:val="24"/>
                <w:szCs w:val="24"/>
              </w:rPr>
              <w:t xml:space="preserve">2013.gadā aktivitātes kopējās izmaksas ir 464 859 EUR, no tām attiecināmas izmaksas ir 464 859 EUR, tai skaitā ESF finansējums 395 130 EUR un valsts budžeta finansējums 69 729 EUR. </w:t>
            </w:r>
          </w:p>
          <w:p w:rsidR="002F7881" w:rsidRDefault="002F7881" w:rsidP="00D80CEB">
            <w:pPr>
              <w:pStyle w:val="NoSpacing"/>
              <w:jc w:val="both"/>
              <w:rPr>
                <w:rFonts w:ascii="Times New Roman" w:hAnsi="Times New Roman" w:cs="Times New Roman"/>
                <w:sz w:val="24"/>
                <w:szCs w:val="24"/>
              </w:rPr>
            </w:pPr>
          </w:p>
          <w:p w:rsidR="00D80CEB" w:rsidRPr="00D80CEB" w:rsidRDefault="00D80CEB" w:rsidP="00D80CEB">
            <w:pPr>
              <w:pStyle w:val="NoSpacing"/>
              <w:jc w:val="both"/>
              <w:rPr>
                <w:rFonts w:ascii="Times New Roman" w:hAnsi="Times New Roman" w:cs="Times New Roman"/>
                <w:sz w:val="24"/>
                <w:szCs w:val="24"/>
              </w:rPr>
            </w:pPr>
            <w:r w:rsidRPr="00D80CEB">
              <w:rPr>
                <w:rFonts w:ascii="Times New Roman" w:hAnsi="Times New Roman" w:cs="Times New Roman"/>
                <w:sz w:val="24"/>
                <w:szCs w:val="24"/>
              </w:rPr>
              <w:t>2014.gadā indikatīvi kopējās izmaksas 132 481 EUR, no tām attiecināmās izmaksas 132 481 EUR, tai skaitā ESF finansējums 112 609 EUR un valsts budžeta finansējums 19 872 EUR.</w:t>
            </w:r>
          </w:p>
          <w:p w:rsidR="00D80CEB" w:rsidRDefault="00D80CEB" w:rsidP="00D80CEB">
            <w:pPr>
              <w:pStyle w:val="NoSpacing"/>
              <w:jc w:val="both"/>
              <w:rPr>
                <w:rFonts w:ascii="Times New Roman" w:hAnsi="Times New Roman" w:cs="Times New Roman"/>
                <w:sz w:val="24"/>
                <w:szCs w:val="24"/>
              </w:rPr>
            </w:pPr>
          </w:p>
          <w:p w:rsidR="00CC1A56" w:rsidRPr="00D80CEB" w:rsidRDefault="00D80CEB" w:rsidP="00347937">
            <w:pPr>
              <w:pStyle w:val="NoSpacing"/>
              <w:jc w:val="both"/>
              <w:rPr>
                <w:rFonts w:ascii="Times New Roman" w:hAnsi="Times New Roman" w:cs="Times New Roman"/>
                <w:sz w:val="24"/>
                <w:szCs w:val="24"/>
              </w:rPr>
            </w:pPr>
            <w:r w:rsidRPr="00D80CEB">
              <w:rPr>
                <w:rFonts w:ascii="Times New Roman" w:hAnsi="Times New Roman" w:cs="Times New Roman"/>
                <w:sz w:val="24"/>
                <w:szCs w:val="24"/>
              </w:rPr>
              <w:t xml:space="preserve">Likumā “Par valsts budžetu 2014.gadam” aktivitātes finansēšanai paredzēts finansējums 142 760 EUR apmērā un tas ir par 10 279 EUR vairāk kā paredzamās izmaksas aktivitātes ieviešanai. Finansējuma atlikums tiks pārdalīts </w:t>
            </w:r>
            <w:r w:rsidR="006C1E3E">
              <w:rPr>
                <w:rFonts w:ascii="Times New Roman" w:hAnsi="Times New Roman" w:cs="Times New Roman"/>
                <w:sz w:val="24"/>
                <w:szCs w:val="24"/>
              </w:rPr>
              <w:t xml:space="preserve">1.3.1.5.aktivitātes </w:t>
            </w:r>
            <w:r w:rsidRPr="00D80CEB">
              <w:rPr>
                <w:rFonts w:ascii="Times New Roman" w:hAnsi="Times New Roman" w:cs="Times New Roman"/>
                <w:sz w:val="24"/>
                <w:szCs w:val="24"/>
              </w:rPr>
              <w:t>ieviešanai.</w:t>
            </w:r>
          </w:p>
        </w:tc>
      </w:tr>
      <w:tr w:rsidR="00CC1A56" w:rsidRPr="00DD49B6" w:rsidTr="00E452B1">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395" w:type="dxa"/>
            <w:gridSpan w:val="5"/>
            <w:vMerge/>
          </w:tcPr>
          <w:p w:rsidR="00CC1A56" w:rsidRPr="00DD49B6" w:rsidRDefault="00CC1A56" w:rsidP="007D385B">
            <w:pPr>
              <w:pStyle w:val="naisf"/>
              <w:spacing w:before="0" w:beforeAutospacing="0" w:after="0" w:afterAutospacing="0"/>
              <w:rPr>
                <w:b/>
                <w:i/>
              </w:rPr>
            </w:pPr>
          </w:p>
        </w:tc>
      </w:tr>
      <w:tr w:rsidR="00CC1A56" w:rsidRPr="00DD49B6" w:rsidTr="00E452B1">
        <w:trPr>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395" w:type="dxa"/>
            <w:gridSpan w:val="5"/>
            <w:vMerge/>
          </w:tcPr>
          <w:p w:rsidR="00CC1A56" w:rsidRPr="00DD49B6" w:rsidRDefault="00CC1A56" w:rsidP="007D385B">
            <w:pPr>
              <w:pStyle w:val="naisf"/>
              <w:spacing w:before="0" w:beforeAutospacing="0" w:after="0" w:afterAutospacing="0"/>
              <w:rPr>
                <w:b/>
                <w:i/>
              </w:rPr>
            </w:pPr>
          </w:p>
        </w:tc>
      </w:tr>
      <w:tr w:rsidR="00CC1A56" w:rsidRPr="00DD49B6" w:rsidTr="00E452B1">
        <w:trPr>
          <w:trHeight w:val="556"/>
          <w:jc w:val="center"/>
        </w:trPr>
        <w:tc>
          <w:tcPr>
            <w:tcW w:w="3182" w:type="dxa"/>
          </w:tcPr>
          <w:p w:rsidR="00CC1A56" w:rsidRPr="00DD49B6" w:rsidRDefault="00CC1A56" w:rsidP="007D385B">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7. Cita informācija</w:t>
            </w:r>
          </w:p>
        </w:tc>
        <w:tc>
          <w:tcPr>
            <w:tcW w:w="6395" w:type="dxa"/>
            <w:gridSpan w:val="5"/>
          </w:tcPr>
          <w:p w:rsidR="00CC1A56" w:rsidRPr="00DD49B6" w:rsidRDefault="00BA2DD4" w:rsidP="00BA2DD4">
            <w:pPr>
              <w:pStyle w:val="naisf"/>
              <w:tabs>
                <w:tab w:val="left" w:pos="4644"/>
              </w:tabs>
              <w:spacing w:before="0" w:beforeAutospacing="0" w:after="0" w:afterAutospacing="0"/>
              <w:jc w:val="both"/>
              <w:rPr>
                <w:b/>
                <w:i/>
              </w:rPr>
            </w:pPr>
            <w:r>
              <w:t>V</w:t>
            </w:r>
            <w:r w:rsidRPr="0029634E">
              <w:t>eicot finansējuma pārdali, tiek nodrošināta atbilstība MK 2012.gada 8.maija protokollēmuma Nr.25 26.§ 7.punktam, kas nosaka, ka, ja Eiropas Savienības struktūrfondu un Kohēzijas fonda (turpmāk - ES fondi)  prioritātes ietvaros kādā no aktivitātēm ir uzņemtas virssaistības un kādā šīs prioritātes projektā ir konstatēta neatbilstība vai tiek lauzts līgums, atbrīvotais finansējums neatbilstoši veikto izdevumu apmērā nevar tikt novirzīts citu ES fonda projektu īstenošanai.</w:t>
            </w:r>
          </w:p>
        </w:tc>
      </w:tr>
    </w:tbl>
    <w:p w:rsidR="00CC1A56" w:rsidRDefault="00CC1A56" w:rsidP="00CC1A56">
      <w:pPr>
        <w:spacing w:after="0" w:line="240" w:lineRule="auto"/>
        <w:rPr>
          <w:rFonts w:ascii="Times New Roman" w:hAnsi="Times New Roman" w:cs="Times New Roman"/>
          <w:sz w:val="24"/>
          <w:szCs w:val="24"/>
        </w:rPr>
      </w:pPr>
    </w:p>
    <w:p w:rsidR="00BA2DD4" w:rsidRPr="00DD49B6" w:rsidRDefault="00BA2DD4"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rsidTr="007D385B">
        <w:trPr>
          <w:trHeight w:val="461"/>
          <w:jc w:val="center"/>
        </w:trPr>
        <w:tc>
          <w:tcPr>
            <w:tcW w:w="9511" w:type="dxa"/>
            <w:gridSpan w:val="3"/>
            <w:vAlign w:val="center"/>
          </w:tcPr>
          <w:p w:rsidR="00CC1A56" w:rsidRPr="00DD49B6" w:rsidRDefault="00CC1A56" w:rsidP="007D385B">
            <w:pPr>
              <w:pStyle w:val="naisnod"/>
              <w:spacing w:before="0" w:beforeAutospacing="0" w:after="0" w:afterAutospacing="0"/>
              <w:jc w:val="center"/>
              <w:rPr>
                <w:b/>
              </w:rPr>
            </w:pPr>
            <w:r w:rsidRPr="00DD49B6">
              <w:lastRenderedPageBreak/>
              <w:br w:type="page"/>
            </w:r>
            <w:r w:rsidRPr="00DD49B6">
              <w:rPr>
                <w:b/>
              </w:rPr>
              <w:t>IV. Tiesību akta projekta ietekme uz spēkā esošo tiesību normu sistēmu</w:t>
            </w:r>
          </w:p>
        </w:tc>
      </w:tr>
      <w:tr w:rsidR="00CC1A56" w:rsidRPr="00DD49B6" w:rsidTr="007D385B">
        <w:trPr>
          <w:jc w:val="center"/>
        </w:trPr>
        <w:tc>
          <w:tcPr>
            <w:tcW w:w="470" w:type="dxa"/>
          </w:tcPr>
          <w:p w:rsidR="00CC1A56" w:rsidRPr="008D13E2" w:rsidRDefault="00CC1A56" w:rsidP="007D385B">
            <w:pPr>
              <w:pStyle w:val="naiskr"/>
              <w:tabs>
                <w:tab w:val="left" w:pos="2628"/>
              </w:tabs>
              <w:spacing w:before="0" w:beforeAutospacing="0" w:after="0" w:afterAutospacing="0"/>
              <w:jc w:val="both"/>
              <w:rPr>
                <w:iCs/>
              </w:rPr>
            </w:pPr>
            <w:r w:rsidRPr="008D13E2">
              <w:rPr>
                <w:iCs/>
              </w:rPr>
              <w:t>1.</w:t>
            </w:r>
          </w:p>
        </w:tc>
        <w:tc>
          <w:tcPr>
            <w:tcW w:w="2728" w:type="dxa"/>
          </w:tcPr>
          <w:p w:rsidR="00CC1A56" w:rsidRPr="008D13E2" w:rsidRDefault="00CC1A56" w:rsidP="007D385B">
            <w:pPr>
              <w:pStyle w:val="naiskr"/>
              <w:tabs>
                <w:tab w:val="left" w:pos="2628"/>
              </w:tabs>
              <w:spacing w:before="0" w:beforeAutospacing="0" w:after="0" w:afterAutospacing="0"/>
              <w:jc w:val="both"/>
              <w:rPr>
                <w:iCs/>
              </w:rPr>
            </w:pPr>
            <w:r w:rsidRPr="008D13E2">
              <w:t>Nepieciešamie saistītie tiesību aktu projekti</w:t>
            </w:r>
          </w:p>
        </w:tc>
        <w:tc>
          <w:tcPr>
            <w:tcW w:w="6313" w:type="dxa"/>
          </w:tcPr>
          <w:p w:rsidR="00D80CEB" w:rsidRPr="00D80CEB" w:rsidRDefault="00D168D6" w:rsidP="00D80CEB">
            <w:pPr>
              <w:shd w:val="clear" w:color="auto" w:fill="FFFFFF"/>
              <w:spacing w:after="0" w:line="240" w:lineRule="auto"/>
              <w:jc w:val="both"/>
              <w:rPr>
                <w:rFonts w:ascii="Times New Roman" w:eastAsia="MS Mincho" w:hAnsi="Times New Roman" w:cs="Times New Roman"/>
                <w:color w:val="000000"/>
                <w:sz w:val="24"/>
                <w:szCs w:val="24"/>
                <w:lang w:eastAsia="ja-JP"/>
              </w:rPr>
            </w:pPr>
            <w:r>
              <w:rPr>
                <w:rFonts w:ascii="Times New Roman" w:hAnsi="Times New Roman" w:cs="Times New Roman"/>
                <w:sz w:val="24"/>
                <w:szCs w:val="24"/>
              </w:rPr>
              <w:t>MK noteikumu</w:t>
            </w:r>
            <w:r w:rsidR="00365B8E" w:rsidRPr="008D13E2">
              <w:rPr>
                <w:rFonts w:ascii="Times New Roman" w:hAnsi="Times New Roman" w:cs="Times New Roman"/>
                <w:sz w:val="24"/>
                <w:szCs w:val="24"/>
              </w:rPr>
              <w:t xml:space="preserve"> projekts rada nepieciešamīb</w:t>
            </w:r>
            <w:r w:rsidR="004A5D27">
              <w:rPr>
                <w:rFonts w:ascii="Times New Roman" w:hAnsi="Times New Roman" w:cs="Times New Roman"/>
                <w:sz w:val="24"/>
                <w:szCs w:val="24"/>
              </w:rPr>
              <w:t xml:space="preserve">u veikt atbilstošus grozījumus </w:t>
            </w:r>
            <w:r w:rsidR="008E6D76" w:rsidRPr="004A5D27">
              <w:rPr>
                <w:rFonts w:ascii="Times New Roman" w:eastAsia="MS Mincho" w:hAnsi="Times New Roman" w:cs="Times New Roman"/>
                <w:color w:val="000000"/>
                <w:sz w:val="24"/>
                <w:szCs w:val="24"/>
                <w:lang w:eastAsia="ja-JP"/>
              </w:rPr>
              <w:t xml:space="preserve">Ministru kabineta </w:t>
            </w:r>
            <w:r w:rsidR="00D80CEB" w:rsidRPr="00D80CEB">
              <w:rPr>
                <w:rFonts w:ascii="Times New Roman" w:hAnsi="Times New Roman" w:cs="Times New Roman"/>
                <w:sz w:val="24"/>
                <w:szCs w:val="24"/>
              </w:rPr>
              <w:t>2011.gada 27.decembra noteikumos Nr.996 „Noteikumi par darbības programmas „Cilvēkresursi un nodarbinātība” papildinājuma 1.3.1.5.aktivitātes „Vietējo nodarbinātības veicināšanas pasākumu plānu ieviešanas atbalsts” otro kārtu””</w:t>
            </w:r>
            <w:r w:rsidR="00290E9E">
              <w:rPr>
                <w:rFonts w:ascii="Times New Roman" w:hAnsi="Times New Roman" w:cs="Times New Roman"/>
                <w:sz w:val="24"/>
                <w:szCs w:val="24"/>
              </w:rPr>
              <w:t xml:space="preserve"> (turpmāk – MK noteikumi Nr.996)</w:t>
            </w:r>
            <w:r w:rsidR="00D80CEB">
              <w:rPr>
                <w:rFonts w:ascii="Times New Roman" w:hAnsi="Times New Roman" w:cs="Times New Roman"/>
                <w:sz w:val="24"/>
                <w:szCs w:val="24"/>
              </w:rPr>
              <w:t>.</w:t>
            </w:r>
          </w:p>
          <w:p w:rsidR="00CC1A56" w:rsidRPr="00DD49B6" w:rsidRDefault="00365B8E" w:rsidP="00D80CEB">
            <w:pPr>
              <w:shd w:val="clear" w:color="auto" w:fill="FFFFFF"/>
              <w:spacing w:after="0" w:line="240" w:lineRule="auto"/>
              <w:jc w:val="both"/>
              <w:rPr>
                <w:rFonts w:ascii="Times New Roman" w:hAnsi="Times New Roman" w:cs="Times New Roman"/>
                <w:color w:val="000000"/>
                <w:sz w:val="24"/>
                <w:szCs w:val="24"/>
                <w:lang w:eastAsia="lv-LV"/>
              </w:rPr>
            </w:pPr>
            <w:r w:rsidRPr="008D13E2">
              <w:rPr>
                <w:rFonts w:ascii="Times New Roman" w:hAnsi="Times New Roman" w:cs="Times New Roman"/>
                <w:sz w:val="24"/>
                <w:szCs w:val="24"/>
              </w:rPr>
              <w:t>Minētie grozījumi tiesību aktos tiks iesniegti Valsts kancelejā izskatīšanai MK sē</w:t>
            </w:r>
            <w:r w:rsidR="00ED15B9">
              <w:rPr>
                <w:rFonts w:ascii="Times New Roman" w:hAnsi="Times New Roman" w:cs="Times New Roman"/>
                <w:sz w:val="24"/>
                <w:szCs w:val="24"/>
              </w:rPr>
              <w:t>dē indikatīvi 2014.gada martā</w:t>
            </w:r>
            <w:r w:rsidRPr="008D13E2">
              <w:rPr>
                <w:rFonts w:ascii="Times New Roman" w:hAnsi="Times New Roman" w:cs="Times New Roman"/>
                <w:sz w:val="24"/>
                <w:szCs w:val="24"/>
              </w:rPr>
              <w:t>.</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rsidR="00CC1A56" w:rsidRPr="00DD49B6" w:rsidRDefault="0055242A"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rsidTr="007D385B">
        <w:trPr>
          <w:jc w:val="center"/>
        </w:trPr>
        <w:tc>
          <w:tcPr>
            <w:tcW w:w="470" w:type="dxa"/>
          </w:tcPr>
          <w:p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rsidR="00CC1A56" w:rsidRDefault="00D168D6" w:rsidP="007D385B">
            <w:pPr>
              <w:pStyle w:val="naiskr"/>
              <w:tabs>
                <w:tab w:val="left" w:pos="2628"/>
              </w:tabs>
              <w:spacing w:before="0" w:beforeAutospacing="0" w:after="0" w:afterAutospacing="0"/>
              <w:jc w:val="both"/>
              <w:rPr>
                <w:iCs/>
              </w:rPr>
            </w:pPr>
            <w:r>
              <w:rPr>
                <w:iCs/>
              </w:rPr>
              <w:t>MK noteikumu projekts var tikt virzīts izskatīšanai MK sēdē vienlaikus vai pēc attiecīgu grozījumu darbības programmas „Cilvēkresursi un nodarbinātība” papildinājumā izskatīšanas MK sēdē.</w:t>
            </w:r>
          </w:p>
          <w:p w:rsidR="00290E9E" w:rsidRPr="00DD49B6" w:rsidRDefault="00290E9E" w:rsidP="00290E9E">
            <w:pPr>
              <w:pStyle w:val="naiskr"/>
              <w:tabs>
                <w:tab w:val="left" w:pos="2628"/>
              </w:tabs>
              <w:spacing w:before="0" w:beforeAutospacing="0" w:after="0" w:afterAutospacing="0"/>
              <w:jc w:val="both"/>
              <w:rPr>
                <w:iCs/>
              </w:rPr>
            </w:pPr>
            <w:r>
              <w:rPr>
                <w:iCs/>
              </w:rPr>
              <w:t xml:space="preserve">MK noteikumu projekts </w:t>
            </w:r>
            <w:r w:rsidRPr="00426B10">
              <w:t xml:space="preserve">tiks virzīts izskatīšanai MK sēdē vienlaicīgi ar attiecīgajiem grozījumiem </w:t>
            </w:r>
            <w:r>
              <w:t>MK noteikumos Nr.996.</w:t>
            </w:r>
          </w:p>
        </w:tc>
      </w:tr>
    </w:tbl>
    <w:p w:rsidR="00CC1A56" w:rsidRPr="00DD49B6" w:rsidDel="009D1634" w:rsidRDefault="00CC1A56" w:rsidP="00CC1A56">
      <w:pPr>
        <w:spacing w:after="0" w:line="240" w:lineRule="auto"/>
        <w:rPr>
          <w:rFonts w:ascii="Times New Roman" w:hAnsi="Times New Roman" w:cs="Times New Roman"/>
          <w:sz w:val="24"/>
          <w:szCs w:val="24"/>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CC1A56" w:rsidRPr="00DD49B6" w:rsidTr="007D385B">
        <w:trPr>
          <w:trHeight w:val="421"/>
          <w:jc w:val="center"/>
        </w:trPr>
        <w:tc>
          <w:tcPr>
            <w:tcW w:w="9524"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rsidTr="007D385B">
        <w:trPr>
          <w:trHeight w:val="553"/>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tcPr>
          <w:p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06" w:type="dxa"/>
          </w:tcPr>
          <w:p w:rsidR="00CC1A56" w:rsidRPr="00DD49B6" w:rsidRDefault="002874DE" w:rsidP="008E6D76">
            <w:pPr>
              <w:shd w:val="clear" w:color="auto" w:fill="FFFFFF"/>
              <w:spacing w:after="0" w:line="240" w:lineRule="auto"/>
              <w:ind w:left="169" w:right="83"/>
              <w:jc w:val="both"/>
              <w:rPr>
                <w:rFonts w:ascii="Times New Roman" w:hAnsi="Times New Roman" w:cs="Times New Roman"/>
                <w:sz w:val="24"/>
                <w:szCs w:val="24"/>
              </w:rPr>
            </w:pPr>
            <w:bookmarkStart w:id="0" w:name="p61"/>
            <w:bookmarkEnd w:id="0"/>
            <w:r w:rsidRPr="008E6D76">
              <w:rPr>
                <w:rFonts w:ascii="Times New Roman" w:hAnsi="Times New Roman" w:cs="Times New Roman"/>
                <w:sz w:val="24"/>
                <w:szCs w:val="24"/>
              </w:rPr>
              <w:t>Sabiedrības līdz</w:t>
            </w:r>
            <w:r w:rsidR="008E6D76" w:rsidRPr="008E6D76">
              <w:rPr>
                <w:rFonts w:ascii="Times New Roman" w:hAnsi="Times New Roman" w:cs="Times New Roman"/>
                <w:sz w:val="24"/>
                <w:szCs w:val="24"/>
              </w:rPr>
              <w:t>dalība</w:t>
            </w:r>
            <w:r w:rsidR="006C1E3E">
              <w:rPr>
                <w:rFonts w:ascii="Times New Roman" w:hAnsi="Times New Roman" w:cs="Times New Roman"/>
                <w:sz w:val="24"/>
                <w:szCs w:val="24"/>
              </w:rPr>
              <w:t xml:space="preserve"> nebija nepieciešama, jo 1.3.1.7</w:t>
            </w:r>
            <w:r w:rsidR="008E6D76" w:rsidRPr="008E6D76">
              <w:rPr>
                <w:rFonts w:ascii="Times New Roman" w:hAnsi="Times New Roman" w:cs="Times New Roman"/>
                <w:sz w:val="24"/>
                <w:szCs w:val="24"/>
              </w:rPr>
              <w:t>.aktivitāte</w:t>
            </w:r>
            <w:r w:rsidR="006C1E3E">
              <w:rPr>
                <w:rFonts w:ascii="Times New Roman" w:hAnsi="Times New Roman" w:cs="Times New Roman"/>
                <w:sz w:val="24"/>
                <w:szCs w:val="24"/>
              </w:rPr>
              <w:t xml:space="preserve"> </w:t>
            </w:r>
            <w:r w:rsidR="008E6D76" w:rsidRPr="008E6D76">
              <w:rPr>
                <w:rFonts w:ascii="Times New Roman" w:hAnsi="Times New Roman" w:cs="Times New Roman"/>
                <w:sz w:val="24"/>
                <w:szCs w:val="24"/>
              </w:rPr>
              <w:t xml:space="preserve"> tiek īstenota ierobežotas projektu iesniegumu atlases veidā un tās ietvaros jau ir noslēgti līgumi par projekta īstenošanu</w:t>
            </w:r>
            <w:r w:rsidR="008E6D76">
              <w:rPr>
                <w:rFonts w:ascii="Times New Roman" w:hAnsi="Times New Roman" w:cs="Times New Roman"/>
                <w:sz w:val="24"/>
                <w:szCs w:val="24"/>
              </w:rPr>
              <w:t>.</w:t>
            </w:r>
          </w:p>
        </w:tc>
      </w:tr>
      <w:tr w:rsidR="00CC1A56" w:rsidRPr="00DD49B6" w:rsidTr="007D385B">
        <w:trPr>
          <w:trHeight w:val="339"/>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06" w:type="dxa"/>
          </w:tcPr>
          <w:p w:rsidR="00CC1A56" w:rsidRPr="00DD49B6" w:rsidRDefault="00290E9E" w:rsidP="007D385B">
            <w:pPr>
              <w:shd w:val="clear" w:color="auto" w:fill="FFFFFF"/>
              <w:spacing w:after="0" w:line="240" w:lineRule="auto"/>
              <w:ind w:left="169"/>
              <w:jc w:val="both"/>
              <w:rPr>
                <w:rFonts w:ascii="Times New Roman" w:hAnsi="Times New Roman" w:cs="Times New Roman"/>
                <w:sz w:val="24"/>
                <w:szCs w:val="24"/>
                <w:lang w:eastAsia="lv-LV"/>
              </w:rPr>
            </w:pPr>
            <w:bookmarkStart w:id="1" w:name="p62"/>
            <w:bookmarkEnd w:id="1"/>
            <w:r>
              <w:rPr>
                <w:rFonts w:ascii="Times New Roman" w:hAnsi="Times New Roman" w:cs="Times New Roman"/>
                <w:sz w:val="24"/>
                <w:szCs w:val="24"/>
              </w:rPr>
              <w:t>MK noteikumu</w:t>
            </w:r>
            <w:r w:rsidR="00514DDD" w:rsidRPr="0093520F">
              <w:rPr>
                <w:rFonts w:ascii="Times New Roman" w:hAnsi="Times New Roman" w:cs="Times New Roman"/>
                <w:sz w:val="24"/>
                <w:szCs w:val="24"/>
              </w:rPr>
              <w:t xml:space="preserve">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06" w:type="dxa"/>
          </w:tcPr>
          <w:p w:rsidR="00CC1A56" w:rsidRPr="00DD49B6" w:rsidRDefault="00290E9E" w:rsidP="007D385B">
            <w:pPr>
              <w:shd w:val="clear" w:color="auto" w:fill="FFFFFF"/>
              <w:spacing w:after="0" w:line="240" w:lineRule="auto"/>
              <w:ind w:left="169"/>
              <w:jc w:val="both"/>
              <w:rPr>
                <w:rFonts w:ascii="Times New Roman" w:hAnsi="Times New Roman" w:cs="Times New Roman"/>
                <w:sz w:val="24"/>
                <w:szCs w:val="24"/>
                <w:lang w:eastAsia="lv-LV"/>
              </w:rPr>
            </w:pPr>
            <w:r>
              <w:rPr>
                <w:rFonts w:ascii="Times New Roman" w:hAnsi="Times New Roman" w:cs="Times New Roman"/>
                <w:sz w:val="24"/>
                <w:szCs w:val="24"/>
              </w:rPr>
              <w:t>MK noteikumu</w:t>
            </w:r>
            <w:r w:rsidR="00514DDD" w:rsidRPr="0093520F">
              <w:rPr>
                <w:rFonts w:ascii="Times New Roman" w:hAnsi="Times New Roman" w:cs="Times New Roman"/>
                <w:sz w:val="24"/>
                <w:szCs w:val="24"/>
              </w:rPr>
              <w:t xml:space="preserve"> projekts šo jomu neskar.</w:t>
            </w:r>
          </w:p>
        </w:tc>
      </w:tr>
      <w:tr w:rsidR="00CC1A56" w:rsidRPr="00DD49B6" w:rsidTr="007D385B">
        <w:trPr>
          <w:trHeight w:val="476"/>
          <w:jc w:val="center"/>
        </w:trPr>
        <w:tc>
          <w:tcPr>
            <w:tcW w:w="476" w:type="dxa"/>
          </w:tcPr>
          <w:p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tcPr>
          <w:p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06" w:type="dxa"/>
          </w:tcPr>
          <w:p w:rsidR="00CC1A56" w:rsidRPr="00DD49B6" w:rsidRDefault="00514DDD" w:rsidP="007D385B">
            <w:pPr>
              <w:spacing w:after="0" w:line="240" w:lineRule="auto"/>
              <w:ind w:left="16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CC1A56" w:rsidRPr="00DD49B6" w:rsidRDefault="00CC1A56"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rsidTr="007D385B">
        <w:trPr>
          <w:trHeight w:val="381"/>
          <w:jc w:val="center"/>
        </w:trPr>
        <w:tc>
          <w:tcPr>
            <w:tcW w:w="9518" w:type="dxa"/>
            <w:gridSpan w:val="3"/>
            <w:vAlign w:val="center"/>
          </w:tcPr>
          <w:p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rsidTr="007D385B">
        <w:trPr>
          <w:trHeight w:val="427"/>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1.</w:t>
            </w:r>
          </w:p>
        </w:tc>
        <w:tc>
          <w:tcPr>
            <w:tcW w:w="3615" w:type="dxa"/>
          </w:tcPr>
          <w:p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rsidR="00CC1A56" w:rsidRPr="00DD49B6" w:rsidRDefault="006E3024" w:rsidP="007D385B">
            <w:pPr>
              <w:shd w:val="clear" w:color="auto" w:fill="FFFFFF"/>
              <w:spacing w:after="0" w:line="240" w:lineRule="auto"/>
              <w:jc w:val="both"/>
              <w:rPr>
                <w:rFonts w:ascii="Times New Roman" w:hAnsi="Times New Roman" w:cs="Times New Roman"/>
                <w:sz w:val="24"/>
                <w:szCs w:val="24"/>
                <w:lang w:eastAsia="lv-LV"/>
              </w:rPr>
            </w:pPr>
            <w:bookmarkStart w:id="2" w:name="p66"/>
            <w:bookmarkStart w:id="3" w:name="p67"/>
            <w:bookmarkStart w:id="4" w:name="p68"/>
            <w:bookmarkStart w:id="5" w:name="p69"/>
            <w:bookmarkEnd w:id="2"/>
            <w:bookmarkEnd w:id="3"/>
            <w:bookmarkEnd w:id="4"/>
            <w:bookmarkEnd w:id="5"/>
            <w:r w:rsidRPr="006E3024">
              <w:rPr>
                <w:rFonts w:ascii="Times New Roman" w:hAnsi="Times New Roman" w:cs="Times New Roman"/>
                <w:sz w:val="24"/>
                <w:szCs w:val="24"/>
              </w:rPr>
              <w:t>Labklājības ministrija kā E</w:t>
            </w:r>
            <w:r w:rsidR="00774AFB">
              <w:rPr>
                <w:rFonts w:ascii="Times New Roman" w:hAnsi="Times New Roman" w:cs="Times New Roman"/>
                <w:sz w:val="24"/>
                <w:szCs w:val="24"/>
              </w:rPr>
              <w:t xml:space="preserve">iropas </w:t>
            </w:r>
            <w:r w:rsidRPr="006E3024">
              <w:rPr>
                <w:rFonts w:ascii="Times New Roman" w:hAnsi="Times New Roman" w:cs="Times New Roman"/>
                <w:sz w:val="24"/>
                <w:szCs w:val="24"/>
              </w:rPr>
              <w:t>S</w:t>
            </w:r>
            <w:r w:rsidR="00774AFB">
              <w:rPr>
                <w:rFonts w:ascii="Times New Roman" w:hAnsi="Times New Roman" w:cs="Times New Roman"/>
                <w:sz w:val="24"/>
                <w:szCs w:val="24"/>
              </w:rPr>
              <w:t>avienības</w:t>
            </w:r>
            <w:r w:rsidRPr="006E3024">
              <w:rPr>
                <w:rFonts w:ascii="Times New Roman" w:hAnsi="Times New Roman" w:cs="Times New Roman"/>
                <w:sz w:val="24"/>
                <w:szCs w:val="24"/>
              </w:rPr>
              <w:t xml:space="preserve"> fondu atbildīgā iestāde, Nodarbinātības valsts aģentūra </w:t>
            </w:r>
            <w:r w:rsidR="006C1E3E">
              <w:rPr>
                <w:rFonts w:ascii="Times New Roman" w:hAnsi="Times New Roman" w:cs="Times New Roman"/>
                <w:sz w:val="24"/>
                <w:szCs w:val="24"/>
              </w:rPr>
              <w:t xml:space="preserve">un Ekonomikas ministrija </w:t>
            </w:r>
            <w:r w:rsidRPr="006E3024">
              <w:rPr>
                <w:rFonts w:ascii="Times New Roman" w:hAnsi="Times New Roman" w:cs="Times New Roman"/>
                <w:sz w:val="24"/>
                <w:szCs w:val="24"/>
              </w:rPr>
              <w:t>kā E</w:t>
            </w:r>
            <w:r w:rsidR="00D44056">
              <w:rPr>
                <w:rFonts w:ascii="Times New Roman" w:hAnsi="Times New Roman" w:cs="Times New Roman"/>
                <w:sz w:val="24"/>
                <w:szCs w:val="24"/>
              </w:rPr>
              <w:t xml:space="preserve">iropas </w:t>
            </w:r>
            <w:r w:rsidRPr="006E3024">
              <w:rPr>
                <w:rFonts w:ascii="Times New Roman" w:hAnsi="Times New Roman" w:cs="Times New Roman"/>
                <w:sz w:val="24"/>
                <w:szCs w:val="24"/>
              </w:rPr>
              <w:t>S</w:t>
            </w:r>
            <w:r w:rsidR="00D44056">
              <w:rPr>
                <w:rFonts w:ascii="Times New Roman" w:hAnsi="Times New Roman" w:cs="Times New Roman"/>
                <w:sz w:val="24"/>
                <w:szCs w:val="24"/>
              </w:rPr>
              <w:t>avienības</w:t>
            </w:r>
            <w:r w:rsidRPr="006E3024">
              <w:rPr>
                <w:rFonts w:ascii="Times New Roman" w:hAnsi="Times New Roman" w:cs="Times New Roman"/>
                <w:sz w:val="24"/>
                <w:szCs w:val="24"/>
              </w:rPr>
              <w:t xml:space="preserve"> fondu finansējuma saņēmējs.</w:t>
            </w:r>
          </w:p>
        </w:tc>
      </w:tr>
      <w:tr w:rsidR="00CC1A56" w:rsidRPr="00DD49B6" w:rsidTr="007D385B">
        <w:trPr>
          <w:trHeight w:val="463"/>
          <w:jc w:val="center"/>
        </w:trPr>
        <w:tc>
          <w:tcPr>
            <w:tcW w:w="437" w:type="dxa"/>
          </w:tcPr>
          <w:p w:rsidR="00CC1A56" w:rsidRPr="00DD49B6" w:rsidRDefault="00CC1A56" w:rsidP="007D385B">
            <w:pPr>
              <w:pStyle w:val="naisnod"/>
              <w:spacing w:before="0" w:beforeAutospacing="0" w:after="0" w:afterAutospacing="0"/>
              <w:ind w:left="57" w:right="57"/>
              <w:jc w:val="both"/>
            </w:pPr>
            <w:r w:rsidRPr="00DD49B6">
              <w:t>2.</w:t>
            </w:r>
          </w:p>
        </w:tc>
        <w:tc>
          <w:tcPr>
            <w:tcW w:w="3615" w:type="dxa"/>
          </w:tcPr>
          <w:p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rsidR="00CC1A56" w:rsidRPr="00DD49B6" w:rsidRDefault="00290E9E" w:rsidP="007D385B">
            <w:pPr>
              <w:shd w:val="clear" w:color="auto" w:fill="FFFFFF"/>
              <w:spacing w:after="0" w:line="240" w:lineRule="auto"/>
              <w:jc w:val="both"/>
              <w:rPr>
                <w:rFonts w:ascii="Times New Roman" w:hAnsi="Times New Roman" w:cs="Times New Roman"/>
                <w:sz w:val="24"/>
                <w:szCs w:val="24"/>
                <w:lang w:eastAsia="lv-LV"/>
              </w:rPr>
            </w:pPr>
            <w:r>
              <w:rPr>
                <w:rFonts w:ascii="Times New Roman" w:hAnsi="Times New Roman" w:cs="Times New Roman"/>
                <w:sz w:val="24"/>
                <w:szCs w:val="24"/>
              </w:rPr>
              <w:t>MK noteikumu</w:t>
            </w:r>
            <w:r w:rsidR="00232033" w:rsidRPr="0093520F">
              <w:rPr>
                <w:rFonts w:ascii="Times New Roman" w:hAnsi="Times New Roman" w:cs="Times New Roman"/>
                <w:sz w:val="24"/>
                <w:szCs w:val="24"/>
              </w:rPr>
              <w:t xml:space="preserve"> projekts šo jomu neskar.</w:t>
            </w:r>
          </w:p>
        </w:tc>
      </w:tr>
      <w:tr w:rsidR="00CC1A56" w:rsidRPr="00DD49B6"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rsidR="004332B9" w:rsidRDefault="004332B9" w:rsidP="00843389">
      <w:pPr>
        <w:spacing w:after="0" w:line="240" w:lineRule="auto"/>
        <w:rPr>
          <w:rFonts w:ascii="Times New Roman" w:hAnsi="Times New Roman" w:cs="Times New Roman"/>
          <w:sz w:val="24"/>
          <w:szCs w:val="24"/>
        </w:rPr>
      </w:pPr>
    </w:p>
    <w:p w:rsidR="00BA2DD4" w:rsidRDefault="00BA2DD4" w:rsidP="00843389">
      <w:pPr>
        <w:spacing w:after="0" w:line="240" w:lineRule="auto"/>
        <w:rPr>
          <w:rFonts w:ascii="Times New Roman" w:hAnsi="Times New Roman" w:cs="Times New Roman"/>
          <w:sz w:val="24"/>
          <w:szCs w:val="24"/>
        </w:rPr>
      </w:pPr>
    </w:p>
    <w:p w:rsidR="007A52A7" w:rsidRDefault="00843389" w:rsidP="00843389">
      <w:pPr>
        <w:spacing w:after="0" w:line="240" w:lineRule="auto"/>
        <w:rPr>
          <w:rFonts w:ascii="Times New Roman" w:hAnsi="Times New Roman" w:cs="Times New Roman"/>
          <w:sz w:val="24"/>
          <w:szCs w:val="24"/>
        </w:rPr>
      </w:pPr>
      <w:r w:rsidRPr="00843389">
        <w:rPr>
          <w:rFonts w:ascii="Times New Roman" w:hAnsi="Times New Roman" w:cs="Times New Roman"/>
          <w:sz w:val="24"/>
          <w:szCs w:val="24"/>
        </w:rPr>
        <w:lastRenderedPageBreak/>
        <w:t xml:space="preserve">Anotācijas </w:t>
      </w:r>
      <w:r w:rsidR="006C1E3E">
        <w:rPr>
          <w:rFonts w:ascii="Times New Roman" w:hAnsi="Times New Roman" w:cs="Times New Roman"/>
          <w:sz w:val="24"/>
          <w:szCs w:val="24"/>
        </w:rPr>
        <w:t xml:space="preserve">II un </w:t>
      </w:r>
      <w:r w:rsidR="00290E9E">
        <w:rPr>
          <w:rFonts w:ascii="Times New Roman" w:hAnsi="Times New Roman" w:cs="Times New Roman"/>
          <w:sz w:val="24"/>
          <w:szCs w:val="24"/>
        </w:rPr>
        <w:t>V sadaļa – MK noteikumu</w:t>
      </w:r>
      <w:r w:rsidRPr="00843389">
        <w:rPr>
          <w:rFonts w:ascii="Times New Roman" w:hAnsi="Times New Roman" w:cs="Times New Roman"/>
          <w:sz w:val="24"/>
          <w:szCs w:val="24"/>
        </w:rPr>
        <w:t xml:space="preserve"> projekts šo jomu neskar.</w:t>
      </w:r>
    </w:p>
    <w:p w:rsidR="004332B9" w:rsidRDefault="004332B9" w:rsidP="00D473ED">
      <w:pPr>
        <w:tabs>
          <w:tab w:val="left" w:pos="7371"/>
        </w:tabs>
        <w:spacing w:after="0" w:line="240" w:lineRule="auto"/>
        <w:rPr>
          <w:rFonts w:ascii="Times New Roman" w:hAnsi="Times New Roman" w:cs="Times New Roman"/>
          <w:sz w:val="28"/>
          <w:szCs w:val="28"/>
        </w:rPr>
      </w:pPr>
    </w:p>
    <w:p w:rsidR="002E295B" w:rsidRDefault="002E295B" w:rsidP="00D473ED">
      <w:pPr>
        <w:tabs>
          <w:tab w:val="left" w:pos="7371"/>
        </w:tabs>
        <w:spacing w:after="0" w:line="240" w:lineRule="auto"/>
        <w:rPr>
          <w:rFonts w:ascii="Times New Roman" w:hAnsi="Times New Roman" w:cs="Times New Roman"/>
          <w:sz w:val="28"/>
          <w:szCs w:val="28"/>
        </w:rPr>
      </w:pPr>
    </w:p>
    <w:p w:rsidR="00BA2DD4" w:rsidRDefault="00BA2DD4" w:rsidP="00D473ED">
      <w:pPr>
        <w:tabs>
          <w:tab w:val="left" w:pos="7371"/>
        </w:tabs>
        <w:spacing w:after="0" w:line="240" w:lineRule="auto"/>
        <w:rPr>
          <w:rFonts w:ascii="Times New Roman" w:hAnsi="Times New Roman" w:cs="Times New Roman"/>
          <w:sz w:val="28"/>
          <w:szCs w:val="28"/>
        </w:rPr>
      </w:pPr>
    </w:p>
    <w:p w:rsidR="00BA2DD4" w:rsidRDefault="00BA2DD4" w:rsidP="00D473ED">
      <w:pPr>
        <w:tabs>
          <w:tab w:val="left" w:pos="7371"/>
        </w:tabs>
        <w:spacing w:after="0" w:line="240" w:lineRule="auto"/>
        <w:rPr>
          <w:rFonts w:ascii="Times New Roman" w:hAnsi="Times New Roman" w:cs="Times New Roman"/>
          <w:sz w:val="28"/>
          <w:szCs w:val="28"/>
        </w:rPr>
      </w:pPr>
    </w:p>
    <w:p w:rsidR="00BA2DD4" w:rsidRDefault="00BA2DD4" w:rsidP="00D473ED">
      <w:pPr>
        <w:tabs>
          <w:tab w:val="left" w:pos="7371"/>
        </w:tabs>
        <w:spacing w:after="0" w:line="240" w:lineRule="auto"/>
        <w:rPr>
          <w:rFonts w:ascii="Times New Roman" w:hAnsi="Times New Roman" w:cs="Times New Roman"/>
          <w:sz w:val="28"/>
          <w:szCs w:val="28"/>
        </w:rPr>
      </w:pPr>
    </w:p>
    <w:p w:rsidR="00BA2DD4" w:rsidRDefault="00BA2DD4" w:rsidP="00D473ED">
      <w:pPr>
        <w:tabs>
          <w:tab w:val="left" w:pos="7371"/>
        </w:tabs>
        <w:spacing w:after="0" w:line="240" w:lineRule="auto"/>
        <w:rPr>
          <w:rFonts w:ascii="Times New Roman" w:hAnsi="Times New Roman" w:cs="Times New Roman"/>
          <w:sz w:val="28"/>
          <w:szCs w:val="28"/>
        </w:rPr>
      </w:pPr>
    </w:p>
    <w:p w:rsidR="00BA2DD4" w:rsidRDefault="00BA2DD4" w:rsidP="00D473ED">
      <w:pPr>
        <w:tabs>
          <w:tab w:val="left" w:pos="7371"/>
        </w:tabs>
        <w:spacing w:after="0" w:line="240" w:lineRule="auto"/>
        <w:rPr>
          <w:rFonts w:ascii="Times New Roman" w:hAnsi="Times New Roman" w:cs="Times New Roman"/>
          <w:sz w:val="28"/>
          <w:szCs w:val="28"/>
        </w:rPr>
      </w:pPr>
    </w:p>
    <w:p w:rsidR="00BA2DD4" w:rsidRDefault="00BA2DD4" w:rsidP="00D473ED">
      <w:pPr>
        <w:tabs>
          <w:tab w:val="left" w:pos="7371"/>
        </w:tabs>
        <w:spacing w:after="0" w:line="240" w:lineRule="auto"/>
        <w:rPr>
          <w:rFonts w:ascii="Times New Roman" w:hAnsi="Times New Roman" w:cs="Times New Roman"/>
          <w:sz w:val="28"/>
          <w:szCs w:val="28"/>
        </w:rPr>
      </w:pPr>
    </w:p>
    <w:p w:rsidR="00BA2DD4" w:rsidRDefault="00BA2DD4" w:rsidP="00D473ED">
      <w:pPr>
        <w:tabs>
          <w:tab w:val="left" w:pos="7371"/>
        </w:tabs>
        <w:spacing w:after="0" w:line="240" w:lineRule="auto"/>
        <w:rPr>
          <w:rFonts w:ascii="Times New Roman" w:hAnsi="Times New Roman" w:cs="Times New Roman"/>
          <w:sz w:val="28"/>
          <w:szCs w:val="28"/>
        </w:rPr>
      </w:pPr>
    </w:p>
    <w:p w:rsidR="00BA2DD4" w:rsidRDefault="00BA2DD4" w:rsidP="00D473ED">
      <w:pPr>
        <w:tabs>
          <w:tab w:val="left" w:pos="7371"/>
        </w:tabs>
        <w:spacing w:after="0" w:line="240" w:lineRule="auto"/>
        <w:rPr>
          <w:rFonts w:ascii="Times New Roman" w:hAnsi="Times New Roman" w:cs="Times New Roman"/>
          <w:sz w:val="28"/>
          <w:szCs w:val="28"/>
        </w:rPr>
      </w:pPr>
    </w:p>
    <w:p w:rsidR="00D473ED" w:rsidRPr="00D473ED" w:rsidRDefault="00290E9E" w:rsidP="00D473ED">
      <w:pPr>
        <w:tabs>
          <w:tab w:val="left" w:pos="7371"/>
        </w:tabs>
        <w:spacing w:after="0" w:line="240" w:lineRule="auto"/>
        <w:rPr>
          <w:rFonts w:ascii="Times New Roman" w:hAnsi="Times New Roman" w:cs="Times New Roman"/>
          <w:sz w:val="28"/>
          <w:szCs w:val="28"/>
        </w:rPr>
      </w:pPr>
      <w:r>
        <w:rPr>
          <w:rFonts w:ascii="Times New Roman" w:hAnsi="Times New Roman" w:cs="Times New Roman"/>
          <w:sz w:val="28"/>
          <w:szCs w:val="28"/>
        </w:rPr>
        <w:t>Labklājības ministrs</w:t>
      </w:r>
      <w:r>
        <w:rPr>
          <w:rFonts w:ascii="Times New Roman" w:hAnsi="Times New Roman" w:cs="Times New Roman"/>
          <w:sz w:val="28"/>
          <w:szCs w:val="28"/>
        </w:rPr>
        <w:tab/>
        <w:t>U.Augulis</w:t>
      </w:r>
    </w:p>
    <w:p w:rsidR="00D473ED" w:rsidRPr="00D473ED" w:rsidRDefault="00D473ED" w:rsidP="00D473ED">
      <w:pPr>
        <w:spacing w:after="0" w:line="240" w:lineRule="auto"/>
        <w:rPr>
          <w:rFonts w:ascii="Times New Roman" w:hAnsi="Times New Roman" w:cs="Times New Roman"/>
          <w:sz w:val="24"/>
          <w:szCs w:val="24"/>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C3933"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BA2DD4" w:rsidRDefault="00BA2DD4" w:rsidP="00D473ED">
      <w:pPr>
        <w:spacing w:after="0" w:line="240" w:lineRule="auto"/>
        <w:rPr>
          <w:rFonts w:ascii="Times New Roman" w:hAnsi="Times New Roman" w:cs="Times New Roman"/>
          <w:sz w:val="20"/>
          <w:szCs w:val="20"/>
        </w:rPr>
      </w:pPr>
    </w:p>
    <w:p w:rsidR="00D473ED" w:rsidRPr="00D473ED" w:rsidRDefault="00ED15B9"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2A24F8">
        <w:rPr>
          <w:rFonts w:ascii="Times New Roman" w:hAnsi="Times New Roman" w:cs="Times New Roman"/>
          <w:sz w:val="20"/>
          <w:szCs w:val="20"/>
        </w:rPr>
        <w:t>.03</w:t>
      </w:r>
      <w:r w:rsidR="00F07BB7">
        <w:rPr>
          <w:rFonts w:ascii="Times New Roman" w:hAnsi="Times New Roman" w:cs="Times New Roman"/>
          <w:sz w:val="20"/>
          <w:szCs w:val="20"/>
        </w:rPr>
        <w:t>.2014</w:t>
      </w:r>
      <w:r w:rsidR="00D473ED" w:rsidRPr="00D473ED">
        <w:rPr>
          <w:rFonts w:ascii="Times New Roman" w:hAnsi="Times New Roman" w:cs="Times New Roman"/>
          <w:sz w:val="20"/>
          <w:szCs w:val="20"/>
        </w:rPr>
        <w:t xml:space="preserve">. </w:t>
      </w:r>
      <w:r>
        <w:rPr>
          <w:rFonts w:ascii="Times New Roman" w:hAnsi="Times New Roman" w:cs="Times New Roman"/>
          <w:sz w:val="20"/>
          <w:szCs w:val="20"/>
        </w:rPr>
        <w:t>15:36</w:t>
      </w:r>
    </w:p>
    <w:p w:rsidR="00D473ED" w:rsidRPr="00D473ED" w:rsidRDefault="002F7881"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1172</w:t>
      </w:r>
    </w:p>
    <w:p w:rsidR="00D473ED" w:rsidRPr="00D473ED" w:rsidRDefault="008E6D76"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J.Laucis</w:t>
      </w:r>
      <w:r w:rsidR="00D473ED" w:rsidRPr="00D473ED">
        <w:rPr>
          <w:rFonts w:ascii="Times New Roman" w:hAnsi="Times New Roman" w:cs="Times New Roman"/>
          <w:sz w:val="20"/>
          <w:szCs w:val="20"/>
        </w:rPr>
        <w:t>, 67021660</w:t>
      </w:r>
    </w:p>
    <w:p w:rsidR="00D473ED" w:rsidRPr="00D473ED" w:rsidRDefault="008E6D76"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Janis.Laucis</w:t>
      </w:r>
      <w:bookmarkStart w:id="6" w:name="_GoBack"/>
      <w:bookmarkEnd w:id="6"/>
      <w:r w:rsidR="00D473ED" w:rsidRPr="00D473ED">
        <w:rPr>
          <w:rFonts w:ascii="Times New Roman" w:hAnsi="Times New Roman" w:cs="Times New Roman"/>
          <w:sz w:val="20"/>
          <w:szCs w:val="20"/>
        </w:rPr>
        <w:t>@lm.gov.lv</w:t>
      </w:r>
    </w:p>
    <w:sectPr w:rsidR="00D473ED" w:rsidRPr="00D473ED" w:rsidSect="006D6C82">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2900" w:rsidRDefault="00712900" w:rsidP="006D6C82">
      <w:pPr>
        <w:spacing w:after="0" w:line="240" w:lineRule="auto"/>
      </w:pPr>
      <w:r>
        <w:separator/>
      </w:r>
    </w:p>
  </w:endnote>
  <w:endnote w:type="continuationSeparator" w:id="0">
    <w:p w:rsidR="00712900" w:rsidRDefault="00712900"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00" w:rsidRPr="006C1E3E" w:rsidRDefault="00ED15B9" w:rsidP="008E6D76">
    <w:pP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LMAnot_24</w:t>
    </w:r>
    <w:r w:rsidR="002A24F8">
      <w:rPr>
        <w:rFonts w:ascii="Times New Roman" w:hAnsi="Times New Roman" w:cs="Times New Roman"/>
        <w:sz w:val="20"/>
        <w:szCs w:val="20"/>
      </w:rPr>
      <w:t>03</w:t>
    </w:r>
    <w:r w:rsidR="00712900" w:rsidRPr="006C1E3E">
      <w:rPr>
        <w:rFonts w:ascii="Times New Roman" w:hAnsi="Times New Roman" w:cs="Times New Roman"/>
        <w:sz w:val="20"/>
        <w:szCs w:val="20"/>
      </w:rPr>
      <w:t>14;</w:t>
    </w:r>
    <w:r w:rsidR="00712900">
      <w:rPr>
        <w:rFonts w:ascii="Times New Roman" w:eastAsia="Times New Roman" w:hAnsi="Times New Roman" w:cs="Times New Roman"/>
        <w:sz w:val="20"/>
        <w:szCs w:val="20"/>
        <w:lang w:eastAsia="lv-LV"/>
      </w:rPr>
      <w:t xml:space="preserve"> Grozījumi</w:t>
    </w:r>
    <w:r w:rsidR="00712900" w:rsidRPr="006C1E3E">
      <w:rPr>
        <w:rFonts w:ascii="Times New Roman" w:eastAsia="Times New Roman" w:hAnsi="Times New Roman" w:cs="Times New Roman"/>
        <w:sz w:val="20"/>
        <w:szCs w:val="20"/>
        <w:lang w:eastAsia="lv-LV"/>
      </w:rPr>
      <w:t xml:space="preserve"> Ministru kabineta </w:t>
    </w:r>
    <w:r w:rsidR="00712900" w:rsidRPr="006C1E3E">
      <w:rPr>
        <w:rFonts w:ascii="Times New Roman" w:hAnsi="Times New Roman" w:cs="Times New Roman"/>
        <w:sz w:val="20"/>
        <w:szCs w:val="20"/>
      </w:rPr>
      <w:t>2009.gada 25.augusta noteikumos Nr.949 „Noteikumi par darbības programmas „Cilvēkresursi un nodarbinātība” papildinājuma 1.3.1.7.aktivitāti „Darba tirgus pieprasījuma īstermiņa un ilgtermiņa prognozēšanas un u</w:t>
    </w:r>
    <w:r w:rsidR="00712900">
      <w:rPr>
        <w:rFonts w:ascii="Times New Roman" w:hAnsi="Times New Roman" w:cs="Times New Roman"/>
        <w:sz w:val="20"/>
        <w:szCs w:val="20"/>
      </w:rPr>
      <w:t>zraudzības sistēmas attīstība””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900" w:rsidRPr="006C1E3E" w:rsidRDefault="00ED15B9" w:rsidP="006C1E3E">
    <w:pPr>
      <w:jc w:val="both"/>
      <w:rPr>
        <w:rFonts w:ascii="Times New Roman" w:eastAsia="Times New Roman" w:hAnsi="Times New Roman" w:cs="Times New Roman"/>
        <w:sz w:val="20"/>
        <w:szCs w:val="20"/>
        <w:lang w:eastAsia="lv-LV"/>
      </w:rPr>
    </w:pPr>
    <w:r>
      <w:rPr>
        <w:rFonts w:ascii="Times New Roman" w:hAnsi="Times New Roman" w:cs="Times New Roman"/>
        <w:sz w:val="20"/>
        <w:szCs w:val="20"/>
      </w:rPr>
      <w:t>LMAnot_24</w:t>
    </w:r>
    <w:r w:rsidR="002A24F8">
      <w:rPr>
        <w:rFonts w:ascii="Times New Roman" w:hAnsi="Times New Roman" w:cs="Times New Roman"/>
        <w:sz w:val="20"/>
        <w:szCs w:val="20"/>
      </w:rPr>
      <w:t>03</w:t>
    </w:r>
    <w:r w:rsidR="00712900" w:rsidRPr="006C1E3E">
      <w:rPr>
        <w:rFonts w:ascii="Times New Roman" w:hAnsi="Times New Roman" w:cs="Times New Roman"/>
        <w:sz w:val="20"/>
        <w:szCs w:val="20"/>
      </w:rPr>
      <w:t>14;</w:t>
    </w:r>
    <w:r w:rsidR="00712900">
      <w:rPr>
        <w:rFonts w:ascii="Times New Roman" w:eastAsia="Times New Roman" w:hAnsi="Times New Roman" w:cs="Times New Roman"/>
        <w:sz w:val="20"/>
        <w:szCs w:val="20"/>
        <w:lang w:eastAsia="lv-LV"/>
      </w:rPr>
      <w:t xml:space="preserve"> Grozījumi</w:t>
    </w:r>
    <w:r w:rsidR="00712900" w:rsidRPr="006C1E3E">
      <w:rPr>
        <w:rFonts w:ascii="Times New Roman" w:eastAsia="Times New Roman" w:hAnsi="Times New Roman" w:cs="Times New Roman"/>
        <w:sz w:val="20"/>
        <w:szCs w:val="20"/>
        <w:lang w:eastAsia="lv-LV"/>
      </w:rPr>
      <w:t xml:space="preserve"> Ministru kabineta </w:t>
    </w:r>
    <w:r w:rsidR="00712900" w:rsidRPr="006C1E3E">
      <w:rPr>
        <w:rFonts w:ascii="Times New Roman" w:hAnsi="Times New Roman" w:cs="Times New Roman"/>
        <w:sz w:val="20"/>
        <w:szCs w:val="20"/>
      </w:rPr>
      <w:t>2009.gada 25.augusta noteikumos Nr.949 „Noteikumi par darbības programmas „Cilvēkresursi un nodarbinātība” papildinājuma 1.3.1.7.aktivitāti „Darba tirgus pieprasījuma īstermiņa un ilgtermiņa prognozēšanas un u</w:t>
    </w:r>
    <w:r w:rsidR="00712900">
      <w:rPr>
        <w:rFonts w:ascii="Times New Roman" w:hAnsi="Times New Roman" w:cs="Times New Roman"/>
        <w:sz w:val="20"/>
        <w:szCs w:val="20"/>
      </w:rPr>
      <w:t>zraudzības sistēmas attīstība””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2900" w:rsidRDefault="00712900" w:rsidP="006D6C82">
      <w:pPr>
        <w:spacing w:after="0" w:line="240" w:lineRule="auto"/>
      </w:pPr>
      <w:r>
        <w:separator/>
      </w:r>
    </w:p>
  </w:footnote>
  <w:footnote w:type="continuationSeparator" w:id="0">
    <w:p w:rsidR="00712900" w:rsidRDefault="00712900"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noProof/>
      </w:rPr>
    </w:sdtEndPr>
    <w:sdtContent>
      <w:p w:rsidR="00712900" w:rsidRDefault="00712900">
        <w:pPr>
          <w:pStyle w:val="Header"/>
          <w:jc w:val="center"/>
        </w:pPr>
        <w:r>
          <w:fldChar w:fldCharType="begin"/>
        </w:r>
        <w:r>
          <w:instrText xml:space="preserve"> PAGE   \* MERGEFORMAT </w:instrText>
        </w:r>
        <w:r>
          <w:fldChar w:fldCharType="separate"/>
        </w:r>
        <w:r w:rsidR="00ED15B9">
          <w:rPr>
            <w:noProof/>
          </w:rPr>
          <w:t>5</w:t>
        </w:r>
        <w:r>
          <w:rPr>
            <w:noProof/>
          </w:rPr>
          <w:fldChar w:fldCharType="end"/>
        </w:r>
      </w:p>
    </w:sdtContent>
  </w:sdt>
  <w:p w:rsidR="00712900" w:rsidRDefault="00712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8594012"/>
    <w:multiLevelType w:val="hybridMultilevel"/>
    <w:tmpl w:val="8C0C3F72"/>
    <w:lvl w:ilvl="0" w:tplc="AF50248C">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5680F3A"/>
    <w:multiLevelType w:val="hybridMultilevel"/>
    <w:tmpl w:val="3CF613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8">
    <w:nsid w:val="4CD13B29"/>
    <w:multiLevelType w:val="hybridMultilevel"/>
    <w:tmpl w:val="D228E590"/>
    <w:lvl w:ilvl="0" w:tplc="51186D2C">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0">
    <w:nsid w:val="55586917"/>
    <w:multiLevelType w:val="hybridMultilevel"/>
    <w:tmpl w:val="3B3E0BE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12">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3">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4">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num w:numId="1">
    <w:abstractNumId w:val="4"/>
  </w:num>
  <w:num w:numId="2">
    <w:abstractNumId w:val="2"/>
  </w:num>
  <w:num w:numId="3">
    <w:abstractNumId w:val="6"/>
  </w:num>
  <w:num w:numId="4">
    <w:abstractNumId w:val="14"/>
  </w:num>
  <w:num w:numId="5">
    <w:abstractNumId w:val="11"/>
  </w:num>
  <w:num w:numId="6">
    <w:abstractNumId w:val="1"/>
  </w:num>
  <w:num w:numId="7">
    <w:abstractNumId w:val="13"/>
  </w:num>
  <w:num w:numId="8">
    <w:abstractNumId w:val="9"/>
  </w:num>
  <w:num w:numId="9">
    <w:abstractNumId w:val="0"/>
  </w:num>
  <w:num w:numId="10">
    <w:abstractNumId w:val="7"/>
  </w:num>
  <w:num w:numId="11">
    <w:abstractNumId w:val="12"/>
  </w:num>
  <w:num w:numId="12">
    <w:abstractNumId w:val="5"/>
  </w:num>
  <w:num w:numId="13">
    <w:abstractNumId w:val="8"/>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A56"/>
    <w:rsid w:val="000012B1"/>
    <w:rsid w:val="00002103"/>
    <w:rsid w:val="000459D0"/>
    <w:rsid w:val="00051838"/>
    <w:rsid w:val="00064954"/>
    <w:rsid w:val="00065E19"/>
    <w:rsid w:val="00072876"/>
    <w:rsid w:val="000A50F4"/>
    <w:rsid w:val="000A556B"/>
    <w:rsid w:val="000C6DA7"/>
    <w:rsid w:val="001021F5"/>
    <w:rsid w:val="001144D9"/>
    <w:rsid w:val="0011756F"/>
    <w:rsid w:val="00126D51"/>
    <w:rsid w:val="00140CF3"/>
    <w:rsid w:val="00152B5A"/>
    <w:rsid w:val="001540B9"/>
    <w:rsid w:val="00163649"/>
    <w:rsid w:val="00166E6E"/>
    <w:rsid w:val="00167190"/>
    <w:rsid w:val="001761AE"/>
    <w:rsid w:val="00176916"/>
    <w:rsid w:val="00177F36"/>
    <w:rsid w:val="0018780A"/>
    <w:rsid w:val="00197EC4"/>
    <w:rsid w:val="001B1214"/>
    <w:rsid w:val="001D61A3"/>
    <w:rsid w:val="001E645F"/>
    <w:rsid w:val="00206F07"/>
    <w:rsid w:val="002123C9"/>
    <w:rsid w:val="002141C0"/>
    <w:rsid w:val="00232033"/>
    <w:rsid w:val="00253304"/>
    <w:rsid w:val="002568F2"/>
    <w:rsid w:val="0026710C"/>
    <w:rsid w:val="0028479A"/>
    <w:rsid w:val="002874DE"/>
    <w:rsid w:val="00290E9E"/>
    <w:rsid w:val="002A046C"/>
    <w:rsid w:val="002A161A"/>
    <w:rsid w:val="002A24F8"/>
    <w:rsid w:val="002B0232"/>
    <w:rsid w:val="002B0D05"/>
    <w:rsid w:val="002D1F05"/>
    <w:rsid w:val="002D2016"/>
    <w:rsid w:val="002E295B"/>
    <w:rsid w:val="002F2310"/>
    <w:rsid w:val="002F7881"/>
    <w:rsid w:val="00303FFC"/>
    <w:rsid w:val="00320A19"/>
    <w:rsid w:val="00321D39"/>
    <w:rsid w:val="0032210B"/>
    <w:rsid w:val="00334CA9"/>
    <w:rsid w:val="00336B3A"/>
    <w:rsid w:val="00345771"/>
    <w:rsid w:val="00347937"/>
    <w:rsid w:val="00354E5C"/>
    <w:rsid w:val="0035641C"/>
    <w:rsid w:val="00365B8E"/>
    <w:rsid w:val="003721D8"/>
    <w:rsid w:val="00376240"/>
    <w:rsid w:val="0038217F"/>
    <w:rsid w:val="00382C79"/>
    <w:rsid w:val="00392A2C"/>
    <w:rsid w:val="003A3A21"/>
    <w:rsid w:val="003B0FBE"/>
    <w:rsid w:val="003D2EF5"/>
    <w:rsid w:val="003D58F4"/>
    <w:rsid w:val="003D7FCC"/>
    <w:rsid w:val="003E6EBD"/>
    <w:rsid w:val="004144A3"/>
    <w:rsid w:val="00427EFE"/>
    <w:rsid w:val="0043187B"/>
    <w:rsid w:val="004332B9"/>
    <w:rsid w:val="00470125"/>
    <w:rsid w:val="004A0562"/>
    <w:rsid w:val="004A5D27"/>
    <w:rsid w:val="004B4BC8"/>
    <w:rsid w:val="004C0127"/>
    <w:rsid w:val="004C55C1"/>
    <w:rsid w:val="004D24D9"/>
    <w:rsid w:val="004D2900"/>
    <w:rsid w:val="004D4A4C"/>
    <w:rsid w:val="004D654A"/>
    <w:rsid w:val="004D6C8E"/>
    <w:rsid w:val="004E2B79"/>
    <w:rsid w:val="004F1BD2"/>
    <w:rsid w:val="004F6B68"/>
    <w:rsid w:val="0050327A"/>
    <w:rsid w:val="00514DDD"/>
    <w:rsid w:val="005346EE"/>
    <w:rsid w:val="0055242A"/>
    <w:rsid w:val="005820D6"/>
    <w:rsid w:val="005913E4"/>
    <w:rsid w:val="005B104F"/>
    <w:rsid w:val="005C0335"/>
    <w:rsid w:val="005C718F"/>
    <w:rsid w:val="005E0A62"/>
    <w:rsid w:val="005E2E68"/>
    <w:rsid w:val="005F403C"/>
    <w:rsid w:val="006074DC"/>
    <w:rsid w:val="006409EE"/>
    <w:rsid w:val="00645EF3"/>
    <w:rsid w:val="00654303"/>
    <w:rsid w:val="006673B6"/>
    <w:rsid w:val="00687767"/>
    <w:rsid w:val="006952F4"/>
    <w:rsid w:val="006A6178"/>
    <w:rsid w:val="006B1DFB"/>
    <w:rsid w:val="006B616F"/>
    <w:rsid w:val="006B7133"/>
    <w:rsid w:val="006C1E3E"/>
    <w:rsid w:val="006D573E"/>
    <w:rsid w:val="006D6C82"/>
    <w:rsid w:val="006E169E"/>
    <w:rsid w:val="006E3024"/>
    <w:rsid w:val="006E6976"/>
    <w:rsid w:val="006F615E"/>
    <w:rsid w:val="006F6735"/>
    <w:rsid w:val="007032FF"/>
    <w:rsid w:val="00710CCF"/>
    <w:rsid w:val="00712900"/>
    <w:rsid w:val="00756ADA"/>
    <w:rsid w:val="0077161A"/>
    <w:rsid w:val="00774AFB"/>
    <w:rsid w:val="007831DA"/>
    <w:rsid w:val="00786082"/>
    <w:rsid w:val="007922A6"/>
    <w:rsid w:val="007A52A7"/>
    <w:rsid w:val="007B5D78"/>
    <w:rsid w:val="007D385B"/>
    <w:rsid w:val="007F44BF"/>
    <w:rsid w:val="007F56E6"/>
    <w:rsid w:val="007F57E5"/>
    <w:rsid w:val="00814B8D"/>
    <w:rsid w:val="008171AD"/>
    <w:rsid w:val="00843389"/>
    <w:rsid w:val="008477DE"/>
    <w:rsid w:val="00857C5B"/>
    <w:rsid w:val="00870319"/>
    <w:rsid w:val="00874FAD"/>
    <w:rsid w:val="00891D72"/>
    <w:rsid w:val="008A10C7"/>
    <w:rsid w:val="008C532A"/>
    <w:rsid w:val="008D13E2"/>
    <w:rsid w:val="008E6D76"/>
    <w:rsid w:val="0093520F"/>
    <w:rsid w:val="0094080C"/>
    <w:rsid w:val="00962BF1"/>
    <w:rsid w:val="009638E8"/>
    <w:rsid w:val="009665F6"/>
    <w:rsid w:val="00975BC8"/>
    <w:rsid w:val="009913DE"/>
    <w:rsid w:val="009945CD"/>
    <w:rsid w:val="009A5F8B"/>
    <w:rsid w:val="009B252C"/>
    <w:rsid w:val="009B5EDB"/>
    <w:rsid w:val="009C39B5"/>
    <w:rsid w:val="009C5386"/>
    <w:rsid w:val="009D1152"/>
    <w:rsid w:val="009D7F50"/>
    <w:rsid w:val="009F3C67"/>
    <w:rsid w:val="00A202EB"/>
    <w:rsid w:val="00A33379"/>
    <w:rsid w:val="00A46588"/>
    <w:rsid w:val="00A673AD"/>
    <w:rsid w:val="00A74718"/>
    <w:rsid w:val="00A94ED9"/>
    <w:rsid w:val="00AA12B0"/>
    <w:rsid w:val="00AC0FA8"/>
    <w:rsid w:val="00AE0DE2"/>
    <w:rsid w:val="00AF7AF4"/>
    <w:rsid w:val="00B00F6C"/>
    <w:rsid w:val="00B06F07"/>
    <w:rsid w:val="00B105FC"/>
    <w:rsid w:val="00B13677"/>
    <w:rsid w:val="00B321EE"/>
    <w:rsid w:val="00B46D66"/>
    <w:rsid w:val="00B62CA2"/>
    <w:rsid w:val="00B62FB7"/>
    <w:rsid w:val="00B80868"/>
    <w:rsid w:val="00B90401"/>
    <w:rsid w:val="00B90D82"/>
    <w:rsid w:val="00B96485"/>
    <w:rsid w:val="00BA2DD4"/>
    <w:rsid w:val="00BB5814"/>
    <w:rsid w:val="00BC1631"/>
    <w:rsid w:val="00BC3933"/>
    <w:rsid w:val="00BD76EA"/>
    <w:rsid w:val="00BF1BDA"/>
    <w:rsid w:val="00BF1C90"/>
    <w:rsid w:val="00C20F59"/>
    <w:rsid w:val="00C37B9A"/>
    <w:rsid w:val="00C43430"/>
    <w:rsid w:val="00C51095"/>
    <w:rsid w:val="00C63E56"/>
    <w:rsid w:val="00C80769"/>
    <w:rsid w:val="00C845E5"/>
    <w:rsid w:val="00CA74AB"/>
    <w:rsid w:val="00CA76DD"/>
    <w:rsid w:val="00CB365D"/>
    <w:rsid w:val="00CC1A56"/>
    <w:rsid w:val="00CE6516"/>
    <w:rsid w:val="00D168D6"/>
    <w:rsid w:val="00D22893"/>
    <w:rsid w:val="00D404FE"/>
    <w:rsid w:val="00D44056"/>
    <w:rsid w:val="00D473ED"/>
    <w:rsid w:val="00D476D3"/>
    <w:rsid w:val="00D60002"/>
    <w:rsid w:val="00D61CB4"/>
    <w:rsid w:val="00D80CEB"/>
    <w:rsid w:val="00DB2814"/>
    <w:rsid w:val="00DD3888"/>
    <w:rsid w:val="00DE0F62"/>
    <w:rsid w:val="00DE2DA0"/>
    <w:rsid w:val="00E2764C"/>
    <w:rsid w:val="00E452B1"/>
    <w:rsid w:val="00E50358"/>
    <w:rsid w:val="00E60388"/>
    <w:rsid w:val="00E61B13"/>
    <w:rsid w:val="00E673FB"/>
    <w:rsid w:val="00E74162"/>
    <w:rsid w:val="00EA1E2D"/>
    <w:rsid w:val="00EC30B1"/>
    <w:rsid w:val="00ED15B9"/>
    <w:rsid w:val="00ED4855"/>
    <w:rsid w:val="00ED56D4"/>
    <w:rsid w:val="00ED63AA"/>
    <w:rsid w:val="00EF131E"/>
    <w:rsid w:val="00F00CD5"/>
    <w:rsid w:val="00F07BB7"/>
    <w:rsid w:val="00F11F5B"/>
    <w:rsid w:val="00F15C0D"/>
    <w:rsid w:val="00F16D63"/>
    <w:rsid w:val="00F55F58"/>
    <w:rsid w:val="00FA6A4B"/>
    <w:rsid w:val="00FC0148"/>
    <w:rsid w:val="00FC6CF7"/>
    <w:rsid w:val="00FE25D4"/>
    <w:rsid w:val="00FE47D5"/>
    <w:rsid w:val="00FF589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5CD0D-1196-430E-AB29-BF27561C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semiHidden/>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semiHidden/>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basedOn w:val="Normal"/>
    <w:uiPriority w:val="34"/>
    <w:qFormat/>
    <w:rsid w:val="003B0FBE"/>
    <w:pPr>
      <w:ind w:left="720"/>
      <w:contextualSpacing/>
    </w:pPr>
  </w:style>
  <w:style w:type="paragraph" w:styleId="NoSpacing">
    <w:name w:val="No Spacing"/>
    <w:uiPriority w:val="1"/>
    <w:qFormat/>
    <w:rsid w:val="00347937"/>
    <w:pPr>
      <w:spacing w:after="0" w:line="240" w:lineRule="auto"/>
    </w:pPr>
  </w:style>
  <w:style w:type="paragraph" w:customStyle="1" w:styleId="naisc">
    <w:name w:val="naisc"/>
    <w:basedOn w:val="Normal"/>
    <w:rsid w:val="00D80CEB"/>
    <w:pPr>
      <w:spacing w:before="75" w:after="75" w:line="240" w:lineRule="auto"/>
      <w:jc w:val="center"/>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576941685">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20906874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FD5DF-9AF0-4B9A-B90D-EB8338E4B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5</Pages>
  <Words>6119</Words>
  <Characters>3489</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Grozījumi MK noteikumos Nr.949</vt:lpstr>
    </vt:vector>
  </TitlesOfParts>
  <Company>lm</Company>
  <LinksUpToDate>false</LinksUpToDate>
  <CharactersWithSpaces>9589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noteikumos Nr.949</dc:title>
  <dc:subject>Anotācija</dc:subject>
  <dc:creator>Janis Laucis</dc:creator>
  <cp:keywords/>
  <dc:description>Janis.Laucis@lm.gov.lv_x000d_
67021660</dc:description>
  <cp:lastModifiedBy>Janis Laucis</cp:lastModifiedBy>
  <cp:revision>15</cp:revision>
  <cp:lastPrinted>2014-03-24T09:23:00Z</cp:lastPrinted>
  <dcterms:created xsi:type="dcterms:W3CDTF">2014-01-07T07:08:00Z</dcterms:created>
  <dcterms:modified xsi:type="dcterms:W3CDTF">2014-03-24T13:36:00Z</dcterms:modified>
</cp:coreProperties>
</file>