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0C" w:rsidRPr="00C8100C" w:rsidRDefault="00C8100C" w:rsidP="00C8100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810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</w:t>
      </w:r>
      <w:r w:rsidR="00D47B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ta noteikumu projekta „Grozījumi</w:t>
      </w:r>
      <w:r w:rsidRPr="00C810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Ministru kabineta </w:t>
      </w:r>
      <w:proofErr w:type="gramStart"/>
      <w:r w:rsidRPr="00C810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2008.gada</w:t>
      </w:r>
      <w:proofErr w:type="gramEnd"/>
      <w:r w:rsidRPr="00C810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4.marta noteikumos Nr.152 „Noteikumi par darbības programmas „Cilvēkresursi un nodarbinātība” papildinājuma apakšaktivitāti „Darba attiecību un darba drošības normatīvo aktu praktiska piemērošana nozarēs un uzņēmumos”””</w:t>
      </w:r>
      <w:r w:rsidRPr="00C8100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C8100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sākotnējās ietekmes novērtējuma ziņojums (anotācija)</w:t>
      </w:r>
    </w:p>
    <w:p w:rsidR="00CC1A56" w:rsidRPr="00584A0C" w:rsidRDefault="00CC1A56" w:rsidP="00CC1A56">
      <w:pPr>
        <w:pStyle w:val="nais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69"/>
        <w:gridCol w:w="6081"/>
      </w:tblGrid>
      <w:tr w:rsidR="00CC1A56" w:rsidRPr="00DD49B6" w:rsidTr="001E645F">
        <w:trPr>
          <w:trHeight w:val="419"/>
        </w:trPr>
        <w:tc>
          <w:tcPr>
            <w:tcW w:w="5000" w:type="pct"/>
            <w:gridSpan w:val="3"/>
            <w:vAlign w:val="center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DD49B6">
              <w:rPr>
                <w:b/>
              </w:rPr>
              <w:t>I. Tiesību akta projekta izstrādes nepieciešamība</w:t>
            </w:r>
          </w:p>
        </w:tc>
      </w:tr>
      <w:tr w:rsidR="00CC1A56" w:rsidRPr="00DD49B6" w:rsidTr="001E645F">
        <w:trPr>
          <w:trHeight w:val="415"/>
        </w:trPr>
        <w:tc>
          <w:tcPr>
            <w:tcW w:w="227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566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Pamatojums</w:t>
            </w:r>
          </w:p>
        </w:tc>
        <w:tc>
          <w:tcPr>
            <w:tcW w:w="3207" w:type="pct"/>
          </w:tcPr>
          <w:p w:rsidR="00CC1A56" w:rsidRPr="00C8100C" w:rsidRDefault="00C8100C" w:rsidP="006D573E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Ministru kabineta (turpmāk - M</w:t>
            </w:r>
            <w:r w:rsidR="00D47BD7">
              <w:rPr>
                <w:rFonts w:ascii="Times New Roman" w:hAnsi="Times New Roman" w:cs="Times New Roman"/>
                <w:sz w:val="24"/>
                <w:szCs w:val="24"/>
              </w:rPr>
              <w:t>K) noteikumu projekts „Grozījumi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</w:t>
            </w:r>
            <w:proofErr w:type="gramStart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2008.gada</w:t>
            </w:r>
            <w:proofErr w:type="gramEnd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4.marta noteikumos Nr.152 „Noteikumi par darbības programmas „Cilvēkresursi un nodarbinātība” papildinājuma apakšaktivitāti „Darba attiecību un darba drošības normatīvo aktu praktiska piemērošana nozarēs un uzņēmumos””” (turpmāk – MK noteikumu projekts) ir izstrādāts saskaņā ar grozījumiem darbības programmas „Cilvēkresursi un nodarbinātība” papildinājumā</w:t>
            </w:r>
            <w:r w:rsidR="000350DD">
              <w:rPr>
                <w:rFonts w:ascii="Times New Roman" w:hAnsi="Times New Roman" w:cs="Times New Roman"/>
                <w:sz w:val="24"/>
                <w:szCs w:val="24"/>
              </w:rPr>
              <w:t xml:space="preserve"> un atbilstoši </w:t>
            </w:r>
            <w:r w:rsidR="000350DD" w:rsidRPr="000350DD">
              <w:rPr>
                <w:rFonts w:ascii="Times New Roman" w:hAnsi="Times New Roman" w:cs="Times New Roman"/>
                <w:sz w:val="24"/>
                <w:szCs w:val="24"/>
              </w:rPr>
              <w:t>2013.gada 31.janvāra likuma „</w:t>
            </w:r>
            <w:proofErr w:type="spellStart"/>
            <w:r w:rsidR="000350DD" w:rsidRPr="000350DD"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="000350DD" w:rsidRPr="00035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uro</w:t>
            </w:r>
            <w:proofErr w:type="spellEnd"/>
            <w:r w:rsidR="000350DD" w:rsidRPr="000350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ieviešanas kārtības likums” (turpmāk - </w:t>
            </w:r>
            <w:r w:rsidR="00B25CCA" w:rsidRPr="00B25CCA">
              <w:rPr>
                <w:rFonts w:ascii="Times New Roman" w:hAnsi="Times New Roman" w:cs="Times New Roman"/>
                <w:iCs/>
                <w:sz w:val="24"/>
                <w:szCs w:val="24"/>
              </w:rPr>
              <w:t>EIKL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C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37D4" w:rsidRPr="0088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6.pantam</w:t>
            </w:r>
            <w:r w:rsidR="001C37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30.panta pirm</w:t>
            </w:r>
            <w:r w:rsid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ajai daļai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 32.panta otrās daļas 2</w:t>
            </w:r>
            <w:r w:rsid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.apakšpunktam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kā arī </w:t>
            </w:r>
            <w:r w:rsidR="000350DD" w:rsidRP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MK 2012.gada 27.jūnija rīkojuma Nr.282 „Par „Koncepciju par normatīvo aktu sakārtošanu saistībā ar e</w:t>
            </w:r>
            <w:r w:rsidR="000350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iro ieviešanu Latvijā”” 4.punktam</w:t>
            </w:r>
            <w:r w:rsidRPr="000350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DD49B6" w:rsidTr="001E645F">
        <w:trPr>
          <w:trHeight w:val="472"/>
        </w:trPr>
        <w:tc>
          <w:tcPr>
            <w:tcW w:w="227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566" w:type="pct"/>
          </w:tcPr>
          <w:p w:rsidR="00CC1A56" w:rsidRPr="00DD49B6" w:rsidRDefault="00CC1A56" w:rsidP="007D385B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207" w:type="pct"/>
          </w:tcPr>
          <w:p w:rsidR="00C8100C" w:rsidRPr="00C8100C" w:rsidRDefault="00C8100C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00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Šobrīd 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MK </w:t>
            </w:r>
            <w:proofErr w:type="gramStart"/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2008.gada</w:t>
            </w:r>
            <w:proofErr w:type="gramEnd"/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4.marta noteikumos Nr.152 „Noteikumi par darbības programmas „Cilvēkresursi un nodarbinātība” papildinājuma apakšaktivitāti „Darba attiecību un darba drošības normatīvo aktu praktiska piemērošana nozarēs un uzņēmumos”” (turpmāk – MK noteikumi Nr.152) ir noteikts, ka apakšaktivitātes kopējais attiecināmais finansē</w:t>
            </w:r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jums ir 6 688 647 LVL (9 517 087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81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un apakšaktivitātes ietvaros tiek īstenoti 2 projekti, kurus līdz 2013.gada 31.decembrim īsteno Latvijas Darba devēju konfederācija (turpmāk – LDDK) un Latvijas Brīvo arodbiedrību savienība (turpmāk – LBAS). </w:t>
            </w:r>
          </w:p>
          <w:p w:rsidR="00C8100C" w:rsidRDefault="00C8100C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LDDK un LBAS projektu īstenošana ir noslēgusies, projektu īstenošanas rezultātā apakšaktivitātē ir izveidojies finanšu līdzekļu ietaupījums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206 397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LVL (</w:t>
            </w:r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293 675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C81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apmērā, kuru nepieciešams pārdalīt citu Labklājības ministrijas pārziņā esošo darbības programmas „Cilvēkresursi un nodarbinātība” papildinājuma 1.3.1.pasākuma „Nodarbinātība” aktivitāšu īstenošanai</w:t>
            </w:r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t.sk., 1.3.1.4.aktivitātei „Kapacitātes stiprināšana darba tirgus institūcijām” (turpmāk – 1.3.1.4.aktivitāte) un 1.3.</w:t>
            </w:r>
            <w:proofErr w:type="gramStart"/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1.5.aktivitātes „</w:t>
            </w:r>
            <w:r w:rsidR="00A9542D" w:rsidRPr="00A81CF1">
              <w:rPr>
                <w:rFonts w:ascii="Times New Roman" w:hAnsi="Times New Roman" w:cs="Times New Roman"/>
                <w:sz w:val="24"/>
                <w:szCs w:val="24"/>
              </w:rPr>
              <w:t>Vietējo nodarbinātības veicināšanas pasākumu plānu ieviešanas atbalsts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End"/>
            <w:r w:rsidR="00A9542D">
              <w:rPr>
                <w:rFonts w:ascii="Times New Roman" w:hAnsi="Times New Roman" w:cs="Times New Roman"/>
                <w:sz w:val="24"/>
                <w:szCs w:val="24"/>
              </w:rPr>
              <w:t xml:space="preserve"> (turpmāk – 1.3.1.5.aktivitāte) otrajai kārtai</w:t>
            </w:r>
            <w:r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="00263373" w:rsidRDefault="0037690E" w:rsidP="0037690E">
            <w:pPr>
              <w:pStyle w:val="NoSpacing"/>
              <w:ind w:right="141"/>
              <w:jc w:val="both"/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</w:pPr>
            <w:r w:rsidRPr="00376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līdzekļu ietaupījums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pamatā </w:t>
            </w:r>
            <w:r w:rsidRPr="00376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radies LDDK projektā, jo projekta īstenošanas beigu posmā </w:t>
            </w:r>
            <w:r w:rsidR="006F0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tika pieņemts lēmums projekta ietvaros</w:t>
            </w:r>
            <w:r w:rsidRPr="0037690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F02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neīstenot</w:t>
            </w:r>
            <w:r w:rsidRPr="0037690E">
              <w:rPr>
                <w:rFonts w:ascii="Times New Roman" w:hAnsi="Times New Roman" w:cs="Times New Roman"/>
                <w:sz w:val="24"/>
                <w:szCs w:val="24"/>
              </w:rPr>
              <w:t xml:space="preserve"> Sabiedrības informēšanas kampaņa,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 kuru tika plānots uzlabot</w:t>
            </w:r>
            <w:r w:rsidRPr="0037690E">
              <w:rPr>
                <w:rFonts w:ascii="Times New Roman" w:hAnsi="Times New Roman" w:cs="Times New Roman"/>
                <w:sz w:val="24"/>
                <w:szCs w:val="24"/>
              </w:rPr>
              <w:t xml:space="preserve"> darba devēju, darba </w:t>
            </w:r>
            <w:r w:rsidRPr="003769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ņēmēju un sabiedrības kopumā izpratni un attieksmi par normatīvo aktu ievērošanu darba aizsardzības jomā, </w:t>
            </w:r>
            <w:r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>kas samazinātu</w:t>
            </w:r>
            <w:r w:rsidRPr="0037690E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 xml:space="preserve"> darba aizsardzības normatīvo aktu pārkā</w:t>
            </w:r>
            <w:r w:rsidR="00263373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>pumu un nelaimes gadījumus darbā. Sabiedrības informēšanas kampaņa netika īstenota, jo:</w:t>
            </w:r>
          </w:p>
          <w:p w:rsidR="005D767B" w:rsidRDefault="005D767B" w:rsidP="005D767B">
            <w:pPr>
              <w:pStyle w:val="NoSpacing"/>
              <w:numPr>
                <w:ilvl w:val="0"/>
                <w:numId w:val="17"/>
              </w:numPr>
              <w:ind w:left="0" w:right="141" w:hanging="11"/>
              <w:jc w:val="both"/>
              <w:rPr>
                <w:rFonts w:ascii="Times New Roman , serif" w:hAnsi="Times New Roman , serif"/>
                <w:sz w:val="24"/>
                <w:szCs w:val="24"/>
              </w:rPr>
            </w:pPr>
            <w:r>
              <w:rPr>
                <w:rFonts w:ascii="Times New Roman , serif" w:hAnsi="Times New Roman , serif"/>
                <w:sz w:val="24"/>
                <w:szCs w:val="24"/>
              </w:rPr>
              <w:t>p</w:t>
            </w:r>
            <w:r w:rsidRPr="001158DE">
              <w:rPr>
                <w:rFonts w:ascii="Times New Roman , serif" w:hAnsi="Times New Roman , serif"/>
                <w:sz w:val="24"/>
                <w:szCs w:val="24"/>
              </w:rPr>
              <w:t>ēc Latvijas Sabiedrisko attiecī</w:t>
            </w:r>
            <w:r>
              <w:rPr>
                <w:rFonts w:ascii="Times New Roman , serif" w:hAnsi="Times New Roman , serif"/>
                <w:sz w:val="24"/>
                <w:szCs w:val="24"/>
              </w:rPr>
              <w:t>bu kompāniju asociācijas</w:t>
            </w:r>
            <w:r w:rsidRPr="001158DE">
              <w:rPr>
                <w:rFonts w:ascii="Times New Roman , serif" w:hAnsi="Times New Roman , serif"/>
                <w:sz w:val="24"/>
                <w:szCs w:val="24"/>
              </w:rPr>
              <w:t xml:space="preserve"> ekspertu viedokļa</w:t>
            </w:r>
            <w:r w:rsidRPr="001158DE">
              <w:rPr>
                <w:rStyle w:val="CommentReference"/>
              </w:rPr>
              <w:t> </w:t>
            </w:r>
            <w:r w:rsidRPr="001158DE">
              <w:rPr>
                <w:rStyle w:val="CommentReference"/>
                <w:sz w:val="24"/>
                <w:szCs w:val="24"/>
              </w:rPr>
              <w:t> </w:t>
            </w:r>
            <w:r w:rsidRPr="001158DE">
              <w:rPr>
                <w:rFonts w:ascii="Times New Roman , serif" w:hAnsi="Times New Roman , serif"/>
                <w:sz w:val="24"/>
                <w:szCs w:val="24"/>
              </w:rPr>
              <w:t xml:space="preserve"> liela mēroga kampaņa nav efektīvākais risinājums, lai veicinātu </w:t>
            </w:r>
            <w:r>
              <w:rPr>
                <w:rFonts w:ascii="Times New Roman , serif" w:hAnsi="Times New Roman , serif"/>
                <w:sz w:val="24"/>
                <w:szCs w:val="24"/>
              </w:rPr>
              <w:t>LDDK</w:t>
            </w:r>
            <w:r w:rsidRPr="001158DE">
              <w:rPr>
                <w:rFonts w:ascii="Times New Roman , serif" w:hAnsi="Times New Roman , serif"/>
                <w:sz w:val="24"/>
                <w:szCs w:val="24"/>
              </w:rPr>
              <w:t xml:space="preserve"> projekta mērķu sasniegšanu, jo lielas un informatīvas kampaņas ir efektīvas gadījumos, kad nepieciešama visas sabiedrības aktīva līdzdalība vai izglītošana jautājumos, kas potenciāli skar plašu sabiedrības loku</w:t>
            </w:r>
            <w:r>
              <w:rPr>
                <w:rFonts w:ascii="Times New Roman , serif" w:hAnsi="Times New Roman , serif"/>
                <w:sz w:val="24"/>
                <w:szCs w:val="24"/>
              </w:rPr>
              <w:t>, bet attiecībā uz</w:t>
            </w:r>
            <w:r w:rsidRPr="005D767B">
              <w:rPr>
                <w:rFonts w:ascii="Times New Roman , serif" w:eastAsia="Times New Roman" w:hAnsi="Times New Roman , serif" w:cs="Times New Roman"/>
                <w:sz w:val="24"/>
                <w:szCs w:val="24"/>
              </w:rPr>
              <w:t xml:space="preserve"> </w:t>
            </w:r>
            <w:r w:rsidRPr="005D767B">
              <w:rPr>
                <w:rFonts w:ascii="Times New Roman , serif" w:hAnsi="Times New Roman , serif"/>
                <w:sz w:val="24"/>
                <w:szCs w:val="24"/>
              </w:rPr>
              <w:t>nelaimes gadījumiem darba vietās un to turpmāku novēršanu, kā arī darba drošības normu ievērošanu uzņēmumos un/ vai nozarēs, nepieciešams strādāt ar konkrētiem gadījumiem, proti, darba vietām, kur kaut reizi tikuši novēroti pārkāpumi, tostarp ar nozarēm, kas ir potenciāli b</w:t>
            </w:r>
            <w:r>
              <w:rPr>
                <w:rFonts w:ascii="Times New Roman , serif" w:hAnsi="Times New Roman , serif"/>
                <w:sz w:val="24"/>
                <w:szCs w:val="24"/>
              </w:rPr>
              <w:t>īstamākas;</w:t>
            </w:r>
          </w:p>
          <w:p w:rsidR="005D767B" w:rsidRPr="002C1A71" w:rsidRDefault="005D767B" w:rsidP="00913673">
            <w:pPr>
              <w:pStyle w:val="NoSpacing"/>
              <w:numPr>
                <w:ilvl w:val="0"/>
                <w:numId w:val="17"/>
              </w:numPr>
              <w:ind w:left="0" w:right="141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71">
              <w:rPr>
                <w:rFonts w:ascii="Times New Roman , serif" w:hAnsi="Times New Roman , serif"/>
                <w:sz w:val="24"/>
                <w:szCs w:val="24"/>
              </w:rPr>
              <w:t xml:space="preserve">darba devēju uzrunāšana, </w:t>
            </w:r>
            <w:proofErr w:type="gramStart"/>
            <w:r w:rsidRPr="002C1A71">
              <w:rPr>
                <w:rFonts w:ascii="Times New Roman , serif" w:hAnsi="Times New Roman , serif"/>
                <w:sz w:val="24"/>
                <w:szCs w:val="24"/>
              </w:rPr>
              <w:t>skaidrojot specifiskus darba drošības un darba tiesību jautājumus un to risināšanas iespējas</w:t>
            </w:r>
            <w:proofErr w:type="gramEnd"/>
            <w:r w:rsidRPr="002C1A71">
              <w:rPr>
                <w:rFonts w:ascii="Times New Roman , serif" w:hAnsi="Times New Roman , serif"/>
                <w:sz w:val="24"/>
                <w:szCs w:val="24"/>
              </w:rPr>
              <w:t xml:space="preserve"> ir individuāli risināmi jautājumi, kas neprasa kampaņu organizēšanu, kuras ietvaros skaidrot, ka vispār darba drošība jāievēro vai vispār jābūt tiesiskai darba videi. </w:t>
            </w:r>
          </w:p>
          <w:p w:rsidR="00263373" w:rsidRPr="002C1A71" w:rsidRDefault="002C1A71" w:rsidP="005D767B">
            <w:pPr>
              <w:pStyle w:val="NoSpacing"/>
              <w:numPr>
                <w:ilvl w:val="0"/>
                <w:numId w:val="17"/>
              </w:numPr>
              <w:ind w:left="0" w:right="141" w:hanging="11"/>
              <w:jc w:val="both"/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m</w:t>
            </w:r>
            <w:r w:rsidRPr="001158DE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 xml:space="preserve">inētā kampaņa tika papildus ieplānota </w:t>
            </w:r>
            <w:proofErr w:type="gramStart"/>
            <w:r w:rsidRPr="001158DE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2011.gadā</w:t>
            </w:r>
            <w:proofErr w:type="gramEnd"/>
            <w:r w:rsidRPr="001158DE"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 xml:space="preserve"> projekta realizācijas procesā</w:t>
            </w:r>
            <w:r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 xml:space="preserve"> (tā sākotnēji projektā netika plānota), pamatojoties uz ietaupījumiem projektā;</w:t>
            </w:r>
          </w:p>
          <w:p w:rsidR="002C1A71" w:rsidRPr="001B399C" w:rsidRDefault="002C1A71" w:rsidP="005D767B">
            <w:pPr>
              <w:pStyle w:val="NoSpacing"/>
              <w:numPr>
                <w:ilvl w:val="0"/>
                <w:numId w:val="17"/>
              </w:numPr>
              <w:ind w:left="0" w:right="141" w:hanging="11"/>
              <w:jc w:val="both"/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HTMLTypewriter"/>
                <w:rFonts w:ascii="Times New Roman" w:eastAsiaTheme="minorHAnsi" w:hAnsi="Times New Roman" w:cs="Times New Roman"/>
                <w:sz w:val="24"/>
                <w:szCs w:val="24"/>
              </w:rPr>
              <w:t>līdzīgi informēšanas pasākumi tika īstenoti jau citās LDDK projekta aktivitātēs (piemēram,</w:t>
            </w:r>
            <w:r w:rsidRPr="001158DE">
              <w:t xml:space="preserve"> </w:t>
            </w:r>
            <w:r w:rsidRPr="002C1A71">
              <w:rPr>
                <w:rFonts w:ascii="Times New Roman" w:hAnsi="Times New Roman" w:cs="Times New Roman"/>
                <w:sz w:val="24"/>
                <w:szCs w:val="24"/>
              </w:rPr>
              <w:t>darba devēji tiek regulāri konsultēti darba ties</w:t>
            </w:r>
            <w:r w:rsidR="001B399C">
              <w:rPr>
                <w:rFonts w:ascii="Times New Roman" w:hAnsi="Times New Roman" w:cs="Times New Roman"/>
                <w:sz w:val="24"/>
                <w:szCs w:val="24"/>
              </w:rPr>
              <w:t xml:space="preserve">ību un darba aizsardzības jomā izveidotajos </w:t>
            </w:r>
            <w:r w:rsidRPr="002C1A7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B399C">
              <w:rPr>
                <w:rFonts w:ascii="Times New Roman" w:hAnsi="Times New Roman" w:cs="Times New Roman"/>
                <w:sz w:val="24"/>
                <w:szCs w:val="24"/>
              </w:rPr>
              <w:t xml:space="preserve">DDK konsultatīvajos centros, </w:t>
            </w:r>
            <w:r w:rsidR="001B399C" w:rsidRPr="001B399C">
              <w:rPr>
                <w:rFonts w:ascii="Times New Roman" w:hAnsi="Times New Roman" w:cs="Times New Roman"/>
                <w:sz w:val="24"/>
                <w:szCs w:val="24"/>
              </w:rPr>
              <w:t>uzņēmējdarbības videi sniegts atbalsts darba vides novērtēšanā, darba vides risku dokumentēšanā, darba aizsardzības pasākumu plāna izstrādē un fizikālo darba vides risku mērījumu veikšanā</w:t>
            </w:r>
            <w:r w:rsidR="001B3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399C" w:rsidRPr="001158DE">
              <w:t xml:space="preserve"> </w:t>
            </w:r>
            <w:r w:rsidR="001B399C" w:rsidRPr="001B399C">
              <w:rPr>
                <w:rFonts w:ascii="Times New Roman" w:hAnsi="Times New Roman" w:cs="Times New Roman"/>
                <w:sz w:val="24"/>
                <w:szCs w:val="24"/>
              </w:rPr>
              <w:t>izstrādāti normatīvie akti par darba aizsardzības jautājumiem, kā arī</w:t>
            </w:r>
            <w:r w:rsidR="001B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9C" w:rsidRPr="001B399C">
              <w:rPr>
                <w:rFonts w:ascii="Times New Roman" w:hAnsi="Times New Roman" w:cs="Times New Roman"/>
                <w:sz w:val="24"/>
                <w:szCs w:val="24"/>
              </w:rPr>
              <w:t>tika organizētas darba devēju, darba aizsardzības speciālistu apmācības par darba tiesību un darbu aizsardzības jautājumiem</w:t>
            </w:r>
            <w:r w:rsidR="001B39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690E" w:rsidRPr="0037690E" w:rsidRDefault="006F0248" w:rsidP="0037690E">
            <w:pPr>
              <w:pStyle w:val="NoSpacing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 xml:space="preserve">Tāpat ietaupījumu veido arī </w:t>
            </w:r>
            <w:r w:rsidR="00054B20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 xml:space="preserve">projekta </w:t>
            </w:r>
            <w:r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>neparedzēto izmaksu svītrošana no abiem projektiem</w:t>
            </w:r>
            <w:r w:rsidR="00054B20"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 xml:space="preserve"> (projektu īstenošanas laikā neradās nepieciešamība izmantot projekta neparedzētās izmaksas)</w:t>
            </w:r>
            <w:r>
              <w:rPr>
                <w:rStyle w:val="HTMLTypewriter"/>
                <w:rFonts w:ascii="Times New Roman" w:eastAsia="Calibri" w:hAnsi="Times New Roman" w:cs="Times New Roman"/>
                <w:sz w:val="24"/>
                <w:szCs w:val="24"/>
              </w:rPr>
              <w:t>, kā arī projektu ietvaros noslēgto atsevišķu līgumu izpildes summas bija mazākas par sākotnēji plānotajām (t.sk., PVN likmes maiņas dēļ).</w:t>
            </w:r>
          </w:p>
          <w:p w:rsidR="00B13ACC" w:rsidRDefault="00404E01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 kā LDDK un LBAS projektu īstenošana ir noslēgusies, nepiecieš</w:t>
            </w:r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ams precizēt atbilstoši faktiskajam finansējuma izlietojumam arī projektu maksimālo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attiecināmo izmaksu kopsummas (ņemot vērā finanšu līdzekļu ietaupījumus abos projektos).</w:t>
            </w:r>
          </w:p>
          <w:p w:rsidR="00B13ACC" w:rsidRDefault="00B13ACC" w:rsidP="00404E0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Ņemot vērā, ka darbības programmas „Cilvēkresursi un nodarbinātība” papildinājuma 1.3.1.3.2.apakšaktivitāte „Darba attiecību un darba drošības normatīvo aktu praktiska piemērošana nozarēs un uzņēmumos” (turpmāk – 1.3.1.3.2.apakšaktivitāte) un 1.3.1.3.2.apakšaktivitātes ietvaros īstenojamie projekti noslēdzās </w:t>
            </w:r>
            <w:proofErr w:type="gramStart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2013.gadā</w:t>
            </w:r>
            <w:proofErr w:type="gramEnd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 tad a</w:t>
            </w:r>
            <w:r w:rsidR="001E7CA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tiecīgi netika izstrādāti MK noteikumu Nr.152 groz</w:t>
            </w:r>
            <w:r w:rsidR="00E53049"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ījumi, ar kuriem tiktu aizstāti lati ar</w:t>
            </w:r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04E01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 Tā kā ar </w:t>
            </w:r>
            <w:proofErr w:type="gramStart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2014.gadu</w:t>
            </w:r>
            <w:proofErr w:type="gramEnd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Latvijas nacionālā valūta ir </w:t>
            </w:r>
            <w:proofErr w:type="spellStart"/>
            <w:r w:rsidRPr="00404E01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un, lai nodrošinātu tiesiskā regulējama atbilstību pašreizējai situācijai, ir nepieciešams</w:t>
            </w:r>
            <w:r w:rsidR="00E53049"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MK noteikumu Nr.152 punktus, kuri satur informāciju latos, </w:t>
            </w:r>
            <w:r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53049"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aizstāt ar </w:t>
            </w:r>
            <w:proofErr w:type="spellStart"/>
            <w:r w:rsidR="00E53049" w:rsidRPr="00404E01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E53049" w:rsidRPr="00404E0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piemērojot </w:t>
            </w:r>
            <w:r w:rsidR="00E53049" w:rsidRPr="00404E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61762" w:rsidRPr="00E61762">
              <w:rPr>
                <w:rFonts w:ascii="Times New Roman" w:hAnsi="Times New Roman" w:cs="Times New Roman"/>
                <w:iCs/>
                <w:sz w:val="24"/>
                <w:szCs w:val="24"/>
              </w:rPr>
              <w:t>EIKL</w:t>
            </w:r>
            <w:r w:rsidR="00E53049" w:rsidRPr="00404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6.panta </w:t>
            </w:r>
            <w:r w:rsidR="00AE3E27">
              <w:t xml:space="preserve"> </w:t>
            </w:r>
            <w:r w:rsidR="00AE3E27" w:rsidRPr="00AE3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 </w:t>
            </w:r>
            <w:r w:rsidR="00AE3E27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32.panta otrās daļas 2.apakšpunkta</w:t>
            </w:r>
            <w:r w:rsidR="00AE3E27" w:rsidRPr="00AE3E2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53049" w:rsidRPr="00404E01">
              <w:rPr>
                <w:rFonts w:ascii="Times New Roman" w:hAnsi="Times New Roman" w:cs="Times New Roman"/>
                <w:iCs/>
                <w:sz w:val="24"/>
                <w:szCs w:val="24"/>
              </w:rPr>
              <w:t>principu</w:t>
            </w:r>
            <w:r w:rsidR="00404E01" w:rsidRPr="00404E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04E01" w:rsidRPr="00404E0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 xml:space="preserve">(skat. pielikumā normatīvajā aktā ietverto skaitļu pārrēķinu no latiem uz </w:t>
            </w:r>
            <w:proofErr w:type="spellStart"/>
            <w:r w:rsidR="00404E01" w:rsidRPr="00404E0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404E01" w:rsidRPr="00404E01"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E53049" w:rsidRPr="00404E0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350DD" w:rsidRPr="00404E01" w:rsidRDefault="000350DD" w:rsidP="00404E01">
            <w:pPr>
              <w:pStyle w:val="NoSpacing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MK noteikumu projekta 1., 2. un 3.punkts tiek grozīts atbilstoši Labklājības ministrijas rosināto grozījumu darbības programmas</w:t>
            </w:r>
            <w:r w:rsidR="00B25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„Cilvēkresursi un nodarbinātība” papildinājumā 1.7.apakšpunktam</w:t>
            </w:r>
            <w:r w:rsidR="008D5E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D5EF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 ievērojot </w:t>
            </w:r>
            <w:r w:rsidR="00D66022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EIKL</w:t>
            </w:r>
            <w:r w:rsidR="008D5EF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8D5EF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32.panta</w:t>
            </w:r>
            <w:proofErr w:type="gramEnd"/>
            <w:r w:rsidR="008D5EF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otrās daļas 2.apakšpunktā paredzētos </w:t>
            </w:r>
            <w:r w:rsidR="00E61762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noapaļošanas </w:t>
            </w:r>
            <w:r w:rsidR="008D5EF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principu</w:t>
            </w:r>
            <w:r w:rsidR="00E61762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B25CCA">
              <w:rPr>
                <w:rFonts w:ascii="Times New Roman" w:hAnsi="Times New Roman" w:cs="Times New Roman"/>
                <w:iCs/>
                <w:sz w:val="24"/>
                <w:szCs w:val="24"/>
              </w:rPr>
              <w:t>, bet MK noteikumu projekta 4. un 5.punkts tie</w:t>
            </w:r>
            <w:r w:rsidR="00C87AA6">
              <w:rPr>
                <w:rFonts w:ascii="Times New Roman" w:hAnsi="Times New Roman" w:cs="Times New Roman"/>
                <w:iCs/>
                <w:sz w:val="24"/>
                <w:szCs w:val="24"/>
              </w:rPr>
              <w:t>k grozīts ievērojot EIKL 6.pantā</w:t>
            </w:r>
            <w:r w:rsidR="00B25C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87A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87AA6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paredzētos  noapaļošanas principus</w:t>
            </w:r>
            <w:r w:rsidR="00B25CCA" w:rsidRPr="008878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04E01" w:rsidRDefault="00404E01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4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</w:t>
            </w:r>
            <w:r w:rsidR="00A95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vukārt MK noteikumu projekta 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  <w:r w:rsidR="00A95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 un 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404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punktā tiek veikti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grozījumi MK noteikumu Nr.152</w:t>
            </w:r>
            <w:r w:rsidRPr="00404E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1.pielikumā - projekta iesnieguma veidlapā, jo 1.pielikumā esošā projekta iesnieguma veidlapa ir pielikums līgumam par projekta īstenošanu.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Neskatoties uz to, ka LDDK un LBAS projektu īstenošana ir noslēgusies, pēc projekta beigām </w:t>
            </w:r>
            <w:r w:rsidR="00A954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varētu tikt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veikti projektu gala finanšu aprēķini, kas projekta veidlapā jau tiks atspoguļoti </w:t>
            </w:r>
            <w:proofErr w:type="spellStart"/>
            <w:r w:rsidRPr="00404E0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25CCA" w:rsidRDefault="00B25CCA" w:rsidP="00B25CCA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>MK notei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kumu Nr.152 25</w:t>
            </w:r>
            <w:r w:rsidRPr="00404E01">
              <w:rPr>
                <w:rFonts w:ascii="Times New Roman" w:hAnsi="Times New Roman" w:cs="Times New Roman"/>
                <w:sz w:val="24"/>
                <w:szCs w:val="24"/>
              </w:rPr>
              <w:t xml:space="preserve">.1.12.apakšpunktā pāreja uz </w:t>
            </w:r>
            <w:proofErr w:type="spellStart"/>
            <w:r w:rsidRPr="00404E01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04E01">
              <w:rPr>
                <w:rFonts w:ascii="Times New Roman" w:hAnsi="Times New Roman" w:cs="Times New Roman"/>
                <w:sz w:val="24"/>
                <w:szCs w:val="24"/>
              </w:rPr>
              <w:t xml:space="preserve"> nav veikta, jo </w:t>
            </w:r>
            <w:r w:rsidRPr="00404E0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projekta atbilstība minētajiem projekta vērtēšanas kritērijiem tika vērtēta, iesniedzot projektu. Projektu atlase ir noslēgusies un papildu projektu atlases netiek plānotas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</w:t>
            </w:r>
          </w:p>
          <w:p w:rsidR="00B25CCA" w:rsidRDefault="00B25CCA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C1A56" w:rsidRPr="00064954" w:rsidRDefault="003B0FBE" w:rsidP="00404E01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954">
              <w:rPr>
                <w:rFonts w:ascii="Times New Roman" w:hAnsi="Times New Roman" w:cs="Times New Roman"/>
                <w:sz w:val="24"/>
                <w:szCs w:val="24"/>
              </w:rPr>
              <w:t>Ņemot vērā iepriekš minēto, nepieciešams veikt grozījumus</w:t>
            </w:r>
            <w:r w:rsidR="00C8100C">
              <w:rPr>
                <w:rFonts w:ascii="Times New Roman" w:hAnsi="Times New Roman" w:cs="Times New Roman"/>
                <w:sz w:val="24"/>
                <w:szCs w:val="24"/>
              </w:rPr>
              <w:t xml:space="preserve"> MK noteikumos Nr.152</w:t>
            </w:r>
            <w:r w:rsidR="00064954" w:rsidRPr="00064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100C">
              <w:rPr>
                <w:rFonts w:ascii="Times New Roman" w:hAnsi="Times New Roman" w:cs="Times New Roman"/>
                <w:sz w:val="24"/>
                <w:szCs w:val="24"/>
              </w:rPr>
              <w:t xml:space="preserve">samazinot apakšaktivitātes kopējo attiecināmo finansējumu par </w:t>
            </w:r>
            <w:r w:rsidR="00A954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293 675</w:t>
            </w:r>
            <w:r w:rsidR="00C8100C" w:rsidRPr="00C810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8100C" w:rsidRPr="00C810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D47B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kā arī piemērojot citiem noteikumu punktiem </w:t>
            </w:r>
            <w:proofErr w:type="spellStart"/>
            <w:r w:rsidR="00D47BD7" w:rsidRPr="00D47B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E5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C1A56" w:rsidRPr="00DD49B6" w:rsidTr="001E645F">
        <w:trPr>
          <w:trHeight w:val="476"/>
        </w:trPr>
        <w:tc>
          <w:tcPr>
            <w:tcW w:w="227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566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207" w:type="pct"/>
          </w:tcPr>
          <w:p w:rsidR="00CC1A56" w:rsidRPr="0093520F" w:rsidRDefault="0084797A" w:rsidP="0084797A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</w:t>
            </w:r>
            <w:r w:rsidR="002A161A" w:rsidRPr="0093520F">
              <w:rPr>
                <w:rFonts w:ascii="Times New Roman" w:hAnsi="Times New Roman" w:cs="Times New Roman"/>
                <w:sz w:val="24"/>
                <w:szCs w:val="24"/>
              </w:rPr>
              <w:t xml:space="preserve"> projekts šo jomu neskar</w:t>
            </w:r>
            <w:r w:rsidR="0093520F" w:rsidRPr="00935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DD49B6" w:rsidTr="001E645F">
        <w:tc>
          <w:tcPr>
            <w:tcW w:w="227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566" w:type="pct"/>
          </w:tcPr>
          <w:p w:rsidR="00CC1A56" w:rsidRPr="00DD49B6" w:rsidRDefault="00CC1A56" w:rsidP="007D385B">
            <w:pPr>
              <w:pStyle w:val="naiskr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3207" w:type="pct"/>
          </w:tcPr>
          <w:p w:rsidR="00CC1A56" w:rsidRPr="008878FE" w:rsidRDefault="009B00B1" w:rsidP="00C8100C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Finansējuma pārdale tiek ierosināta, ņemot vērā </w:t>
            </w:r>
            <w:proofErr w:type="gramStart"/>
            <w:r w:rsidRPr="0088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2014.gada</w:t>
            </w:r>
            <w:proofErr w:type="gramEnd"/>
            <w:r w:rsidRPr="0088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19.februāra Koalīcijas partneru darba grupas Par</w:t>
            </w:r>
            <w:r w:rsidRPr="008878FE">
              <w:rPr>
                <w:rFonts w:ascii="Helv" w:hAnsi="Helv" w:cs="Helv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78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 struktūrfondu un Kohēzijas fonda jautājumiem protokola 1.3.apakšpunktā un 4.a) punktā noteikto.</w:t>
            </w:r>
          </w:p>
        </w:tc>
      </w:tr>
    </w:tbl>
    <w:p w:rsidR="0084797A" w:rsidRDefault="0084797A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Default="001B399C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Default="001B399C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Default="001B399C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Pr="00DD49B6" w:rsidRDefault="001B399C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1273"/>
        <w:gridCol w:w="1538"/>
        <w:gridCol w:w="1150"/>
        <w:gridCol w:w="1194"/>
        <w:gridCol w:w="1240"/>
      </w:tblGrid>
      <w:tr w:rsidR="00CC1A56" w:rsidRPr="00DD49B6" w:rsidTr="00E452B1">
        <w:trPr>
          <w:trHeight w:val="361"/>
          <w:jc w:val="center"/>
        </w:trPr>
        <w:tc>
          <w:tcPr>
            <w:tcW w:w="9577" w:type="dxa"/>
            <w:gridSpan w:val="6"/>
            <w:vAlign w:val="center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DD49B6">
              <w:br w:type="page"/>
            </w:r>
            <w:r w:rsidRPr="00DD49B6">
              <w:rPr>
                <w:b/>
              </w:rPr>
              <w:t>III. Tiesību akta projekta ietekme uz valsts budžetu un pašvaldību budžetiem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  <w:vMerge w:val="restart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DD49B6">
              <w:rPr>
                <w:b/>
              </w:rPr>
              <w:t>Rādītāji</w:t>
            </w:r>
          </w:p>
        </w:tc>
        <w:tc>
          <w:tcPr>
            <w:tcW w:w="2811" w:type="dxa"/>
            <w:gridSpan w:val="2"/>
            <w:vMerge w:val="restart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2014.</w:t>
            </w:r>
            <w:r w:rsidRPr="00DD49B6">
              <w:rPr>
                <w:b/>
              </w:rPr>
              <w:t>gad</w:t>
            </w:r>
            <w:r w:rsidRPr="00962BF1">
              <w:rPr>
                <w:b/>
              </w:rPr>
              <w:t>s</w:t>
            </w:r>
            <w:proofErr w:type="gramEnd"/>
          </w:p>
        </w:tc>
        <w:tc>
          <w:tcPr>
            <w:tcW w:w="3584" w:type="dxa"/>
            <w:gridSpan w:val="3"/>
            <w:vAlign w:val="center"/>
          </w:tcPr>
          <w:p w:rsidR="00CC1A56" w:rsidRPr="00DD49B6" w:rsidRDefault="00D22893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Turpmākie trīs gadi (</w:t>
            </w:r>
            <w:proofErr w:type="spellStart"/>
            <w:r w:rsidRPr="00D22893">
              <w:rPr>
                <w:i/>
              </w:rPr>
              <w:t>euro</w:t>
            </w:r>
            <w:proofErr w:type="spellEnd"/>
            <w:r w:rsidR="00CC1A56" w:rsidRPr="00DD49B6">
              <w:t>)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  <w:vMerge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2811" w:type="dxa"/>
            <w:gridSpan w:val="2"/>
            <w:vMerge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15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2015.</w:t>
            </w:r>
          </w:p>
        </w:tc>
        <w:tc>
          <w:tcPr>
            <w:tcW w:w="1194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2016.</w:t>
            </w:r>
          </w:p>
        </w:tc>
        <w:tc>
          <w:tcPr>
            <w:tcW w:w="124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2017.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  <w:vMerge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73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s</w:t>
            </w:r>
            <w:r w:rsidRPr="00DD49B6">
              <w:t>askaņā ar valsts budžetu kārtējam gadam</w:t>
            </w:r>
          </w:p>
        </w:tc>
        <w:tc>
          <w:tcPr>
            <w:tcW w:w="1538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i</w:t>
            </w:r>
            <w:r w:rsidRPr="00DD49B6">
              <w:t>zmaiņas kārtējā gadā, salīdzinot ar valsts budžetu kārtējam gadam</w:t>
            </w:r>
          </w:p>
        </w:tc>
        <w:tc>
          <w:tcPr>
            <w:tcW w:w="115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i</w:t>
            </w:r>
            <w:r w:rsidRPr="00DD49B6">
              <w:t>zmaiņas, salīdzinot ar kārtējo (n) gadu</w:t>
            </w:r>
          </w:p>
        </w:tc>
        <w:tc>
          <w:tcPr>
            <w:tcW w:w="1194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i</w:t>
            </w:r>
            <w:r w:rsidRPr="00DD49B6">
              <w:t>zmaiņas, salīdzinot ar kārtējo (n) gadu</w:t>
            </w:r>
          </w:p>
        </w:tc>
        <w:tc>
          <w:tcPr>
            <w:tcW w:w="124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t>i</w:t>
            </w:r>
            <w:r w:rsidRPr="00DD49B6">
              <w:t>zmaiņas, salīdzinot ar kārtējo (n) gadu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1</w:t>
            </w:r>
          </w:p>
        </w:tc>
        <w:tc>
          <w:tcPr>
            <w:tcW w:w="1273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2</w:t>
            </w:r>
          </w:p>
        </w:tc>
        <w:tc>
          <w:tcPr>
            <w:tcW w:w="1538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3</w:t>
            </w:r>
          </w:p>
        </w:tc>
        <w:tc>
          <w:tcPr>
            <w:tcW w:w="115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4</w:t>
            </w:r>
          </w:p>
        </w:tc>
        <w:tc>
          <w:tcPr>
            <w:tcW w:w="1194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5</w:t>
            </w:r>
          </w:p>
        </w:tc>
        <w:tc>
          <w:tcPr>
            <w:tcW w:w="1240" w:type="dxa"/>
            <w:vAlign w:val="center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jc w:val="center"/>
              <w:rPr>
                <w:bCs/>
              </w:rPr>
            </w:pPr>
            <w:r w:rsidRPr="00DD49B6">
              <w:rPr>
                <w:bCs/>
              </w:rPr>
              <w:t>6</w:t>
            </w:r>
          </w:p>
        </w:tc>
      </w:tr>
      <w:tr w:rsidR="00C8100C" w:rsidRPr="00DD49B6" w:rsidTr="00E452B1">
        <w:trPr>
          <w:jc w:val="center"/>
        </w:trPr>
        <w:tc>
          <w:tcPr>
            <w:tcW w:w="3182" w:type="dxa"/>
          </w:tcPr>
          <w:p w:rsidR="00C8100C" w:rsidRPr="00DD49B6" w:rsidRDefault="00C8100C" w:rsidP="00E452B1">
            <w:pPr>
              <w:pStyle w:val="naisf"/>
              <w:spacing w:before="0" w:beforeAutospacing="0" w:after="0" w:afterAutospacing="0"/>
              <w:rPr>
                <w:i/>
              </w:rPr>
            </w:pPr>
            <w:r w:rsidRPr="00DD49B6">
              <w:t>1. Budžeta ieņēmumi:</w:t>
            </w:r>
          </w:p>
        </w:tc>
        <w:tc>
          <w:tcPr>
            <w:tcW w:w="1273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693 171</w:t>
            </w:r>
          </w:p>
        </w:tc>
        <w:tc>
          <w:tcPr>
            <w:tcW w:w="1538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-242 733</w:t>
            </w:r>
          </w:p>
        </w:tc>
        <w:tc>
          <w:tcPr>
            <w:tcW w:w="115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-693 171</w:t>
            </w:r>
          </w:p>
        </w:tc>
        <w:tc>
          <w:tcPr>
            <w:tcW w:w="1194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-693 171</w:t>
            </w:r>
          </w:p>
        </w:tc>
        <w:tc>
          <w:tcPr>
            <w:tcW w:w="124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-693 171</w:t>
            </w:r>
          </w:p>
        </w:tc>
      </w:tr>
      <w:tr w:rsidR="00C8100C" w:rsidRPr="00DD49B6" w:rsidTr="00E452B1">
        <w:trPr>
          <w:jc w:val="center"/>
        </w:trPr>
        <w:tc>
          <w:tcPr>
            <w:tcW w:w="3182" w:type="dxa"/>
          </w:tcPr>
          <w:p w:rsidR="00C8100C" w:rsidRPr="00DD49B6" w:rsidRDefault="00C8100C" w:rsidP="00E4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2. Budžeta izdevumi:</w:t>
            </w:r>
          </w:p>
        </w:tc>
        <w:tc>
          <w:tcPr>
            <w:tcW w:w="1273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815 495</w:t>
            </w:r>
          </w:p>
        </w:tc>
        <w:tc>
          <w:tcPr>
            <w:tcW w:w="1538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-285 568</w:t>
            </w:r>
          </w:p>
        </w:tc>
        <w:tc>
          <w:tcPr>
            <w:tcW w:w="115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-815 495</w:t>
            </w:r>
          </w:p>
        </w:tc>
        <w:tc>
          <w:tcPr>
            <w:tcW w:w="1194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-815 495</w:t>
            </w:r>
          </w:p>
        </w:tc>
        <w:tc>
          <w:tcPr>
            <w:tcW w:w="124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-815 495</w:t>
            </w:r>
          </w:p>
        </w:tc>
      </w:tr>
      <w:tr w:rsidR="00C8100C" w:rsidRPr="00DD49B6" w:rsidTr="00C8100C">
        <w:trPr>
          <w:jc w:val="center"/>
        </w:trPr>
        <w:tc>
          <w:tcPr>
            <w:tcW w:w="3182" w:type="dxa"/>
          </w:tcPr>
          <w:p w:rsidR="00C8100C" w:rsidRPr="00DD49B6" w:rsidRDefault="00C8100C" w:rsidP="00E4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3. Finansiālā ietekme: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100C" w:rsidRPr="00290E11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290E11">
              <w:rPr>
                <w:b/>
                <w:i/>
              </w:rPr>
              <w:t>-122 324</w:t>
            </w:r>
          </w:p>
        </w:tc>
        <w:tc>
          <w:tcPr>
            <w:tcW w:w="1538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42 835</w:t>
            </w:r>
          </w:p>
        </w:tc>
        <w:tc>
          <w:tcPr>
            <w:tcW w:w="115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122 324</w:t>
            </w:r>
          </w:p>
        </w:tc>
        <w:tc>
          <w:tcPr>
            <w:tcW w:w="1194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122 324</w:t>
            </w:r>
          </w:p>
        </w:tc>
        <w:tc>
          <w:tcPr>
            <w:tcW w:w="1240" w:type="dxa"/>
          </w:tcPr>
          <w:p w:rsidR="00C8100C" w:rsidRPr="00DD49B6" w:rsidRDefault="00C8100C" w:rsidP="00C8100C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122 324</w:t>
            </w:r>
          </w:p>
        </w:tc>
      </w:tr>
      <w:tr w:rsidR="002B0D05" w:rsidRPr="00DD49B6" w:rsidTr="00E452B1">
        <w:trPr>
          <w:trHeight w:val="1380"/>
          <w:jc w:val="center"/>
        </w:trPr>
        <w:tc>
          <w:tcPr>
            <w:tcW w:w="3182" w:type="dxa"/>
          </w:tcPr>
          <w:p w:rsidR="002B0D05" w:rsidRPr="00DD49B6" w:rsidRDefault="002B0D05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 xml:space="preserve">4. Finanšu līdzekļi papildu izdevumu finansēšanai (kompensējošu izdevumu samazinājumu norāda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 xml:space="preserve"> zīmi)</w:t>
            </w:r>
          </w:p>
        </w:tc>
        <w:tc>
          <w:tcPr>
            <w:tcW w:w="1273" w:type="dxa"/>
          </w:tcPr>
          <w:p w:rsidR="002B0D05" w:rsidRPr="00E61B13" w:rsidRDefault="002B0D05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61B13">
              <w:rPr>
                <w:b/>
              </w:rPr>
              <w:t>X</w:t>
            </w:r>
          </w:p>
        </w:tc>
        <w:tc>
          <w:tcPr>
            <w:tcW w:w="1538" w:type="dxa"/>
          </w:tcPr>
          <w:p w:rsidR="002B0D05" w:rsidRPr="00E61B13" w:rsidRDefault="002B0D05" w:rsidP="002B0D05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61B13">
              <w:rPr>
                <w:b/>
              </w:rPr>
              <w:t>0</w:t>
            </w:r>
          </w:p>
        </w:tc>
        <w:tc>
          <w:tcPr>
            <w:tcW w:w="1150" w:type="dxa"/>
          </w:tcPr>
          <w:p w:rsidR="002B0D05" w:rsidRPr="00E61B13" w:rsidRDefault="002B0D05" w:rsidP="002B0D05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61B13">
              <w:rPr>
                <w:b/>
              </w:rPr>
              <w:t>0</w:t>
            </w:r>
          </w:p>
        </w:tc>
        <w:tc>
          <w:tcPr>
            <w:tcW w:w="1194" w:type="dxa"/>
          </w:tcPr>
          <w:p w:rsidR="002B0D05" w:rsidRPr="00E61B13" w:rsidRDefault="002B0D05" w:rsidP="002B0D05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61B13">
              <w:rPr>
                <w:b/>
              </w:rPr>
              <w:t>0</w:t>
            </w:r>
          </w:p>
        </w:tc>
        <w:tc>
          <w:tcPr>
            <w:tcW w:w="1240" w:type="dxa"/>
          </w:tcPr>
          <w:p w:rsidR="002B0D05" w:rsidRPr="00E61B13" w:rsidRDefault="002B0D05" w:rsidP="002B0D05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E61B13">
              <w:rPr>
                <w:b/>
              </w:rPr>
              <w:t>0</w:t>
            </w:r>
          </w:p>
        </w:tc>
      </w:tr>
      <w:tr w:rsidR="002B0D05" w:rsidRPr="00DD49B6" w:rsidTr="00E452B1">
        <w:trPr>
          <w:jc w:val="center"/>
        </w:trPr>
        <w:tc>
          <w:tcPr>
            <w:tcW w:w="3182" w:type="dxa"/>
          </w:tcPr>
          <w:p w:rsidR="002B0D05" w:rsidRPr="00DD49B6" w:rsidRDefault="002B0D05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5. Precizēta finansiālā ietekme:</w:t>
            </w:r>
          </w:p>
        </w:tc>
        <w:tc>
          <w:tcPr>
            <w:tcW w:w="1273" w:type="dxa"/>
          </w:tcPr>
          <w:p w:rsidR="002B0D05" w:rsidRPr="00E61B13" w:rsidRDefault="002B0D05" w:rsidP="007D385B">
            <w:pPr>
              <w:pStyle w:val="naisf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E61B13">
              <w:rPr>
                <w:b/>
              </w:rPr>
              <w:t>X</w:t>
            </w:r>
          </w:p>
        </w:tc>
        <w:tc>
          <w:tcPr>
            <w:tcW w:w="1538" w:type="dxa"/>
          </w:tcPr>
          <w:p w:rsidR="002B0D05" w:rsidRPr="00BD76EA" w:rsidRDefault="002B0D05" w:rsidP="002B0D05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BD76EA">
              <w:rPr>
                <w:b/>
              </w:rPr>
              <w:t>N/A</w:t>
            </w:r>
          </w:p>
        </w:tc>
        <w:tc>
          <w:tcPr>
            <w:tcW w:w="1150" w:type="dxa"/>
          </w:tcPr>
          <w:p w:rsidR="002B0D05" w:rsidRPr="00BD76EA" w:rsidRDefault="002B0D05" w:rsidP="002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EA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194" w:type="dxa"/>
          </w:tcPr>
          <w:p w:rsidR="002B0D05" w:rsidRPr="00BD76EA" w:rsidRDefault="002B0D05" w:rsidP="002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EA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1240" w:type="dxa"/>
          </w:tcPr>
          <w:p w:rsidR="002B0D05" w:rsidRPr="00BD76EA" w:rsidRDefault="002B0D05" w:rsidP="002B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6EA"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  <w:shd w:val="clear" w:color="auto" w:fill="auto"/>
          </w:tcPr>
          <w:p w:rsidR="00CC1A56" w:rsidRPr="00DD49B6" w:rsidRDefault="00CC1A56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6. Detalizēts ieņēmumu un izdevumu aprēķins (ja nepie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ciešams, detalizētu ieņēmumu un izdevumu aprēķinu var 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vienot anotācijas pielikumā):</w:t>
            </w:r>
          </w:p>
        </w:tc>
        <w:tc>
          <w:tcPr>
            <w:tcW w:w="6395" w:type="dxa"/>
            <w:gridSpan w:val="5"/>
            <w:vMerge w:val="restart"/>
            <w:shd w:val="clear" w:color="auto" w:fill="auto"/>
            <w:vAlign w:val="center"/>
          </w:tcPr>
          <w:p w:rsidR="00C8100C" w:rsidRPr="00C8100C" w:rsidRDefault="00C8100C" w:rsidP="00C810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Budžeta izdevumi ir kopējie maksājumi finansējuma saņēmējiem attiecīgajā gadā, un budžeta ieņēmumi ir finansējuma ESF daļa. ESF finansējuma apmērs ir 85% no kopējām attiecināmajām projektu izmaksām.</w:t>
            </w:r>
          </w:p>
          <w:p w:rsidR="00C8100C" w:rsidRPr="00C8100C" w:rsidRDefault="00C8100C" w:rsidP="00C810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Apakšaktivitātei pieejamais attiecināmais finansējums ir 9 223 412 EUR, tai skaitā ESF finansējums 7 839 900 EUR un valsts budžeta finansējums 1 383 512 EUR. Projektu ieviešanai pieejamais attiecināmais fin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 xml:space="preserve">ansējums ir par 46,20 EUR </w:t>
            </w:r>
            <w:proofErr w:type="gramStart"/>
            <w:r w:rsidR="00A9542D">
              <w:rPr>
                <w:rFonts w:ascii="Times New Roman" w:hAnsi="Times New Roman" w:cs="Times New Roman"/>
                <w:sz w:val="24"/>
                <w:szCs w:val="24"/>
              </w:rPr>
              <w:t>mazāk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s kā</w:t>
            </w:r>
            <w:proofErr w:type="gramEnd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norādīts MK 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noteikumos Nr.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. Starpību veido pēc 08.05.2012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konstatētas neatbilstoši veiktas izmaksas.</w:t>
            </w:r>
          </w:p>
          <w:p w:rsidR="00C8100C" w:rsidRPr="00C8100C" w:rsidRDefault="00C8100C" w:rsidP="00C810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No 2008. līdz </w:t>
            </w:r>
            <w:proofErr w:type="gramStart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2013.gadam</w:t>
            </w:r>
            <w:proofErr w:type="gramEnd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projektiem veikti avansa un starpposma maksājumi  8 693 43</w:t>
            </w:r>
            <w:r w:rsidR="0061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EUR apmērā, tai skaitā ESF finansējums 7 389 421 EUR apmērā un valsts b</w:t>
            </w:r>
            <w:r w:rsidR="00613BBD">
              <w:rPr>
                <w:rFonts w:ascii="Times New Roman" w:hAnsi="Times New Roman" w:cs="Times New Roman"/>
                <w:sz w:val="24"/>
                <w:szCs w:val="24"/>
              </w:rPr>
              <w:t>udžeta līdzfinansējums 1 304 015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 EUR apmērā.</w:t>
            </w:r>
          </w:p>
          <w:p w:rsidR="00C8100C" w:rsidRPr="00C8100C" w:rsidRDefault="00C8100C" w:rsidP="00C810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2014. gadā plānots veikt gala maksājumus 529 927 EUR apmērā, tai skaitā ESF finansējums 450 438 EUR apmērā un valsts budžeta līdzfinansējums 79 489 EUR apmērā.</w:t>
            </w:r>
          </w:p>
          <w:p w:rsidR="00CC1A56" w:rsidRPr="00C8100C" w:rsidRDefault="00C8100C" w:rsidP="00A9542D">
            <w:pPr>
              <w:pStyle w:val="NoSpacing"/>
              <w:jc w:val="both"/>
            </w:pP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Saskaņā ar likumu „Par valsts budžetu </w:t>
            </w:r>
            <w:proofErr w:type="gramStart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2014.gadam</w:t>
            </w:r>
            <w:proofErr w:type="gramEnd"/>
            <w:r w:rsidRPr="00C8100C">
              <w:rPr>
                <w:rFonts w:ascii="Times New Roman" w:hAnsi="Times New Roman" w:cs="Times New Roman"/>
                <w:sz w:val="24"/>
                <w:szCs w:val="24"/>
              </w:rPr>
              <w:t xml:space="preserve">” apakšaktivitātes finansēšanai paredzēts finansējums 815 495 EUR apmērā un tas ir indikatīvi par 285 568 EUR vairāk kā nepieciešams gala maksājumu veikšanai finansējuma saņēmējiem. Finansējuma atlikumu plānots pārdalīt 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aktivitātes un 1.3.1.5.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 xml:space="preserve">aktivitātes otrās kārtas </w:t>
            </w:r>
            <w:r w:rsidRPr="00C8100C">
              <w:rPr>
                <w:rFonts w:ascii="Times New Roman" w:hAnsi="Times New Roman" w:cs="Times New Roman"/>
                <w:sz w:val="24"/>
                <w:szCs w:val="24"/>
              </w:rPr>
              <w:t>ieviešanai.</w:t>
            </w: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</w:tcPr>
          <w:p w:rsidR="00CC1A56" w:rsidRPr="00DD49B6" w:rsidRDefault="00CC1A56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6.1. detalizēts ieņēmumu aprēķins</w:t>
            </w:r>
          </w:p>
        </w:tc>
        <w:tc>
          <w:tcPr>
            <w:tcW w:w="6395" w:type="dxa"/>
            <w:gridSpan w:val="5"/>
            <w:vMerge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C1A56" w:rsidRPr="00DD49B6" w:rsidTr="00E452B1">
        <w:trPr>
          <w:jc w:val="center"/>
        </w:trPr>
        <w:tc>
          <w:tcPr>
            <w:tcW w:w="3182" w:type="dxa"/>
          </w:tcPr>
          <w:p w:rsidR="00CC1A56" w:rsidRPr="00DD49B6" w:rsidRDefault="00CC1A56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6395" w:type="dxa"/>
            <w:gridSpan w:val="5"/>
            <w:vMerge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CC1A56" w:rsidRPr="00DD49B6" w:rsidTr="00E452B1">
        <w:trPr>
          <w:trHeight w:val="556"/>
          <w:jc w:val="center"/>
        </w:trPr>
        <w:tc>
          <w:tcPr>
            <w:tcW w:w="3182" w:type="dxa"/>
          </w:tcPr>
          <w:p w:rsidR="00CC1A56" w:rsidRPr="00DD49B6" w:rsidRDefault="00CC1A56" w:rsidP="007D38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Cita informācija</w:t>
            </w:r>
          </w:p>
        </w:tc>
        <w:tc>
          <w:tcPr>
            <w:tcW w:w="6395" w:type="dxa"/>
            <w:gridSpan w:val="5"/>
          </w:tcPr>
          <w:p w:rsidR="00CC1A56" w:rsidRDefault="009A4FFA" w:rsidP="009A4FFA">
            <w:pPr>
              <w:pStyle w:val="naisf"/>
              <w:tabs>
                <w:tab w:val="left" w:pos="4644"/>
              </w:tabs>
              <w:spacing w:before="0" w:beforeAutospacing="0" w:after="0" w:afterAutospacing="0"/>
              <w:jc w:val="both"/>
            </w:pPr>
            <w:r>
              <w:t>N</w:t>
            </w:r>
            <w:r w:rsidRPr="009729F2">
              <w:t xml:space="preserve">ormas, kas saistītas ar pāreju uz </w:t>
            </w:r>
            <w:proofErr w:type="spellStart"/>
            <w:r w:rsidRPr="009729F2">
              <w:rPr>
                <w:i/>
              </w:rPr>
              <w:t>euro</w:t>
            </w:r>
            <w:proofErr w:type="spellEnd"/>
            <w:r>
              <w:t>, nera</w:t>
            </w:r>
            <w:r w:rsidRPr="009729F2">
              <w:t>da ievērojamu negatī</w:t>
            </w:r>
            <w:r>
              <w:t>vu ietekmi uz valsts budžetu.</w:t>
            </w:r>
          </w:p>
          <w:p w:rsidR="00054B20" w:rsidRPr="009A4FFA" w:rsidRDefault="00054B20" w:rsidP="009A4FFA">
            <w:pPr>
              <w:pStyle w:val="naisf"/>
              <w:tabs>
                <w:tab w:val="left" w:pos="4644"/>
              </w:tabs>
              <w:spacing w:before="0" w:beforeAutospacing="0" w:after="0" w:afterAutospacing="0"/>
              <w:jc w:val="both"/>
            </w:pPr>
            <w:r>
              <w:t>V</w:t>
            </w:r>
            <w:r w:rsidRPr="0029634E">
              <w:t>eicot finansējuma pārdali</w:t>
            </w:r>
            <w:r>
              <w:t xml:space="preserve"> no LDDK un LBAS projektiem uz 1.3.1.5.aktivitātes otro kārtu</w:t>
            </w:r>
            <w:r w:rsidRPr="0029634E">
              <w:t xml:space="preserve">, tiek nodrošināta atbilstība MK </w:t>
            </w:r>
            <w:proofErr w:type="gramStart"/>
            <w:r w:rsidRPr="0029634E">
              <w:t>2012.gada</w:t>
            </w:r>
            <w:proofErr w:type="gramEnd"/>
            <w:r w:rsidRPr="0029634E">
              <w:t xml:space="preserve"> 8.maija </w:t>
            </w:r>
            <w:proofErr w:type="spellStart"/>
            <w:r w:rsidRPr="0029634E">
              <w:t>protokollēmuma</w:t>
            </w:r>
            <w:proofErr w:type="spellEnd"/>
            <w:r w:rsidRPr="0029634E">
              <w:t xml:space="preserve"> Nr.25 26.§ 7.punktam, kas nosaka, ka, ja Eiropas Savienības struktūrfondu un Kohēzijas fonda (turpmāk - ES fondi)  prioritātes ietvaros kādā no aktivitātēm ir uzņemtas </w:t>
            </w:r>
            <w:proofErr w:type="spellStart"/>
            <w:r w:rsidRPr="0029634E">
              <w:t>virssaistības</w:t>
            </w:r>
            <w:proofErr w:type="spellEnd"/>
            <w:r w:rsidRPr="0029634E">
              <w:t xml:space="preserve"> un kādā šīs prioritātes projektā ir konstatēta neatbilstība vai tiek lauzts līgums, atbrīvotais finansējums neatbilstoši veikto izdevumu apmērā nevar tikt novirzīts citu ES fonda projektu īstenošanai.</w:t>
            </w:r>
          </w:p>
        </w:tc>
      </w:tr>
    </w:tbl>
    <w:p w:rsidR="00CC1A56" w:rsidRPr="00DD49B6" w:rsidRDefault="00CC1A56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728"/>
        <w:gridCol w:w="6313"/>
      </w:tblGrid>
      <w:tr w:rsidR="00CC1A56" w:rsidRPr="00DD49B6" w:rsidTr="007D385B">
        <w:trPr>
          <w:trHeight w:val="461"/>
          <w:jc w:val="center"/>
        </w:trPr>
        <w:tc>
          <w:tcPr>
            <w:tcW w:w="9511" w:type="dxa"/>
            <w:gridSpan w:val="3"/>
            <w:vAlign w:val="center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DD49B6">
              <w:br w:type="page"/>
            </w:r>
            <w:r w:rsidRPr="00DD49B6">
              <w:rPr>
                <w:b/>
              </w:rPr>
              <w:t>IV. Tiesību akta projekta ietekme uz spēkā esošo tiesību normu sistēmu</w:t>
            </w:r>
          </w:p>
        </w:tc>
      </w:tr>
      <w:tr w:rsidR="00CC1A56" w:rsidRPr="00DD49B6" w:rsidTr="007D385B">
        <w:trPr>
          <w:jc w:val="center"/>
        </w:trPr>
        <w:tc>
          <w:tcPr>
            <w:tcW w:w="470" w:type="dxa"/>
          </w:tcPr>
          <w:p w:rsidR="00CC1A56" w:rsidRPr="008D13E2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8D13E2">
              <w:rPr>
                <w:iCs/>
              </w:rPr>
              <w:t>1.</w:t>
            </w:r>
          </w:p>
        </w:tc>
        <w:tc>
          <w:tcPr>
            <w:tcW w:w="2728" w:type="dxa"/>
          </w:tcPr>
          <w:p w:rsidR="00CC1A56" w:rsidRPr="008D13E2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8D13E2">
              <w:t>Nepieciešamie saistītie tiesību aktu projekti</w:t>
            </w:r>
          </w:p>
        </w:tc>
        <w:tc>
          <w:tcPr>
            <w:tcW w:w="6313" w:type="dxa"/>
          </w:tcPr>
          <w:p w:rsidR="00E53049" w:rsidRDefault="0084797A" w:rsidP="004A5D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</w:t>
            </w:r>
            <w:r w:rsidR="00365B8E" w:rsidRPr="008D13E2">
              <w:rPr>
                <w:rFonts w:ascii="Times New Roman" w:hAnsi="Times New Roman" w:cs="Times New Roman"/>
                <w:sz w:val="24"/>
                <w:szCs w:val="24"/>
              </w:rPr>
              <w:t xml:space="preserve"> projekts rada nepieciešamīb</w:t>
            </w:r>
            <w:r w:rsidR="004A5D27">
              <w:rPr>
                <w:rFonts w:ascii="Times New Roman" w:hAnsi="Times New Roman" w:cs="Times New Roman"/>
                <w:sz w:val="24"/>
                <w:szCs w:val="24"/>
              </w:rPr>
              <w:t>u veikt atbilstošus grozījumus</w:t>
            </w:r>
            <w:r w:rsidR="00E530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3049" w:rsidRPr="00E53049" w:rsidRDefault="008E6D76" w:rsidP="00E5304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3049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Ministru kabineta </w:t>
            </w:r>
            <w:proofErr w:type="gramStart"/>
            <w:r w:rsidR="00E53049" w:rsidRPr="00064954">
              <w:rPr>
                <w:rFonts w:ascii="Times New Roman" w:hAnsi="Times New Roman" w:cs="Times New Roman"/>
                <w:sz w:val="24"/>
                <w:szCs w:val="24"/>
              </w:rPr>
              <w:t>2007.gada</w:t>
            </w:r>
            <w:proofErr w:type="gramEnd"/>
            <w:r w:rsidR="00E53049" w:rsidRPr="00064954">
              <w:rPr>
                <w:rFonts w:ascii="Times New Roman" w:hAnsi="Times New Roman" w:cs="Times New Roman"/>
                <w:sz w:val="24"/>
                <w:szCs w:val="24"/>
              </w:rPr>
              <w:t xml:space="preserve"> 30.oktobra noteikumos Nr.731 ”Noteikumi par darbības programmas ”Cilvēkresursi un nodarbinātība” papildinājuma aktivitāti ”Kapacitātes stiprināšana darba tirgus institūcijām””</w:t>
            </w:r>
            <w:r w:rsidR="0084797A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Nr.731)</w:t>
            </w:r>
            <w:r w:rsidR="00A81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49" w:rsidRPr="00A81CF1" w:rsidRDefault="00A81CF1" w:rsidP="00E5304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81CF1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Ministru kabineta </w:t>
            </w:r>
            <w:proofErr w:type="gramStart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>2011.gada</w:t>
            </w:r>
            <w:proofErr w:type="gramEnd"/>
            <w:r w:rsidRPr="00A81CF1">
              <w:rPr>
                <w:rFonts w:ascii="Times New Roman" w:hAnsi="Times New Roman" w:cs="Times New Roman"/>
                <w:sz w:val="24"/>
                <w:szCs w:val="24"/>
              </w:rPr>
              <w:t xml:space="preserve"> 27.decembra noteikumos Nr.996 „Noteikumi par darbības programmas „Cilvēkresursi un nodarbinātība” papildinājuma 1.3.1.5.aktivitātes „Vietējo nodarbinātības veicināšanas pasākumu plānu ieviešanas atbalsts” otro kārtu””</w:t>
            </w:r>
            <w:r w:rsidR="0084797A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Nr.996)</w:t>
            </w:r>
            <w:r w:rsidR="00A95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A56" w:rsidRPr="00E53049" w:rsidRDefault="00365B8E" w:rsidP="00E530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E53049">
              <w:rPr>
                <w:rFonts w:ascii="Times New Roman" w:hAnsi="Times New Roman" w:cs="Times New Roman"/>
                <w:sz w:val="24"/>
                <w:szCs w:val="24"/>
              </w:rPr>
              <w:t>Minētie grozījumi tiesību aktos tiks iesniegti Valsts kancelejā izskatīšanai MK sē</w:t>
            </w:r>
            <w:r w:rsidR="008878FE">
              <w:rPr>
                <w:rFonts w:ascii="Times New Roman" w:hAnsi="Times New Roman" w:cs="Times New Roman"/>
                <w:sz w:val="24"/>
                <w:szCs w:val="24"/>
              </w:rPr>
              <w:t xml:space="preserve">dē indikatīvi </w:t>
            </w:r>
            <w:proofErr w:type="gramStart"/>
            <w:r w:rsidR="008878FE">
              <w:rPr>
                <w:rFonts w:ascii="Times New Roman" w:hAnsi="Times New Roman" w:cs="Times New Roman"/>
                <w:sz w:val="24"/>
                <w:szCs w:val="24"/>
              </w:rPr>
              <w:t>2014.gada</w:t>
            </w:r>
            <w:proofErr w:type="gramEnd"/>
            <w:r w:rsidR="008878FE">
              <w:rPr>
                <w:rFonts w:ascii="Times New Roman" w:hAnsi="Times New Roman" w:cs="Times New Roman"/>
                <w:sz w:val="24"/>
                <w:szCs w:val="24"/>
              </w:rPr>
              <w:t xml:space="preserve"> martā</w:t>
            </w:r>
            <w:r w:rsidRPr="00E5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DD49B6" w:rsidTr="007D385B">
        <w:trPr>
          <w:jc w:val="center"/>
        </w:trPr>
        <w:tc>
          <w:tcPr>
            <w:tcW w:w="470" w:type="dxa"/>
          </w:tcPr>
          <w:p w:rsidR="00CC1A56" w:rsidRPr="00DD49B6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D49B6">
              <w:rPr>
                <w:iCs/>
              </w:rPr>
              <w:t>2.</w:t>
            </w:r>
          </w:p>
        </w:tc>
        <w:tc>
          <w:tcPr>
            <w:tcW w:w="2728" w:type="dxa"/>
          </w:tcPr>
          <w:p w:rsidR="00CC1A56" w:rsidRPr="00DD49B6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</w:pPr>
            <w:r w:rsidRPr="00DD49B6">
              <w:t>Atbildīgā institūcija</w:t>
            </w:r>
          </w:p>
        </w:tc>
        <w:tc>
          <w:tcPr>
            <w:tcW w:w="6313" w:type="dxa"/>
          </w:tcPr>
          <w:p w:rsidR="00CC1A56" w:rsidRPr="00DD49B6" w:rsidRDefault="0055242A" w:rsidP="007D38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Labklājības ministrija</w:t>
            </w:r>
          </w:p>
        </w:tc>
      </w:tr>
      <w:tr w:rsidR="00CC1A56" w:rsidRPr="00DD49B6" w:rsidTr="007D385B">
        <w:trPr>
          <w:jc w:val="center"/>
        </w:trPr>
        <w:tc>
          <w:tcPr>
            <w:tcW w:w="470" w:type="dxa"/>
          </w:tcPr>
          <w:p w:rsidR="00CC1A56" w:rsidRPr="00DD49B6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D49B6">
              <w:rPr>
                <w:iCs/>
              </w:rPr>
              <w:t>3.</w:t>
            </w:r>
          </w:p>
        </w:tc>
        <w:tc>
          <w:tcPr>
            <w:tcW w:w="2728" w:type="dxa"/>
          </w:tcPr>
          <w:p w:rsidR="00CC1A56" w:rsidRPr="00DD49B6" w:rsidRDefault="00CC1A56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 w:rsidRPr="00DD49B6">
              <w:t>Cita informācija</w:t>
            </w:r>
          </w:p>
        </w:tc>
        <w:tc>
          <w:tcPr>
            <w:tcW w:w="6313" w:type="dxa"/>
          </w:tcPr>
          <w:p w:rsidR="00CC1A56" w:rsidRDefault="00A9542D" w:rsidP="007D385B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>MK noteikumu projekts var tikt virzīts izskatīšanai Ministru kabinetā vienlaikus</w:t>
            </w:r>
            <w:proofErr w:type="gramStart"/>
            <w:r>
              <w:rPr>
                <w:iCs/>
              </w:rPr>
              <w:t xml:space="preserve"> vai pēc attiecīgu grozījumu darbības programmas „Cilvēkresursi un nodarbinātība” papildinājumā izskatīšanas Ministru kabinetā</w:t>
            </w:r>
            <w:proofErr w:type="gramEnd"/>
            <w:r>
              <w:rPr>
                <w:iCs/>
              </w:rPr>
              <w:t>.</w:t>
            </w:r>
          </w:p>
          <w:p w:rsidR="0084797A" w:rsidRPr="00DD49B6" w:rsidRDefault="0084797A" w:rsidP="0084797A">
            <w:pPr>
              <w:pStyle w:val="naiskr"/>
              <w:tabs>
                <w:tab w:val="left" w:pos="2628"/>
              </w:tabs>
              <w:spacing w:before="0" w:beforeAutospacing="0" w:after="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MK noteikumu projekts </w:t>
            </w:r>
            <w:r w:rsidRPr="00426B10">
              <w:t xml:space="preserve">tiks virzīts izskatīšanai MK sēdē vienlaicīgi ar attiecīgajiem grozījumiem </w:t>
            </w:r>
            <w:r>
              <w:t>MK noteikumos Nr.731 un MK noteikumos Nr.996.</w:t>
            </w:r>
          </w:p>
        </w:tc>
      </w:tr>
    </w:tbl>
    <w:p w:rsidR="00CC1A56" w:rsidRDefault="00CC1A56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E01" w:rsidRPr="00DD49B6" w:rsidDel="009D1634" w:rsidRDefault="00404E01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CC1A56" w:rsidRPr="00DD49B6" w:rsidTr="007D385B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VI. Sabiedrības līdzdalība un komunikācijas aktivitātes</w:t>
            </w:r>
          </w:p>
        </w:tc>
      </w:tr>
      <w:tr w:rsidR="00CC1A56" w:rsidRPr="00DD49B6" w:rsidTr="007D385B">
        <w:trPr>
          <w:trHeight w:val="553"/>
          <w:jc w:val="center"/>
        </w:trPr>
        <w:tc>
          <w:tcPr>
            <w:tcW w:w="476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CC1A56" w:rsidRPr="00DD49B6" w:rsidRDefault="00CC1A56" w:rsidP="007D385B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CC1A56" w:rsidRPr="00DD49B6" w:rsidRDefault="002874DE" w:rsidP="008E6D76">
            <w:pPr>
              <w:shd w:val="clear" w:color="auto" w:fill="FFFFFF"/>
              <w:spacing w:after="0" w:line="240" w:lineRule="auto"/>
              <w:ind w:left="169" w:right="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61"/>
            <w:bookmarkEnd w:id="0"/>
            <w:r w:rsidRPr="008E6D76">
              <w:rPr>
                <w:rFonts w:ascii="Times New Roman" w:hAnsi="Times New Roman" w:cs="Times New Roman"/>
                <w:sz w:val="24"/>
                <w:szCs w:val="24"/>
              </w:rPr>
              <w:t>Sabiedrības līdz</w:t>
            </w:r>
            <w:r w:rsidR="008E6D76" w:rsidRPr="008E6D76">
              <w:rPr>
                <w:rFonts w:ascii="Times New Roman" w:hAnsi="Times New Roman" w:cs="Times New Roman"/>
                <w:sz w:val="24"/>
                <w:szCs w:val="24"/>
              </w:rPr>
              <w:t>dalība nebija nepiecieš</w:t>
            </w:r>
            <w:r w:rsidR="00A81CF1">
              <w:rPr>
                <w:rFonts w:ascii="Times New Roman" w:hAnsi="Times New Roman" w:cs="Times New Roman"/>
                <w:sz w:val="24"/>
                <w:szCs w:val="24"/>
              </w:rPr>
              <w:t>ama, jo 1.3.1.3.2</w:t>
            </w:r>
            <w:r w:rsidR="008E6D76" w:rsidRPr="008E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1CF1">
              <w:rPr>
                <w:rFonts w:ascii="Times New Roman" w:hAnsi="Times New Roman" w:cs="Times New Roman"/>
                <w:sz w:val="24"/>
                <w:szCs w:val="24"/>
              </w:rPr>
              <w:t>apakš</w:t>
            </w:r>
            <w:r w:rsidR="008E6D76" w:rsidRPr="008E6D76">
              <w:rPr>
                <w:rFonts w:ascii="Times New Roman" w:hAnsi="Times New Roman" w:cs="Times New Roman"/>
                <w:sz w:val="24"/>
                <w:szCs w:val="24"/>
              </w:rPr>
              <w:t>aktiv</w:t>
            </w:r>
            <w:r w:rsidR="00A81CF1">
              <w:rPr>
                <w:rFonts w:ascii="Times New Roman" w:hAnsi="Times New Roman" w:cs="Times New Roman"/>
                <w:sz w:val="24"/>
                <w:szCs w:val="24"/>
              </w:rPr>
              <w:t xml:space="preserve">itātes īstenošana noslēdzās </w:t>
            </w:r>
            <w:proofErr w:type="gramStart"/>
            <w:r w:rsidR="00A81CF1">
              <w:rPr>
                <w:rFonts w:ascii="Times New Roman" w:hAnsi="Times New Roman" w:cs="Times New Roman"/>
                <w:sz w:val="24"/>
                <w:szCs w:val="24"/>
              </w:rPr>
              <w:t>2013.gada</w:t>
            </w:r>
            <w:proofErr w:type="gramEnd"/>
            <w:r w:rsidR="00A81CF1">
              <w:rPr>
                <w:rFonts w:ascii="Times New Roman" w:hAnsi="Times New Roman" w:cs="Times New Roman"/>
                <w:sz w:val="24"/>
                <w:szCs w:val="24"/>
              </w:rPr>
              <w:t xml:space="preserve"> 31.decembrī</w:t>
            </w:r>
            <w:r w:rsidR="008E6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DD49B6" w:rsidTr="007D385B">
        <w:trPr>
          <w:trHeight w:val="339"/>
          <w:jc w:val="center"/>
        </w:trPr>
        <w:tc>
          <w:tcPr>
            <w:tcW w:w="476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6206" w:type="dxa"/>
          </w:tcPr>
          <w:p w:rsidR="00CC1A56" w:rsidRPr="00DD49B6" w:rsidRDefault="0084797A" w:rsidP="007D385B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1" w:name="p62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MK noteikumu</w:t>
            </w:r>
            <w:r w:rsidR="00514DDD" w:rsidRPr="0093520F">
              <w:rPr>
                <w:rFonts w:ascii="Times New Roman" w:hAnsi="Times New Roman" w:cs="Times New Roman"/>
                <w:sz w:val="24"/>
                <w:szCs w:val="24"/>
              </w:rPr>
              <w:t xml:space="preserve"> projekts šo jomu neskar.</w:t>
            </w:r>
          </w:p>
        </w:tc>
      </w:tr>
      <w:tr w:rsidR="00CC1A56" w:rsidRPr="00DD49B6" w:rsidTr="007D385B">
        <w:trPr>
          <w:trHeight w:val="476"/>
          <w:jc w:val="center"/>
        </w:trPr>
        <w:tc>
          <w:tcPr>
            <w:tcW w:w="476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6206" w:type="dxa"/>
          </w:tcPr>
          <w:p w:rsidR="00CC1A56" w:rsidRPr="00DD49B6" w:rsidRDefault="0084797A" w:rsidP="007D385B">
            <w:pPr>
              <w:shd w:val="clear" w:color="auto" w:fill="FFFFFF"/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</w:t>
            </w:r>
            <w:r w:rsidR="00514DDD" w:rsidRPr="0093520F">
              <w:rPr>
                <w:rFonts w:ascii="Times New Roman" w:hAnsi="Times New Roman" w:cs="Times New Roman"/>
                <w:sz w:val="24"/>
                <w:szCs w:val="24"/>
              </w:rPr>
              <w:t xml:space="preserve"> projekts šo jomu neskar.</w:t>
            </w:r>
          </w:p>
        </w:tc>
      </w:tr>
      <w:tr w:rsidR="00CC1A56" w:rsidRPr="00DD49B6" w:rsidTr="007D385B">
        <w:trPr>
          <w:trHeight w:val="476"/>
          <w:jc w:val="center"/>
        </w:trPr>
        <w:tc>
          <w:tcPr>
            <w:tcW w:w="476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9B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CC1A56" w:rsidRPr="00DD49B6" w:rsidRDefault="00CC1A56" w:rsidP="007D385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D49B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06" w:type="dxa"/>
          </w:tcPr>
          <w:p w:rsidR="00CC1A56" w:rsidRPr="00DD49B6" w:rsidRDefault="00514DDD" w:rsidP="007D385B">
            <w:pPr>
              <w:spacing w:after="0" w:line="240" w:lineRule="auto"/>
              <w:ind w:left="169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CC1A56" w:rsidRPr="00DD49B6" w:rsidRDefault="00CC1A56" w:rsidP="00CC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"/>
        <w:gridCol w:w="3615"/>
        <w:gridCol w:w="5466"/>
      </w:tblGrid>
      <w:tr w:rsidR="00CC1A56" w:rsidRPr="00DD49B6" w:rsidTr="007D385B">
        <w:trPr>
          <w:trHeight w:val="381"/>
          <w:jc w:val="center"/>
        </w:trPr>
        <w:tc>
          <w:tcPr>
            <w:tcW w:w="9518" w:type="dxa"/>
            <w:gridSpan w:val="3"/>
            <w:vAlign w:val="center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DD49B6">
              <w:rPr>
                <w:b/>
              </w:rPr>
              <w:t>VII. Tiesību akta projekta izpildes nodrošināšana un tās ietekme uz institūcijām</w:t>
            </w:r>
          </w:p>
        </w:tc>
      </w:tr>
      <w:tr w:rsidR="00CC1A56" w:rsidRPr="00DD49B6" w:rsidTr="007D385B">
        <w:trPr>
          <w:trHeight w:val="427"/>
          <w:jc w:val="center"/>
        </w:trPr>
        <w:tc>
          <w:tcPr>
            <w:tcW w:w="437" w:type="dxa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3615" w:type="dxa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izpildē iesaistītās institūcijas</w:t>
            </w:r>
          </w:p>
        </w:tc>
        <w:tc>
          <w:tcPr>
            <w:tcW w:w="5466" w:type="dxa"/>
          </w:tcPr>
          <w:p w:rsidR="00CC1A56" w:rsidRPr="00DD49B6" w:rsidRDefault="006E3024" w:rsidP="007D38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bookmarkStart w:id="2" w:name="p66"/>
            <w:bookmarkStart w:id="3" w:name="p67"/>
            <w:bookmarkStart w:id="4" w:name="p68"/>
            <w:bookmarkStart w:id="5" w:name="p69"/>
            <w:bookmarkEnd w:id="2"/>
            <w:bookmarkEnd w:id="3"/>
            <w:bookmarkEnd w:id="4"/>
            <w:bookmarkEnd w:id="5"/>
            <w:r w:rsidRPr="006E3024">
              <w:rPr>
                <w:rFonts w:ascii="Times New Roman" w:hAnsi="Times New Roman" w:cs="Times New Roman"/>
                <w:sz w:val="24"/>
                <w:szCs w:val="24"/>
              </w:rPr>
              <w:t>Labklājības ministrija kā E</w:t>
            </w:r>
            <w:r w:rsidR="00774AFB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6E3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74AFB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Pr="006E3024">
              <w:rPr>
                <w:rFonts w:ascii="Times New Roman" w:hAnsi="Times New Roman" w:cs="Times New Roman"/>
                <w:sz w:val="24"/>
                <w:szCs w:val="24"/>
              </w:rPr>
              <w:t xml:space="preserve"> fondu atbildīgā iestāde, Nodarbinātības valsts aģentūra kā E</w:t>
            </w:r>
            <w:r w:rsidR="00D44056">
              <w:rPr>
                <w:rFonts w:ascii="Times New Roman" w:hAnsi="Times New Roman" w:cs="Times New Roman"/>
                <w:sz w:val="24"/>
                <w:szCs w:val="24"/>
              </w:rPr>
              <w:t xml:space="preserve">iropas </w:t>
            </w:r>
            <w:r w:rsidRPr="006E30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44056">
              <w:rPr>
                <w:rFonts w:ascii="Times New Roman" w:hAnsi="Times New Roman" w:cs="Times New Roman"/>
                <w:sz w:val="24"/>
                <w:szCs w:val="24"/>
              </w:rPr>
              <w:t>avienības</w:t>
            </w:r>
            <w:r w:rsidR="00A81CF1">
              <w:rPr>
                <w:rFonts w:ascii="Times New Roman" w:hAnsi="Times New Roman" w:cs="Times New Roman"/>
                <w:sz w:val="24"/>
                <w:szCs w:val="24"/>
              </w:rPr>
              <w:t xml:space="preserve"> fondu sadarbības iestāde</w:t>
            </w:r>
            <w:r w:rsidRPr="006E3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1A56" w:rsidRPr="00DD49B6" w:rsidTr="007D385B">
        <w:trPr>
          <w:trHeight w:val="463"/>
          <w:jc w:val="center"/>
        </w:trPr>
        <w:tc>
          <w:tcPr>
            <w:tcW w:w="437" w:type="dxa"/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3615" w:type="dxa"/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Projekta izpildes iet</w:t>
            </w:r>
            <w:r>
              <w:t>ekme uz pār</w:t>
            </w:r>
            <w:r>
              <w:softHyphen/>
              <w:t xml:space="preserve">valdes funkcijām un </w:t>
            </w:r>
            <w:r w:rsidRPr="00DD49B6">
              <w:t>institucionālo struktūru.</w:t>
            </w:r>
          </w:p>
          <w:p w:rsidR="00CC1A56" w:rsidRPr="00DD49B6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Jaunu institūciju izveide, esošu institūciju likvidācija vai reorga</w:t>
            </w:r>
            <w:r>
              <w:softHyphen/>
            </w:r>
            <w:r w:rsidRPr="00DD49B6">
              <w:t xml:space="preserve">nizācija, to ietekme uz </w:t>
            </w:r>
            <w:r>
              <w:t>institūcijas cilvēkresursiem</w:t>
            </w:r>
          </w:p>
        </w:tc>
        <w:tc>
          <w:tcPr>
            <w:tcW w:w="5466" w:type="dxa"/>
          </w:tcPr>
          <w:p w:rsidR="00CC1A56" w:rsidRPr="00DD49B6" w:rsidRDefault="0084797A" w:rsidP="007D38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</w:t>
            </w:r>
            <w:r w:rsidR="00232033" w:rsidRPr="0093520F">
              <w:rPr>
                <w:rFonts w:ascii="Times New Roman" w:hAnsi="Times New Roman" w:cs="Times New Roman"/>
                <w:sz w:val="24"/>
                <w:szCs w:val="24"/>
              </w:rPr>
              <w:t xml:space="preserve"> projekts šo jomu neskar.</w:t>
            </w:r>
          </w:p>
        </w:tc>
      </w:tr>
      <w:tr w:rsidR="00CC1A56" w:rsidRPr="00DD49B6" w:rsidTr="007D385B">
        <w:trPr>
          <w:trHeight w:val="4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DD49B6" w:rsidRDefault="00CC1A56" w:rsidP="007D385B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DD49B6" w:rsidRDefault="00CC1A56" w:rsidP="007D385B">
            <w:pPr>
              <w:pStyle w:val="naisf"/>
              <w:spacing w:before="0" w:beforeAutospacing="0" w:after="0" w:afterAutospacing="0"/>
              <w:ind w:left="57" w:right="57"/>
            </w:pPr>
            <w:r w:rsidRPr="00DD49B6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6" w:rsidRPr="00DD49B6" w:rsidRDefault="00232033" w:rsidP="007D385B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166E6E" w:rsidRPr="00843389" w:rsidRDefault="00166E6E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389" w:rsidRDefault="00843389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89">
        <w:rPr>
          <w:rFonts w:ascii="Times New Roman" w:hAnsi="Times New Roman" w:cs="Times New Roman"/>
          <w:sz w:val="24"/>
          <w:szCs w:val="24"/>
        </w:rPr>
        <w:t xml:space="preserve">Anotācijas </w:t>
      </w:r>
      <w:r w:rsidR="00A81CF1">
        <w:rPr>
          <w:rFonts w:ascii="Times New Roman" w:hAnsi="Times New Roman" w:cs="Times New Roman"/>
          <w:sz w:val="24"/>
          <w:szCs w:val="24"/>
        </w:rPr>
        <w:t xml:space="preserve">II un </w:t>
      </w:r>
      <w:r w:rsidR="0084797A">
        <w:rPr>
          <w:rFonts w:ascii="Times New Roman" w:hAnsi="Times New Roman" w:cs="Times New Roman"/>
          <w:sz w:val="24"/>
          <w:szCs w:val="24"/>
        </w:rPr>
        <w:t>V sadaļa – MK noteikumu</w:t>
      </w:r>
      <w:r w:rsidRPr="00843389">
        <w:rPr>
          <w:rFonts w:ascii="Times New Roman" w:hAnsi="Times New Roman" w:cs="Times New Roman"/>
          <w:sz w:val="24"/>
          <w:szCs w:val="24"/>
        </w:rPr>
        <w:t xml:space="preserve"> projekts šo jomu neskar.</w:t>
      </w:r>
    </w:p>
    <w:p w:rsidR="00D473ED" w:rsidRDefault="00D473ED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2A7" w:rsidRDefault="007A52A7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Default="001B399C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D76" w:rsidRDefault="008E6D76" w:rsidP="008433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D473ED" w:rsidRDefault="0084797A" w:rsidP="00D473ED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ministrs</w:t>
      </w:r>
      <w:r>
        <w:rPr>
          <w:rFonts w:ascii="Times New Roman" w:hAnsi="Times New Roman" w:cs="Times New Roman"/>
          <w:sz w:val="28"/>
          <w:szCs w:val="28"/>
        </w:rPr>
        <w:tab/>
        <w:t>U.Augulis</w:t>
      </w:r>
    </w:p>
    <w:p w:rsidR="00D473ED" w:rsidRPr="00D473ED" w:rsidRDefault="00D473ED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Default="00D473ED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Default="0084797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CA" w:rsidRDefault="00B25CC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CA" w:rsidRDefault="00B25CC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CA" w:rsidRDefault="00B25CC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CA" w:rsidRDefault="00B25CC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99C" w:rsidRDefault="001B399C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CA" w:rsidRDefault="00B25CC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97A" w:rsidRPr="00D473ED" w:rsidRDefault="0084797A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D473ED" w:rsidRDefault="00D473ED" w:rsidP="00D47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3ED" w:rsidRPr="00D473ED" w:rsidRDefault="008878FE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9B00B1">
        <w:rPr>
          <w:rFonts w:ascii="Times New Roman" w:hAnsi="Times New Roman" w:cs="Times New Roman"/>
          <w:sz w:val="20"/>
          <w:szCs w:val="20"/>
        </w:rPr>
        <w:t>.03</w:t>
      </w:r>
      <w:r w:rsidR="00F07BB7">
        <w:rPr>
          <w:rFonts w:ascii="Times New Roman" w:hAnsi="Times New Roman" w:cs="Times New Roman"/>
          <w:sz w:val="20"/>
          <w:szCs w:val="20"/>
        </w:rPr>
        <w:t>.2014</w:t>
      </w:r>
      <w:r w:rsidR="00D473ED" w:rsidRPr="00D473ED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16:35</w:t>
      </w:r>
    </w:p>
    <w:p w:rsidR="00D473ED" w:rsidRPr="00D473ED" w:rsidRDefault="001B399C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9B00B1">
        <w:rPr>
          <w:rFonts w:ascii="Times New Roman" w:hAnsi="Times New Roman" w:cs="Times New Roman"/>
          <w:sz w:val="20"/>
          <w:szCs w:val="20"/>
        </w:rPr>
        <w:t>21</w:t>
      </w:r>
    </w:p>
    <w:p w:rsidR="00D473ED" w:rsidRPr="00D473ED" w:rsidRDefault="008E6D76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J.Laucis</w:t>
      </w:r>
      <w:r w:rsidR="00D473ED" w:rsidRPr="00D473ED">
        <w:rPr>
          <w:rFonts w:ascii="Times New Roman" w:hAnsi="Times New Roman" w:cs="Times New Roman"/>
          <w:sz w:val="20"/>
          <w:szCs w:val="20"/>
        </w:rPr>
        <w:t>, 67021660</w:t>
      </w:r>
    </w:p>
    <w:p w:rsidR="00D473ED" w:rsidRPr="00D473ED" w:rsidRDefault="008E6D76" w:rsidP="00D473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Janis.Laucis</w:t>
      </w:r>
      <w:bookmarkStart w:id="6" w:name="_GoBack"/>
      <w:bookmarkEnd w:id="6"/>
      <w:r w:rsidR="00D473ED" w:rsidRPr="00D473ED">
        <w:rPr>
          <w:rFonts w:ascii="Times New Roman" w:hAnsi="Times New Roman" w:cs="Times New Roman"/>
          <w:sz w:val="20"/>
          <w:szCs w:val="20"/>
        </w:rPr>
        <w:t>@lm.gov.lv</w:t>
      </w:r>
    </w:p>
    <w:sectPr w:rsidR="00D473ED" w:rsidRPr="00D473ED" w:rsidSect="006D6C82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049" w:rsidRDefault="00E53049" w:rsidP="006D6C82">
      <w:pPr>
        <w:spacing w:after="0" w:line="240" w:lineRule="auto"/>
      </w:pPr>
      <w:r>
        <w:separator/>
      </w:r>
    </w:p>
  </w:endnote>
  <w:endnote w:type="continuationSeparator" w:id="0">
    <w:p w:rsidR="00E53049" w:rsidRDefault="00E53049" w:rsidP="006D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F1" w:rsidRPr="00A81CF1" w:rsidRDefault="00E53049" w:rsidP="00A81CF1">
    <w:pPr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E169E">
      <w:rPr>
        <w:rFonts w:ascii="Times New Roman" w:hAnsi="Times New Roman" w:cs="Times New Roman"/>
        <w:sz w:val="20"/>
        <w:szCs w:val="20"/>
      </w:rPr>
      <w:t>LMAnot_</w:t>
    </w:r>
    <w:r w:rsidR="008878FE">
      <w:rPr>
        <w:rFonts w:ascii="Times New Roman" w:hAnsi="Times New Roman" w:cs="Times New Roman"/>
        <w:sz w:val="20"/>
        <w:szCs w:val="20"/>
      </w:rPr>
      <w:t>24</w:t>
    </w:r>
    <w:r w:rsidR="009B00B1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14;</w:t>
    </w:r>
    <w:r w:rsidRPr="008E6D7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A81CF1" w:rsidRPr="00A81CF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</w:t>
    </w:r>
    <w:proofErr w:type="gramStart"/>
    <w:r w:rsidR="00A81CF1" w:rsidRPr="00A81CF1">
      <w:rPr>
        <w:rFonts w:ascii="Times New Roman" w:eastAsia="Times New Roman" w:hAnsi="Times New Roman" w:cs="Times New Roman"/>
        <w:sz w:val="20"/>
        <w:szCs w:val="20"/>
        <w:lang w:eastAsia="lv-LV"/>
      </w:rPr>
      <w:t>2008.gada</w:t>
    </w:r>
    <w:proofErr w:type="gramEnd"/>
    <w:r w:rsidR="00A81CF1" w:rsidRPr="00A81CF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4.marta noteikumos Nr.152 „Noteikumi par darbības programmas „Cilvēkresursi un nodarbinātība” papildinājuma apakšaktivitāti „Darba attiecību un darba drošības normatīvo aktu praktiska piemērošana nozarēs un uzņēmumos””</w:t>
    </w:r>
  </w:p>
  <w:p w:rsidR="00E53049" w:rsidRPr="008E6D76" w:rsidRDefault="00E53049" w:rsidP="008E6D76">
    <w:pPr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049" w:rsidRPr="00A81CF1" w:rsidRDefault="00A81CF1" w:rsidP="00A81CF1">
    <w:pPr>
      <w:jc w:val="both"/>
      <w:rPr>
        <w:rFonts w:ascii="Times New Roman" w:eastAsia="Times New Roman" w:hAnsi="Times New Roman" w:cs="Times New Roman"/>
        <w:sz w:val="20"/>
        <w:szCs w:val="20"/>
        <w:lang w:eastAsia="lv-LV"/>
      </w:rPr>
    </w:pPr>
    <w:r w:rsidRPr="006E169E">
      <w:rPr>
        <w:rFonts w:ascii="Times New Roman" w:hAnsi="Times New Roman" w:cs="Times New Roman"/>
        <w:sz w:val="20"/>
        <w:szCs w:val="20"/>
      </w:rPr>
      <w:t>LMAnot_</w:t>
    </w:r>
    <w:r w:rsidR="008878FE">
      <w:rPr>
        <w:rFonts w:ascii="Times New Roman" w:hAnsi="Times New Roman" w:cs="Times New Roman"/>
        <w:sz w:val="20"/>
        <w:szCs w:val="20"/>
      </w:rPr>
      <w:t>24</w:t>
    </w:r>
    <w:r w:rsidR="009B00B1">
      <w:rPr>
        <w:rFonts w:ascii="Times New Roman" w:hAnsi="Times New Roman" w:cs="Times New Roman"/>
        <w:sz w:val="20"/>
        <w:szCs w:val="20"/>
      </w:rPr>
      <w:t>03</w:t>
    </w:r>
    <w:r>
      <w:rPr>
        <w:rFonts w:ascii="Times New Roman" w:hAnsi="Times New Roman" w:cs="Times New Roman"/>
        <w:sz w:val="20"/>
        <w:szCs w:val="20"/>
      </w:rPr>
      <w:t>14;</w:t>
    </w:r>
    <w:r w:rsidRPr="008E6D76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Pr="00A81CF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Grozījumi Ministru kabineta </w:t>
    </w:r>
    <w:proofErr w:type="gramStart"/>
    <w:r w:rsidRPr="00A81CF1">
      <w:rPr>
        <w:rFonts w:ascii="Times New Roman" w:eastAsia="Times New Roman" w:hAnsi="Times New Roman" w:cs="Times New Roman"/>
        <w:sz w:val="20"/>
        <w:szCs w:val="20"/>
        <w:lang w:eastAsia="lv-LV"/>
      </w:rPr>
      <w:t>2008.gada</w:t>
    </w:r>
    <w:proofErr w:type="gramEnd"/>
    <w:r w:rsidRPr="00A81CF1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4.marta noteikumos Nr.152 „Noteikumi par darbības programmas „Cilvēkresursi un nodarbinātība” papildinājuma apakšaktivitāti „Darba attiecību un darba drošības normatīvo aktu praktiska pie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mērošana nozarēs un uzņēmumos””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049" w:rsidRDefault="00E53049" w:rsidP="006D6C82">
      <w:pPr>
        <w:spacing w:after="0" w:line="240" w:lineRule="auto"/>
      </w:pPr>
      <w:r>
        <w:separator/>
      </w:r>
    </w:p>
  </w:footnote>
  <w:footnote w:type="continuationSeparator" w:id="0">
    <w:p w:rsidR="00E53049" w:rsidRDefault="00E53049" w:rsidP="006D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291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3049" w:rsidRDefault="00E530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8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53049" w:rsidRDefault="00E53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709"/>
    <w:multiLevelType w:val="hybridMultilevel"/>
    <w:tmpl w:val="0750CBEE"/>
    <w:lvl w:ilvl="0" w:tplc="2F92597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F04055"/>
    <w:multiLevelType w:val="hybridMultilevel"/>
    <w:tmpl w:val="7F58D8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D6E"/>
    <w:multiLevelType w:val="hybridMultilevel"/>
    <w:tmpl w:val="5DEE10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1E99"/>
    <w:multiLevelType w:val="hybridMultilevel"/>
    <w:tmpl w:val="FE50C8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7265"/>
    <w:multiLevelType w:val="hybridMultilevel"/>
    <w:tmpl w:val="C834F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4012"/>
    <w:multiLevelType w:val="hybridMultilevel"/>
    <w:tmpl w:val="8C0C3F72"/>
    <w:lvl w:ilvl="0" w:tplc="AF502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B523F"/>
    <w:multiLevelType w:val="hybridMultilevel"/>
    <w:tmpl w:val="F61E9D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80F3A"/>
    <w:multiLevelType w:val="hybridMultilevel"/>
    <w:tmpl w:val="3CF613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04E60"/>
    <w:multiLevelType w:val="hybridMultilevel"/>
    <w:tmpl w:val="26282DB4"/>
    <w:lvl w:ilvl="0" w:tplc="BA3C3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533FF"/>
    <w:multiLevelType w:val="hybridMultilevel"/>
    <w:tmpl w:val="03A08396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CD13B29"/>
    <w:multiLevelType w:val="hybridMultilevel"/>
    <w:tmpl w:val="D228E590"/>
    <w:lvl w:ilvl="0" w:tplc="51186D2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644C1"/>
    <w:multiLevelType w:val="hybridMultilevel"/>
    <w:tmpl w:val="A7B2CA6E"/>
    <w:lvl w:ilvl="0" w:tplc="2F92597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586917"/>
    <w:multiLevelType w:val="hybridMultilevel"/>
    <w:tmpl w:val="3B3E0B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25EAD"/>
    <w:multiLevelType w:val="hybridMultilevel"/>
    <w:tmpl w:val="052A9822"/>
    <w:lvl w:ilvl="0" w:tplc="BA3C3B3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B6CA18EE">
      <w:start w:val="1"/>
      <w:numFmt w:val="bullet"/>
      <w:lvlText w:val="•"/>
      <w:lvlJc w:val="left"/>
      <w:pPr>
        <w:ind w:left="1497" w:hanging="360"/>
      </w:pPr>
      <w:rPr>
        <w:rFonts w:ascii="Times New Roman" w:eastAsiaTheme="minorHAns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66C429B9"/>
    <w:multiLevelType w:val="hybridMultilevel"/>
    <w:tmpl w:val="903819C2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6F470F8"/>
    <w:multiLevelType w:val="hybridMultilevel"/>
    <w:tmpl w:val="2F1E01E8"/>
    <w:lvl w:ilvl="0" w:tplc="042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9053448"/>
    <w:multiLevelType w:val="hybridMultilevel"/>
    <w:tmpl w:val="ED683456"/>
    <w:lvl w:ilvl="0" w:tplc="BA3C3B3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6"/>
  </w:num>
  <w:num w:numId="5">
    <w:abstractNumId w:val="13"/>
  </w:num>
  <w:num w:numId="6">
    <w:abstractNumId w:val="2"/>
  </w:num>
  <w:num w:numId="7">
    <w:abstractNumId w:val="15"/>
  </w:num>
  <w:num w:numId="8">
    <w:abstractNumId w:val="11"/>
  </w:num>
  <w:num w:numId="9">
    <w:abstractNumId w:val="0"/>
  </w:num>
  <w:num w:numId="10">
    <w:abstractNumId w:val="9"/>
  </w:num>
  <w:num w:numId="11">
    <w:abstractNumId w:val="14"/>
  </w:num>
  <w:num w:numId="12">
    <w:abstractNumId w:val="7"/>
  </w:num>
  <w:num w:numId="13">
    <w:abstractNumId w:val="10"/>
  </w:num>
  <w:num w:numId="14">
    <w:abstractNumId w:val="1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56"/>
    <w:rsid w:val="000012B1"/>
    <w:rsid w:val="00002103"/>
    <w:rsid w:val="000350DD"/>
    <w:rsid w:val="000459D0"/>
    <w:rsid w:val="00051838"/>
    <w:rsid w:val="00054B20"/>
    <w:rsid w:val="00064954"/>
    <w:rsid w:val="00065E19"/>
    <w:rsid w:val="00072876"/>
    <w:rsid w:val="000A50F4"/>
    <w:rsid w:val="000A556B"/>
    <w:rsid w:val="000C6DA7"/>
    <w:rsid w:val="001021F5"/>
    <w:rsid w:val="001144D9"/>
    <w:rsid w:val="0011756F"/>
    <w:rsid w:val="00126D51"/>
    <w:rsid w:val="00140CF3"/>
    <w:rsid w:val="00152B5A"/>
    <w:rsid w:val="001540B9"/>
    <w:rsid w:val="00163649"/>
    <w:rsid w:val="00166E6E"/>
    <w:rsid w:val="00167190"/>
    <w:rsid w:val="00170675"/>
    <w:rsid w:val="001761AE"/>
    <w:rsid w:val="00176916"/>
    <w:rsid w:val="00177F36"/>
    <w:rsid w:val="0018780A"/>
    <w:rsid w:val="00197EC4"/>
    <w:rsid w:val="001B1214"/>
    <w:rsid w:val="001B399C"/>
    <w:rsid w:val="001C37D4"/>
    <w:rsid w:val="001D61A3"/>
    <w:rsid w:val="001E645F"/>
    <w:rsid w:val="001E7CA1"/>
    <w:rsid w:val="00206F07"/>
    <w:rsid w:val="002123C9"/>
    <w:rsid w:val="002141C0"/>
    <w:rsid w:val="00232033"/>
    <w:rsid w:val="00253304"/>
    <w:rsid w:val="002568F2"/>
    <w:rsid w:val="00263373"/>
    <w:rsid w:val="0026710C"/>
    <w:rsid w:val="0028479A"/>
    <w:rsid w:val="002874DE"/>
    <w:rsid w:val="002A046C"/>
    <w:rsid w:val="002A161A"/>
    <w:rsid w:val="002B0232"/>
    <w:rsid w:val="002B0D05"/>
    <w:rsid w:val="002C1A71"/>
    <w:rsid w:val="002D1F05"/>
    <w:rsid w:val="002D2016"/>
    <w:rsid w:val="002F2310"/>
    <w:rsid w:val="00303FFC"/>
    <w:rsid w:val="00320A19"/>
    <w:rsid w:val="00321D39"/>
    <w:rsid w:val="0032210B"/>
    <w:rsid w:val="00334CA9"/>
    <w:rsid w:val="00336B3A"/>
    <w:rsid w:val="00345771"/>
    <w:rsid w:val="00347937"/>
    <w:rsid w:val="00354E5C"/>
    <w:rsid w:val="0035641C"/>
    <w:rsid w:val="00365B8E"/>
    <w:rsid w:val="003721D8"/>
    <w:rsid w:val="00376240"/>
    <w:rsid w:val="0037690E"/>
    <w:rsid w:val="0038217F"/>
    <w:rsid w:val="00382C79"/>
    <w:rsid w:val="003A3A21"/>
    <w:rsid w:val="003B0FBE"/>
    <w:rsid w:val="003C5B3F"/>
    <w:rsid w:val="003D2EF5"/>
    <w:rsid w:val="003D58F4"/>
    <w:rsid w:val="003D7FCC"/>
    <w:rsid w:val="003E6EBD"/>
    <w:rsid w:val="00404E01"/>
    <w:rsid w:val="004144A3"/>
    <w:rsid w:val="00427EFE"/>
    <w:rsid w:val="0043187B"/>
    <w:rsid w:val="00470125"/>
    <w:rsid w:val="004A0562"/>
    <w:rsid w:val="004A5D27"/>
    <w:rsid w:val="004B4BC8"/>
    <w:rsid w:val="004C0127"/>
    <w:rsid w:val="004C55C1"/>
    <w:rsid w:val="004D24D9"/>
    <w:rsid w:val="004D2900"/>
    <w:rsid w:val="004D4A4C"/>
    <w:rsid w:val="004D654A"/>
    <w:rsid w:val="004D6C8E"/>
    <w:rsid w:val="004E2B79"/>
    <w:rsid w:val="004F1BD2"/>
    <w:rsid w:val="004F6B68"/>
    <w:rsid w:val="0050327A"/>
    <w:rsid w:val="00514DDD"/>
    <w:rsid w:val="005346EE"/>
    <w:rsid w:val="0055242A"/>
    <w:rsid w:val="005820D6"/>
    <w:rsid w:val="005913E4"/>
    <w:rsid w:val="005B104F"/>
    <w:rsid w:val="005C718F"/>
    <w:rsid w:val="005D767B"/>
    <w:rsid w:val="005E0A62"/>
    <w:rsid w:val="005E2E68"/>
    <w:rsid w:val="005F403C"/>
    <w:rsid w:val="006074DC"/>
    <w:rsid w:val="00613BBD"/>
    <w:rsid w:val="006409EE"/>
    <w:rsid w:val="00645EF3"/>
    <w:rsid w:val="00654303"/>
    <w:rsid w:val="006673B6"/>
    <w:rsid w:val="00687767"/>
    <w:rsid w:val="006952F4"/>
    <w:rsid w:val="00696FAF"/>
    <w:rsid w:val="006A6178"/>
    <w:rsid w:val="006B1DFB"/>
    <w:rsid w:val="006B616F"/>
    <w:rsid w:val="006B7133"/>
    <w:rsid w:val="006D573E"/>
    <w:rsid w:val="006D6C82"/>
    <w:rsid w:val="006E169E"/>
    <w:rsid w:val="006E3024"/>
    <w:rsid w:val="006E6976"/>
    <w:rsid w:val="006F0248"/>
    <w:rsid w:val="006F615E"/>
    <w:rsid w:val="006F6735"/>
    <w:rsid w:val="007032FF"/>
    <w:rsid w:val="00710CCF"/>
    <w:rsid w:val="00713AB3"/>
    <w:rsid w:val="00756ADA"/>
    <w:rsid w:val="0077161A"/>
    <w:rsid w:val="00774AFB"/>
    <w:rsid w:val="007831DA"/>
    <w:rsid w:val="00786082"/>
    <w:rsid w:val="007922A6"/>
    <w:rsid w:val="007A52A7"/>
    <w:rsid w:val="007B5D78"/>
    <w:rsid w:val="007D385B"/>
    <w:rsid w:val="007F44BF"/>
    <w:rsid w:val="007F56E6"/>
    <w:rsid w:val="007F57E5"/>
    <w:rsid w:val="00814B8D"/>
    <w:rsid w:val="008171AD"/>
    <w:rsid w:val="00843389"/>
    <w:rsid w:val="008477DE"/>
    <w:rsid w:val="0084797A"/>
    <w:rsid w:val="00857C5B"/>
    <w:rsid w:val="00870319"/>
    <w:rsid w:val="00874FAD"/>
    <w:rsid w:val="008878FE"/>
    <w:rsid w:val="00891D72"/>
    <w:rsid w:val="008A10C7"/>
    <w:rsid w:val="008C532A"/>
    <w:rsid w:val="008D13E2"/>
    <w:rsid w:val="008D5EFA"/>
    <w:rsid w:val="008E6D76"/>
    <w:rsid w:val="00912F40"/>
    <w:rsid w:val="0093520F"/>
    <w:rsid w:val="0094080C"/>
    <w:rsid w:val="00962BF1"/>
    <w:rsid w:val="009638E8"/>
    <w:rsid w:val="009665F6"/>
    <w:rsid w:val="00975BC8"/>
    <w:rsid w:val="009913DE"/>
    <w:rsid w:val="009945CD"/>
    <w:rsid w:val="009A4FFA"/>
    <w:rsid w:val="009A5F8B"/>
    <w:rsid w:val="009B00B1"/>
    <w:rsid w:val="009B252C"/>
    <w:rsid w:val="009B5EDB"/>
    <w:rsid w:val="009C39B5"/>
    <w:rsid w:val="009C5386"/>
    <w:rsid w:val="009D7F50"/>
    <w:rsid w:val="009F3C67"/>
    <w:rsid w:val="00A202EB"/>
    <w:rsid w:val="00A33379"/>
    <w:rsid w:val="00A673AD"/>
    <w:rsid w:val="00A74718"/>
    <w:rsid w:val="00A81CF1"/>
    <w:rsid w:val="00A94ED9"/>
    <w:rsid w:val="00A9542D"/>
    <w:rsid w:val="00AA12B0"/>
    <w:rsid w:val="00AC0FA8"/>
    <w:rsid w:val="00AE0DE2"/>
    <w:rsid w:val="00AE3E27"/>
    <w:rsid w:val="00AF7AF4"/>
    <w:rsid w:val="00B00F6C"/>
    <w:rsid w:val="00B06F07"/>
    <w:rsid w:val="00B105FC"/>
    <w:rsid w:val="00B13677"/>
    <w:rsid w:val="00B13ACC"/>
    <w:rsid w:val="00B25CCA"/>
    <w:rsid w:val="00B321EE"/>
    <w:rsid w:val="00B46D66"/>
    <w:rsid w:val="00B62CA2"/>
    <w:rsid w:val="00B62FB7"/>
    <w:rsid w:val="00B80868"/>
    <w:rsid w:val="00B90401"/>
    <w:rsid w:val="00B90D82"/>
    <w:rsid w:val="00B96485"/>
    <w:rsid w:val="00BB5814"/>
    <w:rsid w:val="00BC1631"/>
    <w:rsid w:val="00BD76EA"/>
    <w:rsid w:val="00BF1BDA"/>
    <w:rsid w:val="00BF1C90"/>
    <w:rsid w:val="00C20F59"/>
    <w:rsid w:val="00C37B9A"/>
    <w:rsid w:val="00C43430"/>
    <w:rsid w:val="00C51095"/>
    <w:rsid w:val="00C63E56"/>
    <w:rsid w:val="00C80769"/>
    <w:rsid w:val="00C8100C"/>
    <w:rsid w:val="00C845E5"/>
    <w:rsid w:val="00C87AA6"/>
    <w:rsid w:val="00CA74AB"/>
    <w:rsid w:val="00CA76DD"/>
    <w:rsid w:val="00CC1A56"/>
    <w:rsid w:val="00CE6516"/>
    <w:rsid w:val="00D22893"/>
    <w:rsid w:val="00D404FE"/>
    <w:rsid w:val="00D44056"/>
    <w:rsid w:val="00D473ED"/>
    <w:rsid w:val="00D476D3"/>
    <w:rsid w:val="00D47BD7"/>
    <w:rsid w:val="00D60002"/>
    <w:rsid w:val="00D61CB4"/>
    <w:rsid w:val="00D66022"/>
    <w:rsid w:val="00DB2814"/>
    <w:rsid w:val="00DD3888"/>
    <w:rsid w:val="00DE0F62"/>
    <w:rsid w:val="00DE2DA0"/>
    <w:rsid w:val="00E2764C"/>
    <w:rsid w:val="00E452B1"/>
    <w:rsid w:val="00E50358"/>
    <w:rsid w:val="00E53049"/>
    <w:rsid w:val="00E60388"/>
    <w:rsid w:val="00E61762"/>
    <w:rsid w:val="00E61B13"/>
    <w:rsid w:val="00E673FB"/>
    <w:rsid w:val="00E74162"/>
    <w:rsid w:val="00EA1E2D"/>
    <w:rsid w:val="00EC30B1"/>
    <w:rsid w:val="00ED4855"/>
    <w:rsid w:val="00ED56D4"/>
    <w:rsid w:val="00ED63AA"/>
    <w:rsid w:val="00EF131E"/>
    <w:rsid w:val="00F00CD5"/>
    <w:rsid w:val="00F07BB7"/>
    <w:rsid w:val="00F11F5B"/>
    <w:rsid w:val="00F15C0D"/>
    <w:rsid w:val="00F16D63"/>
    <w:rsid w:val="00F21853"/>
    <w:rsid w:val="00F55F58"/>
    <w:rsid w:val="00FA6A4B"/>
    <w:rsid w:val="00FC0148"/>
    <w:rsid w:val="00FC6CF7"/>
    <w:rsid w:val="00FE25D4"/>
    <w:rsid w:val="00FE47D5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267C816-600E-452E-94A6-4359D8AE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A56"/>
  </w:style>
  <w:style w:type="paragraph" w:styleId="Heading3">
    <w:name w:val="heading 3"/>
    <w:basedOn w:val="Normal"/>
    <w:link w:val="Heading3Char"/>
    <w:uiPriority w:val="9"/>
    <w:qFormat/>
    <w:rsid w:val="00CC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C1A5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f">
    <w:name w:val="naisf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CC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21">
    <w:name w:val="tv2121"/>
    <w:basedOn w:val="Normal"/>
    <w:rsid w:val="00CC1A56"/>
    <w:pPr>
      <w:spacing w:before="400" w:after="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rsid w:val="00CC1A56"/>
    <w:pPr>
      <w:suppressAutoHyphens/>
      <w:spacing w:after="0" w:line="240" w:lineRule="auto"/>
    </w:pPr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C1A56"/>
    <w:rPr>
      <w:rFonts w:ascii="Consolas" w:eastAsia="Times New Roman" w:hAnsi="Consolas" w:cs="Times New Roman"/>
      <w:sz w:val="21"/>
      <w:szCs w:val="2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5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6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C82"/>
  </w:style>
  <w:style w:type="paragraph" w:styleId="Footer">
    <w:name w:val="footer"/>
    <w:basedOn w:val="Normal"/>
    <w:link w:val="FooterChar"/>
    <w:uiPriority w:val="99"/>
    <w:unhideWhenUsed/>
    <w:rsid w:val="006D6C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C82"/>
  </w:style>
  <w:style w:type="paragraph" w:customStyle="1" w:styleId="Default">
    <w:name w:val="Default"/>
    <w:rsid w:val="003B0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B0FBE"/>
    <w:pPr>
      <w:ind w:left="720"/>
      <w:contextualSpacing/>
    </w:pPr>
  </w:style>
  <w:style w:type="paragraph" w:styleId="NoSpacing">
    <w:name w:val="No Spacing"/>
    <w:uiPriority w:val="1"/>
    <w:qFormat/>
    <w:rsid w:val="00347937"/>
    <w:pPr>
      <w:spacing w:after="0" w:line="240" w:lineRule="auto"/>
    </w:pPr>
  </w:style>
  <w:style w:type="character" w:styleId="HTMLTypewriter">
    <w:name w:val="HTML Typewriter"/>
    <w:uiPriority w:val="99"/>
    <w:rsid w:val="0037690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35F3-D37E-4B7D-8A48-9871DDD4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8236</Words>
  <Characters>4696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Nr.152</vt:lpstr>
    </vt:vector>
  </TitlesOfParts>
  <Company>lm</Company>
  <LinksUpToDate>false</LinksUpToDate>
  <CharactersWithSpaces>12907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Nr.152</dc:title>
  <dc:subject>Anotācija</dc:subject>
  <dc:creator>Janis Laucis</dc:creator>
  <cp:keywords/>
  <dc:description>Janis.Laucis@lm.gov.lv_x000d_
67021660</dc:description>
  <cp:lastModifiedBy>Janis Laucis</cp:lastModifiedBy>
  <cp:revision>17</cp:revision>
  <cp:lastPrinted>2014-01-07T11:29:00Z</cp:lastPrinted>
  <dcterms:created xsi:type="dcterms:W3CDTF">2014-02-19T08:22:00Z</dcterms:created>
  <dcterms:modified xsi:type="dcterms:W3CDTF">2014-03-24T14:35:00Z</dcterms:modified>
</cp:coreProperties>
</file>