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79C07" w14:textId="77777777" w:rsidR="00CC1A56" w:rsidRPr="00857C5B" w:rsidRDefault="00F23F1D" w:rsidP="00F23F1D">
      <w:pPr>
        <w:pStyle w:val="tv2121"/>
        <w:spacing w:before="0" w:line="240" w:lineRule="auto"/>
        <w:rPr>
          <w:rFonts w:ascii="Times New Roman" w:hAnsi="Times New Roman"/>
          <w:sz w:val="28"/>
          <w:szCs w:val="28"/>
        </w:rPr>
      </w:pPr>
      <w:bookmarkStart w:id="0" w:name="372832"/>
      <w:r w:rsidRPr="00F23F1D">
        <w:rPr>
          <w:rFonts w:ascii="Times New Roman" w:hAnsi="Times New Roman"/>
          <w:bCs w:val="0"/>
          <w:sz w:val="28"/>
          <w:szCs w:val="28"/>
        </w:rPr>
        <w:t>Ministru kabineta noteikumu „</w:t>
      </w:r>
      <w:r w:rsidR="00446F3F" w:rsidRPr="00446F3F">
        <w:rPr>
          <w:rFonts w:ascii="Times New Roman" w:hAnsi="Times New Roman"/>
          <w:bCs w:val="0"/>
          <w:sz w:val="28"/>
          <w:szCs w:val="28"/>
        </w:rPr>
        <w:t xml:space="preserve">Grozījumi Ministru kabineta </w:t>
      </w:r>
      <w:proofErr w:type="gramStart"/>
      <w:r w:rsidR="00446F3F" w:rsidRPr="00446F3F">
        <w:rPr>
          <w:rFonts w:ascii="Times New Roman" w:hAnsi="Times New Roman"/>
          <w:bCs w:val="0"/>
          <w:sz w:val="28"/>
          <w:szCs w:val="28"/>
        </w:rPr>
        <w:t>2010.gada</w:t>
      </w:r>
      <w:proofErr w:type="gramEnd"/>
      <w:r w:rsidR="00446F3F" w:rsidRPr="00446F3F">
        <w:rPr>
          <w:rFonts w:ascii="Times New Roman" w:hAnsi="Times New Roman"/>
          <w:bCs w:val="0"/>
          <w:sz w:val="28"/>
          <w:szCs w:val="28"/>
        </w:rPr>
        <w:t xml:space="preserve"> 21.jūnija noteikumos Nr.540 „Noteikumi par darbības programmas „Cilvēkresursi un nodarbinātība” papildinājuma 1.4.1.2.4.apakšaktivitātes „Sociālās rehabilitācijas un institūcijām alternatīvu sociālās aprūpes pakalpojumu attīstība reģionos” otrās kārtas pirmo apakškārtu”</w:t>
      </w:r>
      <w:r w:rsidRPr="00F23F1D">
        <w:rPr>
          <w:rFonts w:ascii="Times New Roman" w:hAnsi="Times New Roman"/>
          <w:bCs w:val="0"/>
          <w:sz w:val="28"/>
          <w:szCs w:val="28"/>
        </w:rPr>
        <w:t xml:space="preserve">” </w:t>
      </w:r>
      <w:r w:rsidR="00857C5B" w:rsidRPr="00857C5B">
        <w:rPr>
          <w:rFonts w:ascii="Times New Roman" w:hAnsi="Times New Roman"/>
          <w:bCs w:val="0"/>
          <w:sz w:val="28"/>
          <w:szCs w:val="28"/>
        </w:rPr>
        <w:t>projekta</w:t>
      </w:r>
      <w:r w:rsidR="00857C5B" w:rsidRPr="00857C5B">
        <w:rPr>
          <w:rFonts w:ascii="Times New Roman" w:hAnsi="Times New Roman"/>
          <w:sz w:val="28"/>
          <w:szCs w:val="28"/>
        </w:rPr>
        <w:t xml:space="preserve"> </w:t>
      </w:r>
      <w:r w:rsidR="00CC1A56" w:rsidRPr="00857C5B">
        <w:rPr>
          <w:rFonts w:ascii="Times New Roman" w:hAnsi="Times New Roman"/>
          <w:sz w:val="28"/>
          <w:szCs w:val="28"/>
        </w:rPr>
        <w:t>sākotnējās ietekmes novērtējuma ziņojums (anotācija)</w:t>
      </w:r>
      <w:bookmarkEnd w:id="0"/>
    </w:p>
    <w:p w14:paraId="4329BDD7" w14:textId="77777777" w:rsidR="00CC1A56" w:rsidRPr="00584A0C" w:rsidRDefault="00CC1A56" w:rsidP="00CC1A56">
      <w:pPr>
        <w:pStyle w:val="naisf"/>
        <w:spacing w:before="0" w:beforeAutospacing="0" w:after="0" w:afterAutospacing="0"/>
        <w:jc w:val="right"/>
        <w:rPr>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CC1A56" w:rsidRPr="00DD49B6" w14:paraId="3B339E46" w14:textId="77777777" w:rsidTr="001E645F">
        <w:trPr>
          <w:trHeight w:val="419"/>
        </w:trPr>
        <w:tc>
          <w:tcPr>
            <w:tcW w:w="5000" w:type="pct"/>
            <w:gridSpan w:val="3"/>
            <w:vAlign w:val="center"/>
          </w:tcPr>
          <w:p w14:paraId="3364C057"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4A25904F" w14:textId="77777777" w:rsidTr="001E645F">
        <w:trPr>
          <w:trHeight w:val="415"/>
        </w:trPr>
        <w:tc>
          <w:tcPr>
            <w:tcW w:w="227" w:type="pct"/>
          </w:tcPr>
          <w:p w14:paraId="464BC702" w14:textId="77777777" w:rsidR="00CC1A56" w:rsidRPr="00DD49B6" w:rsidRDefault="00CC1A56" w:rsidP="007D385B">
            <w:pPr>
              <w:pStyle w:val="naiskr"/>
              <w:spacing w:before="0" w:beforeAutospacing="0" w:after="0" w:afterAutospacing="0"/>
              <w:ind w:left="57" w:right="57"/>
              <w:jc w:val="center"/>
            </w:pPr>
            <w:r w:rsidRPr="00DD49B6">
              <w:t>1.</w:t>
            </w:r>
          </w:p>
        </w:tc>
        <w:tc>
          <w:tcPr>
            <w:tcW w:w="1566" w:type="pct"/>
          </w:tcPr>
          <w:p w14:paraId="641E80ED" w14:textId="77777777" w:rsidR="00CC1A56" w:rsidRPr="00DD49B6" w:rsidRDefault="00CC1A56" w:rsidP="007D385B">
            <w:pPr>
              <w:pStyle w:val="naiskr"/>
              <w:spacing w:before="0" w:beforeAutospacing="0" w:after="0" w:afterAutospacing="0"/>
              <w:ind w:left="57" w:right="57"/>
            </w:pPr>
            <w:r w:rsidRPr="00DD49B6">
              <w:t>Pamatojums</w:t>
            </w:r>
          </w:p>
        </w:tc>
        <w:tc>
          <w:tcPr>
            <w:tcW w:w="3207" w:type="pct"/>
          </w:tcPr>
          <w:p w14:paraId="0144DED7" w14:textId="77777777" w:rsidR="00CC1A56" w:rsidRPr="006D573E" w:rsidRDefault="00D81398" w:rsidP="006D573E">
            <w:pPr>
              <w:spacing w:after="0" w:line="240" w:lineRule="auto"/>
              <w:ind w:left="57" w:right="57"/>
              <w:jc w:val="both"/>
              <w:rPr>
                <w:rFonts w:ascii="Times New Roman" w:hAnsi="Times New Roman" w:cs="Times New Roman"/>
                <w:sz w:val="24"/>
                <w:szCs w:val="24"/>
                <w:shd w:val="clear" w:color="auto" w:fill="FFFFFF"/>
              </w:rPr>
            </w:pPr>
            <w:r w:rsidRPr="00D81398">
              <w:rPr>
                <w:rFonts w:ascii="Times New Roman" w:hAnsi="Times New Roman" w:cs="Times New Roman"/>
                <w:sz w:val="24"/>
                <w:szCs w:val="24"/>
              </w:rPr>
              <w:t xml:space="preserve">Ministru kabineta noteikumu projekts </w:t>
            </w:r>
            <w:r w:rsidRPr="00E10B2A">
              <w:rPr>
                <w:rFonts w:ascii="Times New Roman" w:hAnsi="Times New Roman" w:cs="Times New Roman"/>
                <w:sz w:val="24"/>
                <w:szCs w:val="24"/>
              </w:rPr>
              <w:t>„</w:t>
            </w:r>
            <w:r w:rsidR="00E10B2A" w:rsidRPr="00E10B2A">
              <w:rPr>
                <w:rFonts w:ascii="Times New Roman" w:hAnsi="Times New Roman"/>
                <w:sz w:val="24"/>
                <w:szCs w:val="24"/>
              </w:rPr>
              <w:t xml:space="preserve">Grozījumi Ministru kabineta </w:t>
            </w:r>
            <w:proofErr w:type="gramStart"/>
            <w:r w:rsidR="00E10B2A" w:rsidRPr="00E10B2A">
              <w:rPr>
                <w:rFonts w:ascii="Times New Roman" w:hAnsi="Times New Roman"/>
                <w:sz w:val="24"/>
                <w:szCs w:val="24"/>
              </w:rPr>
              <w:t>2010.gada</w:t>
            </w:r>
            <w:proofErr w:type="gramEnd"/>
            <w:r w:rsidR="00E10B2A" w:rsidRPr="00E10B2A">
              <w:rPr>
                <w:rFonts w:ascii="Times New Roman" w:hAnsi="Times New Roman"/>
                <w:sz w:val="24"/>
                <w:szCs w:val="24"/>
              </w:rPr>
              <w:t xml:space="preserve"> 21.jūnija noteikumos Nr.540 „Noteikumi par darbības programmas „Cilvēkresursi un nodarbinātība” papildinājuma 1.4.1.2.4.apakšaktivitātes „Sociālās rehabilitācijas un institūcijām alternatīvu sociālās aprūpes pakalpojumu attīstība reģionos” otrās kārtas pirmo apakškārtu”</w:t>
            </w:r>
            <w:r w:rsidRPr="00E10B2A">
              <w:rPr>
                <w:rFonts w:ascii="Times New Roman" w:hAnsi="Times New Roman" w:cs="Times New Roman"/>
                <w:sz w:val="24"/>
                <w:szCs w:val="24"/>
              </w:rPr>
              <w:t xml:space="preserve">” </w:t>
            </w:r>
            <w:r w:rsidRPr="00D81398">
              <w:rPr>
                <w:rFonts w:ascii="Times New Roman" w:hAnsi="Times New Roman" w:cs="Times New Roman"/>
                <w:sz w:val="24"/>
                <w:szCs w:val="24"/>
              </w:rPr>
              <w:t>(turpmāk – MK noteikumu projekts) izstrādāts saskaņā ar Labklājības ministrijas rosinātajiem grozījumiem darbības programmas „Cilvēkresursi un nodarbinātība” papildinājumā (turpmāk – DPP).</w:t>
            </w:r>
          </w:p>
        </w:tc>
      </w:tr>
      <w:tr w:rsidR="00CC1A56" w:rsidRPr="00DD49B6" w14:paraId="417B8386" w14:textId="77777777" w:rsidTr="001E645F">
        <w:trPr>
          <w:trHeight w:val="472"/>
        </w:trPr>
        <w:tc>
          <w:tcPr>
            <w:tcW w:w="227" w:type="pct"/>
          </w:tcPr>
          <w:p w14:paraId="1E1DF501" w14:textId="77777777" w:rsidR="00CC1A56" w:rsidRPr="00DD49B6" w:rsidRDefault="00CC1A56" w:rsidP="007D385B">
            <w:pPr>
              <w:pStyle w:val="naiskr"/>
              <w:spacing w:before="0" w:beforeAutospacing="0" w:after="0" w:afterAutospacing="0"/>
              <w:ind w:left="57" w:right="57"/>
              <w:jc w:val="center"/>
            </w:pPr>
            <w:r w:rsidRPr="00DD49B6">
              <w:t>2.</w:t>
            </w:r>
          </w:p>
        </w:tc>
        <w:tc>
          <w:tcPr>
            <w:tcW w:w="1566" w:type="pct"/>
          </w:tcPr>
          <w:p w14:paraId="7E4CDF2E" w14:textId="77777777" w:rsidR="00040DFF"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p w14:paraId="661AF446" w14:textId="77777777" w:rsidR="00040DFF" w:rsidRPr="00040DFF" w:rsidRDefault="00040DFF" w:rsidP="00040DFF">
            <w:pPr>
              <w:rPr>
                <w:lang w:eastAsia="lv-LV"/>
              </w:rPr>
            </w:pPr>
          </w:p>
          <w:p w14:paraId="331A1858" w14:textId="77777777" w:rsidR="00040DFF" w:rsidRPr="00040DFF" w:rsidRDefault="00040DFF" w:rsidP="00040DFF">
            <w:pPr>
              <w:rPr>
                <w:lang w:eastAsia="lv-LV"/>
              </w:rPr>
            </w:pPr>
          </w:p>
          <w:p w14:paraId="0B24A590" w14:textId="77777777" w:rsidR="00040DFF" w:rsidRPr="00040DFF" w:rsidRDefault="00040DFF" w:rsidP="00040DFF">
            <w:pPr>
              <w:rPr>
                <w:lang w:eastAsia="lv-LV"/>
              </w:rPr>
            </w:pPr>
          </w:p>
          <w:p w14:paraId="17F044A1" w14:textId="77777777" w:rsidR="00040DFF" w:rsidRDefault="00040DFF" w:rsidP="00040DFF">
            <w:pPr>
              <w:rPr>
                <w:lang w:eastAsia="lv-LV"/>
              </w:rPr>
            </w:pPr>
          </w:p>
          <w:p w14:paraId="77859A9E" w14:textId="274AD105" w:rsidR="00CC1A56" w:rsidRPr="00040DFF" w:rsidRDefault="00CC1A56" w:rsidP="00040DFF">
            <w:pPr>
              <w:tabs>
                <w:tab w:val="left" w:pos="2115"/>
              </w:tabs>
              <w:rPr>
                <w:lang w:eastAsia="lv-LV"/>
              </w:rPr>
            </w:pPr>
          </w:p>
        </w:tc>
        <w:tc>
          <w:tcPr>
            <w:tcW w:w="3207" w:type="pct"/>
          </w:tcPr>
          <w:p w14:paraId="5B89A033" w14:textId="77777777" w:rsidR="00AE79EF" w:rsidRDefault="005550F6" w:rsidP="00D53B1F">
            <w:pPr>
              <w:tabs>
                <w:tab w:val="left" w:pos="6444"/>
              </w:tabs>
              <w:spacing w:after="0" w:line="240" w:lineRule="auto"/>
              <w:ind w:left="142" w:right="141"/>
              <w:jc w:val="both"/>
              <w:rPr>
                <w:rFonts w:ascii="Times New Roman" w:hAnsi="Times New Roman" w:cs="Times New Roman"/>
                <w:sz w:val="24"/>
                <w:szCs w:val="24"/>
                <w:shd w:val="clear" w:color="auto" w:fill="FFFFFF"/>
              </w:rPr>
            </w:pPr>
            <w:r w:rsidRPr="00D0364B">
              <w:rPr>
                <w:rFonts w:ascii="Times New Roman" w:hAnsi="Times New Roman" w:cs="Times New Roman"/>
                <w:sz w:val="24"/>
                <w:szCs w:val="24"/>
                <w:shd w:val="clear" w:color="auto" w:fill="FFFFFF"/>
              </w:rPr>
              <w:t>Labklājības ministrijas rosinātie grozījumi DPP</w:t>
            </w:r>
            <w:r w:rsidR="00AE79EF">
              <w:rPr>
                <w:rFonts w:ascii="Times New Roman" w:hAnsi="Times New Roman" w:cs="Times New Roman"/>
                <w:sz w:val="24"/>
                <w:szCs w:val="24"/>
                <w:shd w:val="clear" w:color="auto" w:fill="FFFFFF"/>
              </w:rPr>
              <w:t xml:space="preserve"> paredz:</w:t>
            </w:r>
          </w:p>
          <w:p w14:paraId="49D3A7A8" w14:textId="08545313" w:rsidR="003A34F9" w:rsidRDefault="00AE79EF" w:rsidP="003A34F9">
            <w:pPr>
              <w:tabs>
                <w:tab w:val="left" w:pos="6444"/>
              </w:tabs>
              <w:spacing w:after="0" w:line="240" w:lineRule="auto"/>
              <w:ind w:left="142" w:right="141"/>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1. Samazināt </w:t>
            </w:r>
            <w:r w:rsidR="00D0364B" w:rsidRPr="00D0364B">
              <w:rPr>
                <w:rFonts w:ascii="Times New Roman" w:hAnsi="Times New Roman" w:cs="Times New Roman"/>
                <w:sz w:val="24"/>
                <w:szCs w:val="24"/>
                <w:shd w:val="clear" w:color="auto" w:fill="FFFFFF"/>
              </w:rPr>
              <w:t xml:space="preserve">par </w:t>
            </w:r>
            <w:r w:rsidR="00F60B18" w:rsidRPr="004E32E6">
              <w:rPr>
                <w:rFonts w:ascii="Times New Roman" w:hAnsi="Times New Roman" w:cs="Times New Roman"/>
                <w:sz w:val="24"/>
                <w:szCs w:val="24"/>
                <w:shd w:val="clear" w:color="auto" w:fill="FFFFFF"/>
              </w:rPr>
              <w:t>1</w:t>
            </w:r>
            <w:r w:rsidR="00534579" w:rsidRPr="004E32E6">
              <w:rPr>
                <w:rFonts w:ascii="Times New Roman" w:hAnsi="Times New Roman" w:cs="Times New Roman"/>
                <w:sz w:val="24"/>
                <w:szCs w:val="24"/>
                <w:shd w:val="clear" w:color="auto" w:fill="FFFFFF"/>
              </w:rPr>
              <w:t> </w:t>
            </w:r>
            <w:r w:rsidR="00F60B18" w:rsidRPr="004E32E6">
              <w:rPr>
                <w:rFonts w:ascii="Times New Roman" w:hAnsi="Times New Roman" w:cs="Times New Roman"/>
                <w:sz w:val="24"/>
                <w:szCs w:val="24"/>
                <w:shd w:val="clear" w:color="auto" w:fill="FFFFFF"/>
              </w:rPr>
              <w:t>141</w:t>
            </w:r>
            <w:r w:rsidR="00534579" w:rsidRPr="004E32E6">
              <w:rPr>
                <w:rFonts w:ascii="Times New Roman" w:hAnsi="Times New Roman" w:cs="Times New Roman"/>
                <w:sz w:val="24"/>
                <w:szCs w:val="24"/>
                <w:shd w:val="clear" w:color="auto" w:fill="FFFFFF"/>
              </w:rPr>
              <w:t> </w:t>
            </w:r>
            <w:r w:rsidR="00F60B18" w:rsidRPr="004E32E6">
              <w:rPr>
                <w:rFonts w:ascii="Times New Roman" w:hAnsi="Times New Roman" w:cs="Times New Roman"/>
                <w:sz w:val="24"/>
                <w:szCs w:val="24"/>
                <w:shd w:val="clear" w:color="auto" w:fill="FFFFFF"/>
              </w:rPr>
              <w:t>067</w:t>
            </w:r>
            <w:r w:rsidR="00D0364B" w:rsidRPr="004E32E6">
              <w:rPr>
                <w:rFonts w:ascii="Times New Roman" w:hAnsi="Times New Roman" w:cs="Times New Roman"/>
                <w:sz w:val="24"/>
                <w:szCs w:val="24"/>
                <w:shd w:val="clear" w:color="auto" w:fill="FFFFFF"/>
              </w:rPr>
              <w:t xml:space="preserve"> EUR (no 13 825 823 EUR uz </w:t>
            </w:r>
            <w:r w:rsidR="00F60B18" w:rsidRPr="004E32E6">
              <w:rPr>
                <w:rFonts w:ascii="Times New Roman" w:hAnsi="Times New Roman" w:cs="Times New Roman"/>
                <w:sz w:val="24"/>
                <w:szCs w:val="24"/>
                <w:shd w:val="clear" w:color="auto" w:fill="FFFFFF"/>
              </w:rPr>
              <w:t>12</w:t>
            </w:r>
            <w:r w:rsidR="00534579" w:rsidRPr="004E32E6">
              <w:rPr>
                <w:rFonts w:ascii="Times New Roman" w:hAnsi="Times New Roman" w:cs="Times New Roman"/>
                <w:sz w:val="24"/>
                <w:szCs w:val="24"/>
                <w:shd w:val="clear" w:color="auto" w:fill="FFFFFF"/>
              </w:rPr>
              <w:t> </w:t>
            </w:r>
            <w:r w:rsidR="00F60B18" w:rsidRPr="004E32E6">
              <w:rPr>
                <w:rFonts w:ascii="Times New Roman" w:hAnsi="Times New Roman" w:cs="Times New Roman"/>
                <w:sz w:val="24"/>
                <w:szCs w:val="24"/>
                <w:shd w:val="clear" w:color="auto" w:fill="FFFFFF"/>
              </w:rPr>
              <w:t>684</w:t>
            </w:r>
            <w:r w:rsidR="00534579" w:rsidRPr="004E32E6">
              <w:rPr>
                <w:rFonts w:ascii="Times New Roman" w:hAnsi="Times New Roman" w:cs="Times New Roman"/>
                <w:sz w:val="24"/>
                <w:szCs w:val="24"/>
                <w:shd w:val="clear" w:color="auto" w:fill="FFFFFF"/>
              </w:rPr>
              <w:t> </w:t>
            </w:r>
            <w:r w:rsidR="00F60B18" w:rsidRPr="004E32E6">
              <w:rPr>
                <w:rFonts w:ascii="Times New Roman" w:hAnsi="Times New Roman" w:cs="Times New Roman"/>
                <w:sz w:val="24"/>
                <w:szCs w:val="24"/>
                <w:shd w:val="clear" w:color="auto" w:fill="FFFFFF"/>
              </w:rPr>
              <w:t>756</w:t>
            </w:r>
            <w:r w:rsidR="00D0364B" w:rsidRPr="004E32E6">
              <w:rPr>
                <w:rFonts w:ascii="Times New Roman" w:hAnsi="Times New Roman" w:cs="Times New Roman"/>
                <w:sz w:val="24"/>
                <w:szCs w:val="24"/>
                <w:shd w:val="clear" w:color="auto" w:fill="FFFFFF"/>
              </w:rPr>
              <w:t xml:space="preserve"> EUR) </w:t>
            </w:r>
            <w:r w:rsidR="00DE30BF" w:rsidRPr="004E32E6">
              <w:rPr>
                <w:rFonts w:ascii="Times New Roman" w:hAnsi="Times New Roman" w:cs="Times New Roman"/>
                <w:sz w:val="24"/>
                <w:szCs w:val="24"/>
                <w:shd w:val="clear" w:color="auto" w:fill="FFFFFF"/>
              </w:rPr>
              <w:t>D</w:t>
            </w:r>
            <w:r w:rsidR="00DE30BF">
              <w:rPr>
                <w:rFonts w:ascii="Times New Roman" w:hAnsi="Times New Roman" w:cs="Times New Roman"/>
                <w:sz w:val="24"/>
                <w:szCs w:val="24"/>
                <w:shd w:val="clear" w:color="auto" w:fill="FFFFFF"/>
              </w:rPr>
              <w:t>PP</w:t>
            </w:r>
            <w:r w:rsidR="00D0364B" w:rsidRPr="00D0364B">
              <w:rPr>
                <w:rFonts w:ascii="Times New Roman" w:hAnsi="Times New Roman" w:cs="Times New Roman"/>
                <w:sz w:val="24"/>
                <w:szCs w:val="24"/>
                <w:shd w:val="clear" w:color="auto" w:fill="FFFFFF"/>
              </w:rPr>
              <w:t xml:space="preserve"> 1.4.1.2.4.apakšaktivitātei</w:t>
            </w:r>
            <w:r w:rsidR="005550F6" w:rsidRPr="00D0364B">
              <w:rPr>
                <w:rFonts w:ascii="Times New Roman" w:hAnsi="Times New Roman" w:cs="Times New Roman"/>
                <w:sz w:val="24"/>
                <w:szCs w:val="24"/>
                <w:shd w:val="clear" w:color="auto" w:fill="FFFFFF"/>
              </w:rPr>
              <w:t xml:space="preserve"> „Sociālās rehabilitācijas un institūcijām alternatīvu sociālās aprūpes pakalpojumu attīstība reģionos” (turpmāk – 1.4.1.2.4.apakšaktivitāte) </w:t>
            </w:r>
            <w:r w:rsidR="00D0364B" w:rsidRPr="00D0364B">
              <w:rPr>
                <w:rFonts w:ascii="Times New Roman" w:hAnsi="Times New Roman" w:cs="Times New Roman"/>
                <w:sz w:val="24"/>
                <w:szCs w:val="24"/>
                <w:shd w:val="clear" w:color="auto" w:fill="FFFFFF"/>
              </w:rPr>
              <w:t>pieejam</w:t>
            </w:r>
            <w:r>
              <w:rPr>
                <w:rFonts w:ascii="Times New Roman" w:hAnsi="Times New Roman" w:cs="Times New Roman"/>
                <w:sz w:val="24"/>
                <w:szCs w:val="24"/>
                <w:shd w:val="clear" w:color="auto" w:fill="FFFFFF"/>
              </w:rPr>
              <w:t>o</w:t>
            </w:r>
            <w:r w:rsidR="00D0364B" w:rsidRPr="00D0364B">
              <w:rPr>
                <w:rFonts w:ascii="Times New Roman" w:hAnsi="Times New Roman" w:cs="Times New Roman"/>
                <w:sz w:val="24"/>
                <w:szCs w:val="24"/>
                <w:shd w:val="clear" w:color="auto" w:fill="FFFFFF"/>
              </w:rPr>
              <w:t xml:space="preserve"> </w:t>
            </w:r>
            <w:r w:rsidR="005550F6" w:rsidRPr="00D0364B">
              <w:rPr>
                <w:rFonts w:ascii="Times New Roman" w:hAnsi="Times New Roman" w:cs="Times New Roman"/>
                <w:sz w:val="24"/>
                <w:szCs w:val="24"/>
                <w:shd w:val="clear" w:color="auto" w:fill="FFFFFF"/>
              </w:rPr>
              <w:t>finansējum</w:t>
            </w:r>
            <w:r>
              <w:rPr>
                <w:rFonts w:ascii="Times New Roman" w:hAnsi="Times New Roman" w:cs="Times New Roman"/>
                <w:sz w:val="24"/>
                <w:szCs w:val="24"/>
                <w:shd w:val="clear" w:color="auto" w:fill="FFFFFF"/>
              </w:rPr>
              <w:t>u</w:t>
            </w:r>
            <w:r w:rsidR="005550F6" w:rsidRPr="00D0364B">
              <w:rPr>
                <w:rFonts w:ascii="Times New Roman" w:hAnsi="Times New Roman" w:cs="Times New Roman"/>
                <w:sz w:val="24"/>
                <w:szCs w:val="24"/>
                <w:shd w:val="clear" w:color="auto" w:fill="FFFFFF"/>
              </w:rPr>
              <w:t>, jo</w:t>
            </w:r>
            <w:r w:rsidR="003A77B7">
              <w:rPr>
                <w:rFonts w:ascii="Times New Roman" w:hAnsi="Times New Roman" w:cs="Times New Roman"/>
                <w:sz w:val="24"/>
                <w:szCs w:val="24"/>
                <w:shd w:val="clear" w:color="auto" w:fill="FFFFFF"/>
              </w:rPr>
              <w:t>,</w:t>
            </w:r>
            <w:r w:rsidR="005550F6" w:rsidRPr="00D0364B">
              <w:rPr>
                <w:rFonts w:ascii="Times New Roman" w:hAnsi="Times New Roman" w:cs="Times New Roman"/>
                <w:sz w:val="24"/>
                <w:szCs w:val="24"/>
                <w:shd w:val="clear" w:color="auto" w:fill="FFFFFF"/>
              </w:rPr>
              <w:t xml:space="preserve"> </w:t>
            </w:r>
            <w:r w:rsidR="003A77B7" w:rsidRPr="00D0364B">
              <w:rPr>
                <w:rFonts w:ascii="Times New Roman" w:hAnsi="Times New Roman" w:cs="Times New Roman"/>
                <w:bCs/>
                <w:sz w:val="24"/>
                <w:szCs w:val="24"/>
              </w:rPr>
              <w:t>noslēdzoties</w:t>
            </w:r>
            <w:r w:rsidR="003A77B7" w:rsidRPr="00D0364B">
              <w:rPr>
                <w:rFonts w:ascii="Times New Roman" w:hAnsi="Times New Roman" w:cs="Times New Roman"/>
                <w:sz w:val="24"/>
                <w:szCs w:val="24"/>
                <w:shd w:val="clear" w:color="auto" w:fill="FFFFFF"/>
              </w:rPr>
              <w:t xml:space="preserve"> </w:t>
            </w:r>
            <w:r w:rsidR="005550F6" w:rsidRPr="00D0364B">
              <w:rPr>
                <w:rFonts w:ascii="Times New Roman" w:hAnsi="Times New Roman" w:cs="Times New Roman"/>
                <w:sz w:val="24"/>
                <w:szCs w:val="24"/>
                <w:shd w:val="clear" w:color="auto" w:fill="FFFFFF"/>
              </w:rPr>
              <w:t xml:space="preserve">1.4.1.2.4.apakšaktivitātes </w:t>
            </w:r>
            <w:r w:rsidR="00A65744">
              <w:rPr>
                <w:rFonts w:ascii="Times New Roman" w:hAnsi="Times New Roman" w:cs="Times New Roman"/>
                <w:sz w:val="24"/>
                <w:szCs w:val="24"/>
                <w:shd w:val="clear" w:color="auto" w:fill="FFFFFF"/>
              </w:rPr>
              <w:t>2.</w:t>
            </w:r>
            <w:r w:rsidR="005550F6" w:rsidRPr="00D0364B">
              <w:rPr>
                <w:rFonts w:ascii="Times New Roman" w:hAnsi="Times New Roman" w:cs="Times New Roman"/>
                <w:sz w:val="24"/>
                <w:szCs w:val="24"/>
                <w:shd w:val="clear" w:color="auto" w:fill="FFFFFF"/>
              </w:rPr>
              <w:t xml:space="preserve">kārtas </w:t>
            </w:r>
            <w:r w:rsidR="003A77B7" w:rsidRPr="00D0364B">
              <w:rPr>
                <w:rFonts w:ascii="Times New Roman" w:hAnsi="Times New Roman" w:cs="Times New Roman"/>
                <w:bCs/>
                <w:sz w:val="24"/>
                <w:szCs w:val="24"/>
              </w:rPr>
              <w:t>projektiem</w:t>
            </w:r>
            <w:r w:rsidR="003A77B7">
              <w:rPr>
                <w:rFonts w:ascii="Times New Roman" w:hAnsi="Times New Roman" w:cs="Times New Roman"/>
                <w:bCs/>
                <w:sz w:val="24"/>
                <w:szCs w:val="24"/>
              </w:rPr>
              <w:t>,</w:t>
            </w:r>
            <w:r w:rsidR="003A77B7" w:rsidRPr="00D0364B">
              <w:rPr>
                <w:rFonts w:ascii="Times New Roman" w:hAnsi="Times New Roman" w:cs="Times New Roman"/>
                <w:sz w:val="24"/>
                <w:szCs w:val="24"/>
                <w:shd w:val="clear" w:color="auto" w:fill="FFFFFF"/>
              </w:rPr>
              <w:t xml:space="preserve"> </w:t>
            </w:r>
            <w:r w:rsidR="005550F6" w:rsidRPr="00D0364B">
              <w:rPr>
                <w:rFonts w:ascii="Times New Roman" w:hAnsi="Times New Roman" w:cs="Times New Roman"/>
                <w:sz w:val="24"/>
                <w:szCs w:val="24"/>
                <w:shd w:val="clear" w:color="auto" w:fill="FFFFFF"/>
              </w:rPr>
              <w:t xml:space="preserve">radies </w:t>
            </w:r>
            <w:r w:rsidR="00045EB3">
              <w:rPr>
                <w:rFonts w:ascii="Times New Roman" w:hAnsi="Times New Roman" w:cs="Times New Roman"/>
                <w:sz w:val="24"/>
                <w:szCs w:val="24"/>
                <w:shd w:val="clear" w:color="auto" w:fill="FFFFFF"/>
              </w:rPr>
              <w:t xml:space="preserve">attiecināmo </w:t>
            </w:r>
            <w:r w:rsidR="005550F6" w:rsidRPr="00045EB3">
              <w:rPr>
                <w:rFonts w:ascii="Times New Roman" w:hAnsi="Times New Roman" w:cs="Times New Roman"/>
                <w:sz w:val="24"/>
                <w:szCs w:val="24"/>
              </w:rPr>
              <w:t>finanšu līdzekļu ietaupījums</w:t>
            </w:r>
            <w:r w:rsidR="00835248" w:rsidRPr="00045EB3">
              <w:rPr>
                <w:rFonts w:ascii="Times New Roman" w:hAnsi="Times New Roman" w:cs="Times New Roman"/>
                <w:color w:val="000000"/>
                <w:sz w:val="24"/>
                <w:szCs w:val="24"/>
              </w:rPr>
              <w:t xml:space="preserve"> (</w:t>
            </w:r>
            <w:r w:rsidR="00D0364B" w:rsidRPr="00045EB3">
              <w:rPr>
                <w:rFonts w:ascii="Times New Roman" w:hAnsi="Times New Roman" w:cs="Times New Roman"/>
                <w:bCs/>
                <w:sz w:val="24"/>
                <w:szCs w:val="24"/>
              </w:rPr>
              <w:t xml:space="preserve">pārsvarā </w:t>
            </w:r>
            <w:r w:rsidR="003A77B7" w:rsidRPr="00045EB3">
              <w:rPr>
                <w:rFonts w:ascii="Times New Roman" w:hAnsi="Times New Roman" w:cs="Times New Roman"/>
                <w:bCs/>
                <w:sz w:val="24"/>
                <w:szCs w:val="24"/>
              </w:rPr>
              <w:t xml:space="preserve">ietaupījumi </w:t>
            </w:r>
            <w:r w:rsidR="00D0364B" w:rsidRPr="00045EB3">
              <w:rPr>
                <w:rFonts w:ascii="Times New Roman" w:hAnsi="Times New Roman" w:cs="Times New Roman"/>
                <w:bCs/>
                <w:sz w:val="24"/>
                <w:szCs w:val="24"/>
              </w:rPr>
              <w:t xml:space="preserve">iekšzemes transporta izdevumu pozīcijā </w:t>
            </w:r>
            <w:r w:rsidR="00D0364B" w:rsidRPr="00045EB3">
              <w:rPr>
                <w:rFonts w:ascii="Times New Roman" w:hAnsi="Times New Roman" w:cs="Times New Roman"/>
                <w:sz w:val="24"/>
                <w:szCs w:val="24"/>
              </w:rPr>
              <w:t xml:space="preserve">sociālās rehabilitācijas, </w:t>
            </w:r>
            <w:r w:rsidR="00D0364B" w:rsidRPr="00DE2F86">
              <w:rPr>
                <w:rFonts w:ascii="Times New Roman" w:hAnsi="Times New Roman" w:cs="Times New Roman"/>
                <w:sz w:val="24"/>
                <w:szCs w:val="24"/>
              </w:rPr>
              <w:t>motivācijas un alternatīvās sociālās aprūpes programmu ieviešanas ietvaros</w:t>
            </w:r>
            <w:r w:rsidR="00045EB3" w:rsidRPr="00DE2F86">
              <w:rPr>
                <w:rFonts w:ascii="Times New Roman" w:hAnsi="Times New Roman" w:cs="Times New Roman"/>
                <w:sz w:val="24"/>
                <w:szCs w:val="24"/>
              </w:rPr>
              <w:t xml:space="preserve"> un netiešo izmaksu nemainīgās likmes noteikšanas metodikas maiņas rezultātā, kā arī netiešo izmaksu nemainīgās likmes korekcijas rezultātā un līdz </w:t>
            </w:r>
            <w:proofErr w:type="gramStart"/>
            <w:r w:rsidR="00045EB3" w:rsidRPr="00DE2F86">
              <w:rPr>
                <w:rFonts w:ascii="Times New Roman" w:hAnsi="Times New Roman" w:cs="Times New Roman"/>
                <w:sz w:val="24"/>
                <w:szCs w:val="24"/>
              </w:rPr>
              <w:t>2012.gada</w:t>
            </w:r>
            <w:proofErr w:type="gramEnd"/>
            <w:r w:rsidR="00045EB3" w:rsidRPr="00DE2F86">
              <w:rPr>
                <w:rFonts w:ascii="Times New Roman" w:hAnsi="Times New Roman" w:cs="Times New Roman"/>
                <w:sz w:val="24"/>
                <w:szCs w:val="24"/>
              </w:rPr>
              <w:t xml:space="preserve"> 8.maijam konstatētas neatbilstoši veiktu izmaksu rezultātā radies ietaupījums</w:t>
            </w:r>
            <w:r w:rsidR="00835248" w:rsidRPr="00DE2F86">
              <w:rPr>
                <w:rFonts w:ascii="Times New Roman" w:hAnsi="Times New Roman" w:cs="Times New Roman"/>
                <w:sz w:val="24"/>
                <w:szCs w:val="24"/>
              </w:rPr>
              <w:t>),</w:t>
            </w:r>
            <w:r w:rsidR="00D0364B" w:rsidRPr="00DE2F86">
              <w:rPr>
                <w:rFonts w:ascii="Times New Roman" w:hAnsi="Times New Roman" w:cs="Times New Roman"/>
                <w:sz w:val="24"/>
                <w:szCs w:val="24"/>
              </w:rPr>
              <w:t xml:space="preserve"> </w:t>
            </w:r>
            <w:r w:rsidR="003A77B7" w:rsidRPr="00DE2F86">
              <w:rPr>
                <w:rFonts w:ascii="Times New Roman" w:hAnsi="Times New Roman" w:cs="Times New Roman"/>
                <w:sz w:val="24"/>
                <w:szCs w:val="24"/>
              </w:rPr>
              <w:t xml:space="preserve">kas </w:t>
            </w:r>
            <w:r w:rsidR="00D0364B" w:rsidRPr="00DE2F86">
              <w:rPr>
                <w:rFonts w:ascii="Times New Roman" w:hAnsi="Times New Roman" w:cs="Times New Roman"/>
                <w:sz w:val="24"/>
                <w:szCs w:val="24"/>
              </w:rPr>
              <w:t xml:space="preserve">atbilstoši MK 2012.gada 8.maija lēmuma (Nr.25, 26.§) 7.punktā </w:t>
            </w:r>
            <w:r w:rsidR="005A169B" w:rsidRPr="00DE2F86">
              <w:rPr>
                <w:rFonts w:ascii="Times New Roman" w:hAnsi="Times New Roman" w:cs="Times New Roman"/>
                <w:sz w:val="24"/>
                <w:szCs w:val="24"/>
              </w:rPr>
              <w:t xml:space="preserve">noteiktajam </w:t>
            </w:r>
            <w:r w:rsidR="00D0364B" w:rsidRPr="00DE2F86">
              <w:rPr>
                <w:rFonts w:ascii="Times New Roman" w:hAnsi="Times New Roman" w:cs="Times New Roman"/>
                <w:sz w:val="24"/>
                <w:szCs w:val="24"/>
              </w:rPr>
              <w:t xml:space="preserve">nav radies </w:t>
            </w:r>
            <w:r w:rsidR="00AA5CC7" w:rsidRPr="00DE2F86">
              <w:rPr>
                <w:rFonts w:ascii="Times New Roman" w:hAnsi="Times New Roman" w:cs="Times New Roman"/>
                <w:sz w:val="24"/>
                <w:szCs w:val="24"/>
              </w:rPr>
              <w:t xml:space="preserve"> pēc 2012.gada 8.maija </w:t>
            </w:r>
            <w:r w:rsidR="00D0364B" w:rsidRPr="00DE2F86">
              <w:rPr>
                <w:rFonts w:ascii="Times New Roman" w:hAnsi="Times New Roman" w:cs="Times New Roman"/>
                <w:sz w:val="24"/>
                <w:szCs w:val="24"/>
              </w:rPr>
              <w:t>projektos konstatēto</w:t>
            </w:r>
            <w:r w:rsidR="00D0364B" w:rsidRPr="00045EB3">
              <w:rPr>
                <w:rFonts w:ascii="Times New Roman" w:hAnsi="Times New Roman" w:cs="Times New Roman"/>
                <w:sz w:val="24"/>
                <w:szCs w:val="24"/>
              </w:rPr>
              <w:t xml:space="preserve"> neatbilstību vai lauzto līgumu rezultātā</w:t>
            </w:r>
            <w:r w:rsidR="00AA5CC7">
              <w:rPr>
                <w:rFonts w:ascii="Times New Roman" w:hAnsi="Times New Roman" w:cs="Times New Roman"/>
                <w:sz w:val="24"/>
                <w:szCs w:val="24"/>
              </w:rPr>
              <w:t xml:space="preserve">. </w:t>
            </w:r>
            <w:r w:rsidR="00D0364B" w:rsidRPr="00D0364B">
              <w:rPr>
                <w:rFonts w:ascii="Times New Roman" w:hAnsi="Times New Roman" w:cs="Times New Roman"/>
                <w:color w:val="000000"/>
                <w:sz w:val="24"/>
                <w:szCs w:val="24"/>
              </w:rPr>
              <w:t xml:space="preserve">Ietaupījumu plānots pārdalīt </w:t>
            </w:r>
            <w:r w:rsidR="00D0364B" w:rsidRPr="00D0364B">
              <w:rPr>
                <w:rFonts w:ascii="Times New Roman" w:hAnsi="Times New Roman" w:cs="Times New Roman"/>
                <w:bCs/>
                <w:sz w:val="24"/>
                <w:szCs w:val="24"/>
              </w:rPr>
              <w:t xml:space="preserve">1.4.1.1.1.apakšaktivitātes īstenošanai, lai nodrošinātu </w:t>
            </w:r>
            <w:r w:rsidR="003A34F9">
              <w:rPr>
                <w:rFonts w:ascii="Times New Roman" w:hAnsi="Times New Roman" w:cs="Times New Roman"/>
                <w:bCs/>
                <w:sz w:val="24"/>
                <w:szCs w:val="24"/>
              </w:rPr>
              <w:t xml:space="preserve">minētās </w:t>
            </w:r>
            <w:r w:rsidR="003A34F9" w:rsidRPr="00D0364B">
              <w:rPr>
                <w:rFonts w:ascii="Times New Roman" w:hAnsi="Times New Roman" w:cs="Times New Roman"/>
                <w:bCs/>
                <w:sz w:val="24"/>
                <w:szCs w:val="24"/>
              </w:rPr>
              <w:t xml:space="preserve">apakšaktivitātes ietvaros īstenotā projekta „Kompleksie atbalsta pasākumi” </w:t>
            </w:r>
            <w:r w:rsidR="003A34F9">
              <w:rPr>
                <w:rFonts w:ascii="Times New Roman" w:hAnsi="Times New Roman" w:cs="Times New Roman"/>
                <w:bCs/>
                <w:sz w:val="24"/>
                <w:szCs w:val="24"/>
              </w:rPr>
              <w:t xml:space="preserve">šādu aktivitāšu </w:t>
            </w:r>
            <w:r w:rsidR="003A34F9">
              <w:rPr>
                <w:rFonts w:ascii="Times New Roman" w:hAnsi="Times New Roman" w:cs="Times New Roman"/>
                <w:sz w:val="24"/>
                <w:szCs w:val="24"/>
              </w:rPr>
              <w:t>ieviešanu 2014.gadā:</w:t>
            </w:r>
          </w:p>
          <w:p w14:paraId="7124951E" w14:textId="06587045" w:rsidR="00DE30BF" w:rsidRPr="00737E9E" w:rsidRDefault="003A34F9" w:rsidP="00737E9E">
            <w:pPr>
              <w:tabs>
                <w:tab w:val="left" w:pos="6444"/>
              </w:tabs>
              <w:spacing w:after="0" w:line="240" w:lineRule="auto"/>
              <w:ind w:left="142" w:right="141"/>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pabalsts par asistenta izmantošanu personām ar I grupas redzes invaliditāti</w:t>
            </w:r>
            <w:r>
              <w:rPr>
                <w:rFonts w:ascii="Times New Roman" w:hAnsi="Times New Roman" w:cs="Times New Roman"/>
                <w:sz w:val="24"/>
                <w:szCs w:val="24"/>
                <w:shd w:val="clear" w:color="auto" w:fill="FFFFFF"/>
              </w:rPr>
              <w:t xml:space="preserve">, ņemot vērā </w:t>
            </w:r>
            <w:proofErr w:type="gramStart"/>
            <w:r w:rsidRPr="009715A3">
              <w:rPr>
                <w:rFonts w:ascii="Times New Roman" w:hAnsi="Times New Roman"/>
                <w:sz w:val="24"/>
                <w:szCs w:val="24"/>
              </w:rPr>
              <w:t>2013.gada</w:t>
            </w:r>
            <w:proofErr w:type="gramEnd"/>
            <w:r w:rsidRPr="009715A3">
              <w:rPr>
                <w:rFonts w:ascii="Times New Roman" w:hAnsi="Times New Roman"/>
                <w:sz w:val="24"/>
                <w:szCs w:val="24"/>
              </w:rPr>
              <w:t xml:space="preserve"> 6</w:t>
            </w:r>
            <w:r>
              <w:rPr>
                <w:rFonts w:ascii="Times New Roman" w:hAnsi="Times New Roman"/>
                <w:sz w:val="24"/>
                <w:szCs w:val="24"/>
              </w:rPr>
              <w:t xml:space="preserve">.augusta MK sēdes </w:t>
            </w:r>
            <w:proofErr w:type="spellStart"/>
            <w:r>
              <w:rPr>
                <w:rFonts w:ascii="Times New Roman" w:hAnsi="Times New Roman"/>
                <w:sz w:val="24"/>
                <w:szCs w:val="24"/>
              </w:rPr>
              <w:t>protokollēmumā</w:t>
            </w:r>
            <w:proofErr w:type="spellEnd"/>
            <w:r w:rsidRPr="009715A3">
              <w:rPr>
                <w:rFonts w:ascii="Times New Roman" w:hAnsi="Times New Roman"/>
                <w:sz w:val="24"/>
                <w:szCs w:val="24"/>
              </w:rPr>
              <w:t xml:space="preserve"> Nr.42 84.§ „Informatīvais ziņojums „Par Eiropas Savienības fondu 2007.-2013.gada un 2014.-2020.gada plānošanas perioda pārejas posmā papildu nepieciešamo finansējumu aktīvo nodarbinātības pasākumu nepārtrauktai nodrošināšanai””</w:t>
            </w:r>
            <w:r>
              <w:rPr>
                <w:rFonts w:ascii="Times New Roman" w:hAnsi="Times New Roman"/>
                <w:sz w:val="24"/>
                <w:szCs w:val="24"/>
              </w:rPr>
              <w:t xml:space="preserve"> minēto finansējuma </w:t>
            </w:r>
            <w:r>
              <w:rPr>
                <w:rFonts w:ascii="Times New Roman" w:hAnsi="Times New Roman"/>
                <w:sz w:val="24"/>
                <w:szCs w:val="24"/>
              </w:rPr>
              <w:lastRenderedPageBreak/>
              <w:t xml:space="preserve">nepieciešamības pabalstu izmaksai izvērtējumu un piedāvātās </w:t>
            </w:r>
            <w:r w:rsidRPr="00FD6422">
              <w:rPr>
                <w:rFonts w:ascii="Times New Roman" w:hAnsi="Times New Roman"/>
                <w:sz w:val="24"/>
                <w:szCs w:val="24"/>
              </w:rPr>
              <w:t>rīcības</w:t>
            </w:r>
            <w:r w:rsidR="007F0554" w:rsidRPr="00FD6422">
              <w:rPr>
                <w:rFonts w:ascii="Times New Roman" w:hAnsi="Times New Roman"/>
                <w:sz w:val="24"/>
                <w:szCs w:val="24"/>
              </w:rPr>
              <w:t xml:space="preserve"> </w:t>
            </w:r>
            <w:r w:rsidR="00D870A0" w:rsidRPr="00FD6422">
              <w:rPr>
                <w:rFonts w:ascii="Times New Roman" w:hAnsi="Times New Roman"/>
                <w:sz w:val="24"/>
                <w:szCs w:val="24"/>
              </w:rPr>
              <w:t>(</w:t>
            </w:r>
            <w:r w:rsidR="00D870A0" w:rsidRPr="004E32E6">
              <w:rPr>
                <w:rFonts w:ascii="Times New Roman" w:hAnsi="Times New Roman"/>
                <w:sz w:val="24"/>
                <w:szCs w:val="24"/>
              </w:rPr>
              <w:t>indikatīvi</w:t>
            </w:r>
            <w:r w:rsidR="007F0554" w:rsidRPr="004E32E6">
              <w:rPr>
                <w:rFonts w:ascii="Times New Roman" w:hAnsi="Times New Roman"/>
                <w:sz w:val="24"/>
                <w:szCs w:val="24"/>
              </w:rPr>
              <w:t xml:space="preserve"> </w:t>
            </w:r>
            <w:r w:rsidR="002914A6" w:rsidRPr="004E32E6">
              <w:rPr>
                <w:rFonts w:ascii="Times New Roman" w:hAnsi="Times New Roman"/>
                <w:sz w:val="24"/>
                <w:szCs w:val="24"/>
              </w:rPr>
              <w:t>1 020 850</w:t>
            </w:r>
            <w:r w:rsidR="007F0554" w:rsidRPr="00FD6422">
              <w:rPr>
                <w:rFonts w:ascii="Times New Roman" w:hAnsi="Times New Roman"/>
                <w:sz w:val="24"/>
                <w:szCs w:val="24"/>
              </w:rPr>
              <w:t xml:space="preserve"> EUR);</w:t>
            </w:r>
          </w:p>
          <w:p w14:paraId="23799C95" w14:textId="77777777" w:rsidR="003A34F9" w:rsidRPr="00FD6422" w:rsidRDefault="003A34F9" w:rsidP="003A34F9">
            <w:pPr>
              <w:tabs>
                <w:tab w:val="left" w:pos="6444"/>
              </w:tabs>
              <w:spacing w:after="0" w:line="240" w:lineRule="auto"/>
              <w:ind w:left="142" w:right="14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zinātnisks pētījums par jauniešu, kas nemācās, nestrādā un neapgūst arodu, profilu un aktivizācijas iespējām</w:t>
            </w:r>
            <w:r w:rsidR="007F0554">
              <w:rPr>
                <w:rFonts w:ascii="Times New Roman" w:hAnsi="Times New Roman" w:cs="Times New Roman"/>
                <w:sz w:val="24"/>
                <w:szCs w:val="24"/>
                <w:shd w:val="clear" w:color="auto" w:fill="FFFFFF"/>
              </w:rPr>
              <w:t xml:space="preserve"> </w:t>
            </w:r>
            <w:r w:rsidR="007F0554" w:rsidRPr="00FD6422">
              <w:rPr>
                <w:rFonts w:ascii="Times New Roman" w:hAnsi="Times New Roman" w:cs="Times New Roman"/>
                <w:sz w:val="24"/>
                <w:szCs w:val="24"/>
                <w:shd w:val="clear" w:color="auto" w:fill="FFFFFF"/>
              </w:rPr>
              <w:t>(indikatīvi 103 000 EUR pētījuma izmaksas, t.sk. 3 000 EUR pētījuma tulkošanas izmaksas)</w:t>
            </w:r>
            <w:r w:rsidRPr="00FD6422">
              <w:rPr>
                <w:rFonts w:ascii="Times New Roman" w:hAnsi="Times New Roman" w:cs="Times New Roman"/>
                <w:sz w:val="24"/>
                <w:szCs w:val="24"/>
                <w:shd w:val="clear" w:color="auto" w:fill="FFFFFF"/>
              </w:rPr>
              <w:t>;</w:t>
            </w:r>
          </w:p>
          <w:p w14:paraId="0B78BD33" w14:textId="77777777" w:rsidR="00F87E58" w:rsidRDefault="003A34F9" w:rsidP="004E61E3">
            <w:pPr>
              <w:tabs>
                <w:tab w:val="left" w:pos="6444"/>
              </w:tabs>
              <w:spacing w:after="0" w:line="240" w:lineRule="auto"/>
              <w:ind w:left="142" w:right="141"/>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bezdarbnieku uzskaites un reģistrēto vakanču informācijas sistēmas pielāgošana, lai nodrošinātu attālināta pieslēguma un datu ievades iespējas</w:t>
            </w:r>
            <w:r w:rsidR="0072438A">
              <w:rPr>
                <w:rFonts w:ascii="Times New Roman" w:hAnsi="Times New Roman" w:cs="Times New Roman"/>
                <w:sz w:val="24"/>
                <w:szCs w:val="24"/>
                <w:shd w:val="clear" w:color="auto" w:fill="FFFFFF"/>
              </w:rPr>
              <w:t xml:space="preserve"> </w:t>
            </w:r>
            <w:r w:rsidR="0072438A" w:rsidRPr="00FD6422">
              <w:rPr>
                <w:rFonts w:ascii="Times New Roman" w:hAnsi="Times New Roman" w:cs="Times New Roman"/>
                <w:sz w:val="24"/>
                <w:szCs w:val="24"/>
                <w:shd w:val="clear" w:color="auto" w:fill="FFFFFF"/>
              </w:rPr>
              <w:t>(indikatīvi 17 217 EUR).</w:t>
            </w:r>
          </w:p>
          <w:p w14:paraId="331C63AE" w14:textId="77777777" w:rsidR="00737E9E" w:rsidRPr="00FD6422" w:rsidRDefault="00737E9E" w:rsidP="004E61E3">
            <w:pPr>
              <w:tabs>
                <w:tab w:val="left" w:pos="6444"/>
              </w:tabs>
              <w:spacing w:after="0" w:line="240" w:lineRule="auto"/>
              <w:ind w:left="142" w:right="141"/>
              <w:jc w:val="both"/>
              <w:rPr>
                <w:rFonts w:ascii="Times New Roman" w:hAnsi="Times New Roman" w:cs="Times New Roman"/>
                <w:sz w:val="24"/>
                <w:szCs w:val="24"/>
                <w:shd w:val="clear" w:color="auto" w:fill="FFFFFF"/>
              </w:rPr>
            </w:pPr>
          </w:p>
          <w:p w14:paraId="31FF026E" w14:textId="77777777" w:rsidR="005550F6" w:rsidRDefault="005550F6" w:rsidP="00D53B1F">
            <w:pPr>
              <w:tabs>
                <w:tab w:val="left" w:pos="6444"/>
              </w:tabs>
              <w:spacing w:after="0" w:line="240" w:lineRule="auto"/>
              <w:ind w:left="142" w:right="141"/>
              <w:jc w:val="both"/>
              <w:rPr>
                <w:rFonts w:ascii="Times New Roman" w:hAnsi="Times New Roman" w:cs="Times New Roman"/>
                <w:sz w:val="24"/>
                <w:szCs w:val="24"/>
                <w:shd w:val="clear" w:color="auto" w:fill="FFFFFF"/>
              </w:rPr>
            </w:pPr>
            <w:r w:rsidRPr="00D53B1F">
              <w:rPr>
                <w:rFonts w:ascii="Times New Roman" w:hAnsi="Times New Roman" w:cs="Times New Roman"/>
                <w:sz w:val="24"/>
                <w:szCs w:val="24"/>
                <w:shd w:val="clear" w:color="auto" w:fill="FFFFFF"/>
              </w:rPr>
              <w:t>1.4.1</w:t>
            </w:r>
            <w:r w:rsidR="00070378">
              <w:rPr>
                <w:rFonts w:ascii="Times New Roman" w:hAnsi="Times New Roman" w:cs="Times New Roman"/>
                <w:sz w:val="24"/>
                <w:szCs w:val="24"/>
                <w:shd w:val="clear" w:color="auto" w:fill="FFFFFF"/>
              </w:rPr>
              <w:t>.2.4.apakšaktivitātes 2.kārtas 1</w:t>
            </w:r>
            <w:r w:rsidRPr="00D53B1F">
              <w:rPr>
                <w:rFonts w:ascii="Times New Roman" w:hAnsi="Times New Roman" w:cs="Times New Roman"/>
                <w:sz w:val="24"/>
                <w:szCs w:val="24"/>
                <w:shd w:val="clear" w:color="auto" w:fill="FFFFFF"/>
              </w:rPr>
              <w:t xml:space="preserve">.apakškārtas ietvaros </w:t>
            </w:r>
            <w:r w:rsidR="00D810E1" w:rsidRPr="00A423AC">
              <w:rPr>
                <w:rFonts w:ascii="Times New Roman" w:hAnsi="Times New Roman" w:cs="Times New Roman"/>
                <w:sz w:val="24"/>
                <w:szCs w:val="24"/>
                <w:shd w:val="clear" w:color="auto" w:fill="FFFFFF"/>
              </w:rPr>
              <w:t>attiecināmais</w:t>
            </w:r>
            <w:r w:rsidR="00D810E1">
              <w:rPr>
                <w:rFonts w:ascii="Times New Roman" w:hAnsi="Times New Roman" w:cs="Times New Roman"/>
                <w:sz w:val="24"/>
                <w:szCs w:val="24"/>
                <w:shd w:val="clear" w:color="auto" w:fill="FFFFFF"/>
              </w:rPr>
              <w:t xml:space="preserve"> </w:t>
            </w:r>
            <w:r w:rsidR="00DA64C3">
              <w:rPr>
                <w:rFonts w:ascii="Times New Roman" w:hAnsi="Times New Roman" w:cs="Times New Roman"/>
                <w:sz w:val="24"/>
                <w:szCs w:val="24"/>
                <w:shd w:val="clear" w:color="auto" w:fill="FFFFFF"/>
              </w:rPr>
              <w:t>finansējums</w:t>
            </w:r>
            <w:r w:rsidR="00514C83" w:rsidRPr="00D53B1F">
              <w:rPr>
                <w:rFonts w:ascii="Times New Roman" w:hAnsi="Times New Roman" w:cs="Times New Roman"/>
                <w:sz w:val="24"/>
                <w:szCs w:val="24"/>
                <w:shd w:val="clear" w:color="auto" w:fill="FFFFFF"/>
              </w:rPr>
              <w:t xml:space="preserve"> </w:t>
            </w:r>
            <w:r w:rsidR="00DA64C3">
              <w:rPr>
                <w:rFonts w:ascii="Times New Roman" w:hAnsi="Times New Roman" w:cs="Times New Roman"/>
                <w:sz w:val="24"/>
                <w:szCs w:val="24"/>
                <w:shd w:val="clear" w:color="auto" w:fill="FFFFFF"/>
              </w:rPr>
              <w:t>samazināts par</w:t>
            </w:r>
            <w:r w:rsidR="00514C83" w:rsidRPr="00D53B1F">
              <w:rPr>
                <w:rFonts w:ascii="Times New Roman" w:hAnsi="Times New Roman" w:cs="Times New Roman"/>
                <w:sz w:val="24"/>
                <w:szCs w:val="24"/>
                <w:shd w:val="clear" w:color="auto" w:fill="FFFFFF"/>
              </w:rPr>
              <w:t xml:space="preserve"> 5</w:t>
            </w:r>
            <w:r w:rsidR="00070378">
              <w:rPr>
                <w:rFonts w:ascii="Times New Roman" w:hAnsi="Times New Roman" w:cs="Times New Roman"/>
                <w:sz w:val="24"/>
                <w:szCs w:val="24"/>
                <w:shd w:val="clear" w:color="auto" w:fill="FFFFFF"/>
              </w:rPr>
              <w:t>49</w:t>
            </w:r>
            <w:r w:rsidR="00514C83" w:rsidRPr="00D53B1F">
              <w:rPr>
                <w:rFonts w:ascii="Times New Roman" w:hAnsi="Times New Roman" w:cs="Times New Roman"/>
                <w:sz w:val="24"/>
                <w:szCs w:val="24"/>
                <w:shd w:val="clear" w:color="auto" w:fill="FFFFFF"/>
              </w:rPr>
              <w:t> </w:t>
            </w:r>
            <w:r w:rsidR="00070378">
              <w:rPr>
                <w:rFonts w:ascii="Times New Roman" w:hAnsi="Times New Roman" w:cs="Times New Roman"/>
                <w:sz w:val="24"/>
                <w:szCs w:val="24"/>
                <w:shd w:val="clear" w:color="auto" w:fill="FFFFFF"/>
              </w:rPr>
              <w:t>808</w:t>
            </w:r>
            <w:r w:rsidRPr="00D53B1F">
              <w:rPr>
                <w:rFonts w:ascii="Times New Roman" w:hAnsi="Times New Roman" w:cs="Times New Roman"/>
                <w:sz w:val="24"/>
                <w:szCs w:val="24"/>
                <w:shd w:val="clear" w:color="auto" w:fill="FFFFFF"/>
              </w:rPr>
              <w:t xml:space="preserve"> </w:t>
            </w:r>
            <w:r w:rsidR="00514C83" w:rsidRPr="00D53B1F">
              <w:rPr>
                <w:rFonts w:ascii="Times New Roman" w:hAnsi="Times New Roman" w:cs="Times New Roman"/>
                <w:sz w:val="24"/>
                <w:szCs w:val="24"/>
                <w:shd w:val="clear" w:color="auto" w:fill="FFFFFF"/>
              </w:rPr>
              <w:t>EUR</w:t>
            </w:r>
            <w:r w:rsidR="00DA64C3">
              <w:rPr>
                <w:rFonts w:ascii="Times New Roman" w:hAnsi="Times New Roman" w:cs="Times New Roman"/>
                <w:sz w:val="24"/>
                <w:szCs w:val="24"/>
                <w:shd w:val="clear" w:color="auto" w:fill="FFFFFF"/>
              </w:rPr>
              <w:t xml:space="preserve"> (no 4 938 755 EUR uz 4 388 947 EUR)</w:t>
            </w:r>
            <w:r w:rsidR="00AE79EF">
              <w:rPr>
                <w:rFonts w:ascii="Times New Roman" w:hAnsi="Times New Roman" w:cs="Times New Roman"/>
                <w:sz w:val="24"/>
                <w:szCs w:val="24"/>
                <w:shd w:val="clear" w:color="auto" w:fill="FFFFFF"/>
              </w:rPr>
              <w:t>.</w:t>
            </w:r>
          </w:p>
          <w:p w14:paraId="09D7B3E1" w14:textId="77777777" w:rsidR="00737E9E" w:rsidRPr="00D53B1F" w:rsidRDefault="00737E9E" w:rsidP="00D53B1F">
            <w:pPr>
              <w:tabs>
                <w:tab w:val="left" w:pos="6444"/>
              </w:tabs>
              <w:spacing w:after="0" w:line="240" w:lineRule="auto"/>
              <w:ind w:left="142" w:right="141"/>
              <w:jc w:val="both"/>
              <w:rPr>
                <w:rFonts w:ascii="Times New Roman" w:hAnsi="Times New Roman" w:cs="Times New Roman"/>
                <w:sz w:val="24"/>
                <w:szCs w:val="24"/>
                <w:shd w:val="clear" w:color="auto" w:fill="FFFFFF"/>
              </w:rPr>
            </w:pPr>
          </w:p>
          <w:p w14:paraId="1F0CF295" w14:textId="77777777" w:rsidR="00797BB6" w:rsidRPr="002141C0" w:rsidRDefault="00260F04" w:rsidP="00797BB6">
            <w:pPr>
              <w:pStyle w:val="Default"/>
              <w:ind w:left="142" w:right="141"/>
              <w:jc w:val="both"/>
            </w:pPr>
            <w:r>
              <w:rPr>
                <w:shd w:val="clear" w:color="auto" w:fill="FFFFFF"/>
              </w:rPr>
              <w:t>2. P</w:t>
            </w:r>
            <w:r w:rsidR="005550F6" w:rsidRPr="005550F6">
              <w:rPr>
                <w:shd w:val="clear" w:color="auto" w:fill="FFFFFF"/>
              </w:rPr>
              <w:t>alielināt 1.4.1.2.4.apakšaktivitātes ietvaros noteikt</w:t>
            </w:r>
            <w:r>
              <w:rPr>
                <w:shd w:val="clear" w:color="auto" w:fill="FFFFFF"/>
              </w:rPr>
              <w:t>o</w:t>
            </w:r>
            <w:r w:rsidR="005550F6" w:rsidRPr="005550F6">
              <w:rPr>
                <w:shd w:val="clear" w:color="auto" w:fill="FFFFFF"/>
              </w:rPr>
              <w:t xml:space="preserve"> iznākuma rādītāj</w:t>
            </w:r>
            <w:r>
              <w:rPr>
                <w:shd w:val="clear" w:color="auto" w:fill="FFFFFF"/>
              </w:rPr>
              <w:t>u</w:t>
            </w:r>
            <w:r w:rsidR="005550F6" w:rsidRPr="005550F6">
              <w:rPr>
                <w:shd w:val="clear" w:color="auto" w:fill="FFFFFF"/>
              </w:rPr>
              <w:t xml:space="preserve"> (sociālo pakalpojumu saņēmušo personu ar funkcionāliem traucējumiem, bezpajumtnieku un citu sociālās atstumtības riskam pakļauto personu skaits) par 15</w:t>
            </w:r>
            <w:r>
              <w:rPr>
                <w:shd w:val="clear" w:color="auto" w:fill="FFFFFF"/>
              </w:rPr>
              <w:t> </w:t>
            </w:r>
            <w:r w:rsidR="00BF3A26">
              <w:rPr>
                <w:shd w:val="clear" w:color="auto" w:fill="FFFFFF"/>
              </w:rPr>
              <w:t>6</w:t>
            </w:r>
            <w:r>
              <w:rPr>
                <w:shd w:val="clear" w:color="auto" w:fill="FFFFFF"/>
              </w:rPr>
              <w:t>47 personām (no 3 030 uz 18 </w:t>
            </w:r>
            <w:r w:rsidR="00BF3A26">
              <w:rPr>
                <w:shd w:val="clear" w:color="auto" w:fill="FFFFFF"/>
              </w:rPr>
              <w:t>6</w:t>
            </w:r>
            <w:r w:rsidR="005550F6" w:rsidRPr="005550F6">
              <w:rPr>
                <w:shd w:val="clear" w:color="auto" w:fill="FFFFFF"/>
              </w:rPr>
              <w:t>77 personām).</w:t>
            </w:r>
            <w:r w:rsidR="00797BB6" w:rsidRPr="002141C0">
              <w:t xml:space="preserve"> </w:t>
            </w:r>
            <w:r w:rsidR="00797BB6">
              <w:t>P</w:t>
            </w:r>
            <w:r w:rsidR="00797BB6" w:rsidRPr="002141C0">
              <w:t>lāns par sasniedzam</w:t>
            </w:r>
            <w:r w:rsidR="005616C0">
              <w:t xml:space="preserve">ajiem </w:t>
            </w:r>
            <w:proofErr w:type="spellStart"/>
            <w:r w:rsidR="005616C0">
              <w:t>rādītājem</w:t>
            </w:r>
            <w:proofErr w:type="spellEnd"/>
            <w:r w:rsidR="00797BB6" w:rsidRPr="002141C0">
              <w:t xml:space="preserve"> </w:t>
            </w:r>
            <w:r w:rsidR="005616C0" w:rsidRPr="005550F6">
              <w:rPr>
                <w:shd w:val="clear" w:color="auto" w:fill="FFFFFF"/>
              </w:rPr>
              <w:t xml:space="preserve">1.4.1.2.4.apakšaktivitātes </w:t>
            </w:r>
            <w:r w:rsidR="005616C0">
              <w:rPr>
                <w:shd w:val="clear" w:color="auto" w:fill="FFFFFF"/>
              </w:rPr>
              <w:t>2.</w:t>
            </w:r>
            <w:proofErr w:type="gramStart"/>
            <w:r w:rsidR="005616C0">
              <w:rPr>
                <w:shd w:val="clear" w:color="auto" w:fill="FFFFFF"/>
              </w:rPr>
              <w:t xml:space="preserve">kārtas </w:t>
            </w:r>
            <w:r w:rsidR="00797BB6" w:rsidRPr="002141C0">
              <w:t>projektu ietvaros</w:t>
            </w:r>
            <w:proofErr w:type="gramEnd"/>
            <w:r w:rsidR="00797BB6" w:rsidRPr="002141C0">
              <w:t xml:space="preserve"> aktualizēts, jo saskaņā ar 1.4.1.2.4.apakšaktivitātes 2.kārtas ietvaros noslēgtajiem līgumiem par </w:t>
            </w:r>
            <w:r w:rsidR="00C7251F">
              <w:t>atklātas projektu iesniegumu atlases</w:t>
            </w:r>
            <w:r w:rsidR="00AD134C">
              <w:t xml:space="preserve"> (turpmāk – APIA)</w:t>
            </w:r>
            <w:r w:rsidR="00C7251F">
              <w:t xml:space="preserve"> </w:t>
            </w:r>
            <w:r w:rsidR="00797BB6" w:rsidRPr="002141C0">
              <w:t xml:space="preserve">projektu īstenošanu, sociālie pakalpojumi lielākoties tiek sniegti kā atsevišķi atbalsta pasākumi mērķa grupām dažas stundas dienā vai dažas dienas mēnesī, nevis kā sociālās aprūpes un sociālās rehabilitācijas nodrošināšana mērķa grupai 8 vai 24 stundas dienā. Līdz ar to vidēji finanšu intensitāte vienas personas atbalstam ir mazāka kā tika plānots DPP izstrādes brīdī. Šobrīd DPP </w:t>
            </w:r>
            <w:r w:rsidR="00C1231C">
              <w:t>un</w:t>
            </w:r>
            <w:r w:rsidR="00CA521C" w:rsidRPr="00E10B2A">
              <w:t xml:space="preserve"> Ministru kabineta </w:t>
            </w:r>
            <w:proofErr w:type="gramStart"/>
            <w:r w:rsidR="00CA521C" w:rsidRPr="00E10B2A">
              <w:t>2010.gada</w:t>
            </w:r>
            <w:proofErr w:type="gramEnd"/>
            <w:r w:rsidR="00CA521C" w:rsidRPr="00E10B2A">
              <w:t xml:space="preserve"> 21.jūnija noteikumos Nr.540 „Noteikumi par darbības programmas „Cilvēkresursi un nodarbinātība” papildinājuma 1.4.1.2.4.apakšaktivitātes „Sociālās rehabilitācijas un institūcijām alternatīvu sociālās aprūpes pakalpojumu attīstība reģionos” otrās kārtas pirmo apakškārtu”</w:t>
            </w:r>
            <w:r w:rsidR="00C7251F">
              <w:t xml:space="preserve"> (turpmāk </w:t>
            </w:r>
            <w:r w:rsidR="00C7251F">
              <w:noBreakHyphen/>
            </w:r>
            <w:r w:rsidR="00EB3B4E">
              <w:t xml:space="preserve"> </w:t>
            </w:r>
            <w:r w:rsidR="00797BB6">
              <w:t>MK noteikum</w:t>
            </w:r>
            <w:r w:rsidR="00EB3B4E">
              <w:t>i</w:t>
            </w:r>
            <w:r w:rsidR="00797BB6">
              <w:t xml:space="preserve"> Nr.</w:t>
            </w:r>
            <w:r w:rsidR="00CA521C">
              <w:t>540</w:t>
            </w:r>
            <w:r w:rsidR="00EB3B4E">
              <w:t>)</w:t>
            </w:r>
            <w:r w:rsidR="00797BB6">
              <w:t xml:space="preserve"> </w:t>
            </w:r>
            <w:r w:rsidR="00797BB6" w:rsidRPr="002141C0">
              <w:t>noteiktais rādītājs (3 030 personas) tika plānots DPP sagatavošanas procesā, kad aprēķini tika veikt</w:t>
            </w:r>
            <w:r w:rsidR="00C7251F">
              <w:t>,</w:t>
            </w:r>
            <w:r w:rsidR="00797BB6" w:rsidRPr="002141C0">
              <w:t xml:space="preserve"> ņemot vērā 2006.gada ekonomisko situāciju valstī. Pamatojoties uz MK 07.04.09. sēdes protokola Nr.23 47.§ „Par ES </w:t>
            </w:r>
            <w:proofErr w:type="spellStart"/>
            <w:r w:rsidR="00797BB6" w:rsidRPr="002141C0">
              <w:t>struktrūrfondu</w:t>
            </w:r>
            <w:proofErr w:type="spellEnd"/>
            <w:r w:rsidR="00797BB6" w:rsidRPr="002141C0">
              <w:t xml:space="preserve"> un Kohēzijas fonda aktivitātēm, kuru īstenošana papildus izvērtējama saistībā ar ekonomisko situāciju valstī” labklājības nozarē tika veiktas izmaiņas aktivitāšu/apakšaktivitāšu ieviešanā, t.sk. plānotajos sasniedzamajos rādītājos. DPP rādītāju plāna precizēšanas brīdī nebija iespējama precīza sasniedzamā iznākuma rādītāja noteikšana, jo 1.4.1.2.4.apakšaktivitātes 2.kārt</w:t>
            </w:r>
            <w:r w:rsidR="005D5EDF">
              <w:t>as projekti tika izvēlēti APIA</w:t>
            </w:r>
            <w:r w:rsidR="00797BB6" w:rsidRPr="002141C0">
              <w:t xml:space="preserve"> veidā. Līdz ar to šobrīd DPP </w:t>
            </w:r>
            <w:r w:rsidR="00393677">
              <w:t>un MK noteikumos Nr.</w:t>
            </w:r>
            <w:r w:rsidR="00844937">
              <w:t>540</w:t>
            </w:r>
            <w:r w:rsidR="00393677">
              <w:t xml:space="preserve"> </w:t>
            </w:r>
            <w:r w:rsidR="00797BB6" w:rsidRPr="002141C0">
              <w:t xml:space="preserve">noteiktais rādītājs ir būtiski mazāks </w:t>
            </w:r>
            <w:r w:rsidR="00797BB6" w:rsidRPr="002141C0">
              <w:lastRenderedPageBreak/>
              <w:t xml:space="preserve">par faktiski plānoto rādītāja vērtību saskaņā ar 1.4.1.2.4.apakšaktivitātes 2.kārtas ietvaros noslēgtajiem </w:t>
            </w:r>
            <w:r w:rsidR="00EA2247">
              <w:t xml:space="preserve">projektu ieviešanas </w:t>
            </w:r>
            <w:r w:rsidR="00797BB6" w:rsidRPr="002141C0">
              <w:t>līgumiem. Saskaņā ar APIA projektos plānotajiem iznākuma rādītājiem līdz 31.12.2014. projektos sociālās rehabilitācijas pakalpojumus plānots sniegt 18 </w:t>
            </w:r>
            <w:r w:rsidR="00BF3A26">
              <w:t>6</w:t>
            </w:r>
            <w:r w:rsidR="00797BB6" w:rsidRPr="002141C0">
              <w:t>77 personām</w:t>
            </w:r>
            <w:r w:rsidR="00AF5F89">
              <w:t>. Plānotā rādītāja izmaiņas DPP</w:t>
            </w:r>
            <w:r w:rsidR="005616C0">
              <w:t xml:space="preserve"> un MK noteikumos Nr.</w:t>
            </w:r>
            <w:r w:rsidR="00F3031F">
              <w:t>540</w:t>
            </w:r>
            <w:r w:rsidR="005616C0">
              <w:t xml:space="preserve"> </w:t>
            </w:r>
            <w:r w:rsidR="00797BB6" w:rsidRPr="002141C0">
              <w:t xml:space="preserve">nepieciešamas, lai sniegtu pilnīgu priekšstatu par reālajiem ieguvumiem atbilstoši veiktajiem ES fondu finanšu ieguldījumiem. Ja rādītājs netiks precizēts, tiks būtiski apgrūtināta mērķu sasniegšanas līmeņa izvērtēšana, aktivitātes uzraudzība un kontrole tās īstenošanas laikā, kā arī tas var būtiski ietekmēt adekvāti veikt ES fondu </w:t>
            </w:r>
            <w:proofErr w:type="spellStart"/>
            <w:r w:rsidR="00797BB6" w:rsidRPr="002141C0">
              <w:t>pēcieviešanas</w:t>
            </w:r>
            <w:proofErr w:type="spellEnd"/>
            <w:r w:rsidR="00797BB6" w:rsidRPr="002141C0">
              <w:t xml:space="preserve"> (</w:t>
            </w:r>
            <w:proofErr w:type="spellStart"/>
            <w:r w:rsidR="00797BB6" w:rsidRPr="002141C0">
              <w:t>ex-post)</w:t>
            </w:r>
            <w:proofErr w:type="spellEnd"/>
            <w:r w:rsidR="00797BB6" w:rsidRPr="002141C0">
              <w:t xml:space="preserve"> izvērtējumu.</w:t>
            </w:r>
          </w:p>
          <w:p w14:paraId="4EC2EF95" w14:textId="77777777" w:rsidR="005550F6" w:rsidRPr="005550F6" w:rsidRDefault="005550F6" w:rsidP="005550F6">
            <w:pPr>
              <w:pStyle w:val="ListParagraph"/>
              <w:tabs>
                <w:tab w:val="left" w:pos="6444"/>
              </w:tabs>
              <w:spacing w:after="0" w:line="240" w:lineRule="auto"/>
              <w:ind w:left="426" w:right="141"/>
              <w:jc w:val="both"/>
              <w:rPr>
                <w:rFonts w:ascii="Times New Roman" w:hAnsi="Times New Roman" w:cs="Times New Roman"/>
                <w:sz w:val="24"/>
                <w:szCs w:val="24"/>
                <w:shd w:val="clear" w:color="auto" w:fill="FFFFFF"/>
              </w:rPr>
            </w:pPr>
          </w:p>
          <w:p w14:paraId="276DFC79" w14:textId="77777777" w:rsidR="00CC1A56" w:rsidRPr="001679C6" w:rsidRDefault="005550F6" w:rsidP="00A12ECA">
            <w:pPr>
              <w:tabs>
                <w:tab w:val="left" w:pos="6444"/>
              </w:tabs>
              <w:spacing w:after="0" w:line="240" w:lineRule="auto"/>
              <w:ind w:left="142" w:right="141"/>
              <w:jc w:val="both"/>
              <w:rPr>
                <w:rFonts w:ascii="Times New Roman" w:hAnsi="Times New Roman" w:cs="Times New Roman"/>
                <w:sz w:val="24"/>
                <w:szCs w:val="24"/>
                <w:shd w:val="clear" w:color="auto" w:fill="FFFFFF"/>
              </w:rPr>
            </w:pPr>
            <w:r w:rsidRPr="001679C6">
              <w:rPr>
                <w:rFonts w:ascii="Times New Roman" w:hAnsi="Times New Roman" w:cs="Times New Roman"/>
                <w:sz w:val="24"/>
                <w:szCs w:val="24"/>
                <w:shd w:val="clear" w:color="auto" w:fill="FFFFFF"/>
              </w:rPr>
              <w:t xml:space="preserve">Lai nodrošinātu </w:t>
            </w:r>
            <w:r w:rsidR="001679C6">
              <w:rPr>
                <w:rFonts w:ascii="Times New Roman" w:hAnsi="Times New Roman" w:cs="Times New Roman"/>
                <w:sz w:val="24"/>
                <w:szCs w:val="24"/>
                <w:shd w:val="clear" w:color="auto" w:fill="FFFFFF"/>
              </w:rPr>
              <w:t>MK</w:t>
            </w:r>
            <w:r w:rsidRPr="001679C6">
              <w:rPr>
                <w:rFonts w:ascii="Times New Roman" w:hAnsi="Times New Roman" w:cs="Times New Roman"/>
                <w:sz w:val="24"/>
                <w:szCs w:val="24"/>
                <w:shd w:val="clear" w:color="auto" w:fill="FFFFFF"/>
              </w:rPr>
              <w:t xml:space="preserve"> noteikumu Nr.</w:t>
            </w:r>
            <w:r w:rsidR="00A12ECA">
              <w:rPr>
                <w:rFonts w:ascii="Times New Roman" w:hAnsi="Times New Roman" w:cs="Times New Roman"/>
                <w:sz w:val="24"/>
                <w:szCs w:val="24"/>
                <w:shd w:val="clear" w:color="auto" w:fill="FFFFFF"/>
              </w:rPr>
              <w:t>540</w:t>
            </w:r>
            <w:r w:rsidRPr="001679C6">
              <w:rPr>
                <w:rFonts w:ascii="Times New Roman" w:hAnsi="Times New Roman" w:cs="Times New Roman"/>
                <w:sz w:val="24"/>
                <w:szCs w:val="24"/>
                <w:shd w:val="clear" w:color="auto" w:fill="FFFFFF"/>
              </w:rPr>
              <w:t xml:space="preserve"> atbilstību Labklājības ministrijas rosinātajiem grozījumiem DPP, nepieciešams veikt grozījumus MK noteikumos Nr.</w:t>
            </w:r>
            <w:r w:rsidR="00A12ECA">
              <w:rPr>
                <w:rFonts w:ascii="Times New Roman" w:hAnsi="Times New Roman" w:cs="Times New Roman"/>
                <w:sz w:val="24"/>
                <w:szCs w:val="24"/>
                <w:shd w:val="clear" w:color="auto" w:fill="FFFFFF"/>
              </w:rPr>
              <w:t>540</w:t>
            </w:r>
            <w:r w:rsidRPr="001679C6">
              <w:rPr>
                <w:rFonts w:ascii="Times New Roman" w:hAnsi="Times New Roman" w:cs="Times New Roman"/>
                <w:sz w:val="24"/>
                <w:szCs w:val="24"/>
                <w:shd w:val="clear" w:color="auto" w:fill="FFFFFF"/>
              </w:rPr>
              <w:t>, samazinot finansējuma apmēru un palielinot iznākuma rādītāju.</w:t>
            </w:r>
          </w:p>
        </w:tc>
      </w:tr>
      <w:tr w:rsidR="00CC1A56" w:rsidRPr="00DD49B6" w14:paraId="4F814C36" w14:textId="77777777" w:rsidTr="001E645F">
        <w:trPr>
          <w:trHeight w:val="476"/>
        </w:trPr>
        <w:tc>
          <w:tcPr>
            <w:tcW w:w="227" w:type="pct"/>
          </w:tcPr>
          <w:p w14:paraId="3A719627" w14:textId="77777777" w:rsidR="00CC1A56" w:rsidRPr="00DD49B6" w:rsidRDefault="00CC1A56" w:rsidP="007D385B">
            <w:pPr>
              <w:pStyle w:val="naiskr"/>
              <w:spacing w:before="0" w:beforeAutospacing="0" w:after="0" w:afterAutospacing="0"/>
              <w:ind w:left="57" w:right="57"/>
              <w:jc w:val="center"/>
            </w:pPr>
            <w:r w:rsidRPr="00DD49B6">
              <w:lastRenderedPageBreak/>
              <w:t>3.</w:t>
            </w:r>
          </w:p>
        </w:tc>
        <w:tc>
          <w:tcPr>
            <w:tcW w:w="1566" w:type="pct"/>
          </w:tcPr>
          <w:p w14:paraId="329A3447" w14:textId="77777777"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07" w:type="pct"/>
          </w:tcPr>
          <w:p w14:paraId="60D46706" w14:textId="77777777" w:rsidR="00CC1A56" w:rsidRPr="0093520F" w:rsidRDefault="002A161A" w:rsidP="00A423AC">
            <w:pPr>
              <w:spacing w:after="0" w:line="240" w:lineRule="auto"/>
              <w:ind w:left="142" w:right="57"/>
              <w:rPr>
                <w:rFonts w:ascii="Times New Roman" w:hAnsi="Times New Roman" w:cs="Times New Roman"/>
                <w:b/>
                <w:sz w:val="24"/>
                <w:szCs w:val="24"/>
              </w:rPr>
            </w:pPr>
            <w:r w:rsidRPr="0093520F">
              <w:rPr>
                <w:rFonts w:ascii="Times New Roman" w:hAnsi="Times New Roman" w:cs="Times New Roman"/>
                <w:sz w:val="24"/>
                <w:szCs w:val="24"/>
              </w:rPr>
              <w:t xml:space="preserve">MK </w:t>
            </w:r>
            <w:r w:rsidR="00A423AC">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r w:rsidR="0093520F" w:rsidRPr="0093520F">
              <w:rPr>
                <w:rFonts w:ascii="Times New Roman" w:hAnsi="Times New Roman" w:cs="Times New Roman"/>
                <w:sz w:val="24"/>
                <w:szCs w:val="24"/>
              </w:rPr>
              <w:t>.</w:t>
            </w:r>
          </w:p>
        </w:tc>
      </w:tr>
      <w:tr w:rsidR="00CC1A56" w:rsidRPr="003919EB" w14:paraId="548C213E" w14:textId="77777777" w:rsidTr="001E645F">
        <w:tc>
          <w:tcPr>
            <w:tcW w:w="227" w:type="pct"/>
          </w:tcPr>
          <w:p w14:paraId="2E559733" w14:textId="77777777" w:rsidR="00CC1A56" w:rsidRPr="004863B9" w:rsidRDefault="00CC1A56" w:rsidP="007D385B">
            <w:pPr>
              <w:pStyle w:val="naiskr"/>
              <w:spacing w:before="0" w:beforeAutospacing="0" w:after="0" w:afterAutospacing="0"/>
              <w:ind w:left="57" w:right="57"/>
              <w:jc w:val="center"/>
            </w:pPr>
            <w:r w:rsidRPr="004863B9">
              <w:t>4.</w:t>
            </w:r>
          </w:p>
        </w:tc>
        <w:tc>
          <w:tcPr>
            <w:tcW w:w="1566" w:type="pct"/>
          </w:tcPr>
          <w:p w14:paraId="2496425E" w14:textId="77777777" w:rsidR="00CC1A56" w:rsidRPr="004863B9" w:rsidRDefault="00CC1A56" w:rsidP="007D385B">
            <w:pPr>
              <w:pStyle w:val="naiskr"/>
              <w:spacing w:before="0" w:beforeAutospacing="0" w:after="0" w:afterAutospacing="0"/>
              <w:ind w:left="57" w:right="57"/>
            </w:pPr>
            <w:r w:rsidRPr="004863B9">
              <w:t>Cita informācija</w:t>
            </w:r>
          </w:p>
        </w:tc>
        <w:tc>
          <w:tcPr>
            <w:tcW w:w="3207" w:type="pct"/>
          </w:tcPr>
          <w:p w14:paraId="32E926BA" w14:textId="77777777" w:rsidR="00CC1A56" w:rsidRPr="005A1138" w:rsidRDefault="00AD0B58" w:rsidP="005A1138">
            <w:pPr>
              <w:pStyle w:val="naiskr"/>
              <w:numPr>
                <w:ilvl w:val="0"/>
                <w:numId w:val="12"/>
              </w:numPr>
              <w:spacing w:before="0" w:beforeAutospacing="0" w:after="0" w:afterAutospacing="0"/>
              <w:ind w:right="57"/>
              <w:jc w:val="both"/>
            </w:pPr>
            <w:r w:rsidRPr="004E32E6">
              <w:rPr>
                <w:color w:val="000000"/>
              </w:rPr>
              <w:t xml:space="preserve">Finansējuma pārdale tiek ierosināta, ņemot vērā </w:t>
            </w:r>
            <w:proofErr w:type="gramStart"/>
            <w:r w:rsidRPr="004E32E6">
              <w:rPr>
                <w:color w:val="000000"/>
              </w:rPr>
              <w:t>2014.gada</w:t>
            </w:r>
            <w:proofErr w:type="gramEnd"/>
            <w:r w:rsidRPr="004E32E6">
              <w:rPr>
                <w:color w:val="000000"/>
              </w:rPr>
              <w:t xml:space="preserve"> 19.februāra Koalīcijas partneru darba grupas Par ES struktūrfondu un Kohēzijas fonda jautājumiem protokola 1.3.apakšpunktā un 4.a) punktā noteikto.</w:t>
            </w:r>
          </w:p>
          <w:p w14:paraId="337CC486" w14:textId="5FD99A9B" w:rsidR="005A1138" w:rsidRPr="002C2F3C" w:rsidRDefault="005A1138" w:rsidP="005A1138">
            <w:pPr>
              <w:pStyle w:val="naiskr"/>
              <w:numPr>
                <w:ilvl w:val="0"/>
                <w:numId w:val="12"/>
              </w:numPr>
              <w:spacing w:before="0" w:beforeAutospacing="0" w:after="0" w:afterAutospacing="0"/>
              <w:ind w:right="57"/>
              <w:jc w:val="both"/>
            </w:pPr>
            <w:r w:rsidRPr="002C2F3C">
              <w:t xml:space="preserve">MK noteikumu projekts var tikt virzīts izskatīšanai MK sēdē vienlaikus ar attiecīgiem grozījumiem DPP, MK </w:t>
            </w:r>
            <w:proofErr w:type="gramStart"/>
            <w:r w:rsidRPr="002C2F3C">
              <w:t>2011.gada</w:t>
            </w:r>
            <w:proofErr w:type="gramEnd"/>
            <w:r w:rsidRPr="002C2F3C">
              <w:t xml:space="preserve"> 12.aprīļa noteikumos Nr.292 „ Noteikumi par darbības programmas „Cilvēkresursi un nodarbinātība” papildinājuma 1.4.1.2.4.apakšaktivitātes „Sociālās rehabilitācijas un institūcijām alternatīvu sociālās aprūpes pakalpojumu attīstība reģionos” otrās kārtas otro apakškārtu”</w:t>
            </w:r>
            <w:r w:rsidR="00E13491" w:rsidRPr="002C2F3C">
              <w:t xml:space="preserve"> (turpmāk – MK noteikumi NR.292) un MK 2011.gada 1.marta noteikumos Nr.170 „Noteikumi par darbības programmas „Cilvēkresursi un nodarbinātība” papildinājuma 1.4.1.1.1.apakšaktivitāti „Kompleksi atbalsta pasākumi iedzīvotāju integrēšanai sabiedrībā un darba tirgū”” (turpmāk – MK noteikumi Nr.170)</w:t>
            </w:r>
            <w:r w:rsidRPr="002C2F3C">
              <w:t>.</w:t>
            </w:r>
          </w:p>
        </w:tc>
      </w:tr>
    </w:tbl>
    <w:p w14:paraId="1EE43C30" w14:textId="77777777" w:rsidR="00CC1A56" w:rsidRPr="003919EB" w:rsidRDefault="00CC1A56"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3919EB" w14:paraId="2311B302" w14:textId="77777777" w:rsidTr="007D385B">
        <w:trPr>
          <w:trHeight w:val="556"/>
        </w:trPr>
        <w:tc>
          <w:tcPr>
            <w:tcW w:w="9503" w:type="dxa"/>
            <w:gridSpan w:val="3"/>
            <w:vAlign w:val="center"/>
          </w:tcPr>
          <w:p w14:paraId="34E5D029" w14:textId="77777777"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6F6F7CC0" w14:textId="77777777"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14:paraId="5AFCCFA7" w14:textId="77777777" w:rsidTr="007D385B">
        <w:trPr>
          <w:trHeight w:val="467"/>
        </w:trPr>
        <w:tc>
          <w:tcPr>
            <w:tcW w:w="431" w:type="dxa"/>
          </w:tcPr>
          <w:p w14:paraId="790D24DF" w14:textId="77777777" w:rsidR="00CC1A56" w:rsidRPr="00791E4E" w:rsidRDefault="00CC1A56" w:rsidP="007D385B">
            <w:pPr>
              <w:pStyle w:val="naiskr"/>
              <w:spacing w:before="0" w:beforeAutospacing="0" w:after="0" w:afterAutospacing="0"/>
              <w:ind w:left="57" w:right="57"/>
              <w:jc w:val="both"/>
            </w:pPr>
            <w:r w:rsidRPr="00791E4E">
              <w:t>1.</w:t>
            </w:r>
          </w:p>
        </w:tc>
        <w:tc>
          <w:tcPr>
            <w:tcW w:w="2976" w:type="dxa"/>
          </w:tcPr>
          <w:p w14:paraId="084C745A" w14:textId="77777777" w:rsidR="00CC1A56" w:rsidRPr="00791E4E" w:rsidRDefault="00CC1A56" w:rsidP="007D385B">
            <w:pPr>
              <w:pStyle w:val="naiskr"/>
              <w:spacing w:before="0" w:beforeAutospacing="0" w:after="0" w:afterAutospacing="0"/>
              <w:ind w:left="57" w:right="57"/>
            </w:pPr>
            <w:r w:rsidRPr="00791E4E">
              <w:t>Sabiedrības mērķgrupas, kuras tiesiskais regulējums ietekmē vai varētu ietekmēt</w:t>
            </w:r>
          </w:p>
        </w:tc>
        <w:tc>
          <w:tcPr>
            <w:tcW w:w="6096" w:type="dxa"/>
          </w:tcPr>
          <w:p w14:paraId="7818658D" w14:textId="77777777" w:rsidR="00CC1A56" w:rsidRPr="00682E06" w:rsidRDefault="00682E06" w:rsidP="00682E06">
            <w:pPr>
              <w:shd w:val="clear" w:color="auto" w:fill="FFFFFF"/>
              <w:spacing w:after="0" w:line="240" w:lineRule="auto"/>
              <w:ind w:left="142" w:right="57"/>
              <w:jc w:val="both"/>
              <w:rPr>
                <w:rFonts w:ascii="Times New Roman" w:hAnsi="Times New Roman" w:cs="Times New Roman"/>
                <w:sz w:val="24"/>
                <w:szCs w:val="24"/>
              </w:rPr>
            </w:pPr>
            <w:bookmarkStart w:id="1" w:name="p21"/>
            <w:bookmarkEnd w:id="1"/>
            <w:r w:rsidRPr="00682E06">
              <w:rPr>
                <w:rFonts w:ascii="Times New Roman" w:hAnsi="Times New Roman" w:cs="Times New Roman"/>
                <w:sz w:val="24"/>
                <w:szCs w:val="24"/>
              </w:rPr>
              <w:t xml:space="preserve">Personas ar funkcionāliem traucējumiem, bezpajumtnieki un citas sociālās atstumtības riskam pakļautās personas – sociālo pakalpojumu saņēmēji (1.4.1.2.4.apakšaktivitātes otrās kārtas ietvaros 18 </w:t>
            </w:r>
            <w:r w:rsidR="00DA6B8F">
              <w:rPr>
                <w:rFonts w:ascii="Times New Roman" w:hAnsi="Times New Roman" w:cs="Times New Roman"/>
                <w:sz w:val="24"/>
                <w:szCs w:val="24"/>
              </w:rPr>
              <w:t>6</w:t>
            </w:r>
            <w:r w:rsidRPr="00682E06">
              <w:rPr>
                <w:rFonts w:ascii="Times New Roman" w:hAnsi="Times New Roman" w:cs="Times New Roman"/>
                <w:sz w:val="24"/>
                <w:szCs w:val="24"/>
              </w:rPr>
              <w:t>77 personas).</w:t>
            </w:r>
          </w:p>
        </w:tc>
      </w:tr>
      <w:tr w:rsidR="00CC1A56" w:rsidRPr="00DD49B6" w14:paraId="6EDF7470" w14:textId="77777777" w:rsidTr="007D385B">
        <w:trPr>
          <w:trHeight w:val="523"/>
        </w:trPr>
        <w:tc>
          <w:tcPr>
            <w:tcW w:w="431" w:type="dxa"/>
          </w:tcPr>
          <w:p w14:paraId="2FB71635" w14:textId="77777777" w:rsidR="00CC1A56" w:rsidRPr="00DD49B6" w:rsidRDefault="00CC1A56" w:rsidP="007D385B">
            <w:pPr>
              <w:pStyle w:val="naiskr"/>
              <w:spacing w:before="0" w:beforeAutospacing="0" w:after="0" w:afterAutospacing="0"/>
              <w:ind w:left="57" w:right="57"/>
              <w:jc w:val="both"/>
            </w:pPr>
            <w:r w:rsidRPr="00DD49B6">
              <w:t>2.</w:t>
            </w:r>
          </w:p>
        </w:tc>
        <w:tc>
          <w:tcPr>
            <w:tcW w:w="2976" w:type="dxa"/>
          </w:tcPr>
          <w:p w14:paraId="1DDBAF3F" w14:textId="77777777"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14:paraId="0FDEBC03" w14:textId="77777777" w:rsidR="00CC1A56" w:rsidRPr="00D404FE" w:rsidRDefault="00D404FE" w:rsidP="000F2C5F">
            <w:pPr>
              <w:shd w:val="clear" w:color="auto" w:fill="FFFFFF"/>
              <w:spacing w:after="0" w:line="240" w:lineRule="auto"/>
              <w:ind w:left="142" w:right="57"/>
              <w:jc w:val="both"/>
              <w:rPr>
                <w:rFonts w:ascii="Times New Roman" w:hAnsi="Times New Roman" w:cs="Times New Roman"/>
                <w:sz w:val="24"/>
                <w:szCs w:val="24"/>
                <w:lang w:eastAsia="lv-LV"/>
              </w:rPr>
            </w:pPr>
            <w:r w:rsidRPr="00D404FE">
              <w:rPr>
                <w:rFonts w:ascii="Times New Roman" w:hAnsi="Times New Roman" w:cs="Times New Roman"/>
                <w:sz w:val="24"/>
                <w:szCs w:val="24"/>
                <w:lang w:eastAsia="lv-LV"/>
              </w:rPr>
              <w:t>Sabiedrības grupām un institūcijām projekta tiesiskais regulējums nemaina tiesības un pienākumus, kā arī veicamās darbības.</w:t>
            </w:r>
          </w:p>
        </w:tc>
      </w:tr>
      <w:tr w:rsidR="00CC1A56" w:rsidRPr="00DD49B6" w14:paraId="5274A057" w14:textId="77777777" w:rsidTr="007D385B">
        <w:trPr>
          <w:trHeight w:val="523"/>
        </w:trPr>
        <w:tc>
          <w:tcPr>
            <w:tcW w:w="431" w:type="dxa"/>
          </w:tcPr>
          <w:p w14:paraId="0D82D31E" w14:textId="77777777" w:rsidR="00CC1A56" w:rsidRPr="00DD49B6" w:rsidRDefault="00CC1A56" w:rsidP="007D385B">
            <w:pPr>
              <w:pStyle w:val="naiskr"/>
              <w:spacing w:before="0" w:beforeAutospacing="0" w:after="0" w:afterAutospacing="0"/>
              <w:ind w:left="57" w:right="57"/>
              <w:jc w:val="both"/>
            </w:pPr>
            <w:r w:rsidRPr="00DD49B6">
              <w:lastRenderedPageBreak/>
              <w:t>3.</w:t>
            </w:r>
          </w:p>
        </w:tc>
        <w:tc>
          <w:tcPr>
            <w:tcW w:w="2976" w:type="dxa"/>
          </w:tcPr>
          <w:p w14:paraId="6EE9E50F" w14:textId="77777777"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Pr>
          <w:p w14:paraId="1E057560" w14:textId="77777777" w:rsidR="00CC1A56" w:rsidRPr="00DD49B6" w:rsidRDefault="00D404FE" w:rsidP="00F349ED">
            <w:pPr>
              <w:shd w:val="clear" w:color="auto" w:fill="FFFFFF"/>
              <w:spacing w:after="0" w:line="240" w:lineRule="auto"/>
              <w:ind w:left="142" w:right="57"/>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F349ED">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7E0E0973" w14:textId="77777777" w:rsidTr="007D385B">
        <w:trPr>
          <w:trHeight w:val="357"/>
        </w:trPr>
        <w:tc>
          <w:tcPr>
            <w:tcW w:w="431" w:type="dxa"/>
          </w:tcPr>
          <w:p w14:paraId="5F3819D9" w14:textId="77777777" w:rsidR="00CC1A56" w:rsidRPr="00DD49B6" w:rsidRDefault="00CC1A56" w:rsidP="007D385B">
            <w:pPr>
              <w:pStyle w:val="naiskr"/>
              <w:spacing w:before="0" w:beforeAutospacing="0" w:after="0" w:afterAutospacing="0"/>
              <w:ind w:left="57" w:right="57"/>
              <w:jc w:val="both"/>
            </w:pPr>
            <w:r w:rsidRPr="00DD49B6">
              <w:t>4.</w:t>
            </w:r>
          </w:p>
        </w:tc>
        <w:tc>
          <w:tcPr>
            <w:tcW w:w="2976" w:type="dxa"/>
          </w:tcPr>
          <w:p w14:paraId="0644776C" w14:textId="77777777" w:rsidR="00CC1A56" w:rsidRPr="00DD49B6" w:rsidRDefault="00CC1A56" w:rsidP="007D385B">
            <w:pPr>
              <w:pStyle w:val="naiskr"/>
              <w:spacing w:before="0" w:beforeAutospacing="0" w:after="0" w:afterAutospacing="0"/>
              <w:ind w:left="57" w:right="57"/>
            </w:pPr>
            <w:r w:rsidRPr="00DD49B6">
              <w:t>Cita informācija</w:t>
            </w:r>
          </w:p>
        </w:tc>
        <w:tc>
          <w:tcPr>
            <w:tcW w:w="6096" w:type="dxa"/>
          </w:tcPr>
          <w:p w14:paraId="0BA618B2" w14:textId="77777777" w:rsidR="00CC1A56" w:rsidRPr="00DD49B6" w:rsidRDefault="007F44BF" w:rsidP="000F2C5F">
            <w:pPr>
              <w:shd w:val="clear" w:color="auto" w:fill="FFFFFF"/>
              <w:spacing w:after="0" w:line="240" w:lineRule="auto"/>
              <w:ind w:left="142" w:right="57"/>
              <w:rPr>
                <w:rFonts w:ascii="Times New Roman" w:hAnsi="Times New Roman" w:cs="Times New Roman"/>
                <w:sz w:val="24"/>
                <w:szCs w:val="24"/>
                <w:lang w:eastAsia="lv-LV"/>
              </w:rPr>
            </w:pPr>
            <w:r>
              <w:rPr>
                <w:rFonts w:ascii="Times New Roman" w:hAnsi="Times New Roman" w:cs="Times New Roman"/>
                <w:sz w:val="24"/>
                <w:szCs w:val="24"/>
              </w:rPr>
              <w:t>Nav.</w:t>
            </w:r>
          </w:p>
        </w:tc>
      </w:tr>
    </w:tbl>
    <w:p w14:paraId="7B8D8818" w14:textId="77777777" w:rsidR="00CC1A56" w:rsidRPr="00DD49B6" w:rsidRDefault="00CC1A56" w:rsidP="00CC1A56">
      <w:pPr>
        <w:spacing w:after="0" w:line="240" w:lineRule="auto"/>
        <w:rPr>
          <w:rFonts w:ascii="Times New Roman" w:hAnsi="Times New Roman" w:cs="Times New Roman"/>
          <w:sz w:val="24"/>
          <w:szCs w:val="24"/>
        </w:rPr>
      </w:pPr>
    </w:p>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273"/>
        <w:gridCol w:w="1538"/>
        <w:gridCol w:w="1150"/>
        <w:gridCol w:w="1194"/>
        <w:gridCol w:w="1176"/>
      </w:tblGrid>
      <w:tr w:rsidR="00CC1A56" w:rsidRPr="00DD49B6" w14:paraId="5E942C60" w14:textId="77777777" w:rsidTr="007D385B">
        <w:trPr>
          <w:trHeight w:val="361"/>
          <w:jc w:val="center"/>
        </w:trPr>
        <w:tc>
          <w:tcPr>
            <w:tcW w:w="9513" w:type="dxa"/>
            <w:gridSpan w:val="6"/>
            <w:vAlign w:val="center"/>
          </w:tcPr>
          <w:p w14:paraId="7FAB02B7" w14:textId="77777777" w:rsidR="00CC1A56" w:rsidRPr="00DD49B6" w:rsidRDefault="00CC1A56" w:rsidP="007D385B">
            <w:pPr>
              <w:pStyle w:val="naisnod"/>
              <w:spacing w:before="0" w:beforeAutospacing="0" w:after="0" w:afterAutospacing="0"/>
              <w:jc w:val="center"/>
              <w:rPr>
                <w:b/>
                <w:i/>
              </w:rPr>
            </w:pPr>
            <w:r w:rsidRPr="00DD49B6">
              <w:lastRenderedPageBreak/>
              <w:br w:type="page"/>
            </w:r>
            <w:r w:rsidRPr="00DD49B6">
              <w:rPr>
                <w:b/>
              </w:rPr>
              <w:t>III. Tiesību akta projekta ietekme uz valsts budžetu un pašvaldību budžetiem</w:t>
            </w:r>
          </w:p>
        </w:tc>
      </w:tr>
      <w:tr w:rsidR="00CC1A56" w:rsidRPr="00DD49B6" w14:paraId="034A4CA3" w14:textId="77777777" w:rsidTr="002B0D05">
        <w:trPr>
          <w:jc w:val="center"/>
        </w:trPr>
        <w:tc>
          <w:tcPr>
            <w:tcW w:w="3182" w:type="dxa"/>
            <w:vMerge w:val="restart"/>
            <w:vAlign w:val="center"/>
          </w:tcPr>
          <w:p w14:paraId="75774F7D" w14:textId="77777777" w:rsidR="00CC1A56" w:rsidRPr="00DD49B6" w:rsidRDefault="00CC1A56" w:rsidP="007D385B">
            <w:pPr>
              <w:pStyle w:val="naisf"/>
              <w:spacing w:before="0" w:beforeAutospacing="0" w:after="0" w:afterAutospacing="0"/>
              <w:jc w:val="center"/>
              <w:rPr>
                <w:b/>
              </w:rPr>
            </w:pPr>
            <w:r w:rsidRPr="00DD49B6">
              <w:rPr>
                <w:b/>
              </w:rPr>
              <w:t>Rādītāji</w:t>
            </w:r>
          </w:p>
        </w:tc>
        <w:tc>
          <w:tcPr>
            <w:tcW w:w="2811" w:type="dxa"/>
            <w:gridSpan w:val="2"/>
            <w:vMerge w:val="restart"/>
            <w:vAlign w:val="center"/>
          </w:tcPr>
          <w:p w14:paraId="7D316ED5" w14:textId="77777777" w:rsidR="00CC1A56" w:rsidRPr="00DD49B6" w:rsidRDefault="00CC1A56" w:rsidP="007D385B">
            <w:pPr>
              <w:pStyle w:val="naisf"/>
              <w:spacing w:before="0" w:beforeAutospacing="0" w:after="0" w:afterAutospacing="0"/>
              <w:jc w:val="center"/>
              <w:rPr>
                <w:b/>
              </w:rPr>
            </w:pPr>
            <w:proofErr w:type="gramStart"/>
            <w:r>
              <w:rPr>
                <w:b/>
              </w:rPr>
              <w:t>2014.</w:t>
            </w:r>
            <w:r w:rsidRPr="00DD49B6">
              <w:rPr>
                <w:b/>
              </w:rPr>
              <w:t>gad</w:t>
            </w:r>
            <w:r w:rsidRPr="00962BF1">
              <w:rPr>
                <w:b/>
              </w:rPr>
              <w:t>s</w:t>
            </w:r>
            <w:proofErr w:type="gramEnd"/>
          </w:p>
        </w:tc>
        <w:tc>
          <w:tcPr>
            <w:tcW w:w="3520" w:type="dxa"/>
            <w:gridSpan w:val="3"/>
            <w:vAlign w:val="center"/>
          </w:tcPr>
          <w:p w14:paraId="6C75EE77" w14:textId="77777777" w:rsidR="00CC1A56" w:rsidRPr="00DD49B6" w:rsidRDefault="00CC1A56" w:rsidP="00B415F7">
            <w:pPr>
              <w:pStyle w:val="naisf"/>
              <w:spacing w:before="0" w:beforeAutospacing="0" w:after="0" w:afterAutospacing="0"/>
              <w:jc w:val="center"/>
              <w:rPr>
                <w:b/>
                <w:i/>
              </w:rPr>
            </w:pPr>
            <w:r w:rsidRPr="00DD49B6">
              <w:t>Turpmākie trīs gadi (</w:t>
            </w:r>
            <w:proofErr w:type="spellStart"/>
            <w:r w:rsidR="00B415F7" w:rsidRPr="00B415F7">
              <w:rPr>
                <w:i/>
              </w:rPr>
              <w:t>euro</w:t>
            </w:r>
            <w:proofErr w:type="spellEnd"/>
            <w:r w:rsidRPr="00DD49B6">
              <w:t>)</w:t>
            </w:r>
          </w:p>
        </w:tc>
      </w:tr>
      <w:tr w:rsidR="00CC1A56" w:rsidRPr="00DD49B6" w14:paraId="6E42E995" w14:textId="77777777" w:rsidTr="002B0D05">
        <w:trPr>
          <w:jc w:val="center"/>
        </w:trPr>
        <w:tc>
          <w:tcPr>
            <w:tcW w:w="3182" w:type="dxa"/>
            <w:vMerge/>
            <w:vAlign w:val="center"/>
          </w:tcPr>
          <w:p w14:paraId="546AB100" w14:textId="77777777" w:rsidR="00CC1A56" w:rsidRPr="00DD49B6" w:rsidRDefault="00CC1A56" w:rsidP="007D385B">
            <w:pPr>
              <w:pStyle w:val="naisf"/>
              <w:spacing w:before="0" w:beforeAutospacing="0" w:after="0" w:afterAutospacing="0"/>
              <w:jc w:val="center"/>
              <w:rPr>
                <w:b/>
                <w:i/>
              </w:rPr>
            </w:pPr>
          </w:p>
        </w:tc>
        <w:tc>
          <w:tcPr>
            <w:tcW w:w="2811" w:type="dxa"/>
            <w:gridSpan w:val="2"/>
            <w:vMerge/>
            <w:vAlign w:val="center"/>
          </w:tcPr>
          <w:p w14:paraId="1C153827" w14:textId="77777777" w:rsidR="00CC1A56" w:rsidRPr="00DD49B6" w:rsidRDefault="00CC1A56" w:rsidP="007D385B">
            <w:pPr>
              <w:pStyle w:val="naisf"/>
              <w:spacing w:before="0" w:beforeAutospacing="0" w:after="0" w:afterAutospacing="0"/>
              <w:jc w:val="center"/>
              <w:rPr>
                <w:b/>
                <w:i/>
              </w:rPr>
            </w:pPr>
          </w:p>
        </w:tc>
        <w:tc>
          <w:tcPr>
            <w:tcW w:w="1150" w:type="dxa"/>
            <w:vAlign w:val="center"/>
          </w:tcPr>
          <w:p w14:paraId="7517F0E7" w14:textId="77777777" w:rsidR="00CC1A56" w:rsidRPr="00DD49B6" w:rsidRDefault="00CC1A56" w:rsidP="007D385B">
            <w:pPr>
              <w:pStyle w:val="naisf"/>
              <w:spacing w:before="0" w:beforeAutospacing="0" w:after="0" w:afterAutospacing="0"/>
              <w:jc w:val="center"/>
              <w:rPr>
                <w:b/>
                <w:i/>
              </w:rPr>
            </w:pPr>
            <w:r>
              <w:rPr>
                <w:b/>
                <w:bCs/>
              </w:rPr>
              <w:t>2015.</w:t>
            </w:r>
          </w:p>
        </w:tc>
        <w:tc>
          <w:tcPr>
            <w:tcW w:w="1194" w:type="dxa"/>
            <w:vAlign w:val="center"/>
          </w:tcPr>
          <w:p w14:paraId="3281CBB9" w14:textId="77777777" w:rsidR="00CC1A56" w:rsidRPr="00DD49B6" w:rsidRDefault="00CC1A56" w:rsidP="007D385B">
            <w:pPr>
              <w:pStyle w:val="naisf"/>
              <w:spacing w:before="0" w:beforeAutospacing="0" w:after="0" w:afterAutospacing="0"/>
              <w:jc w:val="center"/>
              <w:rPr>
                <w:b/>
                <w:i/>
              </w:rPr>
            </w:pPr>
            <w:r>
              <w:rPr>
                <w:b/>
                <w:bCs/>
              </w:rPr>
              <w:t>2016.</w:t>
            </w:r>
          </w:p>
        </w:tc>
        <w:tc>
          <w:tcPr>
            <w:tcW w:w="1176" w:type="dxa"/>
            <w:vAlign w:val="center"/>
          </w:tcPr>
          <w:p w14:paraId="38715126" w14:textId="77777777" w:rsidR="00CC1A56" w:rsidRPr="00DD49B6" w:rsidRDefault="00CC1A56" w:rsidP="007D385B">
            <w:pPr>
              <w:pStyle w:val="naisf"/>
              <w:spacing w:before="0" w:beforeAutospacing="0" w:after="0" w:afterAutospacing="0"/>
              <w:jc w:val="center"/>
              <w:rPr>
                <w:b/>
                <w:i/>
              </w:rPr>
            </w:pPr>
            <w:r>
              <w:rPr>
                <w:b/>
                <w:bCs/>
              </w:rPr>
              <w:t>2017.</w:t>
            </w:r>
          </w:p>
        </w:tc>
      </w:tr>
      <w:tr w:rsidR="00CC1A56" w:rsidRPr="00DD49B6" w14:paraId="10D64494" w14:textId="77777777" w:rsidTr="002B0D05">
        <w:trPr>
          <w:jc w:val="center"/>
        </w:trPr>
        <w:tc>
          <w:tcPr>
            <w:tcW w:w="3182" w:type="dxa"/>
            <w:vMerge/>
            <w:vAlign w:val="center"/>
          </w:tcPr>
          <w:p w14:paraId="1807DD9C" w14:textId="77777777" w:rsidR="00CC1A56" w:rsidRPr="00DD49B6" w:rsidRDefault="00CC1A56" w:rsidP="007D385B">
            <w:pPr>
              <w:pStyle w:val="naisf"/>
              <w:spacing w:before="0" w:beforeAutospacing="0" w:after="0" w:afterAutospacing="0"/>
              <w:jc w:val="center"/>
              <w:rPr>
                <w:b/>
                <w:i/>
              </w:rPr>
            </w:pPr>
          </w:p>
        </w:tc>
        <w:tc>
          <w:tcPr>
            <w:tcW w:w="1273" w:type="dxa"/>
            <w:vAlign w:val="center"/>
          </w:tcPr>
          <w:p w14:paraId="00CD737B" w14:textId="77777777" w:rsidR="00CC1A56" w:rsidRPr="00DD49B6" w:rsidRDefault="00CC1A56" w:rsidP="007D385B">
            <w:pPr>
              <w:pStyle w:val="naisf"/>
              <w:spacing w:before="0" w:beforeAutospacing="0" w:after="0" w:afterAutospacing="0"/>
              <w:jc w:val="center"/>
              <w:rPr>
                <w:b/>
                <w:i/>
              </w:rPr>
            </w:pPr>
            <w:r>
              <w:t>s</w:t>
            </w:r>
            <w:r w:rsidRPr="00DD49B6">
              <w:t>askaņā ar valsts budžetu kārtējam gadam</w:t>
            </w:r>
          </w:p>
        </w:tc>
        <w:tc>
          <w:tcPr>
            <w:tcW w:w="1538" w:type="dxa"/>
            <w:vAlign w:val="center"/>
          </w:tcPr>
          <w:p w14:paraId="64D3E5EF" w14:textId="77777777" w:rsidR="00CC1A56" w:rsidRPr="00DD49B6" w:rsidRDefault="00CC1A56" w:rsidP="007D385B">
            <w:pPr>
              <w:pStyle w:val="naisf"/>
              <w:spacing w:before="0" w:beforeAutospacing="0" w:after="0" w:afterAutospacing="0"/>
              <w:jc w:val="center"/>
              <w:rPr>
                <w:b/>
                <w:i/>
              </w:rPr>
            </w:pPr>
            <w:r>
              <w:t>i</w:t>
            </w:r>
            <w:r w:rsidRPr="00DD49B6">
              <w:t>zmaiņas kārtējā gadā, salīdzinot ar valsts budžetu kārtējam gadam</w:t>
            </w:r>
          </w:p>
        </w:tc>
        <w:tc>
          <w:tcPr>
            <w:tcW w:w="1150" w:type="dxa"/>
            <w:vAlign w:val="center"/>
          </w:tcPr>
          <w:p w14:paraId="30290121" w14:textId="77777777" w:rsidR="00CC1A56" w:rsidRPr="00DD49B6" w:rsidRDefault="00CC1A56" w:rsidP="007D385B">
            <w:pPr>
              <w:pStyle w:val="naisf"/>
              <w:spacing w:before="0" w:beforeAutospacing="0" w:after="0" w:afterAutospacing="0"/>
              <w:jc w:val="center"/>
              <w:rPr>
                <w:b/>
                <w:i/>
              </w:rPr>
            </w:pPr>
            <w:r>
              <w:t>i</w:t>
            </w:r>
            <w:r w:rsidRPr="00DD49B6">
              <w:t>zmaiņas, salīdzinot ar kārtējo (n) gadu</w:t>
            </w:r>
          </w:p>
        </w:tc>
        <w:tc>
          <w:tcPr>
            <w:tcW w:w="1194" w:type="dxa"/>
            <w:vAlign w:val="center"/>
          </w:tcPr>
          <w:p w14:paraId="301D253B" w14:textId="77777777" w:rsidR="00CC1A56" w:rsidRPr="00DD49B6" w:rsidRDefault="00CC1A56" w:rsidP="007D385B">
            <w:pPr>
              <w:pStyle w:val="naisf"/>
              <w:spacing w:before="0" w:beforeAutospacing="0" w:after="0" w:afterAutospacing="0"/>
              <w:jc w:val="center"/>
              <w:rPr>
                <w:b/>
                <w:i/>
              </w:rPr>
            </w:pPr>
            <w:r>
              <w:t>i</w:t>
            </w:r>
            <w:r w:rsidRPr="00DD49B6">
              <w:t>zmaiņas, salīdzinot ar kārtējo (n) gadu</w:t>
            </w:r>
          </w:p>
        </w:tc>
        <w:tc>
          <w:tcPr>
            <w:tcW w:w="1176" w:type="dxa"/>
            <w:vAlign w:val="center"/>
          </w:tcPr>
          <w:p w14:paraId="692A24E5" w14:textId="77777777" w:rsidR="00CC1A56" w:rsidRPr="00DD49B6" w:rsidRDefault="00CC1A56" w:rsidP="007D385B">
            <w:pPr>
              <w:pStyle w:val="naisf"/>
              <w:spacing w:before="0" w:beforeAutospacing="0" w:after="0" w:afterAutospacing="0"/>
              <w:jc w:val="center"/>
              <w:rPr>
                <w:b/>
                <w:i/>
              </w:rPr>
            </w:pPr>
            <w:r>
              <w:t>i</w:t>
            </w:r>
            <w:r w:rsidRPr="00DD49B6">
              <w:t>zmaiņas, salīdzinot ar kārtējo (n) gadu</w:t>
            </w:r>
          </w:p>
        </w:tc>
      </w:tr>
      <w:tr w:rsidR="00CC1A56" w:rsidRPr="00DD49B6" w14:paraId="577ECD5F" w14:textId="77777777" w:rsidTr="002B0D05">
        <w:trPr>
          <w:jc w:val="center"/>
        </w:trPr>
        <w:tc>
          <w:tcPr>
            <w:tcW w:w="3182" w:type="dxa"/>
            <w:vAlign w:val="center"/>
          </w:tcPr>
          <w:p w14:paraId="07119E03" w14:textId="77777777" w:rsidR="00CC1A56" w:rsidRPr="00DD49B6" w:rsidRDefault="00CC1A56" w:rsidP="007D385B">
            <w:pPr>
              <w:pStyle w:val="naisf"/>
              <w:spacing w:before="0" w:beforeAutospacing="0" w:after="0" w:afterAutospacing="0"/>
              <w:jc w:val="center"/>
              <w:rPr>
                <w:bCs/>
              </w:rPr>
            </w:pPr>
            <w:r w:rsidRPr="00DD49B6">
              <w:rPr>
                <w:bCs/>
              </w:rPr>
              <w:t>1</w:t>
            </w:r>
          </w:p>
        </w:tc>
        <w:tc>
          <w:tcPr>
            <w:tcW w:w="1273" w:type="dxa"/>
            <w:vAlign w:val="center"/>
          </w:tcPr>
          <w:p w14:paraId="49E78E10" w14:textId="77777777" w:rsidR="00CC1A56" w:rsidRPr="00086C6B" w:rsidRDefault="00CC1A56" w:rsidP="007D385B">
            <w:pPr>
              <w:pStyle w:val="naisf"/>
              <w:spacing w:before="0" w:beforeAutospacing="0" w:after="0" w:afterAutospacing="0"/>
              <w:jc w:val="center"/>
              <w:rPr>
                <w:bCs/>
              </w:rPr>
            </w:pPr>
            <w:r w:rsidRPr="00086C6B">
              <w:rPr>
                <w:bCs/>
              </w:rPr>
              <w:t>2</w:t>
            </w:r>
          </w:p>
        </w:tc>
        <w:tc>
          <w:tcPr>
            <w:tcW w:w="1538" w:type="dxa"/>
            <w:vAlign w:val="center"/>
          </w:tcPr>
          <w:p w14:paraId="5341E5C3" w14:textId="77777777" w:rsidR="00CC1A56" w:rsidRPr="00086C6B" w:rsidRDefault="00CC1A56" w:rsidP="007D385B">
            <w:pPr>
              <w:pStyle w:val="naisf"/>
              <w:spacing w:before="0" w:beforeAutospacing="0" w:after="0" w:afterAutospacing="0"/>
              <w:jc w:val="center"/>
              <w:rPr>
                <w:bCs/>
              </w:rPr>
            </w:pPr>
            <w:r w:rsidRPr="00086C6B">
              <w:rPr>
                <w:bCs/>
              </w:rPr>
              <w:t>3</w:t>
            </w:r>
          </w:p>
        </w:tc>
        <w:tc>
          <w:tcPr>
            <w:tcW w:w="1150" w:type="dxa"/>
            <w:vAlign w:val="center"/>
          </w:tcPr>
          <w:p w14:paraId="22183D89" w14:textId="77777777" w:rsidR="00CC1A56" w:rsidRPr="00086C6B" w:rsidRDefault="00CC1A56" w:rsidP="007D385B">
            <w:pPr>
              <w:pStyle w:val="naisf"/>
              <w:spacing w:before="0" w:beforeAutospacing="0" w:after="0" w:afterAutospacing="0"/>
              <w:jc w:val="center"/>
              <w:rPr>
                <w:bCs/>
              </w:rPr>
            </w:pPr>
            <w:r w:rsidRPr="00086C6B">
              <w:rPr>
                <w:bCs/>
              </w:rPr>
              <w:t>4</w:t>
            </w:r>
          </w:p>
        </w:tc>
        <w:tc>
          <w:tcPr>
            <w:tcW w:w="1194" w:type="dxa"/>
            <w:vAlign w:val="center"/>
          </w:tcPr>
          <w:p w14:paraId="16FD867E" w14:textId="77777777" w:rsidR="00CC1A56" w:rsidRPr="00086C6B" w:rsidRDefault="00CC1A56" w:rsidP="007D385B">
            <w:pPr>
              <w:pStyle w:val="naisf"/>
              <w:spacing w:before="0" w:beforeAutospacing="0" w:after="0" w:afterAutospacing="0"/>
              <w:jc w:val="center"/>
              <w:rPr>
                <w:bCs/>
              </w:rPr>
            </w:pPr>
            <w:r w:rsidRPr="00086C6B">
              <w:rPr>
                <w:bCs/>
              </w:rPr>
              <w:t>5</w:t>
            </w:r>
          </w:p>
        </w:tc>
        <w:tc>
          <w:tcPr>
            <w:tcW w:w="1176" w:type="dxa"/>
            <w:vAlign w:val="center"/>
          </w:tcPr>
          <w:p w14:paraId="171D3B76" w14:textId="77777777" w:rsidR="00CC1A56" w:rsidRPr="00086C6B" w:rsidRDefault="00CC1A56" w:rsidP="007D385B">
            <w:pPr>
              <w:pStyle w:val="naisf"/>
              <w:spacing w:before="0" w:beforeAutospacing="0" w:after="0" w:afterAutospacing="0"/>
              <w:jc w:val="center"/>
              <w:rPr>
                <w:bCs/>
              </w:rPr>
            </w:pPr>
            <w:r w:rsidRPr="00086C6B">
              <w:rPr>
                <w:bCs/>
              </w:rPr>
              <w:t>6</w:t>
            </w:r>
          </w:p>
        </w:tc>
      </w:tr>
      <w:tr w:rsidR="00086C6B" w:rsidRPr="00DD49B6" w14:paraId="63B2B4B3" w14:textId="77777777" w:rsidTr="002B0D05">
        <w:trPr>
          <w:jc w:val="center"/>
        </w:trPr>
        <w:tc>
          <w:tcPr>
            <w:tcW w:w="3182" w:type="dxa"/>
          </w:tcPr>
          <w:p w14:paraId="3699957F" w14:textId="77777777" w:rsidR="00086C6B" w:rsidRPr="00DD49B6" w:rsidRDefault="00086C6B" w:rsidP="007D385B">
            <w:pPr>
              <w:pStyle w:val="naisf"/>
              <w:spacing w:before="0" w:beforeAutospacing="0" w:after="0" w:afterAutospacing="0"/>
              <w:rPr>
                <w:i/>
              </w:rPr>
            </w:pPr>
            <w:r w:rsidRPr="00DD49B6">
              <w:t>1. Budžeta ieņēmumi:</w:t>
            </w:r>
          </w:p>
        </w:tc>
        <w:tc>
          <w:tcPr>
            <w:tcW w:w="1273" w:type="dxa"/>
          </w:tcPr>
          <w:p w14:paraId="3D08F6C3" w14:textId="77777777" w:rsidR="00086C6B" w:rsidRPr="004E32E6" w:rsidRDefault="00086C6B" w:rsidP="00086C6B">
            <w:pPr>
              <w:pStyle w:val="naisf"/>
              <w:spacing w:before="0" w:beforeAutospacing="0" w:after="0" w:afterAutospacing="0"/>
              <w:jc w:val="center"/>
            </w:pPr>
            <w:r w:rsidRPr="004E32E6">
              <w:t>12 403</w:t>
            </w:r>
          </w:p>
        </w:tc>
        <w:tc>
          <w:tcPr>
            <w:tcW w:w="1538" w:type="dxa"/>
          </w:tcPr>
          <w:p w14:paraId="1BEF7793" w14:textId="77777777" w:rsidR="00086C6B" w:rsidRPr="004E32E6" w:rsidRDefault="00086C6B" w:rsidP="00086C6B">
            <w:pPr>
              <w:pStyle w:val="naisf"/>
              <w:spacing w:before="0" w:beforeAutospacing="0" w:after="0" w:afterAutospacing="0"/>
              <w:jc w:val="center"/>
            </w:pPr>
            <w:r w:rsidRPr="004E32E6">
              <w:t>0</w:t>
            </w:r>
          </w:p>
        </w:tc>
        <w:tc>
          <w:tcPr>
            <w:tcW w:w="1150" w:type="dxa"/>
          </w:tcPr>
          <w:p w14:paraId="4CCB08FC" w14:textId="77777777" w:rsidR="00086C6B" w:rsidRPr="004E32E6" w:rsidRDefault="00086C6B" w:rsidP="00086C6B">
            <w:pPr>
              <w:pStyle w:val="naisf"/>
              <w:spacing w:before="0" w:beforeAutospacing="0" w:after="0" w:afterAutospacing="0"/>
              <w:jc w:val="center"/>
            </w:pPr>
            <w:r w:rsidRPr="004E32E6">
              <w:t>-12 403</w:t>
            </w:r>
          </w:p>
        </w:tc>
        <w:tc>
          <w:tcPr>
            <w:tcW w:w="1194" w:type="dxa"/>
          </w:tcPr>
          <w:p w14:paraId="2424896F" w14:textId="77777777" w:rsidR="00086C6B" w:rsidRPr="004E32E6" w:rsidRDefault="00086C6B" w:rsidP="00086C6B">
            <w:pPr>
              <w:pStyle w:val="naisf"/>
              <w:spacing w:before="0" w:beforeAutospacing="0" w:after="0" w:afterAutospacing="0"/>
              <w:jc w:val="center"/>
            </w:pPr>
            <w:r w:rsidRPr="004E32E6">
              <w:t>-12 403</w:t>
            </w:r>
          </w:p>
        </w:tc>
        <w:tc>
          <w:tcPr>
            <w:tcW w:w="1176" w:type="dxa"/>
          </w:tcPr>
          <w:p w14:paraId="28B931A8" w14:textId="77777777" w:rsidR="00086C6B" w:rsidRPr="004E32E6" w:rsidRDefault="00086C6B" w:rsidP="00086C6B">
            <w:pPr>
              <w:pStyle w:val="naisf"/>
              <w:spacing w:before="0" w:beforeAutospacing="0" w:after="0" w:afterAutospacing="0"/>
              <w:jc w:val="center"/>
            </w:pPr>
            <w:r w:rsidRPr="004E32E6">
              <w:t>-12 403</w:t>
            </w:r>
          </w:p>
        </w:tc>
      </w:tr>
      <w:tr w:rsidR="00086C6B" w:rsidRPr="00DD49B6" w14:paraId="64045FC3" w14:textId="77777777" w:rsidTr="002B0D05">
        <w:trPr>
          <w:jc w:val="center"/>
        </w:trPr>
        <w:tc>
          <w:tcPr>
            <w:tcW w:w="3182" w:type="dxa"/>
          </w:tcPr>
          <w:p w14:paraId="59CB197B" w14:textId="77777777" w:rsidR="00086C6B" w:rsidRPr="00DD49B6" w:rsidRDefault="00086C6B"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273" w:type="dxa"/>
          </w:tcPr>
          <w:p w14:paraId="5F9D7772" w14:textId="77777777" w:rsidR="00086C6B" w:rsidRPr="004E32E6" w:rsidRDefault="00086C6B" w:rsidP="00086C6B">
            <w:pPr>
              <w:pStyle w:val="naisf"/>
              <w:spacing w:before="0" w:beforeAutospacing="0" w:after="0" w:afterAutospacing="0"/>
              <w:jc w:val="center"/>
            </w:pPr>
            <w:r w:rsidRPr="004E32E6">
              <w:t>15 252</w:t>
            </w:r>
          </w:p>
        </w:tc>
        <w:tc>
          <w:tcPr>
            <w:tcW w:w="1538" w:type="dxa"/>
          </w:tcPr>
          <w:p w14:paraId="36FC429B" w14:textId="77777777" w:rsidR="00086C6B" w:rsidRPr="004E32E6" w:rsidRDefault="00086C6B" w:rsidP="00086C6B">
            <w:pPr>
              <w:pStyle w:val="naisf"/>
              <w:spacing w:before="0" w:beforeAutospacing="0" w:after="0" w:afterAutospacing="0"/>
              <w:jc w:val="center"/>
            </w:pPr>
            <w:r w:rsidRPr="004E32E6">
              <w:t>0</w:t>
            </w:r>
          </w:p>
        </w:tc>
        <w:tc>
          <w:tcPr>
            <w:tcW w:w="1150" w:type="dxa"/>
          </w:tcPr>
          <w:p w14:paraId="06940742" w14:textId="77777777" w:rsidR="00086C6B" w:rsidRPr="004E32E6" w:rsidRDefault="00086C6B" w:rsidP="00086C6B">
            <w:pPr>
              <w:pStyle w:val="naisf"/>
              <w:spacing w:before="0" w:beforeAutospacing="0" w:after="0" w:afterAutospacing="0"/>
              <w:jc w:val="center"/>
            </w:pPr>
            <w:r w:rsidRPr="004E32E6">
              <w:t>-15 252</w:t>
            </w:r>
          </w:p>
        </w:tc>
        <w:tc>
          <w:tcPr>
            <w:tcW w:w="1194" w:type="dxa"/>
          </w:tcPr>
          <w:p w14:paraId="77E7255F" w14:textId="77777777" w:rsidR="00086C6B" w:rsidRPr="004E32E6" w:rsidRDefault="00086C6B" w:rsidP="00086C6B">
            <w:pPr>
              <w:pStyle w:val="naisf"/>
              <w:spacing w:before="0" w:beforeAutospacing="0" w:after="0" w:afterAutospacing="0"/>
              <w:jc w:val="center"/>
            </w:pPr>
            <w:r w:rsidRPr="004E32E6">
              <w:t>-15 252</w:t>
            </w:r>
          </w:p>
        </w:tc>
        <w:tc>
          <w:tcPr>
            <w:tcW w:w="1176" w:type="dxa"/>
          </w:tcPr>
          <w:p w14:paraId="7991A8C4" w14:textId="77777777" w:rsidR="00086C6B" w:rsidRPr="004E32E6" w:rsidRDefault="00086C6B" w:rsidP="00086C6B">
            <w:pPr>
              <w:pStyle w:val="naisf"/>
              <w:spacing w:before="0" w:beforeAutospacing="0" w:after="0" w:afterAutospacing="0"/>
              <w:jc w:val="center"/>
            </w:pPr>
            <w:r w:rsidRPr="004E32E6">
              <w:t>-15 252</w:t>
            </w:r>
          </w:p>
        </w:tc>
      </w:tr>
      <w:tr w:rsidR="00086C6B" w:rsidRPr="00DD49B6" w14:paraId="35986EB8" w14:textId="77777777" w:rsidTr="002B0D05">
        <w:trPr>
          <w:jc w:val="center"/>
        </w:trPr>
        <w:tc>
          <w:tcPr>
            <w:tcW w:w="3182" w:type="dxa"/>
          </w:tcPr>
          <w:p w14:paraId="16DA9FB9" w14:textId="77777777" w:rsidR="00086C6B" w:rsidRPr="00DD49B6" w:rsidRDefault="00086C6B"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273" w:type="dxa"/>
            <w:shd w:val="clear" w:color="auto" w:fill="auto"/>
            <w:vAlign w:val="center"/>
          </w:tcPr>
          <w:p w14:paraId="5C2E348D" w14:textId="77777777" w:rsidR="00086C6B" w:rsidRPr="004E32E6" w:rsidRDefault="00086C6B" w:rsidP="00086C6B">
            <w:pPr>
              <w:pStyle w:val="naisf"/>
              <w:spacing w:before="0" w:beforeAutospacing="0" w:after="0" w:afterAutospacing="0"/>
              <w:jc w:val="center"/>
            </w:pPr>
            <w:r w:rsidRPr="004E32E6">
              <w:t>-2 849</w:t>
            </w:r>
          </w:p>
        </w:tc>
        <w:tc>
          <w:tcPr>
            <w:tcW w:w="1538" w:type="dxa"/>
          </w:tcPr>
          <w:p w14:paraId="73A2F5D6" w14:textId="77777777" w:rsidR="00086C6B" w:rsidRPr="004E32E6" w:rsidRDefault="00086C6B" w:rsidP="00086C6B">
            <w:pPr>
              <w:pStyle w:val="naisf"/>
              <w:spacing w:before="0" w:beforeAutospacing="0" w:after="0" w:afterAutospacing="0"/>
              <w:jc w:val="center"/>
            </w:pPr>
            <w:r w:rsidRPr="004E32E6">
              <w:t>0</w:t>
            </w:r>
          </w:p>
        </w:tc>
        <w:tc>
          <w:tcPr>
            <w:tcW w:w="1150" w:type="dxa"/>
          </w:tcPr>
          <w:p w14:paraId="4DBE132B" w14:textId="77777777" w:rsidR="00086C6B" w:rsidRPr="004E32E6" w:rsidRDefault="00086C6B" w:rsidP="00086C6B">
            <w:pPr>
              <w:pStyle w:val="naisf"/>
              <w:spacing w:before="0" w:beforeAutospacing="0" w:after="0" w:afterAutospacing="0"/>
              <w:jc w:val="center"/>
            </w:pPr>
            <w:r w:rsidRPr="004E32E6">
              <w:t>2 849</w:t>
            </w:r>
          </w:p>
        </w:tc>
        <w:tc>
          <w:tcPr>
            <w:tcW w:w="1194" w:type="dxa"/>
          </w:tcPr>
          <w:p w14:paraId="0FF23F5A" w14:textId="77777777" w:rsidR="00086C6B" w:rsidRPr="004E32E6" w:rsidRDefault="00086C6B" w:rsidP="00086C6B">
            <w:pPr>
              <w:pStyle w:val="naisf"/>
              <w:spacing w:before="0" w:beforeAutospacing="0" w:after="0" w:afterAutospacing="0"/>
              <w:jc w:val="center"/>
            </w:pPr>
            <w:r w:rsidRPr="004E32E6">
              <w:t>2 849</w:t>
            </w:r>
          </w:p>
        </w:tc>
        <w:tc>
          <w:tcPr>
            <w:tcW w:w="1176" w:type="dxa"/>
          </w:tcPr>
          <w:p w14:paraId="5B75144B" w14:textId="77777777" w:rsidR="00086C6B" w:rsidRPr="004E32E6" w:rsidRDefault="00086C6B" w:rsidP="00086C6B">
            <w:pPr>
              <w:pStyle w:val="naisf"/>
              <w:spacing w:before="0" w:beforeAutospacing="0" w:after="0" w:afterAutospacing="0"/>
              <w:jc w:val="center"/>
            </w:pPr>
            <w:r w:rsidRPr="004E32E6">
              <w:t>2 849</w:t>
            </w:r>
          </w:p>
        </w:tc>
      </w:tr>
      <w:tr w:rsidR="00086C6B" w:rsidRPr="00DD49B6" w14:paraId="26966A24" w14:textId="77777777" w:rsidTr="007D385B">
        <w:trPr>
          <w:trHeight w:val="1380"/>
          <w:jc w:val="center"/>
        </w:trPr>
        <w:tc>
          <w:tcPr>
            <w:tcW w:w="3182" w:type="dxa"/>
          </w:tcPr>
          <w:p w14:paraId="33DC4AC8" w14:textId="77777777" w:rsidR="00086C6B" w:rsidRPr="00DD49B6" w:rsidRDefault="00086C6B"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4. Finanšu līdzekļi papildu izdevumu finansēšanai (kompensējošu izdevumu samazinājumu norāda ar </w:t>
            </w:r>
            <w:r>
              <w:rPr>
                <w:rFonts w:ascii="Times New Roman" w:hAnsi="Times New Roman" w:cs="Times New Roman"/>
                <w:sz w:val="24"/>
                <w:szCs w:val="24"/>
              </w:rPr>
              <w:t>"</w:t>
            </w:r>
            <w:r w:rsidRPr="00DD49B6">
              <w:rPr>
                <w:rFonts w:ascii="Times New Roman" w:hAnsi="Times New Roman" w:cs="Times New Roman"/>
                <w:sz w:val="24"/>
                <w:szCs w:val="24"/>
              </w:rPr>
              <w:t>+</w:t>
            </w:r>
            <w:r>
              <w:rPr>
                <w:rFonts w:ascii="Times New Roman" w:hAnsi="Times New Roman" w:cs="Times New Roman"/>
                <w:sz w:val="24"/>
                <w:szCs w:val="24"/>
              </w:rPr>
              <w:t>"</w:t>
            </w:r>
            <w:r w:rsidRPr="00DD49B6">
              <w:rPr>
                <w:rFonts w:ascii="Times New Roman" w:hAnsi="Times New Roman" w:cs="Times New Roman"/>
                <w:sz w:val="24"/>
                <w:szCs w:val="24"/>
              </w:rPr>
              <w:t xml:space="preserve"> zīmi)</w:t>
            </w:r>
          </w:p>
        </w:tc>
        <w:tc>
          <w:tcPr>
            <w:tcW w:w="1273" w:type="dxa"/>
          </w:tcPr>
          <w:p w14:paraId="252DAE81" w14:textId="77777777" w:rsidR="00086C6B" w:rsidRPr="004E32E6" w:rsidRDefault="00086C6B" w:rsidP="00086C6B">
            <w:pPr>
              <w:pStyle w:val="naisf"/>
              <w:spacing w:before="0" w:beforeAutospacing="0" w:after="0" w:afterAutospacing="0"/>
              <w:jc w:val="center"/>
            </w:pPr>
            <w:r w:rsidRPr="004E32E6">
              <w:t>X</w:t>
            </w:r>
          </w:p>
        </w:tc>
        <w:tc>
          <w:tcPr>
            <w:tcW w:w="1538" w:type="dxa"/>
          </w:tcPr>
          <w:p w14:paraId="648C4827" w14:textId="77777777" w:rsidR="00086C6B" w:rsidRPr="004E32E6" w:rsidRDefault="00086C6B" w:rsidP="00086C6B">
            <w:pPr>
              <w:pStyle w:val="naisf"/>
              <w:spacing w:before="0" w:beforeAutospacing="0" w:after="0" w:afterAutospacing="0"/>
              <w:jc w:val="center"/>
            </w:pPr>
            <w:r w:rsidRPr="004E32E6">
              <w:t>0</w:t>
            </w:r>
          </w:p>
        </w:tc>
        <w:tc>
          <w:tcPr>
            <w:tcW w:w="1150" w:type="dxa"/>
          </w:tcPr>
          <w:p w14:paraId="74B8F055" w14:textId="77777777" w:rsidR="00086C6B" w:rsidRPr="004E32E6" w:rsidRDefault="00086C6B" w:rsidP="00086C6B">
            <w:pPr>
              <w:pStyle w:val="naisf"/>
              <w:spacing w:before="0" w:beforeAutospacing="0" w:after="0" w:afterAutospacing="0"/>
              <w:jc w:val="center"/>
            </w:pPr>
            <w:r w:rsidRPr="004E32E6">
              <w:t>0</w:t>
            </w:r>
          </w:p>
        </w:tc>
        <w:tc>
          <w:tcPr>
            <w:tcW w:w="1194" w:type="dxa"/>
          </w:tcPr>
          <w:p w14:paraId="75E8E9DB" w14:textId="77777777" w:rsidR="00086C6B" w:rsidRPr="004E32E6" w:rsidRDefault="00086C6B" w:rsidP="00086C6B">
            <w:pPr>
              <w:pStyle w:val="naisf"/>
              <w:spacing w:before="0" w:beforeAutospacing="0" w:after="0" w:afterAutospacing="0"/>
              <w:jc w:val="center"/>
            </w:pPr>
            <w:r w:rsidRPr="004E32E6">
              <w:t>0</w:t>
            </w:r>
          </w:p>
        </w:tc>
        <w:tc>
          <w:tcPr>
            <w:tcW w:w="1176" w:type="dxa"/>
          </w:tcPr>
          <w:p w14:paraId="036075DE" w14:textId="77777777" w:rsidR="00086C6B" w:rsidRPr="004E32E6" w:rsidRDefault="00086C6B" w:rsidP="00086C6B">
            <w:pPr>
              <w:pStyle w:val="naisf"/>
              <w:spacing w:before="0" w:beforeAutospacing="0" w:after="0" w:afterAutospacing="0"/>
              <w:jc w:val="center"/>
            </w:pPr>
            <w:r w:rsidRPr="004E32E6">
              <w:t>0</w:t>
            </w:r>
          </w:p>
        </w:tc>
      </w:tr>
      <w:tr w:rsidR="00086C6B" w:rsidRPr="00DD49B6" w14:paraId="060ABBC8" w14:textId="77777777" w:rsidTr="002B0D05">
        <w:trPr>
          <w:jc w:val="center"/>
        </w:trPr>
        <w:tc>
          <w:tcPr>
            <w:tcW w:w="3182" w:type="dxa"/>
          </w:tcPr>
          <w:p w14:paraId="7372AC29" w14:textId="77777777" w:rsidR="00086C6B" w:rsidRPr="00DD49B6" w:rsidRDefault="00086C6B"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 Precizēta finansiālā ietekme:</w:t>
            </w:r>
          </w:p>
        </w:tc>
        <w:tc>
          <w:tcPr>
            <w:tcW w:w="1273" w:type="dxa"/>
          </w:tcPr>
          <w:p w14:paraId="11438CDF" w14:textId="77777777" w:rsidR="00086C6B" w:rsidRPr="004E32E6" w:rsidRDefault="00086C6B" w:rsidP="00086C6B">
            <w:pPr>
              <w:pStyle w:val="naisf"/>
              <w:spacing w:before="0" w:beforeAutospacing="0" w:after="0" w:afterAutospacing="0"/>
              <w:jc w:val="center"/>
            </w:pPr>
            <w:r w:rsidRPr="004E32E6">
              <w:t>X</w:t>
            </w:r>
          </w:p>
        </w:tc>
        <w:tc>
          <w:tcPr>
            <w:tcW w:w="1538" w:type="dxa"/>
          </w:tcPr>
          <w:p w14:paraId="677FF0BF" w14:textId="77777777" w:rsidR="00086C6B" w:rsidRPr="004E32E6" w:rsidRDefault="00086C6B" w:rsidP="00086C6B">
            <w:pPr>
              <w:pStyle w:val="naisf"/>
              <w:spacing w:before="0" w:beforeAutospacing="0" w:after="0" w:afterAutospacing="0"/>
              <w:jc w:val="center"/>
            </w:pPr>
            <w:r w:rsidRPr="004E32E6">
              <w:t>N/A</w:t>
            </w:r>
          </w:p>
        </w:tc>
        <w:tc>
          <w:tcPr>
            <w:tcW w:w="1150" w:type="dxa"/>
          </w:tcPr>
          <w:p w14:paraId="3243AFE5" w14:textId="77777777" w:rsidR="00086C6B" w:rsidRPr="004E32E6" w:rsidRDefault="00086C6B" w:rsidP="00086C6B">
            <w:pPr>
              <w:jc w:val="center"/>
              <w:rPr>
                <w:rFonts w:ascii="Times New Roman" w:hAnsi="Times New Roman" w:cs="Times New Roman"/>
                <w:sz w:val="24"/>
                <w:szCs w:val="24"/>
              </w:rPr>
            </w:pPr>
            <w:r w:rsidRPr="004E32E6">
              <w:rPr>
                <w:rFonts w:ascii="Times New Roman" w:hAnsi="Times New Roman" w:cs="Times New Roman"/>
                <w:sz w:val="24"/>
                <w:szCs w:val="24"/>
              </w:rPr>
              <w:t>N/A</w:t>
            </w:r>
          </w:p>
        </w:tc>
        <w:tc>
          <w:tcPr>
            <w:tcW w:w="1194" w:type="dxa"/>
          </w:tcPr>
          <w:p w14:paraId="69BFBC3B" w14:textId="77777777" w:rsidR="00086C6B" w:rsidRPr="004E32E6" w:rsidRDefault="00086C6B" w:rsidP="00086C6B">
            <w:pPr>
              <w:jc w:val="center"/>
              <w:rPr>
                <w:rFonts w:ascii="Times New Roman" w:hAnsi="Times New Roman" w:cs="Times New Roman"/>
                <w:sz w:val="24"/>
                <w:szCs w:val="24"/>
              </w:rPr>
            </w:pPr>
            <w:r w:rsidRPr="004E32E6">
              <w:rPr>
                <w:rFonts w:ascii="Times New Roman" w:hAnsi="Times New Roman" w:cs="Times New Roman"/>
                <w:sz w:val="24"/>
                <w:szCs w:val="24"/>
              </w:rPr>
              <w:t>N/A</w:t>
            </w:r>
          </w:p>
        </w:tc>
        <w:tc>
          <w:tcPr>
            <w:tcW w:w="1176" w:type="dxa"/>
          </w:tcPr>
          <w:p w14:paraId="7BA50DAE" w14:textId="77777777" w:rsidR="00086C6B" w:rsidRPr="004E32E6" w:rsidRDefault="00086C6B" w:rsidP="00086C6B">
            <w:pPr>
              <w:jc w:val="center"/>
              <w:rPr>
                <w:rFonts w:ascii="Times New Roman" w:hAnsi="Times New Roman" w:cs="Times New Roman"/>
                <w:sz w:val="24"/>
                <w:szCs w:val="24"/>
              </w:rPr>
            </w:pPr>
            <w:r w:rsidRPr="004E32E6">
              <w:rPr>
                <w:rFonts w:ascii="Times New Roman" w:hAnsi="Times New Roman" w:cs="Times New Roman"/>
                <w:sz w:val="24"/>
                <w:szCs w:val="24"/>
              </w:rPr>
              <w:t>N/A</w:t>
            </w:r>
          </w:p>
        </w:tc>
      </w:tr>
      <w:tr w:rsidR="00CC1A56" w:rsidRPr="00DD49B6" w14:paraId="123AA03F" w14:textId="77777777" w:rsidTr="00B46D66">
        <w:trPr>
          <w:jc w:val="center"/>
        </w:trPr>
        <w:tc>
          <w:tcPr>
            <w:tcW w:w="3182" w:type="dxa"/>
            <w:shd w:val="clear" w:color="auto" w:fill="auto"/>
          </w:tcPr>
          <w:p w14:paraId="64D2ACF7" w14:textId="77777777"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331" w:type="dxa"/>
            <w:gridSpan w:val="5"/>
            <w:vMerge w:val="restart"/>
            <w:shd w:val="clear" w:color="auto" w:fill="auto"/>
            <w:vAlign w:val="center"/>
          </w:tcPr>
          <w:p w14:paraId="01425A3F" w14:textId="77777777" w:rsidR="00B83207" w:rsidRDefault="009103B4" w:rsidP="00B83207">
            <w:pPr>
              <w:spacing w:after="0" w:line="240" w:lineRule="auto"/>
              <w:jc w:val="both"/>
              <w:rPr>
                <w:rFonts w:ascii="Times New Roman" w:hAnsi="Times New Roman" w:cs="Times New Roman"/>
                <w:sz w:val="24"/>
                <w:szCs w:val="24"/>
              </w:rPr>
            </w:pPr>
            <w:r w:rsidRPr="009103B4">
              <w:rPr>
                <w:rFonts w:ascii="Times New Roman" w:hAnsi="Times New Roman" w:cs="Times New Roman"/>
                <w:sz w:val="24"/>
                <w:szCs w:val="24"/>
              </w:rPr>
              <w:t>Budžeta ieņēmumi ir E</w:t>
            </w:r>
            <w:r w:rsidR="0062783A">
              <w:rPr>
                <w:rFonts w:ascii="Times New Roman" w:hAnsi="Times New Roman" w:cs="Times New Roman"/>
                <w:sz w:val="24"/>
                <w:szCs w:val="24"/>
              </w:rPr>
              <w:t xml:space="preserve">iropas </w:t>
            </w:r>
            <w:r w:rsidRPr="009103B4">
              <w:rPr>
                <w:rFonts w:ascii="Times New Roman" w:hAnsi="Times New Roman" w:cs="Times New Roman"/>
                <w:sz w:val="24"/>
                <w:szCs w:val="24"/>
              </w:rPr>
              <w:t>S</w:t>
            </w:r>
            <w:r w:rsidR="0062783A">
              <w:rPr>
                <w:rFonts w:ascii="Times New Roman" w:hAnsi="Times New Roman" w:cs="Times New Roman"/>
                <w:sz w:val="24"/>
                <w:szCs w:val="24"/>
              </w:rPr>
              <w:t>ociālā fonda (turpmāk – ESF)</w:t>
            </w:r>
            <w:r w:rsidRPr="009103B4">
              <w:rPr>
                <w:rFonts w:ascii="Times New Roman" w:hAnsi="Times New Roman" w:cs="Times New Roman"/>
                <w:sz w:val="24"/>
                <w:szCs w:val="24"/>
              </w:rPr>
              <w:t xml:space="preserve"> finansējums un budžeta izdevumi ir no valsts budžeta finansēto iestāžu nepieciešamie izdev</w:t>
            </w:r>
            <w:r w:rsidR="00B83207">
              <w:rPr>
                <w:rFonts w:ascii="Times New Roman" w:hAnsi="Times New Roman" w:cs="Times New Roman"/>
                <w:sz w:val="24"/>
                <w:szCs w:val="24"/>
              </w:rPr>
              <w:t>umi projektu ieviešanai un citiem finansējuma saņēmējiem</w:t>
            </w:r>
            <w:r w:rsidRPr="009103B4">
              <w:rPr>
                <w:rFonts w:ascii="Times New Roman" w:hAnsi="Times New Roman" w:cs="Times New Roman"/>
                <w:sz w:val="24"/>
                <w:szCs w:val="24"/>
              </w:rPr>
              <w:t xml:space="preserve"> kopējie veica</w:t>
            </w:r>
            <w:r w:rsidR="00B83207">
              <w:rPr>
                <w:rFonts w:ascii="Times New Roman" w:hAnsi="Times New Roman" w:cs="Times New Roman"/>
                <w:sz w:val="24"/>
                <w:szCs w:val="24"/>
              </w:rPr>
              <w:t>mie maksājumi attiecīgajā gadā.</w:t>
            </w:r>
          </w:p>
          <w:p w14:paraId="698CE68B" w14:textId="77777777" w:rsidR="00B83207" w:rsidRPr="00B46D66" w:rsidRDefault="00B83207" w:rsidP="00B83207">
            <w:pPr>
              <w:spacing w:after="0" w:line="240" w:lineRule="auto"/>
              <w:jc w:val="both"/>
              <w:rPr>
                <w:rFonts w:ascii="Times New Roman" w:hAnsi="Times New Roman" w:cs="Times New Roman"/>
                <w:sz w:val="24"/>
                <w:szCs w:val="24"/>
              </w:rPr>
            </w:pPr>
            <w:r w:rsidRPr="00B46D66">
              <w:rPr>
                <w:rFonts w:ascii="Times New Roman" w:hAnsi="Times New Roman" w:cs="Times New Roman"/>
                <w:sz w:val="24"/>
                <w:szCs w:val="24"/>
              </w:rPr>
              <w:t>ESF finansējums ir 100% no projektu attiecināmajām izmaksām. Papildus finansējuma saņēmējiem no valsts budžeta tiek kompensēti zaudējumi, k</w:t>
            </w:r>
            <w:r>
              <w:rPr>
                <w:rFonts w:ascii="Times New Roman" w:hAnsi="Times New Roman" w:cs="Times New Roman"/>
                <w:sz w:val="24"/>
                <w:szCs w:val="24"/>
              </w:rPr>
              <w:t>as</w:t>
            </w:r>
            <w:r w:rsidRPr="00B46D66">
              <w:rPr>
                <w:rFonts w:ascii="Times New Roman" w:hAnsi="Times New Roman" w:cs="Times New Roman"/>
                <w:sz w:val="24"/>
                <w:szCs w:val="24"/>
              </w:rPr>
              <w:t xml:space="preserve"> radušies netiešo attiecināmo izmaksu nemainīgās likmes piemērošanas metodikas maiņas rezultātā.</w:t>
            </w:r>
          </w:p>
          <w:p w14:paraId="5D756386" w14:textId="77777777" w:rsidR="00CC1A56" w:rsidRPr="00406B6A" w:rsidRDefault="00B80868" w:rsidP="007C5A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1.4.1.2.4.</w:t>
            </w:r>
            <w:r w:rsidRPr="007C5ADA">
              <w:rPr>
                <w:rFonts w:ascii="Times New Roman" w:hAnsi="Times New Roman" w:cs="Times New Roman"/>
                <w:sz w:val="24"/>
                <w:szCs w:val="24"/>
              </w:rPr>
              <w:t>apakšaktivitātes 2.kārtas 1.apakškārtas</w:t>
            </w:r>
            <w:r w:rsidR="00CC1A56" w:rsidRPr="007C5ADA">
              <w:rPr>
                <w:rFonts w:ascii="Times New Roman" w:hAnsi="Times New Roman" w:cs="Times New Roman"/>
                <w:sz w:val="24"/>
                <w:szCs w:val="24"/>
              </w:rPr>
              <w:t xml:space="preserve"> projektiem </w:t>
            </w:r>
            <w:r w:rsidR="00ED1342">
              <w:rPr>
                <w:rFonts w:ascii="Times New Roman" w:hAnsi="Times New Roman" w:cs="Times New Roman"/>
                <w:sz w:val="24"/>
                <w:szCs w:val="24"/>
              </w:rPr>
              <w:t>pieejams</w:t>
            </w:r>
            <w:r w:rsidR="00CC1A56" w:rsidRPr="007C5ADA">
              <w:rPr>
                <w:rFonts w:ascii="Times New Roman" w:hAnsi="Times New Roman" w:cs="Times New Roman"/>
                <w:sz w:val="24"/>
                <w:szCs w:val="24"/>
              </w:rPr>
              <w:t xml:space="preserve"> attiecināmais finansējums </w:t>
            </w:r>
            <w:r w:rsidR="00935C78">
              <w:rPr>
                <w:rFonts w:ascii="Times New Roman" w:hAnsi="Times New Roman" w:cs="Times New Roman"/>
                <w:sz w:val="24"/>
                <w:szCs w:val="24"/>
              </w:rPr>
              <w:t>4 388</w:t>
            </w:r>
            <w:r w:rsidR="00065E19" w:rsidRPr="007C5ADA">
              <w:rPr>
                <w:rFonts w:ascii="Times New Roman" w:hAnsi="Times New Roman" w:cs="Times New Roman"/>
                <w:sz w:val="24"/>
                <w:szCs w:val="24"/>
              </w:rPr>
              <w:t> </w:t>
            </w:r>
            <w:r w:rsidR="00ED1342">
              <w:rPr>
                <w:rFonts w:ascii="Times New Roman" w:hAnsi="Times New Roman" w:cs="Times New Roman"/>
                <w:sz w:val="24"/>
                <w:szCs w:val="24"/>
              </w:rPr>
              <w:t>9</w:t>
            </w:r>
            <w:r w:rsidR="00CC1A56" w:rsidRPr="007C5ADA">
              <w:rPr>
                <w:rFonts w:ascii="Times New Roman" w:hAnsi="Times New Roman" w:cs="Times New Roman"/>
                <w:sz w:val="24"/>
                <w:szCs w:val="24"/>
              </w:rPr>
              <w:t>47 EUR</w:t>
            </w:r>
            <w:r w:rsidR="005B104F" w:rsidRPr="007C5ADA">
              <w:rPr>
                <w:rFonts w:ascii="Times New Roman" w:hAnsi="Times New Roman" w:cs="Times New Roman"/>
                <w:sz w:val="24"/>
                <w:szCs w:val="24"/>
              </w:rPr>
              <w:t xml:space="preserve"> apmērā</w:t>
            </w:r>
            <w:r w:rsidR="007C5ADA" w:rsidRPr="007C5ADA">
              <w:rPr>
                <w:rFonts w:ascii="Times New Roman" w:hAnsi="Times New Roman" w:cs="Times New Roman"/>
                <w:sz w:val="24"/>
                <w:szCs w:val="24"/>
              </w:rPr>
              <w:t>,</w:t>
            </w:r>
            <w:r w:rsidR="00CC1A56" w:rsidRPr="007C5ADA">
              <w:rPr>
                <w:rFonts w:ascii="Times New Roman" w:hAnsi="Times New Roman" w:cs="Times New Roman"/>
                <w:sz w:val="24"/>
                <w:szCs w:val="24"/>
              </w:rPr>
              <w:t xml:space="preserve"> </w:t>
            </w:r>
            <w:r w:rsidR="007C5ADA" w:rsidRPr="007C5ADA">
              <w:rPr>
                <w:rFonts w:ascii="Times New Roman" w:hAnsi="Times New Roman" w:cs="Times New Roman"/>
                <w:sz w:val="24"/>
                <w:szCs w:val="24"/>
              </w:rPr>
              <w:t xml:space="preserve">tai skaitā ESF finansējums 4 388 947 EUR. No </w:t>
            </w:r>
            <w:r w:rsidR="000A66E3">
              <w:rPr>
                <w:rFonts w:ascii="Times New Roman" w:hAnsi="Times New Roman" w:cs="Times New Roman"/>
                <w:sz w:val="24"/>
                <w:szCs w:val="24"/>
              </w:rPr>
              <w:t>minētā</w:t>
            </w:r>
            <w:r w:rsidR="007C5ADA" w:rsidRPr="007C5ADA">
              <w:rPr>
                <w:rFonts w:ascii="Times New Roman" w:hAnsi="Times New Roman" w:cs="Times New Roman"/>
                <w:sz w:val="24"/>
                <w:szCs w:val="24"/>
              </w:rPr>
              <w:t xml:space="preserve"> finansējuma 5 354 EUR ir neatbilstoši veiktas izmaksas, kas konstatētas pēc 08.05.</w:t>
            </w:r>
            <w:r w:rsidR="007C5ADA" w:rsidRPr="00406B6A">
              <w:rPr>
                <w:rFonts w:ascii="Times New Roman" w:hAnsi="Times New Roman" w:cs="Times New Roman"/>
                <w:sz w:val="24"/>
                <w:szCs w:val="24"/>
              </w:rPr>
              <w:t>2012.</w:t>
            </w:r>
          </w:p>
          <w:p w14:paraId="7B77E8BD" w14:textId="15BEBEF5" w:rsidR="00406B6A" w:rsidRPr="004E32E6" w:rsidRDefault="00406B6A" w:rsidP="00406B6A">
            <w:pPr>
              <w:spacing w:after="0" w:line="240" w:lineRule="auto"/>
              <w:jc w:val="both"/>
              <w:rPr>
                <w:rFonts w:ascii="Times New Roman" w:hAnsi="Times New Roman"/>
                <w:sz w:val="24"/>
                <w:szCs w:val="24"/>
              </w:rPr>
            </w:pPr>
            <w:r w:rsidRPr="00CA3A18">
              <w:rPr>
                <w:rFonts w:ascii="Times New Roman" w:hAnsi="Times New Roman"/>
                <w:sz w:val="24"/>
                <w:szCs w:val="24"/>
                <w:u w:val="single"/>
              </w:rPr>
              <w:t>Lī</w:t>
            </w:r>
            <w:r w:rsidR="000A66E3" w:rsidRPr="00CA3A18">
              <w:rPr>
                <w:rFonts w:ascii="Times New Roman" w:hAnsi="Times New Roman"/>
                <w:sz w:val="24"/>
                <w:szCs w:val="24"/>
                <w:u w:val="single"/>
              </w:rPr>
              <w:t xml:space="preserve">dz </w:t>
            </w:r>
            <w:proofErr w:type="gramStart"/>
            <w:r w:rsidR="008023BA" w:rsidRPr="004E32E6">
              <w:rPr>
                <w:rFonts w:ascii="Times New Roman" w:hAnsi="Times New Roman"/>
                <w:sz w:val="24"/>
                <w:szCs w:val="24"/>
                <w:u w:val="single"/>
              </w:rPr>
              <w:t>2013</w:t>
            </w:r>
            <w:r w:rsidR="000A66E3" w:rsidRPr="004E32E6">
              <w:rPr>
                <w:rFonts w:ascii="Times New Roman" w:hAnsi="Times New Roman"/>
                <w:sz w:val="24"/>
                <w:szCs w:val="24"/>
                <w:u w:val="single"/>
              </w:rPr>
              <w:t>.gada</w:t>
            </w:r>
            <w:proofErr w:type="gramEnd"/>
            <w:r w:rsidR="000A66E3" w:rsidRPr="004E32E6">
              <w:rPr>
                <w:rFonts w:ascii="Times New Roman" w:hAnsi="Times New Roman"/>
                <w:sz w:val="24"/>
                <w:szCs w:val="24"/>
                <w:u w:val="single"/>
              </w:rPr>
              <w:t xml:space="preserve"> 31.decembrim</w:t>
            </w:r>
            <w:r w:rsidR="000A66E3" w:rsidRPr="004E32E6">
              <w:rPr>
                <w:rFonts w:ascii="Times New Roman" w:hAnsi="Times New Roman"/>
                <w:sz w:val="24"/>
                <w:szCs w:val="24"/>
              </w:rPr>
              <w:t xml:space="preserve"> kopējā</w:t>
            </w:r>
            <w:r w:rsidRPr="004E32E6">
              <w:rPr>
                <w:rFonts w:ascii="Times New Roman" w:hAnsi="Times New Roman"/>
                <w:sz w:val="24"/>
                <w:szCs w:val="24"/>
              </w:rPr>
              <w:t xml:space="preserve">s izmaksas projektiem </w:t>
            </w:r>
            <w:r w:rsidR="008023BA" w:rsidRPr="004E32E6">
              <w:rPr>
                <w:rFonts w:ascii="Times New Roman" w:hAnsi="Times New Roman"/>
                <w:sz w:val="24"/>
                <w:szCs w:val="24"/>
              </w:rPr>
              <w:t>ir 4 5</w:t>
            </w:r>
            <w:r w:rsidR="00FF7495" w:rsidRPr="004E32E6">
              <w:rPr>
                <w:rFonts w:ascii="Times New Roman" w:hAnsi="Times New Roman"/>
                <w:sz w:val="24"/>
                <w:szCs w:val="24"/>
              </w:rPr>
              <w:t>50</w:t>
            </w:r>
            <w:r w:rsidR="008023BA" w:rsidRPr="004E32E6">
              <w:rPr>
                <w:rFonts w:ascii="Times New Roman" w:hAnsi="Times New Roman"/>
                <w:sz w:val="24"/>
                <w:szCs w:val="24"/>
              </w:rPr>
              <w:t> </w:t>
            </w:r>
            <w:r w:rsidR="00FF7495" w:rsidRPr="004E32E6">
              <w:rPr>
                <w:rFonts w:ascii="Times New Roman" w:hAnsi="Times New Roman"/>
                <w:sz w:val="24"/>
                <w:szCs w:val="24"/>
              </w:rPr>
              <w:t>198</w:t>
            </w:r>
            <w:r w:rsidR="008023BA" w:rsidRPr="004E32E6">
              <w:rPr>
                <w:rFonts w:ascii="Times New Roman" w:hAnsi="Times New Roman"/>
                <w:sz w:val="24"/>
                <w:szCs w:val="24"/>
              </w:rPr>
              <w:t xml:space="preserve"> EUR</w:t>
            </w:r>
            <w:r w:rsidRPr="004E32E6">
              <w:rPr>
                <w:rFonts w:ascii="Times New Roman" w:hAnsi="Times New Roman"/>
                <w:sz w:val="24"/>
                <w:szCs w:val="24"/>
              </w:rPr>
              <w:t xml:space="preserve">, no tām attiecināmās izmaksas </w:t>
            </w:r>
            <w:r w:rsidR="000C2777" w:rsidRPr="004E32E6">
              <w:rPr>
                <w:rFonts w:ascii="Times New Roman" w:hAnsi="Times New Roman"/>
                <w:sz w:val="24"/>
                <w:szCs w:val="24"/>
              </w:rPr>
              <w:t>4</w:t>
            </w:r>
            <w:r w:rsidR="0083601F" w:rsidRPr="004E32E6">
              <w:rPr>
                <w:rFonts w:ascii="Times New Roman" w:hAnsi="Times New Roman"/>
                <w:sz w:val="24"/>
                <w:szCs w:val="24"/>
              </w:rPr>
              <w:t> </w:t>
            </w:r>
            <w:r w:rsidR="000C2777" w:rsidRPr="004E32E6">
              <w:rPr>
                <w:rFonts w:ascii="Times New Roman" w:hAnsi="Times New Roman"/>
                <w:sz w:val="24"/>
                <w:szCs w:val="24"/>
              </w:rPr>
              <w:t>371</w:t>
            </w:r>
            <w:r w:rsidR="0083601F" w:rsidRPr="004E32E6">
              <w:rPr>
                <w:rFonts w:ascii="Times New Roman" w:hAnsi="Times New Roman"/>
                <w:sz w:val="24"/>
                <w:szCs w:val="24"/>
              </w:rPr>
              <w:t> </w:t>
            </w:r>
            <w:r w:rsidR="000C2777" w:rsidRPr="004E32E6">
              <w:rPr>
                <w:rFonts w:ascii="Times New Roman" w:hAnsi="Times New Roman"/>
                <w:sz w:val="24"/>
                <w:szCs w:val="24"/>
              </w:rPr>
              <w:t>190</w:t>
            </w:r>
            <w:r w:rsidRPr="004E32E6">
              <w:rPr>
                <w:rFonts w:ascii="Times New Roman" w:hAnsi="Times New Roman"/>
                <w:sz w:val="24"/>
                <w:szCs w:val="24"/>
              </w:rPr>
              <w:t xml:space="preserve"> EUR, tai skaitā ESF finansējums </w:t>
            </w:r>
            <w:r w:rsidR="000C2777" w:rsidRPr="004E32E6">
              <w:rPr>
                <w:rFonts w:ascii="Times New Roman" w:hAnsi="Times New Roman"/>
                <w:sz w:val="24"/>
                <w:szCs w:val="24"/>
              </w:rPr>
              <w:t>4</w:t>
            </w:r>
            <w:r w:rsidR="00B51652" w:rsidRPr="004E32E6">
              <w:rPr>
                <w:rFonts w:ascii="Times New Roman" w:hAnsi="Times New Roman"/>
                <w:sz w:val="24"/>
                <w:szCs w:val="24"/>
              </w:rPr>
              <w:t> </w:t>
            </w:r>
            <w:r w:rsidR="000C2777" w:rsidRPr="004E32E6">
              <w:rPr>
                <w:rFonts w:ascii="Times New Roman" w:hAnsi="Times New Roman"/>
                <w:sz w:val="24"/>
                <w:szCs w:val="24"/>
              </w:rPr>
              <w:t>371</w:t>
            </w:r>
            <w:r w:rsidR="00B51652" w:rsidRPr="004E32E6">
              <w:rPr>
                <w:rFonts w:ascii="Times New Roman" w:hAnsi="Times New Roman"/>
                <w:sz w:val="24"/>
                <w:szCs w:val="24"/>
              </w:rPr>
              <w:t> </w:t>
            </w:r>
            <w:r w:rsidR="000C2777" w:rsidRPr="004E32E6">
              <w:rPr>
                <w:rFonts w:ascii="Times New Roman" w:hAnsi="Times New Roman"/>
                <w:sz w:val="24"/>
                <w:szCs w:val="24"/>
              </w:rPr>
              <w:t>190</w:t>
            </w:r>
            <w:r w:rsidRPr="004E32E6">
              <w:rPr>
                <w:rFonts w:ascii="Times New Roman" w:hAnsi="Times New Roman"/>
                <w:sz w:val="24"/>
                <w:szCs w:val="24"/>
              </w:rPr>
              <w:t xml:space="preserve"> EUR</w:t>
            </w:r>
            <w:r w:rsidR="000C2777" w:rsidRPr="004E32E6">
              <w:rPr>
                <w:rFonts w:ascii="Times New Roman" w:hAnsi="Times New Roman"/>
                <w:sz w:val="24"/>
                <w:szCs w:val="24"/>
              </w:rPr>
              <w:t>,</w:t>
            </w:r>
            <w:r w:rsidRPr="004E32E6">
              <w:rPr>
                <w:rFonts w:ascii="Times New Roman" w:hAnsi="Times New Roman"/>
                <w:sz w:val="24"/>
                <w:szCs w:val="24"/>
              </w:rPr>
              <w:t xml:space="preserve"> valsts budžeta izmaksas </w:t>
            </w:r>
            <w:r w:rsidR="00E27D0A" w:rsidRPr="004E32E6">
              <w:rPr>
                <w:rFonts w:ascii="Times New Roman" w:hAnsi="Times New Roman"/>
                <w:sz w:val="24"/>
                <w:szCs w:val="24"/>
              </w:rPr>
              <w:t xml:space="preserve">147 268 EUR apmērā </w:t>
            </w:r>
            <w:r w:rsidRPr="004E32E6">
              <w:rPr>
                <w:rFonts w:ascii="Times New Roman" w:hAnsi="Times New Roman"/>
                <w:sz w:val="24"/>
                <w:szCs w:val="24"/>
              </w:rPr>
              <w:t>kompensācijām zaudējumiem, kas radušies netiešo attiecināmo izmaksu nemainīgās likmes piemērošana</w:t>
            </w:r>
            <w:r w:rsidR="00E27D0A" w:rsidRPr="004E32E6">
              <w:rPr>
                <w:rFonts w:ascii="Times New Roman" w:hAnsi="Times New Roman"/>
                <w:sz w:val="24"/>
                <w:szCs w:val="24"/>
              </w:rPr>
              <w:t>s metodikas maiņas rezultātā</w:t>
            </w:r>
            <w:r w:rsidR="000C2777" w:rsidRPr="004E32E6">
              <w:rPr>
                <w:rFonts w:ascii="Times New Roman" w:hAnsi="Times New Roman"/>
                <w:sz w:val="24"/>
                <w:szCs w:val="24"/>
              </w:rPr>
              <w:t xml:space="preserve"> un finansējuma saņēmējiem izmaksāt</w:t>
            </w:r>
            <w:r w:rsidR="00E27D0A" w:rsidRPr="004E32E6">
              <w:rPr>
                <w:rFonts w:ascii="Times New Roman" w:hAnsi="Times New Roman"/>
                <w:sz w:val="24"/>
                <w:szCs w:val="24"/>
              </w:rPr>
              <w:t>ie</w:t>
            </w:r>
            <w:r w:rsidR="000C2777" w:rsidRPr="004E32E6">
              <w:rPr>
                <w:rFonts w:ascii="Times New Roman" w:hAnsi="Times New Roman"/>
                <w:sz w:val="24"/>
                <w:szCs w:val="24"/>
              </w:rPr>
              <w:t xml:space="preserve"> avansa maksājum</w:t>
            </w:r>
            <w:r w:rsidR="00E27D0A" w:rsidRPr="004E32E6">
              <w:rPr>
                <w:rFonts w:ascii="Times New Roman" w:hAnsi="Times New Roman"/>
                <w:sz w:val="24"/>
                <w:szCs w:val="24"/>
              </w:rPr>
              <w:t>i</w:t>
            </w:r>
            <w:r w:rsidR="000C2777" w:rsidRPr="004E32E6">
              <w:rPr>
                <w:rFonts w:ascii="Times New Roman" w:hAnsi="Times New Roman"/>
                <w:sz w:val="24"/>
                <w:szCs w:val="24"/>
              </w:rPr>
              <w:t xml:space="preserve"> </w:t>
            </w:r>
            <w:r w:rsidR="00FF7495" w:rsidRPr="004E32E6">
              <w:rPr>
                <w:rFonts w:ascii="Times New Roman" w:hAnsi="Times New Roman"/>
                <w:sz w:val="24"/>
                <w:szCs w:val="24"/>
              </w:rPr>
              <w:t>31</w:t>
            </w:r>
            <w:r w:rsidR="00E27D0A" w:rsidRPr="004E32E6">
              <w:rPr>
                <w:rFonts w:ascii="Times New Roman" w:hAnsi="Times New Roman"/>
                <w:sz w:val="24"/>
                <w:szCs w:val="24"/>
              </w:rPr>
              <w:t> </w:t>
            </w:r>
            <w:r w:rsidR="00FF7495" w:rsidRPr="004E32E6">
              <w:rPr>
                <w:rFonts w:ascii="Times New Roman" w:hAnsi="Times New Roman"/>
                <w:sz w:val="24"/>
                <w:szCs w:val="24"/>
              </w:rPr>
              <w:t>740</w:t>
            </w:r>
            <w:r w:rsidR="00E27D0A" w:rsidRPr="004E32E6">
              <w:rPr>
                <w:rFonts w:ascii="Times New Roman" w:hAnsi="Times New Roman"/>
                <w:sz w:val="24"/>
                <w:szCs w:val="24"/>
              </w:rPr>
              <w:t xml:space="preserve"> EUR apmērā</w:t>
            </w:r>
            <w:r w:rsidR="000C2777" w:rsidRPr="004E32E6">
              <w:rPr>
                <w:rFonts w:ascii="Times New Roman" w:hAnsi="Times New Roman"/>
                <w:sz w:val="24"/>
                <w:szCs w:val="24"/>
              </w:rPr>
              <w:t>, kas atmaksāt</w:t>
            </w:r>
            <w:r w:rsidR="00E27D0A" w:rsidRPr="004E32E6">
              <w:rPr>
                <w:rFonts w:ascii="Times New Roman" w:hAnsi="Times New Roman"/>
                <w:sz w:val="24"/>
                <w:szCs w:val="24"/>
              </w:rPr>
              <w:t>i</w:t>
            </w:r>
            <w:r w:rsidR="000C2777" w:rsidRPr="004E32E6">
              <w:rPr>
                <w:rFonts w:ascii="Times New Roman" w:hAnsi="Times New Roman"/>
                <w:sz w:val="24"/>
                <w:szCs w:val="24"/>
              </w:rPr>
              <w:t xml:space="preserve"> budžetā kā neizlietot</w:t>
            </w:r>
            <w:r w:rsidR="00E27D0A" w:rsidRPr="004E32E6">
              <w:rPr>
                <w:rFonts w:ascii="Times New Roman" w:hAnsi="Times New Roman"/>
                <w:sz w:val="24"/>
                <w:szCs w:val="24"/>
              </w:rPr>
              <w:t>i</w:t>
            </w:r>
            <w:r w:rsidR="000C2777" w:rsidRPr="004E32E6">
              <w:rPr>
                <w:rFonts w:ascii="Times New Roman" w:hAnsi="Times New Roman"/>
                <w:sz w:val="24"/>
                <w:szCs w:val="24"/>
              </w:rPr>
              <w:t>.</w:t>
            </w:r>
          </w:p>
          <w:p w14:paraId="20F9CA0A" w14:textId="77777777" w:rsidR="00CF55C2" w:rsidRPr="00CF55C2" w:rsidRDefault="009C3165" w:rsidP="00CF55C2">
            <w:pPr>
              <w:pStyle w:val="PlainText"/>
              <w:jc w:val="both"/>
              <w:rPr>
                <w:rFonts w:ascii="Times New Roman" w:hAnsi="Times New Roman"/>
                <w:sz w:val="24"/>
                <w:szCs w:val="24"/>
              </w:rPr>
            </w:pPr>
            <w:proofErr w:type="gramStart"/>
            <w:r w:rsidRPr="007B5694">
              <w:rPr>
                <w:rFonts w:ascii="Times New Roman" w:hAnsi="Times New Roman"/>
                <w:sz w:val="24"/>
                <w:szCs w:val="24"/>
                <w:u w:val="single"/>
              </w:rPr>
              <w:lastRenderedPageBreak/>
              <w:t>2014.</w:t>
            </w:r>
            <w:r w:rsidR="00CF55C2" w:rsidRPr="007B5694">
              <w:rPr>
                <w:rFonts w:ascii="Times New Roman" w:hAnsi="Times New Roman"/>
                <w:sz w:val="24"/>
                <w:szCs w:val="24"/>
                <w:u w:val="single"/>
              </w:rPr>
              <w:t>gadā</w:t>
            </w:r>
            <w:proofErr w:type="gramEnd"/>
            <w:r w:rsidR="00CF55C2" w:rsidRPr="00CF55C2">
              <w:rPr>
                <w:rFonts w:ascii="Times New Roman" w:hAnsi="Times New Roman"/>
                <w:sz w:val="24"/>
                <w:szCs w:val="24"/>
              </w:rPr>
              <w:t xml:space="preserve"> indikatīvi kopējās izmaksas ir 15 252 EUR, no tām attiecināmās izmaksas 12 403 EUR, tai skaitā ESF finansējums 12 403 EUR un valsts budžeta izmaksas kompensācijām zaudējumiem, kas radušies netiešo attiecināmo izmaksu nemainīgās likmes piemērošanas metodikas maiņas rezultātā 2 849 EUR.</w:t>
            </w:r>
          </w:p>
          <w:p w14:paraId="29C8AA51" w14:textId="7CC35A46" w:rsidR="009103B4" w:rsidRPr="00CF55C2" w:rsidRDefault="00CF55C2" w:rsidP="00422E27">
            <w:pPr>
              <w:pStyle w:val="PlainText"/>
              <w:jc w:val="both"/>
              <w:rPr>
                <w:rFonts w:ascii="Times New Roman" w:hAnsi="Times New Roman"/>
                <w:sz w:val="28"/>
                <w:szCs w:val="28"/>
              </w:rPr>
            </w:pPr>
            <w:r w:rsidRPr="00CF55C2">
              <w:rPr>
                <w:rFonts w:ascii="Times New Roman" w:hAnsi="Times New Roman"/>
                <w:sz w:val="24"/>
                <w:szCs w:val="24"/>
              </w:rPr>
              <w:t xml:space="preserve">Saskaņā ar likumu “Par valsts budžetu </w:t>
            </w:r>
            <w:proofErr w:type="gramStart"/>
            <w:r w:rsidRPr="00CF55C2">
              <w:rPr>
                <w:rFonts w:ascii="Times New Roman" w:hAnsi="Times New Roman"/>
                <w:sz w:val="24"/>
                <w:szCs w:val="24"/>
              </w:rPr>
              <w:t>2014.gadam</w:t>
            </w:r>
            <w:proofErr w:type="gramEnd"/>
            <w:r w:rsidRPr="00CF55C2">
              <w:rPr>
                <w:rFonts w:ascii="Times New Roman" w:hAnsi="Times New Roman"/>
                <w:sz w:val="24"/>
                <w:szCs w:val="24"/>
              </w:rPr>
              <w:t xml:space="preserve">” </w:t>
            </w:r>
            <w:r w:rsidR="00422E27" w:rsidRPr="000E0F95">
              <w:rPr>
                <w:rFonts w:ascii="Times New Roman" w:hAnsi="Times New Roman"/>
                <w:sz w:val="24"/>
                <w:szCs w:val="24"/>
              </w:rPr>
              <w:t>1.4.1.2.4.apakšaktivitātes 2.</w:t>
            </w:r>
            <w:r w:rsidR="00422E27" w:rsidRPr="00422E27">
              <w:rPr>
                <w:rFonts w:ascii="Times New Roman" w:hAnsi="Times New Roman"/>
                <w:sz w:val="24"/>
                <w:szCs w:val="24"/>
              </w:rPr>
              <w:t>kārtas 1.apakš</w:t>
            </w:r>
            <w:r w:rsidR="00422E27" w:rsidRPr="00422E27">
              <w:rPr>
                <w:rFonts w:ascii="Times New Roman" w:eastAsia="PMingLiU" w:hAnsi="Times New Roman"/>
                <w:sz w:val="24"/>
                <w:szCs w:val="24"/>
              </w:rPr>
              <w:t>apakškārtai</w:t>
            </w:r>
            <w:r w:rsidRPr="00422E27">
              <w:rPr>
                <w:rFonts w:ascii="Times New Roman" w:hAnsi="Times New Roman"/>
                <w:sz w:val="24"/>
                <w:szCs w:val="24"/>
              </w:rPr>
              <w:t xml:space="preserve"> paredzēts</w:t>
            </w:r>
            <w:r w:rsidR="00D9358E">
              <w:rPr>
                <w:rFonts w:ascii="Times New Roman" w:hAnsi="Times New Roman"/>
                <w:sz w:val="24"/>
                <w:szCs w:val="24"/>
              </w:rPr>
              <w:t xml:space="preserve"> finansējums 15 </w:t>
            </w:r>
            <w:r w:rsidRPr="00CF55C2">
              <w:rPr>
                <w:rFonts w:ascii="Times New Roman" w:hAnsi="Times New Roman"/>
                <w:sz w:val="24"/>
                <w:szCs w:val="24"/>
              </w:rPr>
              <w:t>252 EUR apmērā, un tas atbilst paredzamajiem maksājumiem finansējuma saņēmējiem 2014.gadā.</w:t>
            </w:r>
          </w:p>
        </w:tc>
      </w:tr>
      <w:tr w:rsidR="00CC1A56" w:rsidRPr="00DD49B6" w14:paraId="16626410" w14:textId="77777777" w:rsidTr="002B0D05">
        <w:trPr>
          <w:jc w:val="center"/>
        </w:trPr>
        <w:tc>
          <w:tcPr>
            <w:tcW w:w="3182" w:type="dxa"/>
          </w:tcPr>
          <w:p w14:paraId="6E225AEA" w14:textId="77777777"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331" w:type="dxa"/>
            <w:gridSpan w:val="5"/>
            <w:vMerge/>
          </w:tcPr>
          <w:p w14:paraId="3706AE88" w14:textId="77777777" w:rsidR="00CC1A56" w:rsidRPr="00DD49B6" w:rsidRDefault="00CC1A56" w:rsidP="007D385B">
            <w:pPr>
              <w:pStyle w:val="naisf"/>
              <w:spacing w:before="0" w:beforeAutospacing="0" w:after="0" w:afterAutospacing="0"/>
              <w:rPr>
                <w:b/>
                <w:i/>
              </w:rPr>
            </w:pPr>
          </w:p>
        </w:tc>
      </w:tr>
      <w:tr w:rsidR="00CC1A56" w:rsidRPr="00DD49B6" w14:paraId="35088625" w14:textId="77777777" w:rsidTr="002B0D05">
        <w:trPr>
          <w:jc w:val="center"/>
        </w:trPr>
        <w:tc>
          <w:tcPr>
            <w:tcW w:w="3182" w:type="dxa"/>
          </w:tcPr>
          <w:p w14:paraId="57A56652" w14:textId="77777777"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331" w:type="dxa"/>
            <w:gridSpan w:val="5"/>
            <w:vMerge/>
          </w:tcPr>
          <w:p w14:paraId="7F532D94" w14:textId="77777777" w:rsidR="00CC1A56" w:rsidRPr="00DD49B6" w:rsidRDefault="00CC1A56" w:rsidP="007D385B">
            <w:pPr>
              <w:pStyle w:val="naisf"/>
              <w:spacing w:before="0" w:beforeAutospacing="0" w:after="0" w:afterAutospacing="0"/>
              <w:rPr>
                <w:b/>
                <w:i/>
              </w:rPr>
            </w:pPr>
          </w:p>
        </w:tc>
      </w:tr>
      <w:tr w:rsidR="00CC1A56" w:rsidRPr="00DD49B6" w14:paraId="42EA2C37" w14:textId="77777777" w:rsidTr="002B0D05">
        <w:trPr>
          <w:trHeight w:val="556"/>
          <w:jc w:val="center"/>
        </w:trPr>
        <w:tc>
          <w:tcPr>
            <w:tcW w:w="3182" w:type="dxa"/>
          </w:tcPr>
          <w:p w14:paraId="230F0B31" w14:textId="77777777"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7. Cita informācija</w:t>
            </w:r>
          </w:p>
        </w:tc>
        <w:tc>
          <w:tcPr>
            <w:tcW w:w="6331" w:type="dxa"/>
            <w:gridSpan w:val="5"/>
          </w:tcPr>
          <w:p w14:paraId="39A02A80" w14:textId="77777777" w:rsidR="00190D4C" w:rsidRPr="009550AE" w:rsidRDefault="00190D4C" w:rsidP="00190D4C">
            <w:pPr>
              <w:pStyle w:val="naisf"/>
              <w:tabs>
                <w:tab w:val="left" w:pos="4644"/>
              </w:tabs>
              <w:spacing w:before="0" w:beforeAutospacing="0" w:after="0" w:afterAutospacing="0"/>
              <w:jc w:val="both"/>
            </w:pPr>
            <w:r w:rsidRPr="009550AE">
              <w:t>Informācija apkopota 01.03.2014.</w:t>
            </w:r>
          </w:p>
          <w:p w14:paraId="508B4B8A" w14:textId="3C46E1FD" w:rsidR="00190D4C" w:rsidRPr="009550AE" w:rsidRDefault="00190D4C" w:rsidP="00190D4C">
            <w:pPr>
              <w:pStyle w:val="naisf"/>
              <w:tabs>
                <w:tab w:val="left" w:pos="4644"/>
              </w:tabs>
              <w:spacing w:before="0" w:beforeAutospacing="0" w:after="0" w:afterAutospacing="0"/>
              <w:jc w:val="both"/>
            </w:pPr>
            <w:r w:rsidRPr="009550AE">
              <w:t>Pirms finansējuma pārdales veikšanas apakškārtai piešķirtais attiecināmais finansējums ir 4 938 755 EUR.</w:t>
            </w:r>
          </w:p>
          <w:p w14:paraId="0ADDBB36" w14:textId="77777777" w:rsidR="00190D4C" w:rsidRPr="009550AE" w:rsidRDefault="00190D4C" w:rsidP="00190D4C">
            <w:pPr>
              <w:pStyle w:val="naisf"/>
              <w:tabs>
                <w:tab w:val="left" w:pos="4644"/>
              </w:tabs>
              <w:spacing w:before="0" w:beforeAutospacing="0" w:after="0" w:afterAutospacing="0"/>
              <w:jc w:val="both"/>
            </w:pPr>
            <w:r w:rsidRPr="009550AE">
              <w:t>Attiecināmais finansējums līgumos ir 4 383 593 EUR.</w:t>
            </w:r>
          </w:p>
          <w:p w14:paraId="7763C46E" w14:textId="77777777" w:rsidR="00190D4C" w:rsidRPr="009550AE" w:rsidRDefault="00190D4C" w:rsidP="00190D4C">
            <w:pPr>
              <w:pStyle w:val="naisf"/>
              <w:tabs>
                <w:tab w:val="left" w:pos="4644"/>
              </w:tabs>
              <w:spacing w:before="0" w:beforeAutospacing="0" w:after="0" w:afterAutospacing="0"/>
              <w:jc w:val="both"/>
            </w:pPr>
            <w:r w:rsidRPr="009550AE">
              <w:t>Pēc 08.05.2012 konstatētas neatbilstības 5 354 EUR apmērā.</w:t>
            </w:r>
          </w:p>
          <w:p w14:paraId="4973AA8B" w14:textId="77777777" w:rsidR="00190D4C" w:rsidRPr="009550AE" w:rsidRDefault="00190D4C" w:rsidP="00190D4C">
            <w:pPr>
              <w:pStyle w:val="naisf"/>
              <w:tabs>
                <w:tab w:val="left" w:pos="4644"/>
              </w:tabs>
              <w:spacing w:before="0" w:beforeAutospacing="0" w:after="0" w:afterAutospacing="0"/>
              <w:jc w:val="both"/>
            </w:pPr>
            <w:r w:rsidRPr="009550AE">
              <w:t>Lauztu līgumu pēc 08.05.2012 nav.</w:t>
            </w:r>
          </w:p>
          <w:p w14:paraId="756276A0" w14:textId="77777777" w:rsidR="00190D4C" w:rsidRPr="009550AE" w:rsidRDefault="00190D4C" w:rsidP="00190D4C">
            <w:pPr>
              <w:pStyle w:val="naisf"/>
              <w:tabs>
                <w:tab w:val="left" w:pos="4644"/>
              </w:tabs>
              <w:spacing w:before="0" w:beforeAutospacing="0" w:after="0" w:afterAutospacing="0"/>
              <w:jc w:val="both"/>
            </w:pPr>
            <w:r w:rsidRPr="009550AE">
              <w:t>Kopā līgumiem piesaistītais finansējums un nepārdalāmais neatbilstoši veikto izmaksu finansējums ir 4 388 947 EUR.</w:t>
            </w:r>
          </w:p>
          <w:p w14:paraId="132D10CC" w14:textId="3FF387FF" w:rsidR="007650FD" w:rsidRPr="007650FD" w:rsidRDefault="00190D4C" w:rsidP="007650FD">
            <w:pPr>
              <w:pStyle w:val="naisf"/>
              <w:tabs>
                <w:tab w:val="left" w:pos="4644"/>
              </w:tabs>
              <w:spacing w:before="0" w:beforeAutospacing="0" w:after="0" w:afterAutospacing="0"/>
              <w:jc w:val="both"/>
              <w:rPr>
                <w:b/>
              </w:rPr>
            </w:pPr>
            <w:r w:rsidRPr="009550AE">
              <w:t>Pārdalāmo finansējumu 549 808 EUR apmērā veido l</w:t>
            </w:r>
            <w:r w:rsidR="007650FD" w:rsidRPr="009550AE">
              <w:t>īdz 08.05.2012. konstatētās neatbilstoši veiktā</w:t>
            </w:r>
            <w:r w:rsidRPr="009550AE">
              <w:t>s izmaksas 1 358 EUR apmērā</w:t>
            </w:r>
            <w:r w:rsidR="007650FD" w:rsidRPr="009550AE">
              <w:t>,</w:t>
            </w:r>
            <w:r w:rsidRPr="009550AE">
              <w:t xml:space="preserve"> netiešo izmaksu nemainīgās likmes </w:t>
            </w:r>
            <w:r w:rsidR="007650FD" w:rsidRPr="009550AE">
              <w:t>korekcijas rezultātā</w:t>
            </w:r>
            <w:r w:rsidRPr="009550AE">
              <w:t xml:space="preserve"> </w:t>
            </w:r>
            <w:r w:rsidR="007650FD" w:rsidRPr="009550AE">
              <w:t>radies finansējuma ietaupījums</w:t>
            </w:r>
            <w:r w:rsidRPr="009550AE">
              <w:t xml:space="preserve"> 21 562 EUR apmērā (VIS ievadītas kā </w:t>
            </w:r>
            <w:proofErr w:type="spellStart"/>
            <w:r w:rsidRPr="009550AE">
              <w:rPr>
                <w:i/>
              </w:rPr>
              <w:t>flat-rate</w:t>
            </w:r>
            <w:proofErr w:type="spellEnd"/>
            <w:r w:rsidRPr="009550AE">
              <w:t xml:space="preserve"> korekcija), </w:t>
            </w:r>
            <w:r w:rsidR="007650FD" w:rsidRPr="009550AE">
              <w:t xml:space="preserve">kā arī cita veida ietaupījumi 526 888 EUR apmērā, tai skaitā netiešo izmaksu nemainīgās likmes noteikšanas metodikas maiņas rezultātā radies attiecināmo izmaksu ietaupījums un </w:t>
            </w:r>
            <w:r w:rsidR="007650FD" w:rsidRPr="009550AE">
              <w:rPr>
                <w:bCs/>
              </w:rPr>
              <w:t xml:space="preserve">ietaupījumi iekšzemes transporta izdevumu pozīcijā </w:t>
            </w:r>
            <w:r w:rsidR="007650FD" w:rsidRPr="009550AE">
              <w:t>sociālās rehabilitācijas, motivācijas un alternatīvās sociālās aprūpes programmu ieviešanas ietvaros.</w:t>
            </w:r>
          </w:p>
        </w:tc>
      </w:tr>
    </w:tbl>
    <w:p w14:paraId="2CAF061C" w14:textId="77777777" w:rsidR="00CC1A56" w:rsidRDefault="00CC1A56" w:rsidP="00CC1A56">
      <w:pPr>
        <w:spacing w:after="0" w:line="240" w:lineRule="auto"/>
        <w:rPr>
          <w:rFonts w:ascii="Times New Roman" w:hAnsi="Times New Roman" w:cs="Times New Roman"/>
          <w:sz w:val="24"/>
          <w:szCs w:val="24"/>
        </w:rPr>
      </w:pPr>
    </w:p>
    <w:p w14:paraId="518A28A0" w14:textId="77777777" w:rsidR="00445A9C" w:rsidRPr="00DD49B6" w:rsidRDefault="00445A9C" w:rsidP="00CC1A56">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CC1A56" w:rsidRPr="00DD49B6" w14:paraId="4F9D5998" w14:textId="77777777" w:rsidTr="007D385B">
        <w:trPr>
          <w:trHeight w:val="461"/>
          <w:jc w:val="center"/>
        </w:trPr>
        <w:tc>
          <w:tcPr>
            <w:tcW w:w="9511" w:type="dxa"/>
            <w:gridSpan w:val="3"/>
            <w:vAlign w:val="center"/>
          </w:tcPr>
          <w:p w14:paraId="3C4574C4" w14:textId="77777777" w:rsidR="00CC1A56" w:rsidRPr="00DD49B6" w:rsidRDefault="00CC1A56" w:rsidP="007D385B">
            <w:pPr>
              <w:pStyle w:val="naisnod"/>
              <w:spacing w:before="0" w:beforeAutospacing="0" w:after="0" w:afterAutospacing="0"/>
              <w:jc w:val="center"/>
              <w:rPr>
                <w:b/>
              </w:rPr>
            </w:pPr>
            <w:r w:rsidRPr="00DD49B6">
              <w:br w:type="page"/>
            </w:r>
            <w:r w:rsidRPr="00DD49B6">
              <w:rPr>
                <w:b/>
              </w:rPr>
              <w:t>IV. Tiesību akta projekta ietekme uz spēkā esošo tiesību normu sistēmu</w:t>
            </w:r>
          </w:p>
        </w:tc>
      </w:tr>
      <w:tr w:rsidR="00CC1A56" w:rsidRPr="00DD49B6" w14:paraId="4AC96729" w14:textId="77777777" w:rsidTr="007D385B">
        <w:trPr>
          <w:jc w:val="center"/>
        </w:trPr>
        <w:tc>
          <w:tcPr>
            <w:tcW w:w="470" w:type="dxa"/>
          </w:tcPr>
          <w:p w14:paraId="6283069D"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1.</w:t>
            </w:r>
          </w:p>
        </w:tc>
        <w:tc>
          <w:tcPr>
            <w:tcW w:w="2728" w:type="dxa"/>
          </w:tcPr>
          <w:p w14:paraId="57A1B28A" w14:textId="77777777" w:rsidR="00CC1A56" w:rsidRPr="00DD49B6" w:rsidRDefault="00CC1A56" w:rsidP="007D385B">
            <w:pPr>
              <w:pStyle w:val="naiskr"/>
              <w:tabs>
                <w:tab w:val="left" w:pos="2628"/>
              </w:tabs>
              <w:spacing w:before="0" w:beforeAutospacing="0" w:after="0" w:afterAutospacing="0"/>
              <w:jc w:val="both"/>
              <w:rPr>
                <w:iCs/>
              </w:rPr>
            </w:pPr>
            <w:r w:rsidRPr="00DD49B6">
              <w:t>Nepieciešamie saistītie tiesību aktu projekti</w:t>
            </w:r>
          </w:p>
        </w:tc>
        <w:tc>
          <w:tcPr>
            <w:tcW w:w="6313" w:type="dxa"/>
          </w:tcPr>
          <w:p w14:paraId="714B3B7C" w14:textId="77777777" w:rsidR="00B04CCD" w:rsidRDefault="00B04CCD" w:rsidP="00365B8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1. </w:t>
            </w:r>
            <w:r w:rsidRPr="00B04CCD">
              <w:rPr>
                <w:rFonts w:ascii="Times New Roman" w:hAnsi="Times New Roman" w:cs="Times New Roman"/>
                <w:sz w:val="24"/>
                <w:szCs w:val="24"/>
              </w:rPr>
              <w:t xml:space="preserve">Labklājības ministrijas rosinātie grozījumi </w:t>
            </w:r>
            <w:r w:rsidR="00DE30BF">
              <w:rPr>
                <w:rFonts w:ascii="Times New Roman" w:hAnsi="Times New Roman" w:cs="Times New Roman"/>
                <w:sz w:val="24"/>
                <w:szCs w:val="24"/>
              </w:rPr>
              <w:t>DPP</w:t>
            </w:r>
            <w:r>
              <w:rPr>
                <w:rFonts w:ascii="Times New Roman" w:hAnsi="Times New Roman" w:cs="Times New Roman"/>
                <w:sz w:val="24"/>
                <w:szCs w:val="24"/>
              </w:rPr>
              <w:t>;</w:t>
            </w:r>
          </w:p>
          <w:p w14:paraId="5779F9C2" w14:textId="43E69341" w:rsidR="00744C49" w:rsidRDefault="00B04CCD" w:rsidP="00365B8E">
            <w:pPr>
              <w:shd w:val="clear" w:color="auto" w:fill="FFFFFF"/>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2. Grozījumi </w:t>
            </w:r>
            <w:r w:rsidR="00365B8E" w:rsidRPr="00365B8E">
              <w:rPr>
                <w:rFonts w:ascii="Times New Roman" w:hAnsi="Times New Roman" w:cs="Times New Roman"/>
                <w:sz w:val="24"/>
                <w:szCs w:val="24"/>
              </w:rPr>
              <w:t>MK noteikumos</w:t>
            </w:r>
            <w:proofErr w:type="gramEnd"/>
            <w:r w:rsidR="00365B8E" w:rsidRPr="00365B8E">
              <w:rPr>
                <w:rFonts w:ascii="Times New Roman" w:hAnsi="Times New Roman" w:cs="Times New Roman"/>
                <w:sz w:val="24"/>
                <w:szCs w:val="24"/>
              </w:rPr>
              <w:t xml:space="preserve"> Nr.170</w:t>
            </w:r>
            <w:r w:rsidR="00150A5D">
              <w:rPr>
                <w:rFonts w:ascii="Times New Roman" w:hAnsi="Times New Roman" w:cs="Times New Roman"/>
                <w:sz w:val="24"/>
                <w:szCs w:val="24"/>
              </w:rPr>
              <w:t>;</w:t>
            </w:r>
          </w:p>
          <w:p w14:paraId="7FABF801" w14:textId="7D4DC19B" w:rsidR="00150A5D" w:rsidRPr="00365B8E" w:rsidRDefault="00150A5D" w:rsidP="00365B8E">
            <w:pPr>
              <w:shd w:val="clear" w:color="auto" w:fill="FFFFFF"/>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3. Grozījumi MK noteikumos</w:t>
            </w:r>
            <w:proofErr w:type="gramEnd"/>
            <w:r>
              <w:rPr>
                <w:rFonts w:ascii="Times New Roman" w:hAnsi="Times New Roman" w:cs="Times New Roman"/>
                <w:sz w:val="24"/>
                <w:szCs w:val="24"/>
              </w:rPr>
              <w:t xml:space="preserve"> Nr.292.</w:t>
            </w:r>
          </w:p>
          <w:p w14:paraId="28792692" w14:textId="27F18BC5" w:rsidR="00CC1A56" w:rsidRPr="00DD49B6" w:rsidRDefault="00365B8E" w:rsidP="0025655E">
            <w:pPr>
              <w:shd w:val="clear" w:color="auto" w:fill="FFFFFF"/>
              <w:spacing w:after="0" w:line="240" w:lineRule="auto"/>
              <w:jc w:val="both"/>
              <w:rPr>
                <w:rFonts w:ascii="Times New Roman" w:hAnsi="Times New Roman" w:cs="Times New Roman"/>
                <w:color w:val="000000"/>
                <w:sz w:val="24"/>
                <w:szCs w:val="24"/>
                <w:lang w:eastAsia="lv-LV"/>
              </w:rPr>
            </w:pPr>
            <w:r w:rsidRPr="00365B8E">
              <w:rPr>
                <w:rFonts w:ascii="Times New Roman" w:hAnsi="Times New Roman" w:cs="Times New Roman"/>
                <w:sz w:val="24"/>
                <w:szCs w:val="24"/>
              </w:rPr>
              <w:t>Minētie grozījumi tiesību aktos tiks iesniegti Valsts kancelejā izskatīš</w:t>
            </w:r>
            <w:r>
              <w:rPr>
                <w:rFonts w:ascii="Times New Roman" w:hAnsi="Times New Roman" w:cs="Times New Roman"/>
                <w:sz w:val="24"/>
                <w:szCs w:val="24"/>
              </w:rPr>
              <w:t xml:space="preserve">anai MK sēdē indikatīvi </w:t>
            </w:r>
            <w:proofErr w:type="gramStart"/>
            <w:r>
              <w:rPr>
                <w:rFonts w:ascii="Times New Roman" w:hAnsi="Times New Roman" w:cs="Times New Roman"/>
                <w:sz w:val="24"/>
                <w:szCs w:val="24"/>
              </w:rPr>
              <w:t>2014</w:t>
            </w:r>
            <w:r w:rsidRPr="00365B8E">
              <w:rPr>
                <w:rFonts w:ascii="Times New Roman" w:hAnsi="Times New Roman" w:cs="Times New Roman"/>
                <w:sz w:val="24"/>
                <w:szCs w:val="24"/>
              </w:rPr>
              <w:t>.gada</w:t>
            </w:r>
            <w:proofErr w:type="gramEnd"/>
            <w:r w:rsidRPr="00365B8E">
              <w:rPr>
                <w:rFonts w:ascii="Times New Roman" w:hAnsi="Times New Roman" w:cs="Times New Roman"/>
                <w:sz w:val="24"/>
                <w:szCs w:val="24"/>
              </w:rPr>
              <w:t xml:space="preserve"> </w:t>
            </w:r>
            <w:r w:rsidR="0025655E">
              <w:rPr>
                <w:rFonts w:ascii="Times New Roman" w:hAnsi="Times New Roman" w:cs="Times New Roman"/>
                <w:sz w:val="24"/>
                <w:szCs w:val="24"/>
              </w:rPr>
              <w:t>martā</w:t>
            </w:r>
            <w:r w:rsidRPr="00365B8E">
              <w:rPr>
                <w:rFonts w:ascii="Times New Roman" w:hAnsi="Times New Roman" w:cs="Times New Roman"/>
                <w:sz w:val="24"/>
                <w:szCs w:val="24"/>
              </w:rPr>
              <w:t>.</w:t>
            </w:r>
          </w:p>
        </w:tc>
      </w:tr>
      <w:tr w:rsidR="00CC1A56" w:rsidRPr="00DD49B6" w14:paraId="42D50157" w14:textId="77777777" w:rsidTr="007D385B">
        <w:trPr>
          <w:jc w:val="center"/>
        </w:trPr>
        <w:tc>
          <w:tcPr>
            <w:tcW w:w="470" w:type="dxa"/>
          </w:tcPr>
          <w:p w14:paraId="2B876B9C" w14:textId="035644F0" w:rsidR="00CC1A56" w:rsidRPr="00DD49B6" w:rsidRDefault="00CC1A56" w:rsidP="007D385B">
            <w:pPr>
              <w:pStyle w:val="naiskr"/>
              <w:tabs>
                <w:tab w:val="left" w:pos="2628"/>
              </w:tabs>
              <w:spacing w:before="0" w:beforeAutospacing="0" w:after="0" w:afterAutospacing="0"/>
              <w:jc w:val="both"/>
              <w:rPr>
                <w:iCs/>
              </w:rPr>
            </w:pPr>
            <w:r w:rsidRPr="00DD49B6">
              <w:rPr>
                <w:iCs/>
              </w:rPr>
              <w:t>2.</w:t>
            </w:r>
          </w:p>
        </w:tc>
        <w:tc>
          <w:tcPr>
            <w:tcW w:w="2728" w:type="dxa"/>
          </w:tcPr>
          <w:p w14:paraId="0537FFBD" w14:textId="77777777" w:rsidR="00CC1A56" w:rsidRPr="00DD49B6" w:rsidRDefault="00CC1A56" w:rsidP="007D385B">
            <w:pPr>
              <w:pStyle w:val="naiskr"/>
              <w:tabs>
                <w:tab w:val="left" w:pos="2628"/>
              </w:tabs>
              <w:spacing w:before="0" w:beforeAutospacing="0" w:after="0" w:afterAutospacing="0"/>
              <w:jc w:val="both"/>
            </w:pPr>
            <w:r w:rsidRPr="00DD49B6">
              <w:t>Atbildīgā institūcija</w:t>
            </w:r>
          </w:p>
        </w:tc>
        <w:tc>
          <w:tcPr>
            <w:tcW w:w="6313" w:type="dxa"/>
          </w:tcPr>
          <w:p w14:paraId="505AB4C0" w14:textId="77777777" w:rsidR="00CC1A56" w:rsidRPr="00DD49B6" w:rsidRDefault="0055242A" w:rsidP="007D385B">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Labklājības ministrija</w:t>
            </w:r>
          </w:p>
        </w:tc>
      </w:tr>
      <w:tr w:rsidR="00CC1A56" w:rsidRPr="00DD49B6" w14:paraId="0434CC60" w14:textId="77777777" w:rsidTr="007D385B">
        <w:trPr>
          <w:jc w:val="center"/>
        </w:trPr>
        <w:tc>
          <w:tcPr>
            <w:tcW w:w="470" w:type="dxa"/>
          </w:tcPr>
          <w:p w14:paraId="00A14D69"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3.</w:t>
            </w:r>
          </w:p>
        </w:tc>
        <w:tc>
          <w:tcPr>
            <w:tcW w:w="2728" w:type="dxa"/>
          </w:tcPr>
          <w:p w14:paraId="472370B6" w14:textId="77777777" w:rsidR="00CC1A56" w:rsidRPr="00DD49B6" w:rsidRDefault="00CC1A56" w:rsidP="007D385B">
            <w:pPr>
              <w:pStyle w:val="naiskr"/>
              <w:tabs>
                <w:tab w:val="left" w:pos="2628"/>
              </w:tabs>
              <w:spacing w:before="0" w:beforeAutospacing="0" w:after="0" w:afterAutospacing="0"/>
              <w:jc w:val="both"/>
              <w:rPr>
                <w:iCs/>
              </w:rPr>
            </w:pPr>
            <w:r w:rsidRPr="00DD49B6">
              <w:t>Cita informācija</w:t>
            </w:r>
          </w:p>
        </w:tc>
        <w:tc>
          <w:tcPr>
            <w:tcW w:w="6313" w:type="dxa"/>
          </w:tcPr>
          <w:p w14:paraId="35A7DF78" w14:textId="4E1E2D34" w:rsidR="007E66B9" w:rsidRPr="00FD6422" w:rsidRDefault="007E66B9" w:rsidP="006B320D">
            <w:pPr>
              <w:pStyle w:val="naiskr"/>
              <w:tabs>
                <w:tab w:val="left" w:pos="2628"/>
              </w:tabs>
              <w:spacing w:after="0"/>
              <w:jc w:val="both"/>
              <w:rPr>
                <w:iCs/>
              </w:rPr>
            </w:pPr>
            <w:r w:rsidRPr="00FD6422">
              <w:rPr>
                <w:rFonts w:eastAsia="PMingLiU"/>
                <w:color w:val="000000"/>
                <w:lang w:eastAsia="zh-TW"/>
              </w:rPr>
              <w:t xml:space="preserve">MK noteikumu projekts var tikt virzīts izskatīšanai Ministru kabineta sēdē vienlaikus ar </w:t>
            </w:r>
            <w:r w:rsidR="006B320D">
              <w:rPr>
                <w:rFonts w:eastAsia="PMingLiU"/>
                <w:color w:val="000000"/>
                <w:lang w:eastAsia="zh-TW"/>
              </w:rPr>
              <w:t xml:space="preserve">grozījumiem </w:t>
            </w:r>
            <w:r w:rsidRPr="00FD6422">
              <w:rPr>
                <w:rFonts w:eastAsia="PMingLiU"/>
                <w:color w:val="000000"/>
                <w:lang w:eastAsia="zh-TW"/>
              </w:rPr>
              <w:t>MK noteikum</w:t>
            </w:r>
            <w:r w:rsidR="006B320D">
              <w:rPr>
                <w:rFonts w:eastAsia="PMingLiU"/>
                <w:color w:val="000000"/>
                <w:lang w:eastAsia="zh-TW"/>
              </w:rPr>
              <w:t>os</w:t>
            </w:r>
            <w:r w:rsidRPr="00FD6422">
              <w:rPr>
                <w:rFonts w:eastAsia="PMingLiU"/>
                <w:color w:val="000000"/>
                <w:lang w:eastAsia="zh-TW"/>
              </w:rPr>
              <w:t xml:space="preserve"> Nr.170</w:t>
            </w:r>
            <w:r w:rsidR="00744C49">
              <w:rPr>
                <w:rFonts w:eastAsia="PMingLiU"/>
                <w:color w:val="000000"/>
                <w:lang w:eastAsia="zh-TW"/>
              </w:rPr>
              <w:t>,</w:t>
            </w:r>
            <w:r w:rsidR="006B320D">
              <w:rPr>
                <w:rFonts w:eastAsia="PMingLiU"/>
                <w:color w:val="000000"/>
                <w:lang w:eastAsia="zh-TW"/>
              </w:rPr>
              <w:t xml:space="preserve"> grozījumiem</w:t>
            </w:r>
            <w:r w:rsidR="00744C49">
              <w:rPr>
                <w:rFonts w:eastAsia="PMingLiU"/>
                <w:color w:val="000000"/>
                <w:lang w:eastAsia="zh-TW"/>
              </w:rPr>
              <w:t xml:space="preserve"> MK noteikumos Nr.292</w:t>
            </w:r>
            <w:r w:rsidRPr="00FD6422">
              <w:rPr>
                <w:rFonts w:eastAsia="PMingLiU"/>
                <w:color w:val="000000"/>
                <w:lang w:eastAsia="zh-TW"/>
              </w:rPr>
              <w:t xml:space="preserve"> un vienlaikus ar vai pēc Labklājības ministrijas rosināto grozījumu DPP apstiprināšanas Ministru kabineta sēdē.</w:t>
            </w:r>
          </w:p>
        </w:tc>
      </w:tr>
    </w:tbl>
    <w:p w14:paraId="789120D0" w14:textId="77777777" w:rsidR="00CC1A56" w:rsidRDefault="00CC1A56" w:rsidP="00CC1A56">
      <w:pPr>
        <w:spacing w:after="0" w:line="240" w:lineRule="auto"/>
        <w:rPr>
          <w:rFonts w:ascii="Times New Roman" w:hAnsi="Times New Roman" w:cs="Times New Roman"/>
          <w:sz w:val="24"/>
          <w:szCs w:val="24"/>
        </w:rPr>
      </w:pPr>
    </w:p>
    <w:p w14:paraId="72A4D6A0" w14:textId="77777777" w:rsidR="00445A9C" w:rsidRPr="00DD49B6" w:rsidDel="009D1634" w:rsidRDefault="00445A9C" w:rsidP="00CC1A56">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DD49B6" w14:paraId="54C637FC" w14:textId="77777777" w:rsidTr="007D385B">
        <w:trPr>
          <w:trHeight w:val="421"/>
          <w:jc w:val="center"/>
        </w:trPr>
        <w:tc>
          <w:tcPr>
            <w:tcW w:w="9524" w:type="dxa"/>
            <w:gridSpan w:val="3"/>
            <w:vAlign w:val="center"/>
          </w:tcPr>
          <w:p w14:paraId="38CABD20" w14:textId="77777777" w:rsidR="00CC1A56" w:rsidRPr="00DD49B6" w:rsidRDefault="00CC1A56" w:rsidP="007D385B">
            <w:pPr>
              <w:pStyle w:val="naisnod"/>
              <w:spacing w:before="0" w:beforeAutospacing="0" w:after="0" w:afterAutospacing="0"/>
              <w:ind w:left="57" w:right="57"/>
              <w:jc w:val="center"/>
            </w:pPr>
            <w:r w:rsidRPr="00DD49B6">
              <w:rPr>
                <w:b/>
              </w:rPr>
              <w:t>VI. Sabiedrības līdzdalība un komunikācijas aktivitātes</w:t>
            </w:r>
          </w:p>
        </w:tc>
      </w:tr>
      <w:tr w:rsidR="00CC1A56" w:rsidRPr="00DD49B6" w14:paraId="0DAFDC28" w14:textId="77777777" w:rsidTr="007D385B">
        <w:trPr>
          <w:trHeight w:val="553"/>
          <w:jc w:val="center"/>
        </w:trPr>
        <w:tc>
          <w:tcPr>
            <w:tcW w:w="476" w:type="dxa"/>
          </w:tcPr>
          <w:p w14:paraId="535EA3B3"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14:paraId="70BAEC1B" w14:textId="77777777" w:rsidR="00CC1A56" w:rsidRPr="00DD49B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 xml:space="preserve">Plānotās sabiedrības līdzdalības un </w:t>
            </w:r>
            <w:r w:rsidRPr="00DD49B6">
              <w:rPr>
                <w:rFonts w:ascii="Times New Roman" w:hAnsi="Times New Roman" w:cs="Times New Roman"/>
                <w:sz w:val="24"/>
                <w:szCs w:val="24"/>
                <w:lang w:eastAsia="lv-LV"/>
              </w:rPr>
              <w:lastRenderedPageBreak/>
              <w:t>komunikācijas aktivitātes saistībā ar projektu</w:t>
            </w:r>
          </w:p>
        </w:tc>
        <w:tc>
          <w:tcPr>
            <w:tcW w:w="6206" w:type="dxa"/>
          </w:tcPr>
          <w:p w14:paraId="4E00BF18" w14:textId="77777777" w:rsidR="00CC1A56" w:rsidRPr="00DD49B6" w:rsidRDefault="00AB23D6" w:rsidP="00B90D82">
            <w:pPr>
              <w:shd w:val="clear" w:color="auto" w:fill="FFFFFF"/>
              <w:spacing w:after="0" w:line="240" w:lineRule="auto"/>
              <w:ind w:left="169" w:right="83"/>
              <w:jc w:val="both"/>
              <w:rPr>
                <w:rFonts w:ascii="Times New Roman" w:hAnsi="Times New Roman" w:cs="Times New Roman"/>
                <w:sz w:val="24"/>
                <w:szCs w:val="24"/>
                <w:lang w:eastAsia="lv-LV"/>
              </w:rPr>
            </w:pPr>
            <w:bookmarkStart w:id="2" w:name="p61"/>
            <w:bookmarkEnd w:id="2"/>
            <w:r w:rsidRPr="00AB23D6">
              <w:rPr>
                <w:rFonts w:ascii="Times New Roman" w:hAnsi="Times New Roman" w:cs="Times New Roman"/>
                <w:sz w:val="24"/>
                <w:szCs w:val="24"/>
              </w:rPr>
              <w:lastRenderedPageBreak/>
              <w:t xml:space="preserve">Sabiedrības līdzdalība projekta izstrādē netika nodrošināta, jo 1.4.1.2.4.apakšaktivitātes ietvaros tiek veikta finanšu līdzekļu </w:t>
            </w:r>
            <w:r w:rsidRPr="00AB23D6">
              <w:rPr>
                <w:rFonts w:ascii="Times New Roman" w:hAnsi="Times New Roman" w:cs="Times New Roman"/>
                <w:sz w:val="24"/>
                <w:szCs w:val="24"/>
              </w:rPr>
              <w:lastRenderedPageBreak/>
              <w:t>ietaupījuma pārdale un šīs apakšaktivitātes ietvaros jauna projektu iesniegumu atlase netiek plānota.</w:t>
            </w:r>
          </w:p>
        </w:tc>
      </w:tr>
      <w:tr w:rsidR="00CC1A56" w:rsidRPr="00DD49B6" w14:paraId="347839EB" w14:textId="77777777" w:rsidTr="007D385B">
        <w:trPr>
          <w:trHeight w:val="339"/>
          <w:jc w:val="center"/>
        </w:trPr>
        <w:tc>
          <w:tcPr>
            <w:tcW w:w="476" w:type="dxa"/>
          </w:tcPr>
          <w:p w14:paraId="2E9D953E"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lastRenderedPageBreak/>
              <w:t>2.</w:t>
            </w:r>
          </w:p>
        </w:tc>
        <w:tc>
          <w:tcPr>
            <w:tcW w:w="2842" w:type="dxa"/>
          </w:tcPr>
          <w:p w14:paraId="6E733387" w14:textId="77777777"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14:paraId="548CB13C" w14:textId="77777777" w:rsidR="00CC1A56" w:rsidRPr="00DD49B6" w:rsidRDefault="00514DDD" w:rsidP="00F349ED">
            <w:pPr>
              <w:shd w:val="clear" w:color="auto" w:fill="FFFFFF"/>
              <w:spacing w:after="0" w:line="240" w:lineRule="auto"/>
              <w:ind w:left="169"/>
              <w:jc w:val="both"/>
              <w:rPr>
                <w:rFonts w:ascii="Times New Roman" w:hAnsi="Times New Roman" w:cs="Times New Roman"/>
                <w:sz w:val="24"/>
                <w:szCs w:val="24"/>
                <w:lang w:eastAsia="lv-LV"/>
              </w:rPr>
            </w:pPr>
            <w:bookmarkStart w:id="3" w:name="p62"/>
            <w:bookmarkEnd w:id="3"/>
            <w:r w:rsidRPr="0093520F">
              <w:rPr>
                <w:rFonts w:ascii="Times New Roman" w:hAnsi="Times New Roman" w:cs="Times New Roman"/>
                <w:sz w:val="24"/>
                <w:szCs w:val="24"/>
              </w:rPr>
              <w:t xml:space="preserve">MK </w:t>
            </w:r>
            <w:r w:rsidR="00F349ED">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5576D092" w14:textId="77777777" w:rsidTr="007D385B">
        <w:trPr>
          <w:trHeight w:val="476"/>
          <w:jc w:val="center"/>
        </w:trPr>
        <w:tc>
          <w:tcPr>
            <w:tcW w:w="476" w:type="dxa"/>
          </w:tcPr>
          <w:p w14:paraId="0352AE2A"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14:paraId="15F020CE" w14:textId="77777777"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14:paraId="3827445F" w14:textId="77777777" w:rsidR="00CC1A56" w:rsidRPr="00DD49B6" w:rsidRDefault="00514DDD" w:rsidP="00F349ED">
            <w:pPr>
              <w:shd w:val="clear" w:color="auto" w:fill="FFFFFF"/>
              <w:spacing w:after="0" w:line="240" w:lineRule="auto"/>
              <w:ind w:left="169"/>
              <w:jc w:val="both"/>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F349ED">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401F8BCD" w14:textId="77777777" w:rsidTr="007D385B">
        <w:trPr>
          <w:trHeight w:val="476"/>
          <w:jc w:val="center"/>
        </w:trPr>
        <w:tc>
          <w:tcPr>
            <w:tcW w:w="476" w:type="dxa"/>
          </w:tcPr>
          <w:p w14:paraId="4A2C45A2"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14:paraId="1F783477" w14:textId="77777777"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14:paraId="61818030" w14:textId="77777777" w:rsidR="00CC1A56" w:rsidRPr="00DD49B6" w:rsidRDefault="00514DDD" w:rsidP="007D385B">
            <w:pPr>
              <w:spacing w:after="0" w:line="240" w:lineRule="auto"/>
              <w:ind w:left="169"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15431390" w14:textId="77777777" w:rsidR="00CC1A56" w:rsidRPr="00DD49B6" w:rsidRDefault="00CC1A56"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72359D67" w14:textId="77777777" w:rsidTr="007D385B">
        <w:trPr>
          <w:trHeight w:val="381"/>
          <w:jc w:val="center"/>
        </w:trPr>
        <w:tc>
          <w:tcPr>
            <w:tcW w:w="9518" w:type="dxa"/>
            <w:gridSpan w:val="3"/>
            <w:vAlign w:val="center"/>
          </w:tcPr>
          <w:p w14:paraId="495237DB"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44FC1179" w14:textId="77777777" w:rsidTr="007D385B">
        <w:trPr>
          <w:trHeight w:val="427"/>
          <w:jc w:val="center"/>
        </w:trPr>
        <w:tc>
          <w:tcPr>
            <w:tcW w:w="437" w:type="dxa"/>
          </w:tcPr>
          <w:p w14:paraId="0DE47840"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10E5DE3C"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14:paraId="5D8B5300" w14:textId="77777777" w:rsidR="00CC1A56" w:rsidRPr="00DD49B6" w:rsidRDefault="006E3024" w:rsidP="004001DB">
            <w:pPr>
              <w:shd w:val="clear" w:color="auto" w:fill="FFFFFF"/>
              <w:spacing w:after="0" w:line="240" w:lineRule="auto"/>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sidRPr="006E3024">
              <w:rPr>
                <w:rFonts w:ascii="Times New Roman" w:hAnsi="Times New Roman" w:cs="Times New Roman"/>
                <w:sz w:val="24"/>
                <w:szCs w:val="24"/>
              </w:rPr>
              <w:t xml:space="preserve">Nodarbinātības valsts </w:t>
            </w:r>
            <w:r w:rsidRPr="004001DB">
              <w:rPr>
                <w:rFonts w:ascii="Times New Roman" w:hAnsi="Times New Roman" w:cs="Times New Roman"/>
                <w:sz w:val="24"/>
                <w:szCs w:val="24"/>
              </w:rPr>
              <w:t xml:space="preserve">aģentūra kā </w:t>
            </w:r>
            <w:r w:rsidR="004001DB" w:rsidRPr="004001DB">
              <w:rPr>
                <w:rFonts w:ascii="Times New Roman" w:hAnsi="Times New Roman" w:cs="Times New Roman"/>
                <w:iCs/>
                <w:sz w:val="24"/>
                <w:szCs w:val="24"/>
              </w:rPr>
              <w:t>sadarbības iestāde 1.4.1.2.4.apakšaktivitātes ietvaros.</w:t>
            </w:r>
          </w:p>
        </w:tc>
      </w:tr>
      <w:tr w:rsidR="00CC1A56" w:rsidRPr="00DD49B6" w14:paraId="3D16B0C8" w14:textId="77777777" w:rsidTr="007D385B">
        <w:trPr>
          <w:trHeight w:val="463"/>
          <w:jc w:val="center"/>
        </w:trPr>
        <w:tc>
          <w:tcPr>
            <w:tcW w:w="437" w:type="dxa"/>
          </w:tcPr>
          <w:p w14:paraId="15372D12" w14:textId="77777777" w:rsidR="00CC1A56" w:rsidRPr="00DD49B6" w:rsidRDefault="00CC1A56" w:rsidP="007D385B">
            <w:pPr>
              <w:pStyle w:val="naisnod"/>
              <w:spacing w:before="0" w:beforeAutospacing="0" w:after="0" w:afterAutospacing="0"/>
              <w:ind w:left="57" w:right="57"/>
              <w:jc w:val="both"/>
            </w:pPr>
            <w:r w:rsidRPr="00DD49B6">
              <w:t>2.</w:t>
            </w:r>
          </w:p>
        </w:tc>
        <w:tc>
          <w:tcPr>
            <w:tcW w:w="3615" w:type="dxa"/>
          </w:tcPr>
          <w:p w14:paraId="00C8C46A"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3123C4D1"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14:paraId="44424325" w14:textId="77777777" w:rsidR="00CC1A56" w:rsidRPr="00DD49B6" w:rsidRDefault="00232033" w:rsidP="00F349ED">
            <w:pPr>
              <w:shd w:val="clear" w:color="auto" w:fill="FFFFFF"/>
              <w:spacing w:after="0" w:line="240" w:lineRule="auto"/>
              <w:jc w:val="both"/>
              <w:rPr>
                <w:rFonts w:ascii="Times New Roman" w:hAnsi="Times New Roman" w:cs="Times New Roman"/>
                <w:sz w:val="24"/>
                <w:szCs w:val="24"/>
                <w:lang w:eastAsia="lv-LV"/>
              </w:rPr>
            </w:pPr>
            <w:r w:rsidRPr="0093520F">
              <w:rPr>
                <w:rFonts w:ascii="Times New Roman" w:hAnsi="Times New Roman" w:cs="Times New Roman"/>
                <w:sz w:val="24"/>
                <w:szCs w:val="24"/>
              </w:rPr>
              <w:t xml:space="preserve">MK </w:t>
            </w:r>
            <w:r w:rsidR="00F349ED">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578DB23C"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2A88ABA5" w14:textId="77777777"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582D9B40"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68A9DCEF"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667BA2BC" w14:textId="77777777" w:rsidR="002F4A69" w:rsidRDefault="002F4A69" w:rsidP="00843389">
      <w:pPr>
        <w:spacing w:after="0" w:line="240" w:lineRule="auto"/>
        <w:rPr>
          <w:rFonts w:ascii="Times New Roman" w:hAnsi="Times New Roman" w:cs="Times New Roman"/>
          <w:sz w:val="24"/>
          <w:szCs w:val="24"/>
        </w:rPr>
      </w:pPr>
    </w:p>
    <w:p w14:paraId="71FB99D6" w14:textId="77777777" w:rsidR="00843389" w:rsidRDefault="00843389" w:rsidP="00843389">
      <w:pPr>
        <w:spacing w:after="0" w:line="240" w:lineRule="auto"/>
        <w:rPr>
          <w:rFonts w:ascii="Times New Roman" w:hAnsi="Times New Roman" w:cs="Times New Roman"/>
          <w:sz w:val="24"/>
          <w:szCs w:val="24"/>
        </w:rPr>
      </w:pPr>
      <w:r w:rsidRPr="00843389">
        <w:rPr>
          <w:rFonts w:ascii="Times New Roman" w:hAnsi="Times New Roman" w:cs="Times New Roman"/>
          <w:sz w:val="24"/>
          <w:szCs w:val="24"/>
        </w:rPr>
        <w:t xml:space="preserve">Anotācijas V sadaļa – MK </w:t>
      </w:r>
      <w:r w:rsidR="00F349ED">
        <w:rPr>
          <w:rFonts w:ascii="Times New Roman" w:hAnsi="Times New Roman" w:cs="Times New Roman"/>
          <w:sz w:val="24"/>
          <w:szCs w:val="24"/>
        </w:rPr>
        <w:t>noteikumu</w:t>
      </w:r>
      <w:r w:rsidRPr="00843389">
        <w:rPr>
          <w:rFonts w:ascii="Times New Roman" w:hAnsi="Times New Roman" w:cs="Times New Roman"/>
          <w:sz w:val="24"/>
          <w:szCs w:val="24"/>
        </w:rPr>
        <w:t xml:space="preserve"> projekts šo jomu neskar.</w:t>
      </w:r>
    </w:p>
    <w:p w14:paraId="5C49921D" w14:textId="77777777" w:rsidR="00D473ED" w:rsidRDefault="00D473ED" w:rsidP="00843389">
      <w:pPr>
        <w:spacing w:after="0" w:line="240" w:lineRule="auto"/>
        <w:rPr>
          <w:rFonts w:ascii="Times New Roman" w:hAnsi="Times New Roman" w:cs="Times New Roman"/>
          <w:sz w:val="24"/>
          <w:szCs w:val="24"/>
        </w:rPr>
      </w:pPr>
    </w:p>
    <w:p w14:paraId="0D77479E" w14:textId="77777777" w:rsidR="00D473ED" w:rsidRDefault="00D473ED" w:rsidP="00843389">
      <w:pPr>
        <w:spacing w:after="0" w:line="240" w:lineRule="auto"/>
        <w:rPr>
          <w:rFonts w:ascii="Times New Roman" w:hAnsi="Times New Roman" w:cs="Times New Roman"/>
          <w:sz w:val="24"/>
          <w:szCs w:val="24"/>
        </w:rPr>
      </w:pPr>
    </w:p>
    <w:p w14:paraId="62D4DFA0" w14:textId="05774D36" w:rsidR="00F068C5" w:rsidRDefault="00D473ED" w:rsidP="00CC177D">
      <w:pPr>
        <w:tabs>
          <w:tab w:val="left" w:pos="7371"/>
        </w:tabs>
        <w:spacing w:after="0" w:line="240" w:lineRule="auto"/>
        <w:rPr>
          <w:rFonts w:ascii="Times New Roman" w:hAnsi="Times New Roman" w:cs="Times New Roman"/>
          <w:sz w:val="24"/>
          <w:szCs w:val="24"/>
        </w:rPr>
      </w:pPr>
      <w:r w:rsidRPr="00D473ED">
        <w:rPr>
          <w:rFonts w:ascii="Times New Roman" w:hAnsi="Times New Roman" w:cs="Times New Roman"/>
          <w:sz w:val="28"/>
          <w:szCs w:val="28"/>
        </w:rPr>
        <w:t>Labklājības ministr</w:t>
      </w:r>
      <w:r w:rsidR="00CA1AC9">
        <w:rPr>
          <w:rFonts w:ascii="Times New Roman" w:hAnsi="Times New Roman" w:cs="Times New Roman"/>
          <w:sz w:val="28"/>
          <w:szCs w:val="28"/>
        </w:rPr>
        <w:t>s</w:t>
      </w:r>
      <w:r w:rsidRPr="00D473ED">
        <w:rPr>
          <w:rFonts w:ascii="Times New Roman" w:hAnsi="Times New Roman" w:cs="Times New Roman"/>
          <w:sz w:val="28"/>
          <w:szCs w:val="28"/>
        </w:rPr>
        <w:tab/>
      </w:r>
      <w:r w:rsidR="00CA1AC9">
        <w:rPr>
          <w:rFonts w:ascii="Times New Roman" w:hAnsi="Times New Roman" w:cs="Times New Roman"/>
          <w:sz w:val="28"/>
          <w:szCs w:val="28"/>
        </w:rPr>
        <w:t>U.Augulis</w:t>
      </w:r>
    </w:p>
    <w:p w14:paraId="1B93DD43" w14:textId="77777777" w:rsidR="00F068C5" w:rsidRPr="00D473ED" w:rsidRDefault="00F068C5" w:rsidP="00D473ED">
      <w:pPr>
        <w:spacing w:after="0" w:line="240" w:lineRule="auto"/>
        <w:rPr>
          <w:rFonts w:ascii="Times New Roman" w:hAnsi="Times New Roman" w:cs="Times New Roman"/>
          <w:sz w:val="24"/>
          <w:szCs w:val="24"/>
        </w:rPr>
      </w:pPr>
    </w:p>
    <w:p w14:paraId="129C088B" w14:textId="77777777" w:rsidR="00D473ED" w:rsidRDefault="00D473ED" w:rsidP="00D473ED">
      <w:pPr>
        <w:spacing w:after="0" w:line="240" w:lineRule="auto"/>
        <w:rPr>
          <w:rFonts w:ascii="Times New Roman" w:hAnsi="Times New Roman" w:cs="Times New Roman"/>
          <w:sz w:val="24"/>
          <w:szCs w:val="24"/>
        </w:rPr>
      </w:pPr>
    </w:p>
    <w:p w14:paraId="301EED53" w14:textId="77777777" w:rsidR="002F4A69" w:rsidRDefault="002F4A69" w:rsidP="00D473ED">
      <w:pPr>
        <w:spacing w:after="0" w:line="240" w:lineRule="auto"/>
        <w:rPr>
          <w:rFonts w:ascii="Times New Roman" w:hAnsi="Times New Roman" w:cs="Times New Roman"/>
          <w:sz w:val="24"/>
          <w:szCs w:val="24"/>
        </w:rPr>
      </w:pPr>
    </w:p>
    <w:p w14:paraId="2D8359A0" w14:textId="77777777" w:rsidR="002F4A69" w:rsidRDefault="002F4A69" w:rsidP="00D473ED">
      <w:pPr>
        <w:spacing w:after="0" w:line="240" w:lineRule="auto"/>
        <w:rPr>
          <w:rFonts w:ascii="Times New Roman" w:hAnsi="Times New Roman" w:cs="Times New Roman"/>
          <w:sz w:val="24"/>
          <w:szCs w:val="24"/>
        </w:rPr>
      </w:pPr>
    </w:p>
    <w:p w14:paraId="23122C1D" w14:textId="77777777" w:rsidR="002F4A69" w:rsidRDefault="002F4A69" w:rsidP="00D473ED">
      <w:pPr>
        <w:spacing w:after="0" w:line="240" w:lineRule="auto"/>
        <w:rPr>
          <w:rFonts w:ascii="Times New Roman" w:hAnsi="Times New Roman" w:cs="Times New Roman"/>
          <w:sz w:val="24"/>
          <w:szCs w:val="24"/>
        </w:rPr>
      </w:pPr>
    </w:p>
    <w:p w14:paraId="0B3317F9" w14:textId="77777777" w:rsidR="002F4A69" w:rsidRDefault="002F4A69" w:rsidP="00D473ED">
      <w:pPr>
        <w:spacing w:after="0" w:line="240" w:lineRule="auto"/>
        <w:rPr>
          <w:rFonts w:ascii="Times New Roman" w:hAnsi="Times New Roman" w:cs="Times New Roman"/>
          <w:sz w:val="24"/>
          <w:szCs w:val="24"/>
        </w:rPr>
      </w:pPr>
    </w:p>
    <w:p w14:paraId="422B7137" w14:textId="77777777" w:rsidR="002F4A69" w:rsidRDefault="002F4A69" w:rsidP="00D473ED">
      <w:pPr>
        <w:spacing w:after="0" w:line="240" w:lineRule="auto"/>
        <w:rPr>
          <w:rFonts w:ascii="Times New Roman" w:hAnsi="Times New Roman" w:cs="Times New Roman"/>
          <w:sz w:val="24"/>
          <w:szCs w:val="24"/>
        </w:rPr>
      </w:pPr>
    </w:p>
    <w:p w14:paraId="17A328F1" w14:textId="77777777" w:rsidR="002F4A69" w:rsidRDefault="002F4A69" w:rsidP="00D473ED">
      <w:pPr>
        <w:spacing w:after="0" w:line="240" w:lineRule="auto"/>
        <w:rPr>
          <w:rFonts w:ascii="Times New Roman" w:hAnsi="Times New Roman" w:cs="Times New Roman"/>
          <w:sz w:val="24"/>
          <w:szCs w:val="24"/>
        </w:rPr>
      </w:pPr>
    </w:p>
    <w:p w14:paraId="696676D9" w14:textId="77777777" w:rsidR="002F4A69" w:rsidRDefault="002F4A69" w:rsidP="00D473ED">
      <w:pPr>
        <w:spacing w:after="0" w:line="240" w:lineRule="auto"/>
        <w:rPr>
          <w:rFonts w:ascii="Times New Roman" w:hAnsi="Times New Roman" w:cs="Times New Roman"/>
          <w:sz w:val="24"/>
          <w:szCs w:val="24"/>
        </w:rPr>
      </w:pPr>
    </w:p>
    <w:p w14:paraId="1AEA3FBF" w14:textId="77777777" w:rsidR="002F4A69" w:rsidRDefault="002F4A69" w:rsidP="00D473ED">
      <w:pPr>
        <w:spacing w:after="0" w:line="240" w:lineRule="auto"/>
        <w:rPr>
          <w:rFonts w:ascii="Times New Roman" w:hAnsi="Times New Roman" w:cs="Times New Roman"/>
          <w:sz w:val="24"/>
          <w:szCs w:val="24"/>
        </w:rPr>
      </w:pPr>
    </w:p>
    <w:p w14:paraId="279C3EDB" w14:textId="77777777" w:rsidR="002F4A69" w:rsidRDefault="002F4A69" w:rsidP="00D473ED">
      <w:pPr>
        <w:spacing w:after="0" w:line="240" w:lineRule="auto"/>
        <w:rPr>
          <w:rFonts w:ascii="Times New Roman" w:hAnsi="Times New Roman" w:cs="Times New Roman"/>
          <w:sz w:val="24"/>
          <w:szCs w:val="24"/>
        </w:rPr>
      </w:pPr>
    </w:p>
    <w:p w14:paraId="30242170" w14:textId="77777777" w:rsidR="002F4A69" w:rsidRDefault="002F4A69" w:rsidP="00D473ED">
      <w:pPr>
        <w:spacing w:after="0" w:line="240" w:lineRule="auto"/>
        <w:rPr>
          <w:rFonts w:ascii="Times New Roman" w:hAnsi="Times New Roman" w:cs="Times New Roman"/>
          <w:sz w:val="24"/>
          <w:szCs w:val="24"/>
        </w:rPr>
      </w:pPr>
    </w:p>
    <w:p w14:paraId="733B893F" w14:textId="77777777" w:rsidR="002F4A69" w:rsidRPr="00D473ED" w:rsidRDefault="002F4A69" w:rsidP="00D473ED">
      <w:pPr>
        <w:spacing w:after="0" w:line="240" w:lineRule="auto"/>
        <w:rPr>
          <w:rFonts w:ascii="Times New Roman" w:hAnsi="Times New Roman" w:cs="Times New Roman"/>
          <w:sz w:val="24"/>
          <w:szCs w:val="24"/>
        </w:rPr>
      </w:pPr>
    </w:p>
    <w:p w14:paraId="07006EA0" w14:textId="06478A02" w:rsidR="00D473ED" w:rsidRPr="00D473ED" w:rsidRDefault="002F4A69"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CC177D">
        <w:rPr>
          <w:rFonts w:ascii="Times New Roman" w:hAnsi="Times New Roman" w:cs="Times New Roman"/>
          <w:sz w:val="20"/>
          <w:szCs w:val="20"/>
        </w:rPr>
        <w:t>.03</w:t>
      </w:r>
      <w:r w:rsidR="00F07BB7">
        <w:rPr>
          <w:rFonts w:ascii="Times New Roman" w:hAnsi="Times New Roman" w:cs="Times New Roman"/>
          <w:sz w:val="20"/>
          <w:szCs w:val="20"/>
        </w:rPr>
        <w:t>.2014</w:t>
      </w:r>
      <w:r w:rsidR="00D473ED" w:rsidRPr="00D473ED">
        <w:rPr>
          <w:rFonts w:ascii="Times New Roman" w:hAnsi="Times New Roman" w:cs="Times New Roman"/>
          <w:sz w:val="20"/>
          <w:szCs w:val="20"/>
        </w:rPr>
        <w:t xml:space="preserve">. </w:t>
      </w:r>
      <w:r>
        <w:rPr>
          <w:rFonts w:ascii="Times New Roman" w:hAnsi="Times New Roman" w:cs="Times New Roman"/>
          <w:sz w:val="20"/>
          <w:szCs w:val="20"/>
        </w:rPr>
        <w:t>13:59</w:t>
      </w:r>
      <w:bookmarkStart w:id="8" w:name="_GoBack"/>
      <w:bookmarkEnd w:id="8"/>
    </w:p>
    <w:p w14:paraId="36A0B775" w14:textId="3A307AB8" w:rsidR="00D473ED" w:rsidRPr="00D473ED" w:rsidRDefault="00277744"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1</w:t>
      </w:r>
      <w:r w:rsidR="00267FB7">
        <w:rPr>
          <w:rFonts w:ascii="Times New Roman" w:hAnsi="Times New Roman" w:cs="Times New Roman"/>
          <w:sz w:val="20"/>
          <w:szCs w:val="20"/>
        </w:rPr>
        <w:t>646</w:t>
      </w:r>
    </w:p>
    <w:p w14:paraId="4EAADA58" w14:textId="77777777" w:rsidR="00D473ED" w:rsidRPr="00D473ED" w:rsidRDefault="00D473ED" w:rsidP="00D473ED">
      <w:pPr>
        <w:spacing w:after="0" w:line="240" w:lineRule="auto"/>
        <w:rPr>
          <w:rFonts w:ascii="Times New Roman" w:hAnsi="Times New Roman" w:cs="Times New Roman"/>
          <w:sz w:val="20"/>
          <w:szCs w:val="20"/>
        </w:rPr>
      </w:pPr>
      <w:r w:rsidRPr="00D473ED">
        <w:rPr>
          <w:rFonts w:ascii="Times New Roman" w:hAnsi="Times New Roman" w:cs="Times New Roman"/>
          <w:sz w:val="20"/>
          <w:szCs w:val="20"/>
        </w:rPr>
        <w:t>D.Zvaigzne, 67021660</w:t>
      </w:r>
    </w:p>
    <w:p w14:paraId="0B874FD1" w14:textId="77777777" w:rsidR="00D473ED" w:rsidRPr="00D473ED" w:rsidRDefault="00D473ED" w:rsidP="00D473ED">
      <w:pPr>
        <w:spacing w:after="0" w:line="240" w:lineRule="auto"/>
        <w:rPr>
          <w:rFonts w:ascii="Times New Roman" w:hAnsi="Times New Roman" w:cs="Times New Roman"/>
          <w:sz w:val="20"/>
          <w:szCs w:val="20"/>
        </w:rPr>
      </w:pPr>
      <w:r w:rsidRPr="00D473ED">
        <w:rPr>
          <w:rFonts w:ascii="Times New Roman" w:hAnsi="Times New Roman" w:cs="Times New Roman"/>
          <w:sz w:val="20"/>
          <w:szCs w:val="20"/>
        </w:rPr>
        <w:t>Dace.Zvaigzne@lm.gov.lv</w:t>
      </w:r>
    </w:p>
    <w:sectPr w:rsidR="00D473ED" w:rsidRPr="00D473ED" w:rsidSect="006D6C82">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06951" w14:textId="77777777" w:rsidR="00D0364B" w:rsidRDefault="00D0364B" w:rsidP="006D6C82">
      <w:pPr>
        <w:spacing w:after="0" w:line="240" w:lineRule="auto"/>
      </w:pPr>
      <w:r>
        <w:separator/>
      </w:r>
    </w:p>
  </w:endnote>
  <w:endnote w:type="continuationSeparator" w:id="0">
    <w:p w14:paraId="678B9123" w14:textId="77777777" w:rsidR="00D0364B" w:rsidRDefault="00D0364B"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C61DE" w14:textId="6567F678" w:rsidR="00D0364B" w:rsidRPr="006906E7" w:rsidRDefault="00D04738" w:rsidP="006906E7">
    <w:pPr>
      <w:pStyle w:val="Footer"/>
      <w:rPr>
        <w:rFonts w:ascii="Times New Roman" w:hAnsi="Times New Roman" w:cs="Times New Roman"/>
      </w:rPr>
    </w:pPr>
    <w:r>
      <w:rPr>
        <w:rFonts w:ascii="Times New Roman" w:hAnsi="Times New Roman" w:cs="Times New Roman"/>
        <w:sz w:val="20"/>
        <w:szCs w:val="20"/>
      </w:rPr>
      <w:t>LMAnot_</w:t>
    </w:r>
    <w:r w:rsidR="00AD15E4">
      <w:rPr>
        <w:rFonts w:ascii="Times New Roman" w:hAnsi="Times New Roman" w:cs="Times New Roman"/>
        <w:sz w:val="20"/>
        <w:szCs w:val="20"/>
      </w:rPr>
      <w:t>24</w:t>
    </w:r>
    <w:r w:rsidR="0051404B">
      <w:rPr>
        <w:rFonts w:ascii="Times New Roman" w:hAnsi="Times New Roman" w:cs="Times New Roman"/>
        <w:sz w:val="20"/>
        <w:szCs w:val="20"/>
      </w:rPr>
      <w:t>03</w:t>
    </w:r>
    <w:r w:rsidR="006906E7" w:rsidRPr="00BE0941">
      <w:rPr>
        <w:rFonts w:ascii="Times New Roman" w:hAnsi="Times New Roman" w:cs="Times New Roman"/>
        <w:sz w:val="20"/>
        <w:szCs w:val="20"/>
      </w:rPr>
      <w:t xml:space="preserve">14_540groz; Grozījumi Ministru kabineta </w:t>
    </w:r>
    <w:proofErr w:type="gramStart"/>
    <w:r w:rsidR="006906E7" w:rsidRPr="00BE0941">
      <w:rPr>
        <w:rFonts w:ascii="Times New Roman" w:hAnsi="Times New Roman" w:cs="Times New Roman"/>
        <w:sz w:val="20"/>
        <w:szCs w:val="20"/>
      </w:rPr>
      <w:t>2010.gada</w:t>
    </w:r>
    <w:proofErr w:type="gramEnd"/>
    <w:r w:rsidR="006906E7" w:rsidRPr="00BE0941">
      <w:rPr>
        <w:rFonts w:ascii="Times New Roman" w:hAnsi="Times New Roman" w:cs="Times New Roman"/>
        <w:sz w:val="20"/>
        <w:szCs w:val="20"/>
      </w:rPr>
      <w:t xml:space="preserve"> 21.jūnija noteikumos Nr.540 „Noteikumi par darbības programmas „Cilvēkresursi un nodarbinātība” papildinājuma 1.4.1.2.4.apakšaktivitātes „Sociālās rehabilitācijas un institūcijām alternatīvu sociālās aprūpes pakalpojumu attīstība reģionos” otrās kārtas pirmo apakškārtu”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473AC" w14:textId="371F2F35" w:rsidR="00D0364B" w:rsidRPr="00BE0941" w:rsidRDefault="00C541BC">
    <w:pPr>
      <w:pStyle w:val="Footer"/>
      <w:rPr>
        <w:rFonts w:ascii="Times New Roman" w:hAnsi="Times New Roman" w:cs="Times New Roman"/>
      </w:rPr>
    </w:pPr>
    <w:r w:rsidRPr="00BE0941">
      <w:rPr>
        <w:rFonts w:ascii="Times New Roman" w:hAnsi="Times New Roman" w:cs="Times New Roman"/>
        <w:sz w:val="20"/>
        <w:szCs w:val="20"/>
      </w:rPr>
      <w:t>LMAnot_</w:t>
    </w:r>
    <w:r w:rsidR="00AD15E4">
      <w:rPr>
        <w:rFonts w:ascii="Times New Roman" w:hAnsi="Times New Roman" w:cs="Times New Roman"/>
        <w:sz w:val="20"/>
        <w:szCs w:val="20"/>
      </w:rPr>
      <w:t>24</w:t>
    </w:r>
    <w:r w:rsidR="0051404B">
      <w:rPr>
        <w:rFonts w:ascii="Times New Roman" w:hAnsi="Times New Roman" w:cs="Times New Roman"/>
        <w:sz w:val="20"/>
        <w:szCs w:val="20"/>
      </w:rPr>
      <w:t>03</w:t>
    </w:r>
    <w:r w:rsidRPr="00BE0941">
      <w:rPr>
        <w:rFonts w:ascii="Times New Roman" w:hAnsi="Times New Roman" w:cs="Times New Roman"/>
        <w:sz w:val="20"/>
        <w:szCs w:val="20"/>
      </w:rPr>
      <w:t>14_</w:t>
    </w:r>
    <w:r w:rsidR="00BE0941" w:rsidRPr="00BE0941">
      <w:rPr>
        <w:rFonts w:ascii="Times New Roman" w:hAnsi="Times New Roman" w:cs="Times New Roman"/>
        <w:sz w:val="20"/>
        <w:szCs w:val="20"/>
      </w:rPr>
      <w:t>540</w:t>
    </w:r>
    <w:r w:rsidRPr="00BE0941">
      <w:rPr>
        <w:rFonts w:ascii="Times New Roman" w:hAnsi="Times New Roman" w:cs="Times New Roman"/>
        <w:sz w:val="20"/>
        <w:szCs w:val="20"/>
      </w:rPr>
      <w:t xml:space="preserve">groz; </w:t>
    </w:r>
    <w:r w:rsidR="00BE0941" w:rsidRPr="00BE0941">
      <w:rPr>
        <w:rFonts w:ascii="Times New Roman" w:hAnsi="Times New Roman" w:cs="Times New Roman"/>
        <w:sz w:val="20"/>
        <w:szCs w:val="20"/>
      </w:rPr>
      <w:t xml:space="preserve">Grozījumi Ministru kabineta </w:t>
    </w:r>
    <w:proofErr w:type="gramStart"/>
    <w:r w:rsidR="00BE0941" w:rsidRPr="00BE0941">
      <w:rPr>
        <w:rFonts w:ascii="Times New Roman" w:hAnsi="Times New Roman" w:cs="Times New Roman"/>
        <w:sz w:val="20"/>
        <w:szCs w:val="20"/>
      </w:rPr>
      <w:t>2010.gada</w:t>
    </w:r>
    <w:proofErr w:type="gramEnd"/>
    <w:r w:rsidR="00BE0941" w:rsidRPr="00BE0941">
      <w:rPr>
        <w:rFonts w:ascii="Times New Roman" w:hAnsi="Times New Roman" w:cs="Times New Roman"/>
        <w:sz w:val="20"/>
        <w:szCs w:val="20"/>
      </w:rPr>
      <w:t xml:space="preserve"> 21.jūnija noteikumos Nr.540 „Noteikumi par darbības programmas „Cilvēkresursi un nodarbinātība” papildinājuma 1.4.1.2.4.apakšaktivitātes „Sociālās rehabilitācijas un institūcijām alternatīvu sociālās aprūpes pakalpojumu attīstība reģionos” otrās kārtas pirmo apakškārtu”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62461" w14:textId="77777777" w:rsidR="00D0364B" w:rsidRDefault="00D0364B" w:rsidP="006D6C82">
      <w:pPr>
        <w:spacing w:after="0" w:line="240" w:lineRule="auto"/>
      </w:pPr>
      <w:r>
        <w:separator/>
      </w:r>
    </w:p>
  </w:footnote>
  <w:footnote w:type="continuationSeparator" w:id="0">
    <w:p w14:paraId="679A8F8E" w14:textId="77777777" w:rsidR="00D0364B" w:rsidRDefault="00D0364B"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noProof/>
      </w:rPr>
    </w:sdtEndPr>
    <w:sdtContent>
      <w:p w14:paraId="2A983434" w14:textId="77777777" w:rsidR="00D0364B" w:rsidRDefault="00D0364B">
        <w:pPr>
          <w:pStyle w:val="Header"/>
          <w:jc w:val="center"/>
        </w:pPr>
        <w:r>
          <w:fldChar w:fldCharType="begin"/>
        </w:r>
        <w:r>
          <w:instrText xml:space="preserve"> PAGE   \* MERGEFORMAT </w:instrText>
        </w:r>
        <w:r>
          <w:fldChar w:fldCharType="separate"/>
        </w:r>
        <w:r w:rsidR="002F4A69">
          <w:rPr>
            <w:noProof/>
          </w:rPr>
          <w:t>5</w:t>
        </w:r>
        <w:r>
          <w:rPr>
            <w:noProof/>
          </w:rPr>
          <w:fldChar w:fldCharType="end"/>
        </w:r>
      </w:p>
    </w:sdtContent>
  </w:sdt>
  <w:p w14:paraId="2C1765AA" w14:textId="77777777" w:rsidR="00D0364B" w:rsidRDefault="00D03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7F95DF3"/>
    <w:multiLevelType w:val="hybridMultilevel"/>
    <w:tmpl w:val="6B16949A"/>
    <w:lvl w:ilvl="0" w:tplc="3618AD36">
      <w:start w:val="1"/>
      <w:numFmt w:val="decimal"/>
      <w:lvlText w:val="%1."/>
      <w:lvlJc w:val="left"/>
      <w:pPr>
        <w:ind w:left="502" w:hanging="360"/>
      </w:pPr>
      <w:rPr>
        <w:rFonts w:hint="default"/>
        <w:color w:val="000000"/>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7">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8">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9">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3"/>
  </w:num>
  <w:num w:numId="2">
    <w:abstractNumId w:val="2"/>
  </w:num>
  <w:num w:numId="3">
    <w:abstractNumId w:val="5"/>
  </w:num>
  <w:num w:numId="4">
    <w:abstractNumId w:val="11"/>
  </w:num>
  <w:num w:numId="5">
    <w:abstractNumId w:val="8"/>
  </w:num>
  <w:num w:numId="6">
    <w:abstractNumId w:val="1"/>
  </w:num>
  <w:num w:numId="7">
    <w:abstractNumId w:val="10"/>
  </w:num>
  <w:num w:numId="8">
    <w:abstractNumId w:val="7"/>
  </w:num>
  <w:num w:numId="9">
    <w:abstractNumId w:val="0"/>
  </w:num>
  <w:num w:numId="10">
    <w:abstractNumId w:val="6"/>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125D6"/>
    <w:rsid w:val="00040DFF"/>
    <w:rsid w:val="000459D0"/>
    <w:rsid w:val="00045EB3"/>
    <w:rsid w:val="0004615A"/>
    <w:rsid w:val="00065E19"/>
    <w:rsid w:val="00070378"/>
    <w:rsid w:val="00086C6B"/>
    <w:rsid w:val="00094B83"/>
    <w:rsid w:val="000A50F4"/>
    <w:rsid w:val="000A556B"/>
    <w:rsid w:val="000A66E3"/>
    <w:rsid w:val="000A69BD"/>
    <w:rsid w:val="000B3318"/>
    <w:rsid w:val="000C2777"/>
    <w:rsid w:val="000C6DA7"/>
    <w:rsid w:val="000E0F95"/>
    <w:rsid w:val="000F2C5F"/>
    <w:rsid w:val="001144D9"/>
    <w:rsid w:val="0011756F"/>
    <w:rsid w:val="00140CF3"/>
    <w:rsid w:val="00150A5D"/>
    <w:rsid w:val="00150C08"/>
    <w:rsid w:val="0016361D"/>
    <w:rsid w:val="00166E6E"/>
    <w:rsid w:val="00167190"/>
    <w:rsid w:val="001679C6"/>
    <w:rsid w:val="00176916"/>
    <w:rsid w:val="0018780A"/>
    <w:rsid w:val="00190D4C"/>
    <w:rsid w:val="001B1214"/>
    <w:rsid w:val="001B3031"/>
    <w:rsid w:val="001C053B"/>
    <w:rsid w:val="001C7D4E"/>
    <w:rsid w:val="001E5A5C"/>
    <w:rsid w:val="001E645F"/>
    <w:rsid w:val="002123C9"/>
    <w:rsid w:val="002141C0"/>
    <w:rsid w:val="00226E3A"/>
    <w:rsid w:val="00232033"/>
    <w:rsid w:val="00246978"/>
    <w:rsid w:val="00253AAC"/>
    <w:rsid w:val="0025655E"/>
    <w:rsid w:val="00260F04"/>
    <w:rsid w:val="0026710C"/>
    <w:rsid w:val="00267FB7"/>
    <w:rsid w:val="0027176D"/>
    <w:rsid w:val="00277744"/>
    <w:rsid w:val="002874DE"/>
    <w:rsid w:val="002914A6"/>
    <w:rsid w:val="002A161A"/>
    <w:rsid w:val="002B0D05"/>
    <w:rsid w:val="002C2F3C"/>
    <w:rsid w:val="002D1F05"/>
    <w:rsid w:val="002D2016"/>
    <w:rsid w:val="002F2310"/>
    <w:rsid w:val="002F4A69"/>
    <w:rsid w:val="002F7870"/>
    <w:rsid w:val="00303FFC"/>
    <w:rsid w:val="00320A19"/>
    <w:rsid w:val="00321D39"/>
    <w:rsid w:val="00336B3A"/>
    <w:rsid w:val="0034190F"/>
    <w:rsid w:val="00345771"/>
    <w:rsid w:val="0035641C"/>
    <w:rsid w:val="003643A6"/>
    <w:rsid w:val="00365B8E"/>
    <w:rsid w:val="0038217F"/>
    <w:rsid w:val="00382C79"/>
    <w:rsid w:val="003919EB"/>
    <w:rsid w:val="00393677"/>
    <w:rsid w:val="003A34F9"/>
    <w:rsid w:val="003A3A21"/>
    <w:rsid w:val="003A77B7"/>
    <w:rsid w:val="003B0FBE"/>
    <w:rsid w:val="003C5190"/>
    <w:rsid w:val="003D58F4"/>
    <w:rsid w:val="003D7FCC"/>
    <w:rsid w:val="004001DB"/>
    <w:rsid w:val="00406B6A"/>
    <w:rsid w:val="004119D6"/>
    <w:rsid w:val="00422E27"/>
    <w:rsid w:val="00425BB3"/>
    <w:rsid w:val="00427EFE"/>
    <w:rsid w:val="0043187B"/>
    <w:rsid w:val="00445A9C"/>
    <w:rsid w:val="00446F3F"/>
    <w:rsid w:val="00470125"/>
    <w:rsid w:val="004739EC"/>
    <w:rsid w:val="004863B9"/>
    <w:rsid w:val="004A0562"/>
    <w:rsid w:val="004B4BC8"/>
    <w:rsid w:val="004C0127"/>
    <w:rsid w:val="004C55C1"/>
    <w:rsid w:val="004D24D9"/>
    <w:rsid w:val="004D2900"/>
    <w:rsid w:val="004D4A4C"/>
    <w:rsid w:val="004D654A"/>
    <w:rsid w:val="004E32E6"/>
    <w:rsid w:val="004E61E3"/>
    <w:rsid w:val="004F1BD2"/>
    <w:rsid w:val="005007A2"/>
    <w:rsid w:val="0050327A"/>
    <w:rsid w:val="0051404B"/>
    <w:rsid w:val="00514C83"/>
    <w:rsid w:val="00514DDD"/>
    <w:rsid w:val="005150B7"/>
    <w:rsid w:val="00534579"/>
    <w:rsid w:val="005346EE"/>
    <w:rsid w:val="00540676"/>
    <w:rsid w:val="00541687"/>
    <w:rsid w:val="0055242A"/>
    <w:rsid w:val="005550F6"/>
    <w:rsid w:val="005616C0"/>
    <w:rsid w:val="00571FAE"/>
    <w:rsid w:val="005913E4"/>
    <w:rsid w:val="005A1138"/>
    <w:rsid w:val="005A169B"/>
    <w:rsid w:val="005B104F"/>
    <w:rsid w:val="005C718F"/>
    <w:rsid w:val="005D061C"/>
    <w:rsid w:val="005D5EDF"/>
    <w:rsid w:val="005F403C"/>
    <w:rsid w:val="00612342"/>
    <w:rsid w:val="0062783A"/>
    <w:rsid w:val="006444E4"/>
    <w:rsid w:val="00654303"/>
    <w:rsid w:val="006673B6"/>
    <w:rsid w:val="00674C44"/>
    <w:rsid w:val="00682E06"/>
    <w:rsid w:val="006906E7"/>
    <w:rsid w:val="006952F4"/>
    <w:rsid w:val="006A0529"/>
    <w:rsid w:val="006B1DFB"/>
    <w:rsid w:val="006B320D"/>
    <w:rsid w:val="006B616F"/>
    <w:rsid w:val="006B7133"/>
    <w:rsid w:val="006D573E"/>
    <w:rsid w:val="006D6C82"/>
    <w:rsid w:val="006E169E"/>
    <w:rsid w:val="006E3024"/>
    <w:rsid w:val="006F095D"/>
    <w:rsid w:val="006F4ACE"/>
    <w:rsid w:val="006F615E"/>
    <w:rsid w:val="006F6735"/>
    <w:rsid w:val="007032FF"/>
    <w:rsid w:val="0072438A"/>
    <w:rsid w:val="00737E9E"/>
    <w:rsid w:val="00744C49"/>
    <w:rsid w:val="007650FD"/>
    <w:rsid w:val="0077161A"/>
    <w:rsid w:val="0077514C"/>
    <w:rsid w:val="007831DA"/>
    <w:rsid w:val="00784360"/>
    <w:rsid w:val="00786082"/>
    <w:rsid w:val="00791E4E"/>
    <w:rsid w:val="00797BB6"/>
    <w:rsid w:val="007B5694"/>
    <w:rsid w:val="007C5ADA"/>
    <w:rsid w:val="007D385B"/>
    <w:rsid w:val="007E66B9"/>
    <w:rsid w:val="007F0554"/>
    <w:rsid w:val="007F44BF"/>
    <w:rsid w:val="007F57E5"/>
    <w:rsid w:val="008023BA"/>
    <w:rsid w:val="00805994"/>
    <w:rsid w:val="00831BE7"/>
    <w:rsid w:val="00835248"/>
    <w:rsid w:val="0083601F"/>
    <w:rsid w:val="00843389"/>
    <w:rsid w:val="00844937"/>
    <w:rsid w:val="008477DE"/>
    <w:rsid w:val="00857C5B"/>
    <w:rsid w:val="00870319"/>
    <w:rsid w:val="00874FAD"/>
    <w:rsid w:val="00877FF6"/>
    <w:rsid w:val="00890756"/>
    <w:rsid w:val="00891D72"/>
    <w:rsid w:val="008A10C7"/>
    <w:rsid w:val="008D794B"/>
    <w:rsid w:val="009103B4"/>
    <w:rsid w:val="00921F4A"/>
    <w:rsid w:val="0093520F"/>
    <w:rsid w:val="00935C78"/>
    <w:rsid w:val="0094080C"/>
    <w:rsid w:val="009550AE"/>
    <w:rsid w:val="0096007C"/>
    <w:rsid w:val="00962BF1"/>
    <w:rsid w:val="009665F6"/>
    <w:rsid w:val="00975BC8"/>
    <w:rsid w:val="00993089"/>
    <w:rsid w:val="009945CD"/>
    <w:rsid w:val="009962A7"/>
    <w:rsid w:val="009A1DDA"/>
    <w:rsid w:val="009A5F8B"/>
    <w:rsid w:val="009B252C"/>
    <w:rsid w:val="009B5EDB"/>
    <w:rsid w:val="009C3165"/>
    <w:rsid w:val="009C32DC"/>
    <w:rsid w:val="009C39B5"/>
    <w:rsid w:val="009C5386"/>
    <w:rsid w:val="009F37C9"/>
    <w:rsid w:val="009F3C67"/>
    <w:rsid w:val="009F66A6"/>
    <w:rsid w:val="00A12ECA"/>
    <w:rsid w:val="00A33379"/>
    <w:rsid w:val="00A347F0"/>
    <w:rsid w:val="00A35680"/>
    <w:rsid w:val="00A423AC"/>
    <w:rsid w:val="00A65744"/>
    <w:rsid w:val="00A74718"/>
    <w:rsid w:val="00A84CB8"/>
    <w:rsid w:val="00AA5CC7"/>
    <w:rsid w:val="00AB23D6"/>
    <w:rsid w:val="00AC0FA8"/>
    <w:rsid w:val="00AC6D88"/>
    <w:rsid w:val="00AD0B58"/>
    <w:rsid w:val="00AD134C"/>
    <w:rsid w:val="00AD15E4"/>
    <w:rsid w:val="00AE79EF"/>
    <w:rsid w:val="00AF5F89"/>
    <w:rsid w:val="00B00F6C"/>
    <w:rsid w:val="00B04CCD"/>
    <w:rsid w:val="00B105FC"/>
    <w:rsid w:val="00B13677"/>
    <w:rsid w:val="00B15223"/>
    <w:rsid w:val="00B2152D"/>
    <w:rsid w:val="00B30515"/>
    <w:rsid w:val="00B321EE"/>
    <w:rsid w:val="00B33887"/>
    <w:rsid w:val="00B376A4"/>
    <w:rsid w:val="00B415F7"/>
    <w:rsid w:val="00B46D66"/>
    <w:rsid w:val="00B51652"/>
    <w:rsid w:val="00B54601"/>
    <w:rsid w:val="00B731CC"/>
    <w:rsid w:val="00B80868"/>
    <w:rsid w:val="00B83207"/>
    <w:rsid w:val="00B90D82"/>
    <w:rsid w:val="00BB35A6"/>
    <w:rsid w:val="00BB3EAD"/>
    <w:rsid w:val="00BB49C0"/>
    <w:rsid w:val="00BC1631"/>
    <w:rsid w:val="00BD76EA"/>
    <w:rsid w:val="00BE0941"/>
    <w:rsid w:val="00BF1C90"/>
    <w:rsid w:val="00BF3A26"/>
    <w:rsid w:val="00C1231C"/>
    <w:rsid w:val="00C20F59"/>
    <w:rsid w:val="00C43430"/>
    <w:rsid w:val="00C51095"/>
    <w:rsid w:val="00C541BC"/>
    <w:rsid w:val="00C63E56"/>
    <w:rsid w:val="00C7251F"/>
    <w:rsid w:val="00C80769"/>
    <w:rsid w:val="00C845E5"/>
    <w:rsid w:val="00CA1A9B"/>
    <w:rsid w:val="00CA1AC9"/>
    <w:rsid w:val="00CA3A18"/>
    <w:rsid w:val="00CA521C"/>
    <w:rsid w:val="00CA74AB"/>
    <w:rsid w:val="00CC177D"/>
    <w:rsid w:val="00CC1A56"/>
    <w:rsid w:val="00CF55C2"/>
    <w:rsid w:val="00D02F3F"/>
    <w:rsid w:val="00D0364B"/>
    <w:rsid w:val="00D04738"/>
    <w:rsid w:val="00D404FE"/>
    <w:rsid w:val="00D473ED"/>
    <w:rsid w:val="00D53B1F"/>
    <w:rsid w:val="00D54DAF"/>
    <w:rsid w:val="00D61CB4"/>
    <w:rsid w:val="00D810E1"/>
    <w:rsid w:val="00D81398"/>
    <w:rsid w:val="00D870A0"/>
    <w:rsid w:val="00D9358E"/>
    <w:rsid w:val="00DA64C3"/>
    <w:rsid w:val="00DA6B8F"/>
    <w:rsid w:val="00DB2F0F"/>
    <w:rsid w:val="00DD3888"/>
    <w:rsid w:val="00DE0F62"/>
    <w:rsid w:val="00DE2F86"/>
    <w:rsid w:val="00DE30BF"/>
    <w:rsid w:val="00E0704A"/>
    <w:rsid w:val="00E10B2A"/>
    <w:rsid w:val="00E13491"/>
    <w:rsid w:val="00E2764C"/>
    <w:rsid w:val="00E27D0A"/>
    <w:rsid w:val="00E4649C"/>
    <w:rsid w:val="00E74162"/>
    <w:rsid w:val="00EA0CB8"/>
    <w:rsid w:val="00EA2247"/>
    <w:rsid w:val="00EB3B4E"/>
    <w:rsid w:val="00ED1342"/>
    <w:rsid w:val="00ED4855"/>
    <w:rsid w:val="00ED56D4"/>
    <w:rsid w:val="00ED63AA"/>
    <w:rsid w:val="00EF3945"/>
    <w:rsid w:val="00F00CD5"/>
    <w:rsid w:val="00F068C5"/>
    <w:rsid w:val="00F07BB7"/>
    <w:rsid w:val="00F11F5B"/>
    <w:rsid w:val="00F15C0D"/>
    <w:rsid w:val="00F1692A"/>
    <w:rsid w:val="00F16D63"/>
    <w:rsid w:val="00F23F1D"/>
    <w:rsid w:val="00F3031F"/>
    <w:rsid w:val="00F349ED"/>
    <w:rsid w:val="00F60B18"/>
    <w:rsid w:val="00F6136F"/>
    <w:rsid w:val="00F87E58"/>
    <w:rsid w:val="00FC6CF7"/>
    <w:rsid w:val="00FD0916"/>
    <w:rsid w:val="00FD6422"/>
    <w:rsid w:val="00FE25D4"/>
    <w:rsid w:val="00FF74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4F1446E"/>
  <w15:docId w15:val="{D102EC2C-05D5-441D-A4CD-5E1E1557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8612</Words>
  <Characters>4909</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Grozījumi Ministru kabineta 2010.gada 21.jūnija noteikumos Nr.540 „Noteikumi par darbības programmas „Cilvēkresursi un nodarbinātība” papildinājuma 1.4.1.2.4.apakšaktivitātes „Sociālās rehabilitācijas un institūcijām alternatīvu sociālās aprūpes pakalpoju</vt:lpstr>
    </vt:vector>
  </TitlesOfParts>
  <Company>lm</Company>
  <LinksUpToDate>false</LinksUpToDate>
  <CharactersWithSpaces>13495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2010.gada 21.jūnija noteikumos Nr.540 „Noteikumi par darbības programmas „Cilvēkresursi un nodarbinātība” papildinājuma 1.4.1.2.4.apakšaktivitātes „Sociālās rehabilitācijas un institūcijām alternatīvu sociālās aprūpes pakalpojumu attīstība reģionos” otrās kārtas pirmo apakškārtu”</dc:title>
  <dc:subject>Anotācija</dc:subject>
  <dc:creator>Dace Zvaigzne</dc:creator>
  <cp:keywords/>
  <dc:description>Dace Zvaigzne, dace.zvaigzne@lm.gov.lv_x000d_
t.67021660</dc:description>
  <cp:lastModifiedBy>Dace Zvaigzne</cp:lastModifiedBy>
  <cp:revision>7</cp:revision>
  <cp:lastPrinted>2014-01-02T12:19:00Z</cp:lastPrinted>
  <dcterms:created xsi:type="dcterms:W3CDTF">2014-03-24T11:57:00Z</dcterms:created>
  <dcterms:modified xsi:type="dcterms:W3CDTF">2014-03-24T11:59:00Z</dcterms:modified>
</cp:coreProperties>
</file>