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4FA6B" w14:textId="235BC06F" w:rsidR="00D00530" w:rsidRPr="00FA6F1C" w:rsidRDefault="00843AFD" w:rsidP="00FA6F1C">
      <w:pPr>
        <w:tabs>
          <w:tab w:val="left" w:pos="6663"/>
        </w:tabs>
        <w:spacing w:after="0" w:line="240" w:lineRule="auto"/>
        <w:jc w:val="center"/>
        <w:rPr>
          <w:rFonts w:ascii="Times New Roman" w:hAnsi="Times New Roman" w:cs="Times New Roman"/>
          <w:b/>
          <w:sz w:val="28"/>
          <w:szCs w:val="28"/>
        </w:rPr>
      </w:pPr>
      <w:bookmarkStart w:id="0" w:name="_GoBack"/>
      <w:bookmarkEnd w:id="0"/>
      <w:r w:rsidRPr="00FA6F1C">
        <w:rPr>
          <w:rFonts w:ascii="Times New Roman" w:hAnsi="Times New Roman" w:cs="Times New Roman"/>
          <w:b/>
          <w:sz w:val="28"/>
          <w:szCs w:val="28"/>
        </w:rPr>
        <w:t>Likum</w:t>
      </w:r>
      <w:r w:rsidR="00B241FD" w:rsidRPr="00FA6F1C">
        <w:rPr>
          <w:rFonts w:ascii="Times New Roman" w:hAnsi="Times New Roman" w:cs="Times New Roman"/>
          <w:b/>
          <w:sz w:val="28"/>
          <w:szCs w:val="28"/>
        </w:rPr>
        <w:t xml:space="preserve">projekta </w:t>
      </w:r>
      <w:r w:rsidRPr="00FA6F1C">
        <w:rPr>
          <w:rFonts w:ascii="Times New Roman" w:hAnsi="Times New Roman" w:cs="Times New Roman"/>
          <w:b/>
          <w:sz w:val="28"/>
          <w:szCs w:val="28"/>
        </w:rPr>
        <w:t xml:space="preserve">„Eiropas </w:t>
      </w:r>
      <w:r w:rsidR="00D00530" w:rsidRPr="00FA6F1C">
        <w:rPr>
          <w:rFonts w:ascii="Times New Roman" w:hAnsi="Times New Roman" w:cs="Times New Roman"/>
          <w:b/>
          <w:sz w:val="28"/>
          <w:szCs w:val="28"/>
        </w:rPr>
        <w:t>Atbalsta fonda vistrūcīgākajām personām</w:t>
      </w:r>
      <w:r w:rsidRPr="00FA6F1C">
        <w:rPr>
          <w:rFonts w:ascii="Times New Roman" w:hAnsi="Times New Roman" w:cs="Times New Roman"/>
          <w:b/>
          <w:sz w:val="28"/>
          <w:szCs w:val="28"/>
        </w:rPr>
        <w:t xml:space="preserve"> 2014.-2020.gada plānošanas perioda vadības likums”</w:t>
      </w:r>
    </w:p>
    <w:p w14:paraId="7AE232AA" w14:textId="3FA7CC77" w:rsidR="00171D36" w:rsidRPr="00FA6F1C" w:rsidRDefault="00B241FD" w:rsidP="00FA6F1C">
      <w:pPr>
        <w:tabs>
          <w:tab w:val="left" w:pos="6663"/>
        </w:tabs>
        <w:spacing w:after="0" w:line="240" w:lineRule="auto"/>
        <w:jc w:val="center"/>
        <w:rPr>
          <w:rFonts w:ascii="Times New Roman" w:hAnsi="Times New Roman" w:cs="Times New Roman"/>
          <w:b/>
          <w:sz w:val="28"/>
          <w:szCs w:val="28"/>
        </w:rPr>
      </w:pPr>
      <w:r w:rsidRPr="00FA6F1C">
        <w:rPr>
          <w:rFonts w:ascii="Times New Roman" w:hAnsi="Times New Roman" w:cs="Times New Roman"/>
          <w:b/>
          <w:sz w:val="28"/>
          <w:szCs w:val="28"/>
        </w:rPr>
        <w:t>sākotnējās ietekmes novērtējuma ziņojums (anotācija)</w:t>
      </w:r>
    </w:p>
    <w:p w14:paraId="5EDF1D9D" w14:textId="77777777" w:rsidR="00184133" w:rsidRPr="00FA6F1C" w:rsidRDefault="00184133" w:rsidP="00FA6F1C">
      <w:pPr>
        <w:pStyle w:val="naisf"/>
        <w:spacing w:before="0" w:beforeAutospacing="0" w:after="0" w:afterAutospacing="0"/>
        <w:jc w:val="right"/>
        <w:rPr>
          <w:sz w:val="28"/>
          <w:szCs w:val="28"/>
        </w:rPr>
      </w:pPr>
    </w:p>
    <w:tbl>
      <w:tblPr>
        <w:tblpPr w:leftFromText="180" w:rightFromText="180" w:vertAnchor="text" w:horzAnchor="margin" w:tblpXSpec="center" w:tblpY="149"/>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2"/>
        <w:gridCol w:w="2865"/>
        <w:gridCol w:w="5669"/>
      </w:tblGrid>
      <w:tr w:rsidR="00DA6C86" w:rsidRPr="00FA6F1C" w14:paraId="5EDF1D9F" w14:textId="77777777" w:rsidTr="008034AF">
        <w:trPr>
          <w:trHeight w:val="419"/>
        </w:trPr>
        <w:tc>
          <w:tcPr>
            <w:tcW w:w="5000" w:type="pct"/>
            <w:gridSpan w:val="3"/>
            <w:vAlign w:val="center"/>
          </w:tcPr>
          <w:p w14:paraId="5EDF1D9E" w14:textId="77777777" w:rsidR="00DA6C86" w:rsidRPr="00FA6F1C" w:rsidRDefault="00DA6C86" w:rsidP="00FA6F1C">
            <w:pPr>
              <w:pStyle w:val="naisnod"/>
              <w:spacing w:before="0" w:beforeAutospacing="0" w:after="0" w:afterAutospacing="0"/>
              <w:ind w:right="57"/>
              <w:jc w:val="center"/>
              <w:rPr>
                <w:b/>
                <w:sz w:val="28"/>
                <w:szCs w:val="28"/>
              </w:rPr>
            </w:pPr>
            <w:r w:rsidRPr="00FA6F1C">
              <w:rPr>
                <w:b/>
                <w:sz w:val="28"/>
                <w:szCs w:val="28"/>
              </w:rPr>
              <w:t>I. Tiesību akta projekta izstrādes nepieciešamība</w:t>
            </w:r>
          </w:p>
        </w:tc>
      </w:tr>
      <w:tr w:rsidR="00DA6C86" w:rsidRPr="00FA6F1C" w14:paraId="5EDF1DA3" w14:textId="77777777" w:rsidTr="005126EC">
        <w:trPr>
          <w:trHeight w:val="415"/>
        </w:trPr>
        <w:tc>
          <w:tcPr>
            <w:tcW w:w="225" w:type="pct"/>
          </w:tcPr>
          <w:p w14:paraId="5EDF1DA0" w14:textId="77777777" w:rsidR="00DA6C86" w:rsidRPr="00FA6F1C" w:rsidRDefault="00DA6C86" w:rsidP="00FA6F1C">
            <w:pPr>
              <w:pStyle w:val="naiskr"/>
              <w:spacing w:before="0" w:beforeAutospacing="0" w:after="0" w:afterAutospacing="0"/>
              <w:ind w:right="57"/>
              <w:jc w:val="center"/>
              <w:rPr>
                <w:sz w:val="28"/>
                <w:szCs w:val="28"/>
              </w:rPr>
            </w:pPr>
            <w:r w:rsidRPr="00FA6F1C">
              <w:rPr>
                <w:sz w:val="28"/>
                <w:szCs w:val="28"/>
              </w:rPr>
              <w:t>1.</w:t>
            </w:r>
          </w:p>
        </w:tc>
        <w:tc>
          <w:tcPr>
            <w:tcW w:w="1603" w:type="pct"/>
          </w:tcPr>
          <w:p w14:paraId="5EDF1DA1" w14:textId="2DFEEE26" w:rsidR="00900304" w:rsidRPr="00FA6F1C" w:rsidRDefault="00DA6C86" w:rsidP="00FA6F1C">
            <w:pPr>
              <w:pStyle w:val="naiskr"/>
              <w:spacing w:before="0" w:beforeAutospacing="0" w:after="0" w:afterAutospacing="0"/>
              <w:ind w:left="57" w:right="57"/>
              <w:rPr>
                <w:sz w:val="28"/>
                <w:szCs w:val="28"/>
              </w:rPr>
            </w:pPr>
            <w:r w:rsidRPr="00FA6F1C">
              <w:rPr>
                <w:sz w:val="28"/>
                <w:szCs w:val="28"/>
              </w:rPr>
              <w:t>Pamatojums</w:t>
            </w:r>
          </w:p>
          <w:p w14:paraId="2802E2B3" w14:textId="77777777" w:rsidR="00DA6C86" w:rsidRPr="00FA6F1C" w:rsidRDefault="00DA6C86" w:rsidP="00FA6F1C">
            <w:pPr>
              <w:spacing w:line="240" w:lineRule="auto"/>
              <w:ind w:firstLine="720"/>
              <w:rPr>
                <w:rFonts w:ascii="Times New Roman" w:hAnsi="Times New Roman" w:cs="Times New Roman"/>
                <w:sz w:val="28"/>
                <w:szCs w:val="28"/>
              </w:rPr>
            </w:pPr>
          </w:p>
        </w:tc>
        <w:tc>
          <w:tcPr>
            <w:tcW w:w="3173" w:type="pct"/>
          </w:tcPr>
          <w:p w14:paraId="11A0CE16" w14:textId="1F03B945" w:rsidR="00DE3EE8" w:rsidRPr="00FA6F1C" w:rsidRDefault="00843AFD" w:rsidP="00FA6F1C">
            <w:pPr>
              <w:spacing w:after="0" w:line="240" w:lineRule="auto"/>
              <w:ind w:left="57" w:right="57"/>
              <w:jc w:val="both"/>
              <w:rPr>
                <w:rFonts w:ascii="Times New Roman" w:hAnsi="Times New Roman" w:cs="Times New Roman"/>
                <w:sz w:val="28"/>
                <w:szCs w:val="28"/>
              </w:rPr>
            </w:pPr>
            <w:r w:rsidRPr="00FA6F1C">
              <w:rPr>
                <w:rFonts w:ascii="Times New Roman" w:hAnsi="Times New Roman" w:cs="Times New Roman"/>
                <w:sz w:val="28"/>
                <w:szCs w:val="28"/>
              </w:rPr>
              <w:t xml:space="preserve">Likumprojekts „Eiropas </w:t>
            </w:r>
            <w:r w:rsidR="00D00530" w:rsidRPr="00FA6F1C">
              <w:rPr>
                <w:rFonts w:ascii="Times New Roman" w:hAnsi="Times New Roman" w:cs="Times New Roman"/>
                <w:sz w:val="28"/>
                <w:szCs w:val="28"/>
              </w:rPr>
              <w:t>Atbalsta fonda vistrūcīgākajām personām</w:t>
            </w:r>
            <w:r w:rsidRPr="00FA6F1C">
              <w:rPr>
                <w:rFonts w:ascii="Times New Roman" w:hAnsi="Times New Roman" w:cs="Times New Roman"/>
                <w:sz w:val="28"/>
                <w:szCs w:val="28"/>
              </w:rPr>
              <w:t xml:space="preserve"> 2014.-2020.gada plānošanas perioda vadības likums” </w:t>
            </w:r>
            <w:r w:rsidR="00DE3EE8" w:rsidRPr="00FA6F1C">
              <w:rPr>
                <w:rFonts w:ascii="Times New Roman" w:hAnsi="Times New Roman" w:cs="Times New Roman"/>
                <w:sz w:val="28"/>
                <w:szCs w:val="28"/>
              </w:rPr>
              <w:t>(turpmāk – likumprojekts) izstrādāts saskaņā ar:</w:t>
            </w:r>
          </w:p>
          <w:p w14:paraId="2A6DFC34" w14:textId="043F52C9" w:rsidR="00DA6C86" w:rsidRPr="00FA6F1C" w:rsidRDefault="00386C37" w:rsidP="00FA6F1C">
            <w:pPr>
              <w:spacing w:after="0" w:line="240" w:lineRule="auto"/>
              <w:ind w:left="57" w:right="57"/>
              <w:jc w:val="both"/>
              <w:rPr>
                <w:rFonts w:ascii="Times New Roman" w:hAnsi="Times New Roman" w:cs="Times New Roman"/>
                <w:sz w:val="28"/>
                <w:szCs w:val="28"/>
              </w:rPr>
            </w:pPr>
            <w:r w:rsidRPr="00FA6F1C">
              <w:rPr>
                <w:rFonts w:ascii="Times New Roman" w:hAnsi="Times New Roman" w:cs="Times New Roman"/>
                <w:sz w:val="28"/>
                <w:szCs w:val="28"/>
              </w:rPr>
              <w:t>1.</w:t>
            </w:r>
            <w:r w:rsidR="002222DE" w:rsidRPr="00FA6F1C">
              <w:rPr>
                <w:rFonts w:ascii="Times New Roman" w:hAnsi="Times New Roman" w:cs="Times New Roman"/>
                <w:sz w:val="28"/>
                <w:szCs w:val="28"/>
              </w:rPr>
              <w:t xml:space="preserve"> </w:t>
            </w:r>
            <w:r w:rsidR="00843AFD" w:rsidRPr="00FA6F1C">
              <w:rPr>
                <w:rFonts w:ascii="Times New Roman" w:hAnsi="Times New Roman" w:cs="Times New Roman"/>
                <w:sz w:val="28"/>
                <w:szCs w:val="28"/>
              </w:rPr>
              <w:t xml:space="preserve">Eiropas Parlamenta un </w:t>
            </w:r>
            <w:r w:rsidR="00DE3EE8" w:rsidRPr="00FA6F1C">
              <w:rPr>
                <w:rFonts w:ascii="Times New Roman" w:hAnsi="Times New Roman" w:cs="Times New Roman"/>
                <w:sz w:val="28"/>
                <w:szCs w:val="28"/>
              </w:rPr>
              <w:t>P</w:t>
            </w:r>
            <w:r w:rsidR="00843AFD" w:rsidRPr="00FA6F1C">
              <w:rPr>
                <w:rFonts w:ascii="Times New Roman" w:hAnsi="Times New Roman" w:cs="Times New Roman"/>
                <w:sz w:val="28"/>
                <w:szCs w:val="28"/>
              </w:rPr>
              <w:t xml:space="preserve">adomes </w:t>
            </w:r>
            <w:r w:rsidR="00F0244D" w:rsidRPr="00FA6F1C">
              <w:rPr>
                <w:rFonts w:ascii="Times New Roman" w:hAnsi="Times New Roman" w:cs="Times New Roman"/>
                <w:sz w:val="28"/>
                <w:szCs w:val="28"/>
              </w:rPr>
              <w:t>201</w:t>
            </w:r>
            <w:r w:rsidR="00D00530" w:rsidRPr="00FA6F1C">
              <w:rPr>
                <w:rFonts w:ascii="Times New Roman" w:hAnsi="Times New Roman" w:cs="Times New Roman"/>
                <w:sz w:val="28"/>
                <w:szCs w:val="28"/>
              </w:rPr>
              <w:t>4</w:t>
            </w:r>
            <w:r w:rsidR="00F0244D" w:rsidRPr="00FA6F1C">
              <w:rPr>
                <w:rFonts w:ascii="Times New Roman" w:hAnsi="Times New Roman" w:cs="Times New Roman"/>
                <w:sz w:val="28"/>
                <w:szCs w:val="28"/>
              </w:rPr>
              <w:t>.gada 1</w:t>
            </w:r>
            <w:r w:rsidR="00D00530" w:rsidRPr="00FA6F1C">
              <w:rPr>
                <w:rFonts w:ascii="Times New Roman" w:hAnsi="Times New Roman" w:cs="Times New Roman"/>
                <w:sz w:val="28"/>
                <w:szCs w:val="28"/>
              </w:rPr>
              <w:t>1</w:t>
            </w:r>
            <w:r w:rsidR="00F0244D" w:rsidRPr="00FA6F1C">
              <w:rPr>
                <w:rFonts w:ascii="Times New Roman" w:hAnsi="Times New Roman" w:cs="Times New Roman"/>
                <w:sz w:val="28"/>
                <w:szCs w:val="28"/>
              </w:rPr>
              <w:t>.</w:t>
            </w:r>
            <w:r w:rsidR="00D00530" w:rsidRPr="00FA6F1C">
              <w:rPr>
                <w:rFonts w:ascii="Times New Roman" w:hAnsi="Times New Roman" w:cs="Times New Roman"/>
                <w:sz w:val="28"/>
                <w:szCs w:val="28"/>
              </w:rPr>
              <w:t>marta</w:t>
            </w:r>
            <w:r w:rsidR="00843AFD" w:rsidRPr="00FA6F1C">
              <w:rPr>
                <w:rFonts w:ascii="Times New Roman" w:hAnsi="Times New Roman" w:cs="Times New Roman"/>
                <w:sz w:val="28"/>
                <w:szCs w:val="28"/>
              </w:rPr>
              <w:t xml:space="preserve"> regul</w:t>
            </w:r>
            <w:r w:rsidR="00DE3EE8" w:rsidRPr="00FA6F1C">
              <w:rPr>
                <w:rFonts w:ascii="Times New Roman" w:hAnsi="Times New Roman" w:cs="Times New Roman"/>
                <w:sz w:val="28"/>
                <w:szCs w:val="28"/>
              </w:rPr>
              <w:t>u</w:t>
            </w:r>
            <w:r w:rsidR="00F0244D" w:rsidRPr="00FA6F1C">
              <w:rPr>
                <w:rFonts w:ascii="Times New Roman" w:hAnsi="Times New Roman" w:cs="Times New Roman"/>
                <w:sz w:val="28"/>
                <w:szCs w:val="28"/>
              </w:rPr>
              <w:t xml:space="preserve"> (ES)</w:t>
            </w:r>
            <w:r w:rsidR="00843AFD" w:rsidRPr="00FA6F1C">
              <w:rPr>
                <w:rFonts w:ascii="Times New Roman" w:hAnsi="Times New Roman" w:cs="Times New Roman"/>
                <w:sz w:val="28"/>
                <w:szCs w:val="28"/>
              </w:rPr>
              <w:t xml:space="preserve"> Nr</w:t>
            </w:r>
            <w:r w:rsidR="00F0244D" w:rsidRPr="00FA6F1C">
              <w:rPr>
                <w:rFonts w:ascii="Times New Roman" w:hAnsi="Times New Roman" w:cs="Times New Roman"/>
                <w:sz w:val="28"/>
                <w:szCs w:val="28"/>
              </w:rPr>
              <w:t>.</w:t>
            </w:r>
            <w:r w:rsidR="00973CCC" w:rsidRPr="00FA6F1C">
              <w:rPr>
                <w:rFonts w:ascii="Times New Roman" w:hAnsi="Times New Roman" w:cs="Times New Roman"/>
                <w:sz w:val="28"/>
                <w:szCs w:val="28"/>
              </w:rPr>
              <w:t>223/2014 par Eiropas Atbalsta fondu vistrūcīgākajām personām</w:t>
            </w:r>
            <w:r w:rsidR="00C76627" w:rsidRPr="00FA6F1C">
              <w:rPr>
                <w:rFonts w:ascii="Times New Roman" w:hAnsi="Times New Roman" w:cs="Times New Roman"/>
                <w:sz w:val="28"/>
                <w:szCs w:val="28"/>
              </w:rPr>
              <w:t xml:space="preserve"> (turpmāk–</w:t>
            </w:r>
            <w:r w:rsidR="009956A8" w:rsidRPr="00FA6F1C">
              <w:rPr>
                <w:rFonts w:ascii="Times New Roman" w:hAnsi="Times New Roman" w:cs="Times New Roman"/>
                <w:sz w:val="28"/>
                <w:szCs w:val="28"/>
              </w:rPr>
              <w:t xml:space="preserve"> </w:t>
            </w:r>
            <w:r w:rsidR="00E80A81" w:rsidRPr="00FA6F1C">
              <w:rPr>
                <w:rFonts w:ascii="Times New Roman" w:hAnsi="Times New Roman" w:cs="Times New Roman"/>
                <w:sz w:val="28"/>
                <w:szCs w:val="28"/>
              </w:rPr>
              <w:t>R</w:t>
            </w:r>
            <w:r w:rsidR="00C76627" w:rsidRPr="00FA6F1C">
              <w:rPr>
                <w:rFonts w:ascii="Times New Roman" w:hAnsi="Times New Roman" w:cs="Times New Roman"/>
                <w:sz w:val="28"/>
                <w:szCs w:val="28"/>
              </w:rPr>
              <w:t>egula Nr</w:t>
            </w:r>
            <w:r w:rsidR="00F0244D" w:rsidRPr="00FA6F1C">
              <w:rPr>
                <w:rFonts w:ascii="Times New Roman" w:hAnsi="Times New Roman" w:cs="Times New Roman"/>
                <w:sz w:val="28"/>
                <w:szCs w:val="28"/>
              </w:rPr>
              <w:t>.</w:t>
            </w:r>
            <w:r w:rsidR="00973CCC" w:rsidRPr="00FA6F1C">
              <w:rPr>
                <w:rFonts w:ascii="Times New Roman" w:hAnsi="Times New Roman" w:cs="Times New Roman"/>
                <w:sz w:val="28"/>
                <w:szCs w:val="28"/>
              </w:rPr>
              <w:t>223/2014</w:t>
            </w:r>
            <w:r w:rsidR="00F0244D" w:rsidRPr="00FA6F1C">
              <w:rPr>
                <w:rFonts w:ascii="Times New Roman" w:hAnsi="Times New Roman" w:cs="Times New Roman"/>
                <w:sz w:val="28"/>
                <w:szCs w:val="28"/>
              </w:rPr>
              <w:t>)</w:t>
            </w:r>
            <w:r w:rsidR="00DE3EE8" w:rsidRPr="00FA6F1C">
              <w:rPr>
                <w:rFonts w:ascii="Times New Roman" w:hAnsi="Times New Roman" w:cs="Times New Roman"/>
                <w:sz w:val="28"/>
                <w:szCs w:val="28"/>
              </w:rPr>
              <w:t>;</w:t>
            </w:r>
          </w:p>
          <w:p w14:paraId="5EDF1DA2" w14:textId="08A5DBF5" w:rsidR="001A3439" w:rsidRPr="00FA6F1C" w:rsidRDefault="00386C37" w:rsidP="00FA6F1C">
            <w:pPr>
              <w:spacing w:after="0" w:line="240" w:lineRule="auto"/>
              <w:ind w:left="57" w:right="57"/>
              <w:jc w:val="both"/>
              <w:rPr>
                <w:rFonts w:ascii="Times New Roman" w:hAnsi="Times New Roman" w:cs="Times New Roman"/>
                <w:sz w:val="28"/>
                <w:szCs w:val="28"/>
              </w:rPr>
            </w:pPr>
            <w:r w:rsidRPr="00FA6F1C">
              <w:rPr>
                <w:rFonts w:ascii="Times New Roman" w:hAnsi="Times New Roman" w:cs="Times New Roman"/>
                <w:sz w:val="28"/>
                <w:szCs w:val="28"/>
              </w:rPr>
              <w:t>2.</w:t>
            </w:r>
            <w:r w:rsidR="002222DE" w:rsidRPr="00FA6F1C">
              <w:rPr>
                <w:rFonts w:ascii="Times New Roman" w:hAnsi="Times New Roman" w:cs="Times New Roman"/>
                <w:sz w:val="28"/>
                <w:szCs w:val="28"/>
              </w:rPr>
              <w:t xml:space="preserve"> </w:t>
            </w:r>
            <w:r w:rsidR="00973CCC" w:rsidRPr="00FA6F1C">
              <w:rPr>
                <w:rFonts w:ascii="Times New Roman" w:hAnsi="Times New Roman" w:cs="Times New Roman"/>
                <w:sz w:val="28"/>
                <w:szCs w:val="28"/>
              </w:rPr>
              <w:t>Labklājības ministrijas izstrādāt</w:t>
            </w:r>
            <w:r w:rsidR="002222DE" w:rsidRPr="00FA6F1C">
              <w:rPr>
                <w:rFonts w:ascii="Times New Roman" w:hAnsi="Times New Roman" w:cs="Times New Roman"/>
                <w:sz w:val="28"/>
                <w:szCs w:val="28"/>
              </w:rPr>
              <w:t>o</w:t>
            </w:r>
            <w:r w:rsidR="00973CCC" w:rsidRPr="00FA6F1C">
              <w:rPr>
                <w:rFonts w:ascii="Times New Roman" w:hAnsi="Times New Roman" w:cs="Times New Roman"/>
                <w:sz w:val="28"/>
                <w:szCs w:val="28"/>
              </w:rPr>
              <w:t xml:space="preserve"> Informatīv</w:t>
            </w:r>
            <w:r w:rsidR="002222DE" w:rsidRPr="00FA6F1C">
              <w:rPr>
                <w:rFonts w:ascii="Times New Roman" w:hAnsi="Times New Roman" w:cs="Times New Roman"/>
                <w:sz w:val="28"/>
                <w:szCs w:val="28"/>
              </w:rPr>
              <w:t>o</w:t>
            </w:r>
            <w:r w:rsidR="00973CCC" w:rsidRPr="00FA6F1C">
              <w:rPr>
                <w:rFonts w:ascii="Times New Roman" w:hAnsi="Times New Roman" w:cs="Times New Roman"/>
                <w:sz w:val="28"/>
                <w:szCs w:val="28"/>
              </w:rPr>
              <w:t xml:space="preserve"> ziņojum</w:t>
            </w:r>
            <w:r w:rsidR="002222DE" w:rsidRPr="00FA6F1C">
              <w:rPr>
                <w:rFonts w:ascii="Times New Roman" w:hAnsi="Times New Roman" w:cs="Times New Roman"/>
                <w:sz w:val="28"/>
                <w:szCs w:val="28"/>
              </w:rPr>
              <w:t>u</w:t>
            </w:r>
            <w:r w:rsidR="00973CCC" w:rsidRPr="00FA6F1C">
              <w:rPr>
                <w:rFonts w:ascii="Times New Roman" w:hAnsi="Times New Roman" w:cs="Times New Roman"/>
                <w:sz w:val="28"/>
                <w:szCs w:val="28"/>
              </w:rPr>
              <w:t xml:space="preserve"> ”Par Eiropas Atbalsta fondu vistrūcīgākajām personām</w:t>
            </w:r>
            <w:r w:rsidR="0018190E" w:rsidRPr="00FA6F1C">
              <w:rPr>
                <w:rFonts w:ascii="Times New Roman" w:hAnsi="Times New Roman" w:cs="Times New Roman"/>
                <w:sz w:val="28"/>
                <w:szCs w:val="28"/>
              </w:rPr>
              <w:t xml:space="preserve"> </w:t>
            </w:r>
            <w:r w:rsidR="00973CCC" w:rsidRPr="00FA6F1C">
              <w:rPr>
                <w:rFonts w:ascii="Times New Roman" w:hAnsi="Times New Roman" w:cs="Times New Roman"/>
                <w:sz w:val="28"/>
                <w:szCs w:val="28"/>
              </w:rPr>
              <w:t>pārvaldības un kontroles sistēmu un ieviešanu Latvijā 2014.-2020</w:t>
            </w:r>
            <w:r w:rsidR="0018190E" w:rsidRPr="00FA6F1C">
              <w:rPr>
                <w:rFonts w:ascii="Times New Roman" w:hAnsi="Times New Roman" w:cs="Times New Roman"/>
                <w:sz w:val="28"/>
                <w:szCs w:val="28"/>
              </w:rPr>
              <w:t>.</w:t>
            </w:r>
            <w:r w:rsidR="00973CCC" w:rsidRPr="00FA6F1C">
              <w:rPr>
                <w:rFonts w:ascii="Times New Roman" w:hAnsi="Times New Roman" w:cs="Times New Roman"/>
                <w:sz w:val="28"/>
                <w:szCs w:val="28"/>
              </w:rPr>
              <w:t>gada plānošanas periodā”</w:t>
            </w:r>
            <w:r w:rsidR="00FA6F1C" w:rsidRPr="00FA6F1C">
              <w:rPr>
                <w:rFonts w:ascii="Times New Roman" w:hAnsi="Times New Roman" w:cs="Times New Roman"/>
                <w:sz w:val="28"/>
                <w:szCs w:val="28"/>
              </w:rPr>
              <w:t xml:space="preserve"> </w:t>
            </w:r>
            <w:proofErr w:type="gramStart"/>
            <w:r w:rsidR="00973CCC" w:rsidRPr="00FA6F1C">
              <w:rPr>
                <w:rFonts w:ascii="Times New Roman" w:hAnsi="Times New Roman" w:cs="Times New Roman"/>
                <w:sz w:val="28"/>
                <w:szCs w:val="28"/>
              </w:rPr>
              <w:t>(</w:t>
            </w:r>
            <w:proofErr w:type="gramEnd"/>
            <w:r w:rsidR="00973CCC" w:rsidRPr="00FA6F1C">
              <w:rPr>
                <w:rFonts w:ascii="Times New Roman" w:hAnsi="Times New Roman" w:cs="Times New Roman"/>
                <w:sz w:val="28"/>
                <w:szCs w:val="28"/>
              </w:rPr>
              <w:t>izskatīts Ministru kabineta 2014.gada</w:t>
            </w:r>
            <w:r w:rsidR="00F56776" w:rsidRPr="00FA6F1C">
              <w:rPr>
                <w:rFonts w:ascii="Times New Roman" w:hAnsi="Times New Roman" w:cs="Times New Roman"/>
                <w:sz w:val="28"/>
                <w:szCs w:val="28"/>
              </w:rPr>
              <w:t xml:space="preserve"> </w:t>
            </w:r>
            <w:r w:rsidR="00973CCC" w:rsidRPr="00FA6F1C">
              <w:rPr>
                <w:rFonts w:ascii="Times New Roman" w:hAnsi="Times New Roman" w:cs="Times New Roman"/>
                <w:sz w:val="28"/>
                <w:szCs w:val="28"/>
              </w:rPr>
              <w:t>3.jūnija sēdē</w:t>
            </w:r>
            <w:r w:rsidR="00F56776" w:rsidRPr="00FA6F1C">
              <w:rPr>
                <w:rFonts w:ascii="Times New Roman" w:hAnsi="Times New Roman" w:cs="Times New Roman"/>
                <w:sz w:val="28"/>
                <w:szCs w:val="28"/>
              </w:rPr>
              <w:t xml:space="preserve"> </w:t>
            </w:r>
            <w:r w:rsidR="00F7764D" w:rsidRPr="00FA6F1C">
              <w:rPr>
                <w:rFonts w:ascii="Times New Roman" w:hAnsi="Times New Roman" w:cs="Times New Roman"/>
                <w:sz w:val="28"/>
                <w:szCs w:val="28"/>
              </w:rPr>
              <w:t>(prot. Nr.</w:t>
            </w:r>
            <w:r w:rsidR="00F56776" w:rsidRPr="00FA6F1C">
              <w:rPr>
                <w:rFonts w:ascii="Times New Roman" w:hAnsi="Times New Roman" w:cs="Times New Roman"/>
                <w:sz w:val="28"/>
                <w:szCs w:val="28"/>
              </w:rPr>
              <w:t>31</w:t>
            </w:r>
            <w:r w:rsidR="00F7764D" w:rsidRPr="00FA6F1C">
              <w:rPr>
                <w:rFonts w:ascii="Times New Roman" w:hAnsi="Times New Roman" w:cs="Times New Roman"/>
                <w:sz w:val="28"/>
                <w:szCs w:val="28"/>
              </w:rPr>
              <w:t xml:space="preserve"> </w:t>
            </w:r>
            <w:r w:rsidR="00F56776" w:rsidRPr="00FA6F1C">
              <w:rPr>
                <w:rFonts w:ascii="Times New Roman" w:hAnsi="Times New Roman" w:cs="Times New Roman"/>
                <w:sz w:val="28"/>
                <w:szCs w:val="28"/>
              </w:rPr>
              <w:t>47</w:t>
            </w:r>
            <w:r w:rsidR="00F7764D" w:rsidRPr="00FA6F1C">
              <w:rPr>
                <w:rFonts w:ascii="Times New Roman" w:hAnsi="Times New Roman" w:cs="Times New Roman"/>
                <w:sz w:val="28"/>
                <w:szCs w:val="28"/>
              </w:rPr>
              <w:t>.§</w:t>
            </w:r>
            <w:r w:rsidR="00F56776" w:rsidRPr="00FA6F1C">
              <w:rPr>
                <w:rFonts w:ascii="Times New Roman" w:hAnsi="Times New Roman" w:cs="Times New Roman"/>
                <w:sz w:val="28"/>
                <w:szCs w:val="28"/>
              </w:rPr>
              <w:t xml:space="preserve"> 4.punkts</w:t>
            </w:r>
            <w:r w:rsidR="00F7764D" w:rsidRPr="00FA6F1C">
              <w:rPr>
                <w:rFonts w:ascii="Times New Roman" w:hAnsi="Times New Roman" w:cs="Times New Roman"/>
                <w:sz w:val="28"/>
                <w:szCs w:val="28"/>
              </w:rPr>
              <w:t>)</w:t>
            </w:r>
            <w:r w:rsidR="003D38D2" w:rsidRPr="00FA6F1C">
              <w:rPr>
                <w:rFonts w:ascii="Times New Roman" w:hAnsi="Times New Roman" w:cs="Times New Roman"/>
                <w:sz w:val="28"/>
                <w:szCs w:val="28"/>
              </w:rPr>
              <w:t>.</w:t>
            </w:r>
          </w:p>
        </w:tc>
      </w:tr>
      <w:tr w:rsidR="00DA6C86" w:rsidRPr="00FA6F1C" w14:paraId="5EDF1DA7" w14:textId="77777777" w:rsidTr="005126EC">
        <w:trPr>
          <w:trHeight w:val="2678"/>
        </w:trPr>
        <w:tc>
          <w:tcPr>
            <w:tcW w:w="225" w:type="pct"/>
          </w:tcPr>
          <w:p w14:paraId="5EDF1DA4" w14:textId="7FFA3DCC" w:rsidR="00DA6C86" w:rsidRPr="00FA6F1C" w:rsidRDefault="00DA6C86" w:rsidP="00FA6F1C">
            <w:pPr>
              <w:pStyle w:val="naiskr"/>
              <w:spacing w:before="0" w:beforeAutospacing="0" w:after="0" w:afterAutospacing="0"/>
              <w:ind w:right="57"/>
              <w:jc w:val="center"/>
              <w:rPr>
                <w:sz w:val="28"/>
                <w:szCs w:val="28"/>
              </w:rPr>
            </w:pPr>
            <w:r w:rsidRPr="00FA6F1C">
              <w:rPr>
                <w:sz w:val="28"/>
                <w:szCs w:val="28"/>
              </w:rPr>
              <w:t>2.</w:t>
            </w:r>
          </w:p>
        </w:tc>
        <w:tc>
          <w:tcPr>
            <w:tcW w:w="1603" w:type="pct"/>
          </w:tcPr>
          <w:p w14:paraId="5EDF1DA5" w14:textId="573737DA" w:rsidR="00DA6C86" w:rsidRPr="00FA6F1C" w:rsidRDefault="00502937" w:rsidP="00FA6F1C">
            <w:pPr>
              <w:pStyle w:val="naiskr"/>
              <w:tabs>
                <w:tab w:val="left" w:pos="170"/>
              </w:tabs>
              <w:spacing w:before="0" w:beforeAutospacing="0" w:after="0" w:afterAutospacing="0"/>
              <w:ind w:left="57" w:right="57"/>
              <w:rPr>
                <w:sz w:val="28"/>
                <w:szCs w:val="28"/>
              </w:rPr>
            </w:pPr>
            <w:r w:rsidRPr="00FA6F1C">
              <w:rPr>
                <w:sz w:val="28"/>
                <w:szCs w:val="28"/>
              </w:rPr>
              <w:t>Pašreizējā situācija un problēmas, kuru risināšanai tiesību akta projekts izstrādāts, tiesiskā regulējuma mērķis un būtība</w:t>
            </w:r>
          </w:p>
        </w:tc>
        <w:tc>
          <w:tcPr>
            <w:tcW w:w="3173" w:type="pct"/>
          </w:tcPr>
          <w:p w14:paraId="7978784D" w14:textId="77777777" w:rsidR="002222DE" w:rsidRPr="00FA6F1C" w:rsidRDefault="002222DE" w:rsidP="00FA6F1C">
            <w:pPr>
              <w:spacing w:line="240" w:lineRule="auto"/>
              <w:jc w:val="both"/>
              <w:rPr>
                <w:rFonts w:ascii="Times New Roman" w:hAnsi="Times New Roman" w:cs="Times New Roman"/>
                <w:sz w:val="28"/>
                <w:szCs w:val="28"/>
              </w:rPr>
            </w:pPr>
            <w:r w:rsidRPr="00FA6F1C">
              <w:rPr>
                <w:rFonts w:ascii="Times New Roman" w:hAnsi="Times New Roman" w:cs="Times New Roman"/>
                <w:sz w:val="28"/>
                <w:szCs w:val="28"/>
              </w:rPr>
              <w:t xml:space="preserve">1.Latvijā un pārējās Eiropas Savienības (turpmāk – ES) dalībvalstīs 2014.-2020.gada plānošanas periodā atbilstoši Regulai Nr.223/2014 (skat. anotācijas I sadaļas 1.punktu 1. apakšpunktu) paredzēts izveidot Eiropas Atbalsta fondu vistrūcīgākajām personām (turpmāk-Fonds). Fondam ir noteikts konkrēts mērķis- mazināt nabadzības smagākās formas, sniedzot nefinansiālu palīdzību vistrūcīgākajām personām- pārtiku un pamata materiālo palīdzību, kā arī nodrošinot sociālās iekļaušanas pasākumus. </w:t>
            </w:r>
          </w:p>
          <w:p w14:paraId="1B2AC225" w14:textId="77777777" w:rsidR="002222DE" w:rsidRPr="00FA6F1C" w:rsidRDefault="002222DE" w:rsidP="00FA6F1C">
            <w:pPr>
              <w:spacing w:line="240" w:lineRule="auto"/>
              <w:jc w:val="both"/>
              <w:rPr>
                <w:rFonts w:ascii="Times New Roman" w:hAnsi="Times New Roman" w:cs="Times New Roman"/>
                <w:sz w:val="28"/>
                <w:szCs w:val="28"/>
              </w:rPr>
            </w:pPr>
            <w:r w:rsidRPr="00FA6F1C">
              <w:rPr>
                <w:rFonts w:ascii="Times New Roman" w:hAnsi="Times New Roman" w:cs="Times New Roman"/>
                <w:sz w:val="28"/>
                <w:szCs w:val="28"/>
              </w:rPr>
              <w:t>2.Pašreiz Latvijā nav tiesiskā regulējuma Fonda vadības un īstenošanas nodrošināšanai, kurā būtu noteikti Fonda vadībā iesaistīto institūciju un finansējuma saņēmēja pienākumi un tiesības, Fonda ieviešanā iesaistīto partnerorganizāciju atlases nosacījumi. Vienlaikus nepastāv kārtība, kādā risināmi strīdi par Fonda īstenošanu un nav tiesiskā regulējuma, kā nodrošināma informācijas atklātība partnerorganizāciju atlases procesā.</w:t>
            </w:r>
          </w:p>
          <w:p w14:paraId="4E767162" w14:textId="77777777" w:rsidR="002222DE" w:rsidRPr="00FA6F1C" w:rsidRDefault="002222DE" w:rsidP="00FA6F1C">
            <w:pPr>
              <w:spacing w:line="240" w:lineRule="auto"/>
              <w:jc w:val="both"/>
              <w:rPr>
                <w:rFonts w:ascii="Times New Roman" w:hAnsi="Times New Roman" w:cs="Times New Roman"/>
                <w:sz w:val="28"/>
                <w:szCs w:val="28"/>
              </w:rPr>
            </w:pPr>
            <w:r w:rsidRPr="00FA6F1C">
              <w:rPr>
                <w:rFonts w:ascii="Times New Roman" w:hAnsi="Times New Roman" w:cs="Times New Roman"/>
                <w:sz w:val="28"/>
                <w:szCs w:val="28"/>
              </w:rPr>
              <w:t xml:space="preserve">3.Kaut arī atsevišķas Fonda atbalstāmās darbības sakrīt ar 1987. gadā izveidoto (Latvija pievienojās </w:t>
            </w:r>
            <w:r w:rsidRPr="00FA6F1C">
              <w:rPr>
                <w:rFonts w:ascii="Times New Roman" w:hAnsi="Times New Roman" w:cs="Times New Roman"/>
                <w:sz w:val="28"/>
                <w:szCs w:val="28"/>
              </w:rPr>
              <w:lastRenderedPageBreak/>
              <w:t>2006.gadā) un jau noslēgušos ES pārtikas izdalīšanas programmu vistrūcīgākajām personām, kas tika īstenota ar mērķi lietderīgi izmantot intervences uzkrājumus, izdalot pārtikas produktus vistrūcīgākajām personām, jāatzīmē, ka 2014.-2020.gada plānošanas perioda Fonda darbības programma ir atšķirīga. Paredzētais Fonda vadības un kontroles sistēmas mehānisms tiek veidots balstoties uz jau aprobēto ES fondu vadības un kontroles sistēmu, to vienkāršojot, kā arī piemērojot samērīgu kontroli.</w:t>
            </w:r>
          </w:p>
          <w:p w14:paraId="22C4B979" w14:textId="6B7DE3E6" w:rsidR="002222DE" w:rsidRPr="00FA6F1C" w:rsidRDefault="002222DE" w:rsidP="00FA6F1C">
            <w:pPr>
              <w:spacing w:line="240" w:lineRule="auto"/>
              <w:jc w:val="both"/>
              <w:rPr>
                <w:rFonts w:ascii="Times New Roman" w:hAnsi="Times New Roman" w:cs="Times New Roman"/>
                <w:sz w:val="28"/>
                <w:szCs w:val="28"/>
              </w:rPr>
            </w:pPr>
            <w:r w:rsidRPr="00FA6F1C">
              <w:rPr>
                <w:rFonts w:ascii="Times New Roman" w:hAnsi="Times New Roman" w:cs="Times New Roman"/>
                <w:sz w:val="28"/>
                <w:szCs w:val="28"/>
              </w:rPr>
              <w:t xml:space="preserve">4.Fondam kā ES Kohēzijas politikas instrumentam Regulā Nr.223/2014 izvirzītās prasības attiecībā uz finanšu pārvaldību, pārskatu pārbaudi un akceptēšanu, finanšu korekcijām, revīzijas liecībām grāmatvedības uzskaitē, informācijas sistēmas izstrādi un uzturēšanu būtiski neatšķiras no ES fondu vadības un kontroles sistēmas prasībām. Līdz ar to analogām prasībām likumprojektā tiek piedāvāts tiesiskais regulējums, kas </w:t>
            </w:r>
            <w:r w:rsidR="001543FF">
              <w:rPr>
                <w:rFonts w:ascii="Times New Roman" w:hAnsi="Times New Roman" w:cs="Times New Roman"/>
                <w:sz w:val="28"/>
                <w:szCs w:val="28"/>
              </w:rPr>
              <w:t xml:space="preserve">pamatā </w:t>
            </w:r>
            <w:r w:rsidRPr="00FA6F1C">
              <w:rPr>
                <w:rFonts w:ascii="Times New Roman" w:hAnsi="Times New Roman" w:cs="Times New Roman"/>
                <w:sz w:val="28"/>
                <w:szCs w:val="28"/>
              </w:rPr>
              <w:t>neatšķiras no Eiropas Savienības struktūrfondu un Kohēzijas fonda 2014.-2020.gada plānošanas perioda vadības likumā (turpmāk – ES fondu vadības likums), kas stājies spēkā 2014.gada 10.jūlijā, noteiktā.</w:t>
            </w:r>
          </w:p>
          <w:p w14:paraId="58AE2F81" w14:textId="77777777" w:rsidR="002222DE" w:rsidRPr="00FA6F1C" w:rsidRDefault="002222DE" w:rsidP="00FA6F1C">
            <w:pPr>
              <w:spacing w:line="240" w:lineRule="auto"/>
              <w:jc w:val="both"/>
              <w:rPr>
                <w:rFonts w:ascii="Times New Roman" w:hAnsi="Times New Roman" w:cs="Times New Roman"/>
                <w:sz w:val="28"/>
                <w:szCs w:val="28"/>
              </w:rPr>
            </w:pPr>
            <w:r w:rsidRPr="00FA6F1C">
              <w:rPr>
                <w:rFonts w:ascii="Times New Roman" w:hAnsi="Times New Roman" w:cs="Times New Roman"/>
                <w:sz w:val="28"/>
                <w:szCs w:val="28"/>
              </w:rPr>
              <w:t>5.Likumprojekta panti sadalīti piecās nodaļās. Likumprojekta pirmajā nodaļā (vispārīgi noteikumi) iekļauti panti, kas nosaka likuma mērķi (1.pants), likuma darbības jomu (2.pants) un definē Fonda vadību (3.pants).</w:t>
            </w:r>
          </w:p>
          <w:p w14:paraId="17E206C5" w14:textId="77777777" w:rsidR="00405E0D" w:rsidRDefault="002222DE" w:rsidP="00405E0D">
            <w:pPr>
              <w:spacing w:line="240" w:lineRule="auto"/>
              <w:jc w:val="both"/>
              <w:rPr>
                <w:rFonts w:ascii="Times New Roman" w:hAnsi="Times New Roman" w:cs="Times New Roman"/>
                <w:sz w:val="28"/>
                <w:szCs w:val="28"/>
              </w:rPr>
            </w:pPr>
            <w:r w:rsidRPr="00FA6F1C">
              <w:rPr>
                <w:rFonts w:ascii="Times New Roman" w:hAnsi="Times New Roman" w:cs="Times New Roman"/>
                <w:sz w:val="28"/>
                <w:szCs w:val="28"/>
              </w:rPr>
              <w:t>6.</w:t>
            </w:r>
            <w:r w:rsidRPr="00405E0D">
              <w:rPr>
                <w:rFonts w:ascii="Times New Roman" w:hAnsi="Times New Roman" w:cs="Times New Roman"/>
                <w:sz w:val="28"/>
                <w:szCs w:val="28"/>
              </w:rPr>
              <w:t>Lai izveidotu Fonda vadībai atbilstošu tiesisko regulējumu Latvijā, likumprojekta otrajā nodaļā ir noteiktas Fondu vadībā iesaistītās institūcijas (4.pants), to pienākumi un tiesības. Fonda vadību Latvijā īsteno šādas institūcijas:</w:t>
            </w:r>
          </w:p>
          <w:p w14:paraId="55D14D67" w14:textId="77777777" w:rsidR="00405E0D" w:rsidRDefault="002222DE" w:rsidP="00405E0D">
            <w:pPr>
              <w:spacing w:line="240" w:lineRule="auto"/>
              <w:jc w:val="both"/>
              <w:rPr>
                <w:rFonts w:ascii="Times New Roman" w:hAnsi="Times New Roman" w:cs="Times New Roman"/>
                <w:sz w:val="28"/>
                <w:szCs w:val="28"/>
              </w:rPr>
            </w:pPr>
            <w:r w:rsidRPr="00405E0D">
              <w:rPr>
                <w:rFonts w:ascii="Times New Roman" w:hAnsi="Times New Roman" w:cs="Times New Roman"/>
                <w:sz w:val="28"/>
                <w:szCs w:val="28"/>
              </w:rPr>
              <w:t>6.1.vadošā iestāde (Labklājības ministrija);</w:t>
            </w:r>
          </w:p>
          <w:p w14:paraId="00D4D5FD" w14:textId="77777777" w:rsidR="00405E0D" w:rsidRDefault="002222DE" w:rsidP="00405E0D">
            <w:pPr>
              <w:spacing w:line="240" w:lineRule="auto"/>
              <w:jc w:val="both"/>
              <w:rPr>
                <w:rFonts w:ascii="Times New Roman" w:hAnsi="Times New Roman" w:cs="Times New Roman"/>
                <w:bCs/>
                <w:sz w:val="28"/>
                <w:szCs w:val="28"/>
              </w:rPr>
            </w:pPr>
            <w:r w:rsidRPr="00405E0D">
              <w:rPr>
                <w:rFonts w:ascii="Times New Roman" w:hAnsi="Times New Roman" w:cs="Times New Roman"/>
                <w:bCs/>
                <w:sz w:val="28"/>
                <w:szCs w:val="28"/>
              </w:rPr>
              <w:t>6.2.sadarbības iestāde (Sabiedrības integrācijas fonds – turpmāk SIF);</w:t>
            </w:r>
          </w:p>
          <w:p w14:paraId="349BBCF5" w14:textId="77777777" w:rsidR="00405E0D" w:rsidRDefault="002222DE" w:rsidP="00405E0D">
            <w:pPr>
              <w:spacing w:line="240" w:lineRule="auto"/>
              <w:jc w:val="both"/>
              <w:rPr>
                <w:rFonts w:ascii="Times New Roman" w:hAnsi="Times New Roman" w:cs="Times New Roman"/>
                <w:sz w:val="28"/>
                <w:szCs w:val="28"/>
              </w:rPr>
            </w:pPr>
            <w:r w:rsidRPr="00405E0D">
              <w:rPr>
                <w:rFonts w:ascii="Times New Roman" w:hAnsi="Times New Roman" w:cs="Times New Roman"/>
                <w:sz w:val="28"/>
                <w:szCs w:val="28"/>
              </w:rPr>
              <w:t>6.3revīzijas iestāde (Finanšu ministrija);</w:t>
            </w:r>
          </w:p>
          <w:p w14:paraId="13E9EF06" w14:textId="55ACC700" w:rsidR="0030568B" w:rsidRPr="00405E0D" w:rsidRDefault="002222DE" w:rsidP="00405E0D">
            <w:pPr>
              <w:spacing w:line="240" w:lineRule="auto"/>
              <w:jc w:val="both"/>
              <w:rPr>
                <w:rFonts w:ascii="Times New Roman" w:hAnsi="Times New Roman" w:cs="Times New Roman"/>
                <w:sz w:val="28"/>
                <w:szCs w:val="28"/>
              </w:rPr>
            </w:pPr>
            <w:r w:rsidRPr="00405E0D">
              <w:rPr>
                <w:rFonts w:ascii="Times New Roman" w:hAnsi="Times New Roman" w:cs="Times New Roman"/>
                <w:sz w:val="28"/>
                <w:szCs w:val="28"/>
              </w:rPr>
              <w:lastRenderedPageBreak/>
              <w:t>6.4.sertifikācijas iestāde (Labklājības ministrija).</w:t>
            </w:r>
          </w:p>
          <w:p w14:paraId="0ADEE913" w14:textId="6DA80291" w:rsidR="00405E0D" w:rsidRDefault="0030568B" w:rsidP="005126EC">
            <w:pPr>
              <w:pStyle w:val="Heading3"/>
              <w:shd w:val="clear" w:color="auto" w:fill="FFFFFF"/>
              <w:spacing w:before="0" w:beforeAutospacing="0" w:after="0" w:afterAutospacing="0"/>
              <w:ind w:right="57"/>
              <w:jc w:val="both"/>
              <w:rPr>
                <w:b w:val="0"/>
                <w:sz w:val="28"/>
                <w:szCs w:val="28"/>
              </w:rPr>
            </w:pPr>
            <w:r w:rsidRPr="00FA6F1C">
              <w:rPr>
                <w:b w:val="0"/>
                <w:sz w:val="28"/>
                <w:szCs w:val="28"/>
              </w:rPr>
              <w:t>7.</w:t>
            </w:r>
            <w:r w:rsidR="002222DE" w:rsidRPr="00FA6F1C">
              <w:rPr>
                <w:b w:val="0"/>
                <w:sz w:val="28"/>
                <w:szCs w:val="28"/>
              </w:rPr>
              <w:t>Likumprojekts paredz skaidri nodalīt vadošās iestādes un sadarbības iestādes pienākumus(5.un 6.pants), lai novērstu funkciju dublēšanos, kā arī izslēdzot interpretācijas iespējas par funkciju pārdali un atbildībām. Turklāt likumprojektā ietvertās normas ir papildinātas ar atsaucēm uz konkrētiem Regulas</w:t>
            </w:r>
            <w:r w:rsidR="00405E0D">
              <w:rPr>
                <w:b w:val="0"/>
                <w:sz w:val="28"/>
                <w:szCs w:val="28"/>
              </w:rPr>
              <w:t xml:space="preserve"> Nr.</w:t>
            </w:r>
            <w:r w:rsidR="002222DE" w:rsidRPr="00FA6F1C">
              <w:rPr>
                <w:b w:val="0"/>
                <w:sz w:val="28"/>
                <w:szCs w:val="28"/>
              </w:rPr>
              <w:t xml:space="preserve"> 223/2014 pantiem, lai veidotu skaidrāku likuma un regulas sasaisti.</w:t>
            </w:r>
          </w:p>
          <w:p w14:paraId="696E0C4B" w14:textId="24A0288A" w:rsidR="005126EC" w:rsidRDefault="002222DE" w:rsidP="005126EC">
            <w:pPr>
              <w:pStyle w:val="Heading3"/>
              <w:shd w:val="clear" w:color="auto" w:fill="FFFFFF"/>
              <w:spacing w:before="0" w:beforeAutospacing="0" w:after="0" w:afterAutospacing="0"/>
              <w:ind w:right="57"/>
              <w:jc w:val="both"/>
              <w:rPr>
                <w:b w:val="0"/>
                <w:sz w:val="28"/>
                <w:szCs w:val="28"/>
              </w:rPr>
            </w:pPr>
            <w:r w:rsidRPr="00FA6F1C">
              <w:rPr>
                <w:b w:val="0"/>
                <w:sz w:val="28"/>
                <w:szCs w:val="28"/>
              </w:rPr>
              <w:t>8.Jāatzīmē, ka likumprojektā ir noteikts vadošās iestādes un sadarbības iestādes funkcionālās padotības regulējums (6.pants) nosakot, ka sadarbības iestāde atrodas labklājības ministra pakļautībā, kurš padotību īsteno ar pilnvarotās amatpersonas (vadošās iestādes vadītāja) starpniecību.</w:t>
            </w:r>
          </w:p>
          <w:p w14:paraId="01275E8C" w14:textId="77777777" w:rsidR="00E46982" w:rsidRDefault="002222DE" w:rsidP="00E46982">
            <w:pPr>
              <w:pStyle w:val="NoSpacing"/>
              <w:rPr>
                <w:sz w:val="28"/>
                <w:szCs w:val="28"/>
                <w:lang w:val="lv-LV"/>
              </w:rPr>
            </w:pPr>
            <w:r w:rsidRPr="00E46982">
              <w:rPr>
                <w:sz w:val="28"/>
                <w:szCs w:val="28"/>
                <w:lang w:val="lv-LV"/>
              </w:rPr>
              <w:t>9.Ievērojot ES fondu sistēmā pierādīto revīzijas iestādes profesionalitāti un atzītu kompetenci, arī šī Fonda vadības sistēmā kā revīzijas iestāde (7.pants) ar ES fondu sistēmai analogām funkcijām ti</w:t>
            </w:r>
            <w:r w:rsidR="005126EC" w:rsidRPr="00E46982">
              <w:rPr>
                <w:sz w:val="28"/>
                <w:szCs w:val="28"/>
                <w:lang w:val="lv-LV"/>
              </w:rPr>
              <w:t>ek noteikta Finanšu ministrija.</w:t>
            </w:r>
          </w:p>
          <w:p w14:paraId="251CDCB1" w14:textId="346BE01D" w:rsidR="005126EC" w:rsidRPr="001543FF" w:rsidRDefault="00E46982" w:rsidP="00E46982">
            <w:pPr>
              <w:pStyle w:val="NoSpacing"/>
              <w:ind w:firstLine="0"/>
              <w:rPr>
                <w:sz w:val="28"/>
                <w:szCs w:val="28"/>
                <w:lang w:val="lv-LV"/>
              </w:rPr>
            </w:pPr>
            <w:r w:rsidRPr="001543FF">
              <w:rPr>
                <w:sz w:val="28"/>
                <w:szCs w:val="28"/>
                <w:lang w:val="lv-LV"/>
              </w:rPr>
              <w:t xml:space="preserve">Regulas 223/2014 34.panta 2.punkts pieļauj, ka revīzijas veic cita institūcija, revīzijas iestādei nodrošinot tās funkcionālo neatkarību. Līdzīgi arī regulas 223/2014 34.panta 3. punkts nosaka, ka revīzijas iestāde nodrošina, ka revīzijas darbā tiktu nodrošināti starptautiski atzīti revīzijas standarti. To, cik lielā mērā revīzijas iestāde piemēros šīs tiesības, un kā tā nodrošinās procesa uzraudzību tiks noteikts Fonda vadības un kontroles sistēmas pamatprasību (regulas 223/2014 IV pielikuma 14.punkts) ieviešanas gaitā. </w:t>
            </w:r>
          </w:p>
          <w:p w14:paraId="63EF889D" w14:textId="77777777" w:rsidR="005126EC" w:rsidRDefault="002222DE" w:rsidP="005126EC">
            <w:pPr>
              <w:pStyle w:val="Heading3"/>
              <w:shd w:val="clear" w:color="auto" w:fill="FFFFFF"/>
              <w:spacing w:before="0" w:beforeAutospacing="0" w:after="120" w:afterAutospacing="0"/>
              <w:ind w:right="57"/>
              <w:jc w:val="both"/>
              <w:rPr>
                <w:b w:val="0"/>
                <w:sz w:val="28"/>
                <w:szCs w:val="28"/>
              </w:rPr>
            </w:pPr>
            <w:r w:rsidRPr="00FA6F1C">
              <w:rPr>
                <w:b w:val="0"/>
                <w:sz w:val="28"/>
                <w:szCs w:val="28"/>
              </w:rPr>
              <w:t>10.Būtiska loma pārskatāmu, uz pārbaudāmiem attaisnojošiem dokumentiem balstītu maksājumu pieteikumu sagatavošanā Eiropas Komisijai ir sertifikācijas iestādei (8.pants), par kuru noteikta Labklājības ministrija.</w:t>
            </w:r>
          </w:p>
          <w:p w14:paraId="08E910B6" w14:textId="458AAFCB" w:rsidR="002222DE" w:rsidRPr="001543FF" w:rsidRDefault="002222DE" w:rsidP="005126EC">
            <w:pPr>
              <w:pStyle w:val="Heading3"/>
              <w:shd w:val="clear" w:color="auto" w:fill="FFFFFF"/>
              <w:spacing w:before="0" w:beforeAutospacing="0" w:after="120" w:afterAutospacing="0"/>
              <w:ind w:right="57"/>
              <w:jc w:val="both"/>
              <w:rPr>
                <w:b w:val="0"/>
                <w:sz w:val="28"/>
                <w:szCs w:val="28"/>
              </w:rPr>
            </w:pPr>
            <w:r w:rsidRPr="00FA6F1C">
              <w:rPr>
                <w:b w:val="0"/>
                <w:sz w:val="28"/>
                <w:szCs w:val="28"/>
              </w:rPr>
              <w:t>11.Iepirkumu uzraudzības birojs</w:t>
            </w:r>
            <w:r w:rsidR="00455CAE">
              <w:rPr>
                <w:b w:val="0"/>
                <w:sz w:val="28"/>
                <w:szCs w:val="28"/>
              </w:rPr>
              <w:t xml:space="preserve"> (IUB)</w:t>
            </w:r>
            <w:r w:rsidRPr="00FA6F1C">
              <w:rPr>
                <w:b w:val="0"/>
                <w:sz w:val="28"/>
                <w:szCs w:val="28"/>
              </w:rPr>
              <w:t xml:space="preserve"> nav noteikts kā Fonda vadībā iesaistītā institūcija (9.pants), bet nodrošina iepirkumu </w:t>
            </w:r>
            <w:proofErr w:type="spellStart"/>
            <w:r w:rsidRPr="00FA6F1C">
              <w:rPr>
                <w:b w:val="0"/>
                <w:sz w:val="28"/>
                <w:szCs w:val="28"/>
              </w:rPr>
              <w:t>pirmspārbaužu</w:t>
            </w:r>
            <w:proofErr w:type="spellEnd"/>
            <w:r w:rsidRPr="00FA6F1C">
              <w:rPr>
                <w:b w:val="0"/>
                <w:sz w:val="28"/>
                <w:szCs w:val="28"/>
              </w:rPr>
              <w:t xml:space="preserve"> veikšanu kā preventīvu mehānismu neatbilstību </w:t>
            </w:r>
            <w:r w:rsidRPr="00FA6F1C">
              <w:rPr>
                <w:b w:val="0"/>
                <w:sz w:val="28"/>
                <w:szCs w:val="28"/>
              </w:rPr>
              <w:lastRenderedPageBreak/>
              <w:t>konstatēšanā publisko iepirkumu jomā</w:t>
            </w:r>
            <w:r w:rsidRPr="001543FF">
              <w:rPr>
                <w:b w:val="0"/>
                <w:sz w:val="28"/>
                <w:szCs w:val="28"/>
              </w:rPr>
              <w:t>.</w:t>
            </w:r>
            <w:r w:rsidR="00455CAE" w:rsidRPr="001543FF">
              <w:t xml:space="preserve"> </w:t>
            </w:r>
            <w:r w:rsidR="00455CAE" w:rsidRPr="001543FF">
              <w:rPr>
                <w:b w:val="0"/>
                <w:sz w:val="28"/>
                <w:szCs w:val="28"/>
              </w:rPr>
              <w:t xml:space="preserve">IUB veiks iepirkuma dokumentācijas un norises ( Fondā paredzēti 1-2 iepirkumi gadā) </w:t>
            </w:r>
            <w:proofErr w:type="spellStart"/>
            <w:r w:rsidR="00455CAE" w:rsidRPr="001543FF">
              <w:rPr>
                <w:b w:val="0"/>
                <w:sz w:val="28"/>
                <w:szCs w:val="28"/>
              </w:rPr>
              <w:t>pirmspārbaudi</w:t>
            </w:r>
            <w:proofErr w:type="spellEnd"/>
            <w:r w:rsidR="00455CAE" w:rsidRPr="001543FF">
              <w:rPr>
                <w:b w:val="0"/>
                <w:sz w:val="28"/>
                <w:szCs w:val="28"/>
              </w:rPr>
              <w:t xml:space="preserve"> un sniegs rekomendējošus atzinumus par to.</w:t>
            </w:r>
          </w:p>
          <w:p w14:paraId="7032DCD9" w14:textId="27737CF2" w:rsidR="002222DE" w:rsidRPr="00FA6F1C" w:rsidRDefault="002222DE" w:rsidP="00FA6F1C">
            <w:pPr>
              <w:pStyle w:val="Heading3"/>
              <w:shd w:val="clear" w:color="auto" w:fill="FFFFFF"/>
              <w:spacing w:before="0" w:beforeAutospacing="0" w:after="120" w:afterAutospacing="0"/>
              <w:ind w:right="57"/>
              <w:jc w:val="both"/>
              <w:rPr>
                <w:b w:val="0"/>
                <w:sz w:val="28"/>
                <w:szCs w:val="28"/>
              </w:rPr>
            </w:pPr>
            <w:r w:rsidRPr="00FA6F1C">
              <w:rPr>
                <w:b w:val="0"/>
                <w:sz w:val="28"/>
                <w:szCs w:val="28"/>
              </w:rPr>
              <w:t xml:space="preserve">12.Likumprojekta trešā nodaļa iezīmē fonda ieviešanā iesaistītās institūcijas (12.pants) partnerorganizācijas un finansējuma saņēmēju, kuriem noteiktas konkrētas tiesības, t.i., saņemt Fonda finansējumu, ja izpildīti visi normatīvajos aktos un līgumā vai vienošanās noteiktie īstenošanas nosacījumi, un tiesības saņemt īstenošanai nepieciešamo informāciju. </w:t>
            </w:r>
          </w:p>
          <w:p w14:paraId="7CFCB85E" w14:textId="793EFBD8" w:rsidR="00852E51" w:rsidRPr="001543FF" w:rsidRDefault="002222DE" w:rsidP="00852E51">
            <w:pPr>
              <w:pStyle w:val="naisc"/>
              <w:spacing w:before="0" w:after="0"/>
              <w:jc w:val="both"/>
              <w:rPr>
                <w:sz w:val="28"/>
                <w:szCs w:val="28"/>
              </w:rPr>
            </w:pPr>
            <w:r w:rsidRPr="00852E51">
              <w:rPr>
                <w:sz w:val="28"/>
                <w:szCs w:val="28"/>
              </w:rPr>
              <w:t>13.Savukārt, ievērojot uz rezultātu sasniegšanu balstītu fonda īstenošanas pieeju, finansējuma saņēmēja atbildība ir nodrošināt, lai piešķirtais finansējums tiek izlietots saskaņā ar pareizas finanšu pārvaldības principu un lai Fonda atbalsta ietvaros veiktie izdevumi būtu tieši saistīti ar mērķu sasniegšanu. (24.pants).Ievērtējot, ka Sabiedrības integrācijas fonds veic gan sadarbības iestādes</w:t>
            </w:r>
            <w:r w:rsidR="0030568B" w:rsidRPr="00852E51">
              <w:rPr>
                <w:sz w:val="28"/>
                <w:szCs w:val="28"/>
              </w:rPr>
              <w:t xml:space="preserve">, </w:t>
            </w:r>
            <w:r w:rsidRPr="00852E51">
              <w:rPr>
                <w:sz w:val="28"/>
                <w:szCs w:val="28"/>
              </w:rPr>
              <w:t>gan finansējuma saņēmēja pienākumus, likumprojektā paredzēta funkciju nodalīšanas principa ievērošana (24.panta 4.punkts).</w:t>
            </w:r>
            <w:r w:rsidR="00852E51" w:rsidRPr="00852E51">
              <w:rPr>
                <w:sz w:val="28"/>
                <w:szCs w:val="28"/>
              </w:rPr>
              <w:t xml:space="preserve"> </w:t>
            </w:r>
            <w:r w:rsidR="00852E51" w:rsidRPr="001543FF">
              <w:rPr>
                <w:sz w:val="28"/>
                <w:szCs w:val="28"/>
              </w:rPr>
              <w:t>Skaidrojam, ka saskaņā ar regulas 223/2014 32.panta 7.punktu vadošā iestāde, attiecīgi arī sadarbības iestāde, kurai vadošā iestāde, uzticējusi atsevišķu uzdevumu veikšanu, var būt finansējuma saņēmējs, nodrošinot funkciju attiecībā uz finanšu pārvaldību un kontroli pienācīgu nošķiršanu.</w:t>
            </w:r>
          </w:p>
          <w:p w14:paraId="0639E391" w14:textId="77777777" w:rsidR="00852E51" w:rsidRPr="001543FF" w:rsidRDefault="00852E51" w:rsidP="00852E51">
            <w:pPr>
              <w:pStyle w:val="naisc"/>
              <w:spacing w:before="0" w:after="0"/>
              <w:jc w:val="both"/>
              <w:rPr>
                <w:sz w:val="28"/>
                <w:szCs w:val="28"/>
              </w:rPr>
            </w:pPr>
            <w:r w:rsidRPr="001543FF">
              <w:rPr>
                <w:sz w:val="28"/>
                <w:szCs w:val="28"/>
              </w:rPr>
              <w:t xml:space="preserve">Pamatojoties uz minēto, SIF ir finansējuma saņēmējs, kurš nodrošina pārtikas un pamata materiālās palīdzības preču iepirkumu, savukārt SIF kā sadarbības iestāde nodrošina finanšu pārvaldību un kontroli. </w:t>
            </w:r>
          </w:p>
          <w:p w14:paraId="6A4F5CA7" w14:textId="2C776F7C" w:rsidR="002222DE" w:rsidRPr="001543FF" w:rsidRDefault="002222DE" w:rsidP="00FA6F1C">
            <w:pPr>
              <w:pStyle w:val="Heading3"/>
              <w:shd w:val="clear" w:color="auto" w:fill="FFFFFF"/>
              <w:spacing w:before="0" w:beforeAutospacing="0" w:after="120" w:afterAutospacing="0"/>
              <w:ind w:right="57"/>
              <w:jc w:val="both"/>
              <w:rPr>
                <w:b w:val="0"/>
                <w:sz w:val="28"/>
                <w:szCs w:val="28"/>
              </w:rPr>
            </w:pPr>
          </w:p>
          <w:p w14:paraId="5A06C738" w14:textId="1C0DD22F" w:rsidR="00EC64CA" w:rsidRPr="001543FF" w:rsidRDefault="002222DE" w:rsidP="00EC64CA">
            <w:pPr>
              <w:pStyle w:val="NoSpacing"/>
              <w:ind w:firstLine="0"/>
              <w:rPr>
                <w:sz w:val="28"/>
                <w:szCs w:val="28"/>
                <w:lang w:val="lv-LV"/>
              </w:rPr>
            </w:pPr>
            <w:r w:rsidRPr="00EC64CA">
              <w:rPr>
                <w:sz w:val="28"/>
                <w:szCs w:val="28"/>
                <w:lang w:val="lv-LV"/>
              </w:rPr>
              <w:t>14.</w:t>
            </w:r>
            <w:r w:rsidR="00EC64CA" w:rsidRPr="00EC64CA">
              <w:rPr>
                <w:lang w:val="lv-LV"/>
              </w:rPr>
              <w:t xml:space="preserve"> </w:t>
            </w:r>
            <w:r w:rsidR="00EC64CA" w:rsidRPr="00EC64CA">
              <w:rPr>
                <w:sz w:val="28"/>
                <w:szCs w:val="28"/>
                <w:lang w:val="lv-LV"/>
              </w:rPr>
              <w:t xml:space="preserve">Likumprojektā vairāki panti (13.līdz 23.pants) saistīti ar partnerorganizācijām, par kurām Fondā var kļūt biedrības, nodibinājumi, reliģiskas organizācijas, kā arī pašvaldības vai to iestādes. Partnerorganizācijas ir tās, kas nodrošina pārtikas un preču izdalīšanu trūcīgiem iedzīvotājiem, īsteno papildpasākumus. </w:t>
            </w:r>
            <w:r w:rsidR="00EC64CA" w:rsidRPr="001543FF">
              <w:rPr>
                <w:sz w:val="28"/>
                <w:szCs w:val="28"/>
                <w:lang w:val="lv-LV"/>
              </w:rPr>
              <w:t xml:space="preserve">Kārtību, kādā organizē </w:t>
            </w:r>
            <w:r w:rsidR="00EC64CA" w:rsidRPr="001543FF">
              <w:rPr>
                <w:sz w:val="28"/>
                <w:szCs w:val="28"/>
                <w:lang w:val="lv-LV"/>
              </w:rPr>
              <w:lastRenderedPageBreak/>
              <w:t>partnerorganizāciju atlasi noteiks Ministru kabinets (11.panta 3. apakšpunkts), paredzot, ka</w:t>
            </w:r>
          </w:p>
          <w:p w14:paraId="51159B2A" w14:textId="77777777" w:rsidR="00EC64CA" w:rsidRPr="001543FF" w:rsidRDefault="00EC64CA" w:rsidP="00EC64CA">
            <w:pPr>
              <w:pStyle w:val="NoSpacing"/>
              <w:rPr>
                <w:sz w:val="28"/>
                <w:szCs w:val="28"/>
                <w:lang w:val="lv-LV"/>
              </w:rPr>
            </w:pPr>
            <w:r w:rsidRPr="001543FF">
              <w:rPr>
                <w:sz w:val="28"/>
                <w:szCs w:val="28"/>
                <w:lang w:val="lv-LV"/>
              </w:rPr>
              <w:t>14.1 sadarbības iestāde ne vēlāk kā mēnesi pirms iesnieguma iesniegšanas beigu termiņa publicē oficiālajā izdevumā „Latvijas Vēstnesis” paziņojumu par partnerorganizāciju atlases izsludināšanu un norādi uz tīmekļa vietni, kurā publicēts partnerorganizācijas atlases nolikums;</w:t>
            </w:r>
          </w:p>
          <w:p w14:paraId="44EE82B5" w14:textId="77777777" w:rsidR="00EC64CA" w:rsidRPr="001543FF" w:rsidRDefault="00EC64CA" w:rsidP="00EC64CA">
            <w:pPr>
              <w:pStyle w:val="NoSpacing"/>
              <w:rPr>
                <w:sz w:val="28"/>
                <w:szCs w:val="28"/>
                <w:lang w:val="lv-LV"/>
              </w:rPr>
            </w:pPr>
            <w:r w:rsidRPr="001543FF">
              <w:rPr>
                <w:sz w:val="28"/>
                <w:szCs w:val="28"/>
                <w:lang w:val="lv-LV"/>
              </w:rPr>
              <w:t>14.2.partnerorganizācijas atlases nolikumā iekļauti partnerorganizācijas atlases kritēriji. Par būtisku informāciju izvērtējot pretendentus (19.pants) uzskatāma jebkura nepatiesa informācija, kas saistīta ar atlases kritērijiem un ir ietekmējusi vai varēja ietekmēt pretendentu novērtējumu un atlases rezultātu;</w:t>
            </w:r>
          </w:p>
          <w:p w14:paraId="0D193B8A" w14:textId="77777777" w:rsidR="00EC64CA" w:rsidRPr="001543FF" w:rsidRDefault="00EC64CA" w:rsidP="00EC64CA">
            <w:pPr>
              <w:pStyle w:val="NoSpacing"/>
              <w:rPr>
                <w:sz w:val="28"/>
                <w:szCs w:val="28"/>
                <w:lang w:val="lv-LV"/>
              </w:rPr>
            </w:pPr>
            <w:r w:rsidRPr="001543FF">
              <w:rPr>
                <w:sz w:val="28"/>
                <w:szCs w:val="28"/>
                <w:lang w:val="lv-LV"/>
              </w:rPr>
              <w:t>14.3 sadarbības iestāde izstrādā partnerorganizācijas atlases komisijas nolikumu;</w:t>
            </w:r>
          </w:p>
          <w:p w14:paraId="4C914F8D" w14:textId="0C8B60A1" w:rsidR="002222DE" w:rsidRPr="00FA6F1C" w:rsidRDefault="002222DE" w:rsidP="00FA6F1C">
            <w:pPr>
              <w:pStyle w:val="Heading3"/>
              <w:shd w:val="clear" w:color="auto" w:fill="FFFFFF"/>
              <w:spacing w:before="0" w:beforeAutospacing="0" w:after="120" w:afterAutospacing="0"/>
              <w:ind w:right="57"/>
              <w:jc w:val="both"/>
              <w:rPr>
                <w:b w:val="0"/>
                <w:sz w:val="28"/>
                <w:szCs w:val="28"/>
              </w:rPr>
            </w:pPr>
            <w:r w:rsidRPr="00FA6F1C">
              <w:rPr>
                <w:b w:val="0"/>
                <w:sz w:val="28"/>
                <w:szCs w:val="28"/>
              </w:rPr>
              <w:t>15.Ar pienācīgā kārtībā atlasītām partnerorganizācijām atkarībā no to juridiskā statusa tiks slēgti civiltiesiski līgumi (ar juridiskām personām) vai vienošanās par darbību īstenošanu (ar publiskām personām) (17.panta otrā un trešā daļa).</w:t>
            </w:r>
          </w:p>
          <w:p w14:paraId="7DA5AB83" w14:textId="63334DE6" w:rsidR="002222DE" w:rsidRPr="00FA6F1C" w:rsidRDefault="002222DE" w:rsidP="00FA6F1C">
            <w:pPr>
              <w:pStyle w:val="Heading3"/>
              <w:shd w:val="clear" w:color="auto" w:fill="FFFFFF"/>
              <w:spacing w:before="0" w:beforeAutospacing="0" w:after="120" w:afterAutospacing="0"/>
              <w:ind w:right="57"/>
              <w:jc w:val="both"/>
              <w:rPr>
                <w:b w:val="0"/>
                <w:color w:val="000000"/>
                <w:sz w:val="28"/>
                <w:szCs w:val="28"/>
                <w:shd w:val="clear" w:color="auto" w:fill="FFFFFF"/>
              </w:rPr>
            </w:pPr>
            <w:r w:rsidRPr="00FA6F1C">
              <w:rPr>
                <w:b w:val="0"/>
                <w:sz w:val="28"/>
                <w:szCs w:val="28"/>
              </w:rPr>
              <w:t>16</w:t>
            </w:r>
            <w:r w:rsidRPr="00FA6F1C">
              <w:rPr>
                <w:b w:val="0"/>
                <w:color w:val="000000"/>
                <w:sz w:val="28"/>
                <w:szCs w:val="28"/>
                <w:shd w:val="clear" w:color="auto" w:fill="FFFFFF"/>
              </w:rPr>
              <w:t>.</w:t>
            </w:r>
            <w:r w:rsidRPr="00FA6F1C">
              <w:rPr>
                <w:b w:val="0"/>
                <w:sz w:val="28"/>
                <w:szCs w:val="28"/>
              </w:rPr>
              <w:t>Ņemot vērā, Regulā 223/2014 noteikto vienkāršoto izmaksu piemērošanu partnerorganizāciju administratīvajiem izdevumiem un papildpasākumu nodrošināšanai Ministru kabinets tiek pilnvarots noteikt minēto izmaksu piemērošanas nosacījumus un kārtību (11.pants). Vienkāršoto izmaksu piemērošana ir mehānisms administratīvā sloga mazināšanai gan atbalsta saņēmējiem, ļaujot vairāk fokusēties uz rezultātu sasniegšanu, gan arī uzraugošajām iestādēm, kurām nav nepieciešams pārbaudīt visu darbības dokumentāciju.</w:t>
            </w:r>
          </w:p>
          <w:p w14:paraId="57B1BD58" w14:textId="2977AB93" w:rsidR="002222DE" w:rsidRPr="006D584B" w:rsidRDefault="002222DE" w:rsidP="00FA6F1C">
            <w:pPr>
              <w:pStyle w:val="Heading3"/>
              <w:shd w:val="clear" w:color="auto" w:fill="FFFFFF"/>
              <w:spacing w:before="0" w:beforeAutospacing="0" w:after="120" w:afterAutospacing="0"/>
              <w:ind w:right="57"/>
              <w:jc w:val="both"/>
              <w:rPr>
                <w:b w:val="0"/>
                <w:sz w:val="28"/>
                <w:szCs w:val="28"/>
                <w:u w:val="single"/>
              </w:rPr>
            </w:pPr>
            <w:r w:rsidRPr="00FA6F1C">
              <w:rPr>
                <w:b w:val="0"/>
                <w:sz w:val="28"/>
                <w:szCs w:val="28"/>
              </w:rPr>
              <w:t>17.Likumprojektā skaidri definēti gadījumi kad sadarbības iestādes izveidotai komisijai (15.pants) jānoraida partnerorganizācijas pretendenta iesniegums, izslēdzot to no atlases (16. un 19.pants).</w:t>
            </w:r>
            <w:r w:rsidR="006D584B">
              <w:t xml:space="preserve"> </w:t>
            </w:r>
            <w:r w:rsidR="006D584B" w:rsidRPr="001543FF">
              <w:rPr>
                <w:b w:val="0"/>
              </w:rPr>
              <w:t>Informāciju par 16.panta 1.punkta a) b) c) gadījumiem sadarbības iestāde var iegūt no Iekšlietu ministrijas IC (soda reģistra), savukārt informāciju par 2.punkta gadījumiem no</w:t>
            </w:r>
            <w:r w:rsidR="006D584B" w:rsidRPr="006D584B">
              <w:rPr>
                <w:b w:val="0"/>
                <w:u w:val="single"/>
              </w:rPr>
              <w:t xml:space="preserve"> </w:t>
            </w:r>
            <w:r w:rsidR="006D584B" w:rsidRPr="001543FF">
              <w:rPr>
                <w:b w:val="0"/>
              </w:rPr>
              <w:lastRenderedPageBreak/>
              <w:t>Uzņēmuma reģistra</w:t>
            </w:r>
          </w:p>
          <w:p w14:paraId="698BA429" w14:textId="0CC144F6" w:rsidR="002222DE" w:rsidRPr="00FA6F1C" w:rsidRDefault="002222DE" w:rsidP="00FA6F1C">
            <w:pPr>
              <w:pStyle w:val="Heading3"/>
              <w:shd w:val="clear" w:color="auto" w:fill="FFFFFF"/>
              <w:spacing w:before="0" w:beforeAutospacing="0" w:after="120" w:afterAutospacing="0"/>
              <w:ind w:right="57"/>
              <w:jc w:val="both"/>
              <w:rPr>
                <w:b w:val="0"/>
                <w:sz w:val="28"/>
                <w:szCs w:val="28"/>
              </w:rPr>
            </w:pPr>
            <w:r w:rsidRPr="00FA6F1C">
              <w:rPr>
                <w:b w:val="0"/>
                <w:sz w:val="28"/>
                <w:szCs w:val="28"/>
              </w:rPr>
              <w:t>18.Sadarbības iestādes lēmumus par iesniegumu noraidīšanu vai aizliegumu uz laiku piedalīties atlasē varēs apstrīdēt vadošajā iestādē. Lēmumu pieņems vadošās iestādes vadītājs, pamatojoties uz iesniegumu izskatīšanas komisijas atzinumu.  Minētais lēmums attiecībā uz juridiskām personām būs administratīvais akts, bet attiecībā uz publiskajām personām – pārvaldes lēmums (17.pants). Lēmumu par apstrīdēto administratīvo aktu varēs pārsūdzēt administratīvajā tiesā, lēmums par apstrīdēto pārvaldes lēmumu nebūs pārsūdzams tiesā (20.pants)</w:t>
            </w:r>
            <w:r w:rsidR="0030568B" w:rsidRPr="00FA6F1C">
              <w:rPr>
                <w:b w:val="0"/>
                <w:sz w:val="28"/>
                <w:szCs w:val="28"/>
              </w:rPr>
              <w:t xml:space="preserve">. </w:t>
            </w:r>
            <w:r w:rsidRPr="00FA6F1C">
              <w:rPr>
                <w:b w:val="0"/>
                <w:sz w:val="28"/>
                <w:szCs w:val="28"/>
              </w:rPr>
              <w:t>Minēto lēmumu izskatīšana komisijā veicinās vienādas pieejas esamību pret pretendentiem, partnerorganizācijām un finansējuma saņēmēju un dos iespēju labāk uzraudzīt sadarbības iestādei deleģēto funkciju izpildes kvalitāti.</w:t>
            </w:r>
          </w:p>
          <w:p w14:paraId="2D259821" w14:textId="6D7F51A7" w:rsidR="002222DE" w:rsidRPr="00FA6F1C" w:rsidRDefault="002222DE" w:rsidP="00FA6F1C">
            <w:pPr>
              <w:pStyle w:val="Heading3"/>
              <w:shd w:val="clear" w:color="auto" w:fill="FFFFFF"/>
              <w:spacing w:before="0" w:beforeAutospacing="0" w:after="120" w:afterAutospacing="0"/>
              <w:ind w:right="57"/>
              <w:jc w:val="both"/>
              <w:rPr>
                <w:b w:val="0"/>
                <w:sz w:val="28"/>
                <w:szCs w:val="28"/>
              </w:rPr>
            </w:pPr>
            <w:r w:rsidRPr="00FA6F1C">
              <w:rPr>
                <w:b w:val="0"/>
                <w:sz w:val="28"/>
                <w:szCs w:val="28"/>
              </w:rPr>
              <w:t>19.Likumprojekta ceturtā nodaļa paredz skaidru kārtību, kādā risināmi strīdi par Fonda darbības īstenošanu, nošķirot gadījumus, kad partnerorganizācija ir biedrība, nodibinājums, reliģiska organizācija un strīdus par līguma izpildi varēs risināt tikai civiltiesiskā kārtībā (25.pants) no gadījumiem, kad strīdu risināšanā iesaistās vadošā iestāde (26.pants).</w:t>
            </w:r>
          </w:p>
          <w:p w14:paraId="1649FEA9" w14:textId="7976C65C" w:rsidR="002222DE" w:rsidRPr="00FA6F1C" w:rsidRDefault="002222DE" w:rsidP="00FA6F1C">
            <w:pPr>
              <w:pStyle w:val="Heading3"/>
              <w:shd w:val="clear" w:color="auto" w:fill="FFFFFF"/>
              <w:spacing w:before="0" w:beforeAutospacing="0" w:after="120" w:afterAutospacing="0"/>
              <w:ind w:right="57"/>
              <w:jc w:val="both"/>
              <w:rPr>
                <w:b w:val="0"/>
                <w:sz w:val="28"/>
                <w:szCs w:val="28"/>
              </w:rPr>
            </w:pPr>
            <w:r w:rsidRPr="00FA6F1C">
              <w:rPr>
                <w:b w:val="0"/>
                <w:sz w:val="28"/>
                <w:szCs w:val="28"/>
              </w:rPr>
              <w:t>20.Lai novērstu dažādu interpretējumu attiecībā uz informācijas pieejamību par partnerorganizācijas atlases iesniegumiem, vērtēšanu un pieteikumu apstiprināšanu, likumprojektā piektajā nodaļā noteikts skaidrs informācijas atklātības regulējums. Lai veicinātu atklātību un caurspīdīgumu Fonda ieviešanā, likumprojektā noteikts plašāks sabiedrībai pieejamās informācijas</w:t>
            </w:r>
            <w:r w:rsidR="0030568B" w:rsidRPr="00FA6F1C">
              <w:rPr>
                <w:b w:val="0"/>
                <w:sz w:val="28"/>
                <w:szCs w:val="28"/>
              </w:rPr>
              <w:t xml:space="preserve"> apmērs</w:t>
            </w:r>
            <w:r w:rsidRPr="00FA6F1C">
              <w:rPr>
                <w:b w:val="0"/>
                <w:sz w:val="28"/>
                <w:szCs w:val="28"/>
              </w:rPr>
              <w:t xml:space="preserve">. Pašvaldību un pašvaldību iestāžu iesniegumi partnerorganizāciju atlasei būs vispārpieejamā informācija. Minētā informācija būs pieejama Informācijas atklātības likumā un Regulas Nr.223/2014 32.panta 2.punktā noteiktajā apjomā un kārtībā pēc iesnieguma iesniegšanas beigu datuma (izņemot vērtēšanas materiālus, kas būs pieejami pēc lēmuma spēkā stāšanās). Savukārt </w:t>
            </w:r>
            <w:r w:rsidRPr="00FA6F1C">
              <w:rPr>
                <w:b w:val="0"/>
                <w:sz w:val="28"/>
                <w:szCs w:val="28"/>
              </w:rPr>
              <w:lastRenderedPageBreak/>
              <w:t xml:space="preserve">informācija par biedrību, nodibinājumu, reliģisku organizāciju iesniegtajiem un apstiprinātajiem iesniegumiem tādā pašā apjomā un kārtībā būs pieejama pēc lēmuma par iesnieguma apstiprināšanu, apstiprināšanu ar nosacījumu vai noraidīšanu spēkā stāšanās (28.pants). </w:t>
            </w:r>
          </w:p>
          <w:p w14:paraId="2FBB569D" w14:textId="5CA4B108" w:rsidR="002222DE" w:rsidRPr="00FA6F1C" w:rsidRDefault="002222DE" w:rsidP="00FA6F1C">
            <w:pPr>
              <w:pStyle w:val="nais1"/>
              <w:spacing w:before="0" w:beforeAutospacing="0" w:after="120" w:afterAutospacing="0"/>
              <w:jc w:val="both"/>
              <w:rPr>
                <w:sz w:val="28"/>
                <w:szCs w:val="28"/>
              </w:rPr>
            </w:pPr>
            <w:r w:rsidRPr="00FA6F1C">
              <w:rPr>
                <w:sz w:val="28"/>
                <w:szCs w:val="28"/>
              </w:rPr>
              <w:t>21.Ievērojot, ka likumprojekts paredz tikai vispārēju regulējumu saistībā ar Fonda vadību un ieviešanu, likumprojektā (11.pants) ietverts deleģējums Ministru kabinetam noteikt īpašus detalizētākus noteikumus par Fonda atbalsta gala saņēmējiem, pārtikas un preču saturu un kvalitātes prasībām, kā arī kārtību, kā Fonda vadībā iesaistītās institūcijas nodrošina Fonda ieviešanu un uzraudzību, skatīt anotācijas IV nodaļu.</w:t>
            </w:r>
          </w:p>
          <w:p w14:paraId="40F687DF" w14:textId="77777777" w:rsidR="002222DE" w:rsidRPr="00FA6F1C" w:rsidRDefault="002222DE" w:rsidP="00FA6F1C">
            <w:pPr>
              <w:pStyle w:val="Heading3"/>
              <w:shd w:val="clear" w:color="auto" w:fill="FFFFFF"/>
              <w:spacing w:before="0" w:beforeAutospacing="0" w:after="120" w:afterAutospacing="0"/>
              <w:ind w:right="57"/>
              <w:jc w:val="both"/>
              <w:rPr>
                <w:b w:val="0"/>
                <w:sz w:val="28"/>
                <w:szCs w:val="28"/>
              </w:rPr>
            </w:pPr>
          </w:p>
          <w:p w14:paraId="5EDF1DA6" w14:textId="5DEE04AA" w:rsidR="00F3363B" w:rsidRPr="00FA6F1C" w:rsidRDefault="00F3363B" w:rsidP="00FA6F1C">
            <w:pPr>
              <w:pStyle w:val="Heading3"/>
              <w:shd w:val="clear" w:color="auto" w:fill="FFFFFF"/>
              <w:spacing w:before="0" w:beforeAutospacing="0" w:after="120" w:afterAutospacing="0"/>
              <w:ind w:right="57" w:firstLine="720"/>
              <w:jc w:val="both"/>
              <w:rPr>
                <w:b w:val="0"/>
                <w:sz w:val="28"/>
                <w:szCs w:val="28"/>
              </w:rPr>
            </w:pPr>
          </w:p>
        </w:tc>
      </w:tr>
      <w:tr w:rsidR="00DA6C86" w:rsidRPr="00FA6F1C" w14:paraId="5EDF1DAB" w14:textId="77777777" w:rsidTr="005126EC">
        <w:trPr>
          <w:trHeight w:val="476"/>
        </w:trPr>
        <w:tc>
          <w:tcPr>
            <w:tcW w:w="225" w:type="pct"/>
          </w:tcPr>
          <w:p w14:paraId="5EDF1DA8" w14:textId="79D0BC64" w:rsidR="00DA6C86" w:rsidRPr="00FA6F1C" w:rsidRDefault="00DA6C86" w:rsidP="00FA6F1C">
            <w:pPr>
              <w:pStyle w:val="naiskr"/>
              <w:spacing w:before="0" w:beforeAutospacing="0" w:after="0" w:afterAutospacing="0"/>
              <w:ind w:right="57"/>
              <w:jc w:val="center"/>
              <w:rPr>
                <w:sz w:val="28"/>
                <w:szCs w:val="28"/>
              </w:rPr>
            </w:pPr>
            <w:r w:rsidRPr="00FA6F1C">
              <w:rPr>
                <w:sz w:val="28"/>
                <w:szCs w:val="28"/>
              </w:rPr>
              <w:lastRenderedPageBreak/>
              <w:t>3.</w:t>
            </w:r>
          </w:p>
        </w:tc>
        <w:tc>
          <w:tcPr>
            <w:tcW w:w="1603" w:type="pct"/>
          </w:tcPr>
          <w:p w14:paraId="5EDF1DA9" w14:textId="77777777" w:rsidR="00DA6C86" w:rsidRPr="00FA6F1C" w:rsidRDefault="00DA6C86" w:rsidP="00FA6F1C">
            <w:pPr>
              <w:pStyle w:val="naiskr"/>
              <w:spacing w:before="0" w:beforeAutospacing="0" w:after="0" w:afterAutospacing="0"/>
              <w:ind w:left="57" w:right="57"/>
              <w:rPr>
                <w:sz w:val="28"/>
                <w:szCs w:val="28"/>
              </w:rPr>
            </w:pPr>
            <w:r w:rsidRPr="00FA6F1C">
              <w:rPr>
                <w:sz w:val="28"/>
                <w:szCs w:val="28"/>
              </w:rPr>
              <w:t>Projekta izstrādē iesaistītās institūcijas</w:t>
            </w:r>
          </w:p>
        </w:tc>
        <w:tc>
          <w:tcPr>
            <w:tcW w:w="3173" w:type="pct"/>
          </w:tcPr>
          <w:p w14:paraId="5EDF1DAA" w14:textId="74E3964C" w:rsidR="00DA6C86" w:rsidRPr="00FA6F1C" w:rsidRDefault="00F2194B" w:rsidP="00FA6F1C">
            <w:pPr>
              <w:spacing w:after="120" w:line="240" w:lineRule="auto"/>
              <w:ind w:left="57" w:right="57"/>
              <w:jc w:val="both"/>
              <w:rPr>
                <w:rFonts w:ascii="Times New Roman" w:hAnsi="Times New Roman" w:cs="Times New Roman"/>
                <w:sz w:val="28"/>
                <w:szCs w:val="28"/>
              </w:rPr>
            </w:pPr>
            <w:r w:rsidRPr="00FA6F1C">
              <w:rPr>
                <w:rFonts w:ascii="Times New Roman" w:hAnsi="Times New Roman" w:cs="Times New Roman"/>
                <w:sz w:val="28"/>
                <w:szCs w:val="28"/>
              </w:rPr>
              <w:t>Labklājības ministrija,</w:t>
            </w:r>
            <w:r w:rsidR="00852EB5" w:rsidRPr="00FA6F1C">
              <w:rPr>
                <w:rFonts w:ascii="Times New Roman" w:hAnsi="Times New Roman" w:cs="Times New Roman"/>
                <w:sz w:val="28"/>
                <w:szCs w:val="28"/>
              </w:rPr>
              <w:t xml:space="preserve"> S</w:t>
            </w:r>
            <w:r w:rsidRPr="00FA6F1C">
              <w:rPr>
                <w:rFonts w:ascii="Times New Roman" w:hAnsi="Times New Roman" w:cs="Times New Roman"/>
                <w:sz w:val="28"/>
                <w:szCs w:val="28"/>
              </w:rPr>
              <w:t xml:space="preserve">abiedrības integrācijas fonds, </w:t>
            </w:r>
            <w:r w:rsidR="001F0072" w:rsidRPr="00FA6F1C">
              <w:rPr>
                <w:rFonts w:ascii="Times New Roman" w:hAnsi="Times New Roman" w:cs="Times New Roman"/>
                <w:sz w:val="28"/>
                <w:szCs w:val="28"/>
              </w:rPr>
              <w:t>Finanšu</w:t>
            </w:r>
            <w:r w:rsidR="003D38D2" w:rsidRPr="00FA6F1C">
              <w:rPr>
                <w:rFonts w:ascii="Times New Roman" w:hAnsi="Times New Roman" w:cs="Times New Roman"/>
                <w:sz w:val="28"/>
                <w:szCs w:val="28"/>
              </w:rPr>
              <w:t xml:space="preserve"> ministrija, Iepirkumu uzraudzības birojs</w:t>
            </w:r>
            <w:r w:rsidR="00D1194B" w:rsidRPr="00FA6F1C">
              <w:rPr>
                <w:rFonts w:ascii="Times New Roman" w:hAnsi="Times New Roman" w:cs="Times New Roman"/>
                <w:sz w:val="28"/>
                <w:szCs w:val="28"/>
              </w:rPr>
              <w:t>.</w:t>
            </w:r>
          </w:p>
        </w:tc>
      </w:tr>
      <w:tr w:rsidR="00DA6C86" w:rsidRPr="00FA6F1C" w14:paraId="5EDF1DB0" w14:textId="77777777" w:rsidTr="005126EC">
        <w:trPr>
          <w:trHeight w:val="581"/>
        </w:trPr>
        <w:tc>
          <w:tcPr>
            <w:tcW w:w="225" w:type="pct"/>
          </w:tcPr>
          <w:p w14:paraId="5EDF1DAC" w14:textId="77777777" w:rsidR="00DA6C86" w:rsidRPr="00FA6F1C" w:rsidRDefault="00DA6C86" w:rsidP="00FA6F1C">
            <w:pPr>
              <w:pStyle w:val="naiskr"/>
              <w:spacing w:before="0" w:beforeAutospacing="0" w:after="0" w:afterAutospacing="0"/>
              <w:ind w:right="57"/>
              <w:jc w:val="center"/>
              <w:rPr>
                <w:sz w:val="28"/>
                <w:szCs w:val="28"/>
              </w:rPr>
            </w:pPr>
            <w:r w:rsidRPr="00FA6F1C">
              <w:rPr>
                <w:sz w:val="28"/>
                <w:szCs w:val="28"/>
              </w:rPr>
              <w:t>4.</w:t>
            </w:r>
          </w:p>
        </w:tc>
        <w:tc>
          <w:tcPr>
            <w:tcW w:w="1603" w:type="pct"/>
          </w:tcPr>
          <w:p w14:paraId="5EDF1DAD" w14:textId="77777777" w:rsidR="00DA6C86" w:rsidRPr="00FA6F1C" w:rsidRDefault="00DA6C86" w:rsidP="00FA6F1C">
            <w:pPr>
              <w:pStyle w:val="naiskr"/>
              <w:spacing w:before="0" w:beforeAutospacing="0" w:after="0" w:afterAutospacing="0"/>
              <w:ind w:left="57" w:right="57"/>
              <w:rPr>
                <w:sz w:val="28"/>
                <w:szCs w:val="28"/>
              </w:rPr>
            </w:pPr>
            <w:r w:rsidRPr="00FA6F1C">
              <w:rPr>
                <w:sz w:val="28"/>
                <w:szCs w:val="28"/>
              </w:rPr>
              <w:t>Cita informācija</w:t>
            </w:r>
          </w:p>
        </w:tc>
        <w:tc>
          <w:tcPr>
            <w:tcW w:w="3173" w:type="pct"/>
          </w:tcPr>
          <w:p w14:paraId="5EDF1DAF" w14:textId="47C94749" w:rsidR="00E74E50" w:rsidRPr="00FA6F1C" w:rsidRDefault="001F0072" w:rsidP="00FA6F1C">
            <w:pPr>
              <w:pStyle w:val="naiskr"/>
              <w:spacing w:before="0" w:beforeAutospacing="0" w:after="0" w:afterAutospacing="0"/>
              <w:ind w:left="57" w:right="57"/>
              <w:rPr>
                <w:sz w:val="28"/>
                <w:szCs w:val="28"/>
              </w:rPr>
            </w:pPr>
            <w:r w:rsidRPr="00FA6F1C">
              <w:rPr>
                <w:sz w:val="28"/>
                <w:szCs w:val="28"/>
              </w:rPr>
              <w:t>Nav.</w:t>
            </w:r>
          </w:p>
        </w:tc>
      </w:tr>
    </w:tbl>
    <w:p w14:paraId="79882BB9" w14:textId="77777777" w:rsidR="00694976" w:rsidRPr="00FA6F1C" w:rsidRDefault="00694976" w:rsidP="00FA6F1C">
      <w:pPr>
        <w:spacing w:after="0" w:line="240" w:lineRule="auto"/>
        <w:jc w:val="right"/>
        <w:rPr>
          <w:rFonts w:ascii="Times New Roman" w:hAnsi="Times New Roman" w:cs="Times New Roman"/>
          <w:sz w:val="28"/>
          <w:szCs w:val="28"/>
        </w:rPr>
      </w:pPr>
    </w:p>
    <w:p w14:paraId="49C95A62" w14:textId="77777777" w:rsidR="00F56EA8" w:rsidRPr="00FA6F1C" w:rsidRDefault="00F56EA8" w:rsidP="00FA6F1C">
      <w:pPr>
        <w:spacing w:after="0" w:line="240" w:lineRule="auto"/>
        <w:rPr>
          <w:rFonts w:ascii="Times New Roman" w:hAnsi="Times New Roman" w:cs="Times New Roman"/>
          <w:sz w:val="28"/>
          <w:szCs w:val="28"/>
        </w:rPr>
      </w:pPr>
    </w:p>
    <w:tbl>
      <w:tblPr>
        <w:tblStyle w:val="TableGrid"/>
        <w:tblW w:w="9635" w:type="dxa"/>
        <w:tblInd w:w="-284" w:type="dxa"/>
        <w:tblLook w:val="04A0" w:firstRow="1" w:lastRow="0" w:firstColumn="1" w:lastColumn="0" w:noHBand="0" w:noVBand="1"/>
      </w:tblPr>
      <w:tblGrid>
        <w:gridCol w:w="539"/>
        <w:gridCol w:w="3142"/>
        <w:gridCol w:w="5954"/>
      </w:tblGrid>
      <w:tr w:rsidR="00900304" w:rsidRPr="00FA6F1C" w14:paraId="7401C358" w14:textId="77777777" w:rsidTr="009E76D9">
        <w:tc>
          <w:tcPr>
            <w:tcW w:w="9635" w:type="dxa"/>
            <w:gridSpan w:val="3"/>
            <w:tcBorders>
              <w:top w:val="nil"/>
              <w:left w:val="nil"/>
              <w:bottom w:val="single" w:sz="4" w:space="0" w:color="auto"/>
              <w:right w:val="nil"/>
            </w:tcBorders>
          </w:tcPr>
          <w:p w14:paraId="2ACF7680" w14:textId="77777777" w:rsidR="00900304" w:rsidRPr="00FA6F1C" w:rsidRDefault="00900304" w:rsidP="00FA6F1C">
            <w:pPr>
              <w:ind w:right="57"/>
              <w:rPr>
                <w:rFonts w:ascii="Times New Roman" w:eastAsia="Times New Roman" w:hAnsi="Times New Roman" w:cs="Times New Roman"/>
                <w:b/>
                <w:sz w:val="28"/>
                <w:szCs w:val="28"/>
              </w:rPr>
            </w:pPr>
          </w:p>
        </w:tc>
      </w:tr>
      <w:tr w:rsidR="00900304" w:rsidRPr="00FA6F1C" w14:paraId="73F9F620" w14:textId="77777777" w:rsidTr="009E76D9">
        <w:tc>
          <w:tcPr>
            <w:tcW w:w="9635" w:type="dxa"/>
            <w:gridSpan w:val="3"/>
            <w:tcBorders>
              <w:top w:val="single" w:sz="4" w:space="0" w:color="auto"/>
            </w:tcBorders>
          </w:tcPr>
          <w:p w14:paraId="077B01FE" w14:textId="77777777" w:rsidR="00900304" w:rsidRPr="00FA6F1C" w:rsidRDefault="00900304" w:rsidP="00FA6F1C">
            <w:pPr>
              <w:ind w:right="57"/>
              <w:jc w:val="center"/>
              <w:rPr>
                <w:rFonts w:ascii="Times New Roman" w:eastAsia="Times New Roman" w:hAnsi="Times New Roman" w:cs="Times New Roman"/>
                <w:b/>
                <w:sz w:val="28"/>
                <w:szCs w:val="28"/>
              </w:rPr>
            </w:pPr>
            <w:r w:rsidRPr="00FA6F1C">
              <w:rPr>
                <w:rFonts w:ascii="Times New Roman" w:eastAsia="Times New Roman" w:hAnsi="Times New Roman" w:cs="Times New Roman"/>
                <w:b/>
                <w:sz w:val="28"/>
                <w:szCs w:val="28"/>
              </w:rPr>
              <w:t>II. Tiesību akta projekta ietekme uz sabiedrību, tautsaimniecības attīstību</w:t>
            </w:r>
          </w:p>
          <w:p w14:paraId="15082180" w14:textId="77777777" w:rsidR="00900304" w:rsidRPr="00FA6F1C" w:rsidRDefault="00900304" w:rsidP="00FA6F1C">
            <w:pPr>
              <w:jc w:val="center"/>
              <w:rPr>
                <w:rFonts w:ascii="Times New Roman" w:hAnsi="Times New Roman" w:cs="Times New Roman"/>
                <w:sz w:val="28"/>
                <w:szCs w:val="28"/>
              </w:rPr>
            </w:pPr>
            <w:r w:rsidRPr="00FA6F1C">
              <w:rPr>
                <w:rFonts w:ascii="Times New Roman" w:eastAsia="Times New Roman" w:hAnsi="Times New Roman" w:cs="Times New Roman"/>
                <w:b/>
                <w:sz w:val="28"/>
                <w:szCs w:val="28"/>
              </w:rPr>
              <w:t>un administratīvo slogu</w:t>
            </w:r>
          </w:p>
        </w:tc>
      </w:tr>
      <w:tr w:rsidR="00F56EA8" w:rsidRPr="00FA6F1C" w14:paraId="7AD61D21" w14:textId="77777777" w:rsidTr="009E76D9">
        <w:tc>
          <w:tcPr>
            <w:tcW w:w="539" w:type="dxa"/>
          </w:tcPr>
          <w:p w14:paraId="4DD6A230" w14:textId="03C8F735" w:rsidR="00F56EA8" w:rsidRPr="00FA6F1C" w:rsidRDefault="00F56EA8" w:rsidP="00FA6F1C">
            <w:pPr>
              <w:rPr>
                <w:rFonts w:ascii="Times New Roman" w:hAnsi="Times New Roman" w:cs="Times New Roman"/>
                <w:sz w:val="28"/>
                <w:szCs w:val="28"/>
              </w:rPr>
            </w:pPr>
            <w:r w:rsidRPr="00FA6F1C">
              <w:rPr>
                <w:rFonts w:ascii="Times New Roman" w:eastAsia="Times New Roman" w:hAnsi="Times New Roman" w:cs="Times New Roman"/>
                <w:sz w:val="28"/>
                <w:szCs w:val="28"/>
              </w:rPr>
              <w:t>1.</w:t>
            </w:r>
          </w:p>
        </w:tc>
        <w:tc>
          <w:tcPr>
            <w:tcW w:w="3142" w:type="dxa"/>
          </w:tcPr>
          <w:p w14:paraId="3E18FADB" w14:textId="4FC06340" w:rsidR="00F56EA8" w:rsidRPr="00FA6F1C" w:rsidRDefault="00F56EA8" w:rsidP="00FA6F1C">
            <w:pPr>
              <w:rPr>
                <w:rFonts w:ascii="Times New Roman" w:hAnsi="Times New Roman" w:cs="Times New Roman"/>
                <w:sz w:val="28"/>
                <w:szCs w:val="28"/>
              </w:rPr>
            </w:pPr>
            <w:r w:rsidRPr="00FA6F1C">
              <w:rPr>
                <w:rFonts w:ascii="Times New Roman" w:eastAsia="Times New Roman" w:hAnsi="Times New Roman" w:cs="Times New Roman"/>
                <w:sz w:val="28"/>
                <w:szCs w:val="28"/>
              </w:rPr>
              <w:t>Sabiedrības mērķgrupas, kuras tiesiskais regulējums ietekmē vai varētu ietekmēt</w:t>
            </w:r>
          </w:p>
        </w:tc>
        <w:tc>
          <w:tcPr>
            <w:tcW w:w="5954" w:type="dxa"/>
          </w:tcPr>
          <w:p w14:paraId="5BF47D1F" w14:textId="0145B0BB" w:rsidR="00AB4C01" w:rsidRPr="00FA6F1C" w:rsidRDefault="00C66FCF" w:rsidP="00FA6F1C">
            <w:pPr>
              <w:ind w:left="57" w:right="57"/>
              <w:jc w:val="both"/>
              <w:rPr>
                <w:rFonts w:ascii="Times New Roman" w:hAnsi="Times New Roman" w:cs="Times New Roman"/>
                <w:sz w:val="28"/>
                <w:szCs w:val="28"/>
              </w:rPr>
            </w:pPr>
            <w:r w:rsidRPr="00FA6F1C">
              <w:rPr>
                <w:rFonts w:ascii="Times New Roman" w:hAnsi="Times New Roman" w:cs="Times New Roman"/>
                <w:sz w:val="28"/>
                <w:szCs w:val="28"/>
              </w:rPr>
              <w:t>Tie</w:t>
            </w:r>
            <w:r w:rsidR="00AB4C01" w:rsidRPr="00FA6F1C">
              <w:rPr>
                <w:rFonts w:ascii="Times New Roman" w:hAnsi="Times New Roman" w:cs="Times New Roman"/>
                <w:sz w:val="28"/>
                <w:szCs w:val="28"/>
              </w:rPr>
              <w:t>ša ietekme</w:t>
            </w:r>
            <w:r w:rsidRPr="00FA6F1C">
              <w:rPr>
                <w:rFonts w:ascii="Times New Roman" w:hAnsi="Times New Roman" w:cs="Times New Roman"/>
                <w:sz w:val="28"/>
                <w:szCs w:val="28"/>
              </w:rPr>
              <w:t>-</w:t>
            </w:r>
            <w:r w:rsidR="00AB4C01" w:rsidRPr="00FA6F1C">
              <w:rPr>
                <w:rFonts w:ascii="Times New Roman" w:hAnsi="Times New Roman" w:cs="Times New Roman"/>
                <w:sz w:val="28"/>
                <w:szCs w:val="28"/>
              </w:rPr>
              <w:t xml:space="preserve"> </w:t>
            </w:r>
            <w:r w:rsidR="00ED04DE" w:rsidRPr="00FA6F1C">
              <w:rPr>
                <w:rFonts w:ascii="Times New Roman" w:hAnsi="Times New Roman" w:cs="Times New Roman"/>
                <w:sz w:val="28"/>
                <w:szCs w:val="28"/>
              </w:rPr>
              <w:t>F</w:t>
            </w:r>
            <w:r w:rsidR="00A01565" w:rsidRPr="00FA6F1C">
              <w:rPr>
                <w:rFonts w:ascii="Times New Roman" w:hAnsi="Times New Roman" w:cs="Times New Roman"/>
                <w:sz w:val="28"/>
                <w:szCs w:val="28"/>
              </w:rPr>
              <w:t>onda vadībā iesaistītās institūcijas</w:t>
            </w:r>
            <w:r w:rsidR="00ED04DE" w:rsidRPr="00FA6F1C">
              <w:rPr>
                <w:rFonts w:ascii="Times New Roman" w:hAnsi="Times New Roman" w:cs="Times New Roman"/>
                <w:sz w:val="28"/>
                <w:szCs w:val="28"/>
              </w:rPr>
              <w:t>- Labklājības un Finanšu ministrija,</w:t>
            </w:r>
            <w:r w:rsidR="00D16792" w:rsidRPr="00FA6F1C">
              <w:rPr>
                <w:rFonts w:ascii="Times New Roman" w:hAnsi="Times New Roman" w:cs="Times New Roman"/>
                <w:sz w:val="28"/>
                <w:szCs w:val="28"/>
              </w:rPr>
              <w:t xml:space="preserve"> </w:t>
            </w:r>
            <w:r w:rsidR="00ED04DE" w:rsidRPr="00FA6F1C">
              <w:rPr>
                <w:rFonts w:ascii="Times New Roman" w:hAnsi="Times New Roman" w:cs="Times New Roman"/>
                <w:sz w:val="28"/>
                <w:szCs w:val="28"/>
              </w:rPr>
              <w:t>Sabiedrības integrācijas fonds un</w:t>
            </w:r>
            <w:r w:rsidR="00A01565" w:rsidRPr="00FA6F1C">
              <w:rPr>
                <w:rFonts w:ascii="Times New Roman" w:hAnsi="Times New Roman" w:cs="Times New Roman"/>
                <w:sz w:val="28"/>
                <w:szCs w:val="28"/>
              </w:rPr>
              <w:t xml:space="preserve"> </w:t>
            </w:r>
            <w:r w:rsidR="00ED04DE" w:rsidRPr="00FA6F1C">
              <w:rPr>
                <w:rFonts w:ascii="Times New Roman" w:hAnsi="Times New Roman" w:cs="Times New Roman"/>
                <w:sz w:val="28"/>
                <w:szCs w:val="28"/>
              </w:rPr>
              <w:t>Fonda ieviešanā iesaistītās institūcijas-</w:t>
            </w:r>
            <w:r w:rsidR="001543FF">
              <w:rPr>
                <w:rFonts w:ascii="Times New Roman" w:hAnsi="Times New Roman" w:cs="Times New Roman"/>
                <w:sz w:val="28"/>
                <w:szCs w:val="28"/>
              </w:rPr>
              <w:t xml:space="preserve"> </w:t>
            </w:r>
            <w:r w:rsidR="00ED04DE" w:rsidRPr="00FA6F1C">
              <w:rPr>
                <w:rFonts w:ascii="Times New Roman" w:hAnsi="Times New Roman" w:cs="Times New Roman"/>
                <w:sz w:val="28"/>
                <w:szCs w:val="28"/>
              </w:rPr>
              <w:t>finansējuma saņēmējs un</w:t>
            </w:r>
            <w:r w:rsidR="008065FE" w:rsidRPr="00FA6F1C">
              <w:rPr>
                <w:rFonts w:ascii="Times New Roman" w:hAnsi="Times New Roman" w:cs="Times New Roman"/>
                <w:sz w:val="28"/>
                <w:szCs w:val="28"/>
              </w:rPr>
              <w:t xml:space="preserve"> partnerorganizācijas</w:t>
            </w:r>
            <w:r w:rsidR="00AB4C01" w:rsidRPr="00FA6F1C">
              <w:rPr>
                <w:rFonts w:ascii="Times New Roman" w:hAnsi="Times New Roman" w:cs="Times New Roman"/>
                <w:sz w:val="28"/>
                <w:szCs w:val="28"/>
              </w:rPr>
              <w:t>;</w:t>
            </w:r>
          </w:p>
          <w:p w14:paraId="5F5C8138" w14:textId="4292617E" w:rsidR="00F56EA8" w:rsidRPr="00FA6F1C" w:rsidRDefault="00AB4C01" w:rsidP="00405E0D">
            <w:pPr>
              <w:ind w:left="57" w:right="57"/>
              <w:jc w:val="both"/>
              <w:rPr>
                <w:rFonts w:ascii="Times New Roman" w:hAnsi="Times New Roman" w:cs="Times New Roman"/>
                <w:sz w:val="28"/>
                <w:szCs w:val="28"/>
              </w:rPr>
            </w:pPr>
            <w:r w:rsidRPr="00FA6F1C">
              <w:rPr>
                <w:rFonts w:ascii="Times New Roman" w:hAnsi="Times New Roman" w:cs="Times New Roman"/>
                <w:sz w:val="28"/>
                <w:szCs w:val="28"/>
              </w:rPr>
              <w:t>Netie</w:t>
            </w:r>
            <w:r w:rsidR="00C66FCF" w:rsidRPr="00FA6F1C">
              <w:rPr>
                <w:rFonts w:ascii="Times New Roman" w:hAnsi="Times New Roman" w:cs="Times New Roman"/>
                <w:sz w:val="28"/>
                <w:szCs w:val="28"/>
              </w:rPr>
              <w:t>š</w:t>
            </w:r>
            <w:r w:rsidR="00405E0D">
              <w:rPr>
                <w:rFonts w:ascii="Times New Roman" w:hAnsi="Times New Roman" w:cs="Times New Roman"/>
                <w:sz w:val="28"/>
                <w:szCs w:val="28"/>
              </w:rPr>
              <w:t>a</w:t>
            </w:r>
            <w:r w:rsidRPr="00FA6F1C">
              <w:rPr>
                <w:rFonts w:ascii="Times New Roman" w:hAnsi="Times New Roman" w:cs="Times New Roman"/>
                <w:sz w:val="28"/>
                <w:szCs w:val="28"/>
              </w:rPr>
              <w:t xml:space="preserve"> </w:t>
            </w:r>
            <w:r w:rsidR="00405E0D">
              <w:rPr>
                <w:rFonts w:ascii="Times New Roman" w:hAnsi="Times New Roman" w:cs="Times New Roman"/>
                <w:sz w:val="28"/>
                <w:szCs w:val="28"/>
              </w:rPr>
              <w:t>ietekme</w:t>
            </w:r>
            <w:r w:rsidR="00C66FCF" w:rsidRPr="00FA6F1C">
              <w:rPr>
                <w:rFonts w:ascii="Times New Roman" w:hAnsi="Times New Roman" w:cs="Times New Roman"/>
                <w:sz w:val="28"/>
                <w:szCs w:val="28"/>
              </w:rPr>
              <w:t>-</w:t>
            </w:r>
            <w:r w:rsidRPr="00FA6F1C">
              <w:rPr>
                <w:rFonts w:ascii="Times New Roman" w:hAnsi="Times New Roman" w:cs="Times New Roman"/>
                <w:sz w:val="28"/>
                <w:szCs w:val="28"/>
              </w:rPr>
              <w:t xml:space="preserve"> </w:t>
            </w:r>
            <w:r w:rsidR="00405E0D">
              <w:rPr>
                <w:rFonts w:ascii="Times New Roman" w:hAnsi="Times New Roman" w:cs="Times New Roman"/>
                <w:sz w:val="28"/>
                <w:szCs w:val="28"/>
              </w:rPr>
              <w:t xml:space="preserve">Fonda atbalsta </w:t>
            </w:r>
            <w:r w:rsidR="00765E16" w:rsidRPr="00FA6F1C">
              <w:rPr>
                <w:rFonts w:ascii="Times New Roman" w:hAnsi="Times New Roman" w:cs="Times New Roman"/>
                <w:sz w:val="28"/>
                <w:szCs w:val="28"/>
              </w:rPr>
              <w:t>gala</w:t>
            </w:r>
            <w:r w:rsidR="00F56EA8" w:rsidRPr="00FA6F1C">
              <w:rPr>
                <w:rFonts w:ascii="Times New Roman" w:hAnsi="Times New Roman" w:cs="Times New Roman"/>
                <w:sz w:val="28"/>
                <w:szCs w:val="28"/>
              </w:rPr>
              <w:t xml:space="preserve"> </w:t>
            </w:r>
            <w:r w:rsidR="008065FE" w:rsidRPr="00FA6F1C">
              <w:rPr>
                <w:rFonts w:ascii="Times New Roman" w:hAnsi="Times New Roman" w:cs="Times New Roman"/>
                <w:sz w:val="28"/>
                <w:szCs w:val="28"/>
              </w:rPr>
              <w:t>saņēmēji</w:t>
            </w:r>
            <w:r w:rsidR="00C66FCF" w:rsidRPr="00FA6F1C">
              <w:rPr>
                <w:rFonts w:ascii="Times New Roman" w:hAnsi="Times New Roman" w:cs="Times New Roman"/>
                <w:sz w:val="28"/>
                <w:szCs w:val="28"/>
              </w:rPr>
              <w:t>,</w:t>
            </w:r>
            <w:r w:rsidRPr="00FA6F1C">
              <w:rPr>
                <w:rFonts w:ascii="Times New Roman" w:hAnsi="Times New Roman" w:cs="Times New Roman"/>
                <w:sz w:val="28"/>
                <w:szCs w:val="28"/>
              </w:rPr>
              <w:t xml:space="preserve"> kas ir </w:t>
            </w:r>
            <w:r w:rsidR="008065FE" w:rsidRPr="00FA6F1C">
              <w:rPr>
                <w:rFonts w:ascii="Times New Roman" w:hAnsi="Times New Roman" w:cs="Times New Roman"/>
                <w:sz w:val="28"/>
                <w:szCs w:val="28"/>
              </w:rPr>
              <w:t>zemu ienākumu mājsaimniecības</w:t>
            </w:r>
            <w:r w:rsidR="00F56EA8" w:rsidRPr="00FA6F1C">
              <w:rPr>
                <w:rFonts w:ascii="Times New Roman" w:hAnsi="Times New Roman" w:cs="Times New Roman"/>
                <w:sz w:val="28"/>
                <w:szCs w:val="28"/>
              </w:rPr>
              <w:t>.</w:t>
            </w:r>
          </w:p>
        </w:tc>
      </w:tr>
      <w:tr w:rsidR="00F56EA8" w:rsidRPr="00FA6F1C" w14:paraId="1FC65FAB" w14:textId="77777777" w:rsidTr="009E76D9">
        <w:tc>
          <w:tcPr>
            <w:tcW w:w="539" w:type="dxa"/>
          </w:tcPr>
          <w:p w14:paraId="03286863" w14:textId="4C812B95" w:rsidR="00F56EA8" w:rsidRPr="00FA6F1C" w:rsidRDefault="00F56EA8" w:rsidP="00FA6F1C">
            <w:pPr>
              <w:rPr>
                <w:rFonts w:ascii="Times New Roman" w:hAnsi="Times New Roman" w:cs="Times New Roman"/>
                <w:sz w:val="28"/>
                <w:szCs w:val="28"/>
              </w:rPr>
            </w:pPr>
            <w:r w:rsidRPr="00FA6F1C">
              <w:rPr>
                <w:rFonts w:ascii="Times New Roman" w:eastAsia="Times New Roman" w:hAnsi="Times New Roman" w:cs="Times New Roman"/>
                <w:sz w:val="28"/>
                <w:szCs w:val="28"/>
              </w:rPr>
              <w:t>2.</w:t>
            </w:r>
          </w:p>
        </w:tc>
        <w:tc>
          <w:tcPr>
            <w:tcW w:w="3142" w:type="dxa"/>
          </w:tcPr>
          <w:p w14:paraId="403958EF" w14:textId="75DCEBC8" w:rsidR="00F56EA8" w:rsidRPr="00FA6F1C" w:rsidRDefault="00F56EA8" w:rsidP="00FA6F1C">
            <w:pPr>
              <w:rPr>
                <w:rFonts w:ascii="Times New Roman" w:hAnsi="Times New Roman" w:cs="Times New Roman"/>
                <w:sz w:val="28"/>
                <w:szCs w:val="28"/>
              </w:rPr>
            </w:pPr>
            <w:r w:rsidRPr="00FA6F1C">
              <w:rPr>
                <w:rFonts w:ascii="Times New Roman" w:eastAsia="Times New Roman" w:hAnsi="Times New Roman" w:cs="Times New Roman"/>
                <w:sz w:val="28"/>
                <w:szCs w:val="28"/>
              </w:rPr>
              <w:t>Tiesiskā regulējuma ietekme uz tautsaimniecību un administratīvo slogu</w:t>
            </w:r>
          </w:p>
        </w:tc>
        <w:tc>
          <w:tcPr>
            <w:tcW w:w="5954" w:type="dxa"/>
          </w:tcPr>
          <w:p w14:paraId="098DA1A0" w14:textId="5AA60143" w:rsidR="00DC3420" w:rsidRPr="00FA6F1C" w:rsidRDefault="00DC3420" w:rsidP="00FA6F1C">
            <w:pPr>
              <w:spacing w:before="120" w:after="120"/>
              <w:jc w:val="both"/>
              <w:rPr>
                <w:rFonts w:ascii="Times New Roman" w:hAnsi="Times New Roman" w:cs="Times New Roman"/>
                <w:sz w:val="28"/>
                <w:szCs w:val="28"/>
              </w:rPr>
            </w:pPr>
            <w:r w:rsidRPr="00FA6F1C">
              <w:rPr>
                <w:rFonts w:ascii="Times New Roman" w:hAnsi="Times New Roman" w:cs="Times New Roman"/>
                <w:sz w:val="28"/>
                <w:szCs w:val="28"/>
              </w:rPr>
              <w:t>1.</w:t>
            </w:r>
            <w:r w:rsidR="00D16792" w:rsidRPr="00FA6F1C">
              <w:rPr>
                <w:rFonts w:ascii="Times New Roman" w:hAnsi="Times New Roman" w:cs="Times New Roman"/>
                <w:sz w:val="28"/>
                <w:szCs w:val="28"/>
              </w:rPr>
              <w:t>Likumprojekta ieviešanai p</w:t>
            </w:r>
            <w:r w:rsidR="002E7C6A" w:rsidRPr="00FA6F1C">
              <w:rPr>
                <w:rFonts w:ascii="Times New Roman" w:hAnsi="Times New Roman" w:cs="Times New Roman"/>
                <w:sz w:val="28"/>
                <w:szCs w:val="28"/>
              </w:rPr>
              <w:t>lānot</w:t>
            </w:r>
            <w:r w:rsidRPr="00FA6F1C">
              <w:rPr>
                <w:rFonts w:ascii="Times New Roman" w:hAnsi="Times New Roman" w:cs="Times New Roman"/>
                <w:sz w:val="28"/>
                <w:szCs w:val="28"/>
              </w:rPr>
              <w:t>a</w:t>
            </w:r>
            <w:r w:rsidR="00F56EA8" w:rsidRPr="00FA6F1C">
              <w:rPr>
                <w:rFonts w:ascii="Times New Roman" w:hAnsi="Times New Roman" w:cs="Times New Roman"/>
                <w:sz w:val="28"/>
                <w:szCs w:val="28"/>
              </w:rPr>
              <w:t>s</w:t>
            </w:r>
            <w:r w:rsidR="00D16792" w:rsidRPr="00FA6F1C">
              <w:rPr>
                <w:rFonts w:ascii="Times New Roman" w:hAnsi="Times New Roman" w:cs="Times New Roman"/>
                <w:sz w:val="28"/>
                <w:szCs w:val="28"/>
              </w:rPr>
              <w:t xml:space="preserve"> </w:t>
            </w:r>
            <w:r w:rsidR="00ED04DE" w:rsidRPr="00FA6F1C">
              <w:rPr>
                <w:rFonts w:ascii="Times New Roman" w:hAnsi="Times New Roman" w:cs="Times New Roman"/>
                <w:sz w:val="28"/>
                <w:szCs w:val="28"/>
              </w:rPr>
              <w:t>F</w:t>
            </w:r>
            <w:r w:rsidR="004A72D7">
              <w:rPr>
                <w:rFonts w:ascii="Times New Roman" w:hAnsi="Times New Roman" w:cs="Times New Roman"/>
                <w:sz w:val="28"/>
                <w:szCs w:val="28"/>
              </w:rPr>
              <w:t>onda investīcijas 4</w:t>
            </w:r>
            <w:r w:rsidR="004D3842" w:rsidRPr="00FA6F1C">
              <w:rPr>
                <w:rFonts w:ascii="Times New Roman" w:hAnsi="Times New Roman" w:cs="Times New Roman"/>
                <w:sz w:val="28"/>
                <w:szCs w:val="28"/>
              </w:rPr>
              <w:t>1</w:t>
            </w:r>
            <w:r w:rsidR="008065FE" w:rsidRPr="00FA6F1C">
              <w:rPr>
                <w:rFonts w:ascii="Times New Roman" w:hAnsi="Times New Roman" w:cs="Times New Roman"/>
                <w:sz w:val="28"/>
                <w:szCs w:val="28"/>
              </w:rPr>
              <w:t>milj.</w:t>
            </w:r>
            <w:r w:rsidR="00F56EA8" w:rsidRPr="00FA6F1C">
              <w:rPr>
                <w:rFonts w:ascii="Times New Roman" w:hAnsi="Times New Roman" w:cs="Times New Roman"/>
                <w:sz w:val="28"/>
                <w:szCs w:val="28"/>
              </w:rPr>
              <w:t xml:space="preserve"> euro apmērā laika posmā no 2014. līdz 2020.gadam</w:t>
            </w:r>
            <w:r w:rsidR="00315644">
              <w:rPr>
                <w:rFonts w:ascii="Times New Roman" w:hAnsi="Times New Roman" w:cs="Times New Roman"/>
                <w:sz w:val="28"/>
                <w:szCs w:val="28"/>
              </w:rPr>
              <w:t>, piemērojot „n+3” īstenošanas principu.</w:t>
            </w:r>
            <w:r w:rsidR="00F56EA8" w:rsidRPr="00FA6F1C">
              <w:rPr>
                <w:rFonts w:ascii="Times New Roman" w:hAnsi="Times New Roman" w:cs="Times New Roman"/>
                <w:sz w:val="28"/>
                <w:szCs w:val="28"/>
              </w:rPr>
              <w:t xml:space="preserve"> </w:t>
            </w:r>
            <w:r w:rsidRPr="00FA6F1C">
              <w:rPr>
                <w:rFonts w:ascii="Times New Roman" w:hAnsi="Times New Roman" w:cs="Times New Roman"/>
                <w:sz w:val="28"/>
                <w:szCs w:val="28"/>
              </w:rPr>
              <w:t>T</w:t>
            </w:r>
            <w:r w:rsidR="00F56EA8" w:rsidRPr="00FA6F1C">
              <w:rPr>
                <w:rFonts w:ascii="Times New Roman" w:hAnsi="Times New Roman" w:cs="Times New Roman"/>
                <w:sz w:val="28"/>
                <w:szCs w:val="28"/>
              </w:rPr>
              <w:t>iesiskais regulējums</w:t>
            </w:r>
            <w:r w:rsidR="004D3842" w:rsidRPr="00FA6F1C">
              <w:rPr>
                <w:rFonts w:ascii="Times New Roman" w:hAnsi="Times New Roman" w:cs="Times New Roman"/>
                <w:sz w:val="28"/>
                <w:szCs w:val="28"/>
              </w:rPr>
              <w:t xml:space="preserve"> neparedz </w:t>
            </w:r>
            <w:r w:rsidR="00A01565" w:rsidRPr="00FA6F1C">
              <w:rPr>
                <w:rFonts w:ascii="Times New Roman" w:hAnsi="Times New Roman" w:cs="Times New Roman"/>
                <w:sz w:val="28"/>
                <w:szCs w:val="28"/>
              </w:rPr>
              <w:t xml:space="preserve">tiešu </w:t>
            </w:r>
            <w:r w:rsidR="004D3842" w:rsidRPr="00FA6F1C">
              <w:rPr>
                <w:rFonts w:ascii="Times New Roman" w:hAnsi="Times New Roman" w:cs="Times New Roman"/>
                <w:sz w:val="28"/>
                <w:szCs w:val="28"/>
              </w:rPr>
              <w:t>ietekmi uz tautsaimniecību</w:t>
            </w:r>
            <w:r w:rsidR="002E7C6A" w:rsidRPr="00FA6F1C">
              <w:rPr>
                <w:rFonts w:ascii="Times New Roman" w:hAnsi="Times New Roman" w:cs="Times New Roman"/>
                <w:sz w:val="28"/>
                <w:szCs w:val="28"/>
              </w:rPr>
              <w:t xml:space="preserve">, bet </w:t>
            </w:r>
            <w:r w:rsidR="00FB4301" w:rsidRPr="00FA6F1C">
              <w:rPr>
                <w:rFonts w:ascii="Times New Roman" w:hAnsi="Times New Roman" w:cs="Times New Roman"/>
                <w:sz w:val="28"/>
                <w:szCs w:val="28"/>
              </w:rPr>
              <w:t>ta</w:t>
            </w:r>
            <w:r w:rsidR="00B52F7C" w:rsidRPr="00FA6F1C">
              <w:rPr>
                <w:rFonts w:ascii="Times New Roman" w:hAnsi="Times New Roman" w:cs="Times New Roman"/>
                <w:sz w:val="28"/>
                <w:szCs w:val="28"/>
              </w:rPr>
              <w:t>s saistīts ar</w:t>
            </w:r>
            <w:r w:rsidR="00FB4301" w:rsidRPr="00FA6F1C">
              <w:rPr>
                <w:rFonts w:ascii="Times New Roman" w:hAnsi="Times New Roman" w:cs="Times New Roman"/>
                <w:sz w:val="28"/>
                <w:szCs w:val="28"/>
              </w:rPr>
              <w:t xml:space="preserve"> </w:t>
            </w:r>
            <w:r w:rsidR="00A01565" w:rsidRPr="00FA6F1C">
              <w:rPr>
                <w:rFonts w:ascii="Times New Roman" w:hAnsi="Times New Roman" w:cs="Times New Roman"/>
                <w:sz w:val="28"/>
                <w:szCs w:val="28"/>
              </w:rPr>
              <w:t xml:space="preserve">ieguldījumiem </w:t>
            </w:r>
            <w:r w:rsidR="005801C2" w:rsidRPr="00FA6F1C">
              <w:rPr>
                <w:rFonts w:ascii="Times New Roman" w:hAnsi="Times New Roman" w:cs="Times New Roman"/>
                <w:sz w:val="28"/>
                <w:szCs w:val="28"/>
              </w:rPr>
              <w:t xml:space="preserve">nabadzības mazināšanas un </w:t>
            </w:r>
            <w:r w:rsidR="00F56EA8" w:rsidRPr="00FA6F1C">
              <w:rPr>
                <w:rFonts w:ascii="Times New Roman" w:hAnsi="Times New Roman" w:cs="Times New Roman"/>
                <w:sz w:val="28"/>
                <w:szCs w:val="28"/>
              </w:rPr>
              <w:t>sociālās iekļaušanas jom</w:t>
            </w:r>
            <w:r w:rsidR="00A01565" w:rsidRPr="00FA6F1C">
              <w:rPr>
                <w:rFonts w:ascii="Times New Roman" w:hAnsi="Times New Roman" w:cs="Times New Roman"/>
                <w:sz w:val="28"/>
                <w:szCs w:val="28"/>
              </w:rPr>
              <w:t>ā</w:t>
            </w:r>
            <w:r w:rsidR="004D3842" w:rsidRPr="00FA6F1C">
              <w:rPr>
                <w:rFonts w:ascii="Times New Roman" w:hAnsi="Times New Roman" w:cs="Times New Roman"/>
                <w:sz w:val="28"/>
                <w:szCs w:val="28"/>
              </w:rPr>
              <w:t>.</w:t>
            </w:r>
            <w:r w:rsidR="00FB4301" w:rsidRPr="00FA6F1C">
              <w:rPr>
                <w:rFonts w:ascii="Times New Roman" w:hAnsi="Times New Roman" w:cs="Times New Roman"/>
                <w:sz w:val="28"/>
                <w:szCs w:val="28"/>
              </w:rPr>
              <w:t xml:space="preserve"> Kaut arī pārtikas produktu izdalīšana vistrūcīgākajiem iedzīvotājiem </w:t>
            </w:r>
            <w:r w:rsidR="00FB4301" w:rsidRPr="00FA6F1C">
              <w:rPr>
                <w:rFonts w:ascii="Times New Roman" w:hAnsi="Times New Roman" w:cs="Times New Roman"/>
                <w:sz w:val="28"/>
                <w:szCs w:val="28"/>
              </w:rPr>
              <w:lastRenderedPageBreak/>
              <w:t>nevar redzami ma</w:t>
            </w:r>
            <w:r w:rsidR="00C66FCF" w:rsidRPr="00FA6F1C">
              <w:rPr>
                <w:rFonts w:ascii="Times New Roman" w:hAnsi="Times New Roman" w:cs="Times New Roman"/>
                <w:sz w:val="28"/>
                <w:szCs w:val="28"/>
              </w:rPr>
              <w:t>i</w:t>
            </w:r>
            <w:r w:rsidR="00FB4301" w:rsidRPr="00FA6F1C">
              <w:rPr>
                <w:rFonts w:ascii="Times New Roman" w:hAnsi="Times New Roman" w:cs="Times New Roman"/>
                <w:sz w:val="28"/>
                <w:szCs w:val="28"/>
              </w:rPr>
              <w:t>n</w:t>
            </w:r>
            <w:r w:rsidR="00C120A4" w:rsidRPr="00FA6F1C">
              <w:rPr>
                <w:rFonts w:ascii="Times New Roman" w:hAnsi="Times New Roman" w:cs="Times New Roman"/>
                <w:sz w:val="28"/>
                <w:szCs w:val="28"/>
              </w:rPr>
              <w:t>ī</w:t>
            </w:r>
            <w:r w:rsidR="00FB4301" w:rsidRPr="00FA6F1C">
              <w:rPr>
                <w:rFonts w:ascii="Times New Roman" w:hAnsi="Times New Roman" w:cs="Times New Roman"/>
                <w:sz w:val="28"/>
                <w:szCs w:val="28"/>
              </w:rPr>
              <w:t>t kopējo dziļas materiālās nenodrošinātības rādītāju, tomēr var atvieglot vistrūcīgāko iedzīvotāju un mājsaimniecību budžeta slogu, vienlaikus sniedzot ieguldījumu līdzsvarota uztura nodrošināšanai. Nemainīgi augstais dziļas materiālās nenodrošinātības rādītājs pamato nepieciešamību turpināt pārtikas nodrošināšanas aktivitātes</w:t>
            </w:r>
            <w:r w:rsidR="00D16792" w:rsidRPr="00FA6F1C">
              <w:rPr>
                <w:rFonts w:ascii="Times New Roman" w:hAnsi="Times New Roman" w:cs="Times New Roman"/>
                <w:sz w:val="28"/>
                <w:szCs w:val="28"/>
              </w:rPr>
              <w:t xml:space="preserve"> vistrūcīgākajiem iedzīvotājiem, tās papildinot ar pamata materiālās palīdzības preču izdalīšanu ģimenēm ar bērniem</w:t>
            </w:r>
            <w:r w:rsidR="00FB4301" w:rsidRPr="00FA6F1C">
              <w:rPr>
                <w:rFonts w:ascii="Times New Roman" w:hAnsi="Times New Roman" w:cs="Times New Roman"/>
                <w:sz w:val="28"/>
                <w:szCs w:val="28"/>
              </w:rPr>
              <w:t xml:space="preserve">, izmantojot šim mērķim </w:t>
            </w:r>
            <w:r w:rsidR="00ED04DE" w:rsidRPr="00FA6F1C">
              <w:rPr>
                <w:rFonts w:ascii="Times New Roman" w:hAnsi="Times New Roman" w:cs="Times New Roman"/>
                <w:sz w:val="28"/>
                <w:szCs w:val="28"/>
              </w:rPr>
              <w:t>F</w:t>
            </w:r>
            <w:r w:rsidR="00FB4301" w:rsidRPr="00FA6F1C">
              <w:rPr>
                <w:rFonts w:ascii="Times New Roman" w:hAnsi="Times New Roman" w:cs="Times New Roman"/>
                <w:sz w:val="28"/>
                <w:szCs w:val="28"/>
              </w:rPr>
              <w:t>onda finansējumu</w:t>
            </w:r>
            <w:r w:rsidRPr="00FA6F1C">
              <w:rPr>
                <w:rFonts w:ascii="Times New Roman" w:hAnsi="Times New Roman" w:cs="Times New Roman"/>
                <w:sz w:val="28"/>
                <w:szCs w:val="28"/>
              </w:rPr>
              <w:t>.</w:t>
            </w:r>
          </w:p>
          <w:p w14:paraId="2700CC60" w14:textId="06FC6932" w:rsidR="00F0798C" w:rsidRPr="00FA6F1C" w:rsidRDefault="00765E16" w:rsidP="00FA6F1C">
            <w:pPr>
              <w:spacing w:before="120" w:after="120"/>
              <w:jc w:val="both"/>
              <w:rPr>
                <w:rFonts w:ascii="Times New Roman" w:hAnsi="Times New Roman" w:cs="Times New Roman"/>
                <w:sz w:val="28"/>
                <w:szCs w:val="28"/>
              </w:rPr>
            </w:pPr>
            <w:r w:rsidRPr="00FA6F1C">
              <w:rPr>
                <w:rFonts w:ascii="Times New Roman" w:hAnsi="Times New Roman" w:cs="Times New Roman"/>
                <w:sz w:val="28"/>
                <w:szCs w:val="28"/>
              </w:rPr>
              <w:t xml:space="preserve"> </w:t>
            </w:r>
            <w:r w:rsidR="00AB4C01" w:rsidRPr="00FA6F1C">
              <w:rPr>
                <w:rFonts w:ascii="Times New Roman" w:hAnsi="Times New Roman" w:cs="Times New Roman"/>
                <w:sz w:val="28"/>
                <w:szCs w:val="28"/>
              </w:rPr>
              <w:t>2.</w:t>
            </w:r>
            <w:r w:rsidR="00D83127" w:rsidRPr="00FA6F1C">
              <w:rPr>
                <w:rFonts w:ascii="Times New Roman" w:hAnsi="Times New Roman" w:cs="Times New Roman"/>
                <w:sz w:val="28"/>
                <w:szCs w:val="28"/>
              </w:rPr>
              <w:t xml:space="preserve"> </w:t>
            </w:r>
            <w:r w:rsidR="00DC3420" w:rsidRPr="00FA6F1C">
              <w:rPr>
                <w:rFonts w:ascii="Times New Roman" w:hAnsi="Times New Roman" w:cs="Times New Roman"/>
                <w:sz w:val="28"/>
                <w:szCs w:val="28"/>
              </w:rPr>
              <w:t>L</w:t>
            </w:r>
            <w:r w:rsidR="00F56EA8" w:rsidRPr="00FA6F1C">
              <w:rPr>
                <w:rFonts w:ascii="Times New Roman" w:hAnsi="Times New Roman" w:cs="Times New Roman"/>
                <w:sz w:val="28"/>
                <w:szCs w:val="28"/>
              </w:rPr>
              <w:t>ikumprojektā tiek precīzi noteikt</w:t>
            </w:r>
            <w:r w:rsidR="00F0798C" w:rsidRPr="00FA6F1C">
              <w:rPr>
                <w:rFonts w:ascii="Times New Roman" w:hAnsi="Times New Roman" w:cs="Times New Roman"/>
                <w:sz w:val="28"/>
                <w:szCs w:val="28"/>
              </w:rPr>
              <w:t>a</w:t>
            </w:r>
            <w:r w:rsidR="00F56EA8" w:rsidRPr="00FA6F1C">
              <w:rPr>
                <w:rFonts w:ascii="Times New Roman" w:hAnsi="Times New Roman" w:cs="Times New Roman"/>
                <w:sz w:val="28"/>
                <w:szCs w:val="28"/>
              </w:rPr>
              <w:t xml:space="preserve">s vadošās iestādes </w:t>
            </w:r>
            <w:r w:rsidR="00DC3420" w:rsidRPr="00FA6F1C">
              <w:rPr>
                <w:rFonts w:ascii="Times New Roman" w:hAnsi="Times New Roman" w:cs="Times New Roman"/>
                <w:sz w:val="28"/>
                <w:szCs w:val="28"/>
              </w:rPr>
              <w:t>deleģētās</w:t>
            </w:r>
            <w:r w:rsidR="00F56EA8" w:rsidRPr="00FA6F1C">
              <w:rPr>
                <w:rFonts w:ascii="Times New Roman" w:hAnsi="Times New Roman" w:cs="Times New Roman"/>
                <w:sz w:val="28"/>
                <w:szCs w:val="28"/>
              </w:rPr>
              <w:t xml:space="preserve"> funkcij</w:t>
            </w:r>
            <w:r w:rsidR="00AB4C01" w:rsidRPr="00FA6F1C">
              <w:rPr>
                <w:rFonts w:ascii="Times New Roman" w:hAnsi="Times New Roman" w:cs="Times New Roman"/>
                <w:sz w:val="28"/>
                <w:szCs w:val="28"/>
              </w:rPr>
              <w:t>as</w:t>
            </w:r>
            <w:r w:rsidR="00F0798C" w:rsidRPr="00FA6F1C">
              <w:rPr>
                <w:rFonts w:ascii="Times New Roman" w:hAnsi="Times New Roman" w:cs="Times New Roman"/>
                <w:sz w:val="28"/>
                <w:szCs w:val="28"/>
              </w:rPr>
              <w:t xml:space="preserve"> </w:t>
            </w:r>
            <w:r w:rsidR="007253D8" w:rsidRPr="00FA6F1C">
              <w:rPr>
                <w:rFonts w:ascii="Times New Roman" w:hAnsi="Times New Roman" w:cs="Times New Roman"/>
                <w:sz w:val="28"/>
                <w:szCs w:val="28"/>
              </w:rPr>
              <w:t>sadarbības iestāde</w:t>
            </w:r>
            <w:r w:rsidR="00F0798C" w:rsidRPr="00FA6F1C">
              <w:rPr>
                <w:rFonts w:ascii="Times New Roman" w:hAnsi="Times New Roman" w:cs="Times New Roman"/>
                <w:sz w:val="28"/>
                <w:szCs w:val="28"/>
              </w:rPr>
              <w:t xml:space="preserve">i, </w:t>
            </w:r>
            <w:r w:rsidR="00DC3420" w:rsidRPr="00FA6F1C">
              <w:rPr>
                <w:rFonts w:ascii="Times New Roman" w:hAnsi="Times New Roman" w:cs="Times New Roman"/>
                <w:sz w:val="28"/>
                <w:szCs w:val="28"/>
              </w:rPr>
              <w:t>nodrošinot</w:t>
            </w:r>
            <w:r w:rsidR="00F56EA8" w:rsidRPr="00FA6F1C">
              <w:rPr>
                <w:rFonts w:ascii="Times New Roman" w:hAnsi="Times New Roman" w:cs="Times New Roman"/>
                <w:sz w:val="28"/>
                <w:szCs w:val="28"/>
              </w:rPr>
              <w:t xml:space="preserve"> funkciju nedublēšanos, kā arī izslēdzot interpretācijas iespējas attiecībā uz funkciju pārdali un atbildībām.</w:t>
            </w:r>
            <w:r w:rsidR="00B52F7C" w:rsidRPr="00FA6F1C">
              <w:rPr>
                <w:rFonts w:ascii="Times New Roman" w:hAnsi="Times New Roman" w:cs="Times New Roman"/>
                <w:sz w:val="28"/>
                <w:szCs w:val="28"/>
              </w:rPr>
              <w:t xml:space="preserve"> </w:t>
            </w:r>
            <w:r w:rsidR="00ED04DE" w:rsidRPr="00FA6F1C">
              <w:rPr>
                <w:rFonts w:ascii="Times New Roman" w:hAnsi="Times New Roman" w:cs="Times New Roman"/>
                <w:sz w:val="28"/>
                <w:szCs w:val="28"/>
              </w:rPr>
              <w:t>Fonda vadībā iesaistītajām institūcijām netiek uzl</w:t>
            </w:r>
            <w:r w:rsidR="00C120A4" w:rsidRPr="00FA6F1C">
              <w:rPr>
                <w:rFonts w:ascii="Times New Roman" w:hAnsi="Times New Roman" w:cs="Times New Roman"/>
                <w:sz w:val="28"/>
                <w:szCs w:val="28"/>
              </w:rPr>
              <w:t>ikti nekādi papildus nosacījumi</w:t>
            </w:r>
            <w:r w:rsidR="00ED04DE" w:rsidRPr="00FA6F1C">
              <w:rPr>
                <w:rFonts w:ascii="Times New Roman" w:hAnsi="Times New Roman" w:cs="Times New Roman"/>
                <w:sz w:val="28"/>
                <w:szCs w:val="28"/>
              </w:rPr>
              <w:t>,</w:t>
            </w:r>
            <w:r w:rsidR="00C120A4" w:rsidRPr="00FA6F1C">
              <w:rPr>
                <w:rFonts w:ascii="Times New Roman" w:hAnsi="Times New Roman" w:cs="Times New Roman"/>
                <w:sz w:val="28"/>
                <w:szCs w:val="28"/>
              </w:rPr>
              <w:t xml:space="preserve"> </w:t>
            </w:r>
            <w:r w:rsidR="00ED04DE" w:rsidRPr="00FA6F1C">
              <w:rPr>
                <w:rFonts w:ascii="Times New Roman" w:hAnsi="Times New Roman" w:cs="Times New Roman"/>
                <w:sz w:val="28"/>
                <w:szCs w:val="28"/>
              </w:rPr>
              <w:t xml:space="preserve">kas nebūtu kā minimālie noteikti regulā </w:t>
            </w:r>
            <w:r w:rsidR="00C120A4" w:rsidRPr="00FA6F1C">
              <w:rPr>
                <w:rFonts w:ascii="Times New Roman" w:hAnsi="Times New Roman" w:cs="Times New Roman"/>
                <w:sz w:val="28"/>
                <w:szCs w:val="28"/>
              </w:rPr>
              <w:t>Nr.233</w:t>
            </w:r>
            <w:r w:rsidR="00ED04DE" w:rsidRPr="00FA6F1C">
              <w:rPr>
                <w:rFonts w:ascii="Times New Roman" w:hAnsi="Times New Roman" w:cs="Times New Roman"/>
                <w:sz w:val="28"/>
                <w:szCs w:val="28"/>
              </w:rPr>
              <w:t xml:space="preserve">/2014 vai </w:t>
            </w:r>
            <w:r w:rsidR="00C120A4" w:rsidRPr="00FA6F1C">
              <w:rPr>
                <w:rFonts w:ascii="Times New Roman" w:hAnsi="Times New Roman" w:cs="Times New Roman"/>
                <w:sz w:val="28"/>
                <w:szCs w:val="28"/>
              </w:rPr>
              <w:t xml:space="preserve">tās </w:t>
            </w:r>
            <w:r w:rsidR="00ED04DE" w:rsidRPr="00FA6F1C">
              <w:rPr>
                <w:rFonts w:ascii="Times New Roman" w:hAnsi="Times New Roman" w:cs="Times New Roman"/>
                <w:sz w:val="28"/>
                <w:szCs w:val="28"/>
              </w:rPr>
              <w:t>deleģētajos</w:t>
            </w:r>
            <w:r w:rsidR="00C120A4" w:rsidRPr="00FA6F1C">
              <w:rPr>
                <w:rFonts w:ascii="Times New Roman" w:hAnsi="Times New Roman" w:cs="Times New Roman"/>
                <w:sz w:val="28"/>
                <w:szCs w:val="28"/>
              </w:rPr>
              <w:t xml:space="preserve"> un īstenošanas</w:t>
            </w:r>
            <w:r w:rsidR="00ED04DE" w:rsidRPr="00FA6F1C">
              <w:rPr>
                <w:rFonts w:ascii="Times New Roman" w:hAnsi="Times New Roman" w:cs="Times New Roman"/>
                <w:sz w:val="28"/>
                <w:szCs w:val="28"/>
              </w:rPr>
              <w:t xml:space="preserve"> aktos</w:t>
            </w:r>
            <w:r w:rsidR="00C120A4" w:rsidRPr="00FA6F1C">
              <w:rPr>
                <w:rFonts w:ascii="Times New Roman" w:hAnsi="Times New Roman" w:cs="Times New Roman"/>
                <w:sz w:val="28"/>
                <w:szCs w:val="28"/>
              </w:rPr>
              <w:t>.</w:t>
            </w:r>
            <w:r w:rsidR="00405E0D">
              <w:rPr>
                <w:rFonts w:ascii="Times New Roman" w:hAnsi="Times New Roman" w:cs="Times New Roman"/>
                <w:sz w:val="28"/>
                <w:szCs w:val="28"/>
              </w:rPr>
              <w:t xml:space="preserve"> </w:t>
            </w:r>
            <w:r w:rsidR="00EB6BC4" w:rsidRPr="00FA6F1C">
              <w:rPr>
                <w:rFonts w:ascii="Times New Roman" w:hAnsi="Times New Roman" w:cs="Times New Roman"/>
                <w:sz w:val="28"/>
                <w:szCs w:val="28"/>
              </w:rPr>
              <w:t>Plānotā e-pārvaldības sistēma būtiski samazinās jebkādu administratīvo slogu, nav paredzēta nekāda dokumentu dublēšana, ja informācija pieejama Fonda informācijas sistēmā</w:t>
            </w:r>
            <w:r w:rsidR="00D83127" w:rsidRPr="00FA6F1C">
              <w:rPr>
                <w:rFonts w:ascii="Times New Roman" w:hAnsi="Times New Roman" w:cs="Times New Roman"/>
                <w:sz w:val="28"/>
                <w:szCs w:val="28"/>
              </w:rPr>
              <w:t>.</w:t>
            </w:r>
          </w:p>
          <w:p w14:paraId="7315A0CA" w14:textId="7D09C44A" w:rsidR="00F56EA8" w:rsidRPr="00FA6F1C" w:rsidRDefault="00AB4C01" w:rsidP="00FA6F1C">
            <w:pPr>
              <w:shd w:val="clear" w:color="auto" w:fill="FFFFFF"/>
              <w:jc w:val="both"/>
              <w:rPr>
                <w:rFonts w:ascii="Times New Roman" w:hAnsi="Times New Roman" w:cs="Times New Roman"/>
                <w:sz w:val="28"/>
                <w:szCs w:val="28"/>
              </w:rPr>
            </w:pPr>
            <w:r w:rsidRPr="00FA6F1C">
              <w:rPr>
                <w:rFonts w:ascii="Times New Roman" w:hAnsi="Times New Roman" w:cs="Times New Roman"/>
                <w:sz w:val="28"/>
                <w:szCs w:val="28"/>
              </w:rPr>
              <w:t>3.</w:t>
            </w:r>
            <w:r w:rsidR="00D83127" w:rsidRPr="00FA6F1C">
              <w:rPr>
                <w:rFonts w:ascii="Times New Roman" w:hAnsi="Times New Roman" w:cs="Times New Roman"/>
                <w:sz w:val="28"/>
                <w:szCs w:val="28"/>
              </w:rPr>
              <w:t xml:space="preserve"> </w:t>
            </w:r>
            <w:r w:rsidR="00B52F7C" w:rsidRPr="00FA6F1C">
              <w:rPr>
                <w:rFonts w:ascii="Times New Roman" w:hAnsi="Times New Roman" w:cs="Times New Roman"/>
                <w:sz w:val="28"/>
                <w:szCs w:val="28"/>
              </w:rPr>
              <w:t xml:space="preserve">Arī </w:t>
            </w:r>
            <w:r w:rsidR="00D83127" w:rsidRPr="00FA6F1C">
              <w:rPr>
                <w:rFonts w:ascii="Times New Roman" w:hAnsi="Times New Roman" w:cs="Times New Roman"/>
                <w:sz w:val="28"/>
                <w:szCs w:val="28"/>
              </w:rPr>
              <w:t xml:space="preserve">Fonda </w:t>
            </w:r>
            <w:r w:rsidR="00B52F7C" w:rsidRPr="00FA6F1C">
              <w:rPr>
                <w:rFonts w:ascii="Times New Roman" w:hAnsi="Times New Roman" w:cs="Times New Roman"/>
                <w:sz w:val="28"/>
                <w:szCs w:val="28"/>
              </w:rPr>
              <w:t>īstenošanas fāzē tiek minimizēts papildus administratīvais slogs iesaistītajām partnerorganizācijām</w:t>
            </w:r>
            <w:r w:rsidR="00CC2F72" w:rsidRPr="00FA6F1C">
              <w:rPr>
                <w:rFonts w:ascii="Times New Roman" w:hAnsi="Times New Roman" w:cs="Times New Roman"/>
                <w:sz w:val="28"/>
                <w:szCs w:val="28"/>
              </w:rPr>
              <w:t xml:space="preserve">. </w:t>
            </w:r>
            <w:r w:rsidR="008065FE" w:rsidRPr="00FA6F1C">
              <w:rPr>
                <w:rFonts w:ascii="Times New Roman" w:hAnsi="Times New Roman" w:cs="Times New Roman"/>
                <w:sz w:val="28"/>
                <w:szCs w:val="28"/>
              </w:rPr>
              <w:t>Pašvaldību sociālie dienesti jau šobrīd vērtē personas (</w:t>
            </w:r>
            <w:r w:rsidR="00D83127" w:rsidRPr="00FA6F1C">
              <w:rPr>
                <w:rFonts w:ascii="Times New Roman" w:hAnsi="Times New Roman" w:cs="Times New Roman"/>
                <w:sz w:val="28"/>
                <w:szCs w:val="28"/>
              </w:rPr>
              <w:t>ģimenes</w:t>
            </w:r>
            <w:r w:rsidR="008065FE" w:rsidRPr="00FA6F1C">
              <w:rPr>
                <w:rFonts w:ascii="Times New Roman" w:hAnsi="Times New Roman" w:cs="Times New Roman"/>
                <w:sz w:val="28"/>
                <w:szCs w:val="28"/>
              </w:rPr>
              <w:t>) ienākumu un materiālā stāvokļa līmeni saskaņā ar normatīvajiem aktiem sociālo pakalpojumu un sociālās palīdzības jomā un izsniedz izziņu par personas atbilstību trūcīgas vai maznodrošinātas personas (</w:t>
            </w:r>
            <w:r w:rsidR="00D83127" w:rsidRPr="00FA6F1C">
              <w:rPr>
                <w:rFonts w:ascii="Times New Roman" w:hAnsi="Times New Roman" w:cs="Times New Roman"/>
                <w:sz w:val="28"/>
                <w:szCs w:val="28"/>
              </w:rPr>
              <w:t>ģimenes</w:t>
            </w:r>
            <w:r w:rsidR="008065FE" w:rsidRPr="00FA6F1C">
              <w:rPr>
                <w:rFonts w:ascii="Times New Roman" w:hAnsi="Times New Roman" w:cs="Times New Roman"/>
                <w:sz w:val="28"/>
                <w:szCs w:val="28"/>
              </w:rPr>
              <w:t xml:space="preserve">) statusam. Tādējādi šīs izziņas izmantošana, lai saņemtu </w:t>
            </w:r>
            <w:r w:rsidR="00D83127" w:rsidRPr="00FA6F1C">
              <w:rPr>
                <w:rFonts w:ascii="Times New Roman" w:hAnsi="Times New Roman" w:cs="Times New Roman"/>
                <w:sz w:val="28"/>
                <w:szCs w:val="28"/>
              </w:rPr>
              <w:t>F</w:t>
            </w:r>
            <w:r w:rsidRPr="00FA6F1C">
              <w:rPr>
                <w:rFonts w:ascii="Times New Roman" w:hAnsi="Times New Roman" w:cs="Times New Roman"/>
                <w:sz w:val="28"/>
                <w:szCs w:val="28"/>
              </w:rPr>
              <w:t>onda</w:t>
            </w:r>
            <w:r w:rsidR="008065FE" w:rsidRPr="00FA6F1C">
              <w:rPr>
                <w:rFonts w:ascii="Times New Roman" w:hAnsi="Times New Roman" w:cs="Times New Roman"/>
                <w:sz w:val="28"/>
                <w:szCs w:val="28"/>
              </w:rPr>
              <w:t xml:space="preserve"> līdzfinansēto palīdzību, neradī</w:t>
            </w:r>
            <w:r w:rsidR="00B52F7C" w:rsidRPr="00FA6F1C">
              <w:rPr>
                <w:rFonts w:ascii="Times New Roman" w:hAnsi="Times New Roman" w:cs="Times New Roman"/>
                <w:sz w:val="28"/>
                <w:szCs w:val="28"/>
              </w:rPr>
              <w:t>s</w:t>
            </w:r>
            <w:r w:rsidR="008065FE" w:rsidRPr="00FA6F1C">
              <w:rPr>
                <w:rFonts w:ascii="Times New Roman" w:hAnsi="Times New Roman" w:cs="Times New Roman"/>
                <w:sz w:val="28"/>
                <w:szCs w:val="28"/>
              </w:rPr>
              <w:t xml:space="preserve"> papildu administratīvo slogu. Savukārt gadījumos, kad persona formāli neatbilst trūcīgas vai maznodrošinātas personas statusa piešķiršanai, </w:t>
            </w:r>
            <w:r w:rsidR="00D83127" w:rsidRPr="00FA6F1C">
              <w:rPr>
                <w:rFonts w:ascii="Times New Roman" w:hAnsi="Times New Roman" w:cs="Times New Roman"/>
                <w:sz w:val="28"/>
                <w:szCs w:val="28"/>
              </w:rPr>
              <w:t>bet</w:t>
            </w:r>
            <w:r w:rsidR="008065FE" w:rsidRPr="00FA6F1C">
              <w:rPr>
                <w:rFonts w:ascii="Times New Roman" w:hAnsi="Times New Roman" w:cs="Times New Roman"/>
                <w:sz w:val="28"/>
                <w:szCs w:val="28"/>
              </w:rPr>
              <w:t xml:space="preserve"> ģimene vai atsevišķi dzīvojoša persona ir nonākusi krīzes situācijā, pašvaldības sociālais dienests </w:t>
            </w:r>
            <w:r w:rsidR="00D83127" w:rsidRPr="00FA6F1C">
              <w:rPr>
                <w:rFonts w:ascii="Times New Roman" w:hAnsi="Times New Roman" w:cs="Times New Roman"/>
                <w:sz w:val="28"/>
                <w:szCs w:val="28"/>
              </w:rPr>
              <w:t>sniedz</w:t>
            </w:r>
            <w:r w:rsidR="008065FE" w:rsidRPr="00FA6F1C">
              <w:rPr>
                <w:rFonts w:ascii="Times New Roman" w:hAnsi="Times New Roman" w:cs="Times New Roman"/>
                <w:sz w:val="28"/>
                <w:szCs w:val="28"/>
              </w:rPr>
              <w:t xml:space="preserve"> izziņu, norādot, ka personai ir nepieciešama tūlītēja palīdzība ārkārtas situācijas risināšanai</w:t>
            </w:r>
            <w:r w:rsidRPr="00FA6F1C">
              <w:rPr>
                <w:rFonts w:ascii="Times New Roman" w:hAnsi="Times New Roman" w:cs="Times New Roman"/>
                <w:sz w:val="28"/>
                <w:szCs w:val="28"/>
              </w:rPr>
              <w:t>.</w:t>
            </w:r>
          </w:p>
        </w:tc>
      </w:tr>
      <w:tr w:rsidR="00F56EA8" w:rsidRPr="00FA6F1C" w14:paraId="5905BFFD" w14:textId="77777777" w:rsidTr="009E76D9">
        <w:tc>
          <w:tcPr>
            <w:tcW w:w="539" w:type="dxa"/>
          </w:tcPr>
          <w:p w14:paraId="664A2215" w14:textId="37304FEA" w:rsidR="00F56EA8" w:rsidRPr="00FA6F1C" w:rsidRDefault="00F56EA8" w:rsidP="00FA6F1C">
            <w:pPr>
              <w:rPr>
                <w:rFonts w:ascii="Times New Roman" w:hAnsi="Times New Roman" w:cs="Times New Roman"/>
                <w:sz w:val="28"/>
                <w:szCs w:val="28"/>
              </w:rPr>
            </w:pPr>
            <w:r w:rsidRPr="00FA6F1C">
              <w:rPr>
                <w:rFonts w:ascii="Times New Roman" w:eastAsia="Times New Roman" w:hAnsi="Times New Roman" w:cs="Times New Roman"/>
                <w:sz w:val="28"/>
                <w:szCs w:val="28"/>
              </w:rPr>
              <w:lastRenderedPageBreak/>
              <w:t>3.</w:t>
            </w:r>
          </w:p>
        </w:tc>
        <w:tc>
          <w:tcPr>
            <w:tcW w:w="3142" w:type="dxa"/>
          </w:tcPr>
          <w:p w14:paraId="450A6322" w14:textId="537691EF" w:rsidR="00F56EA8" w:rsidRPr="00FA6F1C" w:rsidRDefault="00F56EA8" w:rsidP="00FA6F1C">
            <w:pPr>
              <w:rPr>
                <w:rFonts w:ascii="Times New Roman" w:hAnsi="Times New Roman" w:cs="Times New Roman"/>
                <w:sz w:val="28"/>
                <w:szCs w:val="28"/>
              </w:rPr>
            </w:pPr>
            <w:r w:rsidRPr="00FA6F1C">
              <w:rPr>
                <w:rFonts w:ascii="Times New Roman" w:eastAsia="Times New Roman" w:hAnsi="Times New Roman" w:cs="Times New Roman"/>
                <w:sz w:val="28"/>
                <w:szCs w:val="28"/>
              </w:rPr>
              <w:t>Administratīvo izmaksu monetārs novērtējums</w:t>
            </w:r>
          </w:p>
        </w:tc>
        <w:tc>
          <w:tcPr>
            <w:tcW w:w="5954" w:type="dxa"/>
          </w:tcPr>
          <w:p w14:paraId="432C8973" w14:textId="5B604AB5" w:rsidR="00C66FCF" w:rsidRPr="00FA6F1C" w:rsidRDefault="00C66FCF" w:rsidP="00FA6F1C">
            <w:pPr>
              <w:spacing w:before="120" w:after="120"/>
              <w:jc w:val="both"/>
              <w:rPr>
                <w:rFonts w:ascii="Times New Roman" w:hAnsi="Times New Roman" w:cs="Times New Roman"/>
                <w:sz w:val="28"/>
                <w:szCs w:val="28"/>
              </w:rPr>
            </w:pPr>
            <w:r w:rsidRPr="00FA6F1C">
              <w:rPr>
                <w:rFonts w:ascii="Times New Roman" w:hAnsi="Times New Roman" w:cs="Times New Roman"/>
                <w:sz w:val="28"/>
                <w:szCs w:val="28"/>
              </w:rPr>
              <w:t>1.</w:t>
            </w:r>
            <w:r w:rsidR="00C120A4" w:rsidRPr="00FA6F1C">
              <w:rPr>
                <w:rFonts w:ascii="Times New Roman" w:hAnsi="Times New Roman" w:cs="Times New Roman"/>
                <w:sz w:val="28"/>
                <w:szCs w:val="28"/>
              </w:rPr>
              <w:t>F</w:t>
            </w:r>
            <w:r w:rsidR="00B52F7C" w:rsidRPr="00FA6F1C">
              <w:rPr>
                <w:rFonts w:ascii="Times New Roman" w:hAnsi="Times New Roman" w:cs="Times New Roman"/>
                <w:sz w:val="28"/>
                <w:szCs w:val="28"/>
              </w:rPr>
              <w:t>onda</w:t>
            </w:r>
            <w:r w:rsidR="00F56EA8" w:rsidRPr="00FA6F1C">
              <w:rPr>
                <w:rFonts w:ascii="Times New Roman" w:hAnsi="Times New Roman" w:cs="Times New Roman"/>
                <w:sz w:val="28"/>
                <w:szCs w:val="28"/>
              </w:rPr>
              <w:t xml:space="preserve"> </w:t>
            </w:r>
            <w:r w:rsidR="00106A9B" w:rsidRPr="00FA6F1C">
              <w:rPr>
                <w:rFonts w:ascii="Times New Roman" w:hAnsi="Times New Roman" w:cs="Times New Roman"/>
                <w:sz w:val="28"/>
                <w:szCs w:val="28"/>
              </w:rPr>
              <w:t>vadības un kontroles sistēmas nodrošināšanai</w:t>
            </w:r>
            <w:r w:rsidR="00F56EA8" w:rsidRPr="00FA6F1C">
              <w:rPr>
                <w:rFonts w:ascii="Times New Roman" w:hAnsi="Times New Roman" w:cs="Times New Roman"/>
                <w:sz w:val="28"/>
                <w:szCs w:val="28"/>
              </w:rPr>
              <w:t xml:space="preserve"> </w:t>
            </w:r>
            <w:r w:rsidR="00106A9B" w:rsidRPr="00FA6F1C">
              <w:rPr>
                <w:rFonts w:ascii="Times New Roman" w:hAnsi="Times New Roman" w:cs="Times New Roman"/>
                <w:sz w:val="28"/>
                <w:szCs w:val="28"/>
              </w:rPr>
              <w:t>2014</w:t>
            </w:r>
            <w:r w:rsidR="00315644">
              <w:rPr>
                <w:rFonts w:ascii="Times New Roman" w:hAnsi="Times New Roman" w:cs="Times New Roman"/>
                <w:sz w:val="28"/>
                <w:szCs w:val="28"/>
              </w:rPr>
              <w:t>.</w:t>
            </w:r>
            <w:r w:rsidR="00106A9B" w:rsidRPr="00FA6F1C">
              <w:rPr>
                <w:rFonts w:ascii="Times New Roman" w:hAnsi="Times New Roman" w:cs="Times New Roman"/>
                <w:sz w:val="28"/>
                <w:szCs w:val="28"/>
              </w:rPr>
              <w:t xml:space="preserve">-2020.gada plānošanas </w:t>
            </w:r>
            <w:r w:rsidR="00106A9B" w:rsidRPr="00FA6F1C">
              <w:rPr>
                <w:rFonts w:ascii="Times New Roman" w:hAnsi="Times New Roman" w:cs="Times New Roman"/>
                <w:sz w:val="28"/>
                <w:szCs w:val="28"/>
              </w:rPr>
              <w:lastRenderedPageBreak/>
              <w:t xml:space="preserve">periodā </w:t>
            </w:r>
            <w:r w:rsidR="00F56EA8" w:rsidRPr="00FA6F1C">
              <w:rPr>
                <w:rFonts w:ascii="Times New Roman" w:hAnsi="Times New Roman" w:cs="Times New Roman"/>
                <w:sz w:val="28"/>
                <w:szCs w:val="28"/>
              </w:rPr>
              <w:t xml:space="preserve">tiek </w:t>
            </w:r>
            <w:r w:rsidR="00D83127" w:rsidRPr="00FA6F1C">
              <w:rPr>
                <w:rFonts w:ascii="Times New Roman" w:hAnsi="Times New Roman" w:cs="Times New Roman"/>
                <w:sz w:val="28"/>
                <w:szCs w:val="28"/>
              </w:rPr>
              <w:t>paredzēti</w:t>
            </w:r>
            <w:r w:rsidR="00106A9B" w:rsidRPr="00FA6F1C">
              <w:rPr>
                <w:rFonts w:ascii="Times New Roman" w:hAnsi="Times New Roman" w:cs="Times New Roman"/>
                <w:sz w:val="28"/>
                <w:szCs w:val="28"/>
              </w:rPr>
              <w:t xml:space="preserve"> 2.4</w:t>
            </w:r>
            <w:r w:rsidR="00F56EA8" w:rsidRPr="00FA6F1C">
              <w:rPr>
                <w:rFonts w:ascii="Times New Roman" w:hAnsi="Times New Roman" w:cs="Times New Roman"/>
                <w:sz w:val="28"/>
                <w:szCs w:val="28"/>
              </w:rPr>
              <w:t xml:space="preserve"> milj. euro. Minētais finansējums tiek plānots saskaņā ar </w:t>
            </w:r>
            <w:r w:rsidR="008E441B" w:rsidRPr="00FA6F1C">
              <w:rPr>
                <w:rFonts w:ascii="Times New Roman" w:hAnsi="Times New Roman" w:cs="Times New Roman"/>
                <w:sz w:val="28"/>
                <w:szCs w:val="28"/>
              </w:rPr>
              <w:t>Regul</w:t>
            </w:r>
            <w:r w:rsidR="002D58D0" w:rsidRPr="00FA6F1C">
              <w:rPr>
                <w:rFonts w:ascii="Times New Roman" w:hAnsi="Times New Roman" w:cs="Times New Roman"/>
                <w:sz w:val="28"/>
                <w:szCs w:val="28"/>
              </w:rPr>
              <w:t>as</w:t>
            </w:r>
            <w:r w:rsidR="00F56EA8" w:rsidRPr="00FA6F1C">
              <w:rPr>
                <w:rFonts w:ascii="Times New Roman" w:hAnsi="Times New Roman" w:cs="Times New Roman"/>
                <w:sz w:val="28"/>
                <w:szCs w:val="28"/>
              </w:rPr>
              <w:t xml:space="preserve"> </w:t>
            </w:r>
            <w:r w:rsidR="003714C5" w:rsidRPr="00FA6F1C">
              <w:rPr>
                <w:rFonts w:ascii="Times New Roman" w:hAnsi="Times New Roman" w:cs="Times New Roman"/>
                <w:sz w:val="28"/>
                <w:szCs w:val="28"/>
              </w:rPr>
              <w:t>Nr.</w:t>
            </w:r>
            <w:r w:rsidR="00106A9B" w:rsidRPr="00FA6F1C">
              <w:rPr>
                <w:rFonts w:ascii="Times New Roman" w:hAnsi="Times New Roman" w:cs="Times New Roman"/>
                <w:sz w:val="28"/>
                <w:szCs w:val="28"/>
              </w:rPr>
              <w:t>223/2014</w:t>
            </w:r>
            <w:r w:rsidR="002D58D0" w:rsidRPr="00FA6F1C">
              <w:rPr>
                <w:rFonts w:ascii="Times New Roman" w:hAnsi="Times New Roman" w:cs="Times New Roman"/>
                <w:sz w:val="28"/>
                <w:szCs w:val="28"/>
              </w:rPr>
              <w:t xml:space="preserve"> 27.panta ceturto daļu</w:t>
            </w:r>
            <w:r w:rsidR="00F56EA8" w:rsidRPr="00FA6F1C">
              <w:rPr>
                <w:rFonts w:ascii="Times New Roman" w:hAnsi="Times New Roman" w:cs="Times New Roman"/>
                <w:sz w:val="28"/>
                <w:szCs w:val="28"/>
              </w:rPr>
              <w:t xml:space="preserve">, kas nosaka atbalsta </w:t>
            </w:r>
            <w:r w:rsidR="00D83127" w:rsidRPr="00FA6F1C">
              <w:rPr>
                <w:rFonts w:ascii="Times New Roman" w:hAnsi="Times New Roman" w:cs="Times New Roman"/>
                <w:sz w:val="28"/>
                <w:szCs w:val="28"/>
              </w:rPr>
              <w:t>F</w:t>
            </w:r>
            <w:r w:rsidR="00F56EA8" w:rsidRPr="00FA6F1C">
              <w:rPr>
                <w:rFonts w:ascii="Times New Roman" w:hAnsi="Times New Roman" w:cs="Times New Roman"/>
                <w:sz w:val="28"/>
                <w:szCs w:val="28"/>
              </w:rPr>
              <w:t xml:space="preserve">ondu vadībai limitu līdz </w:t>
            </w:r>
            <w:r w:rsidR="00106A9B" w:rsidRPr="00FA6F1C">
              <w:rPr>
                <w:rFonts w:ascii="Times New Roman" w:hAnsi="Times New Roman" w:cs="Times New Roman"/>
                <w:sz w:val="28"/>
                <w:szCs w:val="28"/>
              </w:rPr>
              <w:t>5</w:t>
            </w:r>
            <w:r w:rsidR="00F56EA8" w:rsidRPr="00FA6F1C">
              <w:rPr>
                <w:rFonts w:ascii="Times New Roman" w:hAnsi="Times New Roman" w:cs="Times New Roman"/>
                <w:sz w:val="28"/>
                <w:szCs w:val="28"/>
              </w:rPr>
              <w:t>%, papildus plānojot nacionālā līdzfinansējuma daļu 15% apmērā</w:t>
            </w:r>
            <w:r w:rsidR="002D58D0" w:rsidRPr="00FA6F1C">
              <w:rPr>
                <w:rFonts w:ascii="Times New Roman" w:hAnsi="Times New Roman" w:cs="Times New Roman"/>
                <w:sz w:val="28"/>
                <w:szCs w:val="28"/>
              </w:rPr>
              <w:t>.</w:t>
            </w:r>
            <w:r w:rsidR="00F56EA8" w:rsidRPr="00FA6F1C">
              <w:rPr>
                <w:rFonts w:ascii="Times New Roman" w:hAnsi="Times New Roman" w:cs="Times New Roman"/>
                <w:sz w:val="28"/>
                <w:szCs w:val="28"/>
              </w:rPr>
              <w:t xml:space="preserve"> </w:t>
            </w:r>
          </w:p>
          <w:p w14:paraId="00E9938B" w14:textId="77777777" w:rsidR="00D83127" w:rsidRPr="00FA6F1C" w:rsidRDefault="00C66FCF" w:rsidP="00FA6F1C">
            <w:pPr>
              <w:spacing w:before="120" w:after="120"/>
              <w:jc w:val="both"/>
              <w:rPr>
                <w:rFonts w:ascii="Times New Roman" w:hAnsi="Times New Roman" w:cs="Times New Roman"/>
                <w:sz w:val="28"/>
                <w:szCs w:val="28"/>
              </w:rPr>
            </w:pPr>
            <w:r w:rsidRPr="00FA6F1C">
              <w:rPr>
                <w:rFonts w:ascii="Times New Roman" w:hAnsi="Times New Roman" w:cs="Times New Roman"/>
                <w:sz w:val="28"/>
                <w:szCs w:val="28"/>
              </w:rPr>
              <w:t>2.</w:t>
            </w:r>
            <w:r w:rsidR="00C120A4" w:rsidRPr="00FA6F1C">
              <w:rPr>
                <w:rFonts w:ascii="Times New Roman" w:hAnsi="Times New Roman" w:cs="Times New Roman"/>
                <w:sz w:val="28"/>
                <w:szCs w:val="28"/>
              </w:rPr>
              <w:t>F</w:t>
            </w:r>
            <w:r w:rsidRPr="00FA6F1C">
              <w:rPr>
                <w:rFonts w:ascii="Times New Roman" w:hAnsi="Times New Roman" w:cs="Times New Roman"/>
                <w:sz w:val="28"/>
                <w:szCs w:val="28"/>
              </w:rPr>
              <w:t>onda</w:t>
            </w:r>
            <w:r w:rsidR="00F56EA8" w:rsidRPr="00FA6F1C">
              <w:rPr>
                <w:rFonts w:ascii="Times New Roman" w:hAnsi="Times New Roman" w:cs="Times New Roman"/>
                <w:sz w:val="28"/>
                <w:szCs w:val="28"/>
              </w:rPr>
              <w:t xml:space="preserve"> administr</w:t>
            </w:r>
            <w:r w:rsidRPr="00FA6F1C">
              <w:rPr>
                <w:rFonts w:ascii="Times New Roman" w:hAnsi="Times New Roman" w:cs="Times New Roman"/>
                <w:sz w:val="28"/>
                <w:szCs w:val="28"/>
              </w:rPr>
              <w:t>atīvo</w:t>
            </w:r>
            <w:r w:rsidR="00F56EA8" w:rsidRPr="00FA6F1C">
              <w:rPr>
                <w:rFonts w:ascii="Times New Roman" w:hAnsi="Times New Roman" w:cs="Times New Roman"/>
                <w:sz w:val="28"/>
                <w:szCs w:val="28"/>
              </w:rPr>
              <w:t xml:space="preserve"> izdevumu ietvar</w:t>
            </w:r>
            <w:r w:rsidRPr="00FA6F1C">
              <w:rPr>
                <w:rFonts w:ascii="Times New Roman" w:hAnsi="Times New Roman" w:cs="Times New Roman"/>
                <w:sz w:val="28"/>
                <w:szCs w:val="28"/>
              </w:rPr>
              <w:t xml:space="preserve">os finansējums </w:t>
            </w:r>
            <w:r w:rsidR="00D83127" w:rsidRPr="00FA6F1C">
              <w:rPr>
                <w:rFonts w:ascii="Times New Roman" w:hAnsi="Times New Roman" w:cs="Times New Roman"/>
                <w:sz w:val="28"/>
                <w:szCs w:val="28"/>
              </w:rPr>
              <w:t xml:space="preserve">paredzēts </w:t>
            </w:r>
            <w:r w:rsidRPr="00FA6F1C">
              <w:rPr>
                <w:rFonts w:ascii="Times New Roman" w:hAnsi="Times New Roman" w:cs="Times New Roman"/>
                <w:sz w:val="28"/>
                <w:szCs w:val="28"/>
              </w:rPr>
              <w:t>š</w:t>
            </w:r>
            <w:r w:rsidR="002D58D0" w:rsidRPr="00FA6F1C">
              <w:rPr>
                <w:rFonts w:ascii="Times New Roman" w:hAnsi="Times New Roman" w:cs="Times New Roman"/>
                <w:sz w:val="28"/>
                <w:szCs w:val="28"/>
              </w:rPr>
              <w:t xml:space="preserve">ādu </w:t>
            </w:r>
            <w:r w:rsidRPr="00FA6F1C">
              <w:rPr>
                <w:rFonts w:ascii="Times New Roman" w:hAnsi="Times New Roman" w:cs="Times New Roman"/>
                <w:sz w:val="28"/>
                <w:szCs w:val="28"/>
              </w:rPr>
              <w:t>R</w:t>
            </w:r>
            <w:r w:rsidR="00F56EA8" w:rsidRPr="00FA6F1C">
              <w:rPr>
                <w:rFonts w:ascii="Times New Roman" w:hAnsi="Times New Roman" w:cs="Times New Roman"/>
                <w:sz w:val="28"/>
                <w:szCs w:val="28"/>
              </w:rPr>
              <w:t>egul</w:t>
            </w:r>
            <w:r w:rsidRPr="00FA6F1C">
              <w:rPr>
                <w:rFonts w:ascii="Times New Roman" w:hAnsi="Times New Roman" w:cs="Times New Roman"/>
                <w:sz w:val="28"/>
                <w:szCs w:val="28"/>
              </w:rPr>
              <w:t xml:space="preserve">as </w:t>
            </w:r>
            <w:r w:rsidR="00D83127" w:rsidRPr="00FA6F1C">
              <w:rPr>
                <w:rFonts w:ascii="Times New Roman" w:hAnsi="Times New Roman" w:cs="Times New Roman"/>
                <w:sz w:val="28"/>
                <w:szCs w:val="28"/>
              </w:rPr>
              <w:t>Nr.</w:t>
            </w:r>
            <w:r w:rsidRPr="00FA6F1C">
              <w:rPr>
                <w:rFonts w:ascii="Times New Roman" w:hAnsi="Times New Roman" w:cs="Times New Roman"/>
                <w:sz w:val="28"/>
                <w:szCs w:val="28"/>
              </w:rPr>
              <w:t>223/2014</w:t>
            </w:r>
            <w:r w:rsidR="00F56EA8" w:rsidRPr="00FA6F1C">
              <w:rPr>
                <w:rFonts w:ascii="Times New Roman" w:hAnsi="Times New Roman" w:cs="Times New Roman"/>
                <w:sz w:val="28"/>
                <w:szCs w:val="28"/>
              </w:rPr>
              <w:t xml:space="preserve"> </w:t>
            </w:r>
            <w:r w:rsidRPr="00FA6F1C">
              <w:rPr>
                <w:rFonts w:ascii="Times New Roman" w:hAnsi="Times New Roman" w:cs="Times New Roman"/>
                <w:sz w:val="28"/>
                <w:szCs w:val="28"/>
              </w:rPr>
              <w:t>n</w:t>
            </w:r>
            <w:r w:rsidR="00F56EA8" w:rsidRPr="00FA6F1C">
              <w:rPr>
                <w:rFonts w:ascii="Times New Roman" w:hAnsi="Times New Roman" w:cs="Times New Roman"/>
                <w:sz w:val="28"/>
                <w:szCs w:val="28"/>
              </w:rPr>
              <w:t xml:space="preserve">oteikto prasību izpildei </w:t>
            </w:r>
            <w:r w:rsidR="002D58D0" w:rsidRPr="00FA6F1C">
              <w:rPr>
                <w:rFonts w:ascii="Times New Roman" w:hAnsi="Times New Roman" w:cs="Times New Roman"/>
                <w:sz w:val="28"/>
                <w:szCs w:val="28"/>
              </w:rPr>
              <w:t>:</w:t>
            </w:r>
          </w:p>
          <w:p w14:paraId="73D4054A" w14:textId="3D44F6EA" w:rsidR="00D83127" w:rsidRPr="009843DF" w:rsidRDefault="00A61465" w:rsidP="00D511EE">
            <w:pPr>
              <w:pStyle w:val="ListParagraph"/>
              <w:numPr>
                <w:ilvl w:val="0"/>
                <w:numId w:val="1"/>
              </w:numPr>
              <w:spacing w:before="120" w:after="120"/>
              <w:jc w:val="both"/>
              <w:rPr>
                <w:rStyle w:val="hps"/>
                <w:rFonts w:ascii="Times New Roman" w:hAnsi="Times New Roman" w:cs="Times New Roman"/>
                <w:sz w:val="28"/>
                <w:szCs w:val="28"/>
              </w:rPr>
            </w:pPr>
            <w:r w:rsidRPr="00FA6F1C">
              <w:rPr>
                <w:rStyle w:val="hps"/>
                <w:rFonts w:ascii="Times New Roman" w:hAnsi="Times New Roman" w:cs="Times New Roman"/>
                <w:sz w:val="28"/>
                <w:szCs w:val="28"/>
              </w:rPr>
              <w:t xml:space="preserve">sagatavošanās darbības Fonda ieviešanai- darbības programmas izstrāde, saskaņošana, </w:t>
            </w:r>
            <w:proofErr w:type="spellStart"/>
            <w:r w:rsidRPr="00FA6F1C">
              <w:rPr>
                <w:rStyle w:val="hps"/>
                <w:rFonts w:ascii="Times New Roman" w:hAnsi="Times New Roman" w:cs="Times New Roman"/>
                <w:sz w:val="28"/>
                <w:szCs w:val="28"/>
              </w:rPr>
              <w:t>ex-ante</w:t>
            </w:r>
            <w:proofErr w:type="spellEnd"/>
            <w:r w:rsidRPr="00FA6F1C">
              <w:rPr>
                <w:rStyle w:val="hps"/>
                <w:rFonts w:ascii="Times New Roman" w:hAnsi="Times New Roman" w:cs="Times New Roman"/>
                <w:sz w:val="28"/>
                <w:szCs w:val="28"/>
              </w:rPr>
              <w:t xml:space="preserve"> novērtējuma veikšana, ārējo un iekšējo normatīvo aktu, vadlīniju un procedūru izstrāde, pārvaldības un kontroles sistēmas apraksta izstrāde un atbilstības novērtēšana,</w:t>
            </w:r>
            <w:r w:rsidR="003231A3" w:rsidRPr="00FA6F1C">
              <w:rPr>
                <w:rStyle w:val="hps"/>
                <w:rFonts w:ascii="Times New Roman" w:hAnsi="Times New Roman" w:cs="Times New Roman"/>
                <w:sz w:val="28"/>
                <w:szCs w:val="28"/>
              </w:rPr>
              <w:t xml:space="preserve"> Fonda informācijas sistēmas izveide </w:t>
            </w:r>
            <w:r w:rsidR="00EB6BC4" w:rsidRPr="00FA6F1C">
              <w:rPr>
                <w:rStyle w:val="hps"/>
                <w:rFonts w:ascii="Times New Roman" w:hAnsi="Times New Roman" w:cs="Times New Roman"/>
                <w:sz w:val="28"/>
                <w:szCs w:val="28"/>
              </w:rPr>
              <w:t>u.c.</w:t>
            </w:r>
            <w:r w:rsidRPr="00FA6F1C">
              <w:rPr>
                <w:rStyle w:val="hps"/>
                <w:rFonts w:ascii="Times New Roman" w:hAnsi="Times New Roman" w:cs="Times New Roman"/>
                <w:sz w:val="28"/>
                <w:szCs w:val="28"/>
              </w:rPr>
              <w:t xml:space="preserve"> Sagatavošanās darbību izdevumi attiecināmi, ja tie atbalsta saņēmējam radušies un apmaksāti pēc 2013.gada 1.decembra</w:t>
            </w:r>
            <w:r w:rsidR="00E701B9">
              <w:rPr>
                <w:rStyle w:val="hps"/>
                <w:rFonts w:ascii="Times New Roman" w:hAnsi="Times New Roman" w:cs="Times New Roman"/>
                <w:sz w:val="28"/>
                <w:szCs w:val="28"/>
              </w:rPr>
              <w:t xml:space="preserve">. </w:t>
            </w:r>
            <w:r w:rsidR="00E701B9" w:rsidRPr="009843DF">
              <w:rPr>
                <w:rStyle w:val="hps"/>
                <w:rFonts w:ascii="Times New Roman" w:hAnsi="Times New Roman" w:cs="Times New Roman"/>
                <w:sz w:val="28"/>
                <w:szCs w:val="28"/>
              </w:rPr>
              <w:t>Situācijā, ja no Eiropas Komisijas tiks saņemti līdzekļi par veiktajām izmaksām 2013.gada decembrī, Labklājības ministrija nodrošinās minēto līdzekļu ieskaitīšanu valsts pamatbudžeta ieņēmumos</w:t>
            </w:r>
            <w:r w:rsidR="002D58D0" w:rsidRPr="009843DF">
              <w:rPr>
                <w:rStyle w:val="hps"/>
                <w:rFonts w:ascii="Times New Roman" w:hAnsi="Times New Roman" w:cs="Times New Roman"/>
                <w:sz w:val="28"/>
                <w:szCs w:val="28"/>
              </w:rPr>
              <w:t>;</w:t>
            </w:r>
          </w:p>
          <w:p w14:paraId="4D89CF1E" w14:textId="77777777" w:rsidR="00D83127" w:rsidRPr="00FA6F1C" w:rsidRDefault="00A61465" w:rsidP="00D511EE">
            <w:pPr>
              <w:pStyle w:val="ListParagraph"/>
              <w:numPr>
                <w:ilvl w:val="0"/>
                <w:numId w:val="1"/>
              </w:numPr>
              <w:spacing w:before="120" w:after="120"/>
              <w:jc w:val="both"/>
              <w:rPr>
                <w:rStyle w:val="hps"/>
                <w:rFonts w:ascii="Times New Roman" w:hAnsi="Times New Roman" w:cs="Times New Roman"/>
                <w:sz w:val="28"/>
                <w:szCs w:val="28"/>
              </w:rPr>
            </w:pPr>
            <w:r w:rsidRPr="00FA6F1C">
              <w:rPr>
                <w:rStyle w:val="hps"/>
                <w:rFonts w:ascii="Times New Roman" w:hAnsi="Times New Roman" w:cs="Times New Roman"/>
                <w:sz w:val="28"/>
                <w:szCs w:val="28"/>
              </w:rPr>
              <w:t>Fonda pārvaldība- partnerorganizāciju atlase, informācijas, konsultāciju un, nepieciešamības gadījumā, apmācību nodrošināšana partnerorganizācijām, darbības programmas grozījumu sagatavošana sociāli ekonomiskās situācijas izmaiņu gadījumā, ārējo un iekšējo normatīvo aktu, vadlīniju un procedūru pilnveide atbilstoši nepieciešamībai vai k</w:t>
            </w:r>
            <w:r w:rsidR="00D83127" w:rsidRPr="00FA6F1C">
              <w:rPr>
                <w:rStyle w:val="hps"/>
                <w:rFonts w:ascii="Times New Roman" w:hAnsi="Times New Roman" w:cs="Times New Roman"/>
                <w:sz w:val="28"/>
                <w:szCs w:val="28"/>
              </w:rPr>
              <w:t>ontrolējošo iestāžu ieteikumiem;</w:t>
            </w:r>
          </w:p>
          <w:p w14:paraId="31464EF2" w14:textId="77777777" w:rsidR="00D83127" w:rsidRPr="00FA6F1C" w:rsidRDefault="00A61465" w:rsidP="00D511EE">
            <w:pPr>
              <w:pStyle w:val="ListParagraph"/>
              <w:numPr>
                <w:ilvl w:val="0"/>
                <w:numId w:val="1"/>
              </w:numPr>
              <w:spacing w:before="120" w:after="120"/>
              <w:jc w:val="both"/>
              <w:rPr>
                <w:rStyle w:val="hps"/>
                <w:rFonts w:ascii="Times New Roman" w:hAnsi="Times New Roman" w:cs="Times New Roman"/>
                <w:sz w:val="28"/>
                <w:szCs w:val="28"/>
              </w:rPr>
            </w:pPr>
            <w:r w:rsidRPr="00FA6F1C">
              <w:rPr>
                <w:rStyle w:val="hps"/>
                <w:rFonts w:ascii="Times New Roman" w:hAnsi="Times New Roman" w:cs="Times New Roman"/>
                <w:sz w:val="28"/>
                <w:szCs w:val="28"/>
              </w:rPr>
              <w:t xml:space="preserve">Fonda finanšu pārvaldība un kontroles – iekšējās kontroles vides prasību izpildes nepārtraukta nodrošināšana, risku pārvaldība un krāpšanas risku apkarošanas pasākumi, izdevumu attiecināmības pārbaude, revīzijas liecību nodrošināšana, pārvaldības deklarāciju un gada kopsavilkumu sagatavošana, maksājumu pieteikumu sagatavošana un apliecināšana, </w:t>
            </w:r>
            <w:r w:rsidRPr="00FA6F1C">
              <w:rPr>
                <w:rStyle w:val="hps"/>
                <w:rFonts w:ascii="Times New Roman" w:hAnsi="Times New Roman" w:cs="Times New Roman"/>
                <w:sz w:val="28"/>
                <w:szCs w:val="28"/>
              </w:rPr>
              <w:lastRenderedPageBreak/>
              <w:t>sistēmas auditu veikšana, deklarēto izdevumu un gada noslēguma kontu revīzija, revīzijas stratēģijas, atzinumu un kontroles ziņojumu sagatavošana, datorizētas izdevumu, maksājumu, atgūto un atgūstamo summu uzskaites nodrošināšana;</w:t>
            </w:r>
          </w:p>
          <w:p w14:paraId="0319E070" w14:textId="77777777" w:rsidR="003231A3" w:rsidRPr="00FA6F1C" w:rsidRDefault="00EB6BC4" w:rsidP="00D511EE">
            <w:pPr>
              <w:pStyle w:val="ListParagraph"/>
              <w:numPr>
                <w:ilvl w:val="0"/>
                <w:numId w:val="1"/>
              </w:numPr>
              <w:spacing w:before="120" w:after="120"/>
              <w:jc w:val="both"/>
              <w:rPr>
                <w:rStyle w:val="hps"/>
                <w:rFonts w:ascii="Times New Roman" w:hAnsi="Times New Roman" w:cs="Times New Roman"/>
                <w:sz w:val="28"/>
                <w:szCs w:val="28"/>
              </w:rPr>
            </w:pPr>
            <w:r w:rsidRPr="00FA6F1C">
              <w:rPr>
                <w:rStyle w:val="hps"/>
                <w:rFonts w:ascii="Times New Roman" w:hAnsi="Times New Roman" w:cs="Times New Roman"/>
                <w:sz w:val="28"/>
                <w:szCs w:val="28"/>
              </w:rPr>
              <w:t xml:space="preserve">Fonda </w:t>
            </w:r>
            <w:r w:rsidR="00A61465" w:rsidRPr="00FA6F1C">
              <w:rPr>
                <w:rStyle w:val="hps"/>
                <w:rFonts w:ascii="Times New Roman" w:hAnsi="Times New Roman" w:cs="Times New Roman"/>
                <w:sz w:val="28"/>
                <w:szCs w:val="28"/>
              </w:rPr>
              <w:t>uzraudzība un novērtēšana – datu reģistrēšana un datorizētas uzglabāšanas nodrošināšana par katru darbību, ikgadējo un noslēguma ziņojumu sagatavošana, deleģēto funkciju izpildes uzraudzība, darbības programmas lietderības un efektivitātes novērtēšana, galīgo saņēmēju strukturēta apsekojuma organizēšana;</w:t>
            </w:r>
          </w:p>
          <w:p w14:paraId="6DE81445" w14:textId="7BC6E527" w:rsidR="00A61465" w:rsidRPr="00FA6F1C" w:rsidRDefault="00EB6BC4" w:rsidP="00D511EE">
            <w:pPr>
              <w:pStyle w:val="ListParagraph"/>
              <w:numPr>
                <w:ilvl w:val="0"/>
                <w:numId w:val="1"/>
              </w:numPr>
              <w:spacing w:before="120" w:after="120"/>
              <w:jc w:val="both"/>
              <w:rPr>
                <w:rStyle w:val="hps"/>
                <w:rFonts w:ascii="Times New Roman" w:hAnsi="Times New Roman" w:cs="Times New Roman"/>
                <w:sz w:val="28"/>
                <w:szCs w:val="28"/>
              </w:rPr>
            </w:pPr>
            <w:r w:rsidRPr="00FA6F1C">
              <w:rPr>
                <w:rStyle w:val="hps"/>
                <w:rFonts w:ascii="Times New Roman" w:hAnsi="Times New Roman" w:cs="Times New Roman"/>
                <w:sz w:val="28"/>
                <w:szCs w:val="28"/>
              </w:rPr>
              <w:t>I</w:t>
            </w:r>
            <w:r w:rsidR="00A61465" w:rsidRPr="00FA6F1C">
              <w:rPr>
                <w:rStyle w:val="hps"/>
                <w:rFonts w:ascii="Times New Roman" w:hAnsi="Times New Roman" w:cs="Times New Roman"/>
                <w:sz w:val="28"/>
                <w:szCs w:val="28"/>
              </w:rPr>
              <w:t>nformācijas nodrošināšana par Fonda atbalstītajiem pasākumiem, informāciju jo īpaši adresējot vistrūcīgākajām personām</w:t>
            </w:r>
            <w:r w:rsidRPr="00FA6F1C">
              <w:rPr>
                <w:rStyle w:val="hps"/>
                <w:rFonts w:ascii="Times New Roman" w:hAnsi="Times New Roman" w:cs="Times New Roman"/>
                <w:sz w:val="28"/>
                <w:szCs w:val="28"/>
              </w:rPr>
              <w:t xml:space="preserve"> un </w:t>
            </w:r>
            <w:r w:rsidR="00A61465" w:rsidRPr="00FA6F1C">
              <w:rPr>
                <w:rStyle w:val="hps"/>
                <w:rFonts w:ascii="Times New Roman" w:hAnsi="Times New Roman" w:cs="Times New Roman"/>
                <w:sz w:val="28"/>
                <w:szCs w:val="28"/>
              </w:rPr>
              <w:t>sabiedrībai kopumā</w:t>
            </w:r>
            <w:r w:rsidR="003231A3" w:rsidRPr="00FA6F1C">
              <w:rPr>
                <w:rStyle w:val="hps"/>
                <w:rFonts w:ascii="Times New Roman" w:hAnsi="Times New Roman" w:cs="Times New Roman"/>
                <w:sz w:val="28"/>
                <w:szCs w:val="28"/>
              </w:rPr>
              <w:t>.</w:t>
            </w:r>
            <w:r w:rsidR="00A61465" w:rsidRPr="00FA6F1C">
              <w:rPr>
                <w:rStyle w:val="hps"/>
                <w:rFonts w:ascii="Times New Roman" w:hAnsi="Times New Roman" w:cs="Times New Roman"/>
                <w:sz w:val="28"/>
                <w:szCs w:val="28"/>
              </w:rPr>
              <w:t xml:space="preserve"> </w:t>
            </w:r>
          </w:p>
          <w:p w14:paraId="76CAFF92" w14:textId="54E5914C" w:rsidR="00A61465" w:rsidRPr="00FA6F1C" w:rsidRDefault="00A61465" w:rsidP="00FA6F1C">
            <w:pPr>
              <w:spacing w:before="120" w:after="120"/>
              <w:jc w:val="both"/>
              <w:rPr>
                <w:rStyle w:val="hps"/>
                <w:rFonts w:ascii="Times New Roman" w:hAnsi="Times New Roman" w:cs="Times New Roman"/>
                <w:sz w:val="28"/>
                <w:szCs w:val="28"/>
              </w:rPr>
            </w:pPr>
            <w:r w:rsidRPr="00FA6F1C">
              <w:rPr>
                <w:rStyle w:val="hps"/>
                <w:rFonts w:ascii="Times New Roman" w:hAnsi="Times New Roman" w:cs="Times New Roman"/>
                <w:sz w:val="28"/>
                <w:szCs w:val="28"/>
              </w:rPr>
              <w:t xml:space="preserve">Fonda tehniskās palīdzības finansējuma plānošanu pa gadiem un pa Fonda pārvaldībā un kontrolē iesaistītajām iestādēm koordinēs Fonda vadošā iestāde, ņemot vērā katrai iestādei noteiktās funkcijas, amatpersonām (darbiniekiem) noteikto mēnešalgu un prognozēto noslodzi. Lai nodrošinātu elastīgu un atbilstošu tehniskās palīdzības finansējuma plānošanu, plānots izmantot </w:t>
            </w:r>
            <w:proofErr w:type="spellStart"/>
            <w:r w:rsidRPr="00FA6F1C">
              <w:rPr>
                <w:rStyle w:val="hps"/>
                <w:rFonts w:ascii="Times New Roman" w:hAnsi="Times New Roman" w:cs="Times New Roman"/>
                <w:sz w:val="28"/>
                <w:szCs w:val="28"/>
              </w:rPr>
              <w:t>daļslodzes</w:t>
            </w:r>
            <w:proofErr w:type="spellEnd"/>
            <w:r w:rsidRPr="00FA6F1C">
              <w:rPr>
                <w:rStyle w:val="hps"/>
                <w:rFonts w:ascii="Times New Roman" w:hAnsi="Times New Roman" w:cs="Times New Roman"/>
                <w:sz w:val="28"/>
                <w:szCs w:val="28"/>
              </w:rPr>
              <w:t xml:space="preserve"> darba laika uzskaiti.</w:t>
            </w:r>
          </w:p>
          <w:p w14:paraId="3A89F195" w14:textId="1851FD76" w:rsidR="00F56EA8" w:rsidRPr="00FA6F1C" w:rsidRDefault="00F56EA8" w:rsidP="00FA6F1C">
            <w:pPr>
              <w:jc w:val="both"/>
              <w:rPr>
                <w:rFonts w:ascii="Times New Roman" w:hAnsi="Times New Roman" w:cs="Times New Roman"/>
                <w:sz w:val="28"/>
                <w:szCs w:val="28"/>
              </w:rPr>
            </w:pPr>
          </w:p>
        </w:tc>
      </w:tr>
      <w:tr w:rsidR="00F56EA8" w:rsidRPr="00FA6F1C" w14:paraId="735418E3" w14:textId="77777777" w:rsidTr="009E76D9">
        <w:tc>
          <w:tcPr>
            <w:tcW w:w="539" w:type="dxa"/>
          </w:tcPr>
          <w:p w14:paraId="4CA3251A" w14:textId="3ADB8E5C" w:rsidR="00F56EA8" w:rsidRPr="00FA6F1C" w:rsidRDefault="00F56EA8" w:rsidP="00FA6F1C">
            <w:pPr>
              <w:rPr>
                <w:rFonts w:ascii="Times New Roman" w:hAnsi="Times New Roman" w:cs="Times New Roman"/>
                <w:sz w:val="28"/>
                <w:szCs w:val="28"/>
              </w:rPr>
            </w:pPr>
            <w:r w:rsidRPr="00FA6F1C">
              <w:rPr>
                <w:rFonts w:ascii="Times New Roman" w:eastAsia="Times New Roman" w:hAnsi="Times New Roman" w:cs="Times New Roman"/>
                <w:sz w:val="28"/>
                <w:szCs w:val="28"/>
              </w:rPr>
              <w:lastRenderedPageBreak/>
              <w:t>4.</w:t>
            </w:r>
          </w:p>
        </w:tc>
        <w:tc>
          <w:tcPr>
            <w:tcW w:w="3142" w:type="dxa"/>
          </w:tcPr>
          <w:p w14:paraId="29D32845" w14:textId="016B5283" w:rsidR="00F56EA8" w:rsidRPr="00FA6F1C" w:rsidRDefault="00F56EA8" w:rsidP="00FA6F1C">
            <w:pPr>
              <w:rPr>
                <w:rFonts w:ascii="Times New Roman" w:hAnsi="Times New Roman" w:cs="Times New Roman"/>
                <w:sz w:val="28"/>
                <w:szCs w:val="28"/>
              </w:rPr>
            </w:pPr>
            <w:r w:rsidRPr="00FA6F1C">
              <w:rPr>
                <w:rFonts w:ascii="Times New Roman" w:eastAsia="Times New Roman" w:hAnsi="Times New Roman" w:cs="Times New Roman"/>
                <w:sz w:val="28"/>
                <w:szCs w:val="28"/>
              </w:rPr>
              <w:t>Cita informācija</w:t>
            </w:r>
          </w:p>
        </w:tc>
        <w:tc>
          <w:tcPr>
            <w:tcW w:w="5954" w:type="dxa"/>
          </w:tcPr>
          <w:p w14:paraId="24BCA008" w14:textId="0D4922D1" w:rsidR="00F56EA8" w:rsidRPr="00FA6F1C" w:rsidRDefault="00F56EA8" w:rsidP="00FA6F1C">
            <w:pPr>
              <w:rPr>
                <w:rFonts w:ascii="Times New Roman" w:hAnsi="Times New Roman" w:cs="Times New Roman"/>
                <w:sz w:val="28"/>
                <w:szCs w:val="28"/>
              </w:rPr>
            </w:pPr>
            <w:r w:rsidRPr="00FA6F1C">
              <w:rPr>
                <w:rFonts w:ascii="Times New Roman" w:hAnsi="Times New Roman" w:cs="Times New Roman"/>
                <w:sz w:val="28"/>
                <w:szCs w:val="28"/>
              </w:rPr>
              <w:t>Nav</w:t>
            </w:r>
          </w:p>
        </w:tc>
      </w:tr>
    </w:tbl>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1196"/>
        <w:gridCol w:w="1524"/>
        <w:gridCol w:w="1391"/>
        <w:gridCol w:w="1391"/>
        <w:gridCol w:w="1683"/>
      </w:tblGrid>
      <w:tr w:rsidR="00EE3FBC" w:rsidRPr="00FA6F1C" w14:paraId="5AEC8C2C" w14:textId="77777777" w:rsidTr="00E1537C">
        <w:trPr>
          <w:trHeight w:val="361"/>
          <w:jc w:val="center"/>
        </w:trPr>
        <w:tc>
          <w:tcPr>
            <w:tcW w:w="9451" w:type="dxa"/>
            <w:gridSpan w:val="6"/>
            <w:vAlign w:val="center"/>
          </w:tcPr>
          <w:p w14:paraId="5C5C45BF" w14:textId="77777777" w:rsidR="00EE3FBC" w:rsidRPr="00FA6F1C" w:rsidRDefault="00EE3FBC" w:rsidP="00EE3FBC">
            <w:pPr>
              <w:pStyle w:val="naisnod"/>
              <w:spacing w:before="0" w:beforeAutospacing="0" w:after="0" w:afterAutospacing="0"/>
              <w:jc w:val="center"/>
              <w:rPr>
                <w:b/>
                <w:i/>
                <w:sz w:val="28"/>
                <w:szCs w:val="28"/>
              </w:rPr>
            </w:pPr>
            <w:r w:rsidRPr="00FA6F1C">
              <w:rPr>
                <w:sz w:val="28"/>
                <w:szCs w:val="28"/>
              </w:rPr>
              <w:br w:type="page"/>
            </w:r>
            <w:r w:rsidRPr="00FA6F1C">
              <w:rPr>
                <w:b/>
                <w:sz w:val="28"/>
                <w:szCs w:val="28"/>
              </w:rPr>
              <w:t>III. Tiesību akta projekta ietekme uz valsts budžetu un pašvaldību budžetiem</w:t>
            </w:r>
          </w:p>
        </w:tc>
      </w:tr>
      <w:tr w:rsidR="00EE3FBC" w:rsidRPr="00FA6F1C" w14:paraId="07A45DA6" w14:textId="77777777" w:rsidTr="00E1537C">
        <w:trPr>
          <w:jc w:val="center"/>
        </w:trPr>
        <w:tc>
          <w:tcPr>
            <w:tcW w:w="2266" w:type="dxa"/>
            <w:vMerge w:val="restart"/>
            <w:vAlign w:val="center"/>
          </w:tcPr>
          <w:p w14:paraId="3FCA6161" w14:textId="77777777" w:rsidR="00EE3FBC" w:rsidRPr="00FA6F1C" w:rsidRDefault="00EE3FBC" w:rsidP="00EE3FBC">
            <w:pPr>
              <w:pStyle w:val="naisf"/>
              <w:spacing w:before="0" w:beforeAutospacing="0" w:after="0" w:afterAutospacing="0"/>
              <w:jc w:val="center"/>
              <w:rPr>
                <w:b/>
                <w:sz w:val="28"/>
                <w:szCs w:val="28"/>
              </w:rPr>
            </w:pPr>
            <w:r w:rsidRPr="00FA6F1C">
              <w:rPr>
                <w:b/>
                <w:sz w:val="28"/>
                <w:szCs w:val="28"/>
              </w:rPr>
              <w:t>Rādītāji</w:t>
            </w:r>
          </w:p>
        </w:tc>
        <w:tc>
          <w:tcPr>
            <w:tcW w:w="2720" w:type="dxa"/>
            <w:gridSpan w:val="2"/>
            <w:vMerge w:val="restart"/>
            <w:vAlign w:val="center"/>
          </w:tcPr>
          <w:p w14:paraId="5206A792" w14:textId="77777777" w:rsidR="00EE3FBC" w:rsidRPr="00FA6F1C" w:rsidRDefault="00EE3FBC" w:rsidP="00EE3FBC">
            <w:pPr>
              <w:pStyle w:val="naisf"/>
              <w:spacing w:before="0" w:beforeAutospacing="0" w:after="0" w:afterAutospacing="0"/>
              <w:jc w:val="center"/>
              <w:rPr>
                <w:b/>
                <w:sz w:val="28"/>
                <w:szCs w:val="28"/>
              </w:rPr>
            </w:pPr>
            <w:r w:rsidRPr="00FA6F1C">
              <w:rPr>
                <w:b/>
                <w:sz w:val="28"/>
                <w:szCs w:val="28"/>
              </w:rPr>
              <w:t>2014.gads</w:t>
            </w:r>
          </w:p>
        </w:tc>
        <w:tc>
          <w:tcPr>
            <w:tcW w:w="4465" w:type="dxa"/>
            <w:gridSpan w:val="3"/>
            <w:vAlign w:val="center"/>
          </w:tcPr>
          <w:p w14:paraId="64576401" w14:textId="77777777" w:rsidR="00EE3FBC" w:rsidRPr="00FA6F1C" w:rsidRDefault="00EE3FBC" w:rsidP="00EE3FBC">
            <w:pPr>
              <w:pStyle w:val="naisf"/>
              <w:spacing w:before="0" w:beforeAutospacing="0" w:after="0" w:afterAutospacing="0"/>
              <w:jc w:val="center"/>
              <w:rPr>
                <w:b/>
                <w:i/>
                <w:sz w:val="28"/>
                <w:szCs w:val="28"/>
              </w:rPr>
            </w:pPr>
            <w:r w:rsidRPr="00FA6F1C">
              <w:rPr>
                <w:sz w:val="28"/>
                <w:szCs w:val="28"/>
              </w:rPr>
              <w:t>Turpmākie trīs gadi (euro)</w:t>
            </w:r>
          </w:p>
        </w:tc>
      </w:tr>
      <w:tr w:rsidR="00EE3FBC" w:rsidRPr="00FA6F1C" w14:paraId="328414C9" w14:textId="77777777" w:rsidTr="00E1537C">
        <w:trPr>
          <w:jc w:val="center"/>
        </w:trPr>
        <w:tc>
          <w:tcPr>
            <w:tcW w:w="2266" w:type="dxa"/>
            <w:vMerge/>
            <w:vAlign w:val="center"/>
          </w:tcPr>
          <w:p w14:paraId="47A95044" w14:textId="77777777" w:rsidR="00EE3FBC" w:rsidRPr="00FA6F1C" w:rsidRDefault="00EE3FBC" w:rsidP="00EE3FBC">
            <w:pPr>
              <w:pStyle w:val="naisf"/>
              <w:spacing w:before="0" w:beforeAutospacing="0" w:after="0" w:afterAutospacing="0"/>
              <w:jc w:val="center"/>
              <w:rPr>
                <w:b/>
                <w:i/>
                <w:sz w:val="28"/>
                <w:szCs w:val="28"/>
              </w:rPr>
            </w:pPr>
          </w:p>
        </w:tc>
        <w:tc>
          <w:tcPr>
            <w:tcW w:w="2720" w:type="dxa"/>
            <w:gridSpan w:val="2"/>
            <w:vMerge/>
            <w:vAlign w:val="center"/>
          </w:tcPr>
          <w:p w14:paraId="45792BED" w14:textId="77777777" w:rsidR="00EE3FBC" w:rsidRPr="00FA6F1C" w:rsidRDefault="00EE3FBC" w:rsidP="00EE3FBC">
            <w:pPr>
              <w:pStyle w:val="naisf"/>
              <w:spacing w:before="0" w:beforeAutospacing="0" w:after="0" w:afterAutospacing="0"/>
              <w:jc w:val="center"/>
              <w:rPr>
                <w:b/>
                <w:i/>
                <w:sz w:val="28"/>
                <w:szCs w:val="28"/>
              </w:rPr>
            </w:pPr>
          </w:p>
        </w:tc>
        <w:tc>
          <w:tcPr>
            <w:tcW w:w="1391" w:type="dxa"/>
            <w:vAlign w:val="center"/>
          </w:tcPr>
          <w:p w14:paraId="5496FA2A" w14:textId="77777777" w:rsidR="00EE3FBC" w:rsidRPr="00FA6F1C" w:rsidRDefault="00EE3FBC" w:rsidP="00EE3FBC">
            <w:pPr>
              <w:pStyle w:val="naisf"/>
              <w:spacing w:before="0" w:beforeAutospacing="0" w:after="0" w:afterAutospacing="0"/>
              <w:jc w:val="center"/>
              <w:rPr>
                <w:b/>
                <w:i/>
                <w:sz w:val="28"/>
                <w:szCs w:val="28"/>
              </w:rPr>
            </w:pPr>
            <w:r w:rsidRPr="00FA6F1C">
              <w:rPr>
                <w:b/>
                <w:bCs/>
                <w:sz w:val="28"/>
                <w:szCs w:val="28"/>
              </w:rPr>
              <w:t>2015.gads</w:t>
            </w:r>
          </w:p>
        </w:tc>
        <w:tc>
          <w:tcPr>
            <w:tcW w:w="1391" w:type="dxa"/>
            <w:vAlign w:val="center"/>
          </w:tcPr>
          <w:p w14:paraId="3F07F9A5" w14:textId="77777777" w:rsidR="00EE3FBC" w:rsidRPr="00FA6F1C" w:rsidRDefault="00EE3FBC" w:rsidP="00EE3FBC">
            <w:pPr>
              <w:pStyle w:val="naisf"/>
              <w:spacing w:before="0" w:beforeAutospacing="0" w:after="0" w:afterAutospacing="0"/>
              <w:jc w:val="center"/>
              <w:rPr>
                <w:b/>
                <w:i/>
                <w:sz w:val="28"/>
                <w:szCs w:val="28"/>
              </w:rPr>
            </w:pPr>
            <w:r w:rsidRPr="00FA6F1C">
              <w:rPr>
                <w:b/>
                <w:bCs/>
                <w:sz w:val="28"/>
                <w:szCs w:val="28"/>
              </w:rPr>
              <w:t>2016.gads</w:t>
            </w:r>
          </w:p>
        </w:tc>
        <w:tc>
          <w:tcPr>
            <w:tcW w:w="1683" w:type="dxa"/>
            <w:vAlign w:val="center"/>
          </w:tcPr>
          <w:p w14:paraId="3001075C" w14:textId="77777777" w:rsidR="00EE3FBC" w:rsidRPr="00FA6F1C" w:rsidRDefault="00EE3FBC" w:rsidP="00EE3FBC">
            <w:pPr>
              <w:pStyle w:val="naisf"/>
              <w:spacing w:before="0" w:beforeAutospacing="0" w:after="0" w:afterAutospacing="0"/>
              <w:jc w:val="center"/>
              <w:rPr>
                <w:b/>
                <w:i/>
                <w:sz w:val="28"/>
                <w:szCs w:val="28"/>
              </w:rPr>
            </w:pPr>
            <w:r w:rsidRPr="00FA6F1C">
              <w:rPr>
                <w:b/>
                <w:bCs/>
                <w:sz w:val="28"/>
                <w:szCs w:val="28"/>
              </w:rPr>
              <w:t>2017.gads</w:t>
            </w:r>
          </w:p>
        </w:tc>
      </w:tr>
      <w:tr w:rsidR="00EE3FBC" w:rsidRPr="00FA6F1C" w14:paraId="630645CF" w14:textId="77777777" w:rsidTr="00E1537C">
        <w:trPr>
          <w:jc w:val="center"/>
        </w:trPr>
        <w:tc>
          <w:tcPr>
            <w:tcW w:w="2266" w:type="dxa"/>
            <w:vMerge/>
            <w:vAlign w:val="center"/>
          </w:tcPr>
          <w:p w14:paraId="101E3DFC" w14:textId="77777777" w:rsidR="00EE3FBC" w:rsidRPr="00FA6F1C" w:rsidRDefault="00EE3FBC" w:rsidP="00EE3FBC">
            <w:pPr>
              <w:pStyle w:val="naisf"/>
              <w:spacing w:before="0" w:beforeAutospacing="0" w:after="0" w:afterAutospacing="0"/>
              <w:jc w:val="center"/>
              <w:rPr>
                <w:b/>
                <w:i/>
                <w:sz w:val="28"/>
                <w:szCs w:val="28"/>
              </w:rPr>
            </w:pPr>
          </w:p>
        </w:tc>
        <w:tc>
          <w:tcPr>
            <w:tcW w:w="1196" w:type="dxa"/>
            <w:vAlign w:val="center"/>
          </w:tcPr>
          <w:p w14:paraId="733CB3A7" w14:textId="77777777" w:rsidR="00EE3FBC" w:rsidRPr="00FA6F1C" w:rsidRDefault="00EE3FBC" w:rsidP="00EE3FBC">
            <w:pPr>
              <w:pStyle w:val="naisf"/>
              <w:spacing w:before="0" w:beforeAutospacing="0" w:after="0" w:afterAutospacing="0"/>
              <w:jc w:val="center"/>
              <w:rPr>
                <w:b/>
                <w:i/>
                <w:sz w:val="28"/>
                <w:szCs w:val="28"/>
              </w:rPr>
            </w:pPr>
            <w:r w:rsidRPr="00FA6F1C">
              <w:rPr>
                <w:sz w:val="28"/>
                <w:szCs w:val="28"/>
              </w:rPr>
              <w:t>saskaņā ar valsts budžetu kārtējam gadam</w:t>
            </w:r>
          </w:p>
        </w:tc>
        <w:tc>
          <w:tcPr>
            <w:tcW w:w="1524" w:type="dxa"/>
            <w:vAlign w:val="center"/>
          </w:tcPr>
          <w:p w14:paraId="7AC4F5F7" w14:textId="77777777" w:rsidR="00EE3FBC" w:rsidRPr="00FA6F1C" w:rsidRDefault="00EE3FBC" w:rsidP="00EE3FBC">
            <w:pPr>
              <w:pStyle w:val="naisf"/>
              <w:spacing w:before="0" w:beforeAutospacing="0" w:after="0" w:afterAutospacing="0"/>
              <w:jc w:val="center"/>
              <w:rPr>
                <w:b/>
                <w:i/>
                <w:sz w:val="28"/>
                <w:szCs w:val="28"/>
              </w:rPr>
            </w:pPr>
            <w:r w:rsidRPr="00FA6F1C">
              <w:rPr>
                <w:sz w:val="28"/>
                <w:szCs w:val="28"/>
              </w:rPr>
              <w:t>izmaiņas kārtējā gadā, salīdzinot ar budžetu kārtējam gadam</w:t>
            </w:r>
          </w:p>
        </w:tc>
        <w:tc>
          <w:tcPr>
            <w:tcW w:w="1391" w:type="dxa"/>
            <w:vAlign w:val="center"/>
          </w:tcPr>
          <w:p w14:paraId="711CFEF0" w14:textId="77777777" w:rsidR="00EE3FBC" w:rsidRPr="00FA6F1C" w:rsidRDefault="00EE3FBC" w:rsidP="00EE3FBC">
            <w:pPr>
              <w:pStyle w:val="naisf"/>
              <w:spacing w:before="0" w:beforeAutospacing="0" w:after="0" w:afterAutospacing="0"/>
              <w:jc w:val="center"/>
              <w:rPr>
                <w:b/>
                <w:i/>
                <w:sz w:val="28"/>
                <w:szCs w:val="28"/>
              </w:rPr>
            </w:pPr>
            <w:r w:rsidRPr="00FA6F1C">
              <w:rPr>
                <w:sz w:val="28"/>
                <w:szCs w:val="28"/>
              </w:rPr>
              <w:t>izmaiņas, salīdzinot ar kārtējo (n) gadu</w:t>
            </w:r>
          </w:p>
        </w:tc>
        <w:tc>
          <w:tcPr>
            <w:tcW w:w="1391" w:type="dxa"/>
            <w:vAlign w:val="center"/>
          </w:tcPr>
          <w:p w14:paraId="006D20EC" w14:textId="77777777" w:rsidR="00EE3FBC" w:rsidRPr="00FA6F1C" w:rsidRDefault="00EE3FBC" w:rsidP="00EE3FBC">
            <w:pPr>
              <w:pStyle w:val="naisf"/>
              <w:spacing w:before="0" w:beforeAutospacing="0" w:after="0" w:afterAutospacing="0"/>
              <w:jc w:val="center"/>
              <w:rPr>
                <w:b/>
                <w:i/>
                <w:sz w:val="28"/>
                <w:szCs w:val="28"/>
              </w:rPr>
            </w:pPr>
            <w:r w:rsidRPr="00FA6F1C">
              <w:rPr>
                <w:sz w:val="28"/>
                <w:szCs w:val="28"/>
              </w:rPr>
              <w:t>izmaiņas, salīdzinot ar kārtējo (n) gadu</w:t>
            </w:r>
          </w:p>
        </w:tc>
        <w:tc>
          <w:tcPr>
            <w:tcW w:w="1683" w:type="dxa"/>
            <w:vAlign w:val="center"/>
          </w:tcPr>
          <w:p w14:paraId="7594A837" w14:textId="77777777" w:rsidR="00EE3FBC" w:rsidRPr="00FA6F1C" w:rsidRDefault="00EE3FBC" w:rsidP="00EE3FBC">
            <w:pPr>
              <w:pStyle w:val="naisf"/>
              <w:spacing w:before="0" w:beforeAutospacing="0" w:after="0" w:afterAutospacing="0"/>
              <w:jc w:val="center"/>
              <w:rPr>
                <w:b/>
                <w:i/>
                <w:sz w:val="28"/>
                <w:szCs w:val="28"/>
              </w:rPr>
            </w:pPr>
            <w:r w:rsidRPr="00FA6F1C">
              <w:rPr>
                <w:sz w:val="28"/>
                <w:szCs w:val="28"/>
              </w:rPr>
              <w:t>izmaiņas, salīdzinot ar kārtējo (n) gadu</w:t>
            </w:r>
          </w:p>
        </w:tc>
      </w:tr>
      <w:tr w:rsidR="00EE3FBC" w:rsidRPr="00FA6F1C" w14:paraId="7D943F92" w14:textId="77777777" w:rsidTr="00E1537C">
        <w:trPr>
          <w:jc w:val="center"/>
        </w:trPr>
        <w:tc>
          <w:tcPr>
            <w:tcW w:w="2266" w:type="dxa"/>
            <w:vAlign w:val="center"/>
          </w:tcPr>
          <w:p w14:paraId="02B0F6F0" w14:textId="77777777" w:rsidR="00EE3FBC" w:rsidRPr="00FA6F1C" w:rsidRDefault="00EE3FBC" w:rsidP="00EE3FBC">
            <w:pPr>
              <w:pStyle w:val="naisf"/>
              <w:spacing w:before="0" w:beforeAutospacing="0" w:after="0" w:afterAutospacing="0"/>
              <w:jc w:val="center"/>
              <w:rPr>
                <w:bCs/>
                <w:sz w:val="28"/>
                <w:szCs w:val="28"/>
              </w:rPr>
            </w:pPr>
            <w:r w:rsidRPr="00FA6F1C">
              <w:rPr>
                <w:bCs/>
                <w:sz w:val="28"/>
                <w:szCs w:val="28"/>
              </w:rPr>
              <w:t>1</w:t>
            </w:r>
          </w:p>
        </w:tc>
        <w:tc>
          <w:tcPr>
            <w:tcW w:w="1196" w:type="dxa"/>
            <w:vAlign w:val="center"/>
          </w:tcPr>
          <w:p w14:paraId="59FDF568" w14:textId="77777777" w:rsidR="00EE3FBC" w:rsidRPr="00FA6F1C" w:rsidRDefault="00EE3FBC" w:rsidP="00EE3FBC">
            <w:pPr>
              <w:pStyle w:val="naisf"/>
              <w:spacing w:before="0" w:beforeAutospacing="0" w:after="0" w:afterAutospacing="0"/>
              <w:jc w:val="center"/>
              <w:rPr>
                <w:bCs/>
                <w:sz w:val="28"/>
                <w:szCs w:val="28"/>
              </w:rPr>
            </w:pPr>
            <w:r w:rsidRPr="00FA6F1C">
              <w:rPr>
                <w:bCs/>
                <w:sz w:val="28"/>
                <w:szCs w:val="28"/>
              </w:rPr>
              <w:t>2</w:t>
            </w:r>
          </w:p>
        </w:tc>
        <w:tc>
          <w:tcPr>
            <w:tcW w:w="1524" w:type="dxa"/>
            <w:vAlign w:val="center"/>
          </w:tcPr>
          <w:p w14:paraId="7EBC74AA" w14:textId="77777777" w:rsidR="00EE3FBC" w:rsidRPr="00FA6F1C" w:rsidRDefault="00EE3FBC" w:rsidP="00EE3FBC">
            <w:pPr>
              <w:pStyle w:val="naisf"/>
              <w:spacing w:before="0" w:beforeAutospacing="0" w:after="0" w:afterAutospacing="0"/>
              <w:jc w:val="center"/>
              <w:rPr>
                <w:bCs/>
                <w:sz w:val="28"/>
                <w:szCs w:val="28"/>
              </w:rPr>
            </w:pPr>
            <w:r w:rsidRPr="00FA6F1C">
              <w:rPr>
                <w:bCs/>
                <w:sz w:val="28"/>
                <w:szCs w:val="28"/>
              </w:rPr>
              <w:t>3</w:t>
            </w:r>
          </w:p>
        </w:tc>
        <w:tc>
          <w:tcPr>
            <w:tcW w:w="1391" w:type="dxa"/>
            <w:vAlign w:val="center"/>
          </w:tcPr>
          <w:p w14:paraId="1ED4A575" w14:textId="77777777" w:rsidR="00EE3FBC" w:rsidRPr="00FA6F1C" w:rsidRDefault="00EE3FBC" w:rsidP="00EE3FBC">
            <w:pPr>
              <w:pStyle w:val="naisf"/>
              <w:spacing w:before="0" w:beforeAutospacing="0" w:after="0" w:afterAutospacing="0"/>
              <w:jc w:val="center"/>
              <w:rPr>
                <w:bCs/>
                <w:sz w:val="28"/>
                <w:szCs w:val="28"/>
              </w:rPr>
            </w:pPr>
            <w:r w:rsidRPr="00FA6F1C">
              <w:rPr>
                <w:bCs/>
                <w:sz w:val="28"/>
                <w:szCs w:val="28"/>
              </w:rPr>
              <w:t>4</w:t>
            </w:r>
          </w:p>
        </w:tc>
        <w:tc>
          <w:tcPr>
            <w:tcW w:w="1391" w:type="dxa"/>
            <w:vAlign w:val="center"/>
          </w:tcPr>
          <w:p w14:paraId="5EDC2B2E" w14:textId="77777777" w:rsidR="00EE3FBC" w:rsidRPr="00FA6F1C" w:rsidRDefault="00EE3FBC" w:rsidP="00EE3FBC">
            <w:pPr>
              <w:pStyle w:val="naisf"/>
              <w:spacing w:before="0" w:beforeAutospacing="0" w:after="0" w:afterAutospacing="0"/>
              <w:jc w:val="center"/>
              <w:rPr>
                <w:bCs/>
                <w:sz w:val="28"/>
                <w:szCs w:val="28"/>
              </w:rPr>
            </w:pPr>
            <w:r w:rsidRPr="00FA6F1C">
              <w:rPr>
                <w:bCs/>
                <w:sz w:val="28"/>
                <w:szCs w:val="28"/>
              </w:rPr>
              <w:t>5</w:t>
            </w:r>
          </w:p>
        </w:tc>
        <w:tc>
          <w:tcPr>
            <w:tcW w:w="1683" w:type="dxa"/>
            <w:vAlign w:val="center"/>
          </w:tcPr>
          <w:p w14:paraId="3F716DF6" w14:textId="77777777" w:rsidR="00EE3FBC" w:rsidRPr="00FA6F1C" w:rsidRDefault="00EE3FBC" w:rsidP="00EE3FBC">
            <w:pPr>
              <w:pStyle w:val="naisf"/>
              <w:spacing w:before="0" w:beforeAutospacing="0" w:after="0" w:afterAutospacing="0"/>
              <w:jc w:val="center"/>
              <w:rPr>
                <w:bCs/>
                <w:sz w:val="28"/>
                <w:szCs w:val="28"/>
              </w:rPr>
            </w:pPr>
            <w:r w:rsidRPr="00FA6F1C">
              <w:rPr>
                <w:bCs/>
                <w:sz w:val="28"/>
                <w:szCs w:val="28"/>
              </w:rPr>
              <w:t>6</w:t>
            </w:r>
          </w:p>
        </w:tc>
      </w:tr>
      <w:tr w:rsidR="00EE3FBC" w:rsidRPr="00FA6F1C" w14:paraId="02DC2045" w14:textId="77777777" w:rsidTr="00E1537C">
        <w:trPr>
          <w:jc w:val="center"/>
        </w:trPr>
        <w:tc>
          <w:tcPr>
            <w:tcW w:w="2266" w:type="dxa"/>
          </w:tcPr>
          <w:p w14:paraId="3B57AFA3" w14:textId="77777777" w:rsidR="00EE3FBC" w:rsidRPr="00FA6F1C" w:rsidRDefault="00EE3FBC" w:rsidP="00EE3FBC">
            <w:pPr>
              <w:pStyle w:val="naisf"/>
              <w:spacing w:before="0" w:beforeAutospacing="0" w:after="0" w:afterAutospacing="0"/>
              <w:rPr>
                <w:i/>
                <w:sz w:val="28"/>
                <w:szCs w:val="28"/>
              </w:rPr>
            </w:pPr>
            <w:r w:rsidRPr="00FA6F1C">
              <w:rPr>
                <w:sz w:val="28"/>
                <w:szCs w:val="28"/>
              </w:rPr>
              <w:t>1. Budžeta ieņēmumi:</w:t>
            </w:r>
          </w:p>
        </w:tc>
        <w:tc>
          <w:tcPr>
            <w:tcW w:w="1196" w:type="dxa"/>
          </w:tcPr>
          <w:p w14:paraId="2DF9D3C3" w14:textId="77777777" w:rsidR="00EE3FBC" w:rsidRPr="005126EC" w:rsidRDefault="00EE3FBC" w:rsidP="00EE3FBC">
            <w:pPr>
              <w:pStyle w:val="naisf"/>
              <w:spacing w:before="0" w:beforeAutospacing="0" w:after="0" w:afterAutospacing="0"/>
              <w:rPr>
                <w:b/>
                <w:i/>
              </w:rPr>
            </w:pPr>
            <w:r w:rsidRPr="005126EC">
              <w:rPr>
                <w:b/>
                <w:i/>
              </w:rPr>
              <w:t>  0</w:t>
            </w:r>
          </w:p>
        </w:tc>
        <w:tc>
          <w:tcPr>
            <w:tcW w:w="1524" w:type="dxa"/>
          </w:tcPr>
          <w:p w14:paraId="643DA79F" w14:textId="77777777" w:rsidR="00EE3FBC" w:rsidRPr="005126EC" w:rsidRDefault="00EE3FBC" w:rsidP="00EE3FBC">
            <w:pPr>
              <w:pStyle w:val="naisf"/>
              <w:spacing w:before="0" w:beforeAutospacing="0" w:after="0" w:afterAutospacing="0"/>
              <w:rPr>
                <w:b/>
                <w:i/>
              </w:rPr>
            </w:pPr>
            <w:r w:rsidRPr="005126EC">
              <w:rPr>
                <w:b/>
                <w:i/>
              </w:rPr>
              <w:t>0</w:t>
            </w:r>
          </w:p>
        </w:tc>
        <w:tc>
          <w:tcPr>
            <w:tcW w:w="1391" w:type="dxa"/>
          </w:tcPr>
          <w:p w14:paraId="2C54590D" w14:textId="77777777" w:rsidR="00EE3FBC" w:rsidRPr="005126EC" w:rsidRDefault="00EE3FBC" w:rsidP="00EE3FBC">
            <w:pPr>
              <w:pStyle w:val="naisf"/>
              <w:spacing w:before="0" w:beforeAutospacing="0" w:after="0" w:afterAutospacing="0"/>
              <w:rPr>
                <w:b/>
                <w:i/>
              </w:rPr>
            </w:pPr>
            <w:r w:rsidRPr="005126EC">
              <w:rPr>
                <w:b/>
                <w:i/>
              </w:rPr>
              <w:t>+ 4</w:t>
            </w:r>
            <w:r>
              <w:rPr>
                <w:b/>
                <w:i/>
              </w:rPr>
              <w:t> 626 865</w:t>
            </w:r>
          </w:p>
          <w:p w14:paraId="3AE91CD8" w14:textId="77777777" w:rsidR="00EE3FBC" w:rsidRPr="005126EC" w:rsidRDefault="00EE3FBC" w:rsidP="00EE3FBC">
            <w:pPr>
              <w:pStyle w:val="naisf"/>
              <w:spacing w:before="0" w:beforeAutospacing="0" w:after="0" w:afterAutospacing="0"/>
              <w:rPr>
                <w:b/>
                <w:i/>
              </w:rPr>
            </w:pPr>
          </w:p>
        </w:tc>
        <w:tc>
          <w:tcPr>
            <w:tcW w:w="1391" w:type="dxa"/>
          </w:tcPr>
          <w:p w14:paraId="1C044B22" w14:textId="77777777" w:rsidR="00EE3FBC" w:rsidRPr="005126EC" w:rsidRDefault="00EE3FBC" w:rsidP="00EE3FBC">
            <w:pPr>
              <w:spacing w:line="240" w:lineRule="auto"/>
              <w:rPr>
                <w:rFonts w:ascii="Times New Roman" w:eastAsia="Times New Roman" w:hAnsi="Times New Roman" w:cs="Times New Roman"/>
                <w:b/>
                <w:i/>
                <w:sz w:val="24"/>
                <w:szCs w:val="24"/>
              </w:rPr>
            </w:pPr>
            <w:r w:rsidRPr="005126EC">
              <w:rPr>
                <w:rFonts w:ascii="Times New Roman" w:hAnsi="Times New Roman" w:cs="Times New Roman"/>
                <w:b/>
                <w:i/>
                <w:sz w:val="24"/>
                <w:szCs w:val="24"/>
              </w:rPr>
              <w:t>+</w:t>
            </w:r>
            <w:r w:rsidRPr="005126EC">
              <w:rPr>
                <w:rFonts w:ascii="Times New Roman" w:eastAsia="Times New Roman" w:hAnsi="Times New Roman" w:cs="Times New Roman"/>
                <w:b/>
                <w:i/>
                <w:sz w:val="24"/>
                <w:szCs w:val="24"/>
              </w:rPr>
              <w:t>5 628 647</w:t>
            </w:r>
          </w:p>
          <w:p w14:paraId="6BC327D2" w14:textId="77777777" w:rsidR="00EE3FBC" w:rsidRPr="005126EC" w:rsidRDefault="00EE3FBC" w:rsidP="00EE3FBC">
            <w:pPr>
              <w:pStyle w:val="naisf"/>
              <w:spacing w:before="0" w:beforeAutospacing="0" w:after="0" w:afterAutospacing="0"/>
              <w:rPr>
                <w:b/>
                <w:i/>
              </w:rPr>
            </w:pPr>
          </w:p>
          <w:p w14:paraId="38DBA6A4" w14:textId="77777777" w:rsidR="00EE3FBC" w:rsidRPr="005126EC" w:rsidRDefault="00EE3FBC" w:rsidP="00EE3FBC">
            <w:pPr>
              <w:spacing w:line="240" w:lineRule="auto"/>
              <w:rPr>
                <w:rFonts w:ascii="Times New Roman" w:hAnsi="Times New Roman" w:cs="Times New Roman"/>
                <w:b/>
                <w:i/>
                <w:sz w:val="24"/>
                <w:szCs w:val="24"/>
              </w:rPr>
            </w:pPr>
          </w:p>
        </w:tc>
        <w:tc>
          <w:tcPr>
            <w:tcW w:w="1683" w:type="dxa"/>
          </w:tcPr>
          <w:p w14:paraId="5D94A516" w14:textId="77777777" w:rsidR="00EE3FBC" w:rsidRPr="005126EC" w:rsidRDefault="00EE3FBC" w:rsidP="00EE3FBC">
            <w:pPr>
              <w:spacing w:line="240" w:lineRule="auto"/>
              <w:rPr>
                <w:rFonts w:ascii="Times New Roman" w:eastAsia="Times New Roman" w:hAnsi="Times New Roman" w:cs="Times New Roman"/>
                <w:b/>
                <w:i/>
                <w:sz w:val="24"/>
                <w:szCs w:val="24"/>
              </w:rPr>
            </w:pPr>
            <w:r w:rsidRPr="005126EC">
              <w:rPr>
                <w:rFonts w:ascii="Times New Roman" w:hAnsi="Times New Roman" w:cs="Times New Roman"/>
                <w:b/>
                <w:i/>
                <w:sz w:val="24"/>
                <w:szCs w:val="24"/>
              </w:rPr>
              <w:lastRenderedPageBreak/>
              <w:t>+</w:t>
            </w:r>
            <w:r w:rsidRPr="005126EC">
              <w:rPr>
                <w:rFonts w:ascii="Times New Roman" w:eastAsia="Times New Roman" w:hAnsi="Times New Roman" w:cs="Times New Roman"/>
                <w:b/>
                <w:i/>
                <w:sz w:val="24"/>
                <w:szCs w:val="24"/>
              </w:rPr>
              <w:t>5 741 220</w:t>
            </w:r>
          </w:p>
          <w:p w14:paraId="2A8E3015" w14:textId="77777777" w:rsidR="00EE3FBC" w:rsidRPr="005126EC" w:rsidRDefault="00EE3FBC" w:rsidP="00EE3FBC">
            <w:pPr>
              <w:pStyle w:val="naisf"/>
              <w:spacing w:before="0" w:beforeAutospacing="0" w:after="0" w:afterAutospacing="0"/>
              <w:rPr>
                <w:b/>
                <w:i/>
              </w:rPr>
            </w:pPr>
          </w:p>
          <w:p w14:paraId="2BD76F78" w14:textId="77777777" w:rsidR="00EE3FBC" w:rsidRPr="005126EC" w:rsidRDefault="00EE3FBC" w:rsidP="00EE3FBC">
            <w:pPr>
              <w:spacing w:line="240" w:lineRule="auto"/>
              <w:rPr>
                <w:rFonts w:ascii="Times New Roman" w:hAnsi="Times New Roman" w:cs="Times New Roman"/>
                <w:b/>
                <w:i/>
                <w:sz w:val="24"/>
                <w:szCs w:val="24"/>
              </w:rPr>
            </w:pPr>
          </w:p>
        </w:tc>
      </w:tr>
      <w:tr w:rsidR="00EE3FBC" w:rsidRPr="00FA6F1C" w14:paraId="75CCA379" w14:textId="77777777" w:rsidTr="00E1537C">
        <w:trPr>
          <w:jc w:val="center"/>
        </w:trPr>
        <w:tc>
          <w:tcPr>
            <w:tcW w:w="2266" w:type="dxa"/>
          </w:tcPr>
          <w:p w14:paraId="51CEAA18" w14:textId="77777777" w:rsidR="00EE3FBC" w:rsidRPr="00FA6F1C" w:rsidRDefault="00EE3FBC" w:rsidP="00EE3FBC">
            <w:pPr>
              <w:pStyle w:val="naisf"/>
              <w:spacing w:before="0" w:beforeAutospacing="0" w:after="0" w:afterAutospacing="0"/>
              <w:rPr>
                <w:i/>
                <w:sz w:val="28"/>
                <w:szCs w:val="28"/>
              </w:rPr>
            </w:pPr>
            <w:r w:rsidRPr="00FA6F1C">
              <w:rPr>
                <w:sz w:val="28"/>
                <w:szCs w:val="28"/>
              </w:rPr>
              <w:lastRenderedPageBreak/>
              <w:t>1.1. valsts pamatbudžets, tai skaitā ieņēmumi no maksas pakalpojumiem un citi pašu ieņēmumi</w:t>
            </w:r>
          </w:p>
        </w:tc>
        <w:tc>
          <w:tcPr>
            <w:tcW w:w="1196" w:type="dxa"/>
          </w:tcPr>
          <w:p w14:paraId="006028F3" w14:textId="77777777" w:rsidR="00EE3FBC" w:rsidRPr="005126EC" w:rsidRDefault="00EE3FBC" w:rsidP="00EE3FBC">
            <w:pPr>
              <w:pStyle w:val="naisf"/>
              <w:spacing w:before="0" w:beforeAutospacing="0" w:after="0" w:afterAutospacing="0"/>
              <w:rPr>
                <w:b/>
                <w:i/>
              </w:rPr>
            </w:pPr>
            <w:r w:rsidRPr="005126EC">
              <w:rPr>
                <w:b/>
                <w:i/>
              </w:rPr>
              <w:t>0</w:t>
            </w:r>
          </w:p>
        </w:tc>
        <w:tc>
          <w:tcPr>
            <w:tcW w:w="1524" w:type="dxa"/>
          </w:tcPr>
          <w:p w14:paraId="040FAEAC" w14:textId="77777777" w:rsidR="00EE3FBC" w:rsidRPr="005126EC" w:rsidRDefault="00EE3FBC" w:rsidP="00EE3FBC">
            <w:pPr>
              <w:pStyle w:val="naisf"/>
              <w:spacing w:before="0" w:beforeAutospacing="0" w:after="0" w:afterAutospacing="0"/>
              <w:rPr>
                <w:b/>
                <w:i/>
              </w:rPr>
            </w:pPr>
            <w:r w:rsidRPr="005126EC">
              <w:rPr>
                <w:b/>
                <w:i/>
              </w:rPr>
              <w:t>0</w:t>
            </w:r>
          </w:p>
        </w:tc>
        <w:tc>
          <w:tcPr>
            <w:tcW w:w="1391" w:type="dxa"/>
          </w:tcPr>
          <w:p w14:paraId="68ACBF65" w14:textId="77777777" w:rsidR="00EE3FBC" w:rsidRPr="005126EC" w:rsidRDefault="00EE3FBC" w:rsidP="00EE3FBC">
            <w:pPr>
              <w:spacing w:line="240" w:lineRule="auto"/>
              <w:rPr>
                <w:rFonts w:ascii="Times New Roman" w:eastAsia="Times New Roman" w:hAnsi="Times New Roman" w:cs="Times New Roman"/>
                <w:b/>
                <w:i/>
                <w:sz w:val="24"/>
                <w:szCs w:val="24"/>
              </w:rPr>
            </w:pPr>
            <w:r w:rsidRPr="005126EC">
              <w:rPr>
                <w:rFonts w:ascii="Times New Roman" w:hAnsi="Times New Roman" w:cs="Times New Roman"/>
                <w:b/>
                <w:i/>
                <w:sz w:val="24"/>
                <w:szCs w:val="24"/>
              </w:rPr>
              <w:t>+</w:t>
            </w:r>
            <w:r w:rsidRPr="005126EC">
              <w:rPr>
                <w:rFonts w:ascii="Times New Roman" w:eastAsia="Times New Roman" w:hAnsi="Times New Roman" w:cs="Times New Roman"/>
                <w:b/>
                <w:i/>
                <w:sz w:val="24"/>
                <w:szCs w:val="24"/>
              </w:rPr>
              <w:t>4 6</w:t>
            </w:r>
            <w:r>
              <w:rPr>
                <w:rFonts w:ascii="Times New Roman" w:eastAsia="Times New Roman" w:hAnsi="Times New Roman" w:cs="Times New Roman"/>
                <w:b/>
                <w:i/>
                <w:sz w:val="24"/>
                <w:szCs w:val="24"/>
              </w:rPr>
              <w:t>26</w:t>
            </w:r>
            <w:r w:rsidRPr="005126EC">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865</w:t>
            </w:r>
          </w:p>
          <w:p w14:paraId="463775C5" w14:textId="77777777" w:rsidR="00EE3FBC" w:rsidRPr="005126EC" w:rsidRDefault="00EE3FBC" w:rsidP="00EE3FBC">
            <w:pPr>
              <w:pStyle w:val="naisf"/>
              <w:spacing w:before="0" w:beforeAutospacing="0" w:after="0" w:afterAutospacing="0"/>
              <w:rPr>
                <w:b/>
                <w:i/>
              </w:rPr>
            </w:pPr>
          </w:p>
          <w:p w14:paraId="58ADE5B9" w14:textId="77777777" w:rsidR="00EE3FBC" w:rsidRPr="005126EC" w:rsidRDefault="00EE3FBC" w:rsidP="00EE3FBC">
            <w:pPr>
              <w:spacing w:line="240" w:lineRule="auto"/>
              <w:rPr>
                <w:rFonts w:ascii="Times New Roman" w:hAnsi="Times New Roman" w:cs="Times New Roman"/>
                <w:b/>
                <w:i/>
                <w:sz w:val="24"/>
                <w:szCs w:val="24"/>
              </w:rPr>
            </w:pPr>
          </w:p>
        </w:tc>
        <w:tc>
          <w:tcPr>
            <w:tcW w:w="1391" w:type="dxa"/>
          </w:tcPr>
          <w:p w14:paraId="2252DE46" w14:textId="77777777" w:rsidR="00EE3FBC" w:rsidRPr="005126EC" w:rsidRDefault="00EE3FBC" w:rsidP="00EE3FBC">
            <w:pPr>
              <w:spacing w:line="240" w:lineRule="auto"/>
              <w:rPr>
                <w:rFonts w:ascii="Times New Roman" w:eastAsia="Times New Roman" w:hAnsi="Times New Roman" w:cs="Times New Roman"/>
                <w:b/>
                <w:i/>
                <w:sz w:val="24"/>
                <w:szCs w:val="24"/>
              </w:rPr>
            </w:pPr>
            <w:r w:rsidRPr="005126EC">
              <w:rPr>
                <w:rFonts w:ascii="Times New Roman" w:hAnsi="Times New Roman" w:cs="Times New Roman"/>
                <w:b/>
                <w:i/>
                <w:sz w:val="24"/>
                <w:szCs w:val="24"/>
              </w:rPr>
              <w:t>+</w:t>
            </w:r>
            <w:r w:rsidRPr="005126EC">
              <w:rPr>
                <w:rFonts w:ascii="Times New Roman" w:eastAsia="Times New Roman" w:hAnsi="Times New Roman" w:cs="Times New Roman"/>
                <w:b/>
                <w:i/>
                <w:sz w:val="24"/>
                <w:szCs w:val="24"/>
              </w:rPr>
              <w:t>5 628 647</w:t>
            </w:r>
          </w:p>
          <w:p w14:paraId="6025E4C4" w14:textId="77777777" w:rsidR="00EE3FBC" w:rsidRPr="005126EC" w:rsidRDefault="00EE3FBC" w:rsidP="00EE3FBC">
            <w:pPr>
              <w:pStyle w:val="naisf"/>
              <w:spacing w:before="0" w:beforeAutospacing="0" w:after="0" w:afterAutospacing="0"/>
              <w:rPr>
                <w:b/>
                <w:i/>
              </w:rPr>
            </w:pPr>
          </w:p>
          <w:p w14:paraId="28C61C08" w14:textId="77777777" w:rsidR="00EE3FBC" w:rsidRPr="005126EC" w:rsidRDefault="00EE3FBC" w:rsidP="00EE3FBC">
            <w:pPr>
              <w:spacing w:line="240" w:lineRule="auto"/>
              <w:rPr>
                <w:rFonts w:ascii="Times New Roman" w:hAnsi="Times New Roman" w:cs="Times New Roman"/>
                <w:b/>
                <w:i/>
                <w:sz w:val="24"/>
                <w:szCs w:val="24"/>
              </w:rPr>
            </w:pPr>
          </w:p>
        </w:tc>
        <w:tc>
          <w:tcPr>
            <w:tcW w:w="1683" w:type="dxa"/>
          </w:tcPr>
          <w:p w14:paraId="532E16CD" w14:textId="77777777" w:rsidR="00EE3FBC" w:rsidRPr="005126EC" w:rsidRDefault="00EE3FBC" w:rsidP="00EE3FBC">
            <w:pPr>
              <w:spacing w:line="240" w:lineRule="auto"/>
              <w:rPr>
                <w:rFonts w:ascii="Times New Roman" w:eastAsia="Times New Roman" w:hAnsi="Times New Roman" w:cs="Times New Roman"/>
                <w:b/>
                <w:i/>
                <w:sz w:val="24"/>
                <w:szCs w:val="24"/>
              </w:rPr>
            </w:pPr>
            <w:r w:rsidRPr="005126EC">
              <w:rPr>
                <w:rFonts w:ascii="Times New Roman" w:hAnsi="Times New Roman" w:cs="Times New Roman"/>
                <w:b/>
                <w:i/>
                <w:sz w:val="24"/>
                <w:szCs w:val="24"/>
              </w:rPr>
              <w:t>+</w:t>
            </w:r>
            <w:r w:rsidRPr="005126EC">
              <w:rPr>
                <w:rFonts w:ascii="Times New Roman" w:eastAsia="Times New Roman" w:hAnsi="Times New Roman" w:cs="Times New Roman"/>
                <w:b/>
                <w:i/>
                <w:sz w:val="24"/>
                <w:szCs w:val="24"/>
              </w:rPr>
              <w:t>5 741 220</w:t>
            </w:r>
          </w:p>
          <w:p w14:paraId="2A2DA3A5" w14:textId="77777777" w:rsidR="00EE3FBC" w:rsidRPr="005126EC" w:rsidRDefault="00EE3FBC" w:rsidP="00EE3FBC">
            <w:pPr>
              <w:pStyle w:val="naisf"/>
              <w:spacing w:before="0" w:beforeAutospacing="0" w:after="0" w:afterAutospacing="0"/>
              <w:rPr>
                <w:b/>
                <w:i/>
              </w:rPr>
            </w:pPr>
          </w:p>
          <w:p w14:paraId="33EBBD5F" w14:textId="77777777" w:rsidR="00EE3FBC" w:rsidRPr="005126EC" w:rsidRDefault="00EE3FBC" w:rsidP="00EE3FBC">
            <w:pPr>
              <w:spacing w:line="240" w:lineRule="auto"/>
              <w:rPr>
                <w:rFonts w:ascii="Times New Roman" w:hAnsi="Times New Roman" w:cs="Times New Roman"/>
                <w:b/>
                <w:i/>
                <w:sz w:val="24"/>
                <w:szCs w:val="24"/>
              </w:rPr>
            </w:pPr>
          </w:p>
        </w:tc>
      </w:tr>
      <w:tr w:rsidR="00EE3FBC" w:rsidRPr="00FA6F1C" w14:paraId="47CDE435" w14:textId="77777777" w:rsidTr="00E1537C">
        <w:trPr>
          <w:jc w:val="center"/>
        </w:trPr>
        <w:tc>
          <w:tcPr>
            <w:tcW w:w="2266" w:type="dxa"/>
          </w:tcPr>
          <w:p w14:paraId="46A8617A" w14:textId="77777777" w:rsidR="00EE3FBC" w:rsidRPr="00FA6F1C" w:rsidRDefault="00EE3FBC" w:rsidP="00EE3FBC">
            <w:pPr>
              <w:pStyle w:val="naisf"/>
              <w:spacing w:before="0" w:beforeAutospacing="0" w:after="0" w:afterAutospacing="0"/>
              <w:rPr>
                <w:i/>
                <w:sz w:val="28"/>
                <w:szCs w:val="28"/>
              </w:rPr>
            </w:pPr>
            <w:r w:rsidRPr="00FA6F1C">
              <w:rPr>
                <w:sz w:val="28"/>
                <w:szCs w:val="28"/>
              </w:rPr>
              <w:t>1.2. valsts speciālais budžets</w:t>
            </w:r>
          </w:p>
        </w:tc>
        <w:tc>
          <w:tcPr>
            <w:tcW w:w="1196" w:type="dxa"/>
          </w:tcPr>
          <w:p w14:paraId="44B05D5C" w14:textId="77777777" w:rsidR="00EE3FBC" w:rsidRPr="005126EC" w:rsidRDefault="00EE3FBC" w:rsidP="00EE3FBC">
            <w:pPr>
              <w:pStyle w:val="naisf"/>
              <w:spacing w:before="0" w:beforeAutospacing="0" w:after="0" w:afterAutospacing="0"/>
              <w:rPr>
                <w:b/>
                <w:i/>
              </w:rPr>
            </w:pPr>
            <w:r w:rsidRPr="005126EC">
              <w:rPr>
                <w:b/>
                <w:i/>
              </w:rPr>
              <w:t>0</w:t>
            </w:r>
          </w:p>
        </w:tc>
        <w:tc>
          <w:tcPr>
            <w:tcW w:w="1524" w:type="dxa"/>
          </w:tcPr>
          <w:p w14:paraId="3CFA7CAC" w14:textId="77777777" w:rsidR="00EE3FBC" w:rsidRPr="005126EC" w:rsidRDefault="00EE3FBC" w:rsidP="00EE3FBC">
            <w:pPr>
              <w:pStyle w:val="naisf"/>
              <w:spacing w:before="0" w:beforeAutospacing="0" w:after="0" w:afterAutospacing="0"/>
              <w:rPr>
                <w:b/>
                <w:i/>
              </w:rPr>
            </w:pPr>
            <w:r w:rsidRPr="005126EC">
              <w:rPr>
                <w:b/>
                <w:i/>
              </w:rPr>
              <w:t>0</w:t>
            </w:r>
          </w:p>
        </w:tc>
        <w:tc>
          <w:tcPr>
            <w:tcW w:w="1391" w:type="dxa"/>
          </w:tcPr>
          <w:p w14:paraId="708D9BB0" w14:textId="77777777" w:rsidR="00EE3FBC" w:rsidRPr="005126EC" w:rsidRDefault="00EE3FBC" w:rsidP="00EE3FBC">
            <w:pPr>
              <w:pStyle w:val="naisf"/>
              <w:spacing w:before="0" w:beforeAutospacing="0" w:after="0" w:afterAutospacing="0"/>
              <w:rPr>
                <w:b/>
                <w:i/>
              </w:rPr>
            </w:pPr>
            <w:r w:rsidRPr="005126EC">
              <w:rPr>
                <w:b/>
                <w:i/>
              </w:rPr>
              <w:t>0</w:t>
            </w:r>
          </w:p>
        </w:tc>
        <w:tc>
          <w:tcPr>
            <w:tcW w:w="1391" w:type="dxa"/>
          </w:tcPr>
          <w:p w14:paraId="039A9A8A" w14:textId="77777777" w:rsidR="00EE3FBC" w:rsidRPr="005126EC" w:rsidRDefault="00EE3FBC" w:rsidP="00EE3FBC">
            <w:pPr>
              <w:pStyle w:val="naisf"/>
              <w:spacing w:before="0" w:beforeAutospacing="0" w:after="0" w:afterAutospacing="0"/>
              <w:rPr>
                <w:b/>
                <w:i/>
              </w:rPr>
            </w:pPr>
            <w:r w:rsidRPr="005126EC">
              <w:rPr>
                <w:b/>
                <w:i/>
              </w:rPr>
              <w:t>0</w:t>
            </w:r>
          </w:p>
        </w:tc>
        <w:tc>
          <w:tcPr>
            <w:tcW w:w="1683" w:type="dxa"/>
          </w:tcPr>
          <w:p w14:paraId="5D274D50" w14:textId="77777777" w:rsidR="00EE3FBC" w:rsidRPr="005126EC" w:rsidRDefault="00EE3FBC" w:rsidP="00EE3FBC">
            <w:pPr>
              <w:pStyle w:val="naisf"/>
              <w:spacing w:before="0" w:beforeAutospacing="0" w:after="0" w:afterAutospacing="0"/>
              <w:rPr>
                <w:b/>
                <w:i/>
              </w:rPr>
            </w:pPr>
            <w:r w:rsidRPr="005126EC">
              <w:rPr>
                <w:b/>
                <w:i/>
              </w:rPr>
              <w:t>0</w:t>
            </w:r>
          </w:p>
        </w:tc>
      </w:tr>
      <w:tr w:rsidR="00EE3FBC" w:rsidRPr="00FA6F1C" w14:paraId="29129285" w14:textId="77777777" w:rsidTr="00E1537C">
        <w:trPr>
          <w:trHeight w:val="420"/>
          <w:jc w:val="center"/>
        </w:trPr>
        <w:tc>
          <w:tcPr>
            <w:tcW w:w="2266" w:type="dxa"/>
          </w:tcPr>
          <w:p w14:paraId="40B89F8B" w14:textId="77777777" w:rsidR="00EE3FBC" w:rsidRPr="00FA6F1C" w:rsidRDefault="00EE3FBC" w:rsidP="00EE3FBC">
            <w:pPr>
              <w:pStyle w:val="naisf"/>
              <w:spacing w:before="0" w:beforeAutospacing="0" w:after="0" w:afterAutospacing="0"/>
              <w:rPr>
                <w:i/>
                <w:sz w:val="28"/>
                <w:szCs w:val="28"/>
              </w:rPr>
            </w:pPr>
            <w:r w:rsidRPr="00FA6F1C">
              <w:rPr>
                <w:sz w:val="28"/>
                <w:szCs w:val="28"/>
              </w:rPr>
              <w:t>1.3. pašvaldību budžets</w:t>
            </w:r>
          </w:p>
        </w:tc>
        <w:tc>
          <w:tcPr>
            <w:tcW w:w="1196" w:type="dxa"/>
          </w:tcPr>
          <w:p w14:paraId="05CD6C9E" w14:textId="77777777" w:rsidR="00EE3FBC" w:rsidRPr="005126EC" w:rsidRDefault="00EE3FBC" w:rsidP="00EE3FBC">
            <w:pPr>
              <w:pStyle w:val="naisf"/>
              <w:spacing w:before="0" w:beforeAutospacing="0" w:after="0" w:afterAutospacing="0"/>
              <w:rPr>
                <w:b/>
                <w:i/>
              </w:rPr>
            </w:pPr>
            <w:r w:rsidRPr="005126EC">
              <w:rPr>
                <w:b/>
                <w:i/>
              </w:rPr>
              <w:t>0</w:t>
            </w:r>
          </w:p>
        </w:tc>
        <w:tc>
          <w:tcPr>
            <w:tcW w:w="1524" w:type="dxa"/>
          </w:tcPr>
          <w:p w14:paraId="34CCAA10" w14:textId="77777777" w:rsidR="00EE3FBC" w:rsidRPr="005126EC" w:rsidRDefault="00EE3FBC" w:rsidP="00EE3FBC">
            <w:pPr>
              <w:pStyle w:val="naisf"/>
              <w:spacing w:before="0" w:beforeAutospacing="0" w:after="0" w:afterAutospacing="0"/>
              <w:rPr>
                <w:b/>
                <w:i/>
              </w:rPr>
            </w:pPr>
            <w:r w:rsidRPr="005126EC">
              <w:rPr>
                <w:b/>
                <w:i/>
              </w:rPr>
              <w:t>0</w:t>
            </w:r>
          </w:p>
        </w:tc>
        <w:tc>
          <w:tcPr>
            <w:tcW w:w="1391" w:type="dxa"/>
          </w:tcPr>
          <w:p w14:paraId="2AA4F84A" w14:textId="77777777" w:rsidR="00EE3FBC" w:rsidRPr="005126EC" w:rsidRDefault="00EE3FBC" w:rsidP="00EE3FBC">
            <w:pPr>
              <w:pStyle w:val="naisf"/>
              <w:spacing w:before="0" w:beforeAutospacing="0" w:after="0" w:afterAutospacing="0"/>
              <w:rPr>
                <w:b/>
                <w:i/>
              </w:rPr>
            </w:pPr>
            <w:r w:rsidRPr="005126EC">
              <w:rPr>
                <w:b/>
                <w:i/>
              </w:rPr>
              <w:t>0</w:t>
            </w:r>
          </w:p>
        </w:tc>
        <w:tc>
          <w:tcPr>
            <w:tcW w:w="1391" w:type="dxa"/>
          </w:tcPr>
          <w:p w14:paraId="15D5E582" w14:textId="77777777" w:rsidR="00EE3FBC" w:rsidRPr="005126EC" w:rsidRDefault="00EE3FBC" w:rsidP="00EE3FBC">
            <w:pPr>
              <w:pStyle w:val="naisf"/>
              <w:spacing w:before="0" w:beforeAutospacing="0" w:after="0" w:afterAutospacing="0"/>
              <w:rPr>
                <w:b/>
                <w:i/>
              </w:rPr>
            </w:pPr>
            <w:r w:rsidRPr="005126EC">
              <w:rPr>
                <w:b/>
                <w:i/>
              </w:rPr>
              <w:t>0</w:t>
            </w:r>
          </w:p>
        </w:tc>
        <w:tc>
          <w:tcPr>
            <w:tcW w:w="1683" w:type="dxa"/>
          </w:tcPr>
          <w:p w14:paraId="49D26FA9" w14:textId="77777777" w:rsidR="00EE3FBC" w:rsidRPr="005126EC" w:rsidRDefault="00EE3FBC" w:rsidP="00EE3FBC">
            <w:pPr>
              <w:pStyle w:val="naisf"/>
              <w:spacing w:before="0" w:beforeAutospacing="0" w:after="0" w:afterAutospacing="0"/>
              <w:rPr>
                <w:b/>
                <w:i/>
              </w:rPr>
            </w:pPr>
            <w:r w:rsidRPr="005126EC">
              <w:rPr>
                <w:b/>
                <w:i/>
              </w:rPr>
              <w:t>0</w:t>
            </w:r>
          </w:p>
        </w:tc>
      </w:tr>
      <w:tr w:rsidR="00EE3FBC" w:rsidRPr="00FA6F1C" w14:paraId="00A4E2D9" w14:textId="77777777" w:rsidTr="00E1537C">
        <w:trPr>
          <w:jc w:val="center"/>
        </w:trPr>
        <w:tc>
          <w:tcPr>
            <w:tcW w:w="2266" w:type="dxa"/>
          </w:tcPr>
          <w:p w14:paraId="488BAFEA" w14:textId="77777777" w:rsidR="00EE3FBC" w:rsidRPr="00FA6F1C" w:rsidRDefault="00EE3FBC" w:rsidP="00EE3FBC">
            <w:pPr>
              <w:spacing w:after="0" w:line="240" w:lineRule="auto"/>
              <w:rPr>
                <w:rFonts w:ascii="Times New Roman" w:hAnsi="Times New Roman" w:cs="Times New Roman"/>
                <w:sz w:val="28"/>
                <w:szCs w:val="28"/>
              </w:rPr>
            </w:pPr>
            <w:r w:rsidRPr="00FA6F1C">
              <w:rPr>
                <w:rFonts w:ascii="Times New Roman" w:hAnsi="Times New Roman" w:cs="Times New Roman"/>
                <w:sz w:val="28"/>
                <w:szCs w:val="28"/>
              </w:rPr>
              <w:t>2. Budžeta izdevumi:</w:t>
            </w:r>
          </w:p>
        </w:tc>
        <w:tc>
          <w:tcPr>
            <w:tcW w:w="1196" w:type="dxa"/>
          </w:tcPr>
          <w:p w14:paraId="31E8754E" w14:textId="77777777" w:rsidR="00EE3FBC" w:rsidRPr="005126EC" w:rsidRDefault="00EE3FBC" w:rsidP="00EE3FBC">
            <w:pPr>
              <w:pStyle w:val="naisf"/>
              <w:spacing w:before="0" w:beforeAutospacing="0" w:after="0" w:afterAutospacing="0"/>
              <w:rPr>
                <w:b/>
                <w:i/>
              </w:rPr>
            </w:pPr>
            <w:r w:rsidRPr="005126EC">
              <w:rPr>
                <w:b/>
                <w:i/>
              </w:rPr>
              <w:t>+13</w:t>
            </w:r>
            <w:r>
              <w:rPr>
                <w:b/>
                <w:i/>
              </w:rPr>
              <w:t>1</w:t>
            </w:r>
            <w:r w:rsidRPr="005126EC">
              <w:rPr>
                <w:b/>
                <w:i/>
              </w:rPr>
              <w:t xml:space="preserve"> 3</w:t>
            </w:r>
            <w:r>
              <w:rPr>
                <w:b/>
                <w:i/>
              </w:rPr>
              <w:t>94</w:t>
            </w:r>
          </w:p>
        </w:tc>
        <w:tc>
          <w:tcPr>
            <w:tcW w:w="1524" w:type="dxa"/>
          </w:tcPr>
          <w:p w14:paraId="3DE90E3F" w14:textId="77777777" w:rsidR="00EE3FBC" w:rsidRPr="005126EC" w:rsidRDefault="00EE3FBC" w:rsidP="00EE3FBC">
            <w:pPr>
              <w:pStyle w:val="naisf"/>
              <w:spacing w:before="0" w:beforeAutospacing="0" w:after="0" w:afterAutospacing="0"/>
              <w:rPr>
                <w:b/>
                <w:i/>
              </w:rPr>
            </w:pPr>
            <w:r>
              <w:rPr>
                <w:b/>
                <w:i/>
              </w:rPr>
              <w:t>+2 928</w:t>
            </w:r>
          </w:p>
        </w:tc>
        <w:tc>
          <w:tcPr>
            <w:tcW w:w="1391" w:type="dxa"/>
          </w:tcPr>
          <w:p w14:paraId="30D469B8" w14:textId="77777777" w:rsidR="00EE3FBC" w:rsidRPr="005126EC" w:rsidRDefault="00EE3FBC" w:rsidP="00EE3FBC">
            <w:pPr>
              <w:spacing w:line="240" w:lineRule="auto"/>
              <w:rPr>
                <w:rFonts w:ascii="Times New Roman" w:eastAsia="Times New Roman" w:hAnsi="Times New Roman" w:cs="Times New Roman"/>
                <w:b/>
                <w:i/>
                <w:sz w:val="24"/>
                <w:szCs w:val="24"/>
              </w:rPr>
            </w:pPr>
            <w:r w:rsidRPr="005126EC">
              <w:rPr>
                <w:rFonts w:ascii="Times New Roman" w:hAnsi="Times New Roman" w:cs="Times New Roman"/>
                <w:b/>
                <w:i/>
                <w:sz w:val="24"/>
                <w:szCs w:val="24"/>
              </w:rPr>
              <w:t>+</w:t>
            </w:r>
            <w:r w:rsidRPr="005126EC">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6 499 198</w:t>
            </w:r>
          </w:p>
          <w:p w14:paraId="5FE881B9" w14:textId="77777777" w:rsidR="00EE3FBC" w:rsidRPr="005126EC" w:rsidRDefault="00EE3FBC" w:rsidP="00EE3FBC">
            <w:pPr>
              <w:pStyle w:val="naisf"/>
              <w:spacing w:before="0" w:beforeAutospacing="0" w:after="0" w:afterAutospacing="0"/>
              <w:rPr>
                <w:b/>
                <w:i/>
              </w:rPr>
            </w:pPr>
          </w:p>
          <w:p w14:paraId="75C573CA" w14:textId="77777777" w:rsidR="00EE3FBC" w:rsidRPr="005126EC" w:rsidRDefault="00EE3FBC" w:rsidP="00EE3FBC">
            <w:pPr>
              <w:pStyle w:val="naisf"/>
              <w:spacing w:before="0" w:beforeAutospacing="0" w:after="0" w:afterAutospacing="0"/>
              <w:rPr>
                <w:b/>
                <w:i/>
              </w:rPr>
            </w:pPr>
            <w:r w:rsidRPr="005126EC">
              <w:rPr>
                <w:b/>
                <w:i/>
              </w:rPr>
              <w:t> </w:t>
            </w:r>
          </w:p>
        </w:tc>
        <w:tc>
          <w:tcPr>
            <w:tcW w:w="1391" w:type="dxa"/>
          </w:tcPr>
          <w:p w14:paraId="32F80791" w14:textId="77777777" w:rsidR="00EE3FBC" w:rsidRPr="005126EC" w:rsidRDefault="00EE3FBC" w:rsidP="00EE3FBC">
            <w:pPr>
              <w:spacing w:line="240" w:lineRule="auto"/>
              <w:rPr>
                <w:rFonts w:ascii="Times New Roman" w:eastAsia="Times New Roman" w:hAnsi="Times New Roman" w:cs="Times New Roman"/>
                <w:b/>
                <w:i/>
                <w:sz w:val="24"/>
                <w:szCs w:val="24"/>
              </w:rPr>
            </w:pPr>
            <w:r w:rsidRPr="005126EC">
              <w:rPr>
                <w:rFonts w:ascii="Times New Roman" w:hAnsi="Times New Roman" w:cs="Times New Roman"/>
                <w:b/>
                <w:i/>
                <w:sz w:val="24"/>
                <w:szCs w:val="24"/>
              </w:rPr>
              <w:t>+</w:t>
            </w:r>
            <w:r>
              <w:rPr>
                <w:rFonts w:ascii="Times New Roman" w:eastAsia="Times New Roman" w:hAnsi="Times New Roman" w:cs="Times New Roman"/>
                <w:b/>
                <w:i/>
                <w:sz w:val="24"/>
                <w:szCs w:val="24"/>
              </w:rPr>
              <w:t>6 631 637</w:t>
            </w:r>
          </w:p>
          <w:p w14:paraId="704710D4" w14:textId="77777777" w:rsidR="00EE3FBC" w:rsidRPr="005126EC" w:rsidRDefault="00EE3FBC" w:rsidP="00EE3FBC">
            <w:pPr>
              <w:pStyle w:val="naisf"/>
              <w:spacing w:before="0" w:beforeAutospacing="0" w:after="0" w:afterAutospacing="0"/>
              <w:rPr>
                <w:b/>
                <w:i/>
              </w:rPr>
            </w:pPr>
          </w:p>
          <w:p w14:paraId="715D75F8" w14:textId="77777777" w:rsidR="00EE3FBC" w:rsidRPr="005126EC" w:rsidRDefault="00EE3FBC" w:rsidP="00EE3FBC">
            <w:pPr>
              <w:spacing w:line="240" w:lineRule="auto"/>
              <w:rPr>
                <w:rFonts w:ascii="Times New Roman" w:hAnsi="Times New Roman" w:cs="Times New Roman"/>
                <w:b/>
                <w:i/>
                <w:sz w:val="24"/>
                <w:szCs w:val="24"/>
              </w:rPr>
            </w:pPr>
          </w:p>
        </w:tc>
        <w:tc>
          <w:tcPr>
            <w:tcW w:w="1683" w:type="dxa"/>
          </w:tcPr>
          <w:p w14:paraId="2983AD19" w14:textId="77777777" w:rsidR="00EE3FBC" w:rsidRPr="005126EC" w:rsidRDefault="00EE3FBC" w:rsidP="00EE3FBC">
            <w:pPr>
              <w:spacing w:line="240" w:lineRule="auto"/>
              <w:rPr>
                <w:rFonts w:ascii="Times New Roman" w:eastAsia="Times New Roman" w:hAnsi="Times New Roman" w:cs="Times New Roman"/>
                <w:b/>
                <w:i/>
                <w:sz w:val="24"/>
                <w:szCs w:val="24"/>
              </w:rPr>
            </w:pPr>
            <w:r w:rsidRPr="005126EC">
              <w:rPr>
                <w:rFonts w:ascii="Times New Roman" w:hAnsi="Times New Roman" w:cs="Times New Roman"/>
                <w:b/>
                <w:i/>
                <w:sz w:val="24"/>
                <w:szCs w:val="24"/>
              </w:rPr>
              <w:t>+</w:t>
            </w:r>
            <w:r>
              <w:rPr>
                <w:rFonts w:ascii="Times New Roman" w:eastAsia="Times New Roman" w:hAnsi="Times New Roman" w:cs="Times New Roman"/>
                <w:b/>
                <w:i/>
                <w:sz w:val="24"/>
                <w:szCs w:val="24"/>
              </w:rPr>
              <w:t>6 766 725</w:t>
            </w:r>
          </w:p>
          <w:p w14:paraId="3B945141" w14:textId="77777777" w:rsidR="00EE3FBC" w:rsidRPr="005126EC" w:rsidRDefault="00EE3FBC" w:rsidP="00EE3FBC">
            <w:pPr>
              <w:pStyle w:val="naisf"/>
              <w:spacing w:before="0" w:beforeAutospacing="0" w:after="0" w:afterAutospacing="0"/>
              <w:rPr>
                <w:b/>
                <w:i/>
              </w:rPr>
            </w:pPr>
          </w:p>
          <w:p w14:paraId="43FDF4CB" w14:textId="77777777" w:rsidR="00EE3FBC" w:rsidRPr="005126EC" w:rsidRDefault="00EE3FBC" w:rsidP="00EE3FBC">
            <w:pPr>
              <w:pStyle w:val="naisf"/>
              <w:spacing w:before="0" w:beforeAutospacing="0" w:after="0" w:afterAutospacing="0"/>
              <w:rPr>
                <w:b/>
                <w:i/>
              </w:rPr>
            </w:pPr>
            <w:r w:rsidRPr="005126EC">
              <w:rPr>
                <w:b/>
                <w:i/>
              </w:rPr>
              <w:t> </w:t>
            </w:r>
          </w:p>
        </w:tc>
      </w:tr>
      <w:tr w:rsidR="00EE3FBC" w:rsidRPr="00FA6F1C" w14:paraId="0371EED4" w14:textId="77777777" w:rsidTr="00E1537C">
        <w:trPr>
          <w:jc w:val="center"/>
        </w:trPr>
        <w:tc>
          <w:tcPr>
            <w:tcW w:w="2266" w:type="dxa"/>
          </w:tcPr>
          <w:p w14:paraId="509F3CCD" w14:textId="77777777" w:rsidR="00EE3FBC" w:rsidRDefault="00EE3FBC" w:rsidP="00EE3FBC">
            <w:pPr>
              <w:spacing w:after="0" w:line="240" w:lineRule="auto"/>
              <w:rPr>
                <w:rFonts w:ascii="Times New Roman" w:hAnsi="Times New Roman" w:cs="Times New Roman"/>
                <w:sz w:val="28"/>
                <w:szCs w:val="28"/>
              </w:rPr>
            </w:pPr>
            <w:r w:rsidRPr="00FA6F1C">
              <w:rPr>
                <w:rFonts w:ascii="Times New Roman" w:hAnsi="Times New Roman" w:cs="Times New Roman"/>
                <w:sz w:val="28"/>
                <w:szCs w:val="28"/>
              </w:rPr>
              <w:t>2.1. valsts pamatbudžets</w:t>
            </w:r>
            <w:r>
              <w:rPr>
                <w:rFonts w:ascii="Times New Roman" w:hAnsi="Times New Roman" w:cs="Times New Roman"/>
                <w:sz w:val="28"/>
                <w:szCs w:val="28"/>
              </w:rPr>
              <w:t xml:space="preserve">, t.sk. </w:t>
            </w:r>
          </w:p>
          <w:p w14:paraId="07EC777E" w14:textId="296EF35A" w:rsidR="00EE3FBC" w:rsidRPr="007F1324" w:rsidRDefault="00EE3FBC" w:rsidP="00EE3FBC">
            <w:pPr>
              <w:spacing w:after="0" w:line="240" w:lineRule="auto"/>
              <w:rPr>
                <w:rFonts w:ascii="Times New Roman" w:hAnsi="Times New Roman" w:cs="Times New Roman"/>
                <w:sz w:val="28"/>
                <w:szCs w:val="28"/>
              </w:rPr>
            </w:pPr>
            <w:r w:rsidRPr="001D3BF6">
              <w:rPr>
                <w:rFonts w:ascii="Times New Roman" w:hAnsi="Times New Roman" w:cs="Times New Roman"/>
                <w:sz w:val="28"/>
                <w:szCs w:val="28"/>
                <w:u w:val="single"/>
              </w:rPr>
              <w:t>Labklājības ministrijas</w:t>
            </w:r>
            <w:r w:rsidRPr="00FD22AA">
              <w:rPr>
                <w:rFonts w:ascii="Times New Roman" w:hAnsi="Times New Roman" w:cs="Times New Roman"/>
                <w:sz w:val="28"/>
                <w:szCs w:val="28"/>
              </w:rPr>
              <w:t xml:space="preserve"> </w:t>
            </w:r>
            <w:r w:rsidR="007F1324">
              <w:rPr>
                <w:rFonts w:ascii="Times New Roman" w:hAnsi="Times New Roman" w:cs="Times New Roman"/>
                <w:sz w:val="28"/>
                <w:szCs w:val="28"/>
              </w:rPr>
              <w:t xml:space="preserve">budžeta </w:t>
            </w:r>
            <w:r w:rsidRPr="00FD22AA">
              <w:rPr>
                <w:rFonts w:ascii="Times New Roman" w:hAnsi="Times New Roman" w:cs="Times New Roman"/>
                <w:sz w:val="28"/>
                <w:szCs w:val="28"/>
              </w:rPr>
              <w:t>apakšprogrammā 70.22.00. Eiropas Atbalsta fonda vistrūcīgākajām personām (2014-2020</w:t>
            </w:r>
            <w:r w:rsidRPr="00E1537C">
              <w:rPr>
                <w:rFonts w:ascii="Times New Roman" w:hAnsi="Times New Roman" w:cs="Times New Roman"/>
                <w:sz w:val="28"/>
                <w:szCs w:val="28"/>
              </w:rPr>
              <w:t>)</w:t>
            </w:r>
            <w:r w:rsidR="007F1324">
              <w:rPr>
                <w:sz w:val="28"/>
                <w:szCs w:val="28"/>
              </w:rPr>
              <w:t xml:space="preserve"> </w:t>
            </w:r>
            <w:r w:rsidR="00E1537C" w:rsidRPr="007F1324">
              <w:rPr>
                <w:rFonts w:ascii="Times New Roman" w:hAnsi="Times New Roman" w:cs="Times New Roman"/>
                <w:sz w:val="28"/>
                <w:szCs w:val="28"/>
              </w:rPr>
              <w:t>pasākumu īstenošana</w:t>
            </w:r>
          </w:p>
          <w:p w14:paraId="15B0D4BF" w14:textId="5C586DB3" w:rsidR="00EE3FBC" w:rsidRPr="007F1324" w:rsidRDefault="00EE3FBC" w:rsidP="00EE3FBC">
            <w:pPr>
              <w:spacing w:after="0" w:line="240" w:lineRule="auto"/>
              <w:rPr>
                <w:rFonts w:ascii="Times New Roman" w:hAnsi="Times New Roman" w:cs="Times New Roman"/>
                <w:sz w:val="28"/>
                <w:szCs w:val="28"/>
              </w:rPr>
            </w:pPr>
            <w:r w:rsidRPr="001D3BF6">
              <w:rPr>
                <w:rFonts w:ascii="Times New Roman" w:hAnsi="Times New Roman" w:cs="Times New Roman"/>
                <w:sz w:val="28"/>
                <w:szCs w:val="28"/>
                <w:u w:val="single"/>
              </w:rPr>
              <w:t>Sabiedrības integrācijas fonda</w:t>
            </w:r>
            <w:r w:rsidRPr="00FD22AA">
              <w:rPr>
                <w:rFonts w:ascii="Times New Roman" w:hAnsi="Times New Roman" w:cs="Times New Roman"/>
                <w:sz w:val="28"/>
                <w:szCs w:val="28"/>
              </w:rPr>
              <w:t xml:space="preserve"> budžeta apakšprogrammā 70.22.00. Eiropas Atbalsta fonda vistrūcīgākajām personām (2014-2020</w:t>
            </w:r>
            <w:r w:rsidRPr="007F1324">
              <w:rPr>
                <w:rFonts w:ascii="Times New Roman" w:hAnsi="Times New Roman" w:cs="Times New Roman"/>
                <w:sz w:val="28"/>
                <w:szCs w:val="28"/>
              </w:rPr>
              <w:t xml:space="preserve">) </w:t>
            </w:r>
            <w:r w:rsidR="007F1324" w:rsidRPr="007F1324">
              <w:rPr>
                <w:rFonts w:ascii="Times New Roman" w:hAnsi="Times New Roman" w:cs="Times New Roman"/>
                <w:sz w:val="28"/>
                <w:szCs w:val="28"/>
              </w:rPr>
              <w:t>pasākumu īstenošana</w:t>
            </w:r>
          </w:p>
          <w:p w14:paraId="3BDE712A" w14:textId="77777777" w:rsidR="00EE3FBC" w:rsidRPr="001D3BF6" w:rsidRDefault="00EE3FBC" w:rsidP="00EE3FBC">
            <w:pPr>
              <w:spacing w:after="0" w:line="240" w:lineRule="auto"/>
              <w:rPr>
                <w:rFonts w:ascii="Times New Roman" w:hAnsi="Times New Roman" w:cs="Times New Roman"/>
                <w:sz w:val="28"/>
                <w:szCs w:val="28"/>
                <w:u w:val="single"/>
              </w:rPr>
            </w:pPr>
            <w:r w:rsidRPr="001D3BF6">
              <w:rPr>
                <w:rFonts w:ascii="Times New Roman" w:hAnsi="Times New Roman" w:cs="Times New Roman"/>
                <w:sz w:val="28"/>
                <w:szCs w:val="28"/>
                <w:u w:val="single"/>
              </w:rPr>
              <w:t>Finanšu ministrija</w:t>
            </w:r>
            <w:r>
              <w:rPr>
                <w:rFonts w:ascii="Times New Roman" w:hAnsi="Times New Roman" w:cs="Times New Roman"/>
                <w:sz w:val="28"/>
                <w:szCs w:val="28"/>
                <w:u w:val="single"/>
              </w:rPr>
              <w:t>i</w:t>
            </w:r>
          </w:p>
        </w:tc>
        <w:tc>
          <w:tcPr>
            <w:tcW w:w="1196" w:type="dxa"/>
          </w:tcPr>
          <w:p w14:paraId="5FA82090" w14:textId="77777777" w:rsidR="00EE3FBC" w:rsidRDefault="00EE3FBC" w:rsidP="00EE3FBC">
            <w:pPr>
              <w:pStyle w:val="naisf"/>
              <w:spacing w:before="0" w:beforeAutospacing="0" w:after="0" w:afterAutospacing="0"/>
              <w:rPr>
                <w:b/>
                <w:i/>
              </w:rPr>
            </w:pPr>
            <w:r w:rsidRPr="005126EC">
              <w:rPr>
                <w:b/>
                <w:i/>
              </w:rPr>
              <w:t>+13</w:t>
            </w:r>
            <w:r>
              <w:rPr>
                <w:b/>
                <w:i/>
              </w:rPr>
              <w:t>1 </w:t>
            </w:r>
            <w:r w:rsidRPr="005126EC">
              <w:rPr>
                <w:b/>
                <w:i/>
              </w:rPr>
              <w:t>3</w:t>
            </w:r>
            <w:r>
              <w:rPr>
                <w:b/>
                <w:i/>
              </w:rPr>
              <w:t>94</w:t>
            </w:r>
          </w:p>
          <w:p w14:paraId="4FF61904" w14:textId="77777777" w:rsidR="00EE3FBC" w:rsidRDefault="00EE3FBC" w:rsidP="00EE3FBC">
            <w:pPr>
              <w:pStyle w:val="naisf"/>
              <w:spacing w:before="0" w:beforeAutospacing="0" w:after="0" w:afterAutospacing="0"/>
              <w:rPr>
                <w:b/>
                <w:i/>
              </w:rPr>
            </w:pPr>
          </w:p>
          <w:p w14:paraId="2F2A8D17" w14:textId="77777777" w:rsidR="00EE3FBC" w:rsidRDefault="00EE3FBC" w:rsidP="00EE3FBC">
            <w:pPr>
              <w:pStyle w:val="naisf"/>
              <w:spacing w:before="0" w:beforeAutospacing="0" w:after="0" w:afterAutospacing="0"/>
              <w:rPr>
                <w:b/>
                <w:i/>
              </w:rPr>
            </w:pPr>
          </w:p>
          <w:p w14:paraId="0E736EA5" w14:textId="77777777" w:rsidR="00EE3FBC" w:rsidRDefault="00EE3FBC" w:rsidP="00EE3FBC">
            <w:pPr>
              <w:pStyle w:val="naisf"/>
              <w:spacing w:before="0" w:beforeAutospacing="0" w:after="0" w:afterAutospacing="0"/>
              <w:rPr>
                <w:b/>
                <w:i/>
              </w:rPr>
            </w:pPr>
          </w:p>
          <w:p w14:paraId="7D6867C2" w14:textId="77777777" w:rsidR="00EE3FBC" w:rsidRDefault="00EE3FBC" w:rsidP="00EE3FBC">
            <w:pPr>
              <w:pStyle w:val="naisf"/>
              <w:spacing w:before="0" w:beforeAutospacing="0" w:after="0" w:afterAutospacing="0"/>
              <w:rPr>
                <w:b/>
                <w:i/>
              </w:rPr>
            </w:pPr>
            <w:r>
              <w:rPr>
                <w:b/>
                <w:i/>
              </w:rPr>
              <w:t>+67 596</w:t>
            </w:r>
          </w:p>
          <w:p w14:paraId="29618A0B" w14:textId="77777777" w:rsidR="00EE3FBC" w:rsidRDefault="00EE3FBC" w:rsidP="00EE3FBC">
            <w:pPr>
              <w:pStyle w:val="naisf"/>
              <w:spacing w:before="0" w:beforeAutospacing="0" w:after="0" w:afterAutospacing="0"/>
              <w:rPr>
                <w:b/>
                <w:i/>
              </w:rPr>
            </w:pPr>
          </w:p>
          <w:p w14:paraId="1DF9988C" w14:textId="77777777" w:rsidR="00EE3FBC" w:rsidRDefault="00EE3FBC" w:rsidP="00EE3FBC">
            <w:pPr>
              <w:pStyle w:val="naisf"/>
              <w:spacing w:before="0" w:beforeAutospacing="0" w:after="0" w:afterAutospacing="0"/>
              <w:rPr>
                <w:b/>
                <w:i/>
              </w:rPr>
            </w:pPr>
          </w:p>
          <w:p w14:paraId="0B5DF074" w14:textId="77777777" w:rsidR="00EE3FBC" w:rsidRDefault="00EE3FBC" w:rsidP="00EE3FBC">
            <w:pPr>
              <w:pStyle w:val="naisf"/>
              <w:spacing w:before="0" w:beforeAutospacing="0" w:after="0" w:afterAutospacing="0"/>
              <w:rPr>
                <w:b/>
                <w:i/>
              </w:rPr>
            </w:pPr>
          </w:p>
          <w:p w14:paraId="2DDE5175" w14:textId="77777777" w:rsidR="00EE3FBC" w:rsidRDefault="00EE3FBC" w:rsidP="00EE3FBC">
            <w:pPr>
              <w:pStyle w:val="naisf"/>
              <w:spacing w:before="0" w:beforeAutospacing="0" w:after="0" w:afterAutospacing="0"/>
              <w:rPr>
                <w:b/>
                <w:i/>
              </w:rPr>
            </w:pPr>
          </w:p>
          <w:p w14:paraId="44E7BBA3" w14:textId="77777777" w:rsidR="00EE3FBC" w:rsidRDefault="00EE3FBC" w:rsidP="00EE3FBC">
            <w:pPr>
              <w:pStyle w:val="naisf"/>
              <w:spacing w:before="0" w:beforeAutospacing="0" w:after="0" w:afterAutospacing="0"/>
              <w:rPr>
                <w:b/>
                <w:i/>
              </w:rPr>
            </w:pPr>
          </w:p>
          <w:p w14:paraId="091636A8" w14:textId="77777777" w:rsidR="00EE3FBC" w:rsidRDefault="00EE3FBC" w:rsidP="00EE3FBC">
            <w:pPr>
              <w:pStyle w:val="naisf"/>
              <w:spacing w:before="0" w:beforeAutospacing="0" w:after="0" w:afterAutospacing="0"/>
              <w:rPr>
                <w:b/>
                <w:i/>
              </w:rPr>
            </w:pPr>
          </w:p>
          <w:p w14:paraId="343B87B9" w14:textId="77777777" w:rsidR="00EE3FBC" w:rsidRDefault="00EE3FBC" w:rsidP="00EE3FBC">
            <w:pPr>
              <w:pStyle w:val="naisf"/>
              <w:spacing w:before="0" w:beforeAutospacing="0" w:after="0" w:afterAutospacing="0"/>
              <w:rPr>
                <w:b/>
                <w:i/>
              </w:rPr>
            </w:pPr>
          </w:p>
          <w:p w14:paraId="6AD2A2FD" w14:textId="77777777" w:rsidR="00EE3FBC" w:rsidRDefault="00EE3FBC" w:rsidP="00EE3FBC">
            <w:pPr>
              <w:pStyle w:val="naisf"/>
              <w:spacing w:before="0" w:beforeAutospacing="0" w:after="0" w:afterAutospacing="0"/>
              <w:rPr>
                <w:b/>
                <w:i/>
              </w:rPr>
            </w:pPr>
          </w:p>
          <w:p w14:paraId="2DC3BB7F" w14:textId="77777777" w:rsidR="00EE3FBC" w:rsidRDefault="00EE3FBC" w:rsidP="00EE3FBC">
            <w:pPr>
              <w:pStyle w:val="naisf"/>
              <w:spacing w:before="0" w:beforeAutospacing="0" w:after="0" w:afterAutospacing="0"/>
              <w:rPr>
                <w:b/>
                <w:i/>
              </w:rPr>
            </w:pPr>
          </w:p>
          <w:p w14:paraId="48FCCD14" w14:textId="77777777" w:rsidR="00EE3FBC" w:rsidRDefault="00EE3FBC" w:rsidP="00EE3FBC">
            <w:pPr>
              <w:pStyle w:val="naisf"/>
              <w:spacing w:before="0" w:beforeAutospacing="0" w:after="0" w:afterAutospacing="0"/>
              <w:rPr>
                <w:b/>
                <w:i/>
              </w:rPr>
            </w:pPr>
          </w:p>
          <w:p w14:paraId="25545F38" w14:textId="77777777" w:rsidR="00EE3FBC" w:rsidRPr="005126EC" w:rsidRDefault="00EE3FBC" w:rsidP="00EE3FBC">
            <w:pPr>
              <w:pStyle w:val="naisf"/>
              <w:spacing w:before="0" w:beforeAutospacing="0" w:after="0" w:afterAutospacing="0"/>
              <w:rPr>
                <w:b/>
                <w:i/>
              </w:rPr>
            </w:pPr>
            <w:r>
              <w:rPr>
                <w:b/>
                <w:i/>
              </w:rPr>
              <w:t>+63 798</w:t>
            </w:r>
          </w:p>
        </w:tc>
        <w:tc>
          <w:tcPr>
            <w:tcW w:w="1524" w:type="dxa"/>
          </w:tcPr>
          <w:p w14:paraId="30D5B0DA" w14:textId="77777777" w:rsidR="00EE3FBC" w:rsidRDefault="00EE3FBC" w:rsidP="00EE3FBC">
            <w:pPr>
              <w:pStyle w:val="naisf"/>
              <w:spacing w:before="0" w:beforeAutospacing="0" w:after="0" w:afterAutospacing="0"/>
              <w:rPr>
                <w:b/>
                <w:i/>
              </w:rPr>
            </w:pPr>
            <w:r>
              <w:rPr>
                <w:b/>
                <w:i/>
              </w:rPr>
              <w:t>+2 928</w:t>
            </w:r>
          </w:p>
          <w:p w14:paraId="10EE55F1" w14:textId="77777777" w:rsidR="00EE3FBC" w:rsidRDefault="00EE3FBC" w:rsidP="00EE3FBC">
            <w:pPr>
              <w:pStyle w:val="naisf"/>
              <w:spacing w:before="0" w:beforeAutospacing="0" w:after="0" w:afterAutospacing="0"/>
              <w:rPr>
                <w:b/>
                <w:i/>
              </w:rPr>
            </w:pPr>
          </w:p>
          <w:p w14:paraId="2263C19D" w14:textId="77777777" w:rsidR="00EE3FBC" w:rsidRDefault="00EE3FBC" w:rsidP="00EE3FBC">
            <w:pPr>
              <w:pStyle w:val="naisf"/>
              <w:spacing w:before="0" w:beforeAutospacing="0" w:after="0" w:afterAutospacing="0"/>
              <w:rPr>
                <w:b/>
                <w:i/>
              </w:rPr>
            </w:pPr>
          </w:p>
          <w:p w14:paraId="68076D50" w14:textId="77777777" w:rsidR="00EE3FBC" w:rsidRDefault="00EE3FBC" w:rsidP="00EE3FBC">
            <w:pPr>
              <w:pStyle w:val="naisf"/>
              <w:spacing w:before="0" w:beforeAutospacing="0" w:after="0" w:afterAutospacing="0"/>
              <w:rPr>
                <w:b/>
                <w:i/>
              </w:rPr>
            </w:pPr>
          </w:p>
          <w:p w14:paraId="7FF988A0" w14:textId="77777777" w:rsidR="00EE3FBC" w:rsidRDefault="00EE3FBC" w:rsidP="00EE3FBC">
            <w:pPr>
              <w:pStyle w:val="naisf"/>
              <w:spacing w:before="0" w:beforeAutospacing="0" w:after="0" w:afterAutospacing="0"/>
              <w:rPr>
                <w:b/>
                <w:i/>
              </w:rPr>
            </w:pPr>
          </w:p>
          <w:p w14:paraId="22FB57EA" w14:textId="77777777" w:rsidR="00EE3FBC" w:rsidRDefault="00EE3FBC" w:rsidP="00EE3FBC">
            <w:pPr>
              <w:pStyle w:val="naisf"/>
              <w:spacing w:before="0" w:beforeAutospacing="0" w:after="0" w:afterAutospacing="0"/>
              <w:rPr>
                <w:b/>
                <w:i/>
              </w:rPr>
            </w:pPr>
          </w:p>
          <w:p w14:paraId="1F68742B" w14:textId="77777777" w:rsidR="00EE3FBC" w:rsidRDefault="00EE3FBC" w:rsidP="00EE3FBC">
            <w:pPr>
              <w:pStyle w:val="naisf"/>
              <w:spacing w:before="0" w:beforeAutospacing="0" w:after="0" w:afterAutospacing="0"/>
              <w:rPr>
                <w:b/>
                <w:i/>
              </w:rPr>
            </w:pPr>
          </w:p>
          <w:p w14:paraId="053D4607" w14:textId="77777777" w:rsidR="00EE3FBC" w:rsidRDefault="00EE3FBC" w:rsidP="00EE3FBC">
            <w:pPr>
              <w:pStyle w:val="naisf"/>
              <w:spacing w:before="0" w:beforeAutospacing="0" w:after="0" w:afterAutospacing="0"/>
              <w:rPr>
                <w:b/>
                <w:i/>
              </w:rPr>
            </w:pPr>
          </w:p>
          <w:p w14:paraId="1AB43B0F" w14:textId="77777777" w:rsidR="00EE3FBC" w:rsidRDefault="00EE3FBC" w:rsidP="00EE3FBC">
            <w:pPr>
              <w:pStyle w:val="naisf"/>
              <w:spacing w:before="0" w:beforeAutospacing="0" w:after="0" w:afterAutospacing="0"/>
              <w:rPr>
                <w:b/>
                <w:i/>
              </w:rPr>
            </w:pPr>
          </w:p>
          <w:p w14:paraId="0F4A70FD" w14:textId="77777777" w:rsidR="00EE3FBC" w:rsidRDefault="00EE3FBC" w:rsidP="00EE3FBC">
            <w:pPr>
              <w:pStyle w:val="naisf"/>
              <w:spacing w:before="0" w:beforeAutospacing="0" w:after="0" w:afterAutospacing="0"/>
              <w:rPr>
                <w:b/>
                <w:i/>
              </w:rPr>
            </w:pPr>
          </w:p>
          <w:p w14:paraId="35DD58C7" w14:textId="77777777" w:rsidR="00EE3FBC" w:rsidRDefault="00EE3FBC" w:rsidP="00EE3FBC">
            <w:pPr>
              <w:pStyle w:val="naisf"/>
              <w:spacing w:before="0" w:beforeAutospacing="0" w:after="0" w:afterAutospacing="0"/>
              <w:rPr>
                <w:b/>
                <w:i/>
              </w:rPr>
            </w:pPr>
          </w:p>
          <w:p w14:paraId="07A38CFC" w14:textId="77777777" w:rsidR="00EE3FBC" w:rsidRDefault="00EE3FBC" w:rsidP="00EE3FBC">
            <w:pPr>
              <w:pStyle w:val="naisf"/>
              <w:spacing w:before="0" w:beforeAutospacing="0" w:after="0" w:afterAutospacing="0"/>
              <w:rPr>
                <w:b/>
                <w:i/>
              </w:rPr>
            </w:pPr>
          </w:p>
          <w:p w14:paraId="286445FD" w14:textId="77777777" w:rsidR="00EE3FBC" w:rsidRDefault="00EE3FBC" w:rsidP="00EE3FBC">
            <w:pPr>
              <w:pStyle w:val="naisf"/>
              <w:spacing w:before="0" w:beforeAutospacing="0" w:after="0" w:afterAutospacing="0"/>
              <w:rPr>
                <w:b/>
                <w:i/>
              </w:rPr>
            </w:pPr>
          </w:p>
          <w:p w14:paraId="29DDB55B" w14:textId="77777777" w:rsidR="00EE3FBC" w:rsidRDefault="00EE3FBC" w:rsidP="00EE3FBC">
            <w:pPr>
              <w:pStyle w:val="naisf"/>
              <w:spacing w:before="0" w:beforeAutospacing="0" w:after="0" w:afterAutospacing="0"/>
              <w:rPr>
                <w:b/>
                <w:i/>
              </w:rPr>
            </w:pPr>
          </w:p>
          <w:p w14:paraId="3983319C" w14:textId="77777777" w:rsidR="00EE3FBC" w:rsidRDefault="00EE3FBC" w:rsidP="00EE3FBC">
            <w:pPr>
              <w:pStyle w:val="naisf"/>
              <w:spacing w:before="0" w:beforeAutospacing="0" w:after="0" w:afterAutospacing="0"/>
              <w:rPr>
                <w:b/>
                <w:i/>
              </w:rPr>
            </w:pPr>
          </w:p>
          <w:p w14:paraId="7913076F" w14:textId="77777777" w:rsidR="00EE3FBC" w:rsidRDefault="00EE3FBC" w:rsidP="00EE3FBC">
            <w:pPr>
              <w:pStyle w:val="naisf"/>
              <w:spacing w:before="0" w:beforeAutospacing="0" w:after="0" w:afterAutospacing="0"/>
              <w:rPr>
                <w:b/>
                <w:i/>
              </w:rPr>
            </w:pPr>
          </w:p>
          <w:p w14:paraId="6A111E64" w14:textId="77777777" w:rsidR="00EE3FBC" w:rsidRDefault="00EE3FBC" w:rsidP="00EE3FBC">
            <w:pPr>
              <w:pStyle w:val="naisf"/>
              <w:spacing w:before="0" w:beforeAutospacing="0" w:after="0" w:afterAutospacing="0"/>
              <w:rPr>
                <w:b/>
                <w:i/>
              </w:rPr>
            </w:pPr>
          </w:p>
          <w:p w14:paraId="2DC7BFEA" w14:textId="77777777" w:rsidR="00EE3FBC" w:rsidRDefault="00EE3FBC" w:rsidP="00EE3FBC">
            <w:pPr>
              <w:pStyle w:val="naisf"/>
              <w:spacing w:before="0" w:beforeAutospacing="0" w:after="0" w:afterAutospacing="0"/>
              <w:rPr>
                <w:b/>
                <w:i/>
              </w:rPr>
            </w:pPr>
          </w:p>
          <w:p w14:paraId="631A48D3" w14:textId="77777777" w:rsidR="00EE3FBC" w:rsidRDefault="00EE3FBC" w:rsidP="00EE3FBC">
            <w:pPr>
              <w:pStyle w:val="naisf"/>
              <w:spacing w:before="0" w:beforeAutospacing="0" w:after="0" w:afterAutospacing="0"/>
              <w:rPr>
                <w:b/>
                <w:i/>
              </w:rPr>
            </w:pPr>
          </w:p>
          <w:p w14:paraId="0268B82C" w14:textId="77777777" w:rsidR="00EE3FBC" w:rsidRDefault="00EE3FBC" w:rsidP="00EE3FBC">
            <w:pPr>
              <w:pStyle w:val="naisf"/>
              <w:spacing w:before="0" w:beforeAutospacing="0" w:after="0" w:afterAutospacing="0"/>
              <w:rPr>
                <w:b/>
                <w:i/>
              </w:rPr>
            </w:pPr>
          </w:p>
          <w:p w14:paraId="066E2A95" w14:textId="77777777" w:rsidR="00EE3FBC" w:rsidRDefault="00EE3FBC" w:rsidP="00EE3FBC">
            <w:pPr>
              <w:pStyle w:val="naisf"/>
              <w:spacing w:before="0" w:beforeAutospacing="0" w:after="0" w:afterAutospacing="0"/>
              <w:rPr>
                <w:b/>
                <w:i/>
              </w:rPr>
            </w:pPr>
          </w:p>
          <w:p w14:paraId="4B644B41" w14:textId="77777777" w:rsidR="00EE3FBC" w:rsidRDefault="00EE3FBC" w:rsidP="00EE3FBC">
            <w:pPr>
              <w:pStyle w:val="naisf"/>
              <w:spacing w:before="0" w:beforeAutospacing="0" w:after="0" w:afterAutospacing="0"/>
              <w:rPr>
                <w:b/>
                <w:i/>
              </w:rPr>
            </w:pPr>
          </w:p>
          <w:p w14:paraId="61A7E521" w14:textId="77777777" w:rsidR="00EE3FBC" w:rsidRDefault="00EE3FBC" w:rsidP="00EE3FBC">
            <w:pPr>
              <w:pStyle w:val="naisf"/>
              <w:spacing w:before="0" w:beforeAutospacing="0" w:after="0" w:afterAutospacing="0"/>
              <w:rPr>
                <w:b/>
                <w:i/>
              </w:rPr>
            </w:pPr>
          </w:p>
          <w:p w14:paraId="010DFC75" w14:textId="77777777" w:rsidR="00EE3FBC" w:rsidRDefault="00EE3FBC" w:rsidP="00EE3FBC">
            <w:pPr>
              <w:pStyle w:val="naisf"/>
              <w:spacing w:before="0" w:beforeAutospacing="0" w:after="0" w:afterAutospacing="0"/>
              <w:rPr>
                <w:b/>
                <w:i/>
              </w:rPr>
            </w:pPr>
          </w:p>
          <w:p w14:paraId="648C56B4" w14:textId="77777777" w:rsidR="007F1324" w:rsidRDefault="007F1324" w:rsidP="00EE3FBC">
            <w:pPr>
              <w:pStyle w:val="naisf"/>
              <w:spacing w:before="0" w:beforeAutospacing="0" w:after="0" w:afterAutospacing="0"/>
              <w:rPr>
                <w:b/>
                <w:i/>
              </w:rPr>
            </w:pPr>
          </w:p>
          <w:p w14:paraId="76E72C33" w14:textId="77777777" w:rsidR="007F1324" w:rsidRDefault="007F1324" w:rsidP="00EE3FBC">
            <w:pPr>
              <w:pStyle w:val="naisf"/>
              <w:spacing w:before="0" w:beforeAutospacing="0" w:after="0" w:afterAutospacing="0"/>
              <w:rPr>
                <w:b/>
                <w:i/>
              </w:rPr>
            </w:pPr>
          </w:p>
          <w:p w14:paraId="1D97A78D" w14:textId="77777777" w:rsidR="007F1324" w:rsidRDefault="007F1324" w:rsidP="00EE3FBC">
            <w:pPr>
              <w:pStyle w:val="naisf"/>
              <w:spacing w:before="0" w:beforeAutospacing="0" w:after="0" w:afterAutospacing="0"/>
              <w:rPr>
                <w:b/>
                <w:i/>
              </w:rPr>
            </w:pPr>
          </w:p>
          <w:p w14:paraId="109AC356" w14:textId="77777777" w:rsidR="00EE3FBC" w:rsidRPr="005126EC" w:rsidRDefault="00EE3FBC" w:rsidP="00EE3FBC">
            <w:pPr>
              <w:pStyle w:val="naisf"/>
              <w:spacing w:before="0" w:beforeAutospacing="0" w:after="0" w:afterAutospacing="0"/>
              <w:rPr>
                <w:b/>
                <w:i/>
              </w:rPr>
            </w:pPr>
            <w:r w:rsidRPr="00033D6F">
              <w:rPr>
                <w:b/>
                <w:i/>
              </w:rPr>
              <w:t>+2</w:t>
            </w:r>
            <w:r>
              <w:rPr>
                <w:b/>
                <w:i/>
              </w:rPr>
              <w:t xml:space="preserve"> </w:t>
            </w:r>
            <w:r w:rsidRPr="00033D6F">
              <w:rPr>
                <w:b/>
                <w:i/>
              </w:rPr>
              <w:t>928</w:t>
            </w:r>
          </w:p>
        </w:tc>
        <w:tc>
          <w:tcPr>
            <w:tcW w:w="1391" w:type="dxa"/>
          </w:tcPr>
          <w:p w14:paraId="1C4481E1" w14:textId="77777777" w:rsidR="00EE3FBC" w:rsidRPr="005126EC" w:rsidRDefault="00EE3FBC" w:rsidP="00EE3FBC">
            <w:pPr>
              <w:spacing w:line="240" w:lineRule="auto"/>
              <w:rPr>
                <w:rFonts w:ascii="Times New Roman" w:eastAsia="Times New Roman" w:hAnsi="Times New Roman" w:cs="Times New Roman"/>
                <w:b/>
                <w:i/>
                <w:sz w:val="24"/>
                <w:szCs w:val="24"/>
              </w:rPr>
            </w:pPr>
            <w:r w:rsidRPr="005126EC">
              <w:rPr>
                <w:rFonts w:ascii="Times New Roman" w:hAnsi="Times New Roman" w:cs="Times New Roman"/>
                <w:b/>
                <w:i/>
                <w:sz w:val="24"/>
                <w:szCs w:val="24"/>
              </w:rPr>
              <w:t>+</w:t>
            </w:r>
            <w:r>
              <w:rPr>
                <w:rFonts w:ascii="Times New Roman" w:eastAsia="Times New Roman" w:hAnsi="Times New Roman" w:cs="Times New Roman"/>
                <w:b/>
                <w:i/>
                <w:sz w:val="24"/>
                <w:szCs w:val="24"/>
              </w:rPr>
              <w:t>6 499 198</w:t>
            </w:r>
          </w:p>
          <w:p w14:paraId="0B37463B" w14:textId="77777777" w:rsidR="00EE3FBC" w:rsidRPr="005126EC" w:rsidRDefault="00EE3FBC" w:rsidP="00EE3FBC">
            <w:pPr>
              <w:pStyle w:val="naisf"/>
              <w:spacing w:before="0" w:beforeAutospacing="0" w:after="0" w:afterAutospacing="0"/>
              <w:rPr>
                <w:b/>
                <w:i/>
              </w:rPr>
            </w:pPr>
          </w:p>
          <w:p w14:paraId="628E0B14" w14:textId="77777777" w:rsidR="00EE3FBC" w:rsidRPr="005126EC" w:rsidRDefault="00EE3FBC" w:rsidP="00EE3FBC">
            <w:pPr>
              <w:pStyle w:val="naisf"/>
              <w:spacing w:before="0" w:beforeAutospacing="0" w:after="0" w:afterAutospacing="0"/>
              <w:rPr>
                <w:b/>
                <w:i/>
              </w:rPr>
            </w:pPr>
            <w:r w:rsidRPr="005126EC">
              <w:rPr>
                <w:b/>
                <w:i/>
              </w:rPr>
              <w:t> </w:t>
            </w:r>
          </w:p>
        </w:tc>
        <w:tc>
          <w:tcPr>
            <w:tcW w:w="1391" w:type="dxa"/>
          </w:tcPr>
          <w:p w14:paraId="7E4BE4F4" w14:textId="77777777" w:rsidR="00EE3FBC" w:rsidRPr="005126EC" w:rsidRDefault="00EE3FBC" w:rsidP="00EE3FBC">
            <w:pPr>
              <w:spacing w:line="240" w:lineRule="auto"/>
              <w:rPr>
                <w:rFonts w:ascii="Times New Roman" w:eastAsia="Times New Roman" w:hAnsi="Times New Roman" w:cs="Times New Roman"/>
                <w:b/>
                <w:i/>
                <w:sz w:val="24"/>
                <w:szCs w:val="24"/>
              </w:rPr>
            </w:pPr>
            <w:r w:rsidRPr="005126EC">
              <w:rPr>
                <w:rFonts w:ascii="Times New Roman" w:hAnsi="Times New Roman" w:cs="Times New Roman"/>
                <w:b/>
                <w:i/>
                <w:sz w:val="24"/>
                <w:szCs w:val="24"/>
              </w:rPr>
              <w:t>+</w:t>
            </w:r>
            <w:r>
              <w:rPr>
                <w:rFonts w:ascii="Times New Roman" w:eastAsia="Times New Roman" w:hAnsi="Times New Roman" w:cs="Times New Roman"/>
                <w:b/>
                <w:i/>
                <w:sz w:val="24"/>
                <w:szCs w:val="24"/>
              </w:rPr>
              <w:t>6 631 637</w:t>
            </w:r>
          </w:p>
          <w:p w14:paraId="409B4F57" w14:textId="77777777" w:rsidR="00EE3FBC" w:rsidRPr="005126EC" w:rsidRDefault="00EE3FBC" w:rsidP="00EE3FBC">
            <w:pPr>
              <w:pStyle w:val="naisf"/>
              <w:spacing w:before="0" w:beforeAutospacing="0" w:after="0" w:afterAutospacing="0"/>
              <w:rPr>
                <w:b/>
                <w:i/>
              </w:rPr>
            </w:pPr>
          </w:p>
          <w:p w14:paraId="213F8942" w14:textId="77777777" w:rsidR="00EE3FBC" w:rsidRPr="005126EC" w:rsidRDefault="00EE3FBC" w:rsidP="00EE3FBC">
            <w:pPr>
              <w:spacing w:line="240" w:lineRule="auto"/>
              <w:rPr>
                <w:rFonts w:ascii="Times New Roman" w:hAnsi="Times New Roman" w:cs="Times New Roman"/>
                <w:b/>
                <w:i/>
                <w:sz w:val="24"/>
                <w:szCs w:val="24"/>
              </w:rPr>
            </w:pPr>
          </w:p>
        </w:tc>
        <w:tc>
          <w:tcPr>
            <w:tcW w:w="1683" w:type="dxa"/>
          </w:tcPr>
          <w:p w14:paraId="1D817BDA" w14:textId="77777777" w:rsidR="00EE3FBC" w:rsidRPr="005126EC" w:rsidRDefault="00EE3FBC" w:rsidP="00EE3FBC">
            <w:pPr>
              <w:spacing w:line="240" w:lineRule="auto"/>
              <w:rPr>
                <w:rFonts w:ascii="Times New Roman" w:eastAsia="Times New Roman" w:hAnsi="Times New Roman" w:cs="Times New Roman"/>
                <w:b/>
                <w:i/>
                <w:sz w:val="24"/>
                <w:szCs w:val="24"/>
              </w:rPr>
            </w:pPr>
            <w:r w:rsidRPr="005126EC">
              <w:rPr>
                <w:rFonts w:ascii="Times New Roman" w:hAnsi="Times New Roman" w:cs="Times New Roman"/>
                <w:b/>
                <w:i/>
                <w:sz w:val="24"/>
                <w:szCs w:val="24"/>
              </w:rPr>
              <w:t>+</w:t>
            </w:r>
            <w:r>
              <w:rPr>
                <w:rFonts w:ascii="Times New Roman" w:eastAsia="Times New Roman" w:hAnsi="Times New Roman" w:cs="Times New Roman"/>
                <w:b/>
                <w:i/>
                <w:sz w:val="24"/>
                <w:szCs w:val="24"/>
              </w:rPr>
              <w:t>6 766 725</w:t>
            </w:r>
          </w:p>
          <w:p w14:paraId="0B7909A1" w14:textId="77777777" w:rsidR="00EE3FBC" w:rsidRPr="005126EC" w:rsidRDefault="00EE3FBC" w:rsidP="00EE3FBC">
            <w:pPr>
              <w:pStyle w:val="naisf"/>
              <w:spacing w:before="0" w:beforeAutospacing="0" w:after="0" w:afterAutospacing="0"/>
              <w:rPr>
                <w:b/>
                <w:i/>
              </w:rPr>
            </w:pPr>
          </w:p>
          <w:p w14:paraId="3D731824" w14:textId="77777777" w:rsidR="00EE3FBC" w:rsidRPr="005126EC" w:rsidRDefault="00EE3FBC" w:rsidP="00EE3FBC">
            <w:pPr>
              <w:pStyle w:val="naisf"/>
              <w:spacing w:before="0" w:beforeAutospacing="0" w:after="0" w:afterAutospacing="0"/>
              <w:rPr>
                <w:b/>
                <w:i/>
              </w:rPr>
            </w:pPr>
            <w:r w:rsidRPr="005126EC">
              <w:rPr>
                <w:b/>
                <w:i/>
              </w:rPr>
              <w:t> </w:t>
            </w:r>
          </w:p>
        </w:tc>
      </w:tr>
      <w:tr w:rsidR="00EE3FBC" w:rsidRPr="00FA6F1C" w14:paraId="3B5EFFFD" w14:textId="77777777" w:rsidTr="00E1537C">
        <w:trPr>
          <w:jc w:val="center"/>
        </w:trPr>
        <w:tc>
          <w:tcPr>
            <w:tcW w:w="2266" w:type="dxa"/>
          </w:tcPr>
          <w:p w14:paraId="44E3F503" w14:textId="77777777" w:rsidR="00EE3FBC" w:rsidRPr="00FA6F1C" w:rsidRDefault="00EE3FBC" w:rsidP="00EE3FBC">
            <w:pPr>
              <w:spacing w:after="0" w:line="240" w:lineRule="auto"/>
              <w:rPr>
                <w:rFonts w:ascii="Times New Roman" w:hAnsi="Times New Roman" w:cs="Times New Roman"/>
                <w:sz w:val="28"/>
                <w:szCs w:val="28"/>
              </w:rPr>
            </w:pPr>
            <w:r w:rsidRPr="00FA6F1C">
              <w:rPr>
                <w:rFonts w:ascii="Times New Roman" w:hAnsi="Times New Roman" w:cs="Times New Roman"/>
                <w:sz w:val="28"/>
                <w:szCs w:val="28"/>
              </w:rPr>
              <w:t>2.2. valsts speciālais budžets</w:t>
            </w:r>
          </w:p>
        </w:tc>
        <w:tc>
          <w:tcPr>
            <w:tcW w:w="1196" w:type="dxa"/>
          </w:tcPr>
          <w:p w14:paraId="783B3E31" w14:textId="77777777" w:rsidR="00EE3FBC" w:rsidRPr="005126EC" w:rsidRDefault="00EE3FBC" w:rsidP="00EE3FBC">
            <w:pPr>
              <w:pStyle w:val="naisf"/>
              <w:spacing w:before="0" w:beforeAutospacing="0" w:after="0" w:afterAutospacing="0"/>
              <w:rPr>
                <w:b/>
                <w:i/>
              </w:rPr>
            </w:pPr>
            <w:r w:rsidRPr="005126EC">
              <w:rPr>
                <w:b/>
                <w:i/>
              </w:rPr>
              <w:t>0</w:t>
            </w:r>
          </w:p>
        </w:tc>
        <w:tc>
          <w:tcPr>
            <w:tcW w:w="1524" w:type="dxa"/>
          </w:tcPr>
          <w:p w14:paraId="13CDD04B" w14:textId="77777777" w:rsidR="00EE3FBC" w:rsidRPr="005126EC" w:rsidRDefault="00EE3FBC" w:rsidP="00EE3FBC">
            <w:pPr>
              <w:pStyle w:val="naisf"/>
              <w:spacing w:before="0" w:beforeAutospacing="0" w:after="0" w:afterAutospacing="0"/>
              <w:rPr>
                <w:b/>
                <w:i/>
              </w:rPr>
            </w:pPr>
            <w:r w:rsidRPr="005126EC">
              <w:rPr>
                <w:b/>
                <w:i/>
              </w:rPr>
              <w:t>0</w:t>
            </w:r>
          </w:p>
        </w:tc>
        <w:tc>
          <w:tcPr>
            <w:tcW w:w="1391" w:type="dxa"/>
          </w:tcPr>
          <w:p w14:paraId="59BC95B3" w14:textId="77777777" w:rsidR="00EE3FBC" w:rsidRPr="005126EC" w:rsidRDefault="00EE3FBC" w:rsidP="00EE3FBC">
            <w:pPr>
              <w:pStyle w:val="naisf"/>
              <w:spacing w:before="0" w:beforeAutospacing="0" w:after="0" w:afterAutospacing="0"/>
              <w:rPr>
                <w:b/>
                <w:i/>
              </w:rPr>
            </w:pPr>
            <w:r w:rsidRPr="005126EC">
              <w:rPr>
                <w:b/>
                <w:i/>
              </w:rPr>
              <w:t>0</w:t>
            </w:r>
          </w:p>
        </w:tc>
        <w:tc>
          <w:tcPr>
            <w:tcW w:w="1391" w:type="dxa"/>
          </w:tcPr>
          <w:p w14:paraId="32C7E6AB" w14:textId="77777777" w:rsidR="00EE3FBC" w:rsidRPr="005126EC" w:rsidRDefault="00EE3FBC" w:rsidP="00EE3FBC">
            <w:pPr>
              <w:pStyle w:val="naisf"/>
              <w:spacing w:before="0" w:beforeAutospacing="0" w:after="0" w:afterAutospacing="0"/>
              <w:rPr>
                <w:b/>
                <w:i/>
              </w:rPr>
            </w:pPr>
            <w:r w:rsidRPr="005126EC">
              <w:rPr>
                <w:b/>
                <w:i/>
              </w:rPr>
              <w:t>0</w:t>
            </w:r>
          </w:p>
        </w:tc>
        <w:tc>
          <w:tcPr>
            <w:tcW w:w="1683" w:type="dxa"/>
          </w:tcPr>
          <w:p w14:paraId="39E90484" w14:textId="77777777" w:rsidR="00EE3FBC" w:rsidRPr="005126EC" w:rsidRDefault="00EE3FBC" w:rsidP="00EE3FBC">
            <w:pPr>
              <w:pStyle w:val="naisf"/>
              <w:spacing w:before="0" w:beforeAutospacing="0" w:after="0" w:afterAutospacing="0"/>
              <w:rPr>
                <w:b/>
                <w:i/>
              </w:rPr>
            </w:pPr>
            <w:r w:rsidRPr="005126EC">
              <w:rPr>
                <w:b/>
                <w:i/>
              </w:rPr>
              <w:t>0</w:t>
            </w:r>
          </w:p>
        </w:tc>
      </w:tr>
      <w:tr w:rsidR="00EE3FBC" w:rsidRPr="00FA6F1C" w14:paraId="299783BC" w14:textId="77777777" w:rsidTr="00E1537C">
        <w:trPr>
          <w:jc w:val="center"/>
        </w:trPr>
        <w:tc>
          <w:tcPr>
            <w:tcW w:w="2266" w:type="dxa"/>
          </w:tcPr>
          <w:p w14:paraId="468F640D" w14:textId="77777777" w:rsidR="00EE3FBC" w:rsidRPr="00FA6F1C" w:rsidRDefault="00EE3FBC" w:rsidP="00EE3FBC">
            <w:pPr>
              <w:spacing w:after="0" w:line="240" w:lineRule="auto"/>
              <w:rPr>
                <w:rFonts w:ascii="Times New Roman" w:hAnsi="Times New Roman" w:cs="Times New Roman"/>
                <w:sz w:val="28"/>
                <w:szCs w:val="28"/>
              </w:rPr>
            </w:pPr>
            <w:r w:rsidRPr="00FA6F1C">
              <w:rPr>
                <w:rFonts w:ascii="Times New Roman" w:hAnsi="Times New Roman" w:cs="Times New Roman"/>
                <w:sz w:val="28"/>
                <w:szCs w:val="28"/>
              </w:rPr>
              <w:t xml:space="preserve">2.3. pašvaldību </w:t>
            </w:r>
            <w:r w:rsidRPr="00FA6F1C">
              <w:rPr>
                <w:rFonts w:ascii="Times New Roman" w:hAnsi="Times New Roman" w:cs="Times New Roman"/>
                <w:sz w:val="28"/>
                <w:szCs w:val="28"/>
              </w:rPr>
              <w:lastRenderedPageBreak/>
              <w:t xml:space="preserve">budžets </w:t>
            </w:r>
          </w:p>
        </w:tc>
        <w:tc>
          <w:tcPr>
            <w:tcW w:w="1196" w:type="dxa"/>
          </w:tcPr>
          <w:p w14:paraId="05FE2A15" w14:textId="77777777" w:rsidR="00EE3FBC" w:rsidRPr="005126EC" w:rsidRDefault="00EE3FBC" w:rsidP="00EE3FBC">
            <w:pPr>
              <w:pStyle w:val="naisf"/>
              <w:spacing w:before="0" w:beforeAutospacing="0" w:after="0" w:afterAutospacing="0"/>
              <w:rPr>
                <w:b/>
                <w:i/>
              </w:rPr>
            </w:pPr>
            <w:r w:rsidRPr="005126EC">
              <w:rPr>
                <w:b/>
                <w:i/>
              </w:rPr>
              <w:lastRenderedPageBreak/>
              <w:t>0</w:t>
            </w:r>
          </w:p>
        </w:tc>
        <w:tc>
          <w:tcPr>
            <w:tcW w:w="1524" w:type="dxa"/>
          </w:tcPr>
          <w:p w14:paraId="02A11590" w14:textId="77777777" w:rsidR="00EE3FBC" w:rsidRPr="005126EC" w:rsidRDefault="00EE3FBC" w:rsidP="00EE3FBC">
            <w:pPr>
              <w:pStyle w:val="naisf"/>
              <w:spacing w:before="0" w:beforeAutospacing="0" w:after="0" w:afterAutospacing="0"/>
              <w:rPr>
                <w:b/>
                <w:i/>
              </w:rPr>
            </w:pPr>
            <w:r w:rsidRPr="005126EC">
              <w:rPr>
                <w:b/>
                <w:i/>
              </w:rPr>
              <w:t>0</w:t>
            </w:r>
          </w:p>
        </w:tc>
        <w:tc>
          <w:tcPr>
            <w:tcW w:w="1391" w:type="dxa"/>
          </w:tcPr>
          <w:p w14:paraId="78C4F60C" w14:textId="77777777" w:rsidR="00EE3FBC" w:rsidRPr="005126EC" w:rsidRDefault="00EE3FBC" w:rsidP="00EE3FBC">
            <w:pPr>
              <w:pStyle w:val="naisf"/>
              <w:spacing w:before="0" w:beforeAutospacing="0" w:after="0" w:afterAutospacing="0"/>
              <w:rPr>
                <w:b/>
                <w:i/>
              </w:rPr>
            </w:pPr>
            <w:r w:rsidRPr="005126EC">
              <w:rPr>
                <w:b/>
                <w:i/>
              </w:rPr>
              <w:t>0</w:t>
            </w:r>
          </w:p>
        </w:tc>
        <w:tc>
          <w:tcPr>
            <w:tcW w:w="1391" w:type="dxa"/>
          </w:tcPr>
          <w:p w14:paraId="3720282B" w14:textId="77777777" w:rsidR="00EE3FBC" w:rsidRPr="005126EC" w:rsidRDefault="00EE3FBC" w:rsidP="00EE3FBC">
            <w:pPr>
              <w:pStyle w:val="naisf"/>
              <w:spacing w:before="0" w:beforeAutospacing="0" w:after="0" w:afterAutospacing="0"/>
              <w:rPr>
                <w:b/>
                <w:i/>
              </w:rPr>
            </w:pPr>
            <w:r w:rsidRPr="005126EC">
              <w:rPr>
                <w:b/>
                <w:i/>
              </w:rPr>
              <w:t>0</w:t>
            </w:r>
          </w:p>
        </w:tc>
        <w:tc>
          <w:tcPr>
            <w:tcW w:w="1683" w:type="dxa"/>
          </w:tcPr>
          <w:p w14:paraId="67B1C320" w14:textId="77777777" w:rsidR="00EE3FBC" w:rsidRPr="005126EC" w:rsidRDefault="00EE3FBC" w:rsidP="00EE3FBC">
            <w:pPr>
              <w:pStyle w:val="naisf"/>
              <w:spacing w:before="0" w:beforeAutospacing="0" w:after="0" w:afterAutospacing="0"/>
              <w:rPr>
                <w:b/>
                <w:i/>
              </w:rPr>
            </w:pPr>
            <w:r w:rsidRPr="005126EC">
              <w:rPr>
                <w:b/>
                <w:i/>
              </w:rPr>
              <w:t>0</w:t>
            </w:r>
          </w:p>
        </w:tc>
      </w:tr>
      <w:tr w:rsidR="00EE3FBC" w:rsidRPr="00FA6F1C" w14:paraId="3F2CEFB2" w14:textId="77777777" w:rsidTr="00E1537C">
        <w:trPr>
          <w:jc w:val="center"/>
        </w:trPr>
        <w:tc>
          <w:tcPr>
            <w:tcW w:w="2266" w:type="dxa"/>
          </w:tcPr>
          <w:p w14:paraId="34A5865C" w14:textId="77777777" w:rsidR="00EE3FBC" w:rsidRPr="00FA6F1C" w:rsidRDefault="00EE3FBC" w:rsidP="00EE3FBC">
            <w:pPr>
              <w:spacing w:after="0" w:line="240" w:lineRule="auto"/>
              <w:rPr>
                <w:rFonts w:ascii="Times New Roman" w:hAnsi="Times New Roman" w:cs="Times New Roman"/>
                <w:sz w:val="28"/>
                <w:szCs w:val="28"/>
              </w:rPr>
            </w:pPr>
            <w:r w:rsidRPr="00FA6F1C">
              <w:rPr>
                <w:rFonts w:ascii="Times New Roman" w:hAnsi="Times New Roman" w:cs="Times New Roman"/>
                <w:sz w:val="28"/>
                <w:szCs w:val="28"/>
              </w:rPr>
              <w:lastRenderedPageBreak/>
              <w:t>3. Finansiālā ietekme:</w:t>
            </w:r>
          </w:p>
        </w:tc>
        <w:tc>
          <w:tcPr>
            <w:tcW w:w="1196" w:type="dxa"/>
            <w:shd w:val="clear" w:color="auto" w:fill="auto"/>
          </w:tcPr>
          <w:p w14:paraId="4D2040B4" w14:textId="77777777" w:rsidR="00EE3FBC" w:rsidRPr="005126EC" w:rsidRDefault="00EE3FBC" w:rsidP="00EE3FBC">
            <w:pPr>
              <w:pStyle w:val="naisf"/>
              <w:spacing w:before="0" w:beforeAutospacing="0" w:after="0" w:afterAutospacing="0"/>
              <w:jc w:val="center"/>
            </w:pPr>
            <w:r w:rsidRPr="005126EC">
              <w:rPr>
                <w:b/>
                <w:i/>
              </w:rPr>
              <w:t>-13</w:t>
            </w:r>
            <w:r>
              <w:rPr>
                <w:b/>
                <w:i/>
              </w:rPr>
              <w:t>1</w:t>
            </w:r>
            <w:r w:rsidRPr="005126EC">
              <w:rPr>
                <w:b/>
                <w:i/>
              </w:rPr>
              <w:t> 3</w:t>
            </w:r>
            <w:r>
              <w:rPr>
                <w:b/>
                <w:i/>
              </w:rPr>
              <w:t>94</w:t>
            </w:r>
          </w:p>
        </w:tc>
        <w:tc>
          <w:tcPr>
            <w:tcW w:w="1524" w:type="dxa"/>
          </w:tcPr>
          <w:p w14:paraId="695F0597" w14:textId="77777777" w:rsidR="00EE3FBC" w:rsidRPr="005126EC" w:rsidRDefault="00EE3FBC" w:rsidP="00EE3FBC">
            <w:pPr>
              <w:pStyle w:val="naisf"/>
              <w:spacing w:before="0" w:beforeAutospacing="0" w:after="0" w:afterAutospacing="0"/>
              <w:rPr>
                <w:b/>
                <w:i/>
              </w:rPr>
            </w:pPr>
            <w:r>
              <w:rPr>
                <w:b/>
                <w:i/>
              </w:rPr>
              <w:t>-2 928</w:t>
            </w:r>
          </w:p>
        </w:tc>
        <w:tc>
          <w:tcPr>
            <w:tcW w:w="1391" w:type="dxa"/>
          </w:tcPr>
          <w:p w14:paraId="7D6667A4" w14:textId="77777777" w:rsidR="00EE3FBC" w:rsidRPr="005126EC" w:rsidRDefault="00EE3FBC" w:rsidP="00EE3FBC">
            <w:pPr>
              <w:pStyle w:val="naisf"/>
              <w:spacing w:before="0" w:beforeAutospacing="0" w:after="0" w:afterAutospacing="0"/>
              <w:rPr>
                <w:b/>
                <w:i/>
              </w:rPr>
            </w:pPr>
            <w:r w:rsidRPr="005126EC">
              <w:rPr>
                <w:b/>
                <w:i/>
              </w:rPr>
              <w:t>-</w:t>
            </w:r>
            <w:r>
              <w:rPr>
                <w:b/>
                <w:i/>
              </w:rPr>
              <w:t>1 872 333</w:t>
            </w:r>
          </w:p>
          <w:p w14:paraId="5CA2ED19" w14:textId="77777777" w:rsidR="00EE3FBC" w:rsidRPr="005126EC" w:rsidRDefault="00EE3FBC" w:rsidP="00EE3FBC">
            <w:pPr>
              <w:pStyle w:val="naisf"/>
              <w:spacing w:before="0" w:beforeAutospacing="0" w:after="0" w:afterAutospacing="0"/>
              <w:rPr>
                <w:b/>
                <w:i/>
              </w:rPr>
            </w:pPr>
          </w:p>
        </w:tc>
        <w:tc>
          <w:tcPr>
            <w:tcW w:w="1391" w:type="dxa"/>
          </w:tcPr>
          <w:p w14:paraId="716EAEEC" w14:textId="77777777" w:rsidR="00EE3FBC" w:rsidRPr="005126EC" w:rsidRDefault="00EE3FBC" w:rsidP="00EE3FBC">
            <w:pPr>
              <w:pStyle w:val="naisf"/>
              <w:spacing w:before="0" w:beforeAutospacing="0" w:after="0" w:afterAutospacing="0"/>
              <w:rPr>
                <w:b/>
                <w:i/>
              </w:rPr>
            </w:pPr>
            <w:r w:rsidRPr="005126EC">
              <w:rPr>
                <w:b/>
                <w:i/>
              </w:rPr>
              <w:t>-</w:t>
            </w:r>
            <w:r>
              <w:rPr>
                <w:b/>
                <w:i/>
              </w:rPr>
              <w:t>1 002 990</w:t>
            </w:r>
          </w:p>
        </w:tc>
        <w:tc>
          <w:tcPr>
            <w:tcW w:w="1683" w:type="dxa"/>
          </w:tcPr>
          <w:p w14:paraId="3E398194" w14:textId="77777777" w:rsidR="00EE3FBC" w:rsidRPr="005126EC" w:rsidRDefault="00EE3FBC" w:rsidP="00EE3FBC">
            <w:pPr>
              <w:pStyle w:val="naisf"/>
              <w:spacing w:before="0" w:beforeAutospacing="0" w:after="0" w:afterAutospacing="0"/>
              <w:rPr>
                <w:b/>
                <w:i/>
              </w:rPr>
            </w:pPr>
            <w:r w:rsidRPr="005126EC">
              <w:rPr>
                <w:b/>
                <w:i/>
              </w:rPr>
              <w:t>-</w:t>
            </w:r>
            <w:r>
              <w:rPr>
                <w:b/>
                <w:i/>
              </w:rPr>
              <w:t>1 025 505</w:t>
            </w:r>
          </w:p>
        </w:tc>
      </w:tr>
      <w:tr w:rsidR="00EE3FBC" w:rsidRPr="00FA6F1C" w14:paraId="6233A447" w14:textId="77777777" w:rsidTr="00E1537C">
        <w:trPr>
          <w:jc w:val="center"/>
        </w:trPr>
        <w:tc>
          <w:tcPr>
            <w:tcW w:w="2266" w:type="dxa"/>
          </w:tcPr>
          <w:p w14:paraId="39F44CD7" w14:textId="77777777" w:rsidR="00EE3FBC" w:rsidRPr="00FA6F1C" w:rsidRDefault="00EE3FBC" w:rsidP="00EE3FBC">
            <w:pPr>
              <w:spacing w:after="0" w:line="240" w:lineRule="auto"/>
              <w:rPr>
                <w:rFonts w:ascii="Times New Roman" w:hAnsi="Times New Roman" w:cs="Times New Roman"/>
                <w:sz w:val="28"/>
                <w:szCs w:val="28"/>
              </w:rPr>
            </w:pPr>
            <w:r w:rsidRPr="00FA6F1C">
              <w:rPr>
                <w:rFonts w:ascii="Times New Roman" w:hAnsi="Times New Roman" w:cs="Times New Roman"/>
                <w:sz w:val="28"/>
                <w:szCs w:val="28"/>
              </w:rPr>
              <w:t>3.1. valsts pamatbudžets</w:t>
            </w:r>
          </w:p>
        </w:tc>
        <w:tc>
          <w:tcPr>
            <w:tcW w:w="1196" w:type="dxa"/>
            <w:shd w:val="clear" w:color="auto" w:fill="auto"/>
          </w:tcPr>
          <w:p w14:paraId="6C34B164" w14:textId="77777777" w:rsidR="00EE3FBC" w:rsidRPr="005126EC" w:rsidRDefault="00EE3FBC" w:rsidP="00EE3FBC">
            <w:pPr>
              <w:pStyle w:val="naisf"/>
              <w:spacing w:before="0" w:beforeAutospacing="0" w:after="0" w:afterAutospacing="0"/>
              <w:rPr>
                <w:i/>
              </w:rPr>
            </w:pPr>
            <w:r w:rsidRPr="005126EC">
              <w:rPr>
                <w:b/>
                <w:i/>
              </w:rPr>
              <w:t>-</w:t>
            </w:r>
            <w:r>
              <w:rPr>
                <w:b/>
                <w:i/>
              </w:rPr>
              <w:t> </w:t>
            </w:r>
            <w:r w:rsidRPr="005126EC">
              <w:rPr>
                <w:b/>
                <w:i/>
              </w:rPr>
              <w:t>13</w:t>
            </w:r>
            <w:r>
              <w:rPr>
                <w:b/>
                <w:i/>
              </w:rPr>
              <w:t>1 394</w:t>
            </w:r>
            <w:r w:rsidRPr="005126EC">
              <w:rPr>
                <w:b/>
                <w:i/>
              </w:rPr>
              <w:t xml:space="preserve"> </w:t>
            </w:r>
          </w:p>
        </w:tc>
        <w:tc>
          <w:tcPr>
            <w:tcW w:w="1524" w:type="dxa"/>
          </w:tcPr>
          <w:p w14:paraId="3C8628A3" w14:textId="77777777" w:rsidR="00EE3FBC" w:rsidRPr="005126EC" w:rsidRDefault="00EE3FBC" w:rsidP="00EE3FBC">
            <w:pPr>
              <w:pStyle w:val="naisf"/>
              <w:spacing w:before="0" w:beforeAutospacing="0" w:after="0" w:afterAutospacing="0"/>
              <w:rPr>
                <w:b/>
                <w:i/>
              </w:rPr>
            </w:pPr>
            <w:r>
              <w:rPr>
                <w:b/>
                <w:i/>
              </w:rPr>
              <w:t>-2 928</w:t>
            </w:r>
          </w:p>
        </w:tc>
        <w:tc>
          <w:tcPr>
            <w:tcW w:w="1391" w:type="dxa"/>
          </w:tcPr>
          <w:p w14:paraId="01D1D0DB" w14:textId="77777777" w:rsidR="00EE3FBC" w:rsidRPr="005126EC" w:rsidRDefault="00EE3FBC" w:rsidP="00EE3FBC">
            <w:pPr>
              <w:pStyle w:val="naisf"/>
              <w:spacing w:before="0" w:beforeAutospacing="0" w:after="0" w:afterAutospacing="0"/>
              <w:rPr>
                <w:b/>
                <w:i/>
              </w:rPr>
            </w:pPr>
            <w:r w:rsidRPr="005126EC">
              <w:rPr>
                <w:b/>
                <w:i/>
              </w:rPr>
              <w:t>-</w:t>
            </w:r>
            <w:r>
              <w:rPr>
                <w:b/>
                <w:i/>
              </w:rPr>
              <w:t>1 872 333</w:t>
            </w:r>
          </w:p>
          <w:p w14:paraId="69461AA7" w14:textId="77777777" w:rsidR="00EE3FBC" w:rsidRPr="005126EC" w:rsidRDefault="00EE3FBC" w:rsidP="00EE3FBC">
            <w:pPr>
              <w:pStyle w:val="naisf"/>
              <w:spacing w:before="0" w:beforeAutospacing="0" w:after="0" w:afterAutospacing="0"/>
              <w:rPr>
                <w:b/>
                <w:i/>
              </w:rPr>
            </w:pPr>
          </w:p>
        </w:tc>
        <w:tc>
          <w:tcPr>
            <w:tcW w:w="1391" w:type="dxa"/>
          </w:tcPr>
          <w:p w14:paraId="4179623F" w14:textId="77777777" w:rsidR="00EE3FBC" w:rsidRPr="005126EC" w:rsidRDefault="00EE3FBC" w:rsidP="00EE3FBC">
            <w:pPr>
              <w:pStyle w:val="naisf"/>
              <w:spacing w:before="0" w:beforeAutospacing="0" w:after="0" w:afterAutospacing="0"/>
              <w:rPr>
                <w:b/>
                <w:i/>
              </w:rPr>
            </w:pPr>
            <w:r w:rsidRPr="005126EC">
              <w:rPr>
                <w:b/>
                <w:i/>
              </w:rPr>
              <w:t>-</w:t>
            </w:r>
            <w:r>
              <w:rPr>
                <w:b/>
                <w:i/>
              </w:rPr>
              <w:t>1 002 990</w:t>
            </w:r>
          </w:p>
        </w:tc>
        <w:tc>
          <w:tcPr>
            <w:tcW w:w="1683" w:type="dxa"/>
          </w:tcPr>
          <w:p w14:paraId="68BAD2BE" w14:textId="77777777" w:rsidR="00EE3FBC" w:rsidRPr="005126EC" w:rsidRDefault="00EE3FBC" w:rsidP="00EE3FBC">
            <w:pPr>
              <w:pStyle w:val="naisf"/>
              <w:spacing w:before="0" w:beforeAutospacing="0" w:after="0" w:afterAutospacing="0"/>
              <w:rPr>
                <w:b/>
                <w:i/>
              </w:rPr>
            </w:pPr>
            <w:r w:rsidRPr="005126EC">
              <w:rPr>
                <w:b/>
                <w:i/>
              </w:rPr>
              <w:t>-</w:t>
            </w:r>
            <w:r>
              <w:rPr>
                <w:b/>
                <w:i/>
              </w:rPr>
              <w:t>1 025 505</w:t>
            </w:r>
          </w:p>
        </w:tc>
      </w:tr>
      <w:tr w:rsidR="00EE3FBC" w:rsidRPr="00FA6F1C" w14:paraId="324C0518" w14:textId="77777777" w:rsidTr="00E1537C">
        <w:trPr>
          <w:jc w:val="center"/>
        </w:trPr>
        <w:tc>
          <w:tcPr>
            <w:tcW w:w="2266" w:type="dxa"/>
          </w:tcPr>
          <w:p w14:paraId="72322F27" w14:textId="77777777" w:rsidR="00EE3FBC" w:rsidRPr="00FA6F1C" w:rsidRDefault="00EE3FBC" w:rsidP="00EE3FBC">
            <w:pPr>
              <w:spacing w:after="0" w:line="240" w:lineRule="auto"/>
              <w:rPr>
                <w:rFonts w:ascii="Times New Roman" w:hAnsi="Times New Roman" w:cs="Times New Roman"/>
                <w:sz w:val="28"/>
                <w:szCs w:val="28"/>
              </w:rPr>
            </w:pPr>
            <w:r w:rsidRPr="00FA6F1C">
              <w:rPr>
                <w:rFonts w:ascii="Times New Roman" w:hAnsi="Times New Roman" w:cs="Times New Roman"/>
                <w:sz w:val="28"/>
                <w:szCs w:val="28"/>
              </w:rPr>
              <w:t>3.2. speciālais budžets</w:t>
            </w:r>
          </w:p>
        </w:tc>
        <w:tc>
          <w:tcPr>
            <w:tcW w:w="1196" w:type="dxa"/>
            <w:shd w:val="clear" w:color="auto" w:fill="auto"/>
          </w:tcPr>
          <w:p w14:paraId="0A47D293" w14:textId="77777777" w:rsidR="00EE3FBC" w:rsidRPr="005126EC" w:rsidRDefault="00EE3FBC" w:rsidP="00EE3FBC">
            <w:pPr>
              <w:pStyle w:val="naisf"/>
              <w:spacing w:before="0" w:beforeAutospacing="0" w:after="0" w:afterAutospacing="0"/>
              <w:rPr>
                <w:i/>
              </w:rPr>
            </w:pPr>
            <w:r w:rsidRPr="005126EC">
              <w:rPr>
                <w:i/>
              </w:rPr>
              <w:t>0</w:t>
            </w:r>
          </w:p>
        </w:tc>
        <w:tc>
          <w:tcPr>
            <w:tcW w:w="1524" w:type="dxa"/>
          </w:tcPr>
          <w:p w14:paraId="0065F7FF" w14:textId="77777777" w:rsidR="00EE3FBC" w:rsidRPr="005126EC" w:rsidRDefault="00EE3FBC" w:rsidP="00EE3FBC">
            <w:pPr>
              <w:pStyle w:val="naisf"/>
              <w:spacing w:before="0" w:beforeAutospacing="0" w:after="0" w:afterAutospacing="0"/>
              <w:rPr>
                <w:b/>
                <w:i/>
              </w:rPr>
            </w:pPr>
            <w:r w:rsidRPr="005126EC">
              <w:rPr>
                <w:b/>
                <w:i/>
              </w:rPr>
              <w:t>0</w:t>
            </w:r>
          </w:p>
        </w:tc>
        <w:tc>
          <w:tcPr>
            <w:tcW w:w="1391" w:type="dxa"/>
          </w:tcPr>
          <w:p w14:paraId="62E793A7" w14:textId="77777777" w:rsidR="00EE3FBC" w:rsidRPr="005126EC" w:rsidRDefault="00EE3FBC" w:rsidP="00EE3FBC">
            <w:pPr>
              <w:pStyle w:val="naisf"/>
              <w:spacing w:before="0" w:beforeAutospacing="0" w:after="0" w:afterAutospacing="0"/>
              <w:rPr>
                <w:b/>
                <w:i/>
              </w:rPr>
            </w:pPr>
            <w:r w:rsidRPr="005126EC">
              <w:rPr>
                <w:b/>
                <w:i/>
              </w:rPr>
              <w:t>0</w:t>
            </w:r>
          </w:p>
        </w:tc>
        <w:tc>
          <w:tcPr>
            <w:tcW w:w="1391" w:type="dxa"/>
          </w:tcPr>
          <w:p w14:paraId="69185957" w14:textId="77777777" w:rsidR="00EE3FBC" w:rsidRPr="005126EC" w:rsidRDefault="00EE3FBC" w:rsidP="00EE3FBC">
            <w:pPr>
              <w:pStyle w:val="naisf"/>
              <w:spacing w:before="0" w:beforeAutospacing="0" w:after="0" w:afterAutospacing="0"/>
              <w:rPr>
                <w:b/>
                <w:i/>
              </w:rPr>
            </w:pPr>
            <w:r w:rsidRPr="005126EC">
              <w:rPr>
                <w:b/>
                <w:i/>
              </w:rPr>
              <w:t>0</w:t>
            </w:r>
          </w:p>
        </w:tc>
        <w:tc>
          <w:tcPr>
            <w:tcW w:w="1683" w:type="dxa"/>
          </w:tcPr>
          <w:p w14:paraId="66284781" w14:textId="77777777" w:rsidR="00EE3FBC" w:rsidRPr="005126EC" w:rsidRDefault="00EE3FBC" w:rsidP="00EE3FBC">
            <w:pPr>
              <w:pStyle w:val="naisf"/>
              <w:spacing w:before="0" w:beforeAutospacing="0" w:after="0" w:afterAutospacing="0"/>
              <w:rPr>
                <w:b/>
                <w:i/>
              </w:rPr>
            </w:pPr>
            <w:r w:rsidRPr="005126EC">
              <w:rPr>
                <w:b/>
                <w:i/>
              </w:rPr>
              <w:t>0</w:t>
            </w:r>
          </w:p>
        </w:tc>
      </w:tr>
      <w:tr w:rsidR="00EE3FBC" w:rsidRPr="00FA6F1C" w14:paraId="2B88E17C" w14:textId="77777777" w:rsidTr="00E1537C">
        <w:trPr>
          <w:jc w:val="center"/>
        </w:trPr>
        <w:tc>
          <w:tcPr>
            <w:tcW w:w="2266" w:type="dxa"/>
          </w:tcPr>
          <w:p w14:paraId="296C2C68" w14:textId="77777777" w:rsidR="00EE3FBC" w:rsidRPr="00FA6F1C" w:rsidRDefault="00EE3FBC" w:rsidP="00EE3FBC">
            <w:pPr>
              <w:spacing w:after="0" w:line="240" w:lineRule="auto"/>
              <w:rPr>
                <w:rFonts w:ascii="Times New Roman" w:hAnsi="Times New Roman" w:cs="Times New Roman"/>
                <w:sz w:val="28"/>
                <w:szCs w:val="28"/>
              </w:rPr>
            </w:pPr>
            <w:r w:rsidRPr="00FA6F1C">
              <w:rPr>
                <w:rFonts w:ascii="Times New Roman" w:hAnsi="Times New Roman" w:cs="Times New Roman"/>
                <w:sz w:val="28"/>
                <w:szCs w:val="28"/>
              </w:rPr>
              <w:t xml:space="preserve">3.3. pašvaldību budžets </w:t>
            </w:r>
          </w:p>
        </w:tc>
        <w:tc>
          <w:tcPr>
            <w:tcW w:w="1196" w:type="dxa"/>
            <w:shd w:val="clear" w:color="auto" w:fill="auto"/>
          </w:tcPr>
          <w:p w14:paraId="35F05E95" w14:textId="77777777" w:rsidR="00EE3FBC" w:rsidRPr="005126EC" w:rsidRDefault="00EE3FBC" w:rsidP="00EE3FBC">
            <w:pPr>
              <w:pStyle w:val="naisf"/>
              <w:spacing w:before="0" w:beforeAutospacing="0" w:after="0" w:afterAutospacing="0"/>
              <w:rPr>
                <w:i/>
              </w:rPr>
            </w:pPr>
            <w:r w:rsidRPr="005126EC">
              <w:rPr>
                <w:i/>
              </w:rPr>
              <w:t>0</w:t>
            </w:r>
          </w:p>
        </w:tc>
        <w:tc>
          <w:tcPr>
            <w:tcW w:w="1524" w:type="dxa"/>
          </w:tcPr>
          <w:p w14:paraId="61695AEF" w14:textId="77777777" w:rsidR="00EE3FBC" w:rsidRPr="005126EC" w:rsidRDefault="00EE3FBC" w:rsidP="00EE3FBC">
            <w:pPr>
              <w:pStyle w:val="naisf"/>
              <w:spacing w:before="0" w:beforeAutospacing="0" w:after="0" w:afterAutospacing="0"/>
              <w:rPr>
                <w:b/>
                <w:i/>
              </w:rPr>
            </w:pPr>
            <w:r w:rsidRPr="005126EC">
              <w:rPr>
                <w:b/>
                <w:i/>
              </w:rPr>
              <w:t>0</w:t>
            </w:r>
          </w:p>
        </w:tc>
        <w:tc>
          <w:tcPr>
            <w:tcW w:w="1391" w:type="dxa"/>
          </w:tcPr>
          <w:p w14:paraId="21D276BE" w14:textId="77777777" w:rsidR="00EE3FBC" w:rsidRPr="005126EC" w:rsidRDefault="00EE3FBC" w:rsidP="00EE3FBC">
            <w:pPr>
              <w:pStyle w:val="naisf"/>
              <w:spacing w:before="0" w:beforeAutospacing="0" w:after="0" w:afterAutospacing="0"/>
              <w:rPr>
                <w:b/>
                <w:i/>
              </w:rPr>
            </w:pPr>
            <w:r w:rsidRPr="005126EC">
              <w:rPr>
                <w:b/>
                <w:i/>
              </w:rPr>
              <w:t>0</w:t>
            </w:r>
          </w:p>
        </w:tc>
        <w:tc>
          <w:tcPr>
            <w:tcW w:w="1391" w:type="dxa"/>
          </w:tcPr>
          <w:p w14:paraId="22220A6D" w14:textId="77777777" w:rsidR="00EE3FBC" w:rsidRPr="005126EC" w:rsidRDefault="00EE3FBC" w:rsidP="00EE3FBC">
            <w:pPr>
              <w:pStyle w:val="naisf"/>
              <w:spacing w:before="0" w:beforeAutospacing="0" w:after="0" w:afterAutospacing="0"/>
              <w:rPr>
                <w:b/>
                <w:i/>
              </w:rPr>
            </w:pPr>
            <w:r w:rsidRPr="005126EC">
              <w:rPr>
                <w:b/>
                <w:i/>
              </w:rPr>
              <w:t>0</w:t>
            </w:r>
          </w:p>
        </w:tc>
        <w:tc>
          <w:tcPr>
            <w:tcW w:w="1683" w:type="dxa"/>
          </w:tcPr>
          <w:p w14:paraId="0EF6C24E" w14:textId="77777777" w:rsidR="00EE3FBC" w:rsidRPr="005126EC" w:rsidRDefault="00EE3FBC" w:rsidP="00EE3FBC">
            <w:pPr>
              <w:pStyle w:val="naisf"/>
              <w:spacing w:before="0" w:beforeAutospacing="0" w:after="0" w:afterAutospacing="0"/>
              <w:rPr>
                <w:b/>
                <w:i/>
              </w:rPr>
            </w:pPr>
            <w:r w:rsidRPr="005126EC">
              <w:rPr>
                <w:b/>
                <w:i/>
              </w:rPr>
              <w:t>0</w:t>
            </w:r>
          </w:p>
        </w:tc>
      </w:tr>
      <w:tr w:rsidR="00EE3FBC" w:rsidRPr="00FA6F1C" w14:paraId="3E9DA8B3" w14:textId="77777777" w:rsidTr="00E1537C">
        <w:trPr>
          <w:jc w:val="center"/>
        </w:trPr>
        <w:tc>
          <w:tcPr>
            <w:tcW w:w="2266" w:type="dxa"/>
            <w:vMerge w:val="restart"/>
          </w:tcPr>
          <w:p w14:paraId="3D3F1FE6" w14:textId="77777777" w:rsidR="00EE3FBC" w:rsidRPr="00FA6F1C" w:rsidRDefault="00EE3FBC" w:rsidP="00EE3FBC">
            <w:pPr>
              <w:spacing w:after="0" w:line="240" w:lineRule="auto"/>
              <w:rPr>
                <w:rFonts w:ascii="Times New Roman" w:hAnsi="Times New Roman" w:cs="Times New Roman"/>
                <w:sz w:val="28"/>
                <w:szCs w:val="28"/>
              </w:rPr>
            </w:pPr>
            <w:r w:rsidRPr="00FA6F1C">
              <w:rPr>
                <w:rFonts w:ascii="Times New Roman" w:hAnsi="Times New Roman" w:cs="Times New Roman"/>
                <w:sz w:val="28"/>
                <w:szCs w:val="28"/>
              </w:rPr>
              <w:t>4. Finanšu līdzekļi papildu izdevumu finansēšanai (kompensējošu izdevumu samazinājumu norāda ar "+" zīmi)</w:t>
            </w:r>
          </w:p>
        </w:tc>
        <w:tc>
          <w:tcPr>
            <w:tcW w:w="1196" w:type="dxa"/>
            <w:vMerge w:val="restart"/>
          </w:tcPr>
          <w:p w14:paraId="39B789D4" w14:textId="77777777" w:rsidR="00EE3FBC" w:rsidRPr="005126EC" w:rsidRDefault="00EE3FBC" w:rsidP="00EE3FBC">
            <w:pPr>
              <w:pStyle w:val="naisf"/>
              <w:spacing w:before="0" w:beforeAutospacing="0" w:after="0" w:afterAutospacing="0"/>
              <w:jc w:val="center"/>
              <w:rPr>
                <w:i/>
              </w:rPr>
            </w:pPr>
            <w:r w:rsidRPr="005126EC">
              <w:t>X</w:t>
            </w:r>
          </w:p>
        </w:tc>
        <w:tc>
          <w:tcPr>
            <w:tcW w:w="1524" w:type="dxa"/>
          </w:tcPr>
          <w:p w14:paraId="512F6A99" w14:textId="77777777" w:rsidR="00EE3FBC" w:rsidRPr="005126EC" w:rsidRDefault="00EE3FBC" w:rsidP="00EE3FBC">
            <w:pPr>
              <w:pStyle w:val="naisf"/>
              <w:spacing w:before="0" w:beforeAutospacing="0" w:after="0" w:afterAutospacing="0"/>
              <w:rPr>
                <w:b/>
                <w:i/>
              </w:rPr>
            </w:pPr>
            <w:r w:rsidRPr="005126EC">
              <w:rPr>
                <w:b/>
                <w:i/>
              </w:rPr>
              <w:t>0</w:t>
            </w:r>
          </w:p>
        </w:tc>
        <w:tc>
          <w:tcPr>
            <w:tcW w:w="1391" w:type="dxa"/>
          </w:tcPr>
          <w:p w14:paraId="23194E98" w14:textId="77777777" w:rsidR="00EE3FBC" w:rsidRPr="005126EC" w:rsidRDefault="00EE3FBC" w:rsidP="00EE3FBC">
            <w:pPr>
              <w:pStyle w:val="naisf"/>
              <w:spacing w:before="0" w:beforeAutospacing="0" w:after="0" w:afterAutospacing="0"/>
              <w:rPr>
                <w:b/>
                <w:i/>
              </w:rPr>
            </w:pPr>
            <w:r w:rsidRPr="005126EC">
              <w:rPr>
                <w:b/>
                <w:i/>
              </w:rPr>
              <w:t>0</w:t>
            </w:r>
          </w:p>
        </w:tc>
        <w:tc>
          <w:tcPr>
            <w:tcW w:w="1391" w:type="dxa"/>
          </w:tcPr>
          <w:p w14:paraId="1CE8DCFC" w14:textId="77777777" w:rsidR="00EE3FBC" w:rsidRPr="005126EC" w:rsidRDefault="00EE3FBC" w:rsidP="00EE3FBC">
            <w:pPr>
              <w:pStyle w:val="naisf"/>
              <w:spacing w:before="0" w:beforeAutospacing="0" w:after="0" w:afterAutospacing="0"/>
              <w:rPr>
                <w:b/>
                <w:i/>
              </w:rPr>
            </w:pPr>
            <w:r w:rsidRPr="005126EC">
              <w:rPr>
                <w:b/>
                <w:i/>
              </w:rPr>
              <w:t>0</w:t>
            </w:r>
          </w:p>
        </w:tc>
        <w:tc>
          <w:tcPr>
            <w:tcW w:w="1683" w:type="dxa"/>
          </w:tcPr>
          <w:p w14:paraId="2C727921" w14:textId="77777777" w:rsidR="00EE3FBC" w:rsidRPr="005126EC" w:rsidRDefault="00EE3FBC" w:rsidP="00EE3FBC">
            <w:pPr>
              <w:pStyle w:val="naisf"/>
              <w:spacing w:before="0" w:beforeAutospacing="0" w:after="0" w:afterAutospacing="0"/>
              <w:rPr>
                <w:b/>
                <w:i/>
              </w:rPr>
            </w:pPr>
            <w:r w:rsidRPr="005126EC">
              <w:rPr>
                <w:b/>
                <w:i/>
              </w:rPr>
              <w:t>0</w:t>
            </w:r>
          </w:p>
        </w:tc>
      </w:tr>
      <w:tr w:rsidR="00EE3FBC" w:rsidRPr="00FA6F1C" w14:paraId="1FAAE990" w14:textId="77777777" w:rsidTr="00E1537C">
        <w:trPr>
          <w:jc w:val="center"/>
        </w:trPr>
        <w:tc>
          <w:tcPr>
            <w:tcW w:w="2266" w:type="dxa"/>
            <w:vMerge/>
          </w:tcPr>
          <w:p w14:paraId="415DC055" w14:textId="77777777" w:rsidR="00EE3FBC" w:rsidRPr="00FA6F1C" w:rsidRDefault="00EE3FBC" w:rsidP="00EE3FBC">
            <w:pPr>
              <w:spacing w:after="0" w:line="240" w:lineRule="auto"/>
              <w:rPr>
                <w:rFonts w:ascii="Times New Roman" w:hAnsi="Times New Roman" w:cs="Times New Roman"/>
                <w:sz w:val="28"/>
                <w:szCs w:val="28"/>
              </w:rPr>
            </w:pPr>
          </w:p>
        </w:tc>
        <w:tc>
          <w:tcPr>
            <w:tcW w:w="1196" w:type="dxa"/>
            <w:vMerge/>
          </w:tcPr>
          <w:p w14:paraId="44A84689" w14:textId="77777777" w:rsidR="00EE3FBC" w:rsidRPr="005126EC" w:rsidRDefault="00EE3FBC" w:rsidP="00EE3FBC">
            <w:pPr>
              <w:pStyle w:val="naisf"/>
              <w:spacing w:before="0" w:beforeAutospacing="0" w:after="0" w:afterAutospacing="0"/>
              <w:jc w:val="center"/>
              <w:rPr>
                <w:i/>
              </w:rPr>
            </w:pPr>
          </w:p>
        </w:tc>
        <w:tc>
          <w:tcPr>
            <w:tcW w:w="1524" w:type="dxa"/>
          </w:tcPr>
          <w:p w14:paraId="06A6BE74" w14:textId="77777777" w:rsidR="00EE3FBC" w:rsidRPr="005126EC" w:rsidRDefault="00EE3FBC" w:rsidP="00EE3FBC">
            <w:pPr>
              <w:pStyle w:val="naisf"/>
              <w:spacing w:before="0" w:beforeAutospacing="0" w:after="0" w:afterAutospacing="0"/>
              <w:rPr>
                <w:b/>
                <w:i/>
              </w:rPr>
            </w:pPr>
            <w:r w:rsidRPr="005126EC">
              <w:rPr>
                <w:b/>
                <w:i/>
              </w:rPr>
              <w:t>0</w:t>
            </w:r>
          </w:p>
        </w:tc>
        <w:tc>
          <w:tcPr>
            <w:tcW w:w="1391" w:type="dxa"/>
          </w:tcPr>
          <w:p w14:paraId="45E522F6" w14:textId="77777777" w:rsidR="00EE3FBC" w:rsidRPr="005126EC" w:rsidRDefault="00EE3FBC" w:rsidP="00EE3FBC">
            <w:pPr>
              <w:pStyle w:val="naisf"/>
              <w:spacing w:before="0" w:beforeAutospacing="0" w:after="0" w:afterAutospacing="0"/>
              <w:rPr>
                <w:b/>
                <w:i/>
              </w:rPr>
            </w:pPr>
            <w:r w:rsidRPr="005126EC">
              <w:rPr>
                <w:b/>
                <w:i/>
              </w:rPr>
              <w:t>0</w:t>
            </w:r>
          </w:p>
        </w:tc>
        <w:tc>
          <w:tcPr>
            <w:tcW w:w="1391" w:type="dxa"/>
          </w:tcPr>
          <w:p w14:paraId="027B0167" w14:textId="77777777" w:rsidR="00EE3FBC" w:rsidRPr="005126EC" w:rsidRDefault="00EE3FBC" w:rsidP="00EE3FBC">
            <w:pPr>
              <w:pStyle w:val="naisf"/>
              <w:spacing w:before="0" w:beforeAutospacing="0" w:after="0" w:afterAutospacing="0"/>
              <w:rPr>
                <w:b/>
                <w:i/>
              </w:rPr>
            </w:pPr>
            <w:r w:rsidRPr="005126EC">
              <w:rPr>
                <w:b/>
                <w:i/>
              </w:rPr>
              <w:t>0</w:t>
            </w:r>
          </w:p>
        </w:tc>
        <w:tc>
          <w:tcPr>
            <w:tcW w:w="1683" w:type="dxa"/>
          </w:tcPr>
          <w:p w14:paraId="43F16B37" w14:textId="77777777" w:rsidR="00EE3FBC" w:rsidRPr="005126EC" w:rsidRDefault="00EE3FBC" w:rsidP="00EE3FBC">
            <w:pPr>
              <w:pStyle w:val="naisf"/>
              <w:spacing w:before="0" w:beforeAutospacing="0" w:after="0" w:afterAutospacing="0"/>
              <w:rPr>
                <w:b/>
                <w:i/>
              </w:rPr>
            </w:pPr>
            <w:r w:rsidRPr="005126EC">
              <w:rPr>
                <w:b/>
                <w:i/>
              </w:rPr>
              <w:t>0</w:t>
            </w:r>
          </w:p>
        </w:tc>
      </w:tr>
      <w:tr w:rsidR="00EE3FBC" w:rsidRPr="00FA6F1C" w14:paraId="7E1A423B" w14:textId="77777777" w:rsidTr="00E1537C">
        <w:trPr>
          <w:jc w:val="center"/>
        </w:trPr>
        <w:tc>
          <w:tcPr>
            <w:tcW w:w="2266" w:type="dxa"/>
            <w:vMerge/>
          </w:tcPr>
          <w:p w14:paraId="7ACEF5DA" w14:textId="77777777" w:rsidR="00EE3FBC" w:rsidRPr="00FA6F1C" w:rsidRDefault="00EE3FBC" w:rsidP="00EE3FBC">
            <w:pPr>
              <w:spacing w:after="0" w:line="240" w:lineRule="auto"/>
              <w:rPr>
                <w:rFonts w:ascii="Times New Roman" w:hAnsi="Times New Roman" w:cs="Times New Roman"/>
                <w:sz w:val="28"/>
                <w:szCs w:val="28"/>
              </w:rPr>
            </w:pPr>
          </w:p>
        </w:tc>
        <w:tc>
          <w:tcPr>
            <w:tcW w:w="1196" w:type="dxa"/>
            <w:vMerge/>
          </w:tcPr>
          <w:p w14:paraId="70BAA367" w14:textId="77777777" w:rsidR="00EE3FBC" w:rsidRPr="005126EC" w:rsidRDefault="00EE3FBC" w:rsidP="00EE3FBC">
            <w:pPr>
              <w:pStyle w:val="naisf"/>
              <w:spacing w:before="0" w:beforeAutospacing="0" w:after="0" w:afterAutospacing="0"/>
              <w:jc w:val="center"/>
              <w:rPr>
                <w:i/>
              </w:rPr>
            </w:pPr>
          </w:p>
        </w:tc>
        <w:tc>
          <w:tcPr>
            <w:tcW w:w="1524" w:type="dxa"/>
          </w:tcPr>
          <w:p w14:paraId="431BA652" w14:textId="77777777" w:rsidR="00EE3FBC" w:rsidRPr="005126EC" w:rsidRDefault="00EE3FBC" w:rsidP="00EE3FBC">
            <w:pPr>
              <w:pStyle w:val="naisf"/>
              <w:spacing w:before="0" w:beforeAutospacing="0" w:after="0" w:afterAutospacing="0"/>
              <w:rPr>
                <w:b/>
                <w:i/>
              </w:rPr>
            </w:pPr>
            <w:r w:rsidRPr="005126EC">
              <w:rPr>
                <w:b/>
                <w:i/>
              </w:rPr>
              <w:t>0</w:t>
            </w:r>
          </w:p>
        </w:tc>
        <w:tc>
          <w:tcPr>
            <w:tcW w:w="1391" w:type="dxa"/>
          </w:tcPr>
          <w:p w14:paraId="16C87407" w14:textId="77777777" w:rsidR="00EE3FBC" w:rsidRPr="005126EC" w:rsidRDefault="00EE3FBC" w:rsidP="00EE3FBC">
            <w:pPr>
              <w:pStyle w:val="naisf"/>
              <w:spacing w:before="0" w:beforeAutospacing="0" w:after="0" w:afterAutospacing="0"/>
              <w:rPr>
                <w:b/>
                <w:i/>
              </w:rPr>
            </w:pPr>
            <w:r w:rsidRPr="005126EC">
              <w:rPr>
                <w:b/>
                <w:i/>
              </w:rPr>
              <w:t>0</w:t>
            </w:r>
          </w:p>
        </w:tc>
        <w:tc>
          <w:tcPr>
            <w:tcW w:w="1391" w:type="dxa"/>
          </w:tcPr>
          <w:p w14:paraId="2317FB06" w14:textId="77777777" w:rsidR="00EE3FBC" w:rsidRPr="005126EC" w:rsidRDefault="00EE3FBC" w:rsidP="00EE3FBC">
            <w:pPr>
              <w:pStyle w:val="naisf"/>
              <w:spacing w:before="0" w:beforeAutospacing="0" w:after="0" w:afterAutospacing="0"/>
              <w:rPr>
                <w:b/>
                <w:i/>
              </w:rPr>
            </w:pPr>
            <w:r w:rsidRPr="005126EC">
              <w:rPr>
                <w:b/>
                <w:i/>
              </w:rPr>
              <w:t>0</w:t>
            </w:r>
          </w:p>
        </w:tc>
        <w:tc>
          <w:tcPr>
            <w:tcW w:w="1683" w:type="dxa"/>
          </w:tcPr>
          <w:p w14:paraId="6A05DDC8" w14:textId="77777777" w:rsidR="00EE3FBC" w:rsidRPr="005126EC" w:rsidRDefault="00EE3FBC" w:rsidP="00EE3FBC">
            <w:pPr>
              <w:pStyle w:val="naisf"/>
              <w:spacing w:before="0" w:beforeAutospacing="0" w:after="0" w:afterAutospacing="0"/>
              <w:rPr>
                <w:b/>
                <w:i/>
              </w:rPr>
            </w:pPr>
            <w:r w:rsidRPr="005126EC">
              <w:rPr>
                <w:b/>
                <w:i/>
              </w:rPr>
              <w:t>0</w:t>
            </w:r>
          </w:p>
        </w:tc>
      </w:tr>
      <w:tr w:rsidR="00EE3FBC" w:rsidRPr="00FA6F1C" w14:paraId="246865D0" w14:textId="77777777" w:rsidTr="00E1537C">
        <w:trPr>
          <w:jc w:val="center"/>
        </w:trPr>
        <w:tc>
          <w:tcPr>
            <w:tcW w:w="2266" w:type="dxa"/>
          </w:tcPr>
          <w:p w14:paraId="506BC5F2" w14:textId="77777777" w:rsidR="00EE3FBC" w:rsidRPr="00FA6F1C" w:rsidRDefault="00EE3FBC" w:rsidP="00EE3FBC">
            <w:pPr>
              <w:spacing w:after="0" w:line="240" w:lineRule="auto"/>
              <w:rPr>
                <w:rFonts w:ascii="Times New Roman" w:hAnsi="Times New Roman" w:cs="Times New Roman"/>
                <w:sz w:val="28"/>
                <w:szCs w:val="28"/>
              </w:rPr>
            </w:pPr>
            <w:r w:rsidRPr="00FA6F1C">
              <w:rPr>
                <w:rFonts w:ascii="Times New Roman" w:hAnsi="Times New Roman" w:cs="Times New Roman"/>
                <w:sz w:val="28"/>
                <w:szCs w:val="28"/>
              </w:rPr>
              <w:t>5. Precizēta finansiālā ietekme:</w:t>
            </w:r>
          </w:p>
        </w:tc>
        <w:tc>
          <w:tcPr>
            <w:tcW w:w="1196" w:type="dxa"/>
            <w:vMerge w:val="restart"/>
          </w:tcPr>
          <w:p w14:paraId="5195C023" w14:textId="77777777" w:rsidR="00EE3FBC" w:rsidRPr="005126EC" w:rsidRDefault="00EE3FBC" w:rsidP="00EE3FBC">
            <w:pPr>
              <w:pStyle w:val="naisf"/>
              <w:spacing w:before="0" w:beforeAutospacing="0" w:after="0" w:afterAutospacing="0"/>
              <w:jc w:val="center"/>
              <w:rPr>
                <w:i/>
              </w:rPr>
            </w:pPr>
            <w:r w:rsidRPr="005126EC">
              <w:t>X</w:t>
            </w:r>
          </w:p>
        </w:tc>
        <w:tc>
          <w:tcPr>
            <w:tcW w:w="1524" w:type="dxa"/>
          </w:tcPr>
          <w:p w14:paraId="78F8D5C7" w14:textId="77777777" w:rsidR="00EE3FBC" w:rsidRPr="005126EC" w:rsidRDefault="00EE3FBC" w:rsidP="00EE3FBC">
            <w:pPr>
              <w:pStyle w:val="naisf"/>
              <w:spacing w:before="0" w:beforeAutospacing="0" w:after="0" w:afterAutospacing="0"/>
              <w:rPr>
                <w:b/>
                <w:i/>
              </w:rPr>
            </w:pPr>
            <w:r w:rsidRPr="005126EC">
              <w:rPr>
                <w:b/>
                <w:i/>
              </w:rPr>
              <w:t>0</w:t>
            </w:r>
          </w:p>
        </w:tc>
        <w:tc>
          <w:tcPr>
            <w:tcW w:w="1391" w:type="dxa"/>
          </w:tcPr>
          <w:p w14:paraId="7D2E360A" w14:textId="77777777" w:rsidR="00EE3FBC" w:rsidRPr="005126EC" w:rsidRDefault="00EE3FBC" w:rsidP="00EE3FBC">
            <w:pPr>
              <w:pStyle w:val="naisf"/>
              <w:spacing w:before="0" w:beforeAutospacing="0" w:after="0" w:afterAutospacing="0"/>
              <w:rPr>
                <w:b/>
                <w:i/>
              </w:rPr>
            </w:pPr>
            <w:r w:rsidRPr="005126EC">
              <w:rPr>
                <w:b/>
                <w:i/>
              </w:rPr>
              <w:t>0</w:t>
            </w:r>
          </w:p>
        </w:tc>
        <w:tc>
          <w:tcPr>
            <w:tcW w:w="1391" w:type="dxa"/>
          </w:tcPr>
          <w:p w14:paraId="70DC1C7C" w14:textId="77777777" w:rsidR="00EE3FBC" w:rsidRPr="005126EC" w:rsidRDefault="00EE3FBC" w:rsidP="00EE3FBC">
            <w:pPr>
              <w:pStyle w:val="naisf"/>
              <w:spacing w:before="0" w:beforeAutospacing="0" w:after="0" w:afterAutospacing="0"/>
              <w:rPr>
                <w:b/>
                <w:i/>
              </w:rPr>
            </w:pPr>
            <w:r w:rsidRPr="005126EC">
              <w:rPr>
                <w:b/>
                <w:i/>
              </w:rPr>
              <w:t>0</w:t>
            </w:r>
          </w:p>
        </w:tc>
        <w:tc>
          <w:tcPr>
            <w:tcW w:w="1683" w:type="dxa"/>
          </w:tcPr>
          <w:p w14:paraId="473DAED1" w14:textId="77777777" w:rsidR="00EE3FBC" w:rsidRPr="005126EC" w:rsidRDefault="00EE3FBC" w:rsidP="00EE3FBC">
            <w:pPr>
              <w:pStyle w:val="naisf"/>
              <w:spacing w:before="0" w:beforeAutospacing="0" w:after="0" w:afterAutospacing="0"/>
              <w:rPr>
                <w:b/>
                <w:i/>
              </w:rPr>
            </w:pPr>
            <w:r w:rsidRPr="005126EC">
              <w:rPr>
                <w:b/>
                <w:i/>
              </w:rPr>
              <w:t>0</w:t>
            </w:r>
          </w:p>
        </w:tc>
      </w:tr>
      <w:tr w:rsidR="00EE3FBC" w:rsidRPr="00FA6F1C" w14:paraId="27FA2855" w14:textId="77777777" w:rsidTr="00E1537C">
        <w:trPr>
          <w:jc w:val="center"/>
        </w:trPr>
        <w:tc>
          <w:tcPr>
            <w:tcW w:w="2266" w:type="dxa"/>
          </w:tcPr>
          <w:p w14:paraId="5416A6E4" w14:textId="77777777" w:rsidR="00EE3FBC" w:rsidRPr="00FA6F1C" w:rsidRDefault="00EE3FBC" w:rsidP="00EE3FBC">
            <w:pPr>
              <w:spacing w:after="0" w:line="240" w:lineRule="auto"/>
              <w:rPr>
                <w:rFonts w:ascii="Times New Roman" w:hAnsi="Times New Roman" w:cs="Times New Roman"/>
                <w:sz w:val="28"/>
                <w:szCs w:val="28"/>
              </w:rPr>
            </w:pPr>
            <w:r w:rsidRPr="00FA6F1C">
              <w:rPr>
                <w:rFonts w:ascii="Times New Roman" w:hAnsi="Times New Roman" w:cs="Times New Roman"/>
                <w:sz w:val="28"/>
                <w:szCs w:val="28"/>
              </w:rPr>
              <w:t>5.1. valsts pamatbudžets</w:t>
            </w:r>
          </w:p>
        </w:tc>
        <w:tc>
          <w:tcPr>
            <w:tcW w:w="1196" w:type="dxa"/>
            <w:vMerge/>
            <w:vAlign w:val="center"/>
          </w:tcPr>
          <w:p w14:paraId="040D59DD" w14:textId="77777777" w:rsidR="00EE3FBC" w:rsidRPr="005126EC" w:rsidRDefault="00EE3FBC" w:rsidP="00EE3FBC">
            <w:pPr>
              <w:pStyle w:val="naisf"/>
              <w:spacing w:before="0" w:beforeAutospacing="0" w:after="0" w:afterAutospacing="0"/>
              <w:jc w:val="center"/>
              <w:rPr>
                <w:i/>
              </w:rPr>
            </w:pPr>
          </w:p>
        </w:tc>
        <w:tc>
          <w:tcPr>
            <w:tcW w:w="1524" w:type="dxa"/>
          </w:tcPr>
          <w:p w14:paraId="0F3D2F62" w14:textId="77777777" w:rsidR="00EE3FBC" w:rsidRPr="005126EC" w:rsidRDefault="00EE3FBC" w:rsidP="00EE3FBC">
            <w:pPr>
              <w:pStyle w:val="naisf"/>
              <w:spacing w:before="0" w:beforeAutospacing="0" w:after="0" w:afterAutospacing="0"/>
              <w:rPr>
                <w:b/>
                <w:i/>
              </w:rPr>
            </w:pPr>
            <w:r w:rsidRPr="005126EC">
              <w:rPr>
                <w:b/>
                <w:i/>
              </w:rPr>
              <w:t>0</w:t>
            </w:r>
          </w:p>
        </w:tc>
        <w:tc>
          <w:tcPr>
            <w:tcW w:w="1391" w:type="dxa"/>
          </w:tcPr>
          <w:p w14:paraId="394F69A4" w14:textId="77777777" w:rsidR="00EE3FBC" w:rsidRPr="005126EC" w:rsidRDefault="00EE3FBC" w:rsidP="00EE3FBC">
            <w:pPr>
              <w:pStyle w:val="naisf"/>
              <w:spacing w:before="0" w:beforeAutospacing="0" w:after="0" w:afterAutospacing="0"/>
              <w:rPr>
                <w:b/>
                <w:i/>
              </w:rPr>
            </w:pPr>
            <w:r w:rsidRPr="005126EC">
              <w:rPr>
                <w:b/>
                <w:i/>
              </w:rPr>
              <w:t>0</w:t>
            </w:r>
          </w:p>
        </w:tc>
        <w:tc>
          <w:tcPr>
            <w:tcW w:w="1391" w:type="dxa"/>
          </w:tcPr>
          <w:p w14:paraId="36948468" w14:textId="77777777" w:rsidR="00EE3FBC" w:rsidRPr="005126EC" w:rsidRDefault="00EE3FBC" w:rsidP="00EE3FBC">
            <w:pPr>
              <w:pStyle w:val="naisf"/>
              <w:spacing w:before="0" w:beforeAutospacing="0" w:after="0" w:afterAutospacing="0"/>
              <w:rPr>
                <w:b/>
                <w:i/>
              </w:rPr>
            </w:pPr>
            <w:r w:rsidRPr="005126EC">
              <w:rPr>
                <w:b/>
                <w:i/>
              </w:rPr>
              <w:t>0</w:t>
            </w:r>
          </w:p>
        </w:tc>
        <w:tc>
          <w:tcPr>
            <w:tcW w:w="1683" w:type="dxa"/>
          </w:tcPr>
          <w:p w14:paraId="7AA85CB9" w14:textId="77777777" w:rsidR="00EE3FBC" w:rsidRPr="005126EC" w:rsidRDefault="00EE3FBC" w:rsidP="00EE3FBC">
            <w:pPr>
              <w:pStyle w:val="naisf"/>
              <w:spacing w:before="0" w:beforeAutospacing="0" w:after="0" w:afterAutospacing="0"/>
              <w:rPr>
                <w:b/>
                <w:i/>
              </w:rPr>
            </w:pPr>
            <w:r w:rsidRPr="005126EC">
              <w:rPr>
                <w:b/>
                <w:i/>
              </w:rPr>
              <w:t>0</w:t>
            </w:r>
          </w:p>
        </w:tc>
      </w:tr>
      <w:tr w:rsidR="00EE3FBC" w:rsidRPr="00FA6F1C" w14:paraId="3E0D7E54" w14:textId="77777777" w:rsidTr="00E1537C">
        <w:trPr>
          <w:jc w:val="center"/>
        </w:trPr>
        <w:tc>
          <w:tcPr>
            <w:tcW w:w="2266" w:type="dxa"/>
          </w:tcPr>
          <w:p w14:paraId="42EA19EC" w14:textId="77777777" w:rsidR="00EE3FBC" w:rsidRPr="00FA6F1C" w:rsidRDefault="00EE3FBC" w:rsidP="00EE3FBC">
            <w:pPr>
              <w:spacing w:after="0" w:line="240" w:lineRule="auto"/>
              <w:rPr>
                <w:rFonts w:ascii="Times New Roman" w:hAnsi="Times New Roman" w:cs="Times New Roman"/>
                <w:sz w:val="28"/>
                <w:szCs w:val="28"/>
              </w:rPr>
            </w:pPr>
            <w:r w:rsidRPr="00FA6F1C">
              <w:rPr>
                <w:rFonts w:ascii="Times New Roman" w:hAnsi="Times New Roman" w:cs="Times New Roman"/>
                <w:sz w:val="28"/>
                <w:szCs w:val="28"/>
              </w:rPr>
              <w:t>5.2. speciālais budžets</w:t>
            </w:r>
          </w:p>
        </w:tc>
        <w:tc>
          <w:tcPr>
            <w:tcW w:w="1196" w:type="dxa"/>
            <w:vMerge/>
            <w:vAlign w:val="center"/>
          </w:tcPr>
          <w:p w14:paraId="29F152CB" w14:textId="77777777" w:rsidR="00EE3FBC" w:rsidRPr="005126EC" w:rsidRDefault="00EE3FBC" w:rsidP="00EE3FBC">
            <w:pPr>
              <w:pStyle w:val="naisf"/>
              <w:spacing w:before="0" w:beforeAutospacing="0" w:after="0" w:afterAutospacing="0"/>
              <w:jc w:val="center"/>
              <w:rPr>
                <w:i/>
              </w:rPr>
            </w:pPr>
          </w:p>
        </w:tc>
        <w:tc>
          <w:tcPr>
            <w:tcW w:w="1524" w:type="dxa"/>
          </w:tcPr>
          <w:p w14:paraId="2A020A58" w14:textId="77777777" w:rsidR="00EE3FBC" w:rsidRPr="005126EC" w:rsidRDefault="00EE3FBC" w:rsidP="00EE3FBC">
            <w:pPr>
              <w:pStyle w:val="naisf"/>
              <w:spacing w:before="0" w:beforeAutospacing="0" w:after="0" w:afterAutospacing="0"/>
              <w:rPr>
                <w:b/>
                <w:i/>
              </w:rPr>
            </w:pPr>
            <w:r w:rsidRPr="005126EC">
              <w:rPr>
                <w:b/>
                <w:i/>
              </w:rPr>
              <w:t>0</w:t>
            </w:r>
          </w:p>
        </w:tc>
        <w:tc>
          <w:tcPr>
            <w:tcW w:w="1391" w:type="dxa"/>
          </w:tcPr>
          <w:p w14:paraId="2B538838" w14:textId="77777777" w:rsidR="00EE3FBC" w:rsidRPr="005126EC" w:rsidRDefault="00EE3FBC" w:rsidP="00EE3FBC">
            <w:pPr>
              <w:pStyle w:val="naisf"/>
              <w:spacing w:before="0" w:beforeAutospacing="0" w:after="0" w:afterAutospacing="0"/>
              <w:rPr>
                <w:b/>
                <w:i/>
              </w:rPr>
            </w:pPr>
            <w:r w:rsidRPr="005126EC">
              <w:rPr>
                <w:b/>
                <w:i/>
              </w:rPr>
              <w:t>0</w:t>
            </w:r>
          </w:p>
        </w:tc>
        <w:tc>
          <w:tcPr>
            <w:tcW w:w="1391" w:type="dxa"/>
          </w:tcPr>
          <w:p w14:paraId="3E9D934D" w14:textId="77777777" w:rsidR="00EE3FBC" w:rsidRPr="005126EC" w:rsidRDefault="00EE3FBC" w:rsidP="00EE3FBC">
            <w:pPr>
              <w:pStyle w:val="naisf"/>
              <w:spacing w:before="0" w:beforeAutospacing="0" w:after="0" w:afterAutospacing="0"/>
              <w:rPr>
                <w:b/>
                <w:i/>
              </w:rPr>
            </w:pPr>
            <w:r w:rsidRPr="005126EC">
              <w:rPr>
                <w:b/>
                <w:i/>
              </w:rPr>
              <w:t>0</w:t>
            </w:r>
          </w:p>
        </w:tc>
        <w:tc>
          <w:tcPr>
            <w:tcW w:w="1683" w:type="dxa"/>
          </w:tcPr>
          <w:p w14:paraId="3E28CB56" w14:textId="77777777" w:rsidR="00EE3FBC" w:rsidRPr="005126EC" w:rsidRDefault="00EE3FBC" w:rsidP="00EE3FBC">
            <w:pPr>
              <w:pStyle w:val="naisf"/>
              <w:spacing w:before="0" w:beforeAutospacing="0" w:after="0" w:afterAutospacing="0"/>
              <w:rPr>
                <w:b/>
                <w:i/>
              </w:rPr>
            </w:pPr>
            <w:r w:rsidRPr="005126EC">
              <w:rPr>
                <w:b/>
                <w:i/>
              </w:rPr>
              <w:t>0</w:t>
            </w:r>
          </w:p>
        </w:tc>
      </w:tr>
      <w:tr w:rsidR="00EE3FBC" w:rsidRPr="00FA6F1C" w14:paraId="5444D13B" w14:textId="77777777" w:rsidTr="00E1537C">
        <w:trPr>
          <w:jc w:val="center"/>
        </w:trPr>
        <w:tc>
          <w:tcPr>
            <w:tcW w:w="2266" w:type="dxa"/>
          </w:tcPr>
          <w:p w14:paraId="26B43F6C" w14:textId="77777777" w:rsidR="00EE3FBC" w:rsidRPr="00FA6F1C" w:rsidRDefault="00EE3FBC" w:rsidP="00EE3FBC">
            <w:pPr>
              <w:spacing w:after="0" w:line="240" w:lineRule="auto"/>
              <w:rPr>
                <w:rFonts w:ascii="Times New Roman" w:hAnsi="Times New Roman" w:cs="Times New Roman"/>
                <w:sz w:val="28"/>
                <w:szCs w:val="28"/>
              </w:rPr>
            </w:pPr>
            <w:r w:rsidRPr="00FA6F1C">
              <w:rPr>
                <w:rFonts w:ascii="Times New Roman" w:hAnsi="Times New Roman" w:cs="Times New Roman"/>
                <w:sz w:val="28"/>
                <w:szCs w:val="28"/>
              </w:rPr>
              <w:t xml:space="preserve">5.3. pašvaldību budžets </w:t>
            </w:r>
          </w:p>
        </w:tc>
        <w:tc>
          <w:tcPr>
            <w:tcW w:w="1196" w:type="dxa"/>
            <w:vMerge/>
            <w:vAlign w:val="center"/>
          </w:tcPr>
          <w:p w14:paraId="6BF1E314" w14:textId="77777777" w:rsidR="00EE3FBC" w:rsidRPr="005126EC" w:rsidRDefault="00EE3FBC" w:rsidP="00EE3FBC">
            <w:pPr>
              <w:pStyle w:val="naisf"/>
              <w:spacing w:before="0" w:beforeAutospacing="0" w:after="0" w:afterAutospacing="0"/>
              <w:jc w:val="center"/>
              <w:rPr>
                <w:i/>
              </w:rPr>
            </w:pPr>
          </w:p>
        </w:tc>
        <w:tc>
          <w:tcPr>
            <w:tcW w:w="1524" w:type="dxa"/>
          </w:tcPr>
          <w:p w14:paraId="39A17618" w14:textId="77777777" w:rsidR="00EE3FBC" w:rsidRPr="005126EC" w:rsidRDefault="00EE3FBC" w:rsidP="00EE3FBC">
            <w:pPr>
              <w:pStyle w:val="naisf"/>
              <w:spacing w:before="0" w:beforeAutospacing="0" w:after="0" w:afterAutospacing="0"/>
              <w:rPr>
                <w:b/>
                <w:i/>
              </w:rPr>
            </w:pPr>
            <w:r w:rsidRPr="005126EC">
              <w:rPr>
                <w:b/>
                <w:i/>
              </w:rPr>
              <w:t>0</w:t>
            </w:r>
          </w:p>
        </w:tc>
        <w:tc>
          <w:tcPr>
            <w:tcW w:w="1391" w:type="dxa"/>
          </w:tcPr>
          <w:p w14:paraId="023C4C11" w14:textId="77777777" w:rsidR="00EE3FBC" w:rsidRPr="005126EC" w:rsidRDefault="00EE3FBC" w:rsidP="00EE3FBC">
            <w:pPr>
              <w:pStyle w:val="naisf"/>
              <w:spacing w:before="0" w:beforeAutospacing="0" w:after="0" w:afterAutospacing="0"/>
              <w:rPr>
                <w:b/>
                <w:i/>
              </w:rPr>
            </w:pPr>
            <w:r w:rsidRPr="005126EC">
              <w:rPr>
                <w:b/>
                <w:i/>
              </w:rPr>
              <w:t>0</w:t>
            </w:r>
          </w:p>
        </w:tc>
        <w:tc>
          <w:tcPr>
            <w:tcW w:w="1391" w:type="dxa"/>
          </w:tcPr>
          <w:p w14:paraId="5E3ED761" w14:textId="77777777" w:rsidR="00EE3FBC" w:rsidRPr="005126EC" w:rsidRDefault="00EE3FBC" w:rsidP="00EE3FBC">
            <w:pPr>
              <w:pStyle w:val="naisf"/>
              <w:spacing w:before="0" w:beforeAutospacing="0" w:after="0" w:afterAutospacing="0"/>
              <w:rPr>
                <w:b/>
                <w:i/>
              </w:rPr>
            </w:pPr>
            <w:r w:rsidRPr="005126EC">
              <w:rPr>
                <w:b/>
                <w:i/>
              </w:rPr>
              <w:t>0</w:t>
            </w:r>
          </w:p>
        </w:tc>
        <w:tc>
          <w:tcPr>
            <w:tcW w:w="1683" w:type="dxa"/>
          </w:tcPr>
          <w:p w14:paraId="2BD98EB7" w14:textId="77777777" w:rsidR="00EE3FBC" w:rsidRPr="005126EC" w:rsidRDefault="00EE3FBC" w:rsidP="00EE3FBC">
            <w:pPr>
              <w:pStyle w:val="naisf"/>
              <w:spacing w:before="0" w:beforeAutospacing="0" w:after="0" w:afterAutospacing="0"/>
              <w:rPr>
                <w:b/>
                <w:i/>
              </w:rPr>
            </w:pPr>
            <w:r w:rsidRPr="005126EC">
              <w:rPr>
                <w:b/>
                <w:i/>
              </w:rPr>
              <w:t>0</w:t>
            </w:r>
          </w:p>
        </w:tc>
      </w:tr>
      <w:tr w:rsidR="00EE3FBC" w:rsidRPr="00FA6F1C" w14:paraId="4F1D3B44" w14:textId="77777777" w:rsidTr="00E1537C">
        <w:trPr>
          <w:jc w:val="center"/>
        </w:trPr>
        <w:tc>
          <w:tcPr>
            <w:tcW w:w="2266" w:type="dxa"/>
          </w:tcPr>
          <w:p w14:paraId="6F1B9A99" w14:textId="77777777" w:rsidR="00EE3FBC" w:rsidRPr="00FA6F1C" w:rsidRDefault="00EE3FBC" w:rsidP="00EE3FBC">
            <w:pPr>
              <w:spacing w:after="0" w:line="240" w:lineRule="auto"/>
              <w:rPr>
                <w:rFonts w:ascii="Times New Roman" w:hAnsi="Times New Roman" w:cs="Times New Roman"/>
                <w:sz w:val="28"/>
                <w:szCs w:val="28"/>
              </w:rPr>
            </w:pPr>
            <w:r w:rsidRPr="00FA6F1C">
              <w:rPr>
                <w:rFonts w:ascii="Times New Roman" w:hAnsi="Times New Roman" w:cs="Times New Roman"/>
                <w:sz w:val="28"/>
                <w:szCs w:val="28"/>
              </w:rPr>
              <w:t>6. Detalizēts ieņēmumu un izdevumu aprēķins (ja nepie</w:t>
            </w:r>
            <w:r w:rsidRPr="00FA6F1C">
              <w:rPr>
                <w:rFonts w:ascii="Times New Roman" w:hAnsi="Times New Roman" w:cs="Times New Roman"/>
                <w:sz w:val="28"/>
                <w:szCs w:val="28"/>
              </w:rPr>
              <w:softHyphen/>
              <w:t>ciešams, detalizētu ieņēmumu un izdevumu aprēķinu var pie</w:t>
            </w:r>
            <w:r w:rsidRPr="00FA6F1C">
              <w:rPr>
                <w:rFonts w:ascii="Times New Roman" w:hAnsi="Times New Roman" w:cs="Times New Roman"/>
                <w:sz w:val="28"/>
                <w:szCs w:val="28"/>
              </w:rPr>
              <w:softHyphen/>
              <w:t>vienot anotācijas pielikumā):</w:t>
            </w:r>
          </w:p>
        </w:tc>
        <w:tc>
          <w:tcPr>
            <w:tcW w:w="7185" w:type="dxa"/>
            <w:gridSpan w:val="5"/>
            <w:vAlign w:val="center"/>
          </w:tcPr>
          <w:p w14:paraId="1106DB71" w14:textId="77777777" w:rsidR="00EE3FBC" w:rsidRPr="005126EC" w:rsidRDefault="00EE3FBC" w:rsidP="00EE3FBC">
            <w:pPr>
              <w:pStyle w:val="naisf"/>
              <w:spacing w:before="0" w:beforeAutospacing="0" w:after="0" w:afterAutospacing="0"/>
            </w:pPr>
            <w:r w:rsidRPr="005126EC">
              <w:t>Skatīt 6.1. un 6.2.</w:t>
            </w:r>
            <w:r>
              <w:t xml:space="preserve"> </w:t>
            </w:r>
            <w:r w:rsidRPr="005126EC">
              <w:t xml:space="preserve"> apakšpunktus.</w:t>
            </w:r>
          </w:p>
        </w:tc>
      </w:tr>
      <w:tr w:rsidR="00EE3FBC" w:rsidRPr="00FA6F1C" w14:paraId="70246CE1" w14:textId="77777777" w:rsidTr="00E1537C">
        <w:trPr>
          <w:jc w:val="center"/>
        </w:trPr>
        <w:tc>
          <w:tcPr>
            <w:tcW w:w="2266" w:type="dxa"/>
          </w:tcPr>
          <w:p w14:paraId="2F7788E7" w14:textId="77777777" w:rsidR="00EE3FBC" w:rsidRPr="00FA6F1C" w:rsidRDefault="00EE3FBC" w:rsidP="00EE3FBC">
            <w:pPr>
              <w:spacing w:after="0" w:line="240" w:lineRule="auto"/>
              <w:rPr>
                <w:rFonts w:ascii="Times New Roman" w:hAnsi="Times New Roman" w:cs="Times New Roman"/>
                <w:sz w:val="28"/>
                <w:szCs w:val="28"/>
              </w:rPr>
            </w:pPr>
            <w:r w:rsidRPr="00FA6F1C">
              <w:rPr>
                <w:rFonts w:ascii="Times New Roman" w:hAnsi="Times New Roman" w:cs="Times New Roman"/>
                <w:sz w:val="28"/>
                <w:szCs w:val="28"/>
              </w:rPr>
              <w:t>6.1. detalizēts ieņēmumu aprēķins</w:t>
            </w:r>
          </w:p>
        </w:tc>
        <w:tc>
          <w:tcPr>
            <w:tcW w:w="7185" w:type="dxa"/>
            <w:gridSpan w:val="5"/>
          </w:tcPr>
          <w:p w14:paraId="17CBE0A9" w14:textId="77777777" w:rsidR="00EE3FBC" w:rsidRPr="00FA6F1C" w:rsidRDefault="00EE3FBC" w:rsidP="00D62BB4">
            <w:pPr>
              <w:pStyle w:val="naisf"/>
              <w:spacing w:before="0" w:beforeAutospacing="0" w:after="0" w:afterAutospacing="0"/>
              <w:jc w:val="both"/>
              <w:rPr>
                <w:sz w:val="28"/>
                <w:szCs w:val="28"/>
              </w:rPr>
            </w:pPr>
            <w:r w:rsidRPr="00FA6F1C">
              <w:rPr>
                <w:sz w:val="28"/>
                <w:szCs w:val="28"/>
              </w:rPr>
              <w:t>Ieņēmumos 2015.gadam tiek plānoti 4</w:t>
            </w:r>
            <w:r>
              <w:rPr>
                <w:sz w:val="28"/>
                <w:szCs w:val="28"/>
              </w:rPr>
              <w:t> </w:t>
            </w:r>
            <w:r w:rsidRPr="00FA6F1C">
              <w:rPr>
                <w:sz w:val="28"/>
                <w:szCs w:val="28"/>
              </w:rPr>
              <w:t>6</w:t>
            </w:r>
            <w:r>
              <w:rPr>
                <w:sz w:val="28"/>
                <w:szCs w:val="28"/>
              </w:rPr>
              <w:t>26 865</w:t>
            </w:r>
            <w:r w:rsidRPr="00FA6F1C">
              <w:rPr>
                <w:sz w:val="28"/>
                <w:szCs w:val="28"/>
              </w:rPr>
              <w:t xml:space="preserve"> euro, 2016.gadā 5 628 647 euro un 2017.gadā 5 741 220 euro. </w:t>
            </w:r>
          </w:p>
          <w:p w14:paraId="0376659A" w14:textId="24CE284D" w:rsidR="00EE3FBC" w:rsidRPr="00FA6F1C" w:rsidRDefault="00EE3FBC" w:rsidP="00D62BB4">
            <w:pPr>
              <w:pStyle w:val="naisf"/>
              <w:spacing w:before="0" w:beforeAutospacing="0" w:after="0" w:afterAutospacing="0"/>
              <w:jc w:val="both"/>
              <w:rPr>
                <w:sz w:val="28"/>
                <w:szCs w:val="28"/>
              </w:rPr>
            </w:pPr>
            <w:r w:rsidRPr="00FA6F1C">
              <w:rPr>
                <w:sz w:val="28"/>
                <w:szCs w:val="28"/>
              </w:rPr>
              <w:t xml:space="preserve">Tiek paredzēti avansa maksājumi no Eiropas Komisijas 2015.gadā - 11% jeb </w:t>
            </w:r>
            <w:r w:rsidRPr="00FA6F1C">
              <w:rPr>
                <w:bCs/>
                <w:color w:val="000000"/>
                <w:sz w:val="28"/>
                <w:szCs w:val="28"/>
              </w:rPr>
              <w:t>4 512 692</w:t>
            </w:r>
            <w:r w:rsidRPr="00FA6F1C">
              <w:rPr>
                <w:sz w:val="28"/>
                <w:szCs w:val="28"/>
              </w:rPr>
              <w:t xml:space="preserve"> no Fonda kopējā finansējuma apjoma</w:t>
            </w:r>
            <w:r>
              <w:rPr>
                <w:sz w:val="28"/>
                <w:szCs w:val="28"/>
              </w:rPr>
              <w:t xml:space="preserve"> un 114 173 euro ieņēmumi no </w:t>
            </w:r>
            <w:r w:rsidRPr="00DF3309">
              <w:rPr>
                <w:sz w:val="28"/>
                <w:szCs w:val="28"/>
              </w:rPr>
              <w:t xml:space="preserve">prognozētajām atmaksām </w:t>
            </w:r>
            <w:r>
              <w:rPr>
                <w:sz w:val="28"/>
                <w:szCs w:val="28"/>
              </w:rPr>
              <w:t xml:space="preserve">par 2014.gadā veiktajiem izdevumiem no Eiropas </w:t>
            </w:r>
            <w:r>
              <w:rPr>
                <w:sz w:val="28"/>
                <w:szCs w:val="28"/>
              </w:rPr>
              <w:lastRenderedPageBreak/>
              <w:t xml:space="preserve">Komisijas, </w:t>
            </w:r>
            <w:r w:rsidRPr="00DF3309">
              <w:rPr>
                <w:sz w:val="28"/>
                <w:szCs w:val="28"/>
              </w:rPr>
              <w:t>2015.gadā prognozējot atmaksas 85% no Fonda darbības uzsākšanai paredzētajiem izdevumiem 2014.gadā (</w:t>
            </w:r>
            <w:r>
              <w:rPr>
                <w:sz w:val="28"/>
                <w:szCs w:val="28"/>
              </w:rPr>
              <w:t>134 322 *85%=</w:t>
            </w:r>
            <w:r w:rsidRPr="00DF3309">
              <w:rPr>
                <w:sz w:val="28"/>
                <w:szCs w:val="28"/>
              </w:rPr>
              <w:t>114</w:t>
            </w:r>
            <w:r>
              <w:rPr>
                <w:sz w:val="28"/>
                <w:szCs w:val="28"/>
              </w:rPr>
              <w:t> </w:t>
            </w:r>
            <w:r w:rsidRPr="00DF3309">
              <w:rPr>
                <w:sz w:val="28"/>
                <w:szCs w:val="28"/>
              </w:rPr>
              <w:t>173</w:t>
            </w:r>
            <w:r>
              <w:rPr>
                <w:sz w:val="28"/>
                <w:szCs w:val="28"/>
              </w:rPr>
              <w:t>,70 euro).</w:t>
            </w:r>
            <w:r w:rsidRPr="00DF3309">
              <w:rPr>
                <w:sz w:val="28"/>
                <w:szCs w:val="28"/>
              </w:rPr>
              <w:t xml:space="preserve"> </w:t>
            </w:r>
          </w:p>
        </w:tc>
      </w:tr>
      <w:tr w:rsidR="00EE3FBC" w:rsidRPr="00FA6F1C" w14:paraId="3367C6CA" w14:textId="77777777" w:rsidTr="009E1D35">
        <w:trPr>
          <w:trHeight w:val="728"/>
          <w:jc w:val="center"/>
        </w:trPr>
        <w:tc>
          <w:tcPr>
            <w:tcW w:w="2266" w:type="dxa"/>
          </w:tcPr>
          <w:p w14:paraId="4071ECD3" w14:textId="77777777" w:rsidR="00EE3FBC" w:rsidRPr="00FA6F1C" w:rsidRDefault="00EE3FBC" w:rsidP="00EE3FBC">
            <w:pPr>
              <w:spacing w:after="0" w:line="240" w:lineRule="auto"/>
              <w:rPr>
                <w:rFonts w:ascii="Times New Roman" w:hAnsi="Times New Roman" w:cs="Times New Roman"/>
                <w:sz w:val="28"/>
                <w:szCs w:val="28"/>
              </w:rPr>
            </w:pPr>
            <w:r w:rsidRPr="00FA6F1C">
              <w:rPr>
                <w:rFonts w:ascii="Times New Roman" w:hAnsi="Times New Roman" w:cs="Times New Roman"/>
                <w:sz w:val="28"/>
                <w:szCs w:val="28"/>
              </w:rPr>
              <w:lastRenderedPageBreak/>
              <w:t>6.2. detalizēts izdevumu aprēķins</w:t>
            </w:r>
          </w:p>
        </w:tc>
        <w:tc>
          <w:tcPr>
            <w:tcW w:w="7185" w:type="dxa"/>
            <w:gridSpan w:val="5"/>
          </w:tcPr>
          <w:p w14:paraId="6D972282" w14:textId="48A6A159" w:rsidR="00EE3FBC" w:rsidRPr="00F675DE" w:rsidRDefault="00EE3FBC" w:rsidP="00D62BB4">
            <w:pPr>
              <w:spacing w:line="240" w:lineRule="auto"/>
              <w:jc w:val="both"/>
              <w:rPr>
                <w:rFonts w:ascii="Times New Roman" w:hAnsi="Times New Roman" w:cs="Times New Roman"/>
                <w:sz w:val="28"/>
                <w:szCs w:val="28"/>
              </w:rPr>
            </w:pPr>
            <w:r>
              <w:t xml:space="preserve"> </w:t>
            </w:r>
            <w:r w:rsidRPr="00F675DE">
              <w:rPr>
                <w:rFonts w:ascii="Times New Roman" w:hAnsi="Times New Roman" w:cs="Times New Roman"/>
                <w:sz w:val="28"/>
                <w:szCs w:val="28"/>
              </w:rPr>
              <w:t>Regulā Nr.223/2014 paredzēt</w:t>
            </w:r>
            <w:r w:rsidR="00142897" w:rsidRPr="00F675DE">
              <w:rPr>
                <w:rFonts w:ascii="Times New Roman" w:hAnsi="Times New Roman" w:cs="Times New Roman"/>
                <w:sz w:val="28"/>
                <w:szCs w:val="28"/>
              </w:rPr>
              <w:t>s</w:t>
            </w:r>
            <w:r w:rsidRPr="00F675DE">
              <w:rPr>
                <w:rFonts w:ascii="Times New Roman" w:hAnsi="Times New Roman" w:cs="Times New Roman"/>
                <w:sz w:val="28"/>
                <w:szCs w:val="28"/>
              </w:rPr>
              <w:t xml:space="preserve"> un Latvijai iezīmēt</w:t>
            </w:r>
            <w:r w:rsidR="00142897" w:rsidRPr="00F675DE">
              <w:rPr>
                <w:rFonts w:ascii="Times New Roman" w:hAnsi="Times New Roman" w:cs="Times New Roman"/>
                <w:sz w:val="28"/>
                <w:szCs w:val="28"/>
              </w:rPr>
              <w:t>s</w:t>
            </w:r>
            <w:r w:rsidRPr="00F675DE">
              <w:rPr>
                <w:rFonts w:ascii="Times New Roman" w:hAnsi="Times New Roman" w:cs="Times New Roman"/>
                <w:sz w:val="28"/>
                <w:szCs w:val="28"/>
              </w:rPr>
              <w:t xml:space="preserve"> finansējum</w:t>
            </w:r>
            <w:r w:rsidR="00142897" w:rsidRPr="00F675DE">
              <w:rPr>
                <w:rFonts w:ascii="Times New Roman" w:hAnsi="Times New Roman" w:cs="Times New Roman"/>
                <w:sz w:val="28"/>
                <w:szCs w:val="28"/>
              </w:rPr>
              <w:t>s</w:t>
            </w:r>
            <w:r w:rsidRPr="00F675DE">
              <w:rPr>
                <w:rFonts w:ascii="Times New Roman" w:hAnsi="Times New Roman" w:cs="Times New Roman"/>
                <w:sz w:val="28"/>
                <w:szCs w:val="28"/>
              </w:rPr>
              <w:t xml:space="preserve"> 36 400 000 euro (2011.gada cenās), ko piešķir vienādos (1/7) ikgadējos maksājumos 2014.-2020.gada periodā, summu indeksējot par 2% gadā. Tādējādi kopējais plānotais Eiropas Atbalsta fonda piešķīrums Latvijai ir 41 024 469 euro faktiskajās cenās</w:t>
            </w:r>
            <w:r w:rsidR="00D87EB8" w:rsidRPr="00F675DE">
              <w:rPr>
                <w:rFonts w:ascii="Times New Roman" w:hAnsi="Times New Roman" w:cs="Times New Roman"/>
                <w:sz w:val="28"/>
                <w:szCs w:val="28"/>
              </w:rPr>
              <w:t>.</w:t>
            </w:r>
          </w:p>
          <w:p w14:paraId="3B88AA66" w14:textId="37A030CA" w:rsidR="00D87EB8" w:rsidRPr="00F675DE" w:rsidRDefault="00D87EB8" w:rsidP="00D62BB4">
            <w:pPr>
              <w:spacing w:line="240" w:lineRule="auto"/>
              <w:jc w:val="both"/>
              <w:rPr>
                <w:rFonts w:ascii="Times New Roman" w:hAnsi="Times New Roman" w:cs="Times New Roman"/>
                <w:sz w:val="28"/>
                <w:szCs w:val="28"/>
              </w:rPr>
            </w:pPr>
            <w:r w:rsidRPr="00F675DE">
              <w:rPr>
                <w:rFonts w:ascii="Times New Roman" w:hAnsi="Times New Roman" w:cs="Times New Roman"/>
                <w:sz w:val="28"/>
                <w:szCs w:val="28"/>
              </w:rPr>
              <w:t>Fonda piešķīrums Latvijai plānots 2015.gadā 5 628 647 euro, 2016.gadā 5 741 220 euro, 2017.gadā 5 856 045 euro.</w:t>
            </w:r>
          </w:p>
          <w:p w14:paraId="5A13B67B" w14:textId="0BBA9660" w:rsidR="00EE3FBC" w:rsidRPr="00F675DE" w:rsidRDefault="009843DF" w:rsidP="00D62BB4">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Bez </w:t>
            </w:r>
            <w:r w:rsidR="00142897" w:rsidRPr="00F675DE">
              <w:rPr>
                <w:rFonts w:ascii="Times New Roman" w:hAnsi="Times New Roman" w:cs="Times New Roman"/>
                <w:sz w:val="28"/>
                <w:szCs w:val="28"/>
              </w:rPr>
              <w:t>tam</w:t>
            </w:r>
            <w:proofErr w:type="gramEnd"/>
            <w:r w:rsidR="00EE3FBC" w:rsidRPr="00F675DE">
              <w:rPr>
                <w:rFonts w:ascii="Times New Roman" w:hAnsi="Times New Roman" w:cs="Times New Roman"/>
                <w:sz w:val="28"/>
                <w:szCs w:val="28"/>
              </w:rPr>
              <w:t xml:space="preserve">, tiek </w:t>
            </w:r>
            <w:r w:rsidR="00E2597F" w:rsidRPr="00F675DE">
              <w:rPr>
                <w:rFonts w:ascii="Times New Roman" w:hAnsi="Times New Roman" w:cs="Times New Roman"/>
                <w:sz w:val="28"/>
                <w:szCs w:val="28"/>
              </w:rPr>
              <w:t>paredzēts</w:t>
            </w:r>
            <w:r w:rsidR="00EE3FBC" w:rsidRPr="00F675DE">
              <w:rPr>
                <w:rFonts w:ascii="Times New Roman" w:hAnsi="Times New Roman" w:cs="Times New Roman"/>
                <w:sz w:val="28"/>
                <w:szCs w:val="28"/>
              </w:rPr>
              <w:t xml:space="preserve"> nacionāl</w:t>
            </w:r>
            <w:r w:rsidR="00E2597F" w:rsidRPr="00F675DE">
              <w:rPr>
                <w:rFonts w:ascii="Times New Roman" w:hAnsi="Times New Roman" w:cs="Times New Roman"/>
                <w:sz w:val="28"/>
                <w:szCs w:val="28"/>
              </w:rPr>
              <w:t>ais</w:t>
            </w:r>
            <w:r w:rsidR="00EE3FBC" w:rsidRPr="00F675DE">
              <w:rPr>
                <w:rFonts w:ascii="Times New Roman" w:hAnsi="Times New Roman" w:cs="Times New Roman"/>
                <w:sz w:val="28"/>
                <w:szCs w:val="28"/>
              </w:rPr>
              <w:t xml:space="preserve"> līdzfinansējum</w:t>
            </w:r>
            <w:r w:rsidR="00E2597F" w:rsidRPr="00F675DE">
              <w:rPr>
                <w:rFonts w:ascii="Times New Roman" w:hAnsi="Times New Roman" w:cs="Times New Roman"/>
                <w:sz w:val="28"/>
                <w:szCs w:val="28"/>
              </w:rPr>
              <w:t>s</w:t>
            </w:r>
            <w:r w:rsidR="00EE3FBC" w:rsidRPr="00F675DE">
              <w:rPr>
                <w:rFonts w:ascii="Times New Roman" w:hAnsi="Times New Roman" w:cs="Times New Roman"/>
                <w:sz w:val="28"/>
                <w:szCs w:val="28"/>
              </w:rPr>
              <w:t xml:space="preserve"> 15% apmērā, līdz ar to budžetā nacionālā līdzfinansējuma nodrošināšanai būs nepieciešami izdevumi, attiecīgi 2015.gadā 993 291 euro, 2016.gadā 1 013 15</w:t>
            </w:r>
            <w:r w:rsidR="00D87EB8" w:rsidRPr="00F675DE">
              <w:rPr>
                <w:rFonts w:ascii="Times New Roman" w:hAnsi="Times New Roman" w:cs="Times New Roman"/>
                <w:sz w:val="28"/>
                <w:szCs w:val="28"/>
              </w:rPr>
              <w:t>7</w:t>
            </w:r>
            <w:r w:rsidR="00EE3FBC" w:rsidRPr="00F675DE">
              <w:rPr>
                <w:rFonts w:ascii="Times New Roman" w:hAnsi="Times New Roman" w:cs="Times New Roman"/>
                <w:sz w:val="28"/>
                <w:szCs w:val="28"/>
              </w:rPr>
              <w:t xml:space="preserve"> euro un 2017.gadā 1 033 420 euro apmērā. </w:t>
            </w:r>
          </w:p>
          <w:p w14:paraId="4972A9F0" w14:textId="224B2B59" w:rsidR="00D87EB8" w:rsidRPr="00F675DE" w:rsidRDefault="00D87EB8" w:rsidP="00D62BB4">
            <w:pPr>
              <w:spacing w:line="240" w:lineRule="auto"/>
              <w:jc w:val="both"/>
              <w:rPr>
                <w:rFonts w:ascii="Times New Roman" w:hAnsi="Times New Roman" w:cs="Times New Roman"/>
                <w:sz w:val="28"/>
                <w:szCs w:val="28"/>
              </w:rPr>
            </w:pPr>
            <w:r w:rsidRPr="00F675DE">
              <w:rPr>
                <w:rFonts w:ascii="Times New Roman" w:hAnsi="Times New Roman" w:cs="Times New Roman"/>
                <w:sz w:val="28"/>
                <w:szCs w:val="28"/>
              </w:rPr>
              <w:t>Plānotie izdevumi 2015.gadā 6 630 592 euro, 2016.gadā 6 763 031 euro un 2017.gadā 6 898 119 euro.</w:t>
            </w:r>
          </w:p>
          <w:p w14:paraId="2F784124" w14:textId="7F7E9BC1" w:rsidR="00EE3FBC" w:rsidRPr="00FA6F1C" w:rsidRDefault="00EE3FBC" w:rsidP="00D62BB4">
            <w:pPr>
              <w:spacing w:line="240" w:lineRule="auto"/>
              <w:jc w:val="both"/>
            </w:pPr>
            <w:r w:rsidRPr="00F675DE">
              <w:rPr>
                <w:rFonts w:ascii="Times New Roman" w:hAnsi="Times New Roman" w:cs="Times New Roman"/>
                <w:sz w:val="28"/>
                <w:szCs w:val="28"/>
              </w:rPr>
              <w:t xml:space="preserve">Atbilstoši Fonda vadošajā iestādē saņemtajiem EK komentāriem par Fonda darbības programmu, pārtikas un pamata materiālās palīdzības iepirkuma administrēšanas izdevumi nav attiecināmi no Fonda finansējuma. Ņemot vērā, ka ikgadēji ir nepieciešams viens pārtikas un viens pamata materiālo preču iepirkums, kuru saturs un atbilstošie kvalitātes kritēriji var mainīties atbilstoši ikgadējai analīzei un informācijas izvērtējumam par situāciju valstī, lai nodrošinātu iepirkumu īstenošanu, ikgadēji divu lielo iepirkumu administrēšanai Sociālās integrācijas fondam nepieciešams paredzēt papildus 0.5 amatu vietas un valsts budžeta līdzekļus vecākā eksperta 0.5 slodzei (44;2A saime, 10 mēnešalgas grupa). Līdz ar to 2015. un turpmākajos gados ik gadu papildus nepieciešamie izdevumi atlīdzībai 8 654 euro (t.sk. atalgojums 7 002 euro) (aprēķins: 1 167euro x 0,5slodzes x 12 mēneši = 7 002euro + 1 651.77euro (VSAOI 23.59%) = 8 653.77 euro). Vecākais eksperts ne tikai </w:t>
            </w:r>
            <w:r w:rsidR="00F87041" w:rsidRPr="00F675DE">
              <w:rPr>
                <w:rFonts w:ascii="Times New Roman" w:hAnsi="Times New Roman" w:cs="Times New Roman"/>
                <w:sz w:val="28"/>
                <w:szCs w:val="28"/>
              </w:rPr>
              <w:t>izstrādās</w:t>
            </w:r>
            <w:r w:rsidRPr="00F675DE">
              <w:rPr>
                <w:rFonts w:ascii="Times New Roman" w:hAnsi="Times New Roman" w:cs="Times New Roman"/>
                <w:sz w:val="28"/>
                <w:szCs w:val="28"/>
              </w:rPr>
              <w:t xml:space="preserve"> </w:t>
            </w:r>
            <w:r w:rsidR="00F87041" w:rsidRPr="00F675DE">
              <w:rPr>
                <w:rFonts w:ascii="Times New Roman" w:hAnsi="Times New Roman" w:cs="Times New Roman"/>
                <w:sz w:val="28"/>
                <w:szCs w:val="28"/>
              </w:rPr>
              <w:t>iepirkuma procedūras dokumentāciju</w:t>
            </w:r>
            <w:r w:rsidRPr="00F675DE">
              <w:rPr>
                <w:rFonts w:ascii="Times New Roman" w:hAnsi="Times New Roman" w:cs="Times New Roman"/>
                <w:sz w:val="28"/>
                <w:szCs w:val="28"/>
              </w:rPr>
              <w:t xml:space="preserve"> un organizēs iepirkumus, </w:t>
            </w:r>
            <w:r w:rsidR="00E1537C" w:rsidRPr="00F675DE">
              <w:rPr>
                <w:rFonts w:ascii="Times New Roman" w:hAnsi="Times New Roman" w:cs="Times New Roman"/>
                <w:sz w:val="28"/>
                <w:szCs w:val="28"/>
              </w:rPr>
              <w:t>bet</w:t>
            </w:r>
            <w:r w:rsidRPr="00F675DE">
              <w:rPr>
                <w:rFonts w:ascii="Times New Roman" w:hAnsi="Times New Roman" w:cs="Times New Roman"/>
                <w:sz w:val="28"/>
                <w:szCs w:val="28"/>
              </w:rPr>
              <w:t xml:space="preserve"> arī</w:t>
            </w:r>
            <w:r w:rsidRPr="00F675DE">
              <w:rPr>
                <w:rFonts w:ascii="Times New Roman" w:hAnsi="Times New Roman" w:cs="Times New Roman"/>
                <w:color w:val="FF0000"/>
                <w:sz w:val="28"/>
                <w:szCs w:val="28"/>
              </w:rPr>
              <w:t xml:space="preserve"> </w:t>
            </w:r>
            <w:r w:rsidR="00E1537C" w:rsidRPr="00F675DE">
              <w:rPr>
                <w:rFonts w:ascii="Times New Roman" w:hAnsi="Times New Roman" w:cs="Times New Roman"/>
                <w:sz w:val="28"/>
                <w:szCs w:val="28"/>
              </w:rPr>
              <w:t>veiks līgumu izpildes kontroli</w:t>
            </w:r>
            <w:r w:rsidR="00B63679" w:rsidRPr="00F675DE">
              <w:rPr>
                <w:rFonts w:ascii="Times New Roman" w:hAnsi="Times New Roman" w:cs="Times New Roman"/>
                <w:sz w:val="28"/>
                <w:szCs w:val="28"/>
              </w:rPr>
              <w:t xml:space="preserve"> un uzraudzīb</w:t>
            </w:r>
            <w:r w:rsidR="00E1537C" w:rsidRPr="00F675DE">
              <w:rPr>
                <w:rFonts w:ascii="Times New Roman" w:hAnsi="Times New Roman" w:cs="Times New Roman"/>
                <w:sz w:val="28"/>
                <w:szCs w:val="28"/>
              </w:rPr>
              <w:t>u</w:t>
            </w:r>
            <w:r w:rsidR="00B63679" w:rsidRPr="00F675DE">
              <w:rPr>
                <w:rFonts w:ascii="Times New Roman" w:hAnsi="Times New Roman" w:cs="Times New Roman"/>
                <w:sz w:val="28"/>
                <w:szCs w:val="28"/>
              </w:rPr>
              <w:t xml:space="preserve"> visā līgum</w:t>
            </w:r>
            <w:r w:rsidR="00E1537C" w:rsidRPr="00F675DE">
              <w:rPr>
                <w:rFonts w:ascii="Times New Roman" w:hAnsi="Times New Roman" w:cs="Times New Roman"/>
                <w:sz w:val="28"/>
                <w:szCs w:val="28"/>
              </w:rPr>
              <w:t xml:space="preserve">u </w:t>
            </w:r>
            <w:r w:rsidR="00B63679" w:rsidRPr="00F675DE">
              <w:rPr>
                <w:rFonts w:ascii="Times New Roman" w:hAnsi="Times New Roman" w:cs="Times New Roman"/>
                <w:sz w:val="28"/>
                <w:szCs w:val="28"/>
              </w:rPr>
              <w:t>izpildes termiņa laikā</w:t>
            </w:r>
            <w:r w:rsidR="00571775" w:rsidRPr="00F675DE">
              <w:rPr>
                <w:rFonts w:ascii="Times New Roman" w:hAnsi="Times New Roman" w:cs="Times New Roman"/>
                <w:sz w:val="28"/>
                <w:szCs w:val="28"/>
              </w:rPr>
              <w:t xml:space="preserve">. Neattiecināmie izdevumi </w:t>
            </w:r>
            <w:r w:rsidR="009E1D35" w:rsidRPr="00F675DE">
              <w:rPr>
                <w:rFonts w:ascii="Times New Roman" w:hAnsi="Times New Roman" w:cs="Times New Roman"/>
                <w:sz w:val="28"/>
                <w:szCs w:val="28"/>
              </w:rPr>
              <w:t xml:space="preserve">pārtikas un pamata materiālās palīdzības iepirkuma administrēšanai </w:t>
            </w:r>
            <w:r w:rsidR="00571775" w:rsidRPr="00F675DE">
              <w:rPr>
                <w:rFonts w:ascii="Times New Roman" w:hAnsi="Times New Roman" w:cs="Times New Roman"/>
                <w:sz w:val="28"/>
                <w:szCs w:val="28"/>
              </w:rPr>
              <w:t>un to apmērs</w:t>
            </w:r>
            <w:r w:rsidR="009E1D35" w:rsidRPr="00F675DE">
              <w:rPr>
                <w:rFonts w:ascii="Times New Roman" w:hAnsi="Times New Roman" w:cs="Times New Roman"/>
                <w:sz w:val="28"/>
                <w:szCs w:val="28"/>
              </w:rPr>
              <w:t>, nepārsniedzot šajā anotācijā norādīto apmēru,</w:t>
            </w:r>
            <w:r w:rsidR="00571775" w:rsidRPr="00F675DE">
              <w:rPr>
                <w:rFonts w:ascii="Times New Roman" w:hAnsi="Times New Roman" w:cs="Times New Roman"/>
                <w:sz w:val="28"/>
                <w:szCs w:val="28"/>
              </w:rPr>
              <w:t xml:space="preserve"> tiks noteikts, izstrādājot Ministru kabineta noteikumus par Fonda vadības nodrošināšanas kārtību, kādā </w:t>
            </w:r>
            <w:r w:rsidR="00571775" w:rsidRPr="00F675DE">
              <w:rPr>
                <w:rFonts w:ascii="Times New Roman" w:hAnsi="Times New Roman" w:cs="Times New Roman"/>
                <w:sz w:val="28"/>
                <w:szCs w:val="28"/>
              </w:rPr>
              <w:lastRenderedPageBreak/>
              <w:t>valsts budžetā plāno līdzekļus Fonda ieviešanai</w:t>
            </w:r>
            <w:r w:rsidR="009E1D35" w:rsidRPr="00F675DE">
              <w:rPr>
                <w:rFonts w:ascii="Times New Roman" w:hAnsi="Times New Roman" w:cs="Times New Roman"/>
                <w:sz w:val="28"/>
                <w:szCs w:val="28"/>
              </w:rPr>
              <w:t>, tai skaitā, nosakot, ka neattiecināmie izdevumi tiks segti no 80.00.00 programmas.</w:t>
            </w:r>
          </w:p>
        </w:tc>
      </w:tr>
      <w:tr w:rsidR="00EE3FBC" w:rsidRPr="00FA6F1C" w14:paraId="078E405F" w14:textId="77777777" w:rsidTr="00E1537C">
        <w:trPr>
          <w:trHeight w:val="556"/>
          <w:jc w:val="center"/>
        </w:trPr>
        <w:tc>
          <w:tcPr>
            <w:tcW w:w="2266" w:type="dxa"/>
          </w:tcPr>
          <w:p w14:paraId="2F41FC84" w14:textId="77777777" w:rsidR="00EE3FBC" w:rsidRPr="00FA6F1C" w:rsidRDefault="00EE3FBC" w:rsidP="00EE3FBC">
            <w:pPr>
              <w:spacing w:after="0" w:line="240" w:lineRule="auto"/>
              <w:rPr>
                <w:rFonts w:ascii="Times New Roman" w:hAnsi="Times New Roman" w:cs="Times New Roman"/>
                <w:sz w:val="28"/>
                <w:szCs w:val="28"/>
              </w:rPr>
            </w:pPr>
            <w:r w:rsidRPr="00FA6F1C">
              <w:rPr>
                <w:rFonts w:ascii="Times New Roman" w:hAnsi="Times New Roman" w:cs="Times New Roman"/>
                <w:sz w:val="28"/>
                <w:szCs w:val="28"/>
              </w:rPr>
              <w:lastRenderedPageBreak/>
              <w:t>7. Cita informācija</w:t>
            </w:r>
          </w:p>
        </w:tc>
        <w:tc>
          <w:tcPr>
            <w:tcW w:w="7185" w:type="dxa"/>
            <w:gridSpan w:val="5"/>
          </w:tcPr>
          <w:p w14:paraId="11811239" w14:textId="77777777" w:rsidR="00EE3FBC" w:rsidRDefault="00EE3FBC" w:rsidP="00D62BB4">
            <w:pPr>
              <w:spacing w:after="120" w:line="240" w:lineRule="auto"/>
              <w:jc w:val="both"/>
              <w:rPr>
                <w:rFonts w:ascii="Times New Roman" w:hAnsi="Times New Roman" w:cs="Times New Roman"/>
                <w:sz w:val="28"/>
                <w:szCs w:val="28"/>
              </w:rPr>
            </w:pPr>
            <w:r w:rsidRPr="00E1537C">
              <w:rPr>
                <w:rFonts w:ascii="Times New Roman" w:hAnsi="Times New Roman" w:cs="Times New Roman"/>
                <w:sz w:val="28"/>
                <w:szCs w:val="28"/>
              </w:rPr>
              <w:t>Lai nodrošinātu Fonda darbību īstenošanai nepieciešamā finansējuma pieejamību un nepārtrauktību, valsts budžeta līdzekļi Fonda darbību (materiālā palīdzība, papildpasākumi un tehniskā palīdzība) īstenošanas priekšfinansēšanai tiks plānoti Fonda vadībā un kontrolē iesaistīto institūciju budžetā kā dotācija no vispārējiem ieņēmumiem saskaņā ar normatīvajiem aktiem par valsts budžeta pieprasījuma izstrādāšanas un iesniegšanas pamatprincipiem.</w:t>
            </w:r>
          </w:p>
          <w:p w14:paraId="1FA4C603" w14:textId="5F467C73" w:rsidR="00EE3FBC" w:rsidRPr="00786A8F" w:rsidRDefault="00EE3FBC" w:rsidP="00D62BB4">
            <w:pPr>
              <w:spacing w:after="120" w:line="240" w:lineRule="auto"/>
              <w:jc w:val="both"/>
              <w:rPr>
                <w:rFonts w:ascii="Times New Roman" w:hAnsi="Times New Roman" w:cs="Times New Roman"/>
                <w:sz w:val="28"/>
                <w:szCs w:val="28"/>
                <w:lang w:eastAsia="en-US"/>
              </w:rPr>
            </w:pPr>
            <w:r w:rsidRPr="00786A8F">
              <w:rPr>
                <w:rFonts w:ascii="Times New Roman" w:hAnsi="Times New Roman" w:cs="Times New Roman"/>
                <w:sz w:val="28"/>
                <w:szCs w:val="28"/>
              </w:rPr>
              <w:t>Fonda darbības programmas projektā ”Darbības programma</w:t>
            </w:r>
            <w:r w:rsidRPr="00AA279B">
              <w:rPr>
                <w:rFonts w:ascii="Times New Roman" w:hAnsi="Times New Roman" w:cs="Times New Roman"/>
                <w:sz w:val="28"/>
                <w:szCs w:val="28"/>
                <w:u w:val="single"/>
                <w:lang w:eastAsia="en-US"/>
              </w:rPr>
              <w:t xml:space="preserve"> </w:t>
            </w:r>
            <w:r w:rsidR="003B7608" w:rsidRPr="009843DF">
              <w:rPr>
                <w:rFonts w:ascii="Times New Roman" w:hAnsi="Times New Roman" w:cs="Times New Roman"/>
                <w:sz w:val="28"/>
                <w:szCs w:val="28"/>
                <w:lang w:eastAsia="en-US"/>
              </w:rPr>
              <w:t>pārtikas un pamata materiālās palīdzības sniegšanai vistrūcīgākajām p</w:t>
            </w:r>
            <w:r w:rsidRPr="009843DF">
              <w:rPr>
                <w:rFonts w:ascii="Times New Roman" w:hAnsi="Times New Roman" w:cs="Times New Roman"/>
                <w:sz w:val="28"/>
                <w:szCs w:val="28"/>
                <w:lang w:eastAsia="en-US"/>
              </w:rPr>
              <w:t>ersonām 2014.-2020.</w:t>
            </w:r>
            <w:r w:rsidR="003B7608" w:rsidRPr="009843DF">
              <w:rPr>
                <w:rFonts w:ascii="Times New Roman" w:hAnsi="Times New Roman" w:cs="Times New Roman"/>
                <w:sz w:val="28"/>
                <w:szCs w:val="28"/>
                <w:lang w:eastAsia="en-US"/>
              </w:rPr>
              <w:t>plānošanas periodā</w:t>
            </w:r>
            <w:r w:rsidRPr="009843DF">
              <w:rPr>
                <w:rFonts w:ascii="Times New Roman" w:hAnsi="Times New Roman" w:cs="Times New Roman"/>
                <w:sz w:val="28"/>
                <w:szCs w:val="28"/>
                <w:lang w:eastAsia="en-US"/>
              </w:rPr>
              <w:t xml:space="preserve">” norādīts Fonda finanšu piešķīrums 41 024 469 euro un nacionālais līdzfinansējums 7 239 613 euro, tai skaitā 2014.gadā kopējais prognozētais finansējums 6 492 096 euro. </w:t>
            </w:r>
            <w:r w:rsidRPr="009843DF">
              <w:rPr>
                <w:rFonts w:ascii="Times New Roman" w:hAnsi="Times New Roman" w:cs="Times New Roman"/>
                <w:sz w:val="28"/>
                <w:szCs w:val="28"/>
              </w:rPr>
              <w:t xml:space="preserve">Fonda </w:t>
            </w:r>
            <w:r w:rsidRPr="009843DF">
              <w:rPr>
                <w:rFonts w:ascii="Times New Roman" w:hAnsi="Times New Roman" w:cs="Times New Roman"/>
                <w:sz w:val="28"/>
                <w:szCs w:val="28"/>
                <w:lang w:eastAsia="en-US"/>
              </w:rPr>
              <w:t>piešķīrums ir izmantojami trīs gadu laikā pēc</w:t>
            </w:r>
            <w:r w:rsidRPr="00AA279B">
              <w:rPr>
                <w:rFonts w:ascii="Times New Roman" w:hAnsi="Times New Roman" w:cs="Times New Roman"/>
                <w:sz w:val="28"/>
                <w:szCs w:val="28"/>
                <w:lang w:eastAsia="en-US"/>
              </w:rPr>
              <w:t xml:space="preserve"> piešķiršanas gada (‘N+3’ princips). </w:t>
            </w:r>
            <w:r>
              <w:rPr>
                <w:rFonts w:ascii="Times New Roman" w:hAnsi="Times New Roman" w:cs="Times New Roman"/>
                <w:sz w:val="28"/>
                <w:szCs w:val="28"/>
                <w:lang w:eastAsia="en-US"/>
              </w:rPr>
              <w:t xml:space="preserve">Ņemot vērā, ka </w:t>
            </w:r>
            <w:r w:rsidRPr="00AA279B">
              <w:rPr>
                <w:rFonts w:ascii="Times New Roman" w:hAnsi="Times New Roman" w:cs="Times New Roman"/>
                <w:sz w:val="28"/>
                <w:szCs w:val="28"/>
                <w:lang w:eastAsia="en-US"/>
              </w:rPr>
              <w:t xml:space="preserve">Fonda Darbības programma vēl nav apstiprināta, 2014.gadā no valsts budžeta </w:t>
            </w:r>
            <w:r>
              <w:rPr>
                <w:rFonts w:ascii="Times New Roman" w:hAnsi="Times New Roman" w:cs="Times New Roman"/>
                <w:sz w:val="28"/>
                <w:szCs w:val="28"/>
                <w:lang w:eastAsia="en-US"/>
              </w:rPr>
              <w:t>plānots</w:t>
            </w:r>
            <w:r w:rsidRPr="00AA279B">
              <w:rPr>
                <w:rFonts w:ascii="Times New Roman" w:hAnsi="Times New Roman" w:cs="Times New Roman"/>
                <w:sz w:val="28"/>
                <w:szCs w:val="28"/>
                <w:lang w:eastAsia="en-US"/>
              </w:rPr>
              <w:t xml:space="preserve"> </w:t>
            </w:r>
            <w:r w:rsidRPr="00BE5D92">
              <w:rPr>
                <w:rFonts w:ascii="Times New Roman" w:hAnsi="Times New Roman" w:cs="Times New Roman"/>
                <w:sz w:val="28"/>
                <w:szCs w:val="28"/>
                <w:lang w:eastAsia="en-US"/>
              </w:rPr>
              <w:t>priekš</w:t>
            </w:r>
            <w:r>
              <w:rPr>
                <w:rFonts w:ascii="Times New Roman" w:hAnsi="Times New Roman" w:cs="Times New Roman"/>
                <w:sz w:val="28"/>
                <w:szCs w:val="28"/>
                <w:lang w:eastAsia="en-US"/>
              </w:rPr>
              <w:t>finansēt</w:t>
            </w:r>
            <w:r w:rsidRPr="00BE5D92">
              <w:rPr>
                <w:rFonts w:ascii="Times New Roman" w:hAnsi="Times New Roman" w:cs="Times New Roman"/>
                <w:sz w:val="28"/>
                <w:szCs w:val="28"/>
                <w:lang w:eastAsia="en-US"/>
              </w:rPr>
              <w:t xml:space="preserve"> tikai Fonda</w:t>
            </w:r>
            <w:r>
              <w:rPr>
                <w:rFonts w:ascii="Times New Roman" w:hAnsi="Times New Roman" w:cs="Times New Roman"/>
                <w:sz w:val="28"/>
                <w:szCs w:val="28"/>
                <w:lang w:eastAsia="en-US"/>
              </w:rPr>
              <w:t xml:space="preserve"> darbības sagatavošanas izdevumus</w:t>
            </w:r>
            <w:r w:rsidRPr="00BE5D92">
              <w:rPr>
                <w:rFonts w:ascii="Times New Roman" w:hAnsi="Times New Roman" w:cs="Times New Roman"/>
                <w:sz w:val="28"/>
                <w:szCs w:val="28"/>
                <w:lang w:eastAsia="en-US"/>
              </w:rPr>
              <w:t xml:space="preserve"> 134 322 euro</w:t>
            </w:r>
            <w:r>
              <w:rPr>
                <w:rFonts w:ascii="Times New Roman" w:hAnsi="Times New Roman" w:cs="Times New Roman"/>
                <w:sz w:val="28"/>
                <w:szCs w:val="28"/>
                <w:lang w:eastAsia="en-US"/>
              </w:rPr>
              <w:t xml:space="preserve"> apmērā, līdz ar to 2014.gada</w:t>
            </w:r>
            <w:r>
              <w:t xml:space="preserve"> </w:t>
            </w:r>
            <w:r w:rsidRPr="00EA3F51">
              <w:rPr>
                <w:rFonts w:ascii="Times New Roman" w:hAnsi="Times New Roman" w:cs="Times New Roman"/>
                <w:sz w:val="28"/>
                <w:szCs w:val="28"/>
                <w:lang w:eastAsia="en-US"/>
              </w:rPr>
              <w:t>Fonda darbības programmas projektā ”Darbības programma Eiropas Atbalsta fonda vistrūcīgākajām personām īstenošanai 2014.-2020.”</w:t>
            </w:r>
            <w:r>
              <w:rPr>
                <w:rFonts w:ascii="Times New Roman" w:hAnsi="Times New Roman" w:cs="Times New Roman"/>
                <w:sz w:val="28"/>
                <w:szCs w:val="28"/>
                <w:lang w:eastAsia="en-US"/>
              </w:rPr>
              <w:t xml:space="preserve"> norādītais un neapgūtais </w:t>
            </w:r>
            <w:r w:rsidRPr="00AA279B">
              <w:rPr>
                <w:rFonts w:ascii="Times New Roman" w:hAnsi="Times New Roman" w:cs="Times New Roman"/>
                <w:sz w:val="28"/>
                <w:szCs w:val="28"/>
                <w:lang w:eastAsia="en-US"/>
              </w:rPr>
              <w:t>Fonda piešķīrum</w:t>
            </w:r>
            <w:r>
              <w:rPr>
                <w:rFonts w:ascii="Times New Roman" w:hAnsi="Times New Roman" w:cs="Times New Roman"/>
                <w:sz w:val="28"/>
                <w:szCs w:val="28"/>
                <w:lang w:eastAsia="en-US"/>
              </w:rPr>
              <w:t xml:space="preserve">s </w:t>
            </w:r>
            <w:r w:rsidRPr="00E1537C">
              <w:rPr>
                <w:rFonts w:ascii="Times New Roman" w:hAnsi="Times New Roman" w:cs="Times New Roman"/>
                <w:sz w:val="28"/>
                <w:szCs w:val="28"/>
              </w:rPr>
              <w:t>6 357 774 euro</w:t>
            </w:r>
            <w:r w:rsidRPr="003F6A1C">
              <w:rPr>
                <w:rFonts w:ascii="Times New Roman" w:hAnsi="Times New Roman" w:cs="Times New Roman"/>
                <w:color w:val="FF0000"/>
                <w:sz w:val="28"/>
                <w:szCs w:val="28"/>
                <w:lang w:eastAsia="en-US"/>
              </w:rPr>
              <w:t xml:space="preserve"> </w:t>
            </w:r>
            <w:r>
              <w:rPr>
                <w:rFonts w:ascii="Times New Roman" w:hAnsi="Times New Roman" w:cs="Times New Roman"/>
                <w:sz w:val="28"/>
                <w:szCs w:val="28"/>
                <w:lang w:eastAsia="en-US"/>
              </w:rPr>
              <w:t>apmērā</w:t>
            </w:r>
            <w:r w:rsidRPr="00AA279B">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tiks pārplānots</w:t>
            </w:r>
            <w:r w:rsidRPr="00AA279B">
              <w:rPr>
                <w:rFonts w:ascii="Times New Roman" w:hAnsi="Times New Roman" w:cs="Times New Roman"/>
                <w:sz w:val="28"/>
                <w:szCs w:val="28"/>
                <w:lang w:eastAsia="en-US"/>
              </w:rPr>
              <w:t xml:space="preserve"> un izmantots atbilstoši mērķim, pārplānojot </w:t>
            </w:r>
            <w:r>
              <w:rPr>
                <w:rFonts w:ascii="Times New Roman" w:hAnsi="Times New Roman" w:cs="Times New Roman"/>
                <w:sz w:val="28"/>
                <w:szCs w:val="28"/>
                <w:lang w:eastAsia="en-US"/>
              </w:rPr>
              <w:t xml:space="preserve">to </w:t>
            </w:r>
            <w:r w:rsidRPr="00AA279B">
              <w:rPr>
                <w:rFonts w:ascii="Times New Roman" w:hAnsi="Times New Roman" w:cs="Times New Roman"/>
                <w:sz w:val="28"/>
                <w:szCs w:val="28"/>
                <w:lang w:eastAsia="en-US"/>
              </w:rPr>
              <w:t>uz tālākiem gadiem (2021.g).</w:t>
            </w:r>
          </w:p>
          <w:p w14:paraId="0F4D2880" w14:textId="77777777" w:rsidR="00EE3FBC" w:rsidRPr="009843DF" w:rsidRDefault="00EE3FBC" w:rsidP="00D62BB4">
            <w:pPr>
              <w:pStyle w:val="naisf"/>
              <w:tabs>
                <w:tab w:val="left" w:pos="4644"/>
              </w:tabs>
              <w:spacing w:before="0" w:beforeAutospacing="0" w:after="0" w:afterAutospacing="0"/>
              <w:jc w:val="both"/>
              <w:rPr>
                <w:sz w:val="28"/>
                <w:szCs w:val="28"/>
              </w:rPr>
            </w:pPr>
            <w:r w:rsidRPr="009843DF">
              <w:rPr>
                <w:sz w:val="28"/>
                <w:szCs w:val="28"/>
              </w:rPr>
              <w:t>Pašreiz tiek precizēti nosacījumi Fonda tehniskās palīdzības attiecināmām izmaksām, kas tiks iekļautas starpresoru vienošanās starp Fonda vadībā un kontrolē iesaistītajām institūcijām atbilstoši institūciju veicamajām funkcijām</w:t>
            </w:r>
          </w:p>
          <w:p w14:paraId="6412B2FF" w14:textId="2D395D9E" w:rsidR="00571775" w:rsidRPr="009843DF" w:rsidRDefault="00EE3FBC" w:rsidP="00D62BB4">
            <w:pPr>
              <w:pStyle w:val="naisf"/>
              <w:tabs>
                <w:tab w:val="left" w:pos="4644"/>
              </w:tabs>
              <w:spacing w:before="0" w:beforeAutospacing="0" w:after="0" w:afterAutospacing="0"/>
              <w:jc w:val="both"/>
              <w:rPr>
                <w:sz w:val="28"/>
                <w:szCs w:val="28"/>
              </w:rPr>
            </w:pPr>
            <w:r w:rsidRPr="009843DF">
              <w:rPr>
                <w:sz w:val="28"/>
                <w:szCs w:val="28"/>
              </w:rPr>
              <w:t xml:space="preserve">Līdz ar to attiecībā uz finansējuma nodrošināšanu Fonda īstenošanai sadalījumā pa institūcijām 2015.gadā un turpmākajos gados, </w:t>
            </w:r>
            <w:r w:rsidR="00571775" w:rsidRPr="009843DF">
              <w:rPr>
                <w:sz w:val="28"/>
                <w:szCs w:val="28"/>
              </w:rPr>
              <w:t>tiks noteikta Ministru kabineta noteikumu, par Fonda vadības nodrošināšanas kārtību, kādā valsts budžetā plāno līdzekļus Fonda ieviešanai,</w:t>
            </w:r>
            <w:r w:rsidR="00190751" w:rsidRPr="009843DF">
              <w:rPr>
                <w:sz w:val="28"/>
                <w:szCs w:val="28"/>
              </w:rPr>
              <w:t xml:space="preserve"> anotācijā</w:t>
            </w:r>
            <w:r w:rsidR="00571775" w:rsidRPr="009843DF">
              <w:rPr>
                <w:sz w:val="28"/>
                <w:szCs w:val="28"/>
              </w:rPr>
              <w:t>.</w:t>
            </w:r>
          </w:p>
          <w:p w14:paraId="03E1C6A4" w14:textId="682D0D66" w:rsidR="00EE3FBC" w:rsidRPr="00FA6F1C" w:rsidRDefault="00571775" w:rsidP="00D62BB4">
            <w:pPr>
              <w:pStyle w:val="naisf"/>
              <w:tabs>
                <w:tab w:val="left" w:pos="4644"/>
              </w:tabs>
              <w:spacing w:before="0" w:beforeAutospacing="0" w:after="0" w:afterAutospacing="0"/>
              <w:jc w:val="both"/>
              <w:rPr>
                <w:sz w:val="28"/>
                <w:szCs w:val="28"/>
              </w:rPr>
            </w:pPr>
            <w:r w:rsidRPr="009843DF">
              <w:rPr>
                <w:sz w:val="28"/>
                <w:szCs w:val="28"/>
              </w:rPr>
              <w:t>F</w:t>
            </w:r>
            <w:r w:rsidR="00EE3FBC" w:rsidRPr="009843DF">
              <w:rPr>
                <w:sz w:val="28"/>
                <w:szCs w:val="28"/>
              </w:rPr>
              <w:t>inansējuma pieprasījums tiks virzīts atbilstoši likumprojekta „Par valsts budžetu 2015.gadam” un likumprojekta “Par vidēja termiņa budžeta ietvaru 2015., 2016. un 2017.gadam” sagatavošanas gaitai, koordinēti iesniedzot priekšlikumus Fonda īstenošanas nodrošināšanai.</w:t>
            </w:r>
            <w:r w:rsidR="00EE3FBC" w:rsidRPr="00C30EFC">
              <w:rPr>
                <w:sz w:val="28"/>
                <w:szCs w:val="28"/>
                <w:u w:val="single"/>
              </w:rPr>
              <w:t xml:space="preserve"> </w:t>
            </w:r>
          </w:p>
        </w:tc>
      </w:tr>
    </w:tbl>
    <w:p w14:paraId="7748383A" w14:textId="77777777" w:rsidR="00EE3FBC" w:rsidRPr="00FA6F1C" w:rsidRDefault="00EE3FBC" w:rsidP="00EE3FBC">
      <w:pPr>
        <w:spacing w:after="0" w:line="240" w:lineRule="auto"/>
        <w:rPr>
          <w:rFonts w:ascii="Times New Roman" w:hAnsi="Times New Roman" w:cs="Times New Roman"/>
          <w:sz w:val="28"/>
          <w:szCs w:val="28"/>
        </w:rPr>
      </w:pP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037"/>
        <w:gridCol w:w="7154"/>
      </w:tblGrid>
      <w:tr w:rsidR="00DA6C86" w:rsidRPr="00FA6F1C" w14:paraId="5EDF1E76" w14:textId="77777777" w:rsidTr="009E76D9">
        <w:trPr>
          <w:trHeight w:val="461"/>
          <w:jc w:val="center"/>
        </w:trPr>
        <w:tc>
          <w:tcPr>
            <w:tcW w:w="9661" w:type="dxa"/>
            <w:gridSpan w:val="3"/>
            <w:vAlign w:val="center"/>
          </w:tcPr>
          <w:p w14:paraId="5EDF1E75" w14:textId="030C25C4" w:rsidR="00DA6C86" w:rsidRPr="00FA6F1C" w:rsidRDefault="00171D36" w:rsidP="00FA6F1C">
            <w:pPr>
              <w:pStyle w:val="naisnod"/>
              <w:spacing w:before="0" w:beforeAutospacing="0" w:after="0" w:afterAutospacing="0"/>
              <w:jc w:val="center"/>
              <w:rPr>
                <w:b/>
                <w:sz w:val="28"/>
                <w:szCs w:val="28"/>
              </w:rPr>
            </w:pPr>
            <w:r w:rsidRPr="00FA6F1C">
              <w:rPr>
                <w:sz w:val="28"/>
                <w:szCs w:val="28"/>
              </w:rPr>
              <w:lastRenderedPageBreak/>
              <w:br w:type="page"/>
            </w:r>
            <w:r w:rsidR="00DA6C86" w:rsidRPr="00FA6F1C">
              <w:rPr>
                <w:b/>
                <w:sz w:val="28"/>
                <w:szCs w:val="28"/>
              </w:rPr>
              <w:t>IV. Tiesību akta projekta ietekme uz spēkā esošo tiesību normu sistēmu</w:t>
            </w:r>
          </w:p>
        </w:tc>
      </w:tr>
      <w:tr w:rsidR="00DA6C86" w:rsidRPr="00FA6F1C" w14:paraId="5EDF1E7A" w14:textId="77777777" w:rsidTr="001377EA">
        <w:trPr>
          <w:jc w:val="center"/>
        </w:trPr>
        <w:tc>
          <w:tcPr>
            <w:tcW w:w="470" w:type="dxa"/>
          </w:tcPr>
          <w:p w14:paraId="5EDF1E77" w14:textId="77777777" w:rsidR="00DA6C86" w:rsidRPr="00FA6F1C" w:rsidRDefault="00DA6C86" w:rsidP="00FA6F1C">
            <w:pPr>
              <w:pStyle w:val="naiskr"/>
              <w:tabs>
                <w:tab w:val="left" w:pos="2628"/>
              </w:tabs>
              <w:spacing w:before="0" w:beforeAutospacing="0" w:after="0" w:afterAutospacing="0"/>
              <w:jc w:val="both"/>
              <w:rPr>
                <w:iCs/>
                <w:sz w:val="28"/>
                <w:szCs w:val="28"/>
              </w:rPr>
            </w:pPr>
            <w:r w:rsidRPr="00FA6F1C">
              <w:rPr>
                <w:iCs/>
                <w:sz w:val="28"/>
                <w:szCs w:val="28"/>
              </w:rPr>
              <w:t>1.</w:t>
            </w:r>
          </w:p>
        </w:tc>
        <w:tc>
          <w:tcPr>
            <w:tcW w:w="2037" w:type="dxa"/>
          </w:tcPr>
          <w:p w14:paraId="5EDF1E78" w14:textId="77777777" w:rsidR="00DA6C86" w:rsidRPr="00FA6F1C" w:rsidRDefault="00DA6C86" w:rsidP="00FA6F1C">
            <w:pPr>
              <w:pStyle w:val="naiskr"/>
              <w:tabs>
                <w:tab w:val="left" w:pos="2628"/>
              </w:tabs>
              <w:spacing w:before="0" w:beforeAutospacing="0" w:after="0" w:afterAutospacing="0"/>
              <w:jc w:val="both"/>
              <w:rPr>
                <w:iCs/>
                <w:sz w:val="28"/>
                <w:szCs w:val="28"/>
              </w:rPr>
            </w:pPr>
            <w:r w:rsidRPr="00FA6F1C">
              <w:rPr>
                <w:sz w:val="28"/>
                <w:szCs w:val="28"/>
              </w:rPr>
              <w:t>Nepieciešamie saistītie tiesību aktu projekti</w:t>
            </w:r>
          </w:p>
        </w:tc>
        <w:tc>
          <w:tcPr>
            <w:tcW w:w="7154" w:type="dxa"/>
          </w:tcPr>
          <w:p w14:paraId="7CE5DE24" w14:textId="263ED7D5" w:rsidR="00B865E0" w:rsidRPr="00FA6F1C" w:rsidRDefault="00B865E0" w:rsidP="00FA6F1C">
            <w:pPr>
              <w:shd w:val="clear" w:color="auto" w:fill="FFFFFF"/>
              <w:spacing w:after="0" w:line="240" w:lineRule="auto"/>
              <w:jc w:val="both"/>
              <w:rPr>
                <w:rFonts w:ascii="Times New Roman" w:hAnsi="Times New Roman" w:cs="Times New Roman"/>
                <w:sz w:val="28"/>
                <w:szCs w:val="28"/>
              </w:rPr>
            </w:pPr>
            <w:r w:rsidRPr="00FA6F1C">
              <w:rPr>
                <w:rFonts w:ascii="Times New Roman" w:hAnsi="Times New Roman" w:cs="Times New Roman"/>
                <w:sz w:val="28"/>
                <w:szCs w:val="28"/>
              </w:rPr>
              <w:t>Likumprojektā</w:t>
            </w:r>
            <w:r w:rsidR="00AB54A5" w:rsidRPr="00FA6F1C">
              <w:rPr>
                <w:rFonts w:ascii="Times New Roman" w:hAnsi="Times New Roman" w:cs="Times New Roman"/>
                <w:sz w:val="28"/>
                <w:szCs w:val="28"/>
              </w:rPr>
              <w:t xml:space="preserve">, lai nodrošinātu </w:t>
            </w:r>
            <w:r w:rsidR="003231A3" w:rsidRPr="00FA6F1C">
              <w:rPr>
                <w:rFonts w:ascii="Times New Roman" w:hAnsi="Times New Roman" w:cs="Times New Roman"/>
                <w:sz w:val="28"/>
                <w:szCs w:val="28"/>
              </w:rPr>
              <w:t>Fonda</w:t>
            </w:r>
            <w:r w:rsidR="00AB54A5" w:rsidRPr="00FA6F1C">
              <w:rPr>
                <w:rFonts w:ascii="Times New Roman" w:hAnsi="Times New Roman" w:cs="Times New Roman"/>
                <w:sz w:val="28"/>
                <w:szCs w:val="28"/>
              </w:rPr>
              <w:t xml:space="preserve"> vadību, </w:t>
            </w:r>
            <w:r w:rsidRPr="00FA6F1C">
              <w:rPr>
                <w:rFonts w:ascii="Times New Roman" w:hAnsi="Times New Roman" w:cs="Times New Roman"/>
                <w:sz w:val="28"/>
                <w:szCs w:val="28"/>
              </w:rPr>
              <w:t>ir ietverts pilnvarojums Ministru kabinetam noteikt:</w:t>
            </w:r>
          </w:p>
          <w:p w14:paraId="68EA4128" w14:textId="156657DC" w:rsidR="00255C89" w:rsidRPr="009843DF" w:rsidRDefault="00255C89" w:rsidP="00D511EE">
            <w:pPr>
              <w:pStyle w:val="nais1"/>
              <w:numPr>
                <w:ilvl w:val="0"/>
                <w:numId w:val="2"/>
              </w:numPr>
              <w:spacing w:before="0" w:beforeAutospacing="0" w:after="120" w:afterAutospacing="0"/>
              <w:jc w:val="both"/>
              <w:rPr>
                <w:sz w:val="28"/>
                <w:szCs w:val="28"/>
              </w:rPr>
            </w:pPr>
            <w:r w:rsidRPr="00FA6F1C">
              <w:rPr>
                <w:sz w:val="28"/>
                <w:szCs w:val="28"/>
              </w:rPr>
              <w:t>ģimenes (personas), kurām ir tiesības saņemt Fonda finansētu pārtiku un pamata materiālās palīdzības preces</w:t>
            </w:r>
            <w:r w:rsidR="007D0956">
              <w:rPr>
                <w:sz w:val="28"/>
                <w:szCs w:val="28"/>
              </w:rPr>
              <w:t xml:space="preserve"> </w:t>
            </w:r>
            <w:r w:rsidR="007D0956" w:rsidRPr="009843DF">
              <w:rPr>
                <w:sz w:val="28"/>
                <w:szCs w:val="28"/>
              </w:rPr>
              <w:t>un piedalīties papildpasākumos</w:t>
            </w:r>
            <w:r w:rsidRPr="009843DF">
              <w:rPr>
                <w:sz w:val="28"/>
                <w:szCs w:val="28"/>
              </w:rPr>
              <w:t>;</w:t>
            </w:r>
          </w:p>
          <w:p w14:paraId="7DD294D6" w14:textId="77777777" w:rsidR="00255C89" w:rsidRPr="00FA6F1C" w:rsidRDefault="00255C89" w:rsidP="00D511EE">
            <w:pPr>
              <w:pStyle w:val="nais1"/>
              <w:numPr>
                <w:ilvl w:val="0"/>
                <w:numId w:val="2"/>
              </w:numPr>
              <w:spacing w:before="0" w:beforeAutospacing="0" w:after="120" w:afterAutospacing="0"/>
              <w:jc w:val="both"/>
              <w:rPr>
                <w:sz w:val="28"/>
                <w:szCs w:val="28"/>
              </w:rPr>
            </w:pPr>
            <w:r w:rsidRPr="009843DF">
              <w:rPr>
                <w:sz w:val="28"/>
                <w:szCs w:val="28"/>
              </w:rPr>
              <w:t>satura un kvalitātes prasības Fonda</w:t>
            </w:r>
            <w:r w:rsidRPr="00FA6F1C">
              <w:rPr>
                <w:sz w:val="28"/>
                <w:szCs w:val="28"/>
              </w:rPr>
              <w:t xml:space="preserve"> finansētām pārtikas un pamata materiālās palīdzības precēm, to uzglabāšanas un izdalīšanas kārtību;</w:t>
            </w:r>
          </w:p>
          <w:p w14:paraId="12A4D8DF" w14:textId="77777777" w:rsidR="00255C89" w:rsidRPr="00FA6F1C" w:rsidRDefault="00255C89" w:rsidP="00D511EE">
            <w:pPr>
              <w:pStyle w:val="nais1"/>
              <w:numPr>
                <w:ilvl w:val="0"/>
                <w:numId w:val="2"/>
              </w:numPr>
              <w:spacing w:before="0" w:beforeAutospacing="0" w:after="120" w:afterAutospacing="0"/>
              <w:jc w:val="both"/>
              <w:rPr>
                <w:sz w:val="28"/>
                <w:szCs w:val="28"/>
              </w:rPr>
            </w:pPr>
            <w:r w:rsidRPr="00FA6F1C">
              <w:rPr>
                <w:sz w:val="28"/>
                <w:szCs w:val="28"/>
              </w:rPr>
              <w:t>partnerorganizāciju atlases kritērijus un kārtību, kādā organizē partnerorganizāciju atlasi un izvērtē partnerorganizācijas pretendenta atbilstību šā likuma 16.pantā noteiktajiem izslēgšanas noteikumiem;</w:t>
            </w:r>
          </w:p>
          <w:p w14:paraId="592091B1" w14:textId="05A4F480" w:rsidR="00255C89" w:rsidRPr="00FA6F1C" w:rsidRDefault="00255C89" w:rsidP="00D511EE">
            <w:pPr>
              <w:pStyle w:val="nais1"/>
              <w:numPr>
                <w:ilvl w:val="0"/>
                <w:numId w:val="2"/>
              </w:numPr>
              <w:spacing w:before="0" w:beforeAutospacing="0" w:after="120" w:afterAutospacing="0"/>
              <w:jc w:val="both"/>
              <w:rPr>
                <w:sz w:val="28"/>
                <w:szCs w:val="28"/>
              </w:rPr>
            </w:pPr>
            <w:r w:rsidRPr="00FA6F1C">
              <w:rPr>
                <w:sz w:val="28"/>
                <w:szCs w:val="28"/>
              </w:rPr>
              <w:t xml:space="preserve">līgumu vai vienošanos par pārtikas un pamata materiālās palīdzības preču izdalīšanu un papildpasākumu īstenošanu saturu, to noslēgšanas un grozījumu izdarīšanas </w:t>
            </w:r>
            <w:r w:rsidR="007D0956" w:rsidRPr="009843DF">
              <w:rPr>
                <w:sz w:val="28"/>
                <w:szCs w:val="28"/>
              </w:rPr>
              <w:t>un izbeigšanas</w:t>
            </w:r>
            <w:r w:rsidR="007D0956">
              <w:rPr>
                <w:sz w:val="28"/>
                <w:szCs w:val="28"/>
              </w:rPr>
              <w:t xml:space="preserve"> </w:t>
            </w:r>
            <w:r w:rsidRPr="00FA6F1C">
              <w:rPr>
                <w:sz w:val="28"/>
                <w:szCs w:val="28"/>
              </w:rPr>
              <w:t>kārtību;</w:t>
            </w:r>
          </w:p>
          <w:p w14:paraId="5182135C" w14:textId="77777777" w:rsidR="00255C89" w:rsidRPr="00FA6F1C" w:rsidRDefault="00255C89" w:rsidP="00D511EE">
            <w:pPr>
              <w:pStyle w:val="nais1"/>
              <w:numPr>
                <w:ilvl w:val="0"/>
                <w:numId w:val="2"/>
              </w:numPr>
              <w:spacing w:before="0" w:beforeAutospacing="0" w:after="120" w:afterAutospacing="0"/>
              <w:jc w:val="both"/>
              <w:rPr>
                <w:sz w:val="28"/>
                <w:szCs w:val="28"/>
              </w:rPr>
            </w:pPr>
            <w:r w:rsidRPr="00FA6F1C">
              <w:rPr>
                <w:sz w:val="28"/>
                <w:szCs w:val="28"/>
              </w:rPr>
              <w:t>izmaksu attiecināmības un vienkāršoto izmaksu piemērošanas nosacījumus un kārtību;</w:t>
            </w:r>
          </w:p>
          <w:p w14:paraId="062D8505" w14:textId="77777777" w:rsidR="00255C89" w:rsidRPr="00FA6F1C" w:rsidRDefault="00255C89" w:rsidP="00D511EE">
            <w:pPr>
              <w:pStyle w:val="nais1"/>
              <w:numPr>
                <w:ilvl w:val="0"/>
                <w:numId w:val="2"/>
              </w:numPr>
              <w:spacing w:before="0" w:beforeAutospacing="0" w:after="120" w:afterAutospacing="0"/>
              <w:jc w:val="both"/>
              <w:rPr>
                <w:sz w:val="28"/>
                <w:szCs w:val="28"/>
              </w:rPr>
            </w:pPr>
            <w:r w:rsidRPr="00FA6F1C">
              <w:rPr>
                <w:sz w:val="28"/>
                <w:szCs w:val="28"/>
              </w:rPr>
              <w:t xml:space="preserve">kārtību, kādā valsts budžetā plāno līdzekļus Fonda ieviešanai; </w:t>
            </w:r>
          </w:p>
          <w:p w14:paraId="1B54C711" w14:textId="77777777" w:rsidR="00255C89" w:rsidRPr="00FA6F1C" w:rsidRDefault="00255C89" w:rsidP="00D511EE">
            <w:pPr>
              <w:pStyle w:val="nais1"/>
              <w:numPr>
                <w:ilvl w:val="0"/>
                <w:numId w:val="2"/>
              </w:numPr>
              <w:spacing w:before="0" w:beforeAutospacing="0" w:after="120" w:afterAutospacing="0"/>
              <w:jc w:val="both"/>
              <w:rPr>
                <w:sz w:val="28"/>
                <w:szCs w:val="28"/>
              </w:rPr>
            </w:pPr>
            <w:r w:rsidRPr="00FA6F1C">
              <w:rPr>
                <w:sz w:val="28"/>
                <w:szCs w:val="28"/>
              </w:rPr>
              <w:t xml:space="preserve">kārtību, kādā pārbauda maksājuma pieprasījumus, veic maksājumus un sagatavo Eiropas Komisijā iesniedzamo maksājuma pieteikumu un kontu slēgumu; </w:t>
            </w:r>
          </w:p>
          <w:p w14:paraId="1E659E23" w14:textId="77777777" w:rsidR="00255C89" w:rsidRPr="00FA6F1C" w:rsidRDefault="00255C89" w:rsidP="00D511EE">
            <w:pPr>
              <w:pStyle w:val="nais1"/>
              <w:numPr>
                <w:ilvl w:val="0"/>
                <w:numId w:val="2"/>
              </w:numPr>
              <w:spacing w:before="0" w:beforeAutospacing="0" w:after="120" w:afterAutospacing="0"/>
              <w:jc w:val="both"/>
              <w:rPr>
                <w:sz w:val="28"/>
                <w:szCs w:val="28"/>
              </w:rPr>
            </w:pPr>
            <w:r w:rsidRPr="00FA6F1C">
              <w:rPr>
                <w:sz w:val="28"/>
                <w:szCs w:val="28"/>
              </w:rPr>
              <w:t>kārtību, kādā veic pārbaudi pārtikas un pamata materiālās palīdzības preču izdales vietās;</w:t>
            </w:r>
          </w:p>
          <w:p w14:paraId="3B7058B7" w14:textId="77777777" w:rsidR="00255C89" w:rsidRPr="00FA6F1C" w:rsidRDefault="00255C89" w:rsidP="00D511EE">
            <w:pPr>
              <w:pStyle w:val="nais1"/>
              <w:numPr>
                <w:ilvl w:val="0"/>
                <w:numId w:val="2"/>
              </w:numPr>
              <w:spacing w:before="0" w:beforeAutospacing="0" w:after="120" w:afterAutospacing="0"/>
              <w:jc w:val="both"/>
              <w:rPr>
                <w:sz w:val="28"/>
                <w:szCs w:val="28"/>
              </w:rPr>
            </w:pPr>
            <w:r w:rsidRPr="00FA6F1C">
              <w:rPr>
                <w:sz w:val="28"/>
                <w:szCs w:val="28"/>
              </w:rPr>
              <w:t xml:space="preserve">risku vadības, </w:t>
            </w:r>
            <w:proofErr w:type="spellStart"/>
            <w:r w:rsidRPr="00FA6F1C">
              <w:rPr>
                <w:sz w:val="28"/>
                <w:szCs w:val="28"/>
              </w:rPr>
              <w:t>dubultfinansēšanas</w:t>
            </w:r>
            <w:proofErr w:type="spellEnd"/>
            <w:r w:rsidRPr="00FA6F1C">
              <w:rPr>
                <w:sz w:val="28"/>
                <w:szCs w:val="28"/>
              </w:rPr>
              <w:t xml:space="preserve"> risku novēršanas un krāpšanas apkarošanas pamatprincipus;</w:t>
            </w:r>
          </w:p>
          <w:p w14:paraId="60084091" w14:textId="7C9AF89B" w:rsidR="00255C89" w:rsidRPr="009843DF" w:rsidRDefault="00255C89" w:rsidP="00D511EE">
            <w:pPr>
              <w:pStyle w:val="nais1"/>
              <w:numPr>
                <w:ilvl w:val="0"/>
                <w:numId w:val="2"/>
              </w:numPr>
              <w:spacing w:before="0" w:beforeAutospacing="0" w:after="120" w:afterAutospacing="0"/>
              <w:jc w:val="both"/>
              <w:rPr>
                <w:sz w:val="28"/>
                <w:szCs w:val="28"/>
              </w:rPr>
            </w:pPr>
            <w:r w:rsidRPr="00FA6F1C">
              <w:rPr>
                <w:sz w:val="28"/>
                <w:szCs w:val="28"/>
              </w:rPr>
              <w:t xml:space="preserve">kārtību, kādā ziņo par Fonda ieviešanā konstatētajām neatbilstībām, </w:t>
            </w:r>
            <w:r w:rsidRPr="009843DF">
              <w:rPr>
                <w:sz w:val="28"/>
                <w:szCs w:val="28"/>
              </w:rPr>
              <w:t>noraksta</w:t>
            </w:r>
            <w:r w:rsidR="007D0956" w:rsidRPr="009843DF">
              <w:rPr>
                <w:sz w:val="28"/>
                <w:szCs w:val="28"/>
              </w:rPr>
              <w:t>, ietur</w:t>
            </w:r>
            <w:r w:rsidRPr="009843DF">
              <w:rPr>
                <w:sz w:val="28"/>
                <w:szCs w:val="28"/>
              </w:rPr>
              <w:t xml:space="preserve"> vai atgūst neatbilstoši veiktos izdevumus, kā arī piemēro proporcionālo finanšu korekciju;</w:t>
            </w:r>
          </w:p>
          <w:p w14:paraId="37A1DD95" w14:textId="77777777" w:rsidR="00255C89" w:rsidRPr="00FA6F1C" w:rsidRDefault="00255C89" w:rsidP="00D511EE">
            <w:pPr>
              <w:pStyle w:val="nais1"/>
              <w:numPr>
                <w:ilvl w:val="0"/>
                <w:numId w:val="2"/>
              </w:numPr>
              <w:spacing w:before="0" w:beforeAutospacing="0" w:after="120" w:afterAutospacing="0"/>
              <w:jc w:val="both"/>
              <w:rPr>
                <w:sz w:val="28"/>
                <w:szCs w:val="28"/>
              </w:rPr>
            </w:pPr>
            <w:r w:rsidRPr="00FA6F1C">
              <w:rPr>
                <w:sz w:val="28"/>
                <w:szCs w:val="28"/>
              </w:rPr>
              <w:t>kārtību, kādā nodrošina revīzijas iestādes funkcijas Fonda vadībā;</w:t>
            </w:r>
          </w:p>
          <w:p w14:paraId="57BE6DFA" w14:textId="77777777" w:rsidR="00255C89" w:rsidRPr="00FA6F1C" w:rsidRDefault="00255C89" w:rsidP="00D511EE">
            <w:pPr>
              <w:pStyle w:val="nais1"/>
              <w:numPr>
                <w:ilvl w:val="0"/>
                <w:numId w:val="2"/>
              </w:numPr>
              <w:spacing w:before="0" w:beforeAutospacing="0" w:after="120" w:afterAutospacing="0"/>
              <w:jc w:val="both"/>
              <w:rPr>
                <w:sz w:val="28"/>
                <w:szCs w:val="28"/>
              </w:rPr>
            </w:pPr>
            <w:r w:rsidRPr="00FA6F1C">
              <w:rPr>
                <w:sz w:val="28"/>
                <w:szCs w:val="28"/>
              </w:rPr>
              <w:t>Fonda informācijas sistēmas izveidošanas un izmantošanas kārtību un Eiropas Komisijas elektroniskās datu apmaiņas sistēmas izmantošanas kārtību.</w:t>
            </w:r>
          </w:p>
          <w:p w14:paraId="56B4978A" w14:textId="5DA9B755" w:rsidR="00A045E2" w:rsidRPr="00FA6F1C" w:rsidRDefault="00A045E2" w:rsidP="00FA6F1C">
            <w:pPr>
              <w:pStyle w:val="nais1"/>
              <w:tabs>
                <w:tab w:val="left" w:pos="4144"/>
              </w:tabs>
              <w:spacing w:before="120" w:beforeAutospacing="0" w:after="120" w:afterAutospacing="0"/>
              <w:jc w:val="both"/>
              <w:rPr>
                <w:sz w:val="28"/>
                <w:szCs w:val="28"/>
              </w:rPr>
            </w:pPr>
            <w:r w:rsidRPr="00FA6F1C">
              <w:rPr>
                <w:sz w:val="28"/>
                <w:szCs w:val="28"/>
              </w:rPr>
              <w:lastRenderedPageBreak/>
              <w:t xml:space="preserve">Ministru kabineta noteikumus paredzēts izdot līdz 2014.gada </w:t>
            </w:r>
            <w:r w:rsidR="003231A3" w:rsidRPr="00FA6F1C">
              <w:rPr>
                <w:sz w:val="28"/>
                <w:szCs w:val="28"/>
              </w:rPr>
              <w:t>3</w:t>
            </w:r>
            <w:r w:rsidRPr="00FA6F1C">
              <w:rPr>
                <w:sz w:val="28"/>
                <w:szCs w:val="28"/>
              </w:rPr>
              <w:t>1.</w:t>
            </w:r>
            <w:r w:rsidR="003231A3" w:rsidRPr="00FA6F1C">
              <w:rPr>
                <w:sz w:val="28"/>
                <w:szCs w:val="28"/>
              </w:rPr>
              <w:t>decembrim</w:t>
            </w:r>
            <w:r w:rsidRPr="00FA6F1C">
              <w:rPr>
                <w:sz w:val="28"/>
                <w:szCs w:val="28"/>
              </w:rPr>
              <w:t>.</w:t>
            </w:r>
          </w:p>
          <w:p w14:paraId="5EDF1E79" w14:textId="3935C75C" w:rsidR="00DA6C86" w:rsidRPr="00FA6F1C" w:rsidRDefault="00DA6C86" w:rsidP="00FA6F1C">
            <w:pPr>
              <w:pStyle w:val="nais1"/>
              <w:spacing w:before="0" w:beforeAutospacing="0" w:after="0" w:afterAutospacing="0"/>
              <w:jc w:val="both"/>
              <w:rPr>
                <w:sz w:val="28"/>
                <w:szCs w:val="28"/>
              </w:rPr>
            </w:pPr>
          </w:p>
        </w:tc>
      </w:tr>
      <w:tr w:rsidR="00DA6C86" w:rsidRPr="00FA6F1C" w14:paraId="5EDF1E7E" w14:textId="77777777" w:rsidTr="001377EA">
        <w:trPr>
          <w:jc w:val="center"/>
        </w:trPr>
        <w:tc>
          <w:tcPr>
            <w:tcW w:w="470" w:type="dxa"/>
          </w:tcPr>
          <w:p w14:paraId="5EDF1E7B" w14:textId="0049AEED" w:rsidR="00DA6C86" w:rsidRPr="00FA6F1C" w:rsidRDefault="00DA6C86" w:rsidP="00FA6F1C">
            <w:pPr>
              <w:pStyle w:val="naiskr"/>
              <w:tabs>
                <w:tab w:val="left" w:pos="2628"/>
              </w:tabs>
              <w:spacing w:before="0" w:beforeAutospacing="0" w:after="0" w:afterAutospacing="0"/>
              <w:jc w:val="both"/>
              <w:rPr>
                <w:iCs/>
                <w:sz w:val="28"/>
                <w:szCs w:val="28"/>
              </w:rPr>
            </w:pPr>
            <w:r w:rsidRPr="00FA6F1C">
              <w:rPr>
                <w:iCs/>
                <w:sz w:val="28"/>
                <w:szCs w:val="28"/>
              </w:rPr>
              <w:lastRenderedPageBreak/>
              <w:t>2.</w:t>
            </w:r>
          </w:p>
        </w:tc>
        <w:tc>
          <w:tcPr>
            <w:tcW w:w="2037" w:type="dxa"/>
          </w:tcPr>
          <w:p w14:paraId="5EDF1E7C" w14:textId="77777777" w:rsidR="00DA6C86" w:rsidRPr="00FA6F1C" w:rsidRDefault="00DA6C86" w:rsidP="00FA6F1C">
            <w:pPr>
              <w:pStyle w:val="naiskr"/>
              <w:tabs>
                <w:tab w:val="left" w:pos="2628"/>
              </w:tabs>
              <w:spacing w:before="0" w:beforeAutospacing="0" w:after="0" w:afterAutospacing="0"/>
              <w:jc w:val="both"/>
              <w:rPr>
                <w:sz w:val="28"/>
                <w:szCs w:val="28"/>
              </w:rPr>
            </w:pPr>
            <w:r w:rsidRPr="00FA6F1C">
              <w:rPr>
                <w:sz w:val="28"/>
                <w:szCs w:val="28"/>
              </w:rPr>
              <w:t>Atbildīgā institūcija</w:t>
            </w:r>
          </w:p>
        </w:tc>
        <w:tc>
          <w:tcPr>
            <w:tcW w:w="7154" w:type="dxa"/>
          </w:tcPr>
          <w:p w14:paraId="0A825941" w14:textId="7C213E28" w:rsidR="00DA6C86" w:rsidRPr="00FA6F1C" w:rsidRDefault="001377EA" w:rsidP="00FA6F1C">
            <w:pPr>
              <w:shd w:val="clear" w:color="auto" w:fill="FFFFFF"/>
              <w:spacing w:after="0" w:line="240" w:lineRule="auto"/>
              <w:jc w:val="both"/>
              <w:rPr>
                <w:rFonts w:ascii="Times New Roman" w:hAnsi="Times New Roman" w:cs="Times New Roman"/>
                <w:sz w:val="28"/>
                <w:szCs w:val="28"/>
              </w:rPr>
            </w:pPr>
            <w:r w:rsidRPr="00FA6F1C">
              <w:rPr>
                <w:rFonts w:ascii="Times New Roman" w:hAnsi="Times New Roman" w:cs="Times New Roman"/>
                <w:sz w:val="28"/>
                <w:szCs w:val="28"/>
              </w:rPr>
              <w:t xml:space="preserve">Labklājības </w:t>
            </w:r>
            <w:r w:rsidR="00B865E0" w:rsidRPr="00FA6F1C">
              <w:rPr>
                <w:rFonts w:ascii="Times New Roman" w:hAnsi="Times New Roman" w:cs="Times New Roman"/>
                <w:sz w:val="28"/>
                <w:szCs w:val="28"/>
              </w:rPr>
              <w:t>ministrija</w:t>
            </w:r>
          </w:p>
          <w:p w14:paraId="1A6A8995" w14:textId="77777777" w:rsidR="00746D33" w:rsidRPr="00FA6F1C" w:rsidRDefault="00746D33" w:rsidP="00FA6F1C">
            <w:pPr>
              <w:shd w:val="clear" w:color="auto" w:fill="FFFFFF"/>
              <w:spacing w:after="0" w:line="240" w:lineRule="auto"/>
              <w:jc w:val="both"/>
              <w:rPr>
                <w:rFonts w:ascii="Times New Roman" w:hAnsi="Times New Roman" w:cs="Times New Roman"/>
                <w:sz w:val="28"/>
                <w:szCs w:val="28"/>
              </w:rPr>
            </w:pPr>
          </w:p>
          <w:p w14:paraId="5EDF1E7D" w14:textId="77968D5C" w:rsidR="004822D6" w:rsidRPr="00FA6F1C" w:rsidRDefault="004822D6" w:rsidP="00FA6F1C">
            <w:pPr>
              <w:shd w:val="clear" w:color="auto" w:fill="FFFFFF"/>
              <w:spacing w:after="0" w:line="240" w:lineRule="auto"/>
              <w:jc w:val="both"/>
              <w:rPr>
                <w:rFonts w:ascii="Times New Roman" w:hAnsi="Times New Roman" w:cs="Times New Roman"/>
                <w:color w:val="000000"/>
                <w:sz w:val="28"/>
                <w:szCs w:val="28"/>
              </w:rPr>
            </w:pPr>
          </w:p>
        </w:tc>
      </w:tr>
      <w:tr w:rsidR="00DA6C86" w:rsidRPr="00FA6F1C" w14:paraId="5EDF1E83" w14:textId="77777777" w:rsidTr="001377EA">
        <w:trPr>
          <w:jc w:val="center"/>
        </w:trPr>
        <w:tc>
          <w:tcPr>
            <w:tcW w:w="470" w:type="dxa"/>
          </w:tcPr>
          <w:p w14:paraId="5EDF1E7F" w14:textId="77777777" w:rsidR="00DA6C86" w:rsidRPr="00FA6F1C" w:rsidRDefault="00DA6C86" w:rsidP="00FA6F1C">
            <w:pPr>
              <w:pStyle w:val="naiskr"/>
              <w:tabs>
                <w:tab w:val="left" w:pos="2628"/>
              </w:tabs>
              <w:spacing w:before="0" w:beforeAutospacing="0" w:after="0" w:afterAutospacing="0"/>
              <w:jc w:val="both"/>
              <w:rPr>
                <w:iCs/>
                <w:sz w:val="28"/>
                <w:szCs w:val="28"/>
              </w:rPr>
            </w:pPr>
            <w:r w:rsidRPr="00FA6F1C">
              <w:rPr>
                <w:iCs/>
                <w:sz w:val="28"/>
                <w:szCs w:val="28"/>
              </w:rPr>
              <w:t>3.</w:t>
            </w:r>
          </w:p>
        </w:tc>
        <w:tc>
          <w:tcPr>
            <w:tcW w:w="2037" w:type="dxa"/>
          </w:tcPr>
          <w:p w14:paraId="5EDF1E80" w14:textId="77777777" w:rsidR="00DA6C86" w:rsidRPr="00FA6F1C" w:rsidRDefault="00DA6C86" w:rsidP="00FA6F1C">
            <w:pPr>
              <w:pStyle w:val="naiskr"/>
              <w:tabs>
                <w:tab w:val="left" w:pos="2628"/>
              </w:tabs>
              <w:spacing w:before="0" w:beforeAutospacing="0" w:after="0" w:afterAutospacing="0"/>
              <w:jc w:val="both"/>
              <w:rPr>
                <w:iCs/>
                <w:sz w:val="28"/>
                <w:szCs w:val="28"/>
              </w:rPr>
            </w:pPr>
            <w:r w:rsidRPr="00FA6F1C">
              <w:rPr>
                <w:sz w:val="28"/>
                <w:szCs w:val="28"/>
              </w:rPr>
              <w:t>Cita informācija</w:t>
            </w:r>
          </w:p>
        </w:tc>
        <w:tc>
          <w:tcPr>
            <w:tcW w:w="7154" w:type="dxa"/>
          </w:tcPr>
          <w:p w14:paraId="5EDF1E82" w14:textId="2DF8D795" w:rsidR="00DA6C86" w:rsidRPr="00FA6F1C" w:rsidRDefault="00DA6C86" w:rsidP="00FA6F1C">
            <w:pPr>
              <w:pStyle w:val="naiskr"/>
              <w:tabs>
                <w:tab w:val="left" w:pos="2628"/>
              </w:tabs>
              <w:spacing w:before="0" w:beforeAutospacing="0" w:after="0" w:afterAutospacing="0"/>
              <w:jc w:val="both"/>
              <w:rPr>
                <w:sz w:val="28"/>
                <w:szCs w:val="28"/>
              </w:rPr>
            </w:pPr>
          </w:p>
        </w:tc>
      </w:tr>
    </w:tbl>
    <w:p w14:paraId="5EDF1E84" w14:textId="77777777" w:rsidR="00DA6C86" w:rsidRPr="00FA6F1C" w:rsidRDefault="00DA6C86" w:rsidP="00FA6F1C">
      <w:pPr>
        <w:spacing w:after="0" w:line="240" w:lineRule="auto"/>
        <w:rPr>
          <w:rFonts w:ascii="Times New Roman" w:hAnsi="Times New Roman" w:cs="Times New Roman"/>
          <w:sz w:val="28"/>
          <w:szCs w:val="28"/>
        </w:rPr>
      </w:pPr>
    </w:p>
    <w:tbl>
      <w:tblPr>
        <w:tblW w:w="9535"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497"/>
        <w:gridCol w:w="1706"/>
        <w:gridCol w:w="524"/>
        <w:gridCol w:w="1566"/>
        <w:gridCol w:w="2657"/>
        <w:gridCol w:w="2585"/>
      </w:tblGrid>
      <w:tr w:rsidR="00DA6C86" w:rsidRPr="00FA6F1C" w14:paraId="5EDF1E86" w14:textId="77777777" w:rsidTr="00171D36">
        <w:trPr>
          <w:jc w:val="center"/>
        </w:trPr>
        <w:tc>
          <w:tcPr>
            <w:tcW w:w="9535" w:type="dxa"/>
            <w:gridSpan w:val="6"/>
            <w:tcBorders>
              <w:top w:val="outset" w:sz="6" w:space="0" w:color="auto"/>
              <w:left w:val="outset" w:sz="6" w:space="0" w:color="auto"/>
              <w:bottom w:val="outset" w:sz="6" w:space="0" w:color="auto"/>
              <w:right w:val="outset" w:sz="6" w:space="0" w:color="auto"/>
            </w:tcBorders>
            <w:vAlign w:val="center"/>
          </w:tcPr>
          <w:p w14:paraId="5EDF1E85" w14:textId="77777777" w:rsidR="00DA6C86" w:rsidRPr="00FA6F1C" w:rsidRDefault="00DA6C86" w:rsidP="00FA6F1C">
            <w:pPr>
              <w:spacing w:after="0" w:line="240" w:lineRule="auto"/>
              <w:jc w:val="center"/>
              <w:rPr>
                <w:rFonts w:ascii="Times New Roman" w:hAnsi="Times New Roman" w:cs="Times New Roman"/>
                <w:b/>
                <w:sz w:val="28"/>
                <w:szCs w:val="28"/>
              </w:rPr>
            </w:pPr>
            <w:r w:rsidRPr="00FA6F1C">
              <w:rPr>
                <w:rFonts w:ascii="Times New Roman" w:hAnsi="Times New Roman" w:cs="Times New Roman"/>
                <w:b/>
                <w:sz w:val="28"/>
                <w:szCs w:val="28"/>
              </w:rPr>
              <w:t>V. Tiesību akta projekta atbilstība Latvijas Republikas starptautiskajām saistībām</w:t>
            </w:r>
          </w:p>
        </w:tc>
      </w:tr>
      <w:tr w:rsidR="00DA6C86" w:rsidRPr="00FA6F1C" w14:paraId="5EDF1E8A" w14:textId="77777777" w:rsidTr="00096879">
        <w:trPr>
          <w:jc w:val="center"/>
        </w:trPr>
        <w:tc>
          <w:tcPr>
            <w:tcW w:w="497" w:type="dxa"/>
            <w:tcBorders>
              <w:top w:val="outset" w:sz="6" w:space="0" w:color="auto"/>
              <w:left w:val="outset" w:sz="6" w:space="0" w:color="auto"/>
              <w:bottom w:val="outset" w:sz="6" w:space="0" w:color="auto"/>
              <w:right w:val="outset" w:sz="6" w:space="0" w:color="auto"/>
            </w:tcBorders>
          </w:tcPr>
          <w:p w14:paraId="5EDF1E87" w14:textId="77777777" w:rsidR="00DA6C86" w:rsidRPr="00FA6F1C" w:rsidRDefault="00DA6C86" w:rsidP="00FA6F1C">
            <w:pPr>
              <w:spacing w:after="0" w:line="240" w:lineRule="auto"/>
              <w:ind w:left="57"/>
              <w:rPr>
                <w:rFonts w:ascii="Times New Roman" w:hAnsi="Times New Roman" w:cs="Times New Roman"/>
                <w:sz w:val="28"/>
                <w:szCs w:val="28"/>
              </w:rPr>
            </w:pPr>
            <w:r w:rsidRPr="00FA6F1C">
              <w:rPr>
                <w:rFonts w:ascii="Times New Roman" w:hAnsi="Times New Roman" w:cs="Times New Roman"/>
                <w:sz w:val="28"/>
                <w:szCs w:val="28"/>
              </w:rPr>
              <w:t>1.</w:t>
            </w:r>
          </w:p>
        </w:tc>
        <w:tc>
          <w:tcPr>
            <w:tcW w:w="2230" w:type="dxa"/>
            <w:gridSpan w:val="2"/>
            <w:tcBorders>
              <w:top w:val="outset" w:sz="6" w:space="0" w:color="auto"/>
              <w:left w:val="outset" w:sz="6" w:space="0" w:color="auto"/>
              <w:bottom w:val="outset" w:sz="6" w:space="0" w:color="auto"/>
              <w:right w:val="outset" w:sz="6" w:space="0" w:color="auto"/>
            </w:tcBorders>
          </w:tcPr>
          <w:p w14:paraId="5EDF1E88" w14:textId="77777777" w:rsidR="00DA6C86" w:rsidRPr="00FA6F1C" w:rsidRDefault="00DA6C86" w:rsidP="00FA6F1C">
            <w:pPr>
              <w:spacing w:after="0" w:line="240" w:lineRule="auto"/>
              <w:ind w:left="57"/>
              <w:rPr>
                <w:rFonts w:ascii="Times New Roman" w:hAnsi="Times New Roman" w:cs="Times New Roman"/>
                <w:sz w:val="28"/>
                <w:szCs w:val="28"/>
              </w:rPr>
            </w:pPr>
            <w:r w:rsidRPr="00FA6F1C">
              <w:rPr>
                <w:rFonts w:ascii="Times New Roman" w:hAnsi="Times New Roman" w:cs="Times New Roman"/>
                <w:sz w:val="28"/>
                <w:szCs w:val="28"/>
              </w:rPr>
              <w:t>Saistības pret Eiropas Savienību</w:t>
            </w:r>
          </w:p>
        </w:tc>
        <w:tc>
          <w:tcPr>
            <w:tcW w:w="6808" w:type="dxa"/>
            <w:gridSpan w:val="3"/>
            <w:tcBorders>
              <w:top w:val="outset" w:sz="6" w:space="0" w:color="auto"/>
              <w:left w:val="outset" w:sz="6" w:space="0" w:color="auto"/>
              <w:bottom w:val="outset" w:sz="6" w:space="0" w:color="auto"/>
              <w:right w:val="outset" w:sz="6" w:space="0" w:color="auto"/>
            </w:tcBorders>
          </w:tcPr>
          <w:p w14:paraId="797C8D4B" w14:textId="25924116" w:rsidR="00DA6C86" w:rsidRPr="00FA6F1C" w:rsidRDefault="00A65F57" w:rsidP="00FA6F1C">
            <w:pPr>
              <w:spacing w:after="0" w:line="240" w:lineRule="auto"/>
              <w:jc w:val="both"/>
              <w:rPr>
                <w:rFonts w:ascii="Times New Roman" w:hAnsi="Times New Roman" w:cs="Times New Roman"/>
                <w:noProof/>
                <w:snapToGrid w:val="0"/>
                <w:sz w:val="28"/>
                <w:szCs w:val="28"/>
              </w:rPr>
            </w:pPr>
            <w:r w:rsidRPr="00FA6F1C">
              <w:rPr>
                <w:rFonts w:ascii="Times New Roman" w:hAnsi="Times New Roman" w:cs="Times New Roman"/>
                <w:sz w:val="28"/>
                <w:szCs w:val="28"/>
              </w:rPr>
              <w:t>Eiropas Parlamenta un Padomes 201</w:t>
            </w:r>
            <w:r w:rsidR="00096879" w:rsidRPr="00FA6F1C">
              <w:rPr>
                <w:rFonts w:ascii="Times New Roman" w:hAnsi="Times New Roman" w:cs="Times New Roman"/>
                <w:sz w:val="28"/>
                <w:szCs w:val="28"/>
              </w:rPr>
              <w:t>4</w:t>
            </w:r>
            <w:r w:rsidRPr="00FA6F1C">
              <w:rPr>
                <w:rFonts w:ascii="Times New Roman" w:hAnsi="Times New Roman" w:cs="Times New Roman"/>
                <w:sz w:val="28"/>
                <w:szCs w:val="28"/>
              </w:rPr>
              <w:t xml:space="preserve">.gada </w:t>
            </w:r>
            <w:r w:rsidR="003714C5" w:rsidRPr="00FA6F1C">
              <w:rPr>
                <w:rFonts w:ascii="Times New Roman" w:hAnsi="Times New Roman" w:cs="Times New Roman"/>
                <w:sz w:val="28"/>
                <w:szCs w:val="28"/>
              </w:rPr>
              <w:t>1</w:t>
            </w:r>
            <w:r w:rsidR="00096879" w:rsidRPr="00FA6F1C">
              <w:rPr>
                <w:rFonts w:ascii="Times New Roman" w:hAnsi="Times New Roman" w:cs="Times New Roman"/>
                <w:sz w:val="28"/>
                <w:szCs w:val="28"/>
              </w:rPr>
              <w:t>1</w:t>
            </w:r>
            <w:r w:rsidR="003714C5" w:rsidRPr="00FA6F1C">
              <w:rPr>
                <w:rFonts w:ascii="Times New Roman" w:hAnsi="Times New Roman" w:cs="Times New Roman"/>
                <w:sz w:val="28"/>
                <w:szCs w:val="28"/>
              </w:rPr>
              <w:t>.</w:t>
            </w:r>
            <w:r w:rsidR="00096879" w:rsidRPr="00FA6F1C">
              <w:rPr>
                <w:rFonts w:ascii="Times New Roman" w:hAnsi="Times New Roman" w:cs="Times New Roman"/>
                <w:sz w:val="28"/>
                <w:szCs w:val="28"/>
              </w:rPr>
              <w:t xml:space="preserve">marta </w:t>
            </w:r>
            <w:r w:rsidRPr="00FA6F1C">
              <w:rPr>
                <w:rFonts w:ascii="Times New Roman" w:hAnsi="Times New Roman" w:cs="Times New Roman"/>
                <w:sz w:val="28"/>
                <w:szCs w:val="28"/>
              </w:rPr>
              <w:t>regula (ES) Nr.</w:t>
            </w:r>
            <w:r w:rsidR="00096879" w:rsidRPr="00FA6F1C">
              <w:rPr>
                <w:rFonts w:ascii="Times New Roman" w:hAnsi="Times New Roman" w:cs="Times New Roman"/>
                <w:sz w:val="28"/>
                <w:szCs w:val="28"/>
              </w:rPr>
              <w:t>223/2014 par Eiropas Atbalsta fondu vistrūcīgākajām personām</w:t>
            </w:r>
          </w:p>
          <w:p w14:paraId="701BF92D" w14:textId="41B38956" w:rsidR="00A65F57" w:rsidRPr="00FA6F1C" w:rsidRDefault="00A65F57" w:rsidP="00FA6F1C">
            <w:pPr>
              <w:spacing w:after="0" w:line="240" w:lineRule="auto"/>
              <w:ind w:left="57"/>
              <w:jc w:val="both"/>
              <w:rPr>
                <w:rFonts w:ascii="Times New Roman" w:hAnsi="Times New Roman" w:cs="Times New Roman"/>
                <w:noProof/>
                <w:snapToGrid w:val="0"/>
                <w:sz w:val="28"/>
                <w:szCs w:val="28"/>
              </w:rPr>
            </w:pPr>
            <w:r w:rsidRPr="00FA6F1C">
              <w:rPr>
                <w:rFonts w:ascii="Times New Roman" w:hAnsi="Times New Roman" w:cs="Times New Roman"/>
                <w:noProof/>
                <w:snapToGrid w:val="0"/>
                <w:sz w:val="28"/>
                <w:szCs w:val="28"/>
              </w:rPr>
              <w:t>Regulā nav noteikts termiņš, kādā jāpieņem nacionālie normatīvie akti E</w:t>
            </w:r>
            <w:r w:rsidR="00096879" w:rsidRPr="00FA6F1C">
              <w:rPr>
                <w:rFonts w:ascii="Times New Roman" w:hAnsi="Times New Roman" w:cs="Times New Roman"/>
                <w:noProof/>
                <w:snapToGrid w:val="0"/>
                <w:sz w:val="28"/>
                <w:szCs w:val="28"/>
              </w:rPr>
              <w:t>iropas Atbalsta fonda</w:t>
            </w:r>
            <w:r w:rsidRPr="00FA6F1C">
              <w:rPr>
                <w:rFonts w:ascii="Times New Roman" w:hAnsi="Times New Roman" w:cs="Times New Roman"/>
                <w:noProof/>
                <w:snapToGrid w:val="0"/>
                <w:sz w:val="28"/>
                <w:szCs w:val="28"/>
              </w:rPr>
              <w:t xml:space="preserve"> ieviešanai.</w:t>
            </w:r>
          </w:p>
          <w:p w14:paraId="5EDF1E89" w14:textId="734E83E8" w:rsidR="00012F4F" w:rsidRPr="00FA6F1C" w:rsidRDefault="00012F4F" w:rsidP="00FA6F1C">
            <w:pPr>
              <w:spacing w:after="0" w:line="240" w:lineRule="auto"/>
              <w:jc w:val="both"/>
              <w:rPr>
                <w:rFonts w:ascii="Times New Roman" w:hAnsi="Times New Roman" w:cs="Times New Roman"/>
                <w:sz w:val="28"/>
                <w:szCs w:val="28"/>
              </w:rPr>
            </w:pPr>
          </w:p>
        </w:tc>
      </w:tr>
      <w:tr w:rsidR="00DA6C86" w:rsidRPr="00FA6F1C" w14:paraId="5EDF1E8E" w14:textId="77777777" w:rsidTr="00096879">
        <w:trPr>
          <w:jc w:val="center"/>
        </w:trPr>
        <w:tc>
          <w:tcPr>
            <w:tcW w:w="497" w:type="dxa"/>
            <w:tcBorders>
              <w:top w:val="outset" w:sz="6" w:space="0" w:color="auto"/>
              <w:left w:val="outset" w:sz="6" w:space="0" w:color="auto"/>
              <w:bottom w:val="outset" w:sz="6" w:space="0" w:color="auto"/>
              <w:right w:val="outset" w:sz="6" w:space="0" w:color="auto"/>
            </w:tcBorders>
          </w:tcPr>
          <w:p w14:paraId="5EDF1E8B" w14:textId="77777777" w:rsidR="00DA6C86" w:rsidRPr="00FA6F1C" w:rsidRDefault="00DA6C86" w:rsidP="00FA6F1C">
            <w:pPr>
              <w:spacing w:after="0" w:line="240" w:lineRule="auto"/>
              <w:ind w:left="57"/>
              <w:rPr>
                <w:rFonts w:ascii="Times New Roman" w:hAnsi="Times New Roman" w:cs="Times New Roman"/>
                <w:sz w:val="28"/>
                <w:szCs w:val="28"/>
              </w:rPr>
            </w:pPr>
            <w:r w:rsidRPr="00FA6F1C">
              <w:rPr>
                <w:rFonts w:ascii="Times New Roman" w:hAnsi="Times New Roman" w:cs="Times New Roman"/>
                <w:sz w:val="28"/>
                <w:szCs w:val="28"/>
              </w:rPr>
              <w:t>2.</w:t>
            </w:r>
          </w:p>
        </w:tc>
        <w:tc>
          <w:tcPr>
            <w:tcW w:w="2230" w:type="dxa"/>
            <w:gridSpan w:val="2"/>
            <w:tcBorders>
              <w:top w:val="outset" w:sz="6" w:space="0" w:color="auto"/>
              <w:left w:val="outset" w:sz="6" w:space="0" w:color="auto"/>
              <w:bottom w:val="outset" w:sz="6" w:space="0" w:color="auto"/>
              <w:right w:val="outset" w:sz="6" w:space="0" w:color="auto"/>
            </w:tcBorders>
          </w:tcPr>
          <w:p w14:paraId="5EDF1E8C" w14:textId="77777777" w:rsidR="00DA6C86" w:rsidRPr="00FA6F1C" w:rsidRDefault="00DA6C86" w:rsidP="00FA6F1C">
            <w:pPr>
              <w:spacing w:after="0" w:line="240" w:lineRule="auto"/>
              <w:ind w:left="57"/>
              <w:rPr>
                <w:rFonts w:ascii="Times New Roman" w:hAnsi="Times New Roman" w:cs="Times New Roman"/>
                <w:sz w:val="28"/>
                <w:szCs w:val="28"/>
              </w:rPr>
            </w:pPr>
            <w:r w:rsidRPr="00FA6F1C">
              <w:rPr>
                <w:rFonts w:ascii="Times New Roman" w:hAnsi="Times New Roman" w:cs="Times New Roman"/>
                <w:sz w:val="28"/>
                <w:szCs w:val="28"/>
              </w:rPr>
              <w:t>Citas starptautiskās saistības</w:t>
            </w:r>
          </w:p>
        </w:tc>
        <w:tc>
          <w:tcPr>
            <w:tcW w:w="6808" w:type="dxa"/>
            <w:gridSpan w:val="3"/>
            <w:tcBorders>
              <w:top w:val="outset" w:sz="6" w:space="0" w:color="auto"/>
              <w:left w:val="outset" w:sz="6" w:space="0" w:color="auto"/>
              <w:bottom w:val="outset" w:sz="6" w:space="0" w:color="auto"/>
              <w:right w:val="outset" w:sz="6" w:space="0" w:color="auto"/>
            </w:tcBorders>
          </w:tcPr>
          <w:p w14:paraId="5EDF1E8D" w14:textId="5389D72E" w:rsidR="00DA6C86" w:rsidRPr="00FA6F1C" w:rsidRDefault="00012F4F" w:rsidP="00FA6F1C">
            <w:pPr>
              <w:spacing w:after="0" w:line="240" w:lineRule="auto"/>
              <w:ind w:left="57"/>
              <w:jc w:val="both"/>
              <w:rPr>
                <w:rFonts w:ascii="Times New Roman" w:hAnsi="Times New Roman" w:cs="Times New Roman"/>
                <w:sz w:val="28"/>
                <w:szCs w:val="28"/>
              </w:rPr>
            </w:pPr>
            <w:r w:rsidRPr="00FA6F1C">
              <w:rPr>
                <w:rFonts w:ascii="Times New Roman" w:hAnsi="Times New Roman" w:cs="Times New Roman"/>
                <w:sz w:val="28"/>
                <w:szCs w:val="28"/>
              </w:rPr>
              <w:t>Nav</w:t>
            </w:r>
          </w:p>
        </w:tc>
      </w:tr>
      <w:tr w:rsidR="00DA6C86" w:rsidRPr="00FA6F1C" w14:paraId="5EDF1E93" w14:textId="77777777" w:rsidTr="00096879">
        <w:trPr>
          <w:jc w:val="center"/>
        </w:trPr>
        <w:tc>
          <w:tcPr>
            <w:tcW w:w="497" w:type="dxa"/>
            <w:tcBorders>
              <w:top w:val="outset" w:sz="6" w:space="0" w:color="auto"/>
              <w:left w:val="outset" w:sz="6" w:space="0" w:color="auto"/>
              <w:bottom w:val="outset" w:sz="6" w:space="0" w:color="auto"/>
              <w:right w:val="outset" w:sz="6" w:space="0" w:color="auto"/>
            </w:tcBorders>
          </w:tcPr>
          <w:p w14:paraId="5EDF1E8F" w14:textId="77777777" w:rsidR="00DA6C86" w:rsidRPr="00FA6F1C" w:rsidRDefault="00DA6C86" w:rsidP="00FA6F1C">
            <w:pPr>
              <w:spacing w:after="0" w:line="240" w:lineRule="auto"/>
              <w:ind w:left="57"/>
              <w:rPr>
                <w:rFonts w:ascii="Times New Roman" w:hAnsi="Times New Roman" w:cs="Times New Roman"/>
                <w:sz w:val="28"/>
                <w:szCs w:val="28"/>
              </w:rPr>
            </w:pPr>
            <w:r w:rsidRPr="00FA6F1C">
              <w:rPr>
                <w:rFonts w:ascii="Times New Roman" w:hAnsi="Times New Roman" w:cs="Times New Roman"/>
                <w:sz w:val="28"/>
                <w:szCs w:val="28"/>
              </w:rPr>
              <w:t>3.</w:t>
            </w:r>
          </w:p>
        </w:tc>
        <w:tc>
          <w:tcPr>
            <w:tcW w:w="2230" w:type="dxa"/>
            <w:gridSpan w:val="2"/>
            <w:tcBorders>
              <w:top w:val="outset" w:sz="6" w:space="0" w:color="auto"/>
              <w:left w:val="outset" w:sz="6" w:space="0" w:color="auto"/>
              <w:bottom w:val="outset" w:sz="6" w:space="0" w:color="auto"/>
              <w:right w:val="outset" w:sz="6" w:space="0" w:color="auto"/>
            </w:tcBorders>
          </w:tcPr>
          <w:p w14:paraId="5EDF1E90" w14:textId="77777777" w:rsidR="00DA6C86" w:rsidRPr="00FA6F1C" w:rsidRDefault="00DA6C86" w:rsidP="00FA6F1C">
            <w:pPr>
              <w:spacing w:after="0" w:line="240" w:lineRule="auto"/>
              <w:ind w:left="57"/>
              <w:rPr>
                <w:rFonts w:ascii="Times New Roman" w:hAnsi="Times New Roman" w:cs="Times New Roman"/>
                <w:sz w:val="28"/>
                <w:szCs w:val="28"/>
              </w:rPr>
            </w:pPr>
            <w:r w:rsidRPr="00FA6F1C">
              <w:rPr>
                <w:rFonts w:ascii="Times New Roman" w:hAnsi="Times New Roman" w:cs="Times New Roman"/>
                <w:sz w:val="28"/>
                <w:szCs w:val="28"/>
              </w:rPr>
              <w:t>Cita informācija</w:t>
            </w:r>
          </w:p>
        </w:tc>
        <w:tc>
          <w:tcPr>
            <w:tcW w:w="6808" w:type="dxa"/>
            <w:gridSpan w:val="3"/>
            <w:tcBorders>
              <w:top w:val="outset" w:sz="6" w:space="0" w:color="auto"/>
              <w:left w:val="outset" w:sz="6" w:space="0" w:color="auto"/>
              <w:bottom w:val="outset" w:sz="6" w:space="0" w:color="auto"/>
              <w:right w:val="outset" w:sz="6" w:space="0" w:color="auto"/>
            </w:tcBorders>
          </w:tcPr>
          <w:p w14:paraId="5EDF1E92" w14:textId="0B7D3FE4" w:rsidR="00DA6C86" w:rsidRPr="00FA6F1C" w:rsidRDefault="00DA6C86" w:rsidP="00FA6F1C">
            <w:pPr>
              <w:spacing w:after="0" w:line="240" w:lineRule="auto"/>
              <w:ind w:left="57"/>
              <w:jc w:val="both"/>
              <w:rPr>
                <w:rFonts w:ascii="Times New Roman" w:hAnsi="Times New Roman" w:cs="Times New Roman"/>
                <w:sz w:val="28"/>
                <w:szCs w:val="28"/>
              </w:rPr>
            </w:pPr>
            <w:r w:rsidRPr="00FA6F1C">
              <w:rPr>
                <w:rFonts w:ascii="Times New Roman" w:hAnsi="Times New Roman" w:cs="Times New Roman"/>
                <w:sz w:val="28"/>
                <w:szCs w:val="28"/>
              </w:rPr>
              <w:t>Nav</w:t>
            </w:r>
          </w:p>
        </w:tc>
      </w:tr>
      <w:tr w:rsidR="00DA6C86" w:rsidRPr="00FA6F1C" w14:paraId="5EDF1E96" w14:textId="77777777" w:rsidTr="00171D36">
        <w:trPr>
          <w:jc w:val="center"/>
        </w:trPr>
        <w:tc>
          <w:tcPr>
            <w:tcW w:w="9535" w:type="dxa"/>
            <w:gridSpan w:val="6"/>
            <w:tcBorders>
              <w:top w:val="outset" w:sz="6" w:space="0" w:color="auto"/>
              <w:left w:val="outset" w:sz="6" w:space="0" w:color="auto"/>
              <w:bottom w:val="outset" w:sz="6" w:space="0" w:color="auto"/>
              <w:right w:val="outset" w:sz="6" w:space="0" w:color="auto"/>
            </w:tcBorders>
            <w:vAlign w:val="center"/>
          </w:tcPr>
          <w:p w14:paraId="5EDF1E94" w14:textId="77777777" w:rsidR="00DA6C86" w:rsidRPr="00FA6F1C" w:rsidRDefault="00DA6C86" w:rsidP="00FA6F1C">
            <w:pPr>
              <w:spacing w:after="0" w:line="240" w:lineRule="auto"/>
              <w:ind w:left="57"/>
              <w:jc w:val="center"/>
              <w:rPr>
                <w:rFonts w:ascii="Times New Roman" w:hAnsi="Times New Roman" w:cs="Times New Roman"/>
                <w:b/>
                <w:sz w:val="28"/>
                <w:szCs w:val="28"/>
              </w:rPr>
            </w:pPr>
            <w:r w:rsidRPr="00FA6F1C">
              <w:rPr>
                <w:rFonts w:ascii="Times New Roman" w:hAnsi="Times New Roman" w:cs="Times New Roman"/>
                <w:b/>
                <w:sz w:val="28"/>
                <w:szCs w:val="28"/>
              </w:rPr>
              <w:t>1.tabula</w:t>
            </w:r>
          </w:p>
          <w:p w14:paraId="5EDF1E95" w14:textId="77777777" w:rsidR="00DA6C86" w:rsidRPr="00FA6F1C" w:rsidRDefault="00DA6C86" w:rsidP="00FA6F1C">
            <w:pPr>
              <w:spacing w:after="0" w:line="240" w:lineRule="auto"/>
              <w:ind w:left="57"/>
              <w:jc w:val="center"/>
              <w:rPr>
                <w:rFonts w:ascii="Times New Roman" w:hAnsi="Times New Roman" w:cs="Times New Roman"/>
                <w:sz w:val="28"/>
                <w:szCs w:val="28"/>
              </w:rPr>
            </w:pPr>
            <w:r w:rsidRPr="00FA6F1C">
              <w:rPr>
                <w:rFonts w:ascii="Times New Roman" w:hAnsi="Times New Roman" w:cs="Times New Roman"/>
                <w:b/>
                <w:sz w:val="28"/>
                <w:szCs w:val="28"/>
              </w:rPr>
              <w:t>Tiesību akta projekta atbilstība ES tiesību aktiem</w:t>
            </w:r>
          </w:p>
        </w:tc>
      </w:tr>
      <w:tr w:rsidR="00DA6C86" w:rsidRPr="00FA6F1C" w14:paraId="5EDF1E99"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5EDF1E97" w14:textId="77777777" w:rsidR="00DA6C86" w:rsidRPr="00FA6F1C" w:rsidRDefault="00DA6C86" w:rsidP="00FA6F1C">
            <w:pPr>
              <w:spacing w:after="0" w:line="240" w:lineRule="auto"/>
              <w:ind w:left="57"/>
              <w:rPr>
                <w:rFonts w:ascii="Times New Roman" w:hAnsi="Times New Roman" w:cs="Times New Roman"/>
                <w:sz w:val="28"/>
                <w:szCs w:val="28"/>
              </w:rPr>
            </w:pPr>
            <w:r w:rsidRPr="00FA6F1C">
              <w:rPr>
                <w:rFonts w:ascii="Times New Roman" w:hAnsi="Times New Roman" w:cs="Times New Roman"/>
                <w:sz w:val="28"/>
                <w:szCs w:val="28"/>
              </w:rPr>
              <w:t>Attiecīgā ES tiesību akta datums, numurs un nosaukums</w:t>
            </w:r>
          </w:p>
        </w:tc>
        <w:tc>
          <w:tcPr>
            <w:tcW w:w="7332" w:type="dxa"/>
            <w:gridSpan w:val="4"/>
            <w:tcBorders>
              <w:top w:val="outset" w:sz="6" w:space="0" w:color="auto"/>
              <w:left w:val="outset" w:sz="6" w:space="0" w:color="auto"/>
              <w:bottom w:val="outset" w:sz="6" w:space="0" w:color="auto"/>
              <w:right w:val="outset" w:sz="6" w:space="0" w:color="auto"/>
            </w:tcBorders>
          </w:tcPr>
          <w:p w14:paraId="5EDF1E98" w14:textId="57191ED1" w:rsidR="00DA6C86" w:rsidRPr="00FA6F1C" w:rsidRDefault="00E42943" w:rsidP="008A38BC">
            <w:pPr>
              <w:spacing w:after="0" w:line="240" w:lineRule="auto"/>
              <w:ind w:left="57"/>
              <w:jc w:val="both"/>
              <w:rPr>
                <w:rFonts w:ascii="Times New Roman" w:hAnsi="Times New Roman" w:cs="Times New Roman"/>
                <w:sz w:val="28"/>
                <w:szCs w:val="28"/>
              </w:rPr>
            </w:pPr>
            <w:r w:rsidRPr="00FA6F1C">
              <w:rPr>
                <w:rFonts w:ascii="Times New Roman" w:hAnsi="Times New Roman" w:cs="Times New Roman"/>
                <w:sz w:val="28"/>
                <w:szCs w:val="28"/>
              </w:rPr>
              <w:t>Eiropas Parlamenta un Padomes 201</w:t>
            </w:r>
            <w:r w:rsidR="004D1374" w:rsidRPr="00FA6F1C">
              <w:rPr>
                <w:rFonts w:ascii="Times New Roman" w:hAnsi="Times New Roman" w:cs="Times New Roman"/>
                <w:sz w:val="28"/>
                <w:szCs w:val="28"/>
              </w:rPr>
              <w:t>4</w:t>
            </w:r>
            <w:r w:rsidRPr="00FA6F1C">
              <w:rPr>
                <w:rFonts w:ascii="Times New Roman" w:hAnsi="Times New Roman" w:cs="Times New Roman"/>
                <w:sz w:val="28"/>
                <w:szCs w:val="28"/>
              </w:rPr>
              <w:t xml:space="preserve">.gada </w:t>
            </w:r>
            <w:r w:rsidR="003714C5" w:rsidRPr="00FA6F1C">
              <w:rPr>
                <w:rFonts w:ascii="Times New Roman" w:hAnsi="Times New Roman" w:cs="Times New Roman"/>
                <w:sz w:val="28"/>
                <w:szCs w:val="28"/>
              </w:rPr>
              <w:t>1</w:t>
            </w:r>
            <w:r w:rsidR="004D1374" w:rsidRPr="00FA6F1C">
              <w:rPr>
                <w:rFonts w:ascii="Times New Roman" w:hAnsi="Times New Roman" w:cs="Times New Roman"/>
                <w:sz w:val="28"/>
                <w:szCs w:val="28"/>
              </w:rPr>
              <w:t>1</w:t>
            </w:r>
            <w:r w:rsidR="003714C5" w:rsidRPr="00FA6F1C">
              <w:rPr>
                <w:rFonts w:ascii="Times New Roman" w:hAnsi="Times New Roman" w:cs="Times New Roman"/>
                <w:sz w:val="28"/>
                <w:szCs w:val="28"/>
              </w:rPr>
              <w:t>.</w:t>
            </w:r>
            <w:r w:rsidR="004D1374" w:rsidRPr="00FA6F1C">
              <w:rPr>
                <w:rFonts w:ascii="Times New Roman" w:hAnsi="Times New Roman" w:cs="Times New Roman"/>
                <w:sz w:val="28"/>
                <w:szCs w:val="28"/>
              </w:rPr>
              <w:t>marta</w:t>
            </w:r>
            <w:r w:rsidRPr="00FA6F1C">
              <w:rPr>
                <w:rFonts w:ascii="Times New Roman" w:hAnsi="Times New Roman" w:cs="Times New Roman"/>
                <w:sz w:val="28"/>
                <w:szCs w:val="28"/>
              </w:rPr>
              <w:t xml:space="preserve"> regula (ES) Nr.</w:t>
            </w:r>
            <w:r w:rsidR="004D1374" w:rsidRPr="00FA6F1C">
              <w:rPr>
                <w:rFonts w:ascii="Times New Roman" w:hAnsi="Times New Roman" w:cs="Times New Roman"/>
                <w:sz w:val="28"/>
                <w:szCs w:val="28"/>
              </w:rPr>
              <w:t>223</w:t>
            </w:r>
            <w:r w:rsidR="003714C5" w:rsidRPr="00FA6F1C">
              <w:rPr>
                <w:rFonts w:ascii="Times New Roman" w:hAnsi="Times New Roman" w:cs="Times New Roman"/>
                <w:sz w:val="28"/>
                <w:szCs w:val="28"/>
              </w:rPr>
              <w:t>/201</w:t>
            </w:r>
            <w:r w:rsidR="004D1374" w:rsidRPr="00FA6F1C">
              <w:rPr>
                <w:rFonts w:ascii="Times New Roman" w:hAnsi="Times New Roman" w:cs="Times New Roman"/>
                <w:sz w:val="28"/>
                <w:szCs w:val="28"/>
              </w:rPr>
              <w:t>4</w:t>
            </w:r>
            <w:r w:rsidRPr="00FA6F1C">
              <w:rPr>
                <w:rFonts w:ascii="Times New Roman" w:hAnsi="Times New Roman" w:cs="Times New Roman"/>
                <w:sz w:val="28"/>
                <w:szCs w:val="28"/>
              </w:rPr>
              <w:t xml:space="preserve">, </w:t>
            </w:r>
            <w:r w:rsidR="004D1374" w:rsidRPr="00FA6F1C">
              <w:rPr>
                <w:rFonts w:ascii="Times New Roman" w:hAnsi="Times New Roman" w:cs="Times New Roman"/>
                <w:sz w:val="28"/>
                <w:szCs w:val="28"/>
              </w:rPr>
              <w:t xml:space="preserve">par Eiropas </w:t>
            </w:r>
            <w:r w:rsidR="008A38BC">
              <w:rPr>
                <w:rFonts w:ascii="Times New Roman" w:hAnsi="Times New Roman" w:cs="Times New Roman"/>
                <w:sz w:val="28"/>
                <w:szCs w:val="28"/>
              </w:rPr>
              <w:t>A</w:t>
            </w:r>
            <w:r w:rsidR="004D1374" w:rsidRPr="00FA6F1C">
              <w:rPr>
                <w:rFonts w:ascii="Times New Roman" w:hAnsi="Times New Roman" w:cs="Times New Roman"/>
                <w:sz w:val="28"/>
                <w:szCs w:val="28"/>
              </w:rPr>
              <w:t>tbalsta fondu vistrūcīgākajām personām</w:t>
            </w:r>
          </w:p>
        </w:tc>
      </w:tr>
      <w:tr w:rsidR="00DA6C86" w:rsidRPr="00FA6F1C" w14:paraId="5EDF1E9E"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vAlign w:val="center"/>
          </w:tcPr>
          <w:p w14:paraId="5EDF1E9A" w14:textId="77777777" w:rsidR="00DA6C86" w:rsidRPr="00FA6F1C" w:rsidRDefault="00DA6C86" w:rsidP="00FA6F1C">
            <w:pPr>
              <w:spacing w:after="0" w:line="240" w:lineRule="auto"/>
              <w:ind w:left="57"/>
              <w:jc w:val="center"/>
              <w:rPr>
                <w:rFonts w:ascii="Times New Roman" w:hAnsi="Times New Roman" w:cs="Times New Roman"/>
                <w:sz w:val="28"/>
                <w:szCs w:val="28"/>
              </w:rPr>
            </w:pPr>
            <w:r w:rsidRPr="00FA6F1C">
              <w:rPr>
                <w:rFonts w:ascii="Times New Roman" w:hAnsi="Times New Roman" w:cs="Times New Roman"/>
                <w:sz w:val="28"/>
                <w:szCs w:val="28"/>
              </w:rPr>
              <w:t>A</w:t>
            </w:r>
          </w:p>
        </w:tc>
        <w:tc>
          <w:tcPr>
            <w:tcW w:w="2090" w:type="dxa"/>
            <w:gridSpan w:val="2"/>
            <w:tcBorders>
              <w:top w:val="outset" w:sz="6" w:space="0" w:color="auto"/>
              <w:left w:val="outset" w:sz="6" w:space="0" w:color="auto"/>
              <w:bottom w:val="outset" w:sz="6" w:space="0" w:color="auto"/>
              <w:right w:val="outset" w:sz="6" w:space="0" w:color="auto"/>
            </w:tcBorders>
            <w:vAlign w:val="center"/>
          </w:tcPr>
          <w:p w14:paraId="5EDF1E9B" w14:textId="77777777" w:rsidR="00DA6C86" w:rsidRPr="00FA6F1C" w:rsidRDefault="00DA6C86" w:rsidP="00FA6F1C">
            <w:pPr>
              <w:spacing w:after="0" w:line="240" w:lineRule="auto"/>
              <w:ind w:left="57"/>
              <w:jc w:val="center"/>
              <w:rPr>
                <w:rFonts w:ascii="Times New Roman" w:hAnsi="Times New Roman" w:cs="Times New Roman"/>
                <w:sz w:val="28"/>
                <w:szCs w:val="28"/>
              </w:rPr>
            </w:pPr>
            <w:r w:rsidRPr="00FA6F1C">
              <w:rPr>
                <w:rFonts w:ascii="Times New Roman" w:hAnsi="Times New Roman" w:cs="Times New Roman"/>
                <w:sz w:val="28"/>
                <w:szCs w:val="28"/>
              </w:rPr>
              <w:t>B</w:t>
            </w:r>
          </w:p>
        </w:tc>
        <w:tc>
          <w:tcPr>
            <w:tcW w:w="2657" w:type="dxa"/>
            <w:tcBorders>
              <w:top w:val="outset" w:sz="6" w:space="0" w:color="auto"/>
              <w:left w:val="outset" w:sz="6" w:space="0" w:color="auto"/>
              <w:bottom w:val="outset" w:sz="6" w:space="0" w:color="auto"/>
              <w:right w:val="outset" w:sz="6" w:space="0" w:color="auto"/>
            </w:tcBorders>
            <w:vAlign w:val="center"/>
          </w:tcPr>
          <w:p w14:paraId="5EDF1E9C" w14:textId="77777777" w:rsidR="00DA6C86" w:rsidRPr="00FA6F1C" w:rsidRDefault="00DA6C86" w:rsidP="00FA6F1C">
            <w:pPr>
              <w:spacing w:after="0" w:line="240" w:lineRule="auto"/>
              <w:ind w:left="57"/>
              <w:jc w:val="center"/>
              <w:rPr>
                <w:rFonts w:ascii="Times New Roman" w:hAnsi="Times New Roman" w:cs="Times New Roman"/>
                <w:sz w:val="28"/>
                <w:szCs w:val="28"/>
              </w:rPr>
            </w:pPr>
            <w:r w:rsidRPr="00FA6F1C">
              <w:rPr>
                <w:rFonts w:ascii="Times New Roman" w:hAnsi="Times New Roman" w:cs="Times New Roman"/>
                <w:sz w:val="28"/>
                <w:szCs w:val="28"/>
              </w:rPr>
              <w:t>C</w:t>
            </w:r>
          </w:p>
        </w:tc>
        <w:tc>
          <w:tcPr>
            <w:tcW w:w="2585" w:type="dxa"/>
            <w:tcBorders>
              <w:top w:val="outset" w:sz="6" w:space="0" w:color="auto"/>
              <w:left w:val="outset" w:sz="6" w:space="0" w:color="auto"/>
              <w:bottom w:val="outset" w:sz="6" w:space="0" w:color="auto"/>
              <w:right w:val="outset" w:sz="6" w:space="0" w:color="auto"/>
            </w:tcBorders>
            <w:vAlign w:val="center"/>
          </w:tcPr>
          <w:p w14:paraId="5EDF1E9D" w14:textId="77777777" w:rsidR="00DA6C86" w:rsidRPr="00FA6F1C" w:rsidRDefault="00DA6C86" w:rsidP="00FA6F1C">
            <w:pPr>
              <w:spacing w:after="0" w:line="240" w:lineRule="auto"/>
              <w:ind w:left="57"/>
              <w:jc w:val="center"/>
              <w:rPr>
                <w:rFonts w:ascii="Times New Roman" w:hAnsi="Times New Roman" w:cs="Times New Roman"/>
                <w:sz w:val="28"/>
                <w:szCs w:val="28"/>
              </w:rPr>
            </w:pPr>
            <w:r w:rsidRPr="00FA6F1C">
              <w:rPr>
                <w:rFonts w:ascii="Times New Roman" w:hAnsi="Times New Roman" w:cs="Times New Roman"/>
                <w:sz w:val="28"/>
                <w:szCs w:val="28"/>
              </w:rPr>
              <w:t>D</w:t>
            </w:r>
          </w:p>
        </w:tc>
      </w:tr>
      <w:tr w:rsidR="00DA6C86" w:rsidRPr="00FA6F1C" w14:paraId="5EDF1EA7"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5EDF1E9F" w14:textId="77777777" w:rsidR="00DA6C86" w:rsidRPr="00FA6F1C" w:rsidRDefault="00DA6C86" w:rsidP="00FA6F1C">
            <w:pPr>
              <w:spacing w:after="0" w:line="240" w:lineRule="auto"/>
              <w:ind w:left="57"/>
              <w:rPr>
                <w:rFonts w:ascii="Times New Roman" w:hAnsi="Times New Roman" w:cs="Times New Roman"/>
                <w:spacing w:val="-3"/>
                <w:sz w:val="28"/>
                <w:szCs w:val="28"/>
              </w:rPr>
            </w:pPr>
            <w:r w:rsidRPr="00FA6F1C">
              <w:rPr>
                <w:rFonts w:ascii="Times New Roman" w:hAnsi="Times New Roman" w:cs="Times New Roman"/>
                <w:spacing w:val="-3"/>
                <w:sz w:val="28"/>
                <w:szCs w:val="28"/>
              </w:rPr>
              <w:t>Attiecīgā ES tiesību akta panta numurs (uzskaitot katru tiesību akta vienību – pantu, daļu, punktu, apakšpunktu)</w:t>
            </w:r>
          </w:p>
        </w:tc>
        <w:tc>
          <w:tcPr>
            <w:tcW w:w="2090" w:type="dxa"/>
            <w:gridSpan w:val="2"/>
            <w:tcBorders>
              <w:top w:val="outset" w:sz="6" w:space="0" w:color="auto"/>
              <w:left w:val="outset" w:sz="6" w:space="0" w:color="auto"/>
              <w:bottom w:val="outset" w:sz="6" w:space="0" w:color="auto"/>
              <w:right w:val="outset" w:sz="6" w:space="0" w:color="auto"/>
            </w:tcBorders>
          </w:tcPr>
          <w:p w14:paraId="5EDF1EA0" w14:textId="77777777" w:rsidR="00DA6C86" w:rsidRPr="00FA6F1C" w:rsidRDefault="00DA6C86" w:rsidP="00FA6F1C">
            <w:pPr>
              <w:spacing w:after="0" w:line="240" w:lineRule="auto"/>
              <w:ind w:left="57"/>
              <w:rPr>
                <w:rFonts w:ascii="Times New Roman" w:hAnsi="Times New Roman" w:cs="Times New Roman"/>
                <w:spacing w:val="-3"/>
                <w:sz w:val="28"/>
                <w:szCs w:val="28"/>
              </w:rPr>
            </w:pPr>
            <w:r w:rsidRPr="00FA6F1C">
              <w:rPr>
                <w:rFonts w:ascii="Times New Roman" w:hAnsi="Times New Roman" w:cs="Times New Roman"/>
                <w:spacing w:val="-3"/>
                <w:sz w:val="28"/>
                <w:szCs w:val="28"/>
              </w:rPr>
              <w:t>Projekta vienība, kas pārņem vai ievieš katru šīs tabulas A ailē minēto ES tiesību akta vienību, vai tiesību akts, kur attiecīgā ES tiesību akta vienība pārņemta vai ieviesta</w:t>
            </w:r>
          </w:p>
        </w:tc>
        <w:tc>
          <w:tcPr>
            <w:tcW w:w="2657" w:type="dxa"/>
            <w:tcBorders>
              <w:top w:val="outset" w:sz="6" w:space="0" w:color="auto"/>
              <w:left w:val="outset" w:sz="6" w:space="0" w:color="auto"/>
              <w:bottom w:val="outset" w:sz="6" w:space="0" w:color="auto"/>
              <w:right w:val="outset" w:sz="6" w:space="0" w:color="auto"/>
            </w:tcBorders>
          </w:tcPr>
          <w:p w14:paraId="5EDF1EA1" w14:textId="77777777" w:rsidR="00DA6C86" w:rsidRPr="00FA6F1C" w:rsidRDefault="00DA6C86" w:rsidP="00FA6F1C">
            <w:pPr>
              <w:spacing w:after="0" w:line="240" w:lineRule="auto"/>
              <w:ind w:left="57"/>
              <w:rPr>
                <w:rFonts w:ascii="Times New Roman" w:hAnsi="Times New Roman" w:cs="Times New Roman"/>
                <w:spacing w:val="-3"/>
                <w:sz w:val="28"/>
                <w:szCs w:val="28"/>
              </w:rPr>
            </w:pPr>
            <w:r w:rsidRPr="00FA6F1C">
              <w:rPr>
                <w:rFonts w:ascii="Times New Roman" w:hAnsi="Times New Roman" w:cs="Times New Roman"/>
                <w:spacing w:val="-3"/>
                <w:sz w:val="28"/>
                <w:szCs w:val="28"/>
              </w:rPr>
              <w:t>Informācija par to, vai šīs tabulas A ailē minētās ES tiesību akta vienības tiek pārņemtas vai ieviestas pilnībā vai daļēji.</w:t>
            </w:r>
          </w:p>
          <w:p w14:paraId="5EDF1EA2" w14:textId="77777777" w:rsidR="00DA6C86" w:rsidRPr="00FA6F1C" w:rsidRDefault="00DA6C86" w:rsidP="00FA6F1C">
            <w:pPr>
              <w:spacing w:after="0" w:line="240" w:lineRule="auto"/>
              <w:ind w:left="57"/>
              <w:rPr>
                <w:rFonts w:ascii="Times New Roman" w:hAnsi="Times New Roman" w:cs="Times New Roman"/>
                <w:spacing w:val="-3"/>
                <w:sz w:val="28"/>
                <w:szCs w:val="28"/>
              </w:rPr>
            </w:pPr>
            <w:r w:rsidRPr="00FA6F1C">
              <w:rPr>
                <w:rFonts w:ascii="Times New Roman" w:hAnsi="Times New Roman" w:cs="Times New Roman"/>
                <w:spacing w:val="-3"/>
                <w:sz w:val="28"/>
                <w:szCs w:val="28"/>
              </w:rPr>
              <w:t xml:space="preserve">Ja attiecīgā ES tiesību akta vienība tiek pārņemta vai ieviesta daļēji, sniedz attiecīgu skaidrojumu, kā arī precīzi norāda, kad un kādā veidā ES tiesību akta vienība tiks </w:t>
            </w:r>
            <w:r w:rsidRPr="00FA6F1C">
              <w:rPr>
                <w:rFonts w:ascii="Times New Roman" w:hAnsi="Times New Roman" w:cs="Times New Roman"/>
                <w:spacing w:val="-3"/>
                <w:sz w:val="28"/>
                <w:szCs w:val="28"/>
              </w:rPr>
              <w:lastRenderedPageBreak/>
              <w:t>pārņemta vai ieviesta pilnībā.</w:t>
            </w:r>
          </w:p>
          <w:p w14:paraId="5EDF1EA3" w14:textId="77777777" w:rsidR="00DA6C86" w:rsidRPr="00FA6F1C" w:rsidRDefault="00DA6C86" w:rsidP="00FA6F1C">
            <w:pPr>
              <w:spacing w:after="0" w:line="240" w:lineRule="auto"/>
              <w:ind w:left="57"/>
              <w:rPr>
                <w:rFonts w:ascii="Times New Roman" w:hAnsi="Times New Roman" w:cs="Times New Roman"/>
                <w:spacing w:val="-3"/>
                <w:sz w:val="28"/>
                <w:szCs w:val="28"/>
              </w:rPr>
            </w:pPr>
            <w:r w:rsidRPr="00FA6F1C">
              <w:rPr>
                <w:rFonts w:ascii="Times New Roman" w:hAnsi="Times New Roman" w:cs="Times New Roman"/>
                <w:spacing w:val="-3"/>
                <w:sz w:val="28"/>
                <w:szCs w:val="28"/>
              </w:rPr>
              <w:t>Norāda institūciju, kas ir atbildīga par šo saistību izpildi pilnībā</w:t>
            </w:r>
          </w:p>
        </w:tc>
        <w:tc>
          <w:tcPr>
            <w:tcW w:w="2585" w:type="dxa"/>
            <w:tcBorders>
              <w:top w:val="outset" w:sz="6" w:space="0" w:color="auto"/>
              <w:left w:val="outset" w:sz="6" w:space="0" w:color="auto"/>
              <w:bottom w:val="outset" w:sz="6" w:space="0" w:color="auto"/>
              <w:right w:val="outset" w:sz="6" w:space="0" w:color="auto"/>
            </w:tcBorders>
          </w:tcPr>
          <w:p w14:paraId="5EDF1EA4" w14:textId="77777777" w:rsidR="00DA6C86" w:rsidRPr="00FA6F1C" w:rsidRDefault="00DA6C86" w:rsidP="00FA6F1C">
            <w:pPr>
              <w:spacing w:after="0" w:line="240" w:lineRule="auto"/>
              <w:ind w:left="57"/>
              <w:rPr>
                <w:rFonts w:ascii="Times New Roman" w:hAnsi="Times New Roman" w:cs="Times New Roman"/>
                <w:sz w:val="28"/>
                <w:szCs w:val="28"/>
              </w:rPr>
            </w:pPr>
            <w:r w:rsidRPr="00FA6F1C">
              <w:rPr>
                <w:rFonts w:ascii="Times New Roman" w:hAnsi="Times New Roman" w:cs="Times New Roman"/>
                <w:spacing w:val="-3"/>
                <w:sz w:val="28"/>
                <w:szCs w:val="28"/>
              </w:rPr>
              <w:lastRenderedPageBreak/>
              <w:t xml:space="preserve">Informācija par to, vai šīs </w:t>
            </w:r>
            <w:r w:rsidRPr="00FA6F1C">
              <w:rPr>
                <w:rFonts w:ascii="Times New Roman" w:hAnsi="Times New Roman" w:cs="Times New Roman"/>
                <w:sz w:val="28"/>
                <w:szCs w:val="28"/>
              </w:rPr>
              <w:t>tabulas B ailē minētās projekta vienības paredz stingrākas prasības nekā šīs tabulas A ailē minētās ES tiesību akta vienības.</w:t>
            </w:r>
          </w:p>
          <w:p w14:paraId="5EDF1EA5" w14:textId="3BE8A663" w:rsidR="00DA6C86" w:rsidRPr="00FA6F1C" w:rsidRDefault="00DA6C86" w:rsidP="00FA6F1C">
            <w:pPr>
              <w:spacing w:after="0" w:line="240" w:lineRule="auto"/>
              <w:ind w:left="57"/>
              <w:rPr>
                <w:rFonts w:ascii="Times New Roman" w:hAnsi="Times New Roman" w:cs="Times New Roman"/>
                <w:sz w:val="28"/>
                <w:szCs w:val="28"/>
              </w:rPr>
            </w:pPr>
            <w:r w:rsidRPr="00FA6F1C">
              <w:rPr>
                <w:rFonts w:ascii="Times New Roman" w:hAnsi="Times New Roman" w:cs="Times New Roman"/>
                <w:sz w:val="28"/>
                <w:szCs w:val="28"/>
              </w:rPr>
              <w:t>Ja projekts satur stingrā</w:t>
            </w:r>
            <w:r w:rsidR="00584507" w:rsidRPr="00FA6F1C">
              <w:rPr>
                <w:rFonts w:ascii="Times New Roman" w:hAnsi="Times New Roman" w:cs="Times New Roman"/>
                <w:sz w:val="28"/>
                <w:szCs w:val="28"/>
              </w:rPr>
              <w:softHyphen/>
            </w:r>
            <w:r w:rsidRPr="00FA6F1C">
              <w:rPr>
                <w:rFonts w:ascii="Times New Roman" w:hAnsi="Times New Roman" w:cs="Times New Roman"/>
                <w:sz w:val="28"/>
                <w:szCs w:val="28"/>
              </w:rPr>
              <w:t>kas prasības nekā attie</w:t>
            </w:r>
            <w:r w:rsidR="00584507" w:rsidRPr="00FA6F1C">
              <w:rPr>
                <w:rFonts w:ascii="Times New Roman" w:hAnsi="Times New Roman" w:cs="Times New Roman"/>
                <w:sz w:val="28"/>
                <w:szCs w:val="28"/>
              </w:rPr>
              <w:softHyphen/>
            </w:r>
            <w:r w:rsidRPr="00FA6F1C">
              <w:rPr>
                <w:rFonts w:ascii="Times New Roman" w:hAnsi="Times New Roman" w:cs="Times New Roman"/>
                <w:sz w:val="28"/>
                <w:szCs w:val="28"/>
              </w:rPr>
              <w:t>cīgais ES tiesību akts,</w:t>
            </w:r>
            <w:r w:rsidR="00584507" w:rsidRPr="00FA6F1C">
              <w:rPr>
                <w:rFonts w:ascii="Times New Roman" w:hAnsi="Times New Roman" w:cs="Times New Roman"/>
                <w:sz w:val="28"/>
                <w:szCs w:val="28"/>
              </w:rPr>
              <w:t xml:space="preserve"> </w:t>
            </w:r>
            <w:r w:rsidRPr="00FA6F1C">
              <w:rPr>
                <w:rFonts w:ascii="Times New Roman" w:hAnsi="Times New Roman" w:cs="Times New Roman"/>
                <w:sz w:val="28"/>
                <w:szCs w:val="28"/>
              </w:rPr>
              <w:t xml:space="preserve">norāda pamatojumu un </w:t>
            </w:r>
            <w:r w:rsidRPr="00FA6F1C">
              <w:rPr>
                <w:rFonts w:ascii="Times New Roman" w:hAnsi="Times New Roman" w:cs="Times New Roman"/>
                <w:sz w:val="28"/>
                <w:szCs w:val="28"/>
              </w:rPr>
              <w:lastRenderedPageBreak/>
              <w:t>samērīgumu.</w:t>
            </w:r>
          </w:p>
          <w:p w14:paraId="5EDF1EA6" w14:textId="77777777" w:rsidR="00DA6C86" w:rsidRPr="00FA6F1C" w:rsidRDefault="00DA6C86" w:rsidP="00FA6F1C">
            <w:pPr>
              <w:spacing w:after="0" w:line="240" w:lineRule="auto"/>
              <w:ind w:left="57"/>
              <w:rPr>
                <w:rFonts w:ascii="Times New Roman" w:hAnsi="Times New Roman" w:cs="Times New Roman"/>
                <w:spacing w:val="-3"/>
                <w:sz w:val="28"/>
                <w:szCs w:val="28"/>
              </w:rPr>
            </w:pPr>
            <w:r w:rsidRPr="00FA6F1C">
              <w:rPr>
                <w:rFonts w:ascii="Times New Roman" w:hAnsi="Times New Roman" w:cs="Times New Roman"/>
                <w:sz w:val="28"/>
                <w:szCs w:val="28"/>
              </w:rPr>
              <w:t>Norāda iespējamās alternatīvas (t.sk. alternatīvas, kas neparedz tiesiskā regulējuma izstrādi) – kādos gadījumos būtu iespējams izvairīties no stingrāku prasību</w:t>
            </w:r>
            <w:r w:rsidRPr="00FA6F1C">
              <w:rPr>
                <w:rFonts w:ascii="Times New Roman" w:hAnsi="Times New Roman" w:cs="Times New Roman"/>
                <w:spacing w:val="-3"/>
                <w:sz w:val="28"/>
                <w:szCs w:val="28"/>
              </w:rPr>
              <w:t xml:space="preserve"> noteikšanas, nekā paredzēts attiecīgajos ES tiesību aktos</w:t>
            </w:r>
          </w:p>
        </w:tc>
      </w:tr>
      <w:tr w:rsidR="00DA6C86" w:rsidRPr="00FA6F1C" w14:paraId="5EDF1EAE"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5EDF1EA8" w14:textId="1D5B55D4" w:rsidR="00DA6C86" w:rsidRPr="00FA6F1C" w:rsidRDefault="00375B76"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z w:val="28"/>
                <w:szCs w:val="28"/>
              </w:rPr>
              <w:lastRenderedPageBreak/>
              <w:t>R</w:t>
            </w:r>
            <w:r w:rsidR="008053B2" w:rsidRPr="00FA6F1C">
              <w:rPr>
                <w:rFonts w:ascii="Times New Roman" w:hAnsi="Times New Roman" w:cs="Times New Roman"/>
                <w:sz w:val="28"/>
                <w:szCs w:val="28"/>
              </w:rPr>
              <w:t xml:space="preserve">egulas </w:t>
            </w:r>
            <w:r w:rsidR="00673A12" w:rsidRPr="00FA6F1C">
              <w:rPr>
                <w:rFonts w:ascii="Times New Roman" w:hAnsi="Times New Roman" w:cs="Times New Roman"/>
                <w:sz w:val="28"/>
                <w:szCs w:val="28"/>
              </w:rPr>
              <w:t>11</w:t>
            </w:r>
            <w:r w:rsidR="008053B2" w:rsidRPr="00FA6F1C">
              <w:rPr>
                <w:rFonts w:ascii="Times New Roman" w:hAnsi="Times New Roman" w:cs="Times New Roman"/>
                <w:sz w:val="28"/>
                <w:szCs w:val="28"/>
              </w:rPr>
              <w:t>. pant</w:t>
            </w:r>
            <w:r w:rsidRPr="00FA6F1C">
              <w:rPr>
                <w:rFonts w:ascii="Times New Roman" w:hAnsi="Times New Roman" w:cs="Times New Roman"/>
                <w:sz w:val="28"/>
                <w:szCs w:val="28"/>
              </w:rPr>
              <w:t>s</w:t>
            </w:r>
          </w:p>
        </w:tc>
        <w:tc>
          <w:tcPr>
            <w:tcW w:w="2090" w:type="dxa"/>
            <w:gridSpan w:val="2"/>
            <w:tcBorders>
              <w:top w:val="outset" w:sz="6" w:space="0" w:color="auto"/>
              <w:left w:val="outset" w:sz="6" w:space="0" w:color="auto"/>
              <w:bottom w:val="outset" w:sz="6" w:space="0" w:color="auto"/>
              <w:right w:val="outset" w:sz="6" w:space="0" w:color="auto"/>
            </w:tcBorders>
          </w:tcPr>
          <w:p w14:paraId="5EDF1EA9" w14:textId="29D5B921" w:rsidR="00DA6C86" w:rsidRPr="00FA6F1C" w:rsidRDefault="00673A12" w:rsidP="00FA6F1C">
            <w:pPr>
              <w:spacing w:after="0" w:line="240" w:lineRule="auto"/>
              <w:rPr>
                <w:rFonts w:ascii="Times New Roman" w:hAnsi="Times New Roman" w:cs="Times New Roman"/>
                <w:spacing w:val="-2"/>
                <w:sz w:val="28"/>
                <w:szCs w:val="28"/>
              </w:rPr>
            </w:pPr>
            <w:r w:rsidRPr="00FA6F1C">
              <w:rPr>
                <w:rFonts w:ascii="Times New Roman" w:hAnsi="Times New Roman" w:cs="Times New Roman"/>
                <w:spacing w:val="-2"/>
                <w:sz w:val="28"/>
                <w:szCs w:val="28"/>
              </w:rPr>
              <w:t>11</w:t>
            </w:r>
            <w:r w:rsidR="00EA09C1" w:rsidRPr="00FA6F1C">
              <w:rPr>
                <w:rFonts w:ascii="Times New Roman" w:hAnsi="Times New Roman" w:cs="Times New Roman"/>
                <w:spacing w:val="-2"/>
                <w:sz w:val="28"/>
                <w:szCs w:val="28"/>
              </w:rPr>
              <w:t>.pant</w:t>
            </w:r>
            <w:r w:rsidR="00527ABD" w:rsidRPr="00FA6F1C">
              <w:rPr>
                <w:rFonts w:ascii="Times New Roman" w:hAnsi="Times New Roman" w:cs="Times New Roman"/>
                <w:spacing w:val="-2"/>
                <w:sz w:val="28"/>
                <w:szCs w:val="28"/>
              </w:rPr>
              <w:t>a 12punkts</w:t>
            </w:r>
          </w:p>
        </w:tc>
        <w:tc>
          <w:tcPr>
            <w:tcW w:w="2657" w:type="dxa"/>
            <w:tcBorders>
              <w:top w:val="outset" w:sz="6" w:space="0" w:color="auto"/>
              <w:left w:val="outset" w:sz="6" w:space="0" w:color="auto"/>
              <w:bottom w:val="outset" w:sz="6" w:space="0" w:color="auto"/>
              <w:right w:val="outset" w:sz="6" w:space="0" w:color="auto"/>
            </w:tcBorders>
          </w:tcPr>
          <w:p w14:paraId="5EDF1EAB" w14:textId="6B5A84D1" w:rsidR="00DA6C86" w:rsidRPr="00FA6F1C" w:rsidRDefault="00A45722"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 xml:space="preserve">Ieviests daļēji, </w:t>
            </w:r>
            <w:r w:rsidR="00673A12" w:rsidRPr="00FA6F1C">
              <w:rPr>
                <w:rFonts w:ascii="Times New Roman" w:hAnsi="Times New Roman" w:cs="Times New Roman"/>
                <w:spacing w:val="-2"/>
                <w:sz w:val="28"/>
                <w:szCs w:val="28"/>
              </w:rPr>
              <w:t>MK noteikumos paredzētajā Fonda informācijas sistēmas izveidošanas kārtībā tiks noteikta datu uzkrāšana dzimumu griezumā, kuru pēc partnerorganizāciju atskaitēm nodrošinās sadarbības iestāde</w:t>
            </w:r>
            <w:r w:rsidR="00B27A32" w:rsidRPr="00FA6F1C">
              <w:rPr>
                <w:rFonts w:ascii="Times New Roman" w:hAnsi="Times New Roman" w:cs="Times New Roman"/>
                <w:spacing w:val="-2"/>
                <w:sz w:val="28"/>
                <w:szCs w:val="28"/>
              </w:rPr>
              <w:t>.</w:t>
            </w:r>
            <w:r w:rsidRPr="00FA6F1C">
              <w:rPr>
                <w:rFonts w:ascii="Times New Roman" w:hAnsi="Times New Roman" w:cs="Times New Roman"/>
                <w:spacing w:val="-2"/>
                <w:sz w:val="28"/>
                <w:szCs w:val="28"/>
              </w:rPr>
              <w:t xml:space="preserve"> Atbildīgā institūcija – </w:t>
            </w:r>
            <w:r w:rsidR="00673A12" w:rsidRPr="00FA6F1C">
              <w:rPr>
                <w:rFonts w:ascii="Times New Roman" w:hAnsi="Times New Roman" w:cs="Times New Roman"/>
                <w:spacing w:val="-2"/>
                <w:sz w:val="28"/>
                <w:szCs w:val="28"/>
              </w:rPr>
              <w:t>L</w:t>
            </w:r>
            <w:r w:rsidRPr="00FA6F1C">
              <w:rPr>
                <w:rFonts w:ascii="Times New Roman" w:hAnsi="Times New Roman" w:cs="Times New Roman"/>
                <w:spacing w:val="-2"/>
                <w:sz w:val="28"/>
                <w:szCs w:val="28"/>
              </w:rPr>
              <w:t>M.</w:t>
            </w:r>
          </w:p>
        </w:tc>
        <w:tc>
          <w:tcPr>
            <w:tcW w:w="2585" w:type="dxa"/>
            <w:tcBorders>
              <w:top w:val="outset" w:sz="6" w:space="0" w:color="auto"/>
              <w:left w:val="outset" w:sz="6" w:space="0" w:color="auto"/>
              <w:bottom w:val="outset" w:sz="6" w:space="0" w:color="auto"/>
              <w:right w:val="outset" w:sz="6" w:space="0" w:color="auto"/>
            </w:tcBorders>
          </w:tcPr>
          <w:p w14:paraId="5EDF1EAD" w14:textId="425928A9" w:rsidR="00DA6C86" w:rsidRPr="00FA6F1C" w:rsidRDefault="0032763C"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Likumprojekts neparedz stingrākas prasības</w:t>
            </w:r>
          </w:p>
        </w:tc>
      </w:tr>
      <w:tr w:rsidR="00E42943" w:rsidRPr="00FA6F1C" w14:paraId="197F0B7C"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76362419" w14:textId="3968A562" w:rsidR="00E42943" w:rsidRPr="00FA6F1C" w:rsidRDefault="00375B76" w:rsidP="005E150D">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z w:val="28"/>
                <w:szCs w:val="28"/>
              </w:rPr>
              <w:t>R</w:t>
            </w:r>
            <w:r w:rsidR="008053B2" w:rsidRPr="00FA6F1C">
              <w:rPr>
                <w:rFonts w:ascii="Times New Roman" w:hAnsi="Times New Roman" w:cs="Times New Roman"/>
                <w:sz w:val="28"/>
                <w:szCs w:val="28"/>
              </w:rPr>
              <w:t xml:space="preserve">egulas </w:t>
            </w:r>
            <w:r w:rsidR="005E150D">
              <w:rPr>
                <w:rFonts w:ascii="Times New Roman" w:hAnsi="Times New Roman" w:cs="Times New Roman"/>
                <w:sz w:val="28"/>
                <w:szCs w:val="28"/>
              </w:rPr>
              <w:t xml:space="preserve">5.panta </w:t>
            </w:r>
            <w:r w:rsidR="00673ECF" w:rsidRPr="00FA6F1C">
              <w:rPr>
                <w:rFonts w:ascii="Times New Roman" w:hAnsi="Times New Roman" w:cs="Times New Roman"/>
                <w:sz w:val="28"/>
                <w:szCs w:val="28"/>
              </w:rPr>
              <w:t>12</w:t>
            </w:r>
            <w:r w:rsidRPr="00FA6F1C">
              <w:rPr>
                <w:rFonts w:ascii="Times New Roman" w:hAnsi="Times New Roman" w:cs="Times New Roman"/>
                <w:sz w:val="28"/>
                <w:szCs w:val="28"/>
              </w:rPr>
              <w:t>.p</w:t>
            </w:r>
            <w:r w:rsidR="005E150D">
              <w:rPr>
                <w:rFonts w:ascii="Times New Roman" w:hAnsi="Times New Roman" w:cs="Times New Roman"/>
                <w:sz w:val="28"/>
                <w:szCs w:val="28"/>
              </w:rPr>
              <w:t>unkts</w:t>
            </w:r>
          </w:p>
        </w:tc>
        <w:tc>
          <w:tcPr>
            <w:tcW w:w="2090" w:type="dxa"/>
            <w:gridSpan w:val="2"/>
            <w:tcBorders>
              <w:top w:val="outset" w:sz="6" w:space="0" w:color="auto"/>
              <w:left w:val="outset" w:sz="6" w:space="0" w:color="auto"/>
              <w:bottom w:val="outset" w:sz="6" w:space="0" w:color="auto"/>
              <w:right w:val="outset" w:sz="6" w:space="0" w:color="auto"/>
            </w:tcBorders>
          </w:tcPr>
          <w:p w14:paraId="1613D263" w14:textId="001BAA15" w:rsidR="00E42943" w:rsidRPr="00FA6F1C" w:rsidRDefault="00673ECF"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11</w:t>
            </w:r>
            <w:r w:rsidR="00EA09C1" w:rsidRPr="00FA6F1C">
              <w:rPr>
                <w:rFonts w:ascii="Times New Roman" w:hAnsi="Times New Roman" w:cs="Times New Roman"/>
                <w:spacing w:val="-2"/>
                <w:sz w:val="28"/>
                <w:szCs w:val="28"/>
              </w:rPr>
              <w:t>.pant</w:t>
            </w:r>
            <w:r w:rsidR="00527ABD" w:rsidRPr="00FA6F1C">
              <w:rPr>
                <w:rFonts w:ascii="Times New Roman" w:hAnsi="Times New Roman" w:cs="Times New Roman"/>
                <w:spacing w:val="-2"/>
                <w:sz w:val="28"/>
                <w:szCs w:val="28"/>
              </w:rPr>
              <w:t>a</w:t>
            </w:r>
            <w:r w:rsidRPr="00FA6F1C">
              <w:rPr>
                <w:rFonts w:ascii="Times New Roman" w:hAnsi="Times New Roman" w:cs="Times New Roman"/>
                <w:spacing w:val="-2"/>
                <w:sz w:val="28"/>
                <w:szCs w:val="28"/>
              </w:rPr>
              <w:t xml:space="preserve"> 2</w:t>
            </w:r>
            <w:r w:rsidR="00527ABD" w:rsidRPr="00FA6F1C">
              <w:rPr>
                <w:rFonts w:ascii="Times New Roman" w:hAnsi="Times New Roman" w:cs="Times New Roman"/>
                <w:spacing w:val="-2"/>
                <w:sz w:val="28"/>
                <w:szCs w:val="28"/>
              </w:rPr>
              <w:t>.punkts</w:t>
            </w:r>
          </w:p>
        </w:tc>
        <w:tc>
          <w:tcPr>
            <w:tcW w:w="2657" w:type="dxa"/>
            <w:tcBorders>
              <w:top w:val="outset" w:sz="6" w:space="0" w:color="auto"/>
              <w:left w:val="outset" w:sz="6" w:space="0" w:color="auto"/>
              <w:bottom w:val="outset" w:sz="6" w:space="0" w:color="auto"/>
              <w:right w:val="outset" w:sz="6" w:space="0" w:color="auto"/>
            </w:tcBorders>
          </w:tcPr>
          <w:p w14:paraId="117AEAD2" w14:textId="170BBA66" w:rsidR="00E42943" w:rsidRPr="00FA6F1C" w:rsidRDefault="00A45722"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 xml:space="preserve">Ieviests daļēji, </w:t>
            </w:r>
            <w:r w:rsidR="00673ECF" w:rsidRPr="00FA6F1C">
              <w:rPr>
                <w:rFonts w:ascii="Times New Roman" w:hAnsi="Times New Roman" w:cs="Times New Roman"/>
                <w:spacing w:val="-2"/>
                <w:sz w:val="28"/>
                <w:szCs w:val="28"/>
              </w:rPr>
              <w:t>MK noteikumos paredzētajās satura un kvalitātes prasībās Fonda finansētajai pārtikai tiks noteiktas kvalitātes pras</w:t>
            </w:r>
            <w:r w:rsidR="00527ABD" w:rsidRPr="00FA6F1C">
              <w:rPr>
                <w:rFonts w:ascii="Times New Roman" w:hAnsi="Times New Roman" w:cs="Times New Roman"/>
                <w:spacing w:val="-2"/>
                <w:sz w:val="28"/>
                <w:szCs w:val="28"/>
              </w:rPr>
              <w:t>ības</w:t>
            </w:r>
            <w:r w:rsidR="00673ECF" w:rsidRPr="00FA6F1C">
              <w:rPr>
                <w:rFonts w:ascii="Times New Roman" w:hAnsi="Times New Roman" w:cs="Times New Roman"/>
                <w:spacing w:val="-2"/>
                <w:sz w:val="28"/>
                <w:szCs w:val="28"/>
              </w:rPr>
              <w:t>, kas atbilst ES tiesību aktiem par patēriņu produktu drošību.</w:t>
            </w:r>
            <w:r w:rsidRPr="00FA6F1C">
              <w:rPr>
                <w:rFonts w:ascii="Times New Roman" w:hAnsi="Times New Roman" w:cs="Times New Roman"/>
                <w:spacing w:val="-2"/>
                <w:sz w:val="28"/>
                <w:szCs w:val="28"/>
              </w:rPr>
              <w:t xml:space="preserve"> Atbildīgā institūcija – </w:t>
            </w:r>
            <w:r w:rsidR="00673ECF" w:rsidRPr="00FA6F1C">
              <w:rPr>
                <w:rFonts w:ascii="Times New Roman" w:hAnsi="Times New Roman" w:cs="Times New Roman"/>
                <w:spacing w:val="-2"/>
                <w:sz w:val="28"/>
                <w:szCs w:val="28"/>
              </w:rPr>
              <w:t>L</w:t>
            </w:r>
            <w:r w:rsidRPr="00FA6F1C">
              <w:rPr>
                <w:rFonts w:ascii="Times New Roman" w:hAnsi="Times New Roman" w:cs="Times New Roman"/>
                <w:spacing w:val="-2"/>
                <w:sz w:val="28"/>
                <w:szCs w:val="28"/>
              </w:rPr>
              <w:t>M</w:t>
            </w:r>
            <w:r w:rsidR="00673ECF" w:rsidRPr="00FA6F1C">
              <w:rPr>
                <w:rFonts w:ascii="Times New Roman" w:hAnsi="Times New Roman" w:cs="Times New Roman"/>
                <w:spacing w:val="-2"/>
                <w:sz w:val="28"/>
                <w:szCs w:val="28"/>
              </w:rPr>
              <w:t xml:space="preserve"> sadarbībā ar ZM</w:t>
            </w:r>
            <w:r w:rsidRPr="00FA6F1C">
              <w:rPr>
                <w:rFonts w:ascii="Times New Roman" w:hAnsi="Times New Roman" w:cs="Times New Roman"/>
                <w:spacing w:val="-2"/>
                <w:sz w:val="28"/>
                <w:szCs w:val="28"/>
              </w:rPr>
              <w:t>.</w:t>
            </w:r>
          </w:p>
        </w:tc>
        <w:tc>
          <w:tcPr>
            <w:tcW w:w="2585" w:type="dxa"/>
            <w:tcBorders>
              <w:top w:val="outset" w:sz="6" w:space="0" w:color="auto"/>
              <w:left w:val="outset" w:sz="6" w:space="0" w:color="auto"/>
              <w:bottom w:val="outset" w:sz="6" w:space="0" w:color="auto"/>
              <w:right w:val="outset" w:sz="6" w:space="0" w:color="auto"/>
            </w:tcBorders>
          </w:tcPr>
          <w:p w14:paraId="338F3F60" w14:textId="34CEEF74" w:rsidR="00E42943" w:rsidRPr="00FA6F1C" w:rsidRDefault="0032763C"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Likumprojekts neparedz stingrākas prasības</w:t>
            </w:r>
          </w:p>
        </w:tc>
      </w:tr>
      <w:tr w:rsidR="00AA22DE" w:rsidRPr="00FA6F1C" w14:paraId="7D8388EE"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142A41CA" w14:textId="41301E8C" w:rsidR="00AA22DE" w:rsidRPr="00FA6F1C" w:rsidRDefault="00AF0385" w:rsidP="00FA6F1C">
            <w:pPr>
              <w:spacing w:after="0" w:line="240" w:lineRule="auto"/>
              <w:ind w:left="57"/>
              <w:rPr>
                <w:rFonts w:ascii="Times New Roman" w:hAnsi="Times New Roman" w:cs="Times New Roman"/>
                <w:sz w:val="28"/>
                <w:szCs w:val="28"/>
                <w:highlight w:val="yellow"/>
              </w:rPr>
            </w:pPr>
            <w:r w:rsidRPr="00FA6F1C">
              <w:rPr>
                <w:rFonts w:ascii="Times New Roman" w:hAnsi="Times New Roman" w:cs="Times New Roman"/>
                <w:sz w:val="28"/>
                <w:szCs w:val="28"/>
              </w:rPr>
              <w:t>R</w:t>
            </w:r>
            <w:r w:rsidR="00AA22DE" w:rsidRPr="00FA6F1C">
              <w:rPr>
                <w:rFonts w:ascii="Times New Roman" w:hAnsi="Times New Roman" w:cs="Times New Roman"/>
                <w:sz w:val="28"/>
                <w:szCs w:val="28"/>
              </w:rPr>
              <w:t>egulas 1</w:t>
            </w:r>
            <w:r w:rsidR="008812DF" w:rsidRPr="00FA6F1C">
              <w:rPr>
                <w:rFonts w:ascii="Times New Roman" w:hAnsi="Times New Roman" w:cs="Times New Roman"/>
                <w:sz w:val="28"/>
                <w:szCs w:val="28"/>
              </w:rPr>
              <w:t>9</w:t>
            </w:r>
            <w:r w:rsidR="00AA22DE" w:rsidRPr="00FA6F1C">
              <w:rPr>
                <w:rFonts w:ascii="Times New Roman" w:hAnsi="Times New Roman" w:cs="Times New Roman"/>
                <w:sz w:val="28"/>
                <w:szCs w:val="28"/>
              </w:rPr>
              <w:t xml:space="preserve">.panta </w:t>
            </w:r>
            <w:r w:rsidR="008812DF" w:rsidRPr="00FA6F1C">
              <w:rPr>
                <w:rFonts w:ascii="Times New Roman" w:hAnsi="Times New Roman" w:cs="Times New Roman"/>
                <w:sz w:val="28"/>
                <w:szCs w:val="28"/>
              </w:rPr>
              <w:t>2.,3</w:t>
            </w:r>
            <w:r w:rsidR="00AA22DE" w:rsidRPr="00FA6F1C">
              <w:rPr>
                <w:rFonts w:ascii="Times New Roman" w:hAnsi="Times New Roman" w:cs="Times New Roman"/>
                <w:sz w:val="28"/>
                <w:szCs w:val="28"/>
              </w:rPr>
              <w:t>.</w:t>
            </w:r>
            <w:r w:rsidR="00527ABD" w:rsidRPr="00FA6F1C">
              <w:rPr>
                <w:rFonts w:ascii="Times New Roman" w:hAnsi="Times New Roman" w:cs="Times New Roman"/>
                <w:sz w:val="28"/>
                <w:szCs w:val="28"/>
              </w:rPr>
              <w:t>un 5.</w:t>
            </w:r>
            <w:r w:rsidR="008812DF" w:rsidRPr="00FA6F1C">
              <w:rPr>
                <w:rFonts w:ascii="Times New Roman" w:hAnsi="Times New Roman" w:cs="Times New Roman"/>
                <w:sz w:val="28"/>
                <w:szCs w:val="28"/>
              </w:rPr>
              <w:t xml:space="preserve"> </w:t>
            </w:r>
            <w:r w:rsidR="00AA22DE" w:rsidRPr="00FA6F1C">
              <w:rPr>
                <w:rFonts w:ascii="Times New Roman" w:hAnsi="Times New Roman" w:cs="Times New Roman"/>
                <w:sz w:val="28"/>
                <w:szCs w:val="28"/>
              </w:rPr>
              <w:t>punkt</w:t>
            </w:r>
            <w:r w:rsidR="00527ABD" w:rsidRPr="00FA6F1C">
              <w:rPr>
                <w:rFonts w:ascii="Times New Roman" w:hAnsi="Times New Roman" w:cs="Times New Roman"/>
                <w:sz w:val="28"/>
                <w:szCs w:val="28"/>
              </w:rPr>
              <w:t>s</w:t>
            </w:r>
          </w:p>
        </w:tc>
        <w:tc>
          <w:tcPr>
            <w:tcW w:w="2090" w:type="dxa"/>
            <w:gridSpan w:val="2"/>
            <w:tcBorders>
              <w:top w:val="outset" w:sz="6" w:space="0" w:color="auto"/>
              <w:left w:val="outset" w:sz="6" w:space="0" w:color="auto"/>
              <w:bottom w:val="outset" w:sz="6" w:space="0" w:color="auto"/>
              <w:right w:val="outset" w:sz="6" w:space="0" w:color="auto"/>
            </w:tcBorders>
          </w:tcPr>
          <w:p w14:paraId="342AA1B3" w14:textId="50758E4D" w:rsidR="00AA22DE" w:rsidRPr="00FA6F1C" w:rsidRDefault="008812DF" w:rsidP="005E150D">
            <w:pPr>
              <w:spacing w:after="0" w:line="240" w:lineRule="auto"/>
              <w:rPr>
                <w:rFonts w:ascii="Times New Roman" w:hAnsi="Times New Roman" w:cs="Times New Roman"/>
                <w:spacing w:val="-2"/>
                <w:sz w:val="28"/>
                <w:szCs w:val="28"/>
                <w:highlight w:val="yellow"/>
              </w:rPr>
            </w:pPr>
            <w:r w:rsidRPr="00FA6F1C">
              <w:rPr>
                <w:rFonts w:ascii="Times New Roman" w:hAnsi="Times New Roman" w:cs="Times New Roman"/>
                <w:spacing w:val="-2"/>
                <w:sz w:val="28"/>
                <w:szCs w:val="28"/>
              </w:rPr>
              <w:t>5.panta 2.</w:t>
            </w:r>
            <w:r w:rsidR="005E150D">
              <w:rPr>
                <w:rFonts w:ascii="Times New Roman" w:hAnsi="Times New Roman" w:cs="Times New Roman"/>
                <w:spacing w:val="-2"/>
                <w:sz w:val="28"/>
                <w:szCs w:val="28"/>
              </w:rPr>
              <w:t>daļas 6.punkts</w:t>
            </w:r>
            <w:r w:rsidRPr="00FA6F1C">
              <w:rPr>
                <w:rFonts w:ascii="Times New Roman" w:hAnsi="Times New Roman" w:cs="Times New Roman"/>
                <w:spacing w:val="-2"/>
                <w:sz w:val="28"/>
                <w:szCs w:val="28"/>
              </w:rPr>
              <w:t xml:space="preserve">; </w:t>
            </w:r>
            <w:r w:rsidR="00DA4962" w:rsidRPr="00FA6F1C">
              <w:rPr>
                <w:rFonts w:ascii="Times New Roman" w:hAnsi="Times New Roman" w:cs="Times New Roman"/>
                <w:spacing w:val="-2"/>
                <w:sz w:val="28"/>
                <w:szCs w:val="28"/>
              </w:rPr>
              <w:t>6</w:t>
            </w:r>
            <w:r w:rsidR="00FD37A7" w:rsidRPr="00FA6F1C">
              <w:rPr>
                <w:rFonts w:ascii="Times New Roman" w:hAnsi="Times New Roman" w:cs="Times New Roman"/>
                <w:spacing w:val="-2"/>
                <w:sz w:val="28"/>
                <w:szCs w:val="28"/>
              </w:rPr>
              <w:t xml:space="preserve">.panta </w:t>
            </w:r>
            <w:r w:rsidRPr="00FA6F1C">
              <w:rPr>
                <w:rFonts w:ascii="Times New Roman" w:hAnsi="Times New Roman" w:cs="Times New Roman"/>
                <w:spacing w:val="-2"/>
                <w:sz w:val="28"/>
                <w:szCs w:val="28"/>
              </w:rPr>
              <w:t>3.</w:t>
            </w:r>
            <w:r w:rsidR="005E150D">
              <w:rPr>
                <w:rFonts w:ascii="Times New Roman" w:hAnsi="Times New Roman" w:cs="Times New Roman"/>
                <w:spacing w:val="-2"/>
                <w:sz w:val="28"/>
                <w:szCs w:val="28"/>
              </w:rPr>
              <w:t>daļas</w:t>
            </w:r>
            <w:r w:rsidR="00FD37A7" w:rsidRPr="00FA6F1C">
              <w:rPr>
                <w:rFonts w:ascii="Times New Roman" w:hAnsi="Times New Roman" w:cs="Times New Roman"/>
                <w:spacing w:val="-2"/>
                <w:sz w:val="28"/>
                <w:szCs w:val="28"/>
              </w:rPr>
              <w:t xml:space="preserve"> </w:t>
            </w:r>
            <w:r w:rsidR="005E150D">
              <w:rPr>
                <w:rFonts w:ascii="Times New Roman" w:hAnsi="Times New Roman" w:cs="Times New Roman"/>
                <w:spacing w:val="-2"/>
                <w:sz w:val="28"/>
                <w:szCs w:val="28"/>
              </w:rPr>
              <w:t>2.punkts</w:t>
            </w:r>
          </w:p>
        </w:tc>
        <w:tc>
          <w:tcPr>
            <w:tcW w:w="2657" w:type="dxa"/>
            <w:tcBorders>
              <w:top w:val="outset" w:sz="6" w:space="0" w:color="auto"/>
              <w:left w:val="outset" w:sz="6" w:space="0" w:color="auto"/>
              <w:bottom w:val="outset" w:sz="6" w:space="0" w:color="auto"/>
              <w:right w:val="outset" w:sz="6" w:space="0" w:color="auto"/>
            </w:tcBorders>
          </w:tcPr>
          <w:p w14:paraId="628A1629" w14:textId="080CA3CF" w:rsidR="00AA22DE" w:rsidRPr="00FA6F1C" w:rsidRDefault="00783B3F"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Ieviests pilnīb</w:t>
            </w:r>
            <w:r w:rsidR="00AF5F37" w:rsidRPr="00FA6F1C">
              <w:rPr>
                <w:rFonts w:ascii="Times New Roman" w:hAnsi="Times New Roman" w:cs="Times New Roman"/>
                <w:spacing w:val="-2"/>
                <w:sz w:val="28"/>
                <w:szCs w:val="28"/>
              </w:rPr>
              <w:t>ā</w:t>
            </w:r>
          </w:p>
        </w:tc>
        <w:tc>
          <w:tcPr>
            <w:tcW w:w="2585" w:type="dxa"/>
            <w:tcBorders>
              <w:top w:val="outset" w:sz="6" w:space="0" w:color="auto"/>
              <w:left w:val="outset" w:sz="6" w:space="0" w:color="auto"/>
              <w:bottom w:val="outset" w:sz="6" w:space="0" w:color="auto"/>
              <w:right w:val="outset" w:sz="6" w:space="0" w:color="auto"/>
            </w:tcBorders>
          </w:tcPr>
          <w:p w14:paraId="6680FD55" w14:textId="6E102AA5" w:rsidR="00AA22DE" w:rsidRPr="00FA6F1C" w:rsidRDefault="0032763C"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Likumprojekts neparedz stingrākas prasības</w:t>
            </w:r>
          </w:p>
        </w:tc>
      </w:tr>
      <w:tr w:rsidR="00AF5F37" w:rsidRPr="00FA6F1C" w14:paraId="3A0A17AC"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57993972" w14:textId="48DC8697" w:rsidR="00AF5F37" w:rsidRPr="00FA6F1C" w:rsidRDefault="00AF5F37" w:rsidP="00FA6F1C">
            <w:pPr>
              <w:spacing w:after="0" w:line="240" w:lineRule="auto"/>
              <w:ind w:left="57"/>
              <w:rPr>
                <w:rFonts w:ascii="Times New Roman" w:hAnsi="Times New Roman" w:cs="Times New Roman"/>
                <w:sz w:val="28"/>
                <w:szCs w:val="28"/>
              </w:rPr>
            </w:pPr>
          </w:p>
        </w:tc>
        <w:tc>
          <w:tcPr>
            <w:tcW w:w="2090" w:type="dxa"/>
            <w:gridSpan w:val="2"/>
            <w:tcBorders>
              <w:top w:val="outset" w:sz="6" w:space="0" w:color="auto"/>
              <w:left w:val="outset" w:sz="6" w:space="0" w:color="auto"/>
              <w:bottom w:val="outset" w:sz="6" w:space="0" w:color="auto"/>
              <w:right w:val="outset" w:sz="6" w:space="0" w:color="auto"/>
            </w:tcBorders>
          </w:tcPr>
          <w:p w14:paraId="2C3DA9B9" w14:textId="12EA7D7B" w:rsidR="00AF5F37" w:rsidRPr="00FA6F1C" w:rsidRDefault="00AF5F37" w:rsidP="00FA6F1C">
            <w:pPr>
              <w:spacing w:after="0" w:line="240" w:lineRule="auto"/>
              <w:rPr>
                <w:rFonts w:ascii="Times New Roman" w:hAnsi="Times New Roman" w:cs="Times New Roman"/>
                <w:spacing w:val="-2"/>
                <w:sz w:val="28"/>
                <w:szCs w:val="28"/>
              </w:rPr>
            </w:pPr>
          </w:p>
        </w:tc>
        <w:tc>
          <w:tcPr>
            <w:tcW w:w="2657" w:type="dxa"/>
            <w:tcBorders>
              <w:top w:val="outset" w:sz="6" w:space="0" w:color="auto"/>
              <w:left w:val="outset" w:sz="6" w:space="0" w:color="auto"/>
              <w:bottom w:val="outset" w:sz="6" w:space="0" w:color="auto"/>
              <w:right w:val="outset" w:sz="6" w:space="0" w:color="auto"/>
            </w:tcBorders>
          </w:tcPr>
          <w:p w14:paraId="54A4F9D8" w14:textId="50817ECE" w:rsidR="00AF5F37" w:rsidRPr="00FA6F1C" w:rsidRDefault="00AF5F37" w:rsidP="00FA6F1C">
            <w:pPr>
              <w:spacing w:after="0" w:line="240" w:lineRule="auto"/>
              <w:ind w:left="57"/>
              <w:rPr>
                <w:rFonts w:ascii="Times New Roman" w:hAnsi="Times New Roman" w:cs="Times New Roman"/>
                <w:spacing w:val="-2"/>
                <w:sz w:val="28"/>
                <w:szCs w:val="28"/>
              </w:rPr>
            </w:pPr>
          </w:p>
        </w:tc>
        <w:tc>
          <w:tcPr>
            <w:tcW w:w="2585" w:type="dxa"/>
            <w:tcBorders>
              <w:top w:val="outset" w:sz="6" w:space="0" w:color="auto"/>
              <w:left w:val="outset" w:sz="6" w:space="0" w:color="auto"/>
              <w:bottom w:val="outset" w:sz="6" w:space="0" w:color="auto"/>
              <w:right w:val="outset" w:sz="6" w:space="0" w:color="auto"/>
            </w:tcBorders>
          </w:tcPr>
          <w:p w14:paraId="5811B2ED" w14:textId="6D0AC055" w:rsidR="00AF5F37" w:rsidRPr="00FA6F1C" w:rsidRDefault="00AF5F37" w:rsidP="00FA6F1C">
            <w:pPr>
              <w:spacing w:after="0" w:line="240" w:lineRule="auto"/>
              <w:ind w:left="57"/>
              <w:rPr>
                <w:rFonts w:ascii="Times New Roman" w:hAnsi="Times New Roman" w:cs="Times New Roman"/>
                <w:b/>
                <w:spacing w:val="-2"/>
                <w:sz w:val="28"/>
                <w:szCs w:val="28"/>
              </w:rPr>
            </w:pPr>
          </w:p>
        </w:tc>
      </w:tr>
      <w:tr w:rsidR="00AA22DE" w:rsidRPr="00FA6F1C" w14:paraId="720FC1DD"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36595F69" w14:textId="7D4C0AA8" w:rsidR="00AA22DE" w:rsidRPr="00FA6F1C" w:rsidRDefault="00AF0385" w:rsidP="005E150D">
            <w:pPr>
              <w:spacing w:after="0" w:line="240" w:lineRule="auto"/>
              <w:ind w:left="57"/>
              <w:rPr>
                <w:rFonts w:ascii="Times New Roman" w:hAnsi="Times New Roman" w:cs="Times New Roman"/>
                <w:sz w:val="28"/>
                <w:szCs w:val="28"/>
              </w:rPr>
            </w:pPr>
            <w:r w:rsidRPr="00FA6F1C">
              <w:rPr>
                <w:rFonts w:ascii="Times New Roman" w:hAnsi="Times New Roman" w:cs="Times New Roman"/>
                <w:sz w:val="28"/>
                <w:szCs w:val="28"/>
              </w:rPr>
              <w:t>R</w:t>
            </w:r>
            <w:r w:rsidR="00AA22DE" w:rsidRPr="00FA6F1C">
              <w:rPr>
                <w:rFonts w:ascii="Times New Roman" w:hAnsi="Times New Roman" w:cs="Times New Roman"/>
                <w:sz w:val="28"/>
                <w:szCs w:val="28"/>
              </w:rPr>
              <w:t xml:space="preserve">egulas </w:t>
            </w:r>
            <w:r w:rsidR="006E5D54" w:rsidRPr="00FA6F1C">
              <w:rPr>
                <w:rFonts w:ascii="Times New Roman" w:hAnsi="Times New Roman" w:cs="Times New Roman"/>
                <w:sz w:val="28"/>
                <w:szCs w:val="28"/>
              </w:rPr>
              <w:t>3</w:t>
            </w:r>
            <w:r w:rsidR="005E150D">
              <w:rPr>
                <w:rFonts w:ascii="Times New Roman" w:hAnsi="Times New Roman" w:cs="Times New Roman"/>
                <w:sz w:val="28"/>
                <w:szCs w:val="28"/>
              </w:rPr>
              <w:t>5</w:t>
            </w:r>
            <w:r w:rsidR="00AA22DE" w:rsidRPr="00FA6F1C">
              <w:rPr>
                <w:rFonts w:ascii="Times New Roman" w:hAnsi="Times New Roman" w:cs="Times New Roman"/>
                <w:sz w:val="28"/>
                <w:szCs w:val="28"/>
              </w:rPr>
              <w:t>.pant</w:t>
            </w:r>
            <w:r w:rsidRPr="00FA6F1C">
              <w:rPr>
                <w:rFonts w:ascii="Times New Roman" w:hAnsi="Times New Roman" w:cs="Times New Roman"/>
                <w:sz w:val="28"/>
                <w:szCs w:val="28"/>
              </w:rPr>
              <w:t>s</w:t>
            </w:r>
          </w:p>
        </w:tc>
        <w:tc>
          <w:tcPr>
            <w:tcW w:w="2090" w:type="dxa"/>
            <w:gridSpan w:val="2"/>
            <w:tcBorders>
              <w:top w:val="outset" w:sz="6" w:space="0" w:color="auto"/>
              <w:left w:val="outset" w:sz="6" w:space="0" w:color="auto"/>
              <w:bottom w:val="outset" w:sz="6" w:space="0" w:color="auto"/>
              <w:right w:val="outset" w:sz="6" w:space="0" w:color="auto"/>
            </w:tcBorders>
          </w:tcPr>
          <w:p w14:paraId="1DAE225A" w14:textId="02288A3E" w:rsidR="00AA22DE" w:rsidRPr="00FA6F1C" w:rsidRDefault="006E5D54"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10.</w:t>
            </w:r>
            <w:r w:rsidR="00FD37A7" w:rsidRPr="00FA6F1C">
              <w:rPr>
                <w:rFonts w:ascii="Times New Roman" w:hAnsi="Times New Roman" w:cs="Times New Roman"/>
                <w:spacing w:val="-2"/>
                <w:sz w:val="28"/>
                <w:szCs w:val="28"/>
              </w:rPr>
              <w:t>panta trešā daļa</w:t>
            </w:r>
          </w:p>
        </w:tc>
        <w:tc>
          <w:tcPr>
            <w:tcW w:w="2657" w:type="dxa"/>
            <w:tcBorders>
              <w:top w:val="outset" w:sz="6" w:space="0" w:color="auto"/>
              <w:left w:val="outset" w:sz="6" w:space="0" w:color="auto"/>
              <w:bottom w:val="outset" w:sz="6" w:space="0" w:color="auto"/>
              <w:right w:val="outset" w:sz="6" w:space="0" w:color="auto"/>
            </w:tcBorders>
          </w:tcPr>
          <w:p w14:paraId="3C689D0E" w14:textId="1FFA86C4" w:rsidR="00AA22DE" w:rsidRPr="00FA6F1C" w:rsidRDefault="00783B3F"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Ieviests pilnīb</w:t>
            </w:r>
            <w:r w:rsidR="00AF5F37" w:rsidRPr="00FA6F1C">
              <w:rPr>
                <w:rFonts w:ascii="Times New Roman" w:hAnsi="Times New Roman" w:cs="Times New Roman"/>
                <w:spacing w:val="-2"/>
                <w:sz w:val="28"/>
                <w:szCs w:val="28"/>
              </w:rPr>
              <w:t>ā</w:t>
            </w:r>
          </w:p>
        </w:tc>
        <w:tc>
          <w:tcPr>
            <w:tcW w:w="2585" w:type="dxa"/>
            <w:tcBorders>
              <w:top w:val="outset" w:sz="6" w:space="0" w:color="auto"/>
              <w:left w:val="outset" w:sz="6" w:space="0" w:color="auto"/>
              <w:bottom w:val="outset" w:sz="6" w:space="0" w:color="auto"/>
              <w:right w:val="outset" w:sz="6" w:space="0" w:color="auto"/>
            </w:tcBorders>
          </w:tcPr>
          <w:p w14:paraId="145DEB12" w14:textId="7D40F865" w:rsidR="00AA22DE" w:rsidRPr="00FA6F1C" w:rsidRDefault="0032763C"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 xml:space="preserve">Likumprojekts neparedz stingrākas </w:t>
            </w:r>
            <w:r w:rsidRPr="00FA6F1C">
              <w:rPr>
                <w:rFonts w:ascii="Times New Roman" w:hAnsi="Times New Roman" w:cs="Times New Roman"/>
                <w:spacing w:val="-2"/>
                <w:sz w:val="28"/>
                <w:szCs w:val="28"/>
              </w:rPr>
              <w:lastRenderedPageBreak/>
              <w:t>prasības</w:t>
            </w:r>
          </w:p>
        </w:tc>
      </w:tr>
      <w:tr w:rsidR="00E42943" w:rsidRPr="00FA6F1C" w14:paraId="1D9A1A6F"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7CDE24AE" w14:textId="0DD92017" w:rsidR="00E42943" w:rsidRPr="00FA6F1C" w:rsidRDefault="00AF0385"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z w:val="28"/>
                <w:szCs w:val="28"/>
              </w:rPr>
              <w:lastRenderedPageBreak/>
              <w:t>R</w:t>
            </w:r>
            <w:r w:rsidR="008053B2" w:rsidRPr="00FA6F1C">
              <w:rPr>
                <w:rFonts w:ascii="Times New Roman" w:hAnsi="Times New Roman" w:cs="Times New Roman"/>
                <w:sz w:val="28"/>
                <w:szCs w:val="28"/>
              </w:rPr>
              <w:t xml:space="preserve">egulas </w:t>
            </w:r>
            <w:r w:rsidR="008F4AAF" w:rsidRPr="00FA6F1C">
              <w:rPr>
                <w:rFonts w:ascii="Times New Roman" w:hAnsi="Times New Roman" w:cs="Times New Roman"/>
                <w:sz w:val="28"/>
                <w:szCs w:val="28"/>
              </w:rPr>
              <w:t>3</w:t>
            </w:r>
            <w:r w:rsidR="008053B2" w:rsidRPr="00FA6F1C">
              <w:rPr>
                <w:rFonts w:ascii="Times New Roman" w:hAnsi="Times New Roman" w:cs="Times New Roman"/>
                <w:sz w:val="28"/>
                <w:szCs w:val="28"/>
              </w:rPr>
              <w:t>2.panta 1.punkt</w:t>
            </w:r>
            <w:r w:rsidRPr="00FA6F1C">
              <w:rPr>
                <w:rFonts w:ascii="Times New Roman" w:hAnsi="Times New Roman" w:cs="Times New Roman"/>
                <w:sz w:val="28"/>
                <w:szCs w:val="28"/>
              </w:rPr>
              <w:t>s</w:t>
            </w:r>
          </w:p>
        </w:tc>
        <w:tc>
          <w:tcPr>
            <w:tcW w:w="2090" w:type="dxa"/>
            <w:gridSpan w:val="2"/>
            <w:tcBorders>
              <w:top w:val="outset" w:sz="6" w:space="0" w:color="auto"/>
              <w:left w:val="outset" w:sz="6" w:space="0" w:color="auto"/>
              <w:bottom w:val="outset" w:sz="6" w:space="0" w:color="auto"/>
              <w:right w:val="outset" w:sz="6" w:space="0" w:color="auto"/>
            </w:tcBorders>
          </w:tcPr>
          <w:p w14:paraId="71322769" w14:textId="2DEA2F68" w:rsidR="00E42943" w:rsidRPr="00FA6F1C" w:rsidRDefault="008F4AAF"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5</w:t>
            </w:r>
            <w:r w:rsidR="00F46D80" w:rsidRPr="00FA6F1C">
              <w:rPr>
                <w:rFonts w:ascii="Times New Roman" w:hAnsi="Times New Roman" w:cs="Times New Roman"/>
                <w:spacing w:val="-2"/>
                <w:sz w:val="28"/>
                <w:szCs w:val="28"/>
              </w:rPr>
              <w:t xml:space="preserve">.panta </w:t>
            </w:r>
            <w:r w:rsidR="008C1BAB" w:rsidRPr="00FA6F1C">
              <w:rPr>
                <w:rFonts w:ascii="Times New Roman" w:hAnsi="Times New Roman" w:cs="Times New Roman"/>
                <w:spacing w:val="-2"/>
                <w:sz w:val="28"/>
                <w:szCs w:val="28"/>
              </w:rPr>
              <w:t xml:space="preserve">otrās </w:t>
            </w:r>
            <w:r w:rsidR="00F46D80" w:rsidRPr="00FA6F1C">
              <w:rPr>
                <w:rFonts w:ascii="Times New Roman" w:hAnsi="Times New Roman" w:cs="Times New Roman"/>
                <w:spacing w:val="-2"/>
                <w:sz w:val="28"/>
                <w:szCs w:val="28"/>
              </w:rPr>
              <w:t>daļas 1</w:t>
            </w:r>
            <w:r w:rsidRPr="00FA6F1C">
              <w:rPr>
                <w:rFonts w:ascii="Times New Roman" w:hAnsi="Times New Roman" w:cs="Times New Roman"/>
                <w:spacing w:val="-2"/>
                <w:sz w:val="28"/>
                <w:szCs w:val="28"/>
              </w:rPr>
              <w:t>4</w:t>
            </w:r>
            <w:r w:rsidR="00F46D80" w:rsidRPr="00FA6F1C">
              <w:rPr>
                <w:rFonts w:ascii="Times New Roman" w:hAnsi="Times New Roman" w:cs="Times New Roman"/>
                <w:spacing w:val="-2"/>
                <w:sz w:val="28"/>
                <w:szCs w:val="28"/>
              </w:rPr>
              <w:t>.punkts</w:t>
            </w:r>
          </w:p>
        </w:tc>
        <w:tc>
          <w:tcPr>
            <w:tcW w:w="2657" w:type="dxa"/>
            <w:tcBorders>
              <w:top w:val="outset" w:sz="6" w:space="0" w:color="auto"/>
              <w:left w:val="outset" w:sz="6" w:space="0" w:color="auto"/>
              <w:bottom w:val="outset" w:sz="6" w:space="0" w:color="auto"/>
              <w:right w:val="outset" w:sz="6" w:space="0" w:color="auto"/>
            </w:tcBorders>
          </w:tcPr>
          <w:p w14:paraId="2C1EDF42" w14:textId="1D3D77A9" w:rsidR="00E42943" w:rsidRPr="00FA6F1C" w:rsidRDefault="00AF5F37"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Ieviests pilnībā</w:t>
            </w:r>
          </w:p>
        </w:tc>
        <w:tc>
          <w:tcPr>
            <w:tcW w:w="2585" w:type="dxa"/>
            <w:tcBorders>
              <w:top w:val="outset" w:sz="6" w:space="0" w:color="auto"/>
              <w:left w:val="outset" w:sz="6" w:space="0" w:color="auto"/>
              <w:bottom w:val="outset" w:sz="6" w:space="0" w:color="auto"/>
              <w:right w:val="outset" w:sz="6" w:space="0" w:color="auto"/>
            </w:tcBorders>
          </w:tcPr>
          <w:p w14:paraId="3767A10C" w14:textId="40862FA8" w:rsidR="00E42943" w:rsidRPr="00FA6F1C" w:rsidRDefault="0032763C"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Likumprojekts neparedz stingrākas prasības</w:t>
            </w:r>
          </w:p>
        </w:tc>
      </w:tr>
      <w:tr w:rsidR="00E42943" w:rsidRPr="00FA6F1C" w14:paraId="3FD56B2B"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3BF4DC55" w14:textId="0C297DC1" w:rsidR="00E42943" w:rsidRPr="00FA6F1C" w:rsidRDefault="00E42943" w:rsidP="00FA6F1C">
            <w:pPr>
              <w:spacing w:after="0" w:line="240" w:lineRule="auto"/>
              <w:ind w:left="57"/>
              <w:rPr>
                <w:rFonts w:ascii="Times New Roman" w:hAnsi="Times New Roman" w:cs="Times New Roman"/>
                <w:spacing w:val="-2"/>
                <w:sz w:val="28"/>
                <w:szCs w:val="28"/>
              </w:rPr>
            </w:pPr>
          </w:p>
        </w:tc>
        <w:tc>
          <w:tcPr>
            <w:tcW w:w="2090" w:type="dxa"/>
            <w:gridSpan w:val="2"/>
            <w:tcBorders>
              <w:top w:val="outset" w:sz="6" w:space="0" w:color="auto"/>
              <w:left w:val="outset" w:sz="6" w:space="0" w:color="auto"/>
              <w:bottom w:val="outset" w:sz="6" w:space="0" w:color="auto"/>
              <w:right w:val="outset" w:sz="6" w:space="0" w:color="auto"/>
            </w:tcBorders>
          </w:tcPr>
          <w:p w14:paraId="3BB571B6" w14:textId="47B5A387" w:rsidR="00E42943" w:rsidRPr="00FA6F1C" w:rsidRDefault="00E42943" w:rsidP="00FA6F1C">
            <w:pPr>
              <w:spacing w:after="0" w:line="240" w:lineRule="auto"/>
              <w:ind w:left="57"/>
              <w:rPr>
                <w:rFonts w:ascii="Times New Roman" w:hAnsi="Times New Roman" w:cs="Times New Roman"/>
                <w:spacing w:val="-2"/>
                <w:sz w:val="28"/>
                <w:szCs w:val="28"/>
              </w:rPr>
            </w:pPr>
          </w:p>
        </w:tc>
        <w:tc>
          <w:tcPr>
            <w:tcW w:w="2657" w:type="dxa"/>
            <w:tcBorders>
              <w:top w:val="outset" w:sz="6" w:space="0" w:color="auto"/>
              <w:left w:val="outset" w:sz="6" w:space="0" w:color="auto"/>
              <w:bottom w:val="outset" w:sz="6" w:space="0" w:color="auto"/>
              <w:right w:val="outset" w:sz="6" w:space="0" w:color="auto"/>
            </w:tcBorders>
          </w:tcPr>
          <w:p w14:paraId="3AD81BE0" w14:textId="179B9BD3" w:rsidR="00E42943" w:rsidRPr="00FA6F1C" w:rsidRDefault="00E42943" w:rsidP="00FA6F1C">
            <w:pPr>
              <w:spacing w:after="0" w:line="240" w:lineRule="auto"/>
              <w:ind w:left="57"/>
              <w:rPr>
                <w:rFonts w:ascii="Times New Roman" w:hAnsi="Times New Roman" w:cs="Times New Roman"/>
                <w:spacing w:val="-2"/>
                <w:sz w:val="28"/>
                <w:szCs w:val="28"/>
              </w:rPr>
            </w:pPr>
          </w:p>
        </w:tc>
        <w:tc>
          <w:tcPr>
            <w:tcW w:w="2585" w:type="dxa"/>
            <w:tcBorders>
              <w:top w:val="outset" w:sz="6" w:space="0" w:color="auto"/>
              <w:left w:val="outset" w:sz="6" w:space="0" w:color="auto"/>
              <w:bottom w:val="outset" w:sz="6" w:space="0" w:color="auto"/>
              <w:right w:val="outset" w:sz="6" w:space="0" w:color="auto"/>
            </w:tcBorders>
          </w:tcPr>
          <w:p w14:paraId="0FB2222A" w14:textId="2ECA07D7" w:rsidR="00E42943" w:rsidRPr="00FA6F1C" w:rsidRDefault="00E42943" w:rsidP="00FA6F1C">
            <w:pPr>
              <w:spacing w:after="0" w:line="240" w:lineRule="auto"/>
              <w:ind w:left="57"/>
              <w:rPr>
                <w:rFonts w:ascii="Times New Roman" w:hAnsi="Times New Roman" w:cs="Times New Roman"/>
                <w:spacing w:val="-2"/>
                <w:sz w:val="28"/>
                <w:szCs w:val="28"/>
              </w:rPr>
            </w:pPr>
          </w:p>
        </w:tc>
      </w:tr>
      <w:tr w:rsidR="008053B2" w:rsidRPr="00FA6F1C" w14:paraId="3644F82D"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20E7EE8B" w14:textId="350911BE" w:rsidR="008053B2" w:rsidRPr="00FA6F1C" w:rsidRDefault="00AF0385" w:rsidP="00FA6F1C">
            <w:pPr>
              <w:spacing w:after="0" w:line="240" w:lineRule="auto"/>
              <w:ind w:left="57"/>
              <w:rPr>
                <w:rFonts w:ascii="Times New Roman" w:hAnsi="Times New Roman" w:cs="Times New Roman"/>
                <w:sz w:val="28"/>
                <w:szCs w:val="28"/>
              </w:rPr>
            </w:pPr>
            <w:r w:rsidRPr="00FA6F1C">
              <w:rPr>
                <w:rFonts w:ascii="Times New Roman" w:hAnsi="Times New Roman" w:cs="Times New Roman"/>
                <w:sz w:val="28"/>
                <w:szCs w:val="28"/>
              </w:rPr>
              <w:t xml:space="preserve">Regulas </w:t>
            </w:r>
            <w:r w:rsidR="00133F76" w:rsidRPr="00FA6F1C">
              <w:rPr>
                <w:rFonts w:ascii="Times New Roman" w:hAnsi="Times New Roman" w:cs="Times New Roman"/>
                <w:sz w:val="28"/>
                <w:szCs w:val="28"/>
              </w:rPr>
              <w:t>32</w:t>
            </w:r>
            <w:r w:rsidRPr="00FA6F1C">
              <w:rPr>
                <w:rFonts w:ascii="Times New Roman" w:hAnsi="Times New Roman" w:cs="Times New Roman"/>
                <w:sz w:val="28"/>
                <w:szCs w:val="28"/>
              </w:rPr>
              <w:t xml:space="preserve">.panta </w:t>
            </w:r>
            <w:r w:rsidR="008053B2" w:rsidRPr="00FA6F1C">
              <w:rPr>
                <w:rFonts w:ascii="Times New Roman" w:hAnsi="Times New Roman" w:cs="Times New Roman"/>
                <w:sz w:val="28"/>
                <w:szCs w:val="28"/>
              </w:rPr>
              <w:t>2.punkta b) apakšpunkt</w:t>
            </w:r>
            <w:r w:rsidRPr="00FA6F1C">
              <w:rPr>
                <w:rFonts w:ascii="Times New Roman" w:hAnsi="Times New Roman" w:cs="Times New Roman"/>
                <w:sz w:val="28"/>
                <w:szCs w:val="28"/>
              </w:rPr>
              <w:t>s</w:t>
            </w:r>
          </w:p>
        </w:tc>
        <w:tc>
          <w:tcPr>
            <w:tcW w:w="2090" w:type="dxa"/>
            <w:gridSpan w:val="2"/>
            <w:tcBorders>
              <w:top w:val="outset" w:sz="6" w:space="0" w:color="auto"/>
              <w:left w:val="outset" w:sz="6" w:space="0" w:color="auto"/>
              <w:bottom w:val="outset" w:sz="6" w:space="0" w:color="auto"/>
              <w:right w:val="outset" w:sz="6" w:space="0" w:color="auto"/>
            </w:tcBorders>
          </w:tcPr>
          <w:p w14:paraId="7CB70F47" w14:textId="6BA28B6E" w:rsidR="008053B2" w:rsidRPr="00FA6F1C" w:rsidRDefault="00133F76"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5</w:t>
            </w:r>
            <w:r w:rsidR="00F46D80" w:rsidRPr="00FA6F1C">
              <w:rPr>
                <w:rFonts w:ascii="Times New Roman" w:hAnsi="Times New Roman" w:cs="Times New Roman"/>
                <w:spacing w:val="-2"/>
                <w:sz w:val="28"/>
                <w:szCs w:val="28"/>
              </w:rPr>
              <w:t xml:space="preserve">.panta </w:t>
            </w:r>
            <w:r w:rsidR="008C1BAB" w:rsidRPr="00FA6F1C">
              <w:rPr>
                <w:rFonts w:ascii="Times New Roman" w:hAnsi="Times New Roman" w:cs="Times New Roman"/>
                <w:spacing w:val="-2"/>
                <w:sz w:val="28"/>
                <w:szCs w:val="28"/>
              </w:rPr>
              <w:t xml:space="preserve">otrās </w:t>
            </w:r>
            <w:r w:rsidR="00F46D80" w:rsidRPr="00FA6F1C">
              <w:rPr>
                <w:rFonts w:ascii="Times New Roman" w:hAnsi="Times New Roman" w:cs="Times New Roman"/>
                <w:spacing w:val="-2"/>
                <w:sz w:val="28"/>
                <w:szCs w:val="28"/>
              </w:rPr>
              <w:t>daļas 1</w:t>
            </w:r>
            <w:r w:rsidRPr="00FA6F1C">
              <w:rPr>
                <w:rFonts w:ascii="Times New Roman" w:hAnsi="Times New Roman" w:cs="Times New Roman"/>
                <w:spacing w:val="-2"/>
                <w:sz w:val="28"/>
                <w:szCs w:val="28"/>
              </w:rPr>
              <w:t>4</w:t>
            </w:r>
            <w:r w:rsidR="00F46D80" w:rsidRPr="00FA6F1C">
              <w:rPr>
                <w:rFonts w:ascii="Times New Roman" w:hAnsi="Times New Roman" w:cs="Times New Roman"/>
                <w:spacing w:val="-2"/>
                <w:sz w:val="28"/>
                <w:szCs w:val="28"/>
              </w:rPr>
              <w:t>.punkts</w:t>
            </w:r>
          </w:p>
        </w:tc>
        <w:tc>
          <w:tcPr>
            <w:tcW w:w="2657" w:type="dxa"/>
            <w:tcBorders>
              <w:top w:val="outset" w:sz="6" w:space="0" w:color="auto"/>
              <w:left w:val="outset" w:sz="6" w:space="0" w:color="auto"/>
              <w:bottom w:val="outset" w:sz="6" w:space="0" w:color="auto"/>
              <w:right w:val="outset" w:sz="6" w:space="0" w:color="auto"/>
            </w:tcBorders>
          </w:tcPr>
          <w:p w14:paraId="15D20D42" w14:textId="3ECB997B" w:rsidR="008053B2" w:rsidRPr="00FA6F1C" w:rsidRDefault="00AF5F37"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Ieviests pilnībā</w:t>
            </w:r>
          </w:p>
        </w:tc>
        <w:tc>
          <w:tcPr>
            <w:tcW w:w="2585" w:type="dxa"/>
            <w:tcBorders>
              <w:top w:val="outset" w:sz="6" w:space="0" w:color="auto"/>
              <w:left w:val="outset" w:sz="6" w:space="0" w:color="auto"/>
              <w:bottom w:val="outset" w:sz="6" w:space="0" w:color="auto"/>
              <w:right w:val="outset" w:sz="6" w:space="0" w:color="auto"/>
            </w:tcBorders>
          </w:tcPr>
          <w:p w14:paraId="36535732" w14:textId="654FAFF2" w:rsidR="008053B2" w:rsidRPr="00FA6F1C" w:rsidRDefault="0032763C"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Likumprojekts neparedz stingrākas prasības</w:t>
            </w:r>
          </w:p>
        </w:tc>
      </w:tr>
      <w:tr w:rsidR="00E42943" w:rsidRPr="00FA6F1C" w14:paraId="2F5C6573"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2F5BDFEE" w14:textId="0C279AC0" w:rsidR="00E42943" w:rsidRPr="00FA6F1C" w:rsidRDefault="00AF0385"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z w:val="28"/>
                <w:szCs w:val="28"/>
              </w:rPr>
              <w:t>R</w:t>
            </w:r>
            <w:r w:rsidR="008053B2" w:rsidRPr="00FA6F1C">
              <w:rPr>
                <w:rFonts w:ascii="Times New Roman" w:hAnsi="Times New Roman" w:cs="Times New Roman"/>
                <w:sz w:val="28"/>
                <w:szCs w:val="28"/>
              </w:rPr>
              <w:t xml:space="preserve">egulas </w:t>
            </w:r>
            <w:r w:rsidR="00133F76" w:rsidRPr="00FA6F1C">
              <w:rPr>
                <w:rFonts w:ascii="Times New Roman" w:hAnsi="Times New Roman" w:cs="Times New Roman"/>
                <w:sz w:val="28"/>
                <w:szCs w:val="28"/>
              </w:rPr>
              <w:t>32</w:t>
            </w:r>
            <w:r w:rsidR="008053B2" w:rsidRPr="00FA6F1C">
              <w:rPr>
                <w:rFonts w:ascii="Times New Roman" w:hAnsi="Times New Roman" w:cs="Times New Roman"/>
                <w:sz w:val="28"/>
                <w:szCs w:val="28"/>
              </w:rPr>
              <w:t>.panta 2.punkta c) apakšpunkt</w:t>
            </w:r>
            <w:r w:rsidRPr="00FA6F1C">
              <w:rPr>
                <w:rFonts w:ascii="Times New Roman" w:hAnsi="Times New Roman" w:cs="Times New Roman"/>
                <w:sz w:val="28"/>
                <w:szCs w:val="28"/>
              </w:rPr>
              <w:t>s</w:t>
            </w:r>
          </w:p>
        </w:tc>
        <w:tc>
          <w:tcPr>
            <w:tcW w:w="2090" w:type="dxa"/>
            <w:gridSpan w:val="2"/>
            <w:tcBorders>
              <w:top w:val="outset" w:sz="6" w:space="0" w:color="auto"/>
              <w:left w:val="outset" w:sz="6" w:space="0" w:color="auto"/>
              <w:bottom w:val="outset" w:sz="6" w:space="0" w:color="auto"/>
              <w:right w:val="outset" w:sz="6" w:space="0" w:color="auto"/>
            </w:tcBorders>
          </w:tcPr>
          <w:p w14:paraId="72AA68CD" w14:textId="74820063" w:rsidR="00E42943" w:rsidRPr="00FA6F1C" w:rsidRDefault="00133F76"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5</w:t>
            </w:r>
            <w:r w:rsidR="00F46D80" w:rsidRPr="00FA6F1C">
              <w:rPr>
                <w:rFonts w:ascii="Times New Roman" w:hAnsi="Times New Roman" w:cs="Times New Roman"/>
                <w:spacing w:val="-2"/>
                <w:sz w:val="28"/>
                <w:szCs w:val="28"/>
              </w:rPr>
              <w:t xml:space="preserve">.panta </w:t>
            </w:r>
            <w:r w:rsidR="008C1BAB" w:rsidRPr="00FA6F1C">
              <w:rPr>
                <w:rFonts w:ascii="Times New Roman" w:hAnsi="Times New Roman" w:cs="Times New Roman"/>
                <w:spacing w:val="-2"/>
                <w:sz w:val="28"/>
                <w:szCs w:val="28"/>
              </w:rPr>
              <w:t xml:space="preserve">otrās </w:t>
            </w:r>
            <w:r w:rsidR="00F46D80" w:rsidRPr="00FA6F1C">
              <w:rPr>
                <w:rFonts w:ascii="Times New Roman" w:hAnsi="Times New Roman" w:cs="Times New Roman"/>
                <w:spacing w:val="-2"/>
                <w:sz w:val="28"/>
                <w:szCs w:val="28"/>
              </w:rPr>
              <w:t xml:space="preserve">daļas </w:t>
            </w:r>
            <w:r w:rsidRPr="00FA6F1C">
              <w:rPr>
                <w:rFonts w:ascii="Times New Roman" w:hAnsi="Times New Roman" w:cs="Times New Roman"/>
                <w:spacing w:val="-2"/>
                <w:sz w:val="28"/>
                <w:szCs w:val="28"/>
              </w:rPr>
              <w:t>7</w:t>
            </w:r>
            <w:r w:rsidR="00F46D80" w:rsidRPr="00FA6F1C">
              <w:rPr>
                <w:rFonts w:ascii="Times New Roman" w:hAnsi="Times New Roman" w:cs="Times New Roman"/>
                <w:spacing w:val="-2"/>
                <w:sz w:val="28"/>
                <w:szCs w:val="28"/>
              </w:rPr>
              <w:t>.punkts</w:t>
            </w:r>
            <w:r w:rsidRPr="00FA6F1C">
              <w:rPr>
                <w:rFonts w:ascii="Times New Roman" w:hAnsi="Times New Roman" w:cs="Times New Roman"/>
                <w:spacing w:val="-2"/>
                <w:sz w:val="28"/>
                <w:szCs w:val="28"/>
              </w:rPr>
              <w:t>;</w:t>
            </w:r>
            <w:r w:rsidR="00CF6620" w:rsidRPr="00FA6F1C">
              <w:rPr>
                <w:rFonts w:ascii="Times New Roman" w:hAnsi="Times New Roman" w:cs="Times New Roman"/>
                <w:spacing w:val="-2"/>
                <w:sz w:val="28"/>
                <w:szCs w:val="28"/>
              </w:rPr>
              <w:t xml:space="preserve"> </w:t>
            </w:r>
            <w:r w:rsidRPr="00FA6F1C">
              <w:rPr>
                <w:rFonts w:ascii="Times New Roman" w:hAnsi="Times New Roman" w:cs="Times New Roman"/>
                <w:spacing w:val="-2"/>
                <w:sz w:val="28"/>
                <w:szCs w:val="28"/>
              </w:rPr>
              <w:t>6</w:t>
            </w:r>
            <w:r w:rsidR="00CF6620" w:rsidRPr="00FA6F1C">
              <w:rPr>
                <w:rFonts w:ascii="Times New Roman" w:hAnsi="Times New Roman" w:cs="Times New Roman"/>
                <w:spacing w:val="-2"/>
                <w:sz w:val="28"/>
                <w:szCs w:val="28"/>
              </w:rPr>
              <w:t>.pant</w:t>
            </w:r>
            <w:r w:rsidRPr="00FA6F1C">
              <w:rPr>
                <w:rFonts w:ascii="Times New Roman" w:hAnsi="Times New Roman" w:cs="Times New Roman"/>
                <w:spacing w:val="-2"/>
                <w:sz w:val="28"/>
                <w:szCs w:val="28"/>
              </w:rPr>
              <w:t>a</w:t>
            </w:r>
            <w:r w:rsidR="00CF6620" w:rsidRPr="00FA6F1C">
              <w:rPr>
                <w:rFonts w:ascii="Times New Roman" w:hAnsi="Times New Roman" w:cs="Times New Roman"/>
                <w:spacing w:val="-2"/>
                <w:sz w:val="28"/>
                <w:szCs w:val="28"/>
              </w:rPr>
              <w:t xml:space="preserve"> </w:t>
            </w:r>
            <w:r w:rsidR="00454F7A" w:rsidRPr="00FA6F1C">
              <w:rPr>
                <w:rFonts w:ascii="Times New Roman" w:hAnsi="Times New Roman" w:cs="Times New Roman"/>
                <w:spacing w:val="-2"/>
                <w:sz w:val="28"/>
                <w:szCs w:val="28"/>
              </w:rPr>
              <w:t>trešās</w:t>
            </w:r>
            <w:r w:rsidR="0035624D" w:rsidRPr="00FA6F1C">
              <w:rPr>
                <w:rFonts w:ascii="Times New Roman" w:hAnsi="Times New Roman" w:cs="Times New Roman"/>
                <w:spacing w:val="-2"/>
                <w:sz w:val="28"/>
                <w:szCs w:val="28"/>
              </w:rPr>
              <w:t xml:space="preserve"> </w:t>
            </w:r>
            <w:r w:rsidR="00CF6620" w:rsidRPr="00FA6F1C">
              <w:rPr>
                <w:rFonts w:ascii="Times New Roman" w:hAnsi="Times New Roman" w:cs="Times New Roman"/>
                <w:spacing w:val="-2"/>
                <w:sz w:val="28"/>
                <w:szCs w:val="28"/>
              </w:rPr>
              <w:t xml:space="preserve">daļas </w:t>
            </w:r>
            <w:r w:rsidRPr="00FA6F1C">
              <w:rPr>
                <w:rFonts w:ascii="Times New Roman" w:hAnsi="Times New Roman" w:cs="Times New Roman"/>
                <w:spacing w:val="-2"/>
                <w:sz w:val="28"/>
                <w:szCs w:val="28"/>
              </w:rPr>
              <w:t>5</w:t>
            </w:r>
            <w:r w:rsidR="00CF6620" w:rsidRPr="00FA6F1C">
              <w:rPr>
                <w:rFonts w:ascii="Times New Roman" w:hAnsi="Times New Roman" w:cs="Times New Roman"/>
                <w:spacing w:val="-2"/>
                <w:sz w:val="28"/>
                <w:szCs w:val="28"/>
              </w:rPr>
              <w:t>.punkts</w:t>
            </w:r>
          </w:p>
        </w:tc>
        <w:tc>
          <w:tcPr>
            <w:tcW w:w="2657" w:type="dxa"/>
            <w:tcBorders>
              <w:top w:val="outset" w:sz="6" w:space="0" w:color="auto"/>
              <w:left w:val="outset" w:sz="6" w:space="0" w:color="auto"/>
              <w:bottom w:val="outset" w:sz="6" w:space="0" w:color="auto"/>
              <w:right w:val="outset" w:sz="6" w:space="0" w:color="auto"/>
            </w:tcBorders>
          </w:tcPr>
          <w:p w14:paraId="0E837B49" w14:textId="23CBE6BE" w:rsidR="00E42943" w:rsidRPr="00FA6F1C" w:rsidRDefault="00AF5F37"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Ieviests pilnībā</w:t>
            </w:r>
          </w:p>
        </w:tc>
        <w:tc>
          <w:tcPr>
            <w:tcW w:w="2585" w:type="dxa"/>
            <w:tcBorders>
              <w:top w:val="outset" w:sz="6" w:space="0" w:color="auto"/>
              <w:left w:val="outset" w:sz="6" w:space="0" w:color="auto"/>
              <w:bottom w:val="outset" w:sz="6" w:space="0" w:color="auto"/>
              <w:right w:val="outset" w:sz="6" w:space="0" w:color="auto"/>
            </w:tcBorders>
          </w:tcPr>
          <w:p w14:paraId="651D47E7" w14:textId="3D1DB58D" w:rsidR="00E42943" w:rsidRPr="00FA6F1C" w:rsidRDefault="0032763C"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Likumprojekts neparedz stingrākas prasības</w:t>
            </w:r>
          </w:p>
        </w:tc>
      </w:tr>
      <w:tr w:rsidR="008053B2" w:rsidRPr="00FA6F1C" w14:paraId="7F6DE49B"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70B280A8" w14:textId="570F1F9F" w:rsidR="008053B2" w:rsidRPr="00FA6F1C" w:rsidRDefault="008053B2" w:rsidP="00FA6F1C">
            <w:pPr>
              <w:spacing w:after="0" w:line="240" w:lineRule="auto"/>
              <w:ind w:left="57"/>
              <w:rPr>
                <w:rFonts w:ascii="Times New Roman" w:hAnsi="Times New Roman" w:cs="Times New Roman"/>
                <w:sz w:val="28"/>
                <w:szCs w:val="28"/>
              </w:rPr>
            </w:pPr>
            <w:r w:rsidRPr="00FA6F1C">
              <w:rPr>
                <w:rFonts w:ascii="Times New Roman" w:hAnsi="Times New Roman" w:cs="Times New Roman"/>
                <w:sz w:val="28"/>
                <w:szCs w:val="28"/>
              </w:rPr>
              <w:t xml:space="preserve">Regulas </w:t>
            </w:r>
            <w:r w:rsidR="00133F76" w:rsidRPr="00FA6F1C">
              <w:rPr>
                <w:rFonts w:ascii="Times New Roman" w:hAnsi="Times New Roman" w:cs="Times New Roman"/>
                <w:sz w:val="28"/>
                <w:szCs w:val="28"/>
              </w:rPr>
              <w:t>32</w:t>
            </w:r>
            <w:r w:rsidRPr="00FA6F1C">
              <w:rPr>
                <w:rFonts w:ascii="Times New Roman" w:hAnsi="Times New Roman" w:cs="Times New Roman"/>
                <w:sz w:val="28"/>
                <w:szCs w:val="28"/>
              </w:rPr>
              <w:t>.panta 2.punkta d)</w:t>
            </w:r>
            <w:r w:rsidR="00133F76" w:rsidRPr="00FA6F1C">
              <w:rPr>
                <w:rFonts w:ascii="Times New Roman" w:hAnsi="Times New Roman" w:cs="Times New Roman"/>
                <w:sz w:val="28"/>
                <w:szCs w:val="28"/>
              </w:rPr>
              <w:t xml:space="preserve"> un e)</w:t>
            </w:r>
            <w:r w:rsidRPr="00FA6F1C">
              <w:rPr>
                <w:rFonts w:ascii="Times New Roman" w:hAnsi="Times New Roman" w:cs="Times New Roman"/>
                <w:sz w:val="28"/>
                <w:szCs w:val="28"/>
              </w:rPr>
              <w:t xml:space="preserve"> apakšpunkt</w:t>
            </w:r>
            <w:r w:rsidR="00AF0385" w:rsidRPr="00FA6F1C">
              <w:rPr>
                <w:rFonts w:ascii="Times New Roman" w:hAnsi="Times New Roman" w:cs="Times New Roman"/>
                <w:sz w:val="28"/>
                <w:szCs w:val="28"/>
              </w:rPr>
              <w:t>s</w:t>
            </w:r>
          </w:p>
        </w:tc>
        <w:tc>
          <w:tcPr>
            <w:tcW w:w="2090" w:type="dxa"/>
            <w:gridSpan w:val="2"/>
            <w:tcBorders>
              <w:top w:val="outset" w:sz="6" w:space="0" w:color="auto"/>
              <w:left w:val="outset" w:sz="6" w:space="0" w:color="auto"/>
              <w:bottom w:val="outset" w:sz="6" w:space="0" w:color="auto"/>
              <w:right w:val="outset" w:sz="6" w:space="0" w:color="auto"/>
            </w:tcBorders>
          </w:tcPr>
          <w:p w14:paraId="0AFE9E07" w14:textId="14CE7AD2" w:rsidR="008053B2" w:rsidRPr="00FA6F1C" w:rsidRDefault="00133F76"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6</w:t>
            </w:r>
            <w:r w:rsidR="001E3DE9" w:rsidRPr="00FA6F1C">
              <w:rPr>
                <w:rFonts w:ascii="Times New Roman" w:hAnsi="Times New Roman" w:cs="Times New Roman"/>
                <w:spacing w:val="-2"/>
                <w:sz w:val="28"/>
                <w:szCs w:val="28"/>
              </w:rPr>
              <w:t xml:space="preserve">.pants </w:t>
            </w:r>
            <w:r w:rsidR="00454F7A" w:rsidRPr="00FA6F1C">
              <w:rPr>
                <w:rFonts w:ascii="Times New Roman" w:hAnsi="Times New Roman" w:cs="Times New Roman"/>
                <w:spacing w:val="-2"/>
                <w:sz w:val="28"/>
                <w:szCs w:val="28"/>
              </w:rPr>
              <w:t>trešās</w:t>
            </w:r>
            <w:r w:rsidR="0035624D" w:rsidRPr="00FA6F1C">
              <w:rPr>
                <w:rFonts w:ascii="Times New Roman" w:hAnsi="Times New Roman" w:cs="Times New Roman"/>
                <w:spacing w:val="-2"/>
                <w:sz w:val="28"/>
                <w:szCs w:val="28"/>
              </w:rPr>
              <w:t xml:space="preserve"> </w:t>
            </w:r>
            <w:r w:rsidR="001E3DE9" w:rsidRPr="00FA6F1C">
              <w:rPr>
                <w:rFonts w:ascii="Times New Roman" w:hAnsi="Times New Roman" w:cs="Times New Roman"/>
                <w:spacing w:val="-2"/>
                <w:sz w:val="28"/>
                <w:szCs w:val="28"/>
              </w:rPr>
              <w:t xml:space="preserve">daļas </w:t>
            </w:r>
            <w:r w:rsidR="003C3971" w:rsidRPr="00FA6F1C">
              <w:rPr>
                <w:rFonts w:ascii="Times New Roman" w:hAnsi="Times New Roman" w:cs="Times New Roman"/>
                <w:spacing w:val="-2"/>
                <w:sz w:val="28"/>
                <w:szCs w:val="28"/>
              </w:rPr>
              <w:t>1</w:t>
            </w:r>
            <w:r w:rsidRPr="00FA6F1C">
              <w:rPr>
                <w:rFonts w:ascii="Times New Roman" w:hAnsi="Times New Roman" w:cs="Times New Roman"/>
                <w:spacing w:val="-2"/>
                <w:sz w:val="28"/>
                <w:szCs w:val="28"/>
              </w:rPr>
              <w:t>3</w:t>
            </w:r>
            <w:r w:rsidR="00D21EF7" w:rsidRPr="00FA6F1C">
              <w:rPr>
                <w:rFonts w:ascii="Times New Roman" w:hAnsi="Times New Roman" w:cs="Times New Roman"/>
                <w:spacing w:val="-2"/>
                <w:sz w:val="28"/>
                <w:szCs w:val="28"/>
              </w:rPr>
              <w:t>.punkts</w:t>
            </w:r>
          </w:p>
        </w:tc>
        <w:tc>
          <w:tcPr>
            <w:tcW w:w="2657" w:type="dxa"/>
            <w:tcBorders>
              <w:top w:val="outset" w:sz="6" w:space="0" w:color="auto"/>
              <w:left w:val="outset" w:sz="6" w:space="0" w:color="auto"/>
              <w:bottom w:val="outset" w:sz="6" w:space="0" w:color="auto"/>
              <w:right w:val="outset" w:sz="6" w:space="0" w:color="auto"/>
            </w:tcBorders>
          </w:tcPr>
          <w:p w14:paraId="650122B8" w14:textId="605FBF71" w:rsidR="008053B2" w:rsidRPr="00FA6F1C" w:rsidRDefault="00AF5F37"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Ieviests pilnībā</w:t>
            </w:r>
          </w:p>
        </w:tc>
        <w:tc>
          <w:tcPr>
            <w:tcW w:w="2585" w:type="dxa"/>
            <w:tcBorders>
              <w:top w:val="outset" w:sz="6" w:space="0" w:color="auto"/>
              <w:left w:val="outset" w:sz="6" w:space="0" w:color="auto"/>
              <w:bottom w:val="outset" w:sz="6" w:space="0" w:color="auto"/>
              <w:right w:val="outset" w:sz="6" w:space="0" w:color="auto"/>
            </w:tcBorders>
          </w:tcPr>
          <w:p w14:paraId="779DE52D" w14:textId="37CAA582" w:rsidR="008053B2" w:rsidRPr="00FA6F1C" w:rsidRDefault="0032763C"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Likumprojekts neparedz stingrākas prasības</w:t>
            </w:r>
          </w:p>
        </w:tc>
      </w:tr>
      <w:tr w:rsidR="008053B2" w:rsidRPr="00FA6F1C" w14:paraId="2EBF1909"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41AB7604" w14:textId="7A3CF791" w:rsidR="008053B2" w:rsidRPr="00FA6F1C" w:rsidRDefault="008053B2" w:rsidP="00FA6F1C">
            <w:pPr>
              <w:spacing w:after="0" w:line="240" w:lineRule="auto"/>
              <w:ind w:left="57"/>
              <w:rPr>
                <w:rFonts w:ascii="Times New Roman" w:hAnsi="Times New Roman" w:cs="Times New Roman"/>
                <w:sz w:val="28"/>
                <w:szCs w:val="28"/>
              </w:rPr>
            </w:pPr>
          </w:p>
        </w:tc>
        <w:tc>
          <w:tcPr>
            <w:tcW w:w="2090" w:type="dxa"/>
            <w:gridSpan w:val="2"/>
            <w:tcBorders>
              <w:top w:val="outset" w:sz="6" w:space="0" w:color="auto"/>
              <w:left w:val="outset" w:sz="6" w:space="0" w:color="auto"/>
              <w:bottom w:val="outset" w:sz="6" w:space="0" w:color="auto"/>
              <w:right w:val="outset" w:sz="6" w:space="0" w:color="auto"/>
            </w:tcBorders>
          </w:tcPr>
          <w:p w14:paraId="69DB4AFF" w14:textId="0FF26998" w:rsidR="008053B2" w:rsidRPr="00FA6F1C" w:rsidRDefault="008053B2" w:rsidP="00FA6F1C">
            <w:pPr>
              <w:spacing w:after="0" w:line="240" w:lineRule="auto"/>
              <w:ind w:left="57"/>
              <w:rPr>
                <w:rFonts w:ascii="Times New Roman" w:hAnsi="Times New Roman" w:cs="Times New Roman"/>
                <w:spacing w:val="-2"/>
                <w:sz w:val="28"/>
                <w:szCs w:val="28"/>
              </w:rPr>
            </w:pPr>
          </w:p>
        </w:tc>
        <w:tc>
          <w:tcPr>
            <w:tcW w:w="2657" w:type="dxa"/>
            <w:tcBorders>
              <w:top w:val="outset" w:sz="6" w:space="0" w:color="auto"/>
              <w:left w:val="outset" w:sz="6" w:space="0" w:color="auto"/>
              <w:bottom w:val="outset" w:sz="6" w:space="0" w:color="auto"/>
              <w:right w:val="outset" w:sz="6" w:space="0" w:color="auto"/>
            </w:tcBorders>
          </w:tcPr>
          <w:p w14:paraId="1CD906C9" w14:textId="61C99FB1" w:rsidR="008053B2" w:rsidRPr="00FA6F1C" w:rsidRDefault="008053B2" w:rsidP="00FA6F1C">
            <w:pPr>
              <w:spacing w:after="0" w:line="240" w:lineRule="auto"/>
              <w:ind w:left="57"/>
              <w:rPr>
                <w:rFonts w:ascii="Times New Roman" w:hAnsi="Times New Roman" w:cs="Times New Roman"/>
                <w:spacing w:val="-2"/>
                <w:sz w:val="28"/>
                <w:szCs w:val="28"/>
              </w:rPr>
            </w:pPr>
          </w:p>
        </w:tc>
        <w:tc>
          <w:tcPr>
            <w:tcW w:w="2585" w:type="dxa"/>
            <w:tcBorders>
              <w:top w:val="outset" w:sz="6" w:space="0" w:color="auto"/>
              <w:left w:val="outset" w:sz="6" w:space="0" w:color="auto"/>
              <w:bottom w:val="outset" w:sz="6" w:space="0" w:color="auto"/>
              <w:right w:val="outset" w:sz="6" w:space="0" w:color="auto"/>
            </w:tcBorders>
          </w:tcPr>
          <w:p w14:paraId="4CE600F2" w14:textId="0F004157" w:rsidR="008053B2" w:rsidRPr="00FA6F1C" w:rsidRDefault="008053B2" w:rsidP="00FA6F1C">
            <w:pPr>
              <w:spacing w:after="0" w:line="240" w:lineRule="auto"/>
              <w:ind w:left="57"/>
              <w:rPr>
                <w:rFonts w:ascii="Times New Roman" w:hAnsi="Times New Roman" w:cs="Times New Roman"/>
                <w:spacing w:val="-2"/>
                <w:sz w:val="28"/>
                <w:szCs w:val="28"/>
              </w:rPr>
            </w:pPr>
          </w:p>
        </w:tc>
      </w:tr>
      <w:tr w:rsidR="00E42943" w:rsidRPr="00FA6F1C" w14:paraId="099B3C71"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06ACC246" w14:textId="3340A6D4" w:rsidR="00E42943" w:rsidRPr="00FA6F1C" w:rsidRDefault="00AF0385"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z w:val="28"/>
                <w:szCs w:val="28"/>
              </w:rPr>
              <w:t>R</w:t>
            </w:r>
            <w:r w:rsidR="008053B2" w:rsidRPr="00FA6F1C">
              <w:rPr>
                <w:rFonts w:ascii="Times New Roman" w:hAnsi="Times New Roman" w:cs="Times New Roman"/>
                <w:sz w:val="28"/>
                <w:szCs w:val="28"/>
              </w:rPr>
              <w:t xml:space="preserve">egulas </w:t>
            </w:r>
            <w:r w:rsidR="00133F76" w:rsidRPr="00FA6F1C">
              <w:rPr>
                <w:rFonts w:ascii="Times New Roman" w:hAnsi="Times New Roman" w:cs="Times New Roman"/>
                <w:sz w:val="28"/>
                <w:szCs w:val="28"/>
              </w:rPr>
              <w:t>32</w:t>
            </w:r>
            <w:r w:rsidR="008053B2" w:rsidRPr="00FA6F1C">
              <w:rPr>
                <w:rFonts w:ascii="Times New Roman" w:hAnsi="Times New Roman" w:cs="Times New Roman"/>
                <w:sz w:val="28"/>
                <w:szCs w:val="28"/>
              </w:rPr>
              <w:t>.panta 3.punkta a) apakšpunkt</w:t>
            </w:r>
            <w:r w:rsidRPr="00FA6F1C">
              <w:rPr>
                <w:rFonts w:ascii="Times New Roman" w:hAnsi="Times New Roman" w:cs="Times New Roman"/>
                <w:sz w:val="28"/>
                <w:szCs w:val="28"/>
              </w:rPr>
              <w:t>s</w:t>
            </w:r>
          </w:p>
        </w:tc>
        <w:tc>
          <w:tcPr>
            <w:tcW w:w="2090" w:type="dxa"/>
            <w:gridSpan w:val="2"/>
            <w:tcBorders>
              <w:top w:val="outset" w:sz="6" w:space="0" w:color="auto"/>
              <w:left w:val="outset" w:sz="6" w:space="0" w:color="auto"/>
              <w:bottom w:val="outset" w:sz="6" w:space="0" w:color="auto"/>
              <w:right w:val="outset" w:sz="6" w:space="0" w:color="auto"/>
            </w:tcBorders>
          </w:tcPr>
          <w:p w14:paraId="2CA5B493" w14:textId="32AA29A7" w:rsidR="00E42943" w:rsidRPr="00FA6F1C" w:rsidRDefault="00133F76"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5</w:t>
            </w:r>
            <w:r w:rsidR="00F46D80" w:rsidRPr="00FA6F1C">
              <w:rPr>
                <w:rFonts w:ascii="Times New Roman" w:hAnsi="Times New Roman" w:cs="Times New Roman"/>
                <w:spacing w:val="-2"/>
                <w:sz w:val="28"/>
                <w:szCs w:val="28"/>
              </w:rPr>
              <w:t xml:space="preserve">.panta </w:t>
            </w:r>
            <w:r w:rsidR="0046012D" w:rsidRPr="00FA6F1C">
              <w:rPr>
                <w:rFonts w:ascii="Times New Roman" w:hAnsi="Times New Roman" w:cs="Times New Roman"/>
                <w:spacing w:val="-2"/>
                <w:sz w:val="28"/>
                <w:szCs w:val="28"/>
              </w:rPr>
              <w:t xml:space="preserve">otrās </w:t>
            </w:r>
            <w:r w:rsidR="00F46D80" w:rsidRPr="00FA6F1C">
              <w:rPr>
                <w:rFonts w:ascii="Times New Roman" w:hAnsi="Times New Roman" w:cs="Times New Roman"/>
                <w:spacing w:val="-2"/>
                <w:sz w:val="28"/>
                <w:szCs w:val="28"/>
              </w:rPr>
              <w:t xml:space="preserve">daļas </w:t>
            </w:r>
            <w:r w:rsidRPr="00FA6F1C">
              <w:rPr>
                <w:rFonts w:ascii="Times New Roman" w:hAnsi="Times New Roman" w:cs="Times New Roman"/>
                <w:spacing w:val="-2"/>
                <w:sz w:val="28"/>
                <w:szCs w:val="28"/>
              </w:rPr>
              <w:t>8</w:t>
            </w:r>
            <w:r w:rsidR="00F46D80" w:rsidRPr="00FA6F1C">
              <w:rPr>
                <w:rFonts w:ascii="Times New Roman" w:hAnsi="Times New Roman" w:cs="Times New Roman"/>
                <w:spacing w:val="-2"/>
                <w:sz w:val="28"/>
                <w:szCs w:val="28"/>
              </w:rPr>
              <w:t>.punkts</w:t>
            </w:r>
            <w:r w:rsidRPr="00FA6F1C">
              <w:rPr>
                <w:rFonts w:ascii="Times New Roman" w:hAnsi="Times New Roman" w:cs="Times New Roman"/>
                <w:spacing w:val="-2"/>
                <w:sz w:val="28"/>
                <w:szCs w:val="28"/>
              </w:rPr>
              <w:t>;</w:t>
            </w:r>
            <w:r w:rsidR="00F46D80" w:rsidRPr="00FA6F1C">
              <w:rPr>
                <w:rFonts w:ascii="Times New Roman" w:hAnsi="Times New Roman" w:cs="Times New Roman"/>
                <w:spacing w:val="-2"/>
                <w:sz w:val="28"/>
                <w:szCs w:val="28"/>
              </w:rPr>
              <w:t xml:space="preserve"> </w:t>
            </w:r>
            <w:r w:rsidRPr="00FA6F1C">
              <w:rPr>
                <w:rFonts w:ascii="Times New Roman" w:hAnsi="Times New Roman" w:cs="Times New Roman"/>
                <w:spacing w:val="-2"/>
                <w:sz w:val="28"/>
                <w:szCs w:val="28"/>
              </w:rPr>
              <w:t xml:space="preserve">6.panta </w:t>
            </w:r>
            <w:r w:rsidR="003C3971" w:rsidRPr="00FA6F1C">
              <w:rPr>
                <w:rFonts w:ascii="Times New Roman" w:hAnsi="Times New Roman" w:cs="Times New Roman"/>
                <w:spacing w:val="-2"/>
                <w:sz w:val="28"/>
                <w:szCs w:val="28"/>
              </w:rPr>
              <w:t xml:space="preserve">trešās </w:t>
            </w:r>
            <w:r w:rsidR="00F46D80" w:rsidRPr="00FA6F1C">
              <w:rPr>
                <w:rFonts w:ascii="Times New Roman" w:hAnsi="Times New Roman" w:cs="Times New Roman"/>
                <w:spacing w:val="-2"/>
                <w:sz w:val="28"/>
                <w:szCs w:val="28"/>
              </w:rPr>
              <w:t xml:space="preserve">daļas </w:t>
            </w:r>
            <w:r w:rsidRPr="00FA6F1C">
              <w:rPr>
                <w:rFonts w:ascii="Times New Roman" w:hAnsi="Times New Roman" w:cs="Times New Roman"/>
                <w:spacing w:val="-2"/>
                <w:sz w:val="28"/>
                <w:szCs w:val="28"/>
              </w:rPr>
              <w:t>3</w:t>
            </w:r>
            <w:r w:rsidR="00F46D80" w:rsidRPr="00FA6F1C">
              <w:rPr>
                <w:rFonts w:ascii="Times New Roman" w:hAnsi="Times New Roman" w:cs="Times New Roman"/>
                <w:spacing w:val="-2"/>
                <w:sz w:val="28"/>
                <w:szCs w:val="28"/>
              </w:rPr>
              <w:t>.punkts</w:t>
            </w:r>
          </w:p>
        </w:tc>
        <w:tc>
          <w:tcPr>
            <w:tcW w:w="2657" w:type="dxa"/>
            <w:tcBorders>
              <w:top w:val="outset" w:sz="6" w:space="0" w:color="auto"/>
              <w:left w:val="outset" w:sz="6" w:space="0" w:color="auto"/>
              <w:bottom w:val="outset" w:sz="6" w:space="0" w:color="auto"/>
              <w:right w:val="outset" w:sz="6" w:space="0" w:color="auto"/>
            </w:tcBorders>
          </w:tcPr>
          <w:p w14:paraId="6C0D2745" w14:textId="4155C828" w:rsidR="00E42943" w:rsidRPr="00FA6F1C" w:rsidRDefault="00AF5F37"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Ieviests pilnībā</w:t>
            </w:r>
          </w:p>
        </w:tc>
        <w:tc>
          <w:tcPr>
            <w:tcW w:w="2585" w:type="dxa"/>
            <w:tcBorders>
              <w:top w:val="outset" w:sz="6" w:space="0" w:color="auto"/>
              <w:left w:val="outset" w:sz="6" w:space="0" w:color="auto"/>
              <w:bottom w:val="outset" w:sz="6" w:space="0" w:color="auto"/>
              <w:right w:val="outset" w:sz="6" w:space="0" w:color="auto"/>
            </w:tcBorders>
          </w:tcPr>
          <w:p w14:paraId="4FA860ED" w14:textId="47FF8459" w:rsidR="00E42943" w:rsidRPr="00FA6F1C" w:rsidRDefault="0032763C"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Likumprojekts neparedz stingrākas prasības</w:t>
            </w:r>
          </w:p>
        </w:tc>
      </w:tr>
      <w:tr w:rsidR="008053B2" w:rsidRPr="00FA6F1C" w14:paraId="119F309B"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6DB69124" w14:textId="6A139727" w:rsidR="008053B2" w:rsidRPr="00FA6F1C" w:rsidRDefault="008053B2" w:rsidP="00FA6F1C">
            <w:pPr>
              <w:spacing w:after="0" w:line="240" w:lineRule="auto"/>
              <w:ind w:left="57"/>
              <w:rPr>
                <w:rFonts w:ascii="Times New Roman" w:hAnsi="Times New Roman" w:cs="Times New Roman"/>
                <w:sz w:val="28"/>
                <w:szCs w:val="28"/>
              </w:rPr>
            </w:pPr>
            <w:r w:rsidRPr="00FA6F1C">
              <w:rPr>
                <w:rFonts w:ascii="Times New Roman" w:hAnsi="Times New Roman" w:cs="Times New Roman"/>
                <w:sz w:val="28"/>
                <w:szCs w:val="28"/>
              </w:rPr>
              <w:t xml:space="preserve">Regulas </w:t>
            </w:r>
            <w:r w:rsidR="00133F76" w:rsidRPr="00FA6F1C">
              <w:rPr>
                <w:rFonts w:ascii="Times New Roman" w:hAnsi="Times New Roman" w:cs="Times New Roman"/>
                <w:sz w:val="28"/>
                <w:szCs w:val="28"/>
              </w:rPr>
              <w:t>32</w:t>
            </w:r>
            <w:r w:rsidRPr="00FA6F1C">
              <w:rPr>
                <w:rFonts w:ascii="Times New Roman" w:hAnsi="Times New Roman" w:cs="Times New Roman"/>
                <w:sz w:val="28"/>
                <w:szCs w:val="28"/>
              </w:rPr>
              <w:t>.panta 3.punkta b) apakšpunkt</w:t>
            </w:r>
            <w:r w:rsidR="00AF0385" w:rsidRPr="00FA6F1C">
              <w:rPr>
                <w:rFonts w:ascii="Times New Roman" w:hAnsi="Times New Roman" w:cs="Times New Roman"/>
                <w:sz w:val="28"/>
                <w:szCs w:val="28"/>
              </w:rPr>
              <w:t>s</w:t>
            </w:r>
          </w:p>
        </w:tc>
        <w:tc>
          <w:tcPr>
            <w:tcW w:w="2090" w:type="dxa"/>
            <w:gridSpan w:val="2"/>
            <w:tcBorders>
              <w:top w:val="outset" w:sz="6" w:space="0" w:color="auto"/>
              <w:left w:val="outset" w:sz="6" w:space="0" w:color="auto"/>
              <w:bottom w:val="outset" w:sz="6" w:space="0" w:color="auto"/>
              <w:right w:val="outset" w:sz="6" w:space="0" w:color="auto"/>
            </w:tcBorders>
          </w:tcPr>
          <w:p w14:paraId="0FEAF49D" w14:textId="7CA29E66" w:rsidR="008053B2" w:rsidRPr="00FA6F1C" w:rsidRDefault="00133F76"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6</w:t>
            </w:r>
            <w:r w:rsidR="00CF6620" w:rsidRPr="00FA6F1C">
              <w:rPr>
                <w:rFonts w:ascii="Times New Roman" w:hAnsi="Times New Roman" w:cs="Times New Roman"/>
                <w:spacing w:val="-2"/>
                <w:sz w:val="28"/>
                <w:szCs w:val="28"/>
              </w:rPr>
              <w:t>.pant</w:t>
            </w:r>
            <w:r w:rsidR="00441994" w:rsidRPr="00FA6F1C">
              <w:rPr>
                <w:rFonts w:ascii="Times New Roman" w:hAnsi="Times New Roman" w:cs="Times New Roman"/>
                <w:spacing w:val="-2"/>
                <w:sz w:val="28"/>
                <w:szCs w:val="28"/>
              </w:rPr>
              <w:t>a</w:t>
            </w:r>
            <w:r w:rsidR="00CF6620" w:rsidRPr="00FA6F1C">
              <w:rPr>
                <w:rFonts w:ascii="Times New Roman" w:hAnsi="Times New Roman" w:cs="Times New Roman"/>
                <w:spacing w:val="-2"/>
                <w:sz w:val="28"/>
                <w:szCs w:val="28"/>
              </w:rPr>
              <w:t xml:space="preserve"> </w:t>
            </w:r>
            <w:r w:rsidR="00454F7A" w:rsidRPr="00FA6F1C">
              <w:rPr>
                <w:rFonts w:ascii="Times New Roman" w:hAnsi="Times New Roman" w:cs="Times New Roman"/>
                <w:spacing w:val="-2"/>
                <w:sz w:val="28"/>
                <w:szCs w:val="28"/>
              </w:rPr>
              <w:t>trešās</w:t>
            </w:r>
            <w:r w:rsidR="00E541D6" w:rsidRPr="00FA6F1C">
              <w:rPr>
                <w:rFonts w:ascii="Times New Roman" w:hAnsi="Times New Roman" w:cs="Times New Roman"/>
                <w:spacing w:val="-2"/>
                <w:sz w:val="28"/>
                <w:szCs w:val="28"/>
              </w:rPr>
              <w:t xml:space="preserve"> </w:t>
            </w:r>
            <w:r w:rsidR="00CF6620" w:rsidRPr="00FA6F1C">
              <w:rPr>
                <w:rFonts w:ascii="Times New Roman" w:hAnsi="Times New Roman" w:cs="Times New Roman"/>
                <w:spacing w:val="-2"/>
                <w:sz w:val="28"/>
                <w:szCs w:val="28"/>
              </w:rPr>
              <w:t xml:space="preserve">daļas </w:t>
            </w:r>
            <w:r w:rsidR="0046012D" w:rsidRPr="00FA6F1C">
              <w:rPr>
                <w:rFonts w:ascii="Times New Roman" w:hAnsi="Times New Roman" w:cs="Times New Roman"/>
                <w:spacing w:val="-2"/>
                <w:sz w:val="28"/>
                <w:szCs w:val="28"/>
              </w:rPr>
              <w:t>6</w:t>
            </w:r>
            <w:r w:rsidR="00CF6620" w:rsidRPr="00FA6F1C">
              <w:rPr>
                <w:rFonts w:ascii="Times New Roman" w:hAnsi="Times New Roman" w:cs="Times New Roman"/>
                <w:spacing w:val="-2"/>
                <w:sz w:val="28"/>
                <w:szCs w:val="28"/>
              </w:rPr>
              <w:t>.punkts</w:t>
            </w:r>
          </w:p>
        </w:tc>
        <w:tc>
          <w:tcPr>
            <w:tcW w:w="2657" w:type="dxa"/>
            <w:tcBorders>
              <w:top w:val="outset" w:sz="6" w:space="0" w:color="auto"/>
              <w:left w:val="outset" w:sz="6" w:space="0" w:color="auto"/>
              <w:bottom w:val="outset" w:sz="6" w:space="0" w:color="auto"/>
              <w:right w:val="outset" w:sz="6" w:space="0" w:color="auto"/>
            </w:tcBorders>
          </w:tcPr>
          <w:p w14:paraId="43B6D91E" w14:textId="12EC8D7C" w:rsidR="008053B2" w:rsidRPr="00FA6F1C" w:rsidRDefault="00AF5F37"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Ieviests pilnībā</w:t>
            </w:r>
          </w:p>
        </w:tc>
        <w:tc>
          <w:tcPr>
            <w:tcW w:w="2585" w:type="dxa"/>
            <w:tcBorders>
              <w:top w:val="outset" w:sz="6" w:space="0" w:color="auto"/>
              <w:left w:val="outset" w:sz="6" w:space="0" w:color="auto"/>
              <w:bottom w:val="outset" w:sz="6" w:space="0" w:color="auto"/>
              <w:right w:val="outset" w:sz="6" w:space="0" w:color="auto"/>
            </w:tcBorders>
          </w:tcPr>
          <w:p w14:paraId="58B42292" w14:textId="30851AE2" w:rsidR="008053B2" w:rsidRPr="00FA6F1C" w:rsidRDefault="0032763C"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Likumprojekts neparedz stingrākas prasības</w:t>
            </w:r>
          </w:p>
        </w:tc>
      </w:tr>
      <w:tr w:rsidR="008053B2" w:rsidRPr="00FA6F1C" w14:paraId="7A772078"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61A5BF0C" w14:textId="2513FE5E" w:rsidR="008053B2" w:rsidRPr="00FA6F1C" w:rsidRDefault="008053B2" w:rsidP="00FA6F1C">
            <w:pPr>
              <w:spacing w:after="0" w:line="240" w:lineRule="auto"/>
              <w:ind w:left="57"/>
              <w:rPr>
                <w:rFonts w:ascii="Times New Roman" w:hAnsi="Times New Roman" w:cs="Times New Roman"/>
                <w:sz w:val="28"/>
                <w:szCs w:val="28"/>
              </w:rPr>
            </w:pPr>
            <w:r w:rsidRPr="00FA6F1C">
              <w:rPr>
                <w:rFonts w:ascii="Times New Roman" w:hAnsi="Times New Roman" w:cs="Times New Roman"/>
                <w:sz w:val="28"/>
                <w:szCs w:val="28"/>
              </w:rPr>
              <w:t xml:space="preserve">Regulas </w:t>
            </w:r>
            <w:r w:rsidR="00133F76" w:rsidRPr="00FA6F1C">
              <w:rPr>
                <w:rFonts w:ascii="Times New Roman" w:hAnsi="Times New Roman" w:cs="Times New Roman"/>
                <w:sz w:val="28"/>
                <w:szCs w:val="28"/>
              </w:rPr>
              <w:t>32</w:t>
            </w:r>
            <w:r w:rsidRPr="00FA6F1C">
              <w:rPr>
                <w:rFonts w:ascii="Times New Roman" w:hAnsi="Times New Roman" w:cs="Times New Roman"/>
                <w:sz w:val="28"/>
                <w:szCs w:val="28"/>
              </w:rPr>
              <w:t>.panta 3.punkta c) apakšpunkt</w:t>
            </w:r>
            <w:r w:rsidR="00AF0385" w:rsidRPr="00FA6F1C">
              <w:rPr>
                <w:rFonts w:ascii="Times New Roman" w:hAnsi="Times New Roman" w:cs="Times New Roman"/>
                <w:sz w:val="28"/>
                <w:szCs w:val="28"/>
              </w:rPr>
              <w:t>s</w:t>
            </w:r>
          </w:p>
        </w:tc>
        <w:tc>
          <w:tcPr>
            <w:tcW w:w="2090" w:type="dxa"/>
            <w:gridSpan w:val="2"/>
            <w:tcBorders>
              <w:top w:val="outset" w:sz="6" w:space="0" w:color="auto"/>
              <w:left w:val="outset" w:sz="6" w:space="0" w:color="auto"/>
              <w:bottom w:val="outset" w:sz="6" w:space="0" w:color="auto"/>
              <w:right w:val="outset" w:sz="6" w:space="0" w:color="auto"/>
            </w:tcBorders>
          </w:tcPr>
          <w:p w14:paraId="2E9F2659" w14:textId="7558F3C5" w:rsidR="008053B2" w:rsidRPr="00FA6F1C" w:rsidRDefault="00133F76"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6</w:t>
            </w:r>
            <w:r w:rsidR="00F46D80" w:rsidRPr="00FA6F1C">
              <w:rPr>
                <w:rFonts w:ascii="Times New Roman" w:hAnsi="Times New Roman" w:cs="Times New Roman"/>
                <w:spacing w:val="-2"/>
                <w:sz w:val="28"/>
                <w:szCs w:val="28"/>
              </w:rPr>
              <w:t>.pant</w:t>
            </w:r>
            <w:r w:rsidR="00441994" w:rsidRPr="00FA6F1C">
              <w:rPr>
                <w:rFonts w:ascii="Times New Roman" w:hAnsi="Times New Roman" w:cs="Times New Roman"/>
                <w:spacing w:val="-2"/>
                <w:sz w:val="28"/>
                <w:szCs w:val="28"/>
              </w:rPr>
              <w:t>a</w:t>
            </w:r>
            <w:r w:rsidR="00F46D80" w:rsidRPr="00FA6F1C">
              <w:rPr>
                <w:rFonts w:ascii="Times New Roman" w:hAnsi="Times New Roman" w:cs="Times New Roman"/>
                <w:spacing w:val="-2"/>
                <w:sz w:val="28"/>
                <w:szCs w:val="28"/>
              </w:rPr>
              <w:t xml:space="preserve"> </w:t>
            </w:r>
            <w:r w:rsidR="00454F7A" w:rsidRPr="00FA6F1C">
              <w:rPr>
                <w:rFonts w:ascii="Times New Roman" w:hAnsi="Times New Roman" w:cs="Times New Roman"/>
                <w:spacing w:val="-2"/>
                <w:sz w:val="28"/>
                <w:szCs w:val="28"/>
              </w:rPr>
              <w:t>trešās</w:t>
            </w:r>
            <w:r w:rsidR="00E541D6" w:rsidRPr="00FA6F1C">
              <w:rPr>
                <w:rFonts w:ascii="Times New Roman" w:hAnsi="Times New Roman" w:cs="Times New Roman"/>
                <w:spacing w:val="-2"/>
                <w:sz w:val="28"/>
                <w:szCs w:val="28"/>
              </w:rPr>
              <w:t xml:space="preserve"> </w:t>
            </w:r>
            <w:r w:rsidR="00F46D80" w:rsidRPr="00FA6F1C">
              <w:rPr>
                <w:rFonts w:ascii="Times New Roman" w:hAnsi="Times New Roman" w:cs="Times New Roman"/>
                <w:spacing w:val="-2"/>
                <w:sz w:val="28"/>
                <w:szCs w:val="28"/>
              </w:rPr>
              <w:t>daļas 4.punkts</w:t>
            </w:r>
          </w:p>
        </w:tc>
        <w:tc>
          <w:tcPr>
            <w:tcW w:w="2657" w:type="dxa"/>
            <w:tcBorders>
              <w:top w:val="outset" w:sz="6" w:space="0" w:color="auto"/>
              <w:left w:val="outset" w:sz="6" w:space="0" w:color="auto"/>
              <w:bottom w:val="outset" w:sz="6" w:space="0" w:color="auto"/>
              <w:right w:val="outset" w:sz="6" w:space="0" w:color="auto"/>
            </w:tcBorders>
          </w:tcPr>
          <w:p w14:paraId="2A8EE8E5" w14:textId="17FC978E" w:rsidR="008053B2" w:rsidRPr="00FA6F1C" w:rsidRDefault="00AF5F37"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Ieviests pilnībā</w:t>
            </w:r>
          </w:p>
        </w:tc>
        <w:tc>
          <w:tcPr>
            <w:tcW w:w="2585" w:type="dxa"/>
            <w:tcBorders>
              <w:top w:val="outset" w:sz="6" w:space="0" w:color="auto"/>
              <w:left w:val="outset" w:sz="6" w:space="0" w:color="auto"/>
              <w:bottom w:val="outset" w:sz="6" w:space="0" w:color="auto"/>
              <w:right w:val="outset" w:sz="6" w:space="0" w:color="auto"/>
            </w:tcBorders>
          </w:tcPr>
          <w:p w14:paraId="47895462" w14:textId="08AFD8F6" w:rsidR="008053B2" w:rsidRPr="00FA6F1C" w:rsidRDefault="00A45722"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Likumprojekts neparedz stingrākas prasības</w:t>
            </w:r>
          </w:p>
        </w:tc>
      </w:tr>
      <w:tr w:rsidR="00F16D0A" w:rsidRPr="00FA6F1C" w14:paraId="41305570"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740EBA3C" w14:textId="764D0B82" w:rsidR="00F16D0A" w:rsidRPr="00FA6F1C" w:rsidRDefault="00AF0385" w:rsidP="00FA6F1C">
            <w:pPr>
              <w:spacing w:after="0" w:line="240" w:lineRule="auto"/>
              <w:ind w:left="57"/>
              <w:rPr>
                <w:rFonts w:ascii="Times New Roman" w:hAnsi="Times New Roman" w:cs="Times New Roman"/>
                <w:sz w:val="28"/>
                <w:szCs w:val="28"/>
              </w:rPr>
            </w:pPr>
            <w:r w:rsidRPr="00FA6F1C">
              <w:rPr>
                <w:rFonts w:ascii="Times New Roman" w:hAnsi="Times New Roman" w:cs="Times New Roman"/>
                <w:sz w:val="28"/>
                <w:szCs w:val="28"/>
              </w:rPr>
              <w:t xml:space="preserve">Regulas </w:t>
            </w:r>
            <w:r w:rsidR="00441994" w:rsidRPr="00FA6F1C">
              <w:rPr>
                <w:rFonts w:ascii="Times New Roman" w:hAnsi="Times New Roman" w:cs="Times New Roman"/>
                <w:sz w:val="28"/>
                <w:szCs w:val="28"/>
              </w:rPr>
              <w:t>32</w:t>
            </w:r>
            <w:r w:rsidRPr="00FA6F1C">
              <w:rPr>
                <w:rFonts w:ascii="Times New Roman" w:hAnsi="Times New Roman" w:cs="Times New Roman"/>
                <w:sz w:val="28"/>
                <w:szCs w:val="28"/>
              </w:rPr>
              <w:t xml:space="preserve">.panta </w:t>
            </w:r>
            <w:r w:rsidR="00F16D0A" w:rsidRPr="00FA6F1C">
              <w:rPr>
                <w:rFonts w:ascii="Times New Roman" w:hAnsi="Times New Roman" w:cs="Times New Roman"/>
                <w:sz w:val="28"/>
                <w:szCs w:val="28"/>
              </w:rPr>
              <w:t xml:space="preserve">3.punkta d) </w:t>
            </w:r>
            <w:r w:rsidR="00441994" w:rsidRPr="00FA6F1C">
              <w:rPr>
                <w:rFonts w:ascii="Times New Roman" w:hAnsi="Times New Roman" w:cs="Times New Roman"/>
                <w:sz w:val="28"/>
                <w:szCs w:val="28"/>
              </w:rPr>
              <w:t xml:space="preserve">un e) </w:t>
            </w:r>
            <w:r w:rsidR="00F16D0A" w:rsidRPr="00FA6F1C">
              <w:rPr>
                <w:rFonts w:ascii="Times New Roman" w:hAnsi="Times New Roman" w:cs="Times New Roman"/>
                <w:sz w:val="28"/>
                <w:szCs w:val="28"/>
              </w:rPr>
              <w:t>apakšpunkt</w:t>
            </w:r>
            <w:r w:rsidRPr="00FA6F1C">
              <w:rPr>
                <w:rFonts w:ascii="Times New Roman" w:hAnsi="Times New Roman" w:cs="Times New Roman"/>
                <w:sz w:val="28"/>
                <w:szCs w:val="28"/>
              </w:rPr>
              <w:t>s</w:t>
            </w:r>
          </w:p>
        </w:tc>
        <w:tc>
          <w:tcPr>
            <w:tcW w:w="2090" w:type="dxa"/>
            <w:gridSpan w:val="2"/>
            <w:tcBorders>
              <w:top w:val="outset" w:sz="6" w:space="0" w:color="auto"/>
              <w:left w:val="outset" w:sz="6" w:space="0" w:color="auto"/>
              <w:bottom w:val="outset" w:sz="6" w:space="0" w:color="auto"/>
              <w:right w:val="outset" w:sz="6" w:space="0" w:color="auto"/>
            </w:tcBorders>
          </w:tcPr>
          <w:p w14:paraId="740B8FFF" w14:textId="02CFBB31" w:rsidR="00F16D0A" w:rsidRPr="00FA6F1C" w:rsidRDefault="00441994"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6</w:t>
            </w:r>
            <w:r w:rsidR="00D21EF7" w:rsidRPr="00FA6F1C">
              <w:rPr>
                <w:rFonts w:ascii="Times New Roman" w:hAnsi="Times New Roman" w:cs="Times New Roman"/>
                <w:spacing w:val="-2"/>
                <w:sz w:val="28"/>
                <w:szCs w:val="28"/>
              </w:rPr>
              <w:t>.pant</w:t>
            </w:r>
            <w:r w:rsidRPr="00FA6F1C">
              <w:rPr>
                <w:rFonts w:ascii="Times New Roman" w:hAnsi="Times New Roman" w:cs="Times New Roman"/>
                <w:spacing w:val="-2"/>
                <w:sz w:val="28"/>
                <w:szCs w:val="28"/>
              </w:rPr>
              <w:t>a</w:t>
            </w:r>
            <w:r w:rsidR="00D21EF7" w:rsidRPr="00FA6F1C">
              <w:rPr>
                <w:rFonts w:ascii="Times New Roman" w:hAnsi="Times New Roman" w:cs="Times New Roman"/>
                <w:spacing w:val="-2"/>
                <w:sz w:val="28"/>
                <w:szCs w:val="28"/>
              </w:rPr>
              <w:t xml:space="preserve"> </w:t>
            </w:r>
            <w:r w:rsidR="00454F7A" w:rsidRPr="00FA6F1C">
              <w:rPr>
                <w:rFonts w:ascii="Times New Roman" w:hAnsi="Times New Roman" w:cs="Times New Roman"/>
                <w:spacing w:val="-2"/>
                <w:sz w:val="28"/>
                <w:szCs w:val="28"/>
              </w:rPr>
              <w:t>trešās</w:t>
            </w:r>
            <w:r w:rsidR="0016546C" w:rsidRPr="00FA6F1C">
              <w:rPr>
                <w:rFonts w:ascii="Times New Roman" w:hAnsi="Times New Roman" w:cs="Times New Roman"/>
                <w:spacing w:val="-2"/>
                <w:sz w:val="28"/>
                <w:szCs w:val="28"/>
              </w:rPr>
              <w:t xml:space="preserve"> </w:t>
            </w:r>
            <w:r w:rsidR="00D21EF7" w:rsidRPr="00FA6F1C">
              <w:rPr>
                <w:rFonts w:ascii="Times New Roman" w:hAnsi="Times New Roman" w:cs="Times New Roman"/>
                <w:spacing w:val="-2"/>
                <w:sz w:val="28"/>
                <w:szCs w:val="28"/>
              </w:rPr>
              <w:t xml:space="preserve">daļas </w:t>
            </w:r>
            <w:r w:rsidRPr="00FA6F1C">
              <w:rPr>
                <w:rFonts w:ascii="Times New Roman" w:hAnsi="Times New Roman" w:cs="Times New Roman"/>
                <w:spacing w:val="-2"/>
                <w:sz w:val="28"/>
                <w:szCs w:val="28"/>
              </w:rPr>
              <w:t>3</w:t>
            </w:r>
            <w:r w:rsidR="00D21EF7" w:rsidRPr="00FA6F1C">
              <w:rPr>
                <w:rFonts w:ascii="Times New Roman" w:hAnsi="Times New Roman" w:cs="Times New Roman"/>
                <w:spacing w:val="-2"/>
                <w:sz w:val="28"/>
                <w:szCs w:val="28"/>
              </w:rPr>
              <w:t>.punkts</w:t>
            </w:r>
          </w:p>
        </w:tc>
        <w:tc>
          <w:tcPr>
            <w:tcW w:w="2657" w:type="dxa"/>
            <w:tcBorders>
              <w:top w:val="outset" w:sz="6" w:space="0" w:color="auto"/>
              <w:left w:val="outset" w:sz="6" w:space="0" w:color="auto"/>
              <w:bottom w:val="outset" w:sz="6" w:space="0" w:color="auto"/>
              <w:right w:val="outset" w:sz="6" w:space="0" w:color="auto"/>
            </w:tcBorders>
          </w:tcPr>
          <w:p w14:paraId="7AA021BE" w14:textId="504EDD54" w:rsidR="00F16D0A" w:rsidRPr="00FA6F1C" w:rsidRDefault="00AF5F37"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Ieviests pilnībā</w:t>
            </w:r>
          </w:p>
        </w:tc>
        <w:tc>
          <w:tcPr>
            <w:tcW w:w="2585" w:type="dxa"/>
            <w:tcBorders>
              <w:top w:val="outset" w:sz="6" w:space="0" w:color="auto"/>
              <w:left w:val="outset" w:sz="6" w:space="0" w:color="auto"/>
              <w:bottom w:val="outset" w:sz="6" w:space="0" w:color="auto"/>
              <w:right w:val="outset" w:sz="6" w:space="0" w:color="auto"/>
            </w:tcBorders>
          </w:tcPr>
          <w:p w14:paraId="6C3B7CD1" w14:textId="5D230CD0" w:rsidR="00F16D0A" w:rsidRPr="00FA6F1C" w:rsidRDefault="00A45722"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Likumprojekts neparedz stingrākas prasības</w:t>
            </w:r>
          </w:p>
        </w:tc>
      </w:tr>
      <w:tr w:rsidR="00F16D0A" w:rsidRPr="00FA6F1C" w14:paraId="799EE768"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26844155" w14:textId="6F2DDFF9" w:rsidR="00F16D0A" w:rsidRPr="00FA6F1C" w:rsidRDefault="00AF0385" w:rsidP="00FA6F1C">
            <w:pPr>
              <w:spacing w:after="0" w:line="240" w:lineRule="auto"/>
              <w:ind w:left="57"/>
              <w:rPr>
                <w:rFonts w:ascii="Times New Roman" w:hAnsi="Times New Roman" w:cs="Times New Roman"/>
                <w:sz w:val="28"/>
                <w:szCs w:val="28"/>
              </w:rPr>
            </w:pPr>
            <w:r w:rsidRPr="00FA6F1C">
              <w:rPr>
                <w:rFonts w:ascii="Times New Roman" w:hAnsi="Times New Roman" w:cs="Times New Roman"/>
                <w:sz w:val="28"/>
                <w:szCs w:val="28"/>
              </w:rPr>
              <w:t xml:space="preserve">Regulas </w:t>
            </w:r>
            <w:r w:rsidR="00441994" w:rsidRPr="00FA6F1C">
              <w:rPr>
                <w:rFonts w:ascii="Times New Roman" w:hAnsi="Times New Roman" w:cs="Times New Roman"/>
                <w:sz w:val="28"/>
                <w:szCs w:val="28"/>
              </w:rPr>
              <w:t>32</w:t>
            </w:r>
            <w:r w:rsidRPr="00FA6F1C">
              <w:rPr>
                <w:rFonts w:ascii="Times New Roman" w:hAnsi="Times New Roman" w:cs="Times New Roman"/>
                <w:sz w:val="28"/>
                <w:szCs w:val="28"/>
              </w:rPr>
              <w:t xml:space="preserve">.panta </w:t>
            </w:r>
            <w:r w:rsidR="00F16D0A" w:rsidRPr="00FA6F1C">
              <w:rPr>
                <w:rFonts w:ascii="Times New Roman" w:hAnsi="Times New Roman" w:cs="Times New Roman"/>
                <w:sz w:val="28"/>
                <w:szCs w:val="28"/>
              </w:rPr>
              <w:t>4.punkta a)</w:t>
            </w:r>
            <w:r w:rsidR="00441994" w:rsidRPr="00FA6F1C">
              <w:rPr>
                <w:rFonts w:ascii="Times New Roman" w:hAnsi="Times New Roman" w:cs="Times New Roman"/>
                <w:sz w:val="28"/>
                <w:szCs w:val="28"/>
              </w:rPr>
              <w:t xml:space="preserve">, b), c) </w:t>
            </w:r>
            <w:r w:rsidR="00F16D0A" w:rsidRPr="00FA6F1C">
              <w:rPr>
                <w:rFonts w:ascii="Times New Roman" w:hAnsi="Times New Roman" w:cs="Times New Roman"/>
                <w:sz w:val="28"/>
                <w:szCs w:val="28"/>
              </w:rPr>
              <w:t>apakšpunkt</w:t>
            </w:r>
            <w:r w:rsidRPr="00FA6F1C">
              <w:rPr>
                <w:rFonts w:ascii="Times New Roman" w:hAnsi="Times New Roman" w:cs="Times New Roman"/>
                <w:sz w:val="28"/>
                <w:szCs w:val="28"/>
              </w:rPr>
              <w:t>s</w:t>
            </w:r>
          </w:p>
        </w:tc>
        <w:tc>
          <w:tcPr>
            <w:tcW w:w="2090" w:type="dxa"/>
            <w:gridSpan w:val="2"/>
            <w:tcBorders>
              <w:top w:val="outset" w:sz="6" w:space="0" w:color="auto"/>
              <w:left w:val="outset" w:sz="6" w:space="0" w:color="auto"/>
              <w:bottom w:val="outset" w:sz="6" w:space="0" w:color="auto"/>
              <w:right w:val="outset" w:sz="6" w:space="0" w:color="auto"/>
            </w:tcBorders>
          </w:tcPr>
          <w:p w14:paraId="3ACB13A6" w14:textId="3EE51AC7" w:rsidR="00F16D0A" w:rsidRPr="00FA6F1C" w:rsidRDefault="00441994"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6</w:t>
            </w:r>
            <w:r w:rsidR="00D21EF7" w:rsidRPr="00FA6F1C">
              <w:rPr>
                <w:rFonts w:ascii="Times New Roman" w:hAnsi="Times New Roman" w:cs="Times New Roman"/>
                <w:spacing w:val="-2"/>
                <w:sz w:val="28"/>
                <w:szCs w:val="28"/>
              </w:rPr>
              <w:t>.pant</w:t>
            </w:r>
            <w:r w:rsidRPr="00FA6F1C">
              <w:rPr>
                <w:rFonts w:ascii="Times New Roman" w:hAnsi="Times New Roman" w:cs="Times New Roman"/>
                <w:spacing w:val="-2"/>
                <w:sz w:val="28"/>
                <w:szCs w:val="28"/>
              </w:rPr>
              <w:t>a</w:t>
            </w:r>
            <w:r w:rsidR="00D21EF7" w:rsidRPr="00FA6F1C">
              <w:rPr>
                <w:rFonts w:ascii="Times New Roman" w:hAnsi="Times New Roman" w:cs="Times New Roman"/>
                <w:spacing w:val="-2"/>
                <w:sz w:val="28"/>
                <w:szCs w:val="28"/>
              </w:rPr>
              <w:t xml:space="preserve"> </w:t>
            </w:r>
            <w:r w:rsidR="00454F7A" w:rsidRPr="00FA6F1C">
              <w:rPr>
                <w:rFonts w:ascii="Times New Roman" w:hAnsi="Times New Roman" w:cs="Times New Roman"/>
                <w:spacing w:val="-2"/>
                <w:sz w:val="28"/>
                <w:szCs w:val="28"/>
              </w:rPr>
              <w:t xml:space="preserve">trešās </w:t>
            </w:r>
            <w:r w:rsidR="00D21EF7" w:rsidRPr="00FA6F1C">
              <w:rPr>
                <w:rFonts w:ascii="Times New Roman" w:hAnsi="Times New Roman" w:cs="Times New Roman"/>
                <w:spacing w:val="-2"/>
                <w:sz w:val="28"/>
                <w:szCs w:val="28"/>
              </w:rPr>
              <w:t xml:space="preserve">daļas </w:t>
            </w:r>
            <w:r w:rsidRPr="00FA6F1C">
              <w:rPr>
                <w:rFonts w:ascii="Times New Roman" w:hAnsi="Times New Roman" w:cs="Times New Roman"/>
                <w:spacing w:val="-2"/>
                <w:sz w:val="28"/>
                <w:szCs w:val="28"/>
              </w:rPr>
              <w:t>7</w:t>
            </w:r>
            <w:r w:rsidR="00D21EF7" w:rsidRPr="00FA6F1C">
              <w:rPr>
                <w:rFonts w:ascii="Times New Roman" w:hAnsi="Times New Roman" w:cs="Times New Roman"/>
                <w:spacing w:val="-2"/>
                <w:sz w:val="28"/>
                <w:szCs w:val="28"/>
              </w:rPr>
              <w:t>.punkts</w:t>
            </w:r>
          </w:p>
        </w:tc>
        <w:tc>
          <w:tcPr>
            <w:tcW w:w="2657" w:type="dxa"/>
            <w:tcBorders>
              <w:top w:val="outset" w:sz="6" w:space="0" w:color="auto"/>
              <w:left w:val="outset" w:sz="6" w:space="0" w:color="auto"/>
              <w:bottom w:val="outset" w:sz="6" w:space="0" w:color="auto"/>
              <w:right w:val="outset" w:sz="6" w:space="0" w:color="auto"/>
            </w:tcBorders>
          </w:tcPr>
          <w:p w14:paraId="1BBDA2DF" w14:textId="35C8DC4C" w:rsidR="00F16D0A" w:rsidRPr="00FA6F1C" w:rsidRDefault="00AF5F37"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Ieviests pilnībā</w:t>
            </w:r>
          </w:p>
        </w:tc>
        <w:tc>
          <w:tcPr>
            <w:tcW w:w="2585" w:type="dxa"/>
            <w:tcBorders>
              <w:top w:val="outset" w:sz="6" w:space="0" w:color="auto"/>
              <w:left w:val="outset" w:sz="6" w:space="0" w:color="auto"/>
              <w:bottom w:val="outset" w:sz="6" w:space="0" w:color="auto"/>
              <w:right w:val="outset" w:sz="6" w:space="0" w:color="auto"/>
            </w:tcBorders>
          </w:tcPr>
          <w:p w14:paraId="551DF723" w14:textId="68CA05AC" w:rsidR="00F16D0A" w:rsidRPr="00FA6F1C" w:rsidRDefault="00A45722"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Likumprojekts neparedz stingrākas prasības</w:t>
            </w:r>
          </w:p>
        </w:tc>
      </w:tr>
      <w:tr w:rsidR="00E42943" w:rsidRPr="00FA6F1C" w14:paraId="24B35211"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236A7473" w14:textId="7C1F345C" w:rsidR="00E42943" w:rsidRPr="00FA6F1C" w:rsidRDefault="00AF0385"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z w:val="28"/>
                <w:szCs w:val="28"/>
              </w:rPr>
              <w:t>R</w:t>
            </w:r>
            <w:r w:rsidR="008053B2" w:rsidRPr="00FA6F1C">
              <w:rPr>
                <w:rFonts w:ascii="Times New Roman" w:hAnsi="Times New Roman" w:cs="Times New Roman"/>
                <w:sz w:val="28"/>
                <w:szCs w:val="28"/>
              </w:rPr>
              <w:t xml:space="preserve">egulas </w:t>
            </w:r>
            <w:r w:rsidR="00260B65" w:rsidRPr="00FA6F1C">
              <w:rPr>
                <w:rFonts w:ascii="Times New Roman" w:hAnsi="Times New Roman" w:cs="Times New Roman"/>
                <w:sz w:val="28"/>
                <w:szCs w:val="28"/>
              </w:rPr>
              <w:t>32</w:t>
            </w:r>
            <w:r w:rsidR="008053B2" w:rsidRPr="00FA6F1C">
              <w:rPr>
                <w:rFonts w:ascii="Times New Roman" w:hAnsi="Times New Roman" w:cs="Times New Roman"/>
                <w:sz w:val="28"/>
                <w:szCs w:val="28"/>
              </w:rPr>
              <w:t>.panta 4.punkta d) apakšpunkt</w:t>
            </w:r>
            <w:r w:rsidRPr="00FA6F1C">
              <w:rPr>
                <w:rFonts w:ascii="Times New Roman" w:hAnsi="Times New Roman" w:cs="Times New Roman"/>
                <w:sz w:val="28"/>
                <w:szCs w:val="28"/>
              </w:rPr>
              <w:t>s</w:t>
            </w:r>
          </w:p>
        </w:tc>
        <w:tc>
          <w:tcPr>
            <w:tcW w:w="2090" w:type="dxa"/>
            <w:gridSpan w:val="2"/>
            <w:tcBorders>
              <w:top w:val="outset" w:sz="6" w:space="0" w:color="auto"/>
              <w:left w:val="outset" w:sz="6" w:space="0" w:color="auto"/>
              <w:bottom w:val="outset" w:sz="6" w:space="0" w:color="auto"/>
              <w:right w:val="outset" w:sz="6" w:space="0" w:color="auto"/>
            </w:tcBorders>
          </w:tcPr>
          <w:p w14:paraId="4602187F" w14:textId="770C3A53" w:rsidR="00E42943" w:rsidRPr="00FA6F1C" w:rsidRDefault="00260B65"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5</w:t>
            </w:r>
            <w:r w:rsidR="00F46D80" w:rsidRPr="00FA6F1C">
              <w:rPr>
                <w:rFonts w:ascii="Times New Roman" w:hAnsi="Times New Roman" w:cs="Times New Roman"/>
                <w:spacing w:val="-2"/>
                <w:sz w:val="28"/>
                <w:szCs w:val="28"/>
              </w:rPr>
              <w:t xml:space="preserve">.panta </w:t>
            </w:r>
            <w:r w:rsidR="00454F7A" w:rsidRPr="00FA6F1C">
              <w:rPr>
                <w:rFonts w:ascii="Times New Roman" w:hAnsi="Times New Roman" w:cs="Times New Roman"/>
                <w:spacing w:val="-2"/>
                <w:sz w:val="28"/>
                <w:szCs w:val="28"/>
              </w:rPr>
              <w:t xml:space="preserve">otrās </w:t>
            </w:r>
            <w:r w:rsidR="00F46D80" w:rsidRPr="00FA6F1C">
              <w:rPr>
                <w:rFonts w:ascii="Times New Roman" w:hAnsi="Times New Roman" w:cs="Times New Roman"/>
                <w:spacing w:val="-2"/>
                <w:sz w:val="28"/>
                <w:szCs w:val="28"/>
              </w:rPr>
              <w:t xml:space="preserve">daļas </w:t>
            </w:r>
            <w:r w:rsidRPr="00FA6F1C">
              <w:rPr>
                <w:rFonts w:ascii="Times New Roman" w:hAnsi="Times New Roman" w:cs="Times New Roman"/>
                <w:spacing w:val="-2"/>
                <w:sz w:val="28"/>
                <w:szCs w:val="28"/>
              </w:rPr>
              <w:t>9</w:t>
            </w:r>
            <w:r w:rsidR="00F46D80" w:rsidRPr="00FA6F1C">
              <w:rPr>
                <w:rFonts w:ascii="Times New Roman" w:hAnsi="Times New Roman" w:cs="Times New Roman"/>
                <w:spacing w:val="-2"/>
                <w:sz w:val="28"/>
                <w:szCs w:val="28"/>
              </w:rPr>
              <w:t>.punkts</w:t>
            </w:r>
            <w:r w:rsidRPr="00FA6F1C">
              <w:rPr>
                <w:rFonts w:ascii="Times New Roman" w:hAnsi="Times New Roman" w:cs="Times New Roman"/>
                <w:spacing w:val="-2"/>
                <w:sz w:val="28"/>
                <w:szCs w:val="28"/>
              </w:rPr>
              <w:t>;</w:t>
            </w:r>
            <w:r w:rsidR="00F46D80" w:rsidRPr="00FA6F1C">
              <w:rPr>
                <w:rFonts w:ascii="Times New Roman" w:hAnsi="Times New Roman" w:cs="Times New Roman"/>
                <w:spacing w:val="-2"/>
                <w:sz w:val="28"/>
                <w:szCs w:val="28"/>
              </w:rPr>
              <w:t xml:space="preserve"> </w:t>
            </w:r>
            <w:r w:rsidRPr="00FA6F1C">
              <w:rPr>
                <w:rFonts w:ascii="Times New Roman" w:hAnsi="Times New Roman" w:cs="Times New Roman"/>
                <w:spacing w:val="-2"/>
                <w:sz w:val="28"/>
                <w:szCs w:val="28"/>
              </w:rPr>
              <w:t>6</w:t>
            </w:r>
            <w:r w:rsidR="00F46D80" w:rsidRPr="00FA6F1C">
              <w:rPr>
                <w:rFonts w:ascii="Times New Roman" w:hAnsi="Times New Roman" w:cs="Times New Roman"/>
                <w:spacing w:val="-2"/>
                <w:sz w:val="28"/>
                <w:szCs w:val="28"/>
              </w:rPr>
              <w:t>.pant</w:t>
            </w:r>
            <w:r w:rsidRPr="00FA6F1C">
              <w:rPr>
                <w:rFonts w:ascii="Times New Roman" w:hAnsi="Times New Roman" w:cs="Times New Roman"/>
                <w:spacing w:val="-2"/>
                <w:sz w:val="28"/>
                <w:szCs w:val="28"/>
              </w:rPr>
              <w:t>a</w:t>
            </w:r>
            <w:r w:rsidR="00F46D80" w:rsidRPr="00FA6F1C">
              <w:rPr>
                <w:rFonts w:ascii="Times New Roman" w:hAnsi="Times New Roman" w:cs="Times New Roman"/>
                <w:spacing w:val="-2"/>
                <w:sz w:val="28"/>
                <w:szCs w:val="28"/>
              </w:rPr>
              <w:t xml:space="preserve"> </w:t>
            </w:r>
            <w:r w:rsidR="00864BD1" w:rsidRPr="00FA6F1C">
              <w:rPr>
                <w:rFonts w:ascii="Times New Roman" w:hAnsi="Times New Roman" w:cs="Times New Roman"/>
                <w:spacing w:val="-2"/>
                <w:sz w:val="28"/>
                <w:szCs w:val="28"/>
              </w:rPr>
              <w:t xml:space="preserve">trešās </w:t>
            </w:r>
            <w:r w:rsidR="00F46D80" w:rsidRPr="00FA6F1C">
              <w:rPr>
                <w:rFonts w:ascii="Times New Roman" w:hAnsi="Times New Roman" w:cs="Times New Roman"/>
                <w:spacing w:val="-2"/>
                <w:sz w:val="28"/>
                <w:szCs w:val="28"/>
              </w:rPr>
              <w:t>daļas</w:t>
            </w:r>
            <w:r w:rsidR="00CF6620" w:rsidRPr="00FA6F1C">
              <w:rPr>
                <w:rFonts w:ascii="Times New Roman" w:hAnsi="Times New Roman" w:cs="Times New Roman"/>
                <w:spacing w:val="-2"/>
                <w:sz w:val="28"/>
                <w:szCs w:val="28"/>
              </w:rPr>
              <w:t xml:space="preserve"> </w:t>
            </w:r>
            <w:r w:rsidRPr="00FA6F1C">
              <w:rPr>
                <w:rFonts w:ascii="Times New Roman" w:hAnsi="Times New Roman" w:cs="Times New Roman"/>
                <w:spacing w:val="-2"/>
                <w:sz w:val="28"/>
                <w:szCs w:val="28"/>
              </w:rPr>
              <w:t>9</w:t>
            </w:r>
            <w:r w:rsidR="00CF6620" w:rsidRPr="00FA6F1C">
              <w:rPr>
                <w:rFonts w:ascii="Times New Roman" w:hAnsi="Times New Roman" w:cs="Times New Roman"/>
                <w:spacing w:val="-2"/>
                <w:sz w:val="28"/>
                <w:szCs w:val="28"/>
              </w:rPr>
              <w:t>.punkts</w:t>
            </w:r>
          </w:p>
        </w:tc>
        <w:tc>
          <w:tcPr>
            <w:tcW w:w="2657" w:type="dxa"/>
            <w:tcBorders>
              <w:top w:val="outset" w:sz="6" w:space="0" w:color="auto"/>
              <w:left w:val="outset" w:sz="6" w:space="0" w:color="auto"/>
              <w:bottom w:val="outset" w:sz="6" w:space="0" w:color="auto"/>
              <w:right w:val="outset" w:sz="6" w:space="0" w:color="auto"/>
            </w:tcBorders>
          </w:tcPr>
          <w:p w14:paraId="5972AD3B" w14:textId="3735B4EE" w:rsidR="00E42943" w:rsidRPr="00FA6F1C" w:rsidRDefault="00AF5F37"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Ieviests pilnībā</w:t>
            </w:r>
          </w:p>
        </w:tc>
        <w:tc>
          <w:tcPr>
            <w:tcW w:w="2585" w:type="dxa"/>
            <w:tcBorders>
              <w:top w:val="outset" w:sz="6" w:space="0" w:color="auto"/>
              <w:left w:val="outset" w:sz="6" w:space="0" w:color="auto"/>
              <w:bottom w:val="outset" w:sz="6" w:space="0" w:color="auto"/>
              <w:right w:val="outset" w:sz="6" w:space="0" w:color="auto"/>
            </w:tcBorders>
          </w:tcPr>
          <w:p w14:paraId="1F6C9C42" w14:textId="5F15AC40" w:rsidR="00E42943" w:rsidRPr="00FA6F1C" w:rsidRDefault="00A45722"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Likumprojekts neparedz stingrākas prasības</w:t>
            </w:r>
          </w:p>
        </w:tc>
      </w:tr>
      <w:tr w:rsidR="00E42943" w:rsidRPr="00FA6F1C" w14:paraId="6F978E26"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0E601199" w14:textId="3906B486" w:rsidR="00E42943" w:rsidRPr="00FA6F1C" w:rsidRDefault="00AF0385"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z w:val="28"/>
                <w:szCs w:val="28"/>
              </w:rPr>
              <w:t>R</w:t>
            </w:r>
            <w:r w:rsidR="008053B2" w:rsidRPr="00FA6F1C">
              <w:rPr>
                <w:rFonts w:ascii="Times New Roman" w:hAnsi="Times New Roman" w:cs="Times New Roman"/>
                <w:sz w:val="28"/>
                <w:szCs w:val="28"/>
              </w:rPr>
              <w:t xml:space="preserve">egulas </w:t>
            </w:r>
            <w:r w:rsidR="00260B65" w:rsidRPr="00FA6F1C">
              <w:rPr>
                <w:rFonts w:ascii="Times New Roman" w:hAnsi="Times New Roman" w:cs="Times New Roman"/>
                <w:sz w:val="28"/>
                <w:szCs w:val="28"/>
              </w:rPr>
              <w:t>32</w:t>
            </w:r>
            <w:r w:rsidR="008053B2" w:rsidRPr="00FA6F1C">
              <w:rPr>
                <w:rFonts w:ascii="Times New Roman" w:hAnsi="Times New Roman" w:cs="Times New Roman"/>
                <w:sz w:val="28"/>
                <w:szCs w:val="28"/>
              </w:rPr>
              <w:t>.panta 4.punkta e) apakšpunkt</w:t>
            </w:r>
            <w:r w:rsidRPr="00FA6F1C">
              <w:rPr>
                <w:rFonts w:ascii="Times New Roman" w:hAnsi="Times New Roman" w:cs="Times New Roman"/>
                <w:sz w:val="28"/>
                <w:szCs w:val="28"/>
              </w:rPr>
              <w:t>s</w:t>
            </w:r>
          </w:p>
        </w:tc>
        <w:tc>
          <w:tcPr>
            <w:tcW w:w="2090" w:type="dxa"/>
            <w:gridSpan w:val="2"/>
            <w:tcBorders>
              <w:top w:val="outset" w:sz="6" w:space="0" w:color="auto"/>
              <w:left w:val="outset" w:sz="6" w:space="0" w:color="auto"/>
              <w:bottom w:val="outset" w:sz="6" w:space="0" w:color="auto"/>
              <w:right w:val="outset" w:sz="6" w:space="0" w:color="auto"/>
            </w:tcBorders>
          </w:tcPr>
          <w:p w14:paraId="168FCFA2" w14:textId="414311FC" w:rsidR="00E42943" w:rsidRPr="00FA6F1C" w:rsidRDefault="00260B65"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5</w:t>
            </w:r>
            <w:r w:rsidR="00F46D80" w:rsidRPr="00FA6F1C">
              <w:rPr>
                <w:rFonts w:ascii="Times New Roman" w:hAnsi="Times New Roman" w:cs="Times New Roman"/>
                <w:spacing w:val="-2"/>
                <w:sz w:val="28"/>
                <w:szCs w:val="28"/>
              </w:rPr>
              <w:t xml:space="preserve">.panta </w:t>
            </w:r>
            <w:r w:rsidR="00A864E0" w:rsidRPr="00FA6F1C">
              <w:rPr>
                <w:rFonts w:ascii="Times New Roman" w:hAnsi="Times New Roman" w:cs="Times New Roman"/>
                <w:spacing w:val="-2"/>
                <w:sz w:val="28"/>
                <w:szCs w:val="28"/>
              </w:rPr>
              <w:t>otr</w:t>
            </w:r>
            <w:r w:rsidR="0028467D" w:rsidRPr="00FA6F1C">
              <w:rPr>
                <w:rFonts w:ascii="Times New Roman" w:hAnsi="Times New Roman" w:cs="Times New Roman"/>
                <w:spacing w:val="-2"/>
                <w:sz w:val="28"/>
                <w:szCs w:val="28"/>
              </w:rPr>
              <w:t>ā</w:t>
            </w:r>
            <w:r w:rsidR="00A864E0" w:rsidRPr="00FA6F1C">
              <w:rPr>
                <w:rFonts w:ascii="Times New Roman" w:hAnsi="Times New Roman" w:cs="Times New Roman"/>
                <w:spacing w:val="-2"/>
                <w:sz w:val="28"/>
                <w:szCs w:val="28"/>
              </w:rPr>
              <w:t xml:space="preserve">s </w:t>
            </w:r>
            <w:r w:rsidR="00F46D80" w:rsidRPr="00FA6F1C">
              <w:rPr>
                <w:rFonts w:ascii="Times New Roman" w:hAnsi="Times New Roman" w:cs="Times New Roman"/>
                <w:spacing w:val="-2"/>
                <w:sz w:val="28"/>
                <w:szCs w:val="28"/>
              </w:rPr>
              <w:t xml:space="preserve">daļas </w:t>
            </w:r>
            <w:r w:rsidRPr="00FA6F1C">
              <w:rPr>
                <w:rFonts w:ascii="Times New Roman" w:hAnsi="Times New Roman" w:cs="Times New Roman"/>
                <w:spacing w:val="-2"/>
                <w:sz w:val="28"/>
                <w:szCs w:val="28"/>
              </w:rPr>
              <w:t>13</w:t>
            </w:r>
            <w:r w:rsidR="00F46D80" w:rsidRPr="00FA6F1C">
              <w:rPr>
                <w:rFonts w:ascii="Times New Roman" w:hAnsi="Times New Roman" w:cs="Times New Roman"/>
                <w:spacing w:val="-2"/>
                <w:sz w:val="28"/>
                <w:szCs w:val="28"/>
              </w:rPr>
              <w:t>.punkts</w:t>
            </w:r>
          </w:p>
        </w:tc>
        <w:tc>
          <w:tcPr>
            <w:tcW w:w="2657" w:type="dxa"/>
            <w:tcBorders>
              <w:top w:val="outset" w:sz="6" w:space="0" w:color="auto"/>
              <w:left w:val="outset" w:sz="6" w:space="0" w:color="auto"/>
              <w:bottom w:val="outset" w:sz="6" w:space="0" w:color="auto"/>
              <w:right w:val="outset" w:sz="6" w:space="0" w:color="auto"/>
            </w:tcBorders>
          </w:tcPr>
          <w:p w14:paraId="261D4468" w14:textId="226ADCD7" w:rsidR="00E42943" w:rsidRPr="00FA6F1C" w:rsidRDefault="00AF5F37"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Ieviests pilnībā</w:t>
            </w:r>
          </w:p>
        </w:tc>
        <w:tc>
          <w:tcPr>
            <w:tcW w:w="2585" w:type="dxa"/>
            <w:tcBorders>
              <w:top w:val="outset" w:sz="6" w:space="0" w:color="auto"/>
              <w:left w:val="outset" w:sz="6" w:space="0" w:color="auto"/>
              <w:bottom w:val="outset" w:sz="6" w:space="0" w:color="auto"/>
              <w:right w:val="outset" w:sz="6" w:space="0" w:color="auto"/>
            </w:tcBorders>
          </w:tcPr>
          <w:p w14:paraId="4BD6195B" w14:textId="5D7DFEEC" w:rsidR="00E42943" w:rsidRPr="00FA6F1C" w:rsidRDefault="00A45722"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Likumprojekts neparedz stingrākas prasības</w:t>
            </w:r>
          </w:p>
        </w:tc>
      </w:tr>
      <w:tr w:rsidR="00F16D0A" w:rsidRPr="00FA6F1C" w14:paraId="40B05D67"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3AAAB34A" w14:textId="71CB1512" w:rsidR="00F16D0A" w:rsidRPr="00FA6F1C" w:rsidRDefault="00AF0385" w:rsidP="00FA6F1C">
            <w:pPr>
              <w:spacing w:after="0" w:line="240" w:lineRule="auto"/>
              <w:ind w:left="57"/>
              <w:rPr>
                <w:rFonts w:ascii="Times New Roman" w:hAnsi="Times New Roman" w:cs="Times New Roman"/>
                <w:sz w:val="28"/>
                <w:szCs w:val="28"/>
              </w:rPr>
            </w:pPr>
            <w:r w:rsidRPr="00FA6F1C">
              <w:rPr>
                <w:rFonts w:ascii="Times New Roman" w:hAnsi="Times New Roman" w:cs="Times New Roman"/>
                <w:sz w:val="28"/>
                <w:szCs w:val="28"/>
              </w:rPr>
              <w:t xml:space="preserve">Regulas </w:t>
            </w:r>
            <w:r w:rsidR="00260B65" w:rsidRPr="00FA6F1C">
              <w:rPr>
                <w:rFonts w:ascii="Times New Roman" w:hAnsi="Times New Roman" w:cs="Times New Roman"/>
                <w:sz w:val="28"/>
                <w:szCs w:val="28"/>
              </w:rPr>
              <w:t>32</w:t>
            </w:r>
            <w:r w:rsidRPr="00FA6F1C">
              <w:rPr>
                <w:rFonts w:ascii="Times New Roman" w:hAnsi="Times New Roman" w:cs="Times New Roman"/>
                <w:sz w:val="28"/>
                <w:szCs w:val="28"/>
              </w:rPr>
              <w:t xml:space="preserve">.panta </w:t>
            </w:r>
            <w:r w:rsidR="00F16D0A" w:rsidRPr="00FA6F1C">
              <w:rPr>
                <w:rFonts w:ascii="Times New Roman" w:hAnsi="Times New Roman" w:cs="Times New Roman"/>
                <w:sz w:val="28"/>
                <w:szCs w:val="28"/>
              </w:rPr>
              <w:t>5.punkt</w:t>
            </w:r>
            <w:r w:rsidRPr="00FA6F1C">
              <w:rPr>
                <w:rFonts w:ascii="Times New Roman" w:hAnsi="Times New Roman" w:cs="Times New Roman"/>
                <w:sz w:val="28"/>
                <w:szCs w:val="28"/>
              </w:rPr>
              <w:t>s</w:t>
            </w:r>
          </w:p>
        </w:tc>
        <w:tc>
          <w:tcPr>
            <w:tcW w:w="2090" w:type="dxa"/>
            <w:gridSpan w:val="2"/>
            <w:tcBorders>
              <w:top w:val="outset" w:sz="6" w:space="0" w:color="auto"/>
              <w:left w:val="outset" w:sz="6" w:space="0" w:color="auto"/>
              <w:bottom w:val="outset" w:sz="6" w:space="0" w:color="auto"/>
              <w:right w:val="outset" w:sz="6" w:space="0" w:color="auto"/>
            </w:tcBorders>
          </w:tcPr>
          <w:p w14:paraId="41ACE72A" w14:textId="15737E1C" w:rsidR="00F16D0A" w:rsidRPr="00FA6F1C" w:rsidRDefault="00260B65"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6</w:t>
            </w:r>
            <w:r w:rsidR="00D21EF7" w:rsidRPr="00FA6F1C">
              <w:rPr>
                <w:rFonts w:ascii="Times New Roman" w:hAnsi="Times New Roman" w:cs="Times New Roman"/>
                <w:spacing w:val="-2"/>
                <w:sz w:val="28"/>
                <w:szCs w:val="28"/>
              </w:rPr>
              <w:t>.pant</w:t>
            </w:r>
            <w:r w:rsidRPr="00FA6F1C">
              <w:rPr>
                <w:rFonts w:ascii="Times New Roman" w:hAnsi="Times New Roman" w:cs="Times New Roman"/>
                <w:spacing w:val="-2"/>
                <w:sz w:val="28"/>
                <w:szCs w:val="28"/>
              </w:rPr>
              <w:t>a</w:t>
            </w:r>
            <w:r w:rsidR="00D21EF7" w:rsidRPr="00FA6F1C">
              <w:rPr>
                <w:rFonts w:ascii="Times New Roman" w:hAnsi="Times New Roman" w:cs="Times New Roman"/>
                <w:spacing w:val="-2"/>
                <w:sz w:val="28"/>
                <w:szCs w:val="28"/>
              </w:rPr>
              <w:t xml:space="preserve"> </w:t>
            </w:r>
            <w:r w:rsidR="00A864E0" w:rsidRPr="00FA6F1C">
              <w:rPr>
                <w:rFonts w:ascii="Times New Roman" w:hAnsi="Times New Roman" w:cs="Times New Roman"/>
                <w:spacing w:val="-2"/>
                <w:sz w:val="28"/>
                <w:szCs w:val="28"/>
              </w:rPr>
              <w:t xml:space="preserve">trešās </w:t>
            </w:r>
            <w:r w:rsidR="00D21EF7" w:rsidRPr="00FA6F1C">
              <w:rPr>
                <w:rFonts w:ascii="Times New Roman" w:hAnsi="Times New Roman" w:cs="Times New Roman"/>
                <w:spacing w:val="-2"/>
                <w:sz w:val="28"/>
                <w:szCs w:val="28"/>
              </w:rPr>
              <w:t xml:space="preserve">daļas </w:t>
            </w:r>
            <w:r w:rsidRPr="00FA6F1C">
              <w:rPr>
                <w:rFonts w:ascii="Times New Roman" w:hAnsi="Times New Roman" w:cs="Times New Roman"/>
                <w:spacing w:val="-2"/>
                <w:sz w:val="28"/>
                <w:szCs w:val="28"/>
              </w:rPr>
              <w:lastRenderedPageBreak/>
              <w:t>7</w:t>
            </w:r>
            <w:r w:rsidR="00D21EF7" w:rsidRPr="00FA6F1C">
              <w:rPr>
                <w:rFonts w:ascii="Times New Roman" w:hAnsi="Times New Roman" w:cs="Times New Roman"/>
                <w:spacing w:val="-2"/>
                <w:sz w:val="28"/>
                <w:szCs w:val="28"/>
              </w:rPr>
              <w:t>.punkts</w:t>
            </w:r>
            <w:r w:rsidRPr="00FA6F1C">
              <w:rPr>
                <w:rFonts w:ascii="Times New Roman" w:hAnsi="Times New Roman" w:cs="Times New Roman"/>
                <w:spacing w:val="-2"/>
                <w:sz w:val="28"/>
                <w:szCs w:val="28"/>
              </w:rPr>
              <w:t>;5.panta trešās daļas 5.punkts</w:t>
            </w:r>
          </w:p>
        </w:tc>
        <w:tc>
          <w:tcPr>
            <w:tcW w:w="2657" w:type="dxa"/>
            <w:tcBorders>
              <w:top w:val="outset" w:sz="6" w:space="0" w:color="auto"/>
              <w:left w:val="outset" w:sz="6" w:space="0" w:color="auto"/>
              <w:bottom w:val="outset" w:sz="6" w:space="0" w:color="auto"/>
              <w:right w:val="outset" w:sz="6" w:space="0" w:color="auto"/>
            </w:tcBorders>
          </w:tcPr>
          <w:p w14:paraId="212D0276" w14:textId="78A6D76E" w:rsidR="00F16D0A" w:rsidRPr="00FA6F1C" w:rsidRDefault="00AF5F37"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lastRenderedPageBreak/>
              <w:t>Ieviests pilnībā</w:t>
            </w:r>
          </w:p>
        </w:tc>
        <w:tc>
          <w:tcPr>
            <w:tcW w:w="2585" w:type="dxa"/>
            <w:tcBorders>
              <w:top w:val="outset" w:sz="6" w:space="0" w:color="auto"/>
              <w:left w:val="outset" w:sz="6" w:space="0" w:color="auto"/>
              <w:bottom w:val="outset" w:sz="6" w:space="0" w:color="auto"/>
              <w:right w:val="outset" w:sz="6" w:space="0" w:color="auto"/>
            </w:tcBorders>
          </w:tcPr>
          <w:p w14:paraId="56C4384A" w14:textId="45A97E3F" w:rsidR="00F16D0A" w:rsidRPr="00FA6F1C" w:rsidRDefault="00A45722"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 xml:space="preserve">Likumprojekts neparedz stingrākas </w:t>
            </w:r>
            <w:r w:rsidRPr="00FA6F1C">
              <w:rPr>
                <w:rFonts w:ascii="Times New Roman" w:hAnsi="Times New Roman" w:cs="Times New Roman"/>
                <w:spacing w:val="-2"/>
                <w:sz w:val="28"/>
                <w:szCs w:val="28"/>
              </w:rPr>
              <w:lastRenderedPageBreak/>
              <w:t>prasības</w:t>
            </w:r>
          </w:p>
        </w:tc>
      </w:tr>
      <w:tr w:rsidR="00F16D0A" w:rsidRPr="00FA6F1C" w14:paraId="72ACE207"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7690AF56" w14:textId="0F3479E7" w:rsidR="00F16D0A" w:rsidRPr="00FA6F1C" w:rsidRDefault="002C21ED" w:rsidP="00FA6F1C">
            <w:pPr>
              <w:spacing w:after="0" w:line="240" w:lineRule="auto"/>
              <w:ind w:left="57"/>
              <w:rPr>
                <w:rFonts w:ascii="Times New Roman" w:hAnsi="Times New Roman" w:cs="Times New Roman"/>
                <w:sz w:val="28"/>
                <w:szCs w:val="28"/>
              </w:rPr>
            </w:pPr>
            <w:r w:rsidRPr="00FA6F1C">
              <w:rPr>
                <w:rFonts w:ascii="Times New Roman" w:hAnsi="Times New Roman" w:cs="Times New Roman"/>
                <w:sz w:val="28"/>
                <w:szCs w:val="28"/>
              </w:rPr>
              <w:lastRenderedPageBreak/>
              <w:t>R</w:t>
            </w:r>
            <w:r w:rsidR="00F16D0A" w:rsidRPr="00FA6F1C">
              <w:rPr>
                <w:rFonts w:ascii="Times New Roman" w:hAnsi="Times New Roman" w:cs="Times New Roman"/>
                <w:sz w:val="28"/>
                <w:szCs w:val="28"/>
              </w:rPr>
              <w:t xml:space="preserve">egulas </w:t>
            </w:r>
            <w:r w:rsidR="00260B65" w:rsidRPr="00FA6F1C">
              <w:rPr>
                <w:rFonts w:ascii="Times New Roman" w:hAnsi="Times New Roman" w:cs="Times New Roman"/>
                <w:sz w:val="28"/>
                <w:szCs w:val="28"/>
              </w:rPr>
              <w:t>33</w:t>
            </w:r>
            <w:r w:rsidR="00F16D0A" w:rsidRPr="00FA6F1C">
              <w:rPr>
                <w:rFonts w:ascii="Times New Roman" w:hAnsi="Times New Roman" w:cs="Times New Roman"/>
                <w:sz w:val="28"/>
                <w:szCs w:val="28"/>
              </w:rPr>
              <w:t>.pant</w:t>
            </w:r>
            <w:r w:rsidRPr="00FA6F1C">
              <w:rPr>
                <w:rFonts w:ascii="Times New Roman" w:hAnsi="Times New Roman" w:cs="Times New Roman"/>
                <w:sz w:val="28"/>
                <w:szCs w:val="28"/>
              </w:rPr>
              <w:t>s</w:t>
            </w:r>
            <w:r w:rsidR="00F16D0A" w:rsidRPr="00FA6F1C">
              <w:rPr>
                <w:rFonts w:ascii="Times New Roman" w:hAnsi="Times New Roman" w:cs="Times New Roman"/>
                <w:sz w:val="28"/>
                <w:szCs w:val="28"/>
              </w:rPr>
              <w:t xml:space="preserve"> </w:t>
            </w:r>
          </w:p>
        </w:tc>
        <w:tc>
          <w:tcPr>
            <w:tcW w:w="2090" w:type="dxa"/>
            <w:gridSpan w:val="2"/>
            <w:tcBorders>
              <w:top w:val="outset" w:sz="6" w:space="0" w:color="auto"/>
              <w:left w:val="outset" w:sz="6" w:space="0" w:color="auto"/>
              <w:bottom w:val="outset" w:sz="6" w:space="0" w:color="auto"/>
              <w:right w:val="outset" w:sz="6" w:space="0" w:color="auto"/>
            </w:tcBorders>
          </w:tcPr>
          <w:p w14:paraId="27A36942" w14:textId="7827A7D9" w:rsidR="00F16D0A" w:rsidRPr="00FA6F1C" w:rsidRDefault="00260B65"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8</w:t>
            </w:r>
            <w:r w:rsidR="00D21EF7" w:rsidRPr="00FA6F1C">
              <w:rPr>
                <w:rFonts w:ascii="Times New Roman" w:hAnsi="Times New Roman" w:cs="Times New Roman"/>
                <w:spacing w:val="-2"/>
                <w:sz w:val="28"/>
                <w:szCs w:val="28"/>
              </w:rPr>
              <w:t xml:space="preserve">.panta </w:t>
            </w:r>
            <w:r w:rsidR="00A864E0" w:rsidRPr="00FA6F1C">
              <w:rPr>
                <w:rFonts w:ascii="Times New Roman" w:hAnsi="Times New Roman" w:cs="Times New Roman"/>
                <w:spacing w:val="-2"/>
                <w:sz w:val="28"/>
                <w:szCs w:val="28"/>
              </w:rPr>
              <w:t xml:space="preserve">otrās </w:t>
            </w:r>
            <w:r w:rsidR="00D21EF7" w:rsidRPr="00FA6F1C">
              <w:rPr>
                <w:rFonts w:ascii="Times New Roman" w:hAnsi="Times New Roman" w:cs="Times New Roman"/>
                <w:spacing w:val="-2"/>
                <w:sz w:val="28"/>
                <w:szCs w:val="28"/>
              </w:rPr>
              <w:t>daļas 2.punkts</w:t>
            </w:r>
          </w:p>
        </w:tc>
        <w:tc>
          <w:tcPr>
            <w:tcW w:w="2657" w:type="dxa"/>
            <w:tcBorders>
              <w:top w:val="outset" w:sz="6" w:space="0" w:color="auto"/>
              <w:left w:val="outset" w:sz="6" w:space="0" w:color="auto"/>
              <w:bottom w:val="outset" w:sz="6" w:space="0" w:color="auto"/>
              <w:right w:val="outset" w:sz="6" w:space="0" w:color="auto"/>
            </w:tcBorders>
          </w:tcPr>
          <w:p w14:paraId="4309DBEC" w14:textId="235FF3B7" w:rsidR="00F16D0A" w:rsidRPr="00FA6F1C" w:rsidRDefault="00647A63" w:rsidP="00FA6F1C">
            <w:pPr>
              <w:spacing w:after="0" w:line="240" w:lineRule="auto"/>
              <w:ind w:left="57"/>
              <w:rPr>
                <w:rFonts w:ascii="Times New Roman" w:hAnsi="Times New Roman" w:cs="Times New Roman"/>
                <w:spacing w:val="-2"/>
                <w:sz w:val="28"/>
                <w:szCs w:val="28"/>
              </w:rPr>
            </w:pPr>
            <w:r>
              <w:rPr>
                <w:rFonts w:ascii="Times New Roman" w:hAnsi="Times New Roman" w:cs="Times New Roman"/>
                <w:spacing w:val="-2"/>
                <w:sz w:val="28"/>
                <w:szCs w:val="28"/>
              </w:rPr>
              <w:t>Ieviests pilnībā</w:t>
            </w:r>
          </w:p>
        </w:tc>
        <w:tc>
          <w:tcPr>
            <w:tcW w:w="2585" w:type="dxa"/>
            <w:tcBorders>
              <w:top w:val="outset" w:sz="6" w:space="0" w:color="auto"/>
              <w:left w:val="outset" w:sz="6" w:space="0" w:color="auto"/>
              <w:bottom w:val="outset" w:sz="6" w:space="0" w:color="auto"/>
              <w:right w:val="outset" w:sz="6" w:space="0" w:color="auto"/>
            </w:tcBorders>
          </w:tcPr>
          <w:p w14:paraId="6C46C97E" w14:textId="125D20EA" w:rsidR="00F16D0A" w:rsidRPr="00FA6F1C" w:rsidRDefault="00A45722"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Likumprojekts neparedz stingrākas prasības</w:t>
            </w:r>
          </w:p>
        </w:tc>
      </w:tr>
      <w:tr w:rsidR="00F16D0A" w:rsidRPr="00FA6F1C" w14:paraId="47C4283F"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46CFB416" w14:textId="1542BF17" w:rsidR="00F16D0A" w:rsidRPr="00FA6F1C" w:rsidRDefault="002C21ED" w:rsidP="00FA6F1C">
            <w:pPr>
              <w:spacing w:after="0" w:line="240" w:lineRule="auto"/>
              <w:ind w:left="57"/>
              <w:rPr>
                <w:rFonts w:ascii="Times New Roman" w:hAnsi="Times New Roman" w:cs="Times New Roman"/>
                <w:sz w:val="28"/>
                <w:szCs w:val="28"/>
              </w:rPr>
            </w:pPr>
            <w:r w:rsidRPr="00FA6F1C">
              <w:rPr>
                <w:rFonts w:ascii="Times New Roman" w:hAnsi="Times New Roman" w:cs="Times New Roman"/>
                <w:sz w:val="28"/>
                <w:szCs w:val="28"/>
              </w:rPr>
              <w:t>R</w:t>
            </w:r>
            <w:r w:rsidR="00F16D0A" w:rsidRPr="00FA6F1C">
              <w:rPr>
                <w:rFonts w:ascii="Times New Roman" w:hAnsi="Times New Roman" w:cs="Times New Roman"/>
                <w:sz w:val="28"/>
                <w:szCs w:val="28"/>
              </w:rPr>
              <w:t xml:space="preserve">egulas </w:t>
            </w:r>
            <w:r w:rsidR="00260B65" w:rsidRPr="00FA6F1C">
              <w:rPr>
                <w:rFonts w:ascii="Times New Roman" w:hAnsi="Times New Roman" w:cs="Times New Roman"/>
                <w:sz w:val="28"/>
                <w:szCs w:val="28"/>
              </w:rPr>
              <w:t>33</w:t>
            </w:r>
            <w:r w:rsidR="00F16D0A" w:rsidRPr="00FA6F1C">
              <w:rPr>
                <w:rFonts w:ascii="Times New Roman" w:hAnsi="Times New Roman" w:cs="Times New Roman"/>
                <w:sz w:val="28"/>
                <w:szCs w:val="28"/>
              </w:rPr>
              <w:t>.panta f) apakšpunkt</w:t>
            </w:r>
            <w:r w:rsidRPr="00FA6F1C">
              <w:rPr>
                <w:rFonts w:ascii="Times New Roman" w:hAnsi="Times New Roman" w:cs="Times New Roman"/>
                <w:sz w:val="28"/>
                <w:szCs w:val="28"/>
              </w:rPr>
              <w:t>s</w:t>
            </w:r>
          </w:p>
        </w:tc>
        <w:tc>
          <w:tcPr>
            <w:tcW w:w="2090" w:type="dxa"/>
            <w:gridSpan w:val="2"/>
            <w:tcBorders>
              <w:top w:val="outset" w:sz="6" w:space="0" w:color="auto"/>
              <w:left w:val="outset" w:sz="6" w:space="0" w:color="auto"/>
              <w:bottom w:val="outset" w:sz="6" w:space="0" w:color="auto"/>
              <w:right w:val="outset" w:sz="6" w:space="0" w:color="auto"/>
            </w:tcBorders>
          </w:tcPr>
          <w:p w14:paraId="293C96F2" w14:textId="4A5B2A8F" w:rsidR="00F16D0A" w:rsidRPr="00FA6F1C" w:rsidRDefault="00260B65"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8</w:t>
            </w:r>
            <w:r w:rsidR="00D21EF7" w:rsidRPr="00FA6F1C">
              <w:rPr>
                <w:rFonts w:ascii="Times New Roman" w:hAnsi="Times New Roman" w:cs="Times New Roman"/>
                <w:spacing w:val="-2"/>
                <w:sz w:val="28"/>
                <w:szCs w:val="28"/>
              </w:rPr>
              <w:t xml:space="preserve">.panta </w:t>
            </w:r>
            <w:r w:rsidR="00A864E0" w:rsidRPr="00FA6F1C">
              <w:rPr>
                <w:rFonts w:ascii="Times New Roman" w:hAnsi="Times New Roman" w:cs="Times New Roman"/>
                <w:spacing w:val="-2"/>
                <w:sz w:val="28"/>
                <w:szCs w:val="28"/>
              </w:rPr>
              <w:t xml:space="preserve">otrās </w:t>
            </w:r>
            <w:r w:rsidR="00D21EF7" w:rsidRPr="00FA6F1C">
              <w:rPr>
                <w:rFonts w:ascii="Times New Roman" w:hAnsi="Times New Roman" w:cs="Times New Roman"/>
                <w:spacing w:val="-2"/>
                <w:sz w:val="28"/>
                <w:szCs w:val="28"/>
              </w:rPr>
              <w:t>daļas 1.punkts</w:t>
            </w:r>
          </w:p>
        </w:tc>
        <w:tc>
          <w:tcPr>
            <w:tcW w:w="2657" w:type="dxa"/>
            <w:tcBorders>
              <w:top w:val="outset" w:sz="6" w:space="0" w:color="auto"/>
              <w:left w:val="outset" w:sz="6" w:space="0" w:color="auto"/>
              <w:bottom w:val="outset" w:sz="6" w:space="0" w:color="auto"/>
              <w:right w:val="outset" w:sz="6" w:space="0" w:color="auto"/>
            </w:tcBorders>
          </w:tcPr>
          <w:p w14:paraId="14778B6C" w14:textId="229AFE15" w:rsidR="00F16D0A" w:rsidRPr="00FA6F1C" w:rsidRDefault="00AF5F37"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Ieviests pilnībā</w:t>
            </w:r>
          </w:p>
        </w:tc>
        <w:tc>
          <w:tcPr>
            <w:tcW w:w="2585" w:type="dxa"/>
            <w:tcBorders>
              <w:top w:val="outset" w:sz="6" w:space="0" w:color="auto"/>
              <w:left w:val="outset" w:sz="6" w:space="0" w:color="auto"/>
              <w:bottom w:val="outset" w:sz="6" w:space="0" w:color="auto"/>
              <w:right w:val="outset" w:sz="6" w:space="0" w:color="auto"/>
            </w:tcBorders>
          </w:tcPr>
          <w:p w14:paraId="492C68FA" w14:textId="19C4654F" w:rsidR="00F16D0A" w:rsidRPr="00FA6F1C" w:rsidRDefault="00A45722"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Likumprojekts neparedz stingrākas prasības</w:t>
            </w:r>
          </w:p>
        </w:tc>
      </w:tr>
      <w:tr w:rsidR="00647A63" w:rsidRPr="00FA6F1C" w14:paraId="5AEF889D"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4F7B6E3E" w14:textId="5878D1B3" w:rsidR="00647A63" w:rsidRPr="00FA6F1C" w:rsidRDefault="00647A63" w:rsidP="00647A63">
            <w:pPr>
              <w:spacing w:after="0" w:line="240" w:lineRule="auto"/>
              <w:ind w:left="57"/>
              <w:rPr>
                <w:rFonts w:ascii="Times New Roman" w:hAnsi="Times New Roman" w:cs="Times New Roman"/>
                <w:sz w:val="28"/>
                <w:szCs w:val="28"/>
              </w:rPr>
            </w:pPr>
            <w:r>
              <w:rPr>
                <w:rFonts w:ascii="Times New Roman" w:hAnsi="Times New Roman" w:cs="Times New Roman"/>
                <w:sz w:val="28"/>
                <w:szCs w:val="28"/>
              </w:rPr>
              <w:t>Regulas 33.panta d)</w:t>
            </w:r>
            <w:r w:rsidR="000420F8">
              <w:rPr>
                <w:rFonts w:ascii="Times New Roman" w:hAnsi="Times New Roman" w:cs="Times New Roman"/>
                <w:sz w:val="28"/>
                <w:szCs w:val="28"/>
              </w:rPr>
              <w:t>, g)</w:t>
            </w:r>
            <w:r>
              <w:rPr>
                <w:rFonts w:ascii="Times New Roman" w:hAnsi="Times New Roman" w:cs="Times New Roman"/>
                <w:sz w:val="28"/>
                <w:szCs w:val="28"/>
              </w:rPr>
              <w:t xml:space="preserve"> un h) apakšpunkts</w:t>
            </w:r>
          </w:p>
        </w:tc>
        <w:tc>
          <w:tcPr>
            <w:tcW w:w="2090" w:type="dxa"/>
            <w:gridSpan w:val="2"/>
            <w:tcBorders>
              <w:top w:val="outset" w:sz="6" w:space="0" w:color="auto"/>
              <w:left w:val="outset" w:sz="6" w:space="0" w:color="auto"/>
              <w:bottom w:val="outset" w:sz="6" w:space="0" w:color="auto"/>
              <w:right w:val="outset" w:sz="6" w:space="0" w:color="auto"/>
            </w:tcBorders>
          </w:tcPr>
          <w:p w14:paraId="4D4114E4" w14:textId="313FB5DB" w:rsidR="00647A63" w:rsidRPr="00FA6F1C" w:rsidRDefault="00647A63" w:rsidP="00FA6F1C">
            <w:pPr>
              <w:spacing w:after="0" w:line="240" w:lineRule="auto"/>
              <w:ind w:left="57"/>
              <w:rPr>
                <w:rFonts w:ascii="Times New Roman" w:hAnsi="Times New Roman" w:cs="Times New Roman"/>
                <w:spacing w:val="-2"/>
                <w:sz w:val="28"/>
                <w:szCs w:val="28"/>
              </w:rPr>
            </w:pPr>
            <w:r>
              <w:rPr>
                <w:rFonts w:ascii="Times New Roman" w:hAnsi="Times New Roman" w:cs="Times New Roman"/>
                <w:spacing w:val="-2"/>
                <w:sz w:val="28"/>
                <w:szCs w:val="28"/>
              </w:rPr>
              <w:t>6.panta trešās daļas 13.punkts</w:t>
            </w:r>
          </w:p>
        </w:tc>
        <w:tc>
          <w:tcPr>
            <w:tcW w:w="2657" w:type="dxa"/>
            <w:tcBorders>
              <w:top w:val="outset" w:sz="6" w:space="0" w:color="auto"/>
              <w:left w:val="outset" w:sz="6" w:space="0" w:color="auto"/>
              <w:bottom w:val="outset" w:sz="6" w:space="0" w:color="auto"/>
              <w:right w:val="outset" w:sz="6" w:space="0" w:color="auto"/>
            </w:tcBorders>
          </w:tcPr>
          <w:p w14:paraId="54CB5CE6" w14:textId="1703682E" w:rsidR="00647A63" w:rsidRPr="00FA6F1C" w:rsidRDefault="00647A63"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Ieviests pilnībā</w:t>
            </w:r>
          </w:p>
        </w:tc>
        <w:tc>
          <w:tcPr>
            <w:tcW w:w="2585" w:type="dxa"/>
            <w:tcBorders>
              <w:top w:val="outset" w:sz="6" w:space="0" w:color="auto"/>
              <w:left w:val="outset" w:sz="6" w:space="0" w:color="auto"/>
              <w:bottom w:val="outset" w:sz="6" w:space="0" w:color="auto"/>
              <w:right w:val="outset" w:sz="6" w:space="0" w:color="auto"/>
            </w:tcBorders>
          </w:tcPr>
          <w:p w14:paraId="18B7B6E1" w14:textId="20499D5A" w:rsidR="00647A63" w:rsidRPr="00FA6F1C" w:rsidRDefault="00647A63"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Likumprojekts neparedz stingrākas prasības</w:t>
            </w:r>
          </w:p>
        </w:tc>
      </w:tr>
      <w:tr w:rsidR="00E42943" w:rsidRPr="00FA6F1C" w14:paraId="487ECF52"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3847D85F" w14:textId="4E85E9F7" w:rsidR="00E42943" w:rsidRPr="00FA6F1C" w:rsidRDefault="002C21ED"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z w:val="28"/>
                <w:szCs w:val="28"/>
              </w:rPr>
              <w:t>R</w:t>
            </w:r>
            <w:r w:rsidR="00F16D0A" w:rsidRPr="00FA6F1C">
              <w:rPr>
                <w:rFonts w:ascii="Times New Roman" w:hAnsi="Times New Roman" w:cs="Times New Roman"/>
                <w:sz w:val="28"/>
                <w:szCs w:val="28"/>
              </w:rPr>
              <w:t xml:space="preserve">egulas </w:t>
            </w:r>
            <w:r w:rsidR="00260B65" w:rsidRPr="00FA6F1C">
              <w:rPr>
                <w:rFonts w:ascii="Times New Roman" w:hAnsi="Times New Roman" w:cs="Times New Roman"/>
                <w:sz w:val="28"/>
                <w:szCs w:val="28"/>
              </w:rPr>
              <w:t>34</w:t>
            </w:r>
            <w:r w:rsidR="00F16D0A" w:rsidRPr="00FA6F1C">
              <w:rPr>
                <w:rFonts w:ascii="Times New Roman" w:hAnsi="Times New Roman" w:cs="Times New Roman"/>
                <w:sz w:val="28"/>
                <w:szCs w:val="28"/>
              </w:rPr>
              <w:t>.pant</w:t>
            </w:r>
            <w:r w:rsidRPr="00FA6F1C">
              <w:rPr>
                <w:rFonts w:ascii="Times New Roman" w:hAnsi="Times New Roman" w:cs="Times New Roman"/>
                <w:sz w:val="28"/>
                <w:szCs w:val="28"/>
              </w:rPr>
              <w:t>s</w:t>
            </w:r>
          </w:p>
        </w:tc>
        <w:tc>
          <w:tcPr>
            <w:tcW w:w="2090" w:type="dxa"/>
            <w:gridSpan w:val="2"/>
            <w:tcBorders>
              <w:top w:val="outset" w:sz="6" w:space="0" w:color="auto"/>
              <w:left w:val="outset" w:sz="6" w:space="0" w:color="auto"/>
              <w:bottom w:val="outset" w:sz="6" w:space="0" w:color="auto"/>
              <w:right w:val="outset" w:sz="6" w:space="0" w:color="auto"/>
            </w:tcBorders>
          </w:tcPr>
          <w:p w14:paraId="374492C6" w14:textId="072BE28F" w:rsidR="00E42943" w:rsidRPr="00FA6F1C" w:rsidRDefault="003F0717"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7</w:t>
            </w:r>
            <w:r w:rsidR="00D21EF7" w:rsidRPr="00FA6F1C">
              <w:rPr>
                <w:rFonts w:ascii="Times New Roman" w:hAnsi="Times New Roman" w:cs="Times New Roman"/>
                <w:spacing w:val="-2"/>
                <w:sz w:val="28"/>
                <w:szCs w:val="28"/>
              </w:rPr>
              <w:t xml:space="preserve">.panta </w:t>
            </w:r>
            <w:r w:rsidR="00A864E0" w:rsidRPr="00FA6F1C">
              <w:rPr>
                <w:rFonts w:ascii="Times New Roman" w:hAnsi="Times New Roman" w:cs="Times New Roman"/>
                <w:spacing w:val="-2"/>
                <w:sz w:val="28"/>
                <w:szCs w:val="28"/>
              </w:rPr>
              <w:t xml:space="preserve">otrās </w:t>
            </w:r>
            <w:r w:rsidR="00D21EF7" w:rsidRPr="00FA6F1C">
              <w:rPr>
                <w:rFonts w:ascii="Times New Roman" w:hAnsi="Times New Roman" w:cs="Times New Roman"/>
                <w:spacing w:val="-2"/>
                <w:sz w:val="28"/>
                <w:szCs w:val="28"/>
              </w:rPr>
              <w:t>daļas 8.punkts</w:t>
            </w:r>
            <w:r w:rsidR="00527ABD" w:rsidRPr="00FA6F1C">
              <w:rPr>
                <w:rFonts w:ascii="Times New Roman" w:hAnsi="Times New Roman" w:cs="Times New Roman"/>
                <w:spacing w:val="-2"/>
                <w:sz w:val="28"/>
                <w:szCs w:val="28"/>
              </w:rPr>
              <w:t>; 11.panta 11.punkts</w:t>
            </w:r>
          </w:p>
        </w:tc>
        <w:tc>
          <w:tcPr>
            <w:tcW w:w="2657" w:type="dxa"/>
            <w:tcBorders>
              <w:top w:val="outset" w:sz="6" w:space="0" w:color="auto"/>
              <w:left w:val="outset" w:sz="6" w:space="0" w:color="auto"/>
              <w:bottom w:val="outset" w:sz="6" w:space="0" w:color="auto"/>
              <w:right w:val="outset" w:sz="6" w:space="0" w:color="auto"/>
            </w:tcBorders>
          </w:tcPr>
          <w:p w14:paraId="441471EF" w14:textId="77777777" w:rsidR="003F0717" w:rsidRPr="00FA6F1C" w:rsidRDefault="0053272A"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 xml:space="preserve">Ieviests pilnībā. </w:t>
            </w:r>
            <w:r w:rsidR="003F0717" w:rsidRPr="00FA6F1C">
              <w:rPr>
                <w:rFonts w:ascii="Times New Roman" w:hAnsi="Times New Roman" w:cs="Times New Roman"/>
                <w:spacing w:val="-2"/>
                <w:sz w:val="28"/>
                <w:szCs w:val="28"/>
              </w:rPr>
              <w:t xml:space="preserve">MK noteikumos </w:t>
            </w:r>
          </w:p>
          <w:p w14:paraId="74596F8B" w14:textId="2365BBA1" w:rsidR="003F0717" w:rsidRPr="00FA6F1C" w:rsidRDefault="00445B7A" w:rsidP="00FA6F1C">
            <w:pPr>
              <w:spacing w:after="0" w:line="240" w:lineRule="auto"/>
              <w:ind w:left="57"/>
              <w:rPr>
                <w:rFonts w:ascii="Times New Roman" w:hAnsi="Times New Roman" w:cs="Times New Roman"/>
                <w:spacing w:val="-2"/>
                <w:sz w:val="28"/>
                <w:szCs w:val="28"/>
              </w:rPr>
            </w:pPr>
            <w:r>
              <w:rPr>
                <w:rFonts w:ascii="Times New Roman" w:hAnsi="Times New Roman" w:cs="Times New Roman"/>
                <w:spacing w:val="-2"/>
                <w:sz w:val="28"/>
                <w:szCs w:val="28"/>
              </w:rPr>
              <w:t>p</w:t>
            </w:r>
            <w:r w:rsidR="003F0717" w:rsidRPr="00FA6F1C">
              <w:rPr>
                <w:rFonts w:ascii="Times New Roman" w:hAnsi="Times New Roman" w:cs="Times New Roman"/>
                <w:spacing w:val="-2"/>
                <w:sz w:val="28"/>
                <w:szCs w:val="28"/>
              </w:rPr>
              <w:t>aredzēta d</w:t>
            </w:r>
            <w:r w:rsidR="0053272A" w:rsidRPr="00FA6F1C">
              <w:rPr>
                <w:rFonts w:ascii="Times New Roman" w:hAnsi="Times New Roman" w:cs="Times New Roman"/>
                <w:spacing w:val="-2"/>
                <w:sz w:val="28"/>
                <w:szCs w:val="28"/>
              </w:rPr>
              <w:t xml:space="preserve">etalizētāka kārtība, kādā revīzijas iestāde veic savus pienākumus. </w:t>
            </w:r>
          </w:p>
          <w:p w14:paraId="5CBF7CBC" w14:textId="26191186" w:rsidR="00E42943" w:rsidRPr="00FA6F1C" w:rsidRDefault="0053272A"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 xml:space="preserve">Atbildīgā institūcija – </w:t>
            </w:r>
            <w:r w:rsidR="003F0717" w:rsidRPr="00FA6F1C">
              <w:rPr>
                <w:rFonts w:ascii="Times New Roman" w:hAnsi="Times New Roman" w:cs="Times New Roman"/>
                <w:spacing w:val="-2"/>
                <w:sz w:val="28"/>
                <w:szCs w:val="28"/>
              </w:rPr>
              <w:t>L</w:t>
            </w:r>
            <w:r w:rsidRPr="00FA6F1C">
              <w:rPr>
                <w:rFonts w:ascii="Times New Roman" w:hAnsi="Times New Roman" w:cs="Times New Roman"/>
                <w:spacing w:val="-2"/>
                <w:sz w:val="28"/>
                <w:szCs w:val="28"/>
              </w:rPr>
              <w:t>M.</w:t>
            </w:r>
          </w:p>
        </w:tc>
        <w:tc>
          <w:tcPr>
            <w:tcW w:w="2585" w:type="dxa"/>
            <w:tcBorders>
              <w:top w:val="outset" w:sz="6" w:space="0" w:color="auto"/>
              <w:left w:val="outset" w:sz="6" w:space="0" w:color="auto"/>
              <w:bottom w:val="outset" w:sz="6" w:space="0" w:color="auto"/>
              <w:right w:val="outset" w:sz="6" w:space="0" w:color="auto"/>
            </w:tcBorders>
          </w:tcPr>
          <w:p w14:paraId="39212B16" w14:textId="1E6F594C" w:rsidR="00E42943" w:rsidRPr="00FA6F1C" w:rsidRDefault="00A45722"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Likumprojekts neparedz stingrākas prasības</w:t>
            </w:r>
          </w:p>
        </w:tc>
      </w:tr>
      <w:tr w:rsidR="00E42943" w:rsidRPr="00FA6F1C" w14:paraId="08F7311A"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43E45EF2" w14:textId="4B0A07E4" w:rsidR="00E42943" w:rsidRPr="00FA6F1C" w:rsidRDefault="002C21ED"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z w:val="28"/>
                <w:szCs w:val="28"/>
              </w:rPr>
              <w:t xml:space="preserve">Regulas </w:t>
            </w:r>
            <w:r w:rsidR="003F0717" w:rsidRPr="00FA6F1C">
              <w:rPr>
                <w:rFonts w:ascii="Times New Roman" w:hAnsi="Times New Roman" w:cs="Times New Roman"/>
                <w:sz w:val="28"/>
                <w:szCs w:val="28"/>
              </w:rPr>
              <w:t>IV</w:t>
            </w:r>
            <w:r w:rsidR="00AA22DE" w:rsidRPr="00FA6F1C">
              <w:rPr>
                <w:rFonts w:ascii="Times New Roman" w:hAnsi="Times New Roman" w:cs="Times New Roman"/>
                <w:sz w:val="28"/>
                <w:szCs w:val="28"/>
              </w:rPr>
              <w:t xml:space="preserve"> </w:t>
            </w:r>
            <w:r w:rsidRPr="00FA6F1C">
              <w:rPr>
                <w:rFonts w:ascii="Times New Roman" w:hAnsi="Times New Roman" w:cs="Times New Roman"/>
                <w:sz w:val="28"/>
                <w:szCs w:val="28"/>
              </w:rPr>
              <w:t>pielikums</w:t>
            </w:r>
          </w:p>
        </w:tc>
        <w:tc>
          <w:tcPr>
            <w:tcW w:w="2090" w:type="dxa"/>
            <w:gridSpan w:val="2"/>
            <w:tcBorders>
              <w:top w:val="outset" w:sz="6" w:space="0" w:color="auto"/>
              <w:left w:val="outset" w:sz="6" w:space="0" w:color="auto"/>
              <w:bottom w:val="outset" w:sz="6" w:space="0" w:color="auto"/>
              <w:right w:val="outset" w:sz="6" w:space="0" w:color="auto"/>
            </w:tcBorders>
          </w:tcPr>
          <w:p w14:paraId="7F2C724C" w14:textId="77777777" w:rsidR="00E42943" w:rsidRPr="00FA6F1C" w:rsidRDefault="003F0717"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7</w:t>
            </w:r>
            <w:r w:rsidR="00FD37A7" w:rsidRPr="00FA6F1C">
              <w:rPr>
                <w:rFonts w:ascii="Times New Roman" w:hAnsi="Times New Roman" w:cs="Times New Roman"/>
                <w:spacing w:val="-2"/>
                <w:sz w:val="28"/>
                <w:szCs w:val="28"/>
              </w:rPr>
              <w:t>.panta otrā daļa</w:t>
            </w:r>
            <w:r w:rsidRPr="00FA6F1C">
              <w:rPr>
                <w:rFonts w:ascii="Times New Roman" w:hAnsi="Times New Roman" w:cs="Times New Roman"/>
                <w:spacing w:val="-2"/>
                <w:sz w:val="28"/>
                <w:szCs w:val="28"/>
              </w:rPr>
              <w:t>s 1.,2.,5.un 6.pants;</w:t>
            </w:r>
          </w:p>
          <w:p w14:paraId="2B1B41CE" w14:textId="2B81A031" w:rsidR="003F0717" w:rsidRPr="00FA6F1C" w:rsidRDefault="003F0717"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10.panta pirmā, otrā, trešā daļa</w:t>
            </w:r>
          </w:p>
        </w:tc>
        <w:tc>
          <w:tcPr>
            <w:tcW w:w="2657" w:type="dxa"/>
            <w:tcBorders>
              <w:top w:val="outset" w:sz="6" w:space="0" w:color="auto"/>
              <w:left w:val="outset" w:sz="6" w:space="0" w:color="auto"/>
              <w:bottom w:val="outset" w:sz="6" w:space="0" w:color="auto"/>
              <w:right w:val="outset" w:sz="6" w:space="0" w:color="auto"/>
            </w:tcBorders>
          </w:tcPr>
          <w:p w14:paraId="4FB85826" w14:textId="7EAF0DAE" w:rsidR="00E42943" w:rsidRPr="00FA6F1C" w:rsidRDefault="003F0717"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Ieviests pilnībā</w:t>
            </w:r>
          </w:p>
        </w:tc>
        <w:tc>
          <w:tcPr>
            <w:tcW w:w="2585" w:type="dxa"/>
            <w:tcBorders>
              <w:top w:val="outset" w:sz="6" w:space="0" w:color="auto"/>
              <w:left w:val="outset" w:sz="6" w:space="0" w:color="auto"/>
              <w:bottom w:val="outset" w:sz="6" w:space="0" w:color="auto"/>
              <w:right w:val="outset" w:sz="6" w:space="0" w:color="auto"/>
            </w:tcBorders>
          </w:tcPr>
          <w:p w14:paraId="6E1A7B40" w14:textId="30C18B08" w:rsidR="00E42943" w:rsidRPr="00FA6F1C" w:rsidRDefault="00A45722" w:rsidP="00FA6F1C">
            <w:pPr>
              <w:spacing w:after="0" w:line="240" w:lineRule="auto"/>
              <w:ind w:left="57"/>
              <w:rPr>
                <w:rFonts w:ascii="Times New Roman" w:hAnsi="Times New Roman" w:cs="Times New Roman"/>
                <w:spacing w:val="-2"/>
                <w:sz w:val="28"/>
                <w:szCs w:val="28"/>
              </w:rPr>
            </w:pPr>
            <w:r w:rsidRPr="00FA6F1C">
              <w:rPr>
                <w:rFonts w:ascii="Times New Roman" w:hAnsi="Times New Roman" w:cs="Times New Roman"/>
                <w:spacing w:val="-2"/>
                <w:sz w:val="28"/>
                <w:szCs w:val="28"/>
              </w:rPr>
              <w:t>Likumprojekts neparedz stingrākas prasības</w:t>
            </w:r>
          </w:p>
        </w:tc>
      </w:tr>
      <w:tr w:rsidR="00DA6C86" w:rsidRPr="00FA6F1C" w14:paraId="5EDF1EB2"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5EDF1EAF" w14:textId="6744037F" w:rsidR="00DA6C86" w:rsidRPr="00FA6F1C" w:rsidRDefault="00DA6C86" w:rsidP="00FA6F1C">
            <w:pPr>
              <w:spacing w:after="0" w:line="240" w:lineRule="auto"/>
              <w:ind w:left="57"/>
              <w:rPr>
                <w:rFonts w:ascii="Times New Roman" w:hAnsi="Times New Roman" w:cs="Times New Roman"/>
                <w:spacing w:val="-3"/>
                <w:sz w:val="28"/>
                <w:szCs w:val="28"/>
              </w:rPr>
            </w:pPr>
            <w:r w:rsidRPr="00FA6F1C">
              <w:rPr>
                <w:rFonts w:ascii="Times New Roman" w:hAnsi="Times New Roman" w:cs="Times New Roman"/>
                <w:spacing w:val="-3"/>
                <w:sz w:val="28"/>
                <w:szCs w:val="28"/>
              </w:rPr>
              <w:t>Kā ir izmantota ES tiesību aktā paredzētā rīcības brīvība dalīb</w:t>
            </w:r>
            <w:r w:rsidR="00584507" w:rsidRPr="00FA6F1C">
              <w:rPr>
                <w:rFonts w:ascii="Times New Roman" w:hAnsi="Times New Roman" w:cs="Times New Roman"/>
                <w:spacing w:val="-3"/>
                <w:sz w:val="28"/>
                <w:szCs w:val="28"/>
              </w:rPr>
              <w:softHyphen/>
            </w:r>
            <w:r w:rsidRPr="00FA6F1C">
              <w:rPr>
                <w:rFonts w:ascii="Times New Roman" w:hAnsi="Times New Roman" w:cs="Times New Roman"/>
                <w:spacing w:val="-3"/>
                <w:sz w:val="28"/>
                <w:szCs w:val="28"/>
              </w:rPr>
              <w:t>valstij pārņemt vai ieviest noteiktas ES tiesību akta normas?</w:t>
            </w:r>
          </w:p>
          <w:p w14:paraId="5EDF1EB0" w14:textId="77777777" w:rsidR="00DA6C86" w:rsidRPr="00FA6F1C" w:rsidRDefault="00DA6C86" w:rsidP="00FA6F1C">
            <w:pPr>
              <w:spacing w:after="0" w:line="240" w:lineRule="auto"/>
              <w:ind w:left="57"/>
              <w:rPr>
                <w:rFonts w:ascii="Times New Roman" w:hAnsi="Times New Roman" w:cs="Times New Roman"/>
                <w:spacing w:val="-3"/>
                <w:sz w:val="28"/>
                <w:szCs w:val="28"/>
              </w:rPr>
            </w:pPr>
            <w:r w:rsidRPr="00FA6F1C">
              <w:rPr>
                <w:rFonts w:ascii="Times New Roman" w:hAnsi="Times New Roman" w:cs="Times New Roman"/>
                <w:spacing w:val="-3"/>
                <w:sz w:val="28"/>
                <w:szCs w:val="28"/>
              </w:rPr>
              <w:t>Kādēļ?</w:t>
            </w:r>
          </w:p>
        </w:tc>
        <w:tc>
          <w:tcPr>
            <w:tcW w:w="7332" w:type="dxa"/>
            <w:gridSpan w:val="4"/>
            <w:tcBorders>
              <w:top w:val="outset" w:sz="6" w:space="0" w:color="auto"/>
              <w:left w:val="outset" w:sz="6" w:space="0" w:color="auto"/>
              <w:bottom w:val="outset" w:sz="6" w:space="0" w:color="auto"/>
              <w:right w:val="outset" w:sz="6" w:space="0" w:color="auto"/>
            </w:tcBorders>
          </w:tcPr>
          <w:p w14:paraId="5EDF1EB1" w14:textId="50D9A13C" w:rsidR="00DA6C86" w:rsidRPr="00FA6F1C" w:rsidRDefault="00BF6E02" w:rsidP="00FA6F1C">
            <w:pPr>
              <w:spacing w:after="0" w:line="240" w:lineRule="auto"/>
              <w:ind w:left="57"/>
              <w:rPr>
                <w:rFonts w:ascii="Times New Roman" w:hAnsi="Times New Roman" w:cs="Times New Roman"/>
                <w:sz w:val="28"/>
                <w:szCs w:val="28"/>
              </w:rPr>
            </w:pPr>
            <w:r w:rsidRPr="00FA6F1C">
              <w:rPr>
                <w:rFonts w:ascii="Times New Roman" w:hAnsi="Times New Roman" w:cs="Times New Roman"/>
                <w:sz w:val="28"/>
                <w:szCs w:val="28"/>
              </w:rPr>
              <w:t>Projekts šo jomu neskar.</w:t>
            </w:r>
          </w:p>
        </w:tc>
      </w:tr>
      <w:tr w:rsidR="00DA6C86" w:rsidRPr="00FA6F1C" w14:paraId="5EDF1EB5"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5EDF1EB3" w14:textId="5A932232" w:rsidR="00DA6C86" w:rsidRPr="00FA6F1C" w:rsidRDefault="00DA6C86" w:rsidP="00FA6F1C">
            <w:pPr>
              <w:spacing w:after="0" w:line="240" w:lineRule="auto"/>
              <w:ind w:left="57"/>
              <w:rPr>
                <w:rFonts w:ascii="Times New Roman" w:hAnsi="Times New Roman" w:cs="Times New Roman"/>
                <w:spacing w:val="-3"/>
                <w:sz w:val="28"/>
                <w:szCs w:val="28"/>
              </w:rPr>
            </w:pPr>
            <w:r w:rsidRPr="00FA6F1C">
              <w:rPr>
                <w:rFonts w:ascii="Times New Roman" w:hAnsi="Times New Roman" w:cs="Times New Roman"/>
                <w:spacing w:val="-4"/>
                <w:sz w:val="28"/>
                <w:szCs w:val="28"/>
              </w:rPr>
              <w:t>Saistības sniegt paziņojumu ES</w:t>
            </w:r>
            <w:r w:rsidR="002C5BB1" w:rsidRPr="00FA6F1C">
              <w:rPr>
                <w:rFonts w:ascii="Times New Roman" w:hAnsi="Times New Roman" w:cs="Times New Roman"/>
                <w:spacing w:val="-4"/>
                <w:sz w:val="28"/>
                <w:szCs w:val="28"/>
              </w:rPr>
              <w:t xml:space="preserve"> </w:t>
            </w:r>
            <w:r w:rsidRPr="00FA6F1C">
              <w:rPr>
                <w:rFonts w:ascii="Times New Roman" w:hAnsi="Times New Roman" w:cs="Times New Roman"/>
                <w:spacing w:val="-4"/>
                <w:sz w:val="28"/>
                <w:szCs w:val="28"/>
              </w:rPr>
              <w:t>insti</w:t>
            </w:r>
            <w:r w:rsidR="002C5BB1" w:rsidRPr="00FA6F1C">
              <w:rPr>
                <w:rFonts w:ascii="Times New Roman" w:hAnsi="Times New Roman" w:cs="Times New Roman"/>
                <w:spacing w:val="-4"/>
                <w:sz w:val="28"/>
                <w:szCs w:val="28"/>
              </w:rPr>
              <w:softHyphen/>
            </w:r>
            <w:r w:rsidRPr="00FA6F1C">
              <w:rPr>
                <w:rFonts w:ascii="Times New Roman" w:hAnsi="Times New Roman" w:cs="Times New Roman"/>
                <w:spacing w:val="-4"/>
                <w:sz w:val="28"/>
                <w:szCs w:val="28"/>
              </w:rPr>
              <w:t>tūcijām un ES dalīb</w:t>
            </w:r>
            <w:r w:rsidR="002C5BB1" w:rsidRPr="00FA6F1C">
              <w:rPr>
                <w:rFonts w:ascii="Times New Roman" w:hAnsi="Times New Roman" w:cs="Times New Roman"/>
                <w:spacing w:val="-4"/>
                <w:sz w:val="28"/>
                <w:szCs w:val="28"/>
              </w:rPr>
              <w:softHyphen/>
            </w:r>
            <w:r w:rsidRPr="00FA6F1C">
              <w:rPr>
                <w:rFonts w:ascii="Times New Roman" w:hAnsi="Times New Roman" w:cs="Times New Roman"/>
                <w:spacing w:val="-4"/>
                <w:sz w:val="28"/>
                <w:szCs w:val="28"/>
              </w:rPr>
              <w:t>valstīm atbilstoši normatīvajiem aktiem, kas regulē informā</w:t>
            </w:r>
            <w:r w:rsidR="002C5BB1" w:rsidRPr="00FA6F1C">
              <w:rPr>
                <w:rFonts w:ascii="Times New Roman" w:hAnsi="Times New Roman" w:cs="Times New Roman"/>
                <w:spacing w:val="-4"/>
                <w:sz w:val="28"/>
                <w:szCs w:val="28"/>
              </w:rPr>
              <w:softHyphen/>
            </w:r>
            <w:r w:rsidRPr="00FA6F1C">
              <w:rPr>
                <w:rFonts w:ascii="Times New Roman" w:hAnsi="Times New Roman" w:cs="Times New Roman"/>
                <w:spacing w:val="-4"/>
                <w:sz w:val="28"/>
                <w:szCs w:val="28"/>
              </w:rPr>
              <w:t xml:space="preserve">cijas sniegšanu par tehnisko </w:t>
            </w:r>
            <w:r w:rsidRPr="00FA6F1C">
              <w:rPr>
                <w:rFonts w:ascii="Times New Roman" w:hAnsi="Times New Roman" w:cs="Times New Roman"/>
                <w:spacing w:val="-4"/>
                <w:sz w:val="28"/>
                <w:szCs w:val="28"/>
              </w:rPr>
              <w:lastRenderedPageBreak/>
              <w:t>noteikumu, valsts atbalsta piešķir</w:t>
            </w:r>
            <w:r w:rsidR="002C5BB1" w:rsidRPr="00FA6F1C">
              <w:rPr>
                <w:rFonts w:ascii="Times New Roman" w:hAnsi="Times New Roman" w:cs="Times New Roman"/>
                <w:spacing w:val="-4"/>
                <w:sz w:val="28"/>
                <w:szCs w:val="28"/>
              </w:rPr>
              <w:softHyphen/>
            </w:r>
            <w:r w:rsidRPr="00FA6F1C">
              <w:rPr>
                <w:rFonts w:ascii="Times New Roman" w:hAnsi="Times New Roman" w:cs="Times New Roman"/>
                <w:spacing w:val="-4"/>
                <w:sz w:val="28"/>
                <w:szCs w:val="28"/>
              </w:rPr>
              <w:t>šanas un finanšu noteikumu (attiecībā uz monetāro politiku) projektiem</w:t>
            </w:r>
          </w:p>
        </w:tc>
        <w:tc>
          <w:tcPr>
            <w:tcW w:w="7332" w:type="dxa"/>
            <w:gridSpan w:val="4"/>
            <w:tcBorders>
              <w:top w:val="outset" w:sz="6" w:space="0" w:color="auto"/>
              <w:left w:val="outset" w:sz="6" w:space="0" w:color="auto"/>
              <w:bottom w:val="outset" w:sz="6" w:space="0" w:color="auto"/>
              <w:right w:val="outset" w:sz="6" w:space="0" w:color="auto"/>
            </w:tcBorders>
          </w:tcPr>
          <w:p w14:paraId="5EDF1EB4" w14:textId="2E84C678" w:rsidR="00DA6C86" w:rsidRPr="00FA6F1C" w:rsidRDefault="001730E1" w:rsidP="00FA6F1C">
            <w:pPr>
              <w:spacing w:after="0" w:line="240" w:lineRule="auto"/>
              <w:ind w:left="57"/>
              <w:rPr>
                <w:rFonts w:ascii="Times New Roman" w:hAnsi="Times New Roman" w:cs="Times New Roman"/>
                <w:sz w:val="28"/>
                <w:szCs w:val="28"/>
              </w:rPr>
            </w:pPr>
            <w:r w:rsidRPr="00FA6F1C">
              <w:rPr>
                <w:rFonts w:ascii="Times New Roman" w:hAnsi="Times New Roman" w:cs="Times New Roman"/>
                <w:sz w:val="28"/>
                <w:szCs w:val="28"/>
              </w:rPr>
              <w:lastRenderedPageBreak/>
              <w:t>Projekts šo jomu neskar.</w:t>
            </w:r>
          </w:p>
        </w:tc>
      </w:tr>
      <w:tr w:rsidR="00DA6C86" w:rsidRPr="00FA6F1C" w14:paraId="5EDF1EB9"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5EDF1EB6" w14:textId="77777777" w:rsidR="00DA6C86" w:rsidRPr="00FA6F1C" w:rsidRDefault="00DA6C86" w:rsidP="00FA6F1C">
            <w:pPr>
              <w:spacing w:after="0" w:line="240" w:lineRule="auto"/>
              <w:ind w:left="57"/>
              <w:rPr>
                <w:rFonts w:ascii="Times New Roman" w:hAnsi="Times New Roman" w:cs="Times New Roman"/>
                <w:sz w:val="28"/>
                <w:szCs w:val="28"/>
              </w:rPr>
            </w:pPr>
            <w:r w:rsidRPr="00FA6F1C">
              <w:rPr>
                <w:rFonts w:ascii="Times New Roman" w:hAnsi="Times New Roman" w:cs="Times New Roman"/>
                <w:sz w:val="28"/>
                <w:szCs w:val="28"/>
              </w:rPr>
              <w:lastRenderedPageBreak/>
              <w:t>Cita informācija</w:t>
            </w:r>
          </w:p>
        </w:tc>
        <w:tc>
          <w:tcPr>
            <w:tcW w:w="7332" w:type="dxa"/>
            <w:gridSpan w:val="4"/>
            <w:tcBorders>
              <w:top w:val="outset" w:sz="6" w:space="0" w:color="auto"/>
              <w:left w:val="outset" w:sz="6" w:space="0" w:color="auto"/>
              <w:bottom w:val="outset" w:sz="6" w:space="0" w:color="auto"/>
              <w:right w:val="outset" w:sz="6" w:space="0" w:color="auto"/>
            </w:tcBorders>
          </w:tcPr>
          <w:p w14:paraId="5EDF1EB8" w14:textId="6725EE7B" w:rsidR="00DA6C86" w:rsidRPr="00FA6F1C" w:rsidRDefault="00DA6C86" w:rsidP="00FA6F1C">
            <w:pPr>
              <w:spacing w:after="0" w:line="240" w:lineRule="auto"/>
              <w:ind w:left="57"/>
              <w:rPr>
                <w:rFonts w:ascii="Times New Roman" w:hAnsi="Times New Roman" w:cs="Times New Roman"/>
                <w:sz w:val="28"/>
                <w:szCs w:val="28"/>
              </w:rPr>
            </w:pPr>
            <w:r w:rsidRPr="00FA6F1C">
              <w:rPr>
                <w:rFonts w:ascii="Times New Roman" w:hAnsi="Times New Roman" w:cs="Times New Roman"/>
                <w:sz w:val="28"/>
                <w:szCs w:val="28"/>
              </w:rPr>
              <w:t>Nav</w:t>
            </w:r>
          </w:p>
        </w:tc>
      </w:tr>
    </w:tbl>
    <w:p w14:paraId="5EDF1ED8" w14:textId="74DC2490" w:rsidR="00DA6C86" w:rsidRPr="00FA6F1C" w:rsidRDefault="001F0DC2" w:rsidP="00FA6F1C">
      <w:pPr>
        <w:tabs>
          <w:tab w:val="left" w:pos="6837"/>
        </w:tabs>
        <w:spacing w:after="0" w:line="240" w:lineRule="auto"/>
        <w:rPr>
          <w:rFonts w:ascii="Times New Roman" w:hAnsi="Times New Roman" w:cs="Times New Roman"/>
          <w:sz w:val="28"/>
          <w:szCs w:val="28"/>
        </w:rPr>
      </w:pPr>
      <w:r w:rsidRPr="00FA6F1C">
        <w:rPr>
          <w:rFonts w:ascii="Times New Roman" w:hAnsi="Times New Roman" w:cs="Times New Roman"/>
          <w:sz w:val="28"/>
          <w:szCs w:val="28"/>
        </w:rPr>
        <w:tab/>
      </w:r>
    </w:p>
    <w:p w14:paraId="0EBDE4EF" w14:textId="1E598CA1" w:rsidR="00E65755" w:rsidRPr="00FA6F1C" w:rsidRDefault="001F0DC2" w:rsidP="00FA6F1C">
      <w:pPr>
        <w:tabs>
          <w:tab w:val="left" w:pos="6837"/>
        </w:tabs>
        <w:spacing w:after="0" w:line="240" w:lineRule="auto"/>
        <w:rPr>
          <w:rFonts w:ascii="Times New Roman" w:hAnsi="Times New Roman" w:cs="Times New Roman"/>
          <w:sz w:val="28"/>
          <w:szCs w:val="28"/>
        </w:rPr>
      </w:pPr>
      <w:r w:rsidRPr="00FA6F1C">
        <w:rPr>
          <w:rFonts w:ascii="Times New Roman" w:hAnsi="Times New Roman" w:cs="Times New Roman"/>
          <w:sz w:val="28"/>
          <w:szCs w:val="28"/>
        </w:rPr>
        <w:tab/>
      </w:r>
    </w:p>
    <w:p w14:paraId="51CA812E" w14:textId="77777777" w:rsidR="00F56EA8" w:rsidRPr="00FA6F1C" w:rsidDel="009D1634" w:rsidRDefault="00F56EA8" w:rsidP="00FA6F1C">
      <w:pPr>
        <w:spacing w:after="0" w:line="240" w:lineRule="auto"/>
        <w:rPr>
          <w:rFonts w:ascii="Times New Roman" w:hAnsi="Times New Roman" w:cs="Times New Roman"/>
          <w:sz w:val="28"/>
          <w:szCs w:val="28"/>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991CBE" w:rsidRPr="00FA6F1C" w14:paraId="5EDF1EDA" w14:textId="77777777" w:rsidTr="004544D2">
        <w:trPr>
          <w:trHeight w:val="421"/>
          <w:jc w:val="center"/>
        </w:trPr>
        <w:tc>
          <w:tcPr>
            <w:tcW w:w="9524" w:type="dxa"/>
            <w:gridSpan w:val="3"/>
            <w:vAlign w:val="center"/>
          </w:tcPr>
          <w:p w14:paraId="5EDF1ED9" w14:textId="77777777" w:rsidR="00DA6C86" w:rsidRPr="00FA6F1C" w:rsidRDefault="00DA6C86" w:rsidP="00FA6F1C">
            <w:pPr>
              <w:pStyle w:val="naisnod"/>
              <w:spacing w:before="0" w:beforeAutospacing="0" w:after="0" w:afterAutospacing="0"/>
              <w:ind w:left="57" w:right="57"/>
              <w:jc w:val="center"/>
              <w:rPr>
                <w:sz w:val="28"/>
                <w:szCs w:val="28"/>
              </w:rPr>
            </w:pPr>
            <w:r w:rsidRPr="00FA6F1C">
              <w:rPr>
                <w:b/>
                <w:sz w:val="28"/>
                <w:szCs w:val="28"/>
              </w:rPr>
              <w:t>VI. Sabiedrības līdzdalība un komunikācijas aktivitātes</w:t>
            </w:r>
          </w:p>
        </w:tc>
      </w:tr>
      <w:tr w:rsidR="00991CBE" w:rsidRPr="00FA6F1C" w14:paraId="5EDF1EDE" w14:textId="77777777" w:rsidTr="007A4496">
        <w:trPr>
          <w:trHeight w:val="553"/>
          <w:jc w:val="center"/>
        </w:trPr>
        <w:tc>
          <w:tcPr>
            <w:tcW w:w="476" w:type="dxa"/>
          </w:tcPr>
          <w:p w14:paraId="5EDF1EDB" w14:textId="77777777" w:rsidR="00DA6C86" w:rsidRPr="00FA6F1C" w:rsidRDefault="00DA6C86" w:rsidP="00FA6F1C">
            <w:pPr>
              <w:spacing w:after="0" w:line="240" w:lineRule="auto"/>
              <w:ind w:left="57" w:right="57"/>
              <w:jc w:val="both"/>
              <w:rPr>
                <w:rFonts w:ascii="Times New Roman" w:hAnsi="Times New Roman" w:cs="Times New Roman"/>
                <w:bCs/>
                <w:sz w:val="28"/>
                <w:szCs w:val="28"/>
              </w:rPr>
            </w:pPr>
            <w:r w:rsidRPr="00FA6F1C">
              <w:rPr>
                <w:rFonts w:ascii="Times New Roman" w:hAnsi="Times New Roman" w:cs="Times New Roman"/>
                <w:bCs/>
                <w:sz w:val="28"/>
                <w:szCs w:val="28"/>
              </w:rPr>
              <w:t>1.</w:t>
            </w:r>
          </w:p>
        </w:tc>
        <w:tc>
          <w:tcPr>
            <w:tcW w:w="2842" w:type="dxa"/>
          </w:tcPr>
          <w:p w14:paraId="5EDF1EDC" w14:textId="77777777" w:rsidR="00DA6C86" w:rsidRPr="00FA6F1C" w:rsidRDefault="00DA6C86" w:rsidP="00FA6F1C">
            <w:pPr>
              <w:tabs>
                <w:tab w:val="left" w:pos="170"/>
              </w:tabs>
              <w:spacing w:after="0" w:line="240" w:lineRule="auto"/>
              <w:ind w:left="57" w:right="57"/>
              <w:rPr>
                <w:rFonts w:ascii="Times New Roman" w:hAnsi="Times New Roman" w:cs="Times New Roman"/>
                <w:sz w:val="28"/>
                <w:szCs w:val="28"/>
              </w:rPr>
            </w:pPr>
            <w:r w:rsidRPr="00FA6F1C">
              <w:rPr>
                <w:rFonts w:ascii="Times New Roman" w:hAnsi="Times New Roman" w:cs="Times New Roman"/>
                <w:sz w:val="28"/>
                <w:szCs w:val="28"/>
              </w:rPr>
              <w:t>Plānotās sabiedrības līdzdalības un komunikācijas aktivitātes saistībā ar projektu</w:t>
            </w:r>
          </w:p>
        </w:tc>
        <w:tc>
          <w:tcPr>
            <w:tcW w:w="6206" w:type="dxa"/>
          </w:tcPr>
          <w:p w14:paraId="5EDF1EDD" w14:textId="4F328B1D" w:rsidR="00DA6C86" w:rsidRPr="00FA6F1C" w:rsidRDefault="00232EA5" w:rsidP="00FA6F1C">
            <w:pPr>
              <w:shd w:val="clear" w:color="auto" w:fill="FFFFFF"/>
              <w:spacing w:after="0" w:line="240" w:lineRule="auto"/>
              <w:ind w:left="57" w:right="57"/>
              <w:jc w:val="both"/>
              <w:rPr>
                <w:rFonts w:ascii="Times New Roman" w:hAnsi="Times New Roman" w:cs="Times New Roman"/>
                <w:sz w:val="28"/>
                <w:szCs w:val="28"/>
              </w:rPr>
            </w:pPr>
            <w:bookmarkStart w:id="1" w:name="p61"/>
            <w:bookmarkEnd w:id="1"/>
            <w:r w:rsidRPr="00FA6F1C">
              <w:rPr>
                <w:rFonts w:ascii="Times New Roman" w:hAnsi="Times New Roman" w:cs="Times New Roman"/>
                <w:sz w:val="28"/>
                <w:szCs w:val="28"/>
              </w:rPr>
              <w:t>Sabiedrības pārstāvji var līdzdarboties likumprojekta izstrādē, sniedzot atzinumu par to pēc izsludināšanas Valsts sekretāru sanāksmē</w:t>
            </w:r>
            <w:r w:rsidR="00527ABD" w:rsidRPr="00FA6F1C">
              <w:rPr>
                <w:rFonts w:ascii="Times New Roman" w:hAnsi="Times New Roman" w:cs="Times New Roman"/>
                <w:sz w:val="28"/>
                <w:szCs w:val="28"/>
              </w:rPr>
              <w:t>.</w:t>
            </w:r>
          </w:p>
        </w:tc>
      </w:tr>
      <w:tr w:rsidR="00991CBE" w:rsidRPr="00FA6F1C" w14:paraId="5EDF1EE2" w14:textId="77777777" w:rsidTr="007A4496">
        <w:trPr>
          <w:trHeight w:val="339"/>
          <w:jc w:val="center"/>
        </w:trPr>
        <w:tc>
          <w:tcPr>
            <w:tcW w:w="476" w:type="dxa"/>
          </w:tcPr>
          <w:p w14:paraId="5EDF1EDF" w14:textId="77777777" w:rsidR="00DA6C86" w:rsidRPr="00FA6F1C" w:rsidRDefault="00DA6C86" w:rsidP="00FA6F1C">
            <w:pPr>
              <w:spacing w:after="0" w:line="240" w:lineRule="auto"/>
              <w:ind w:left="57" w:right="57"/>
              <w:jc w:val="both"/>
              <w:rPr>
                <w:rFonts w:ascii="Times New Roman" w:hAnsi="Times New Roman" w:cs="Times New Roman"/>
                <w:bCs/>
                <w:sz w:val="28"/>
                <w:szCs w:val="28"/>
              </w:rPr>
            </w:pPr>
            <w:r w:rsidRPr="00FA6F1C">
              <w:rPr>
                <w:rFonts w:ascii="Times New Roman" w:hAnsi="Times New Roman" w:cs="Times New Roman"/>
                <w:bCs/>
                <w:sz w:val="28"/>
                <w:szCs w:val="28"/>
              </w:rPr>
              <w:t>2.</w:t>
            </w:r>
          </w:p>
        </w:tc>
        <w:tc>
          <w:tcPr>
            <w:tcW w:w="2842" w:type="dxa"/>
          </w:tcPr>
          <w:p w14:paraId="5EDF1EE0" w14:textId="77777777" w:rsidR="00DA6C86" w:rsidRPr="00FA6F1C" w:rsidRDefault="00DA6C86" w:rsidP="00FA6F1C">
            <w:pPr>
              <w:spacing w:after="0" w:line="240" w:lineRule="auto"/>
              <w:ind w:left="57" w:right="57"/>
              <w:rPr>
                <w:rFonts w:ascii="Times New Roman" w:hAnsi="Times New Roman" w:cs="Times New Roman"/>
                <w:sz w:val="28"/>
                <w:szCs w:val="28"/>
              </w:rPr>
            </w:pPr>
            <w:r w:rsidRPr="00FA6F1C">
              <w:rPr>
                <w:rFonts w:ascii="Times New Roman" w:hAnsi="Times New Roman" w:cs="Times New Roman"/>
                <w:sz w:val="28"/>
                <w:szCs w:val="28"/>
              </w:rPr>
              <w:t>Sabiedrības līdzdalība projekta izstrādē</w:t>
            </w:r>
          </w:p>
        </w:tc>
        <w:tc>
          <w:tcPr>
            <w:tcW w:w="6206" w:type="dxa"/>
          </w:tcPr>
          <w:p w14:paraId="5EDF1EE1" w14:textId="1F305159" w:rsidR="0023307F" w:rsidRPr="00FA6F1C" w:rsidRDefault="0023307F" w:rsidP="00FA6F1C">
            <w:pPr>
              <w:shd w:val="clear" w:color="auto" w:fill="FFFFFF"/>
              <w:spacing w:after="0" w:line="240" w:lineRule="auto"/>
              <w:ind w:left="57" w:right="57" w:firstLine="396"/>
              <w:jc w:val="both"/>
              <w:rPr>
                <w:rFonts w:ascii="Times New Roman" w:hAnsi="Times New Roman" w:cs="Times New Roman"/>
                <w:sz w:val="28"/>
                <w:szCs w:val="28"/>
              </w:rPr>
            </w:pPr>
            <w:bookmarkStart w:id="2" w:name="p62"/>
            <w:bookmarkEnd w:id="2"/>
          </w:p>
        </w:tc>
      </w:tr>
      <w:tr w:rsidR="00991CBE" w:rsidRPr="00FA6F1C" w14:paraId="5EDF1EE6" w14:textId="77777777" w:rsidTr="007A4496">
        <w:trPr>
          <w:trHeight w:val="476"/>
          <w:jc w:val="center"/>
        </w:trPr>
        <w:tc>
          <w:tcPr>
            <w:tcW w:w="476" w:type="dxa"/>
          </w:tcPr>
          <w:p w14:paraId="5EDF1EE3" w14:textId="77777777" w:rsidR="00DA6C86" w:rsidRPr="00FA6F1C" w:rsidRDefault="00DA6C86" w:rsidP="00FA6F1C">
            <w:pPr>
              <w:spacing w:after="0" w:line="240" w:lineRule="auto"/>
              <w:ind w:left="57" w:right="57"/>
              <w:jc w:val="both"/>
              <w:rPr>
                <w:rFonts w:ascii="Times New Roman" w:hAnsi="Times New Roman" w:cs="Times New Roman"/>
                <w:bCs/>
                <w:sz w:val="28"/>
                <w:szCs w:val="28"/>
              </w:rPr>
            </w:pPr>
            <w:r w:rsidRPr="00FA6F1C">
              <w:rPr>
                <w:rFonts w:ascii="Times New Roman" w:hAnsi="Times New Roman" w:cs="Times New Roman"/>
                <w:bCs/>
                <w:sz w:val="28"/>
                <w:szCs w:val="28"/>
              </w:rPr>
              <w:t>3.</w:t>
            </w:r>
          </w:p>
        </w:tc>
        <w:tc>
          <w:tcPr>
            <w:tcW w:w="2842" w:type="dxa"/>
          </w:tcPr>
          <w:p w14:paraId="5EDF1EE4" w14:textId="77777777" w:rsidR="00DA6C86" w:rsidRPr="00FA6F1C" w:rsidRDefault="00DA6C86" w:rsidP="00FA6F1C">
            <w:pPr>
              <w:spacing w:after="0" w:line="240" w:lineRule="auto"/>
              <w:ind w:left="57" w:right="57"/>
              <w:rPr>
                <w:rFonts w:ascii="Times New Roman" w:hAnsi="Times New Roman" w:cs="Times New Roman"/>
                <w:sz w:val="28"/>
                <w:szCs w:val="28"/>
              </w:rPr>
            </w:pPr>
            <w:r w:rsidRPr="00FA6F1C">
              <w:rPr>
                <w:rFonts w:ascii="Times New Roman" w:hAnsi="Times New Roman" w:cs="Times New Roman"/>
                <w:sz w:val="28"/>
                <w:szCs w:val="28"/>
              </w:rPr>
              <w:t>Sabiedrības līdzdalības rezultāti</w:t>
            </w:r>
          </w:p>
        </w:tc>
        <w:tc>
          <w:tcPr>
            <w:tcW w:w="6206" w:type="dxa"/>
          </w:tcPr>
          <w:p w14:paraId="5EDF1EE5" w14:textId="1BAD8379" w:rsidR="00751978" w:rsidRPr="00FA6F1C" w:rsidRDefault="00751978" w:rsidP="00FA6F1C">
            <w:pPr>
              <w:shd w:val="clear" w:color="auto" w:fill="FFFFFF"/>
              <w:tabs>
                <w:tab w:val="left" w:pos="736"/>
                <w:tab w:val="left" w:pos="878"/>
              </w:tabs>
              <w:spacing w:after="0" w:line="240" w:lineRule="auto"/>
              <w:ind w:right="57"/>
              <w:jc w:val="both"/>
              <w:rPr>
                <w:rFonts w:ascii="Times New Roman" w:hAnsi="Times New Roman" w:cs="Times New Roman"/>
                <w:sz w:val="28"/>
                <w:szCs w:val="28"/>
              </w:rPr>
            </w:pPr>
          </w:p>
        </w:tc>
      </w:tr>
      <w:tr w:rsidR="00991CBE" w:rsidRPr="00FA6F1C" w14:paraId="5EDF1EEB" w14:textId="77777777" w:rsidTr="007A4496">
        <w:trPr>
          <w:trHeight w:val="476"/>
          <w:jc w:val="center"/>
        </w:trPr>
        <w:tc>
          <w:tcPr>
            <w:tcW w:w="476" w:type="dxa"/>
          </w:tcPr>
          <w:p w14:paraId="5EDF1EE7" w14:textId="6AA0A14B" w:rsidR="00DA6C86" w:rsidRPr="00FA6F1C" w:rsidRDefault="004D6D5B" w:rsidP="00FA6F1C">
            <w:pPr>
              <w:spacing w:after="0" w:line="240" w:lineRule="auto"/>
              <w:ind w:left="57" w:right="57"/>
              <w:jc w:val="both"/>
              <w:rPr>
                <w:rFonts w:ascii="Times New Roman" w:hAnsi="Times New Roman" w:cs="Times New Roman"/>
                <w:bCs/>
                <w:sz w:val="28"/>
                <w:szCs w:val="28"/>
              </w:rPr>
            </w:pPr>
            <w:r w:rsidRPr="00FA6F1C">
              <w:rPr>
                <w:rFonts w:ascii="Times New Roman" w:hAnsi="Times New Roman" w:cs="Times New Roman"/>
                <w:bCs/>
                <w:sz w:val="28"/>
                <w:szCs w:val="28"/>
              </w:rPr>
              <w:t>4.</w:t>
            </w:r>
          </w:p>
        </w:tc>
        <w:tc>
          <w:tcPr>
            <w:tcW w:w="2842" w:type="dxa"/>
          </w:tcPr>
          <w:p w14:paraId="5EDF1EE8" w14:textId="77777777" w:rsidR="00DA6C86" w:rsidRPr="00FA6F1C" w:rsidRDefault="00DA6C86" w:rsidP="00FA6F1C">
            <w:pPr>
              <w:spacing w:after="0" w:line="240" w:lineRule="auto"/>
              <w:ind w:left="57" w:right="57"/>
              <w:rPr>
                <w:rFonts w:ascii="Times New Roman" w:hAnsi="Times New Roman" w:cs="Times New Roman"/>
                <w:sz w:val="28"/>
                <w:szCs w:val="28"/>
              </w:rPr>
            </w:pPr>
            <w:r w:rsidRPr="00FA6F1C">
              <w:rPr>
                <w:rFonts w:ascii="Times New Roman" w:hAnsi="Times New Roman" w:cs="Times New Roman"/>
                <w:sz w:val="28"/>
                <w:szCs w:val="28"/>
              </w:rPr>
              <w:t>Cita informācija</w:t>
            </w:r>
          </w:p>
        </w:tc>
        <w:tc>
          <w:tcPr>
            <w:tcW w:w="6206" w:type="dxa"/>
          </w:tcPr>
          <w:p w14:paraId="5EDF1EEA" w14:textId="5FB7AB59" w:rsidR="00DA6C86" w:rsidRPr="00FA6F1C" w:rsidRDefault="00380812" w:rsidP="00FA6F1C">
            <w:pPr>
              <w:spacing w:after="0" w:line="240" w:lineRule="auto"/>
              <w:ind w:left="57" w:right="57"/>
              <w:jc w:val="both"/>
              <w:rPr>
                <w:rFonts w:ascii="Times New Roman" w:hAnsi="Times New Roman" w:cs="Times New Roman"/>
                <w:sz w:val="28"/>
                <w:szCs w:val="28"/>
              </w:rPr>
            </w:pPr>
            <w:r w:rsidRPr="00FA6F1C">
              <w:rPr>
                <w:rFonts w:ascii="Times New Roman" w:hAnsi="Times New Roman" w:cs="Times New Roman"/>
                <w:sz w:val="28"/>
                <w:szCs w:val="28"/>
              </w:rPr>
              <w:t>Nav</w:t>
            </w:r>
          </w:p>
        </w:tc>
      </w:tr>
    </w:tbl>
    <w:p w14:paraId="5EDF1EEC" w14:textId="77777777" w:rsidR="00DA6C86" w:rsidRPr="00FA6F1C" w:rsidRDefault="00DA6C86" w:rsidP="00FA6F1C">
      <w:pPr>
        <w:spacing w:after="0" w:line="240" w:lineRule="auto"/>
        <w:rPr>
          <w:rFonts w:ascii="Times New Roman" w:hAnsi="Times New Roman" w:cs="Times New Roman"/>
          <w:sz w:val="28"/>
          <w:szCs w:val="28"/>
        </w:rPr>
      </w:pPr>
    </w:p>
    <w:p w14:paraId="77916134" w14:textId="77777777" w:rsidR="00E92316" w:rsidRPr="00FA6F1C" w:rsidRDefault="00E92316" w:rsidP="00FA6F1C">
      <w:pPr>
        <w:spacing w:after="0" w:line="240" w:lineRule="auto"/>
        <w:rPr>
          <w:rFonts w:ascii="Times New Roman" w:hAnsi="Times New Roman" w:cs="Times New Roman"/>
          <w:sz w:val="28"/>
          <w:szCs w:val="28"/>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991CBE" w:rsidRPr="00FA6F1C" w14:paraId="5EDF1EEE" w14:textId="77777777" w:rsidTr="004544D2">
        <w:trPr>
          <w:trHeight w:val="381"/>
          <w:jc w:val="center"/>
        </w:trPr>
        <w:tc>
          <w:tcPr>
            <w:tcW w:w="9518" w:type="dxa"/>
            <w:gridSpan w:val="3"/>
            <w:vAlign w:val="center"/>
          </w:tcPr>
          <w:p w14:paraId="5EDF1EED" w14:textId="77777777" w:rsidR="00DA6C86" w:rsidRPr="00FA6F1C" w:rsidRDefault="00DA6C86" w:rsidP="00FA6F1C">
            <w:pPr>
              <w:pStyle w:val="naisnod"/>
              <w:spacing w:before="0" w:beforeAutospacing="0" w:after="0" w:afterAutospacing="0"/>
              <w:ind w:left="57" w:right="57"/>
              <w:jc w:val="center"/>
              <w:rPr>
                <w:sz w:val="28"/>
                <w:szCs w:val="28"/>
              </w:rPr>
            </w:pPr>
            <w:r w:rsidRPr="00FA6F1C">
              <w:rPr>
                <w:b/>
                <w:sz w:val="28"/>
                <w:szCs w:val="28"/>
              </w:rPr>
              <w:t>VII. Tiesību akta projekta izpildes nodrošināšana un tās ietekme uz institūcijām</w:t>
            </w:r>
          </w:p>
        </w:tc>
      </w:tr>
      <w:tr w:rsidR="00DA6C86" w:rsidRPr="00FA6F1C" w14:paraId="5EDF1EF2" w14:textId="77777777" w:rsidTr="001E69FC">
        <w:trPr>
          <w:trHeight w:val="427"/>
          <w:jc w:val="center"/>
        </w:trPr>
        <w:tc>
          <w:tcPr>
            <w:tcW w:w="437" w:type="dxa"/>
          </w:tcPr>
          <w:p w14:paraId="5EDF1EEF" w14:textId="77777777" w:rsidR="00DA6C86" w:rsidRPr="00FA6F1C" w:rsidRDefault="00DA6C86" w:rsidP="00FA6F1C">
            <w:pPr>
              <w:pStyle w:val="naisnod"/>
              <w:spacing w:before="0" w:beforeAutospacing="0" w:after="0" w:afterAutospacing="0"/>
              <w:ind w:left="57" w:right="57"/>
              <w:jc w:val="both"/>
              <w:rPr>
                <w:sz w:val="28"/>
                <w:szCs w:val="28"/>
              </w:rPr>
            </w:pPr>
            <w:r w:rsidRPr="00FA6F1C">
              <w:rPr>
                <w:sz w:val="28"/>
                <w:szCs w:val="28"/>
              </w:rPr>
              <w:t>1.</w:t>
            </w:r>
          </w:p>
        </w:tc>
        <w:tc>
          <w:tcPr>
            <w:tcW w:w="3615" w:type="dxa"/>
          </w:tcPr>
          <w:p w14:paraId="5EDF1EF0" w14:textId="77777777" w:rsidR="00DA6C86" w:rsidRPr="00FA6F1C" w:rsidRDefault="00DA6C86" w:rsidP="00FA6F1C">
            <w:pPr>
              <w:pStyle w:val="naisf"/>
              <w:spacing w:before="0" w:beforeAutospacing="0" w:after="0" w:afterAutospacing="0"/>
              <w:ind w:left="57" w:right="57"/>
              <w:rPr>
                <w:sz w:val="28"/>
                <w:szCs w:val="28"/>
              </w:rPr>
            </w:pPr>
            <w:r w:rsidRPr="00FA6F1C">
              <w:rPr>
                <w:sz w:val="28"/>
                <w:szCs w:val="28"/>
              </w:rPr>
              <w:t>Projekta izpildē iesaistītās institūcijas</w:t>
            </w:r>
          </w:p>
        </w:tc>
        <w:tc>
          <w:tcPr>
            <w:tcW w:w="5466" w:type="dxa"/>
          </w:tcPr>
          <w:p w14:paraId="5EDF1EF1" w14:textId="2992E21B" w:rsidR="00DA6C86" w:rsidRPr="00FA6F1C" w:rsidRDefault="00D42603" w:rsidP="00FA6F1C">
            <w:pPr>
              <w:shd w:val="clear" w:color="auto" w:fill="FFFFFF"/>
              <w:spacing w:after="0" w:line="240" w:lineRule="auto"/>
              <w:jc w:val="both"/>
              <w:rPr>
                <w:rFonts w:ascii="Times New Roman" w:hAnsi="Times New Roman" w:cs="Times New Roman"/>
                <w:sz w:val="28"/>
                <w:szCs w:val="28"/>
              </w:rPr>
            </w:pPr>
            <w:bookmarkStart w:id="3" w:name="p66"/>
            <w:bookmarkStart w:id="4" w:name="p67"/>
            <w:bookmarkStart w:id="5" w:name="p68"/>
            <w:bookmarkStart w:id="6" w:name="p69"/>
            <w:bookmarkEnd w:id="3"/>
            <w:bookmarkEnd w:id="4"/>
            <w:bookmarkEnd w:id="5"/>
            <w:bookmarkEnd w:id="6"/>
            <w:r w:rsidRPr="00FA6F1C">
              <w:rPr>
                <w:rFonts w:ascii="Times New Roman" w:hAnsi="Times New Roman" w:cs="Times New Roman"/>
                <w:sz w:val="28"/>
                <w:szCs w:val="28"/>
              </w:rPr>
              <w:t>Labklājības</w:t>
            </w:r>
            <w:r w:rsidR="00D36792" w:rsidRPr="00FA6F1C">
              <w:rPr>
                <w:rFonts w:ascii="Times New Roman" w:hAnsi="Times New Roman" w:cs="Times New Roman"/>
                <w:sz w:val="28"/>
                <w:szCs w:val="28"/>
              </w:rPr>
              <w:t xml:space="preserve"> ministrija kā vadošā iestāde un </w:t>
            </w:r>
            <w:r w:rsidRPr="00FA6F1C">
              <w:rPr>
                <w:rFonts w:ascii="Times New Roman" w:hAnsi="Times New Roman" w:cs="Times New Roman"/>
                <w:sz w:val="28"/>
                <w:szCs w:val="28"/>
              </w:rPr>
              <w:t>sertifikācijas</w:t>
            </w:r>
            <w:r w:rsidR="00017269" w:rsidRPr="00FA6F1C">
              <w:rPr>
                <w:rFonts w:ascii="Times New Roman" w:hAnsi="Times New Roman" w:cs="Times New Roman"/>
                <w:sz w:val="28"/>
                <w:szCs w:val="28"/>
              </w:rPr>
              <w:t xml:space="preserve"> iestāde, Sabiedrības integrācijas fonds</w:t>
            </w:r>
            <w:r w:rsidR="00445B7A">
              <w:rPr>
                <w:rFonts w:ascii="Times New Roman" w:hAnsi="Times New Roman" w:cs="Times New Roman"/>
                <w:sz w:val="28"/>
                <w:szCs w:val="28"/>
              </w:rPr>
              <w:t xml:space="preserve"> </w:t>
            </w:r>
            <w:r w:rsidR="00017269" w:rsidRPr="00FA6F1C">
              <w:rPr>
                <w:rFonts w:ascii="Times New Roman" w:hAnsi="Times New Roman" w:cs="Times New Roman"/>
                <w:sz w:val="28"/>
                <w:szCs w:val="28"/>
              </w:rPr>
              <w:t xml:space="preserve">kā </w:t>
            </w:r>
            <w:r w:rsidR="00010373" w:rsidRPr="00FA6F1C">
              <w:rPr>
                <w:rFonts w:ascii="Times New Roman" w:hAnsi="Times New Roman" w:cs="Times New Roman"/>
                <w:sz w:val="28"/>
                <w:szCs w:val="28"/>
              </w:rPr>
              <w:t>sadarbības iestāde</w:t>
            </w:r>
            <w:r w:rsidR="00D36792" w:rsidRPr="00FA6F1C">
              <w:rPr>
                <w:rFonts w:ascii="Times New Roman" w:hAnsi="Times New Roman" w:cs="Times New Roman"/>
                <w:sz w:val="28"/>
                <w:szCs w:val="28"/>
              </w:rPr>
              <w:t xml:space="preserve">, </w:t>
            </w:r>
            <w:r w:rsidR="00017269" w:rsidRPr="00FA6F1C">
              <w:rPr>
                <w:rFonts w:ascii="Times New Roman" w:hAnsi="Times New Roman" w:cs="Times New Roman"/>
                <w:sz w:val="28"/>
                <w:szCs w:val="28"/>
              </w:rPr>
              <w:t>Finanšu ministrija kā revīzijas iestāde,</w:t>
            </w:r>
            <w:r w:rsidR="00D36792" w:rsidRPr="00FA6F1C">
              <w:rPr>
                <w:rFonts w:ascii="Times New Roman" w:hAnsi="Times New Roman" w:cs="Times New Roman"/>
                <w:sz w:val="28"/>
                <w:szCs w:val="28"/>
              </w:rPr>
              <w:t xml:space="preserve"> Iepirkuma uzraudzības birojs </w:t>
            </w:r>
          </w:p>
        </w:tc>
      </w:tr>
      <w:tr w:rsidR="00DA6C86" w:rsidRPr="00FA6F1C" w14:paraId="5EDF1EF8" w14:textId="77777777" w:rsidTr="001E69FC">
        <w:trPr>
          <w:trHeight w:val="463"/>
          <w:jc w:val="center"/>
        </w:trPr>
        <w:tc>
          <w:tcPr>
            <w:tcW w:w="437" w:type="dxa"/>
          </w:tcPr>
          <w:p w14:paraId="5EDF1EF3" w14:textId="2EAF9E4B" w:rsidR="00DA6C86" w:rsidRPr="00FA6F1C" w:rsidRDefault="00DA6C86" w:rsidP="00FA6F1C">
            <w:pPr>
              <w:pStyle w:val="naisnod"/>
              <w:spacing w:before="0" w:beforeAutospacing="0" w:after="0" w:afterAutospacing="0"/>
              <w:ind w:left="57" w:right="57"/>
              <w:jc w:val="both"/>
              <w:rPr>
                <w:sz w:val="28"/>
                <w:szCs w:val="28"/>
              </w:rPr>
            </w:pPr>
            <w:r w:rsidRPr="00FA6F1C">
              <w:rPr>
                <w:sz w:val="28"/>
                <w:szCs w:val="28"/>
              </w:rPr>
              <w:t>2.</w:t>
            </w:r>
          </w:p>
        </w:tc>
        <w:tc>
          <w:tcPr>
            <w:tcW w:w="3615" w:type="dxa"/>
          </w:tcPr>
          <w:p w14:paraId="5EDF1EF4" w14:textId="376D97F5" w:rsidR="00DA6C86" w:rsidRPr="00FA6F1C" w:rsidRDefault="00DA6C86" w:rsidP="00FA6F1C">
            <w:pPr>
              <w:pStyle w:val="naisf"/>
              <w:spacing w:before="0" w:beforeAutospacing="0" w:after="0" w:afterAutospacing="0"/>
              <w:ind w:left="57" w:right="57"/>
              <w:rPr>
                <w:sz w:val="28"/>
                <w:szCs w:val="28"/>
              </w:rPr>
            </w:pPr>
            <w:r w:rsidRPr="00FA6F1C">
              <w:rPr>
                <w:sz w:val="28"/>
                <w:szCs w:val="28"/>
              </w:rPr>
              <w:t>Projekta izpildes iet</w:t>
            </w:r>
            <w:r w:rsidR="002C5BB1" w:rsidRPr="00FA6F1C">
              <w:rPr>
                <w:sz w:val="28"/>
                <w:szCs w:val="28"/>
              </w:rPr>
              <w:t>ekme uz pār</w:t>
            </w:r>
            <w:r w:rsidR="001E69FC" w:rsidRPr="00FA6F1C">
              <w:rPr>
                <w:sz w:val="28"/>
                <w:szCs w:val="28"/>
              </w:rPr>
              <w:softHyphen/>
            </w:r>
            <w:r w:rsidR="002C5BB1" w:rsidRPr="00FA6F1C">
              <w:rPr>
                <w:sz w:val="28"/>
                <w:szCs w:val="28"/>
              </w:rPr>
              <w:t xml:space="preserve">valdes funkcijām un </w:t>
            </w:r>
            <w:r w:rsidRPr="00FA6F1C">
              <w:rPr>
                <w:sz w:val="28"/>
                <w:szCs w:val="28"/>
              </w:rPr>
              <w:t>institucionālo struktūru.</w:t>
            </w:r>
          </w:p>
          <w:p w14:paraId="5EDF1EF5" w14:textId="026B5512" w:rsidR="00DA6C86" w:rsidRPr="00FA6F1C" w:rsidRDefault="00DA6C86" w:rsidP="00FA6F1C">
            <w:pPr>
              <w:pStyle w:val="naisf"/>
              <w:spacing w:before="0" w:beforeAutospacing="0" w:after="0" w:afterAutospacing="0"/>
              <w:ind w:left="57" w:right="57"/>
              <w:rPr>
                <w:sz w:val="28"/>
                <w:szCs w:val="28"/>
              </w:rPr>
            </w:pPr>
            <w:r w:rsidRPr="00FA6F1C">
              <w:rPr>
                <w:sz w:val="28"/>
                <w:szCs w:val="28"/>
              </w:rPr>
              <w:t>Jaunu institūciju izveide, esošu institūciju likvidācija vai reorga</w:t>
            </w:r>
            <w:r w:rsidR="001E69FC" w:rsidRPr="00FA6F1C">
              <w:rPr>
                <w:sz w:val="28"/>
                <w:szCs w:val="28"/>
              </w:rPr>
              <w:softHyphen/>
            </w:r>
            <w:r w:rsidRPr="00FA6F1C">
              <w:rPr>
                <w:sz w:val="28"/>
                <w:szCs w:val="28"/>
              </w:rPr>
              <w:t>nizācija, to ietekme uz institūcijas cilvēkresursiem.</w:t>
            </w:r>
          </w:p>
        </w:tc>
        <w:tc>
          <w:tcPr>
            <w:tcW w:w="5466" w:type="dxa"/>
          </w:tcPr>
          <w:p w14:paraId="5980F511" w14:textId="5C9403B5" w:rsidR="002E1DFC" w:rsidRPr="00FA6F1C" w:rsidRDefault="00D61A67" w:rsidP="00FA6F1C">
            <w:pPr>
              <w:shd w:val="clear" w:color="auto" w:fill="FFFFFF"/>
              <w:spacing w:after="120" w:line="240" w:lineRule="auto"/>
              <w:ind w:right="57"/>
              <w:jc w:val="both"/>
              <w:rPr>
                <w:rFonts w:ascii="Times New Roman" w:hAnsi="Times New Roman" w:cs="Times New Roman"/>
                <w:sz w:val="28"/>
                <w:szCs w:val="28"/>
              </w:rPr>
            </w:pPr>
            <w:r w:rsidRPr="00FA6F1C">
              <w:rPr>
                <w:rFonts w:ascii="Times New Roman" w:hAnsi="Times New Roman" w:cs="Times New Roman"/>
                <w:sz w:val="28"/>
                <w:szCs w:val="28"/>
              </w:rPr>
              <w:t>1.</w:t>
            </w:r>
            <w:r w:rsidR="00873238">
              <w:rPr>
                <w:rFonts w:ascii="Times New Roman" w:hAnsi="Times New Roman" w:cs="Times New Roman"/>
                <w:sz w:val="28"/>
                <w:szCs w:val="28"/>
              </w:rPr>
              <w:t>F</w:t>
            </w:r>
            <w:r w:rsidR="000F42B8" w:rsidRPr="00FA6F1C">
              <w:rPr>
                <w:rFonts w:ascii="Times New Roman" w:hAnsi="Times New Roman" w:cs="Times New Roman"/>
                <w:sz w:val="28"/>
                <w:szCs w:val="28"/>
              </w:rPr>
              <w:t>onda</w:t>
            </w:r>
            <w:r w:rsidR="002130ED" w:rsidRPr="00FA6F1C">
              <w:rPr>
                <w:rFonts w:ascii="Times New Roman" w:hAnsi="Times New Roman" w:cs="Times New Roman"/>
                <w:sz w:val="28"/>
                <w:szCs w:val="28"/>
              </w:rPr>
              <w:t xml:space="preserve"> </w:t>
            </w:r>
            <w:r w:rsidR="000F42B8" w:rsidRPr="00FA6F1C">
              <w:rPr>
                <w:rFonts w:ascii="Times New Roman" w:hAnsi="Times New Roman" w:cs="Times New Roman"/>
                <w:sz w:val="28"/>
                <w:szCs w:val="28"/>
              </w:rPr>
              <w:t>vadības</w:t>
            </w:r>
            <w:r w:rsidR="002130ED" w:rsidRPr="00FA6F1C">
              <w:rPr>
                <w:rFonts w:ascii="Times New Roman" w:hAnsi="Times New Roman" w:cs="Times New Roman"/>
                <w:sz w:val="28"/>
                <w:szCs w:val="28"/>
              </w:rPr>
              <w:t xml:space="preserve"> sistēmā 2014</w:t>
            </w:r>
            <w:r w:rsidR="00FE5447">
              <w:rPr>
                <w:rFonts w:ascii="Times New Roman" w:hAnsi="Times New Roman" w:cs="Times New Roman"/>
                <w:sz w:val="28"/>
                <w:szCs w:val="28"/>
              </w:rPr>
              <w:t>.</w:t>
            </w:r>
            <w:r w:rsidR="002130ED" w:rsidRPr="00FA6F1C">
              <w:rPr>
                <w:rFonts w:ascii="Times New Roman" w:hAnsi="Times New Roman" w:cs="Times New Roman"/>
                <w:sz w:val="28"/>
                <w:szCs w:val="28"/>
              </w:rPr>
              <w:t xml:space="preserve">-2020.gada plānošanas periodā </w:t>
            </w:r>
            <w:r w:rsidR="000F42B8" w:rsidRPr="00FA6F1C">
              <w:rPr>
                <w:rFonts w:ascii="Times New Roman" w:hAnsi="Times New Roman" w:cs="Times New Roman"/>
                <w:sz w:val="28"/>
                <w:szCs w:val="28"/>
              </w:rPr>
              <w:t>Labklājības ministrijai</w:t>
            </w:r>
            <w:r w:rsidR="00010373" w:rsidRPr="00FA6F1C">
              <w:rPr>
                <w:rFonts w:ascii="Times New Roman" w:hAnsi="Times New Roman" w:cs="Times New Roman"/>
                <w:sz w:val="28"/>
                <w:szCs w:val="28"/>
              </w:rPr>
              <w:t xml:space="preserve"> </w:t>
            </w:r>
            <w:r w:rsidR="000F42B8" w:rsidRPr="00FA6F1C">
              <w:rPr>
                <w:rFonts w:ascii="Times New Roman" w:hAnsi="Times New Roman" w:cs="Times New Roman"/>
                <w:sz w:val="28"/>
                <w:szCs w:val="28"/>
              </w:rPr>
              <w:t xml:space="preserve">noteiktas jaunas </w:t>
            </w:r>
            <w:r w:rsidR="00445B7A">
              <w:rPr>
                <w:rFonts w:ascii="Times New Roman" w:hAnsi="Times New Roman" w:cs="Times New Roman"/>
                <w:sz w:val="28"/>
                <w:szCs w:val="28"/>
              </w:rPr>
              <w:t>F</w:t>
            </w:r>
            <w:r w:rsidR="000F42B8" w:rsidRPr="00FA6F1C">
              <w:rPr>
                <w:rFonts w:ascii="Times New Roman" w:hAnsi="Times New Roman" w:cs="Times New Roman"/>
                <w:sz w:val="28"/>
                <w:szCs w:val="28"/>
              </w:rPr>
              <w:t>onda vadošās iestādes un sertifikācijas iestādes funkcijas.</w:t>
            </w:r>
          </w:p>
          <w:p w14:paraId="03CB7035" w14:textId="6A16DB1C" w:rsidR="000F42B8" w:rsidRPr="00FA6F1C" w:rsidRDefault="00D61A67" w:rsidP="00FA6F1C">
            <w:pPr>
              <w:shd w:val="clear" w:color="auto" w:fill="FFFFFF"/>
              <w:spacing w:after="120" w:line="240" w:lineRule="auto"/>
              <w:ind w:right="57"/>
              <w:jc w:val="both"/>
              <w:rPr>
                <w:rFonts w:ascii="Times New Roman" w:hAnsi="Times New Roman" w:cs="Times New Roman"/>
                <w:sz w:val="28"/>
                <w:szCs w:val="28"/>
              </w:rPr>
            </w:pPr>
            <w:r w:rsidRPr="00FA6F1C">
              <w:rPr>
                <w:rFonts w:ascii="Times New Roman" w:hAnsi="Times New Roman" w:cs="Times New Roman"/>
                <w:sz w:val="28"/>
                <w:szCs w:val="28"/>
              </w:rPr>
              <w:t>2.</w:t>
            </w:r>
            <w:r w:rsidR="000F42B8" w:rsidRPr="00FA6F1C">
              <w:rPr>
                <w:rFonts w:ascii="Times New Roman" w:hAnsi="Times New Roman" w:cs="Times New Roman"/>
                <w:sz w:val="28"/>
                <w:szCs w:val="28"/>
              </w:rPr>
              <w:t xml:space="preserve">Sabiedrības integrācijas fonds pildīs </w:t>
            </w:r>
            <w:r w:rsidR="00AA6CF5" w:rsidRPr="00FA6F1C">
              <w:rPr>
                <w:rFonts w:ascii="Times New Roman" w:hAnsi="Times New Roman" w:cs="Times New Roman"/>
                <w:sz w:val="28"/>
                <w:szCs w:val="28"/>
              </w:rPr>
              <w:t>sadarbības iestādei deleģētās funkcijas</w:t>
            </w:r>
            <w:r w:rsidRPr="00FA6F1C">
              <w:rPr>
                <w:rFonts w:ascii="Times New Roman" w:hAnsi="Times New Roman" w:cs="Times New Roman"/>
                <w:sz w:val="28"/>
                <w:szCs w:val="28"/>
              </w:rPr>
              <w:t>.</w:t>
            </w:r>
          </w:p>
          <w:p w14:paraId="17840ACA" w14:textId="1F085EFA" w:rsidR="00D61A67" w:rsidRPr="00FA6F1C" w:rsidRDefault="00D61A67" w:rsidP="00FA6F1C">
            <w:pPr>
              <w:shd w:val="clear" w:color="auto" w:fill="FFFFFF"/>
              <w:spacing w:after="120" w:line="240" w:lineRule="auto"/>
              <w:ind w:right="57"/>
              <w:jc w:val="both"/>
              <w:rPr>
                <w:rFonts w:ascii="Times New Roman" w:hAnsi="Times New Roman" w:cs="Times New Roman"/>
                <w:sz w:val="28"/>
                <w:szCs w:val="28"/>
              </w:rPr>
            </w:pPr>
            <w:r w:rsidRPr="00FA6F1C">
              <w:rPr>
                <w:rFonts w:ascii="Times New Roman" w:hAnsi="Times New Roman" w:cs="Times New Roman"/>
                <w:sz w:val="28"/>
                <w:szCs w:val="28"/>
              </w:rPr>
              <w:t>3.Finanšu ministrija,</w:t>
            </w:r>
            <w:r w:rsidR="00017269" w:rsidRPr="00FA6F1C">
              <w:rPr>
                <w:rFonts w:ascii="Times New Roman" w:hAnsi="Times New Roman" w:cs="Times New Roman"/>
                <w:sz w:val="28"/>
                <w:szCs w:val="28"/>
              </w:rPr>
              <w:t xml:space="preserve"> </w:t>
            </w:r>
            <w:r w:rsidRPr="00FA6F1C">
              <w:rPr>
                <w:rFonts w:ascii="Times New Roman" w:hAnsi="Times New Roman" w:cs="Times New Roman"/>
                <w:sz w:val="28"/>
                <w:szCs w:val="28"/>
              </w:rPr>
              <w:t>balstoties uz līdzšinējo pieredzi ES fondu vadības un kontroles sistēmā, nodrošinās revīzijas iestādes funkcijas.</w:t>
            </w:r>
          </w:p>
          <w:p w14:paraId="61DB6E84" w14:textId="3C21A620" w:rsidR="002E1DFC" w:rsidRPr="00FA6F1C" w:rsidRDefault="00D61A67" w:rsidP="00FA6F1C">
            <w:pPr>
              <w:shd w:val="clear" w:color="auto" w:fill="FFFFFF"/>
              <w:spacing w:after="120" w:line="240" w:lineRule="auto"/>
              <w:ind w:right="57"/>
              <w:jc w:val="both"/>
              <w:rPr>
                <w:rFonts w:ascii="Times New Roman" w:hAnsi="Times New Roman" w:cs="Times New Roman"/>
                <w:sz w:val="28"/>
                <w:szCs w:val="28"/>
              </w:rPr>
            </w:pPr>
            <w:r w:rsidRPr="00FA6F1C">
              <w:rPr>
                <w:rFonts w:ascii="Times New Roman" w:hAnsi="Times New Roman" w:cs="Times New Roman"/>
                <w:sz w:val="28"/>
                <w:szCs w:val="28"/>
              </w:rPr>
              <w:t>4.</w:t>
            </w:r>
            <w:r w:rsidR="00AA6CF5" w:rsidRPr="00FA6F1C">
              <w:rPr>
                <w:rFonts w:ascii="Times New Roman" w:hAnsi="Times New Roman" w:cs="Times New Roman"/>
                <w:sz w:val="28"/>
                <w:szCs w:val="28"/>
              </w:rPr>
              <w:t>S</w:t>
            </w:r>
            <w:r w:rsidR="00010373" w:rsidRPr="00FA6F1C">
              <w:rPr>
                <w:rFonts w:ascii="Times New Roman" w:hAnsi="Times New Roman" w:cs="Times New Roman"/>
                <w:sz w:val="28"/>
                <w:szCs w:val="28"/>
              </w:rPr>
              <w:t>adarbības iestāde</w:t>
            </w:r>
            <w:r w:rsidR="002F700B" w:rsidRPr="00FA6F1C">
              <w:rPr>
                <w:rFonts w:ascii="Times New Roman" w:hAnsi="Times New Roman" w:cs="Times New Roman"/>
                <w:sz w:val="28"/>
                <w:szCs w:val="28"/>
              </w:rPr>
              <w:t xml:space="preserve"> būs </w:t>
            </w:r>
            <w:r w:rsidR="00AA6CF5" w:rsidRPr="00FA6F1C">
              <w:rPr>
                <w:rFonts w:ascii="Times New Roman" w:hAnsi="Times New Roman" w:cs="Times New Roman"/>
                <w:sz w:val="28"/>
                <w:szCs w:val="28"/>
              </w:rPr>
              <w:t>labklājības</w:t>
            </w:r>
            <w:r w:rsidR="002F700B" w:rsidRPr="00FA6F1C">
              <w:rPr>
                <w:rFonts w:ascii="Times New Roman" w:hAnsi="Times New Roman" w:cs="Times New Roman"/>
                <w:sz w:val="28"/>
                <w:szCs w:val="28"/>
              </w:rPr>
              <w:t xml:space="preserve"> ministra </w:t>
            </w:r>
            <w:r w:rsidR="002F700B" w:rsidRPr="00FA6F1C">
              <w:rPr>
                <w:rFonts w:ascii="Times New Roman" w:hAnsi="Times New Roman" w:cs="Times New Roman"/>
                <w:sz w:val="28"/>
                <w:szCs w:val="28"/>
              </w:rPr>
              <w:lastRenderedPageBreak/>
              <w:t>funkcionālajā pakļautībā, kas to īsteno ar vadošās iestādes vadītāja starpniecību.</w:t>
            </w:r>
          </w:p>
          <w:p w14:paraId="086B15D5" w14:textId="77CE531D" w:rsidR="00AA6CF5" w:rsidRPr="00FA6F1C" w:rsidRDefault="00873238" w:rsidP="00FA6F1C">
            <w:pPr>
              <w:shd w:val="clear" w:color="auto" w:fill="FFFFFF"/>
              <w:spacing w:after="0" w:line="240" w:lineRule="auto"/>
              <w:ind w:right="57"/>
              <w:jc w:val="both"/>
              <w:rPr>
                <w:rFonts w:ascii="Times New Roman" w:hAnsi="Times New Roman" w:cs="Times New Roman"/>
                <w:sz w:val="28"/>
                <w:szCs w:val="28"/>
              </w:rPr>
            </w:pPr>
            <w:r>
              <w:rPr>
                <w:rFonts w:ascii="Times New Roman" w:hAnsi="Times New Roman" w:cs="Times New Roman"/>
                <w:sz w:val="28"/>
                <w:szCs w:val="28"/>
              </w:rPr>
              <w:t>5</w:t>
            </w:r>
            <w:r w:rsidR="00D61A67" w:rsidRPr="00FA6F1C">
              <w:rPr>
                <w:rFonts w:ascii="Times New Roman" w:hAnsi="Times New Roman" w:cs="Times New Roman"/>
                <w:sz w:val="28"/>
                <w:szCs w:val="28"/>
              </w:rPr>
              <w:t>.J</w:t>
            </w:r>
            <w:r w:rsidR="00994E94" w:rsidRPr="00FA6F1C">
              <w:rPr>
                <w:rFonts w:ascii="Times New Roman" w:hAnsi="Times New Roman" w:cs="Times New Roman"/>
                <w:sz w:val="28"/>
                <w:szCs w:val="28"/>
              </w:rPr>
              <w:t xml:space="preserve">aunajai </w:t>
            </w:r>
            <w:r>
              <w:rPr>
                <w:rFonts w:ascii="Times New Roman" w:hAnsi="Times New Roman" w:cs="Times New Roman"/>
                <w:sz w:val="28"/>
                <w:szCs w:val="28"/>
              </w:rPr>
              <w:t>F</w:t>
            </w:r>
            <w:r w:rsidR="00994E94" w:rsidRPr="00FA6F1C">
              <w:rPr>
                <w:rFonts w:ascii="Times New Roman" w:hAnsi="Times New Roman" w:cs="Times New Roman"/>
                <w:sz w:val="28"/>
                <w:szCs w:val="28"/>
              </w:rPr>
              <w:t>onda vadības un kontroles funkcij</w:t>
            </w:r>
            <w:r w:rsidR="00D61A67" w:rsidRPr="00FA6F1C">
              <w:rPr>
                <w:rFonts w:ascii="Times New Roman" w:hAnsi="Times New Roman" w:cs="Times New Roman"/>
                <w:sz w:val="28"/>
                <w:szCs w:val="28"/>
              </w:rPr>
              <w:t>ai Labklājības ministrijā (vadošai iestādei un s</w:t>
            </w:r>
            <w:r w:rsidR="00994E94" w:rsidRPr="00FA6F1C">
              <w:rPr>
                <w:rFonts w:ascii="Times New Roman" w:hAnsi="Times New Roman" w:cs="Times New Roman"/>
                <w:sz w:val="28"/>
                <w:szCs w:val="28"/>
              </w:rPr>
              <w:t xml:space="preserve">ertifikācijas </w:t>
            </w:r>
            <w:r w:rsidR="00D61A67" w:rsidRPr="00FA6F1C">
              <w:rPr>
                <w:rFonts w:ascii="Times New Roman" w:hAnsi="Times New Roman" w:cs="Times New Roman"/>
                <w:sz w:val="28"/>
                <w:szCs w:val="28"/>
              </w:rPr>
              <w:t xml:space="preserve">iestādei) paredzētas četras no </w:t>
            </w:r>
            <w:r>
              <w:rPr>
                <w:rFonts w:ascii="Times New Roman" w:hAnsi="Times New Roman" w:cs="Times New Roman"/>
                <w:sz w:val="28"/>
                <w:szCs w:val="28"/>
              </w:rPr>
              <w:t>F</w:t>
            </w:r>
            <w:r w:rsidR="00994E94" w:rsidRPr="00FA6F1C">
              <w:rPr>
                <w:rFonts w:ascii="Times New Roman" w:hAnsi="Times New Roman" w:cs="Times New Roman"/>
                <w:sz w:val="28"/>
                <w:szCs w:val="28"/>
              </w:rPr>
              <w:t>onda tehniskās palīdzības finansētas amata vietas.</w:t>
            </w:r>
            <w:r w:rsidR="001F0DC2" w:rsidRPr="00FA6F1C">
              <w:rPr>
                <w:rFonts w:ascii="Times New Roman" w:hAnsi="Times New Roman" w:cs="Times New Roman"/>
                <w:sz w:val="28"/>
                <w:szCs w:val="28"/>
              </w:rPr>
              <w:t xml:space="preserve"> Funkciju nodrošināšanai un pienācīgai nodalīšanai tiek pieļauts </w:t>
            </w:r>
            <w:proofErr w:type="spellStart"/>
            <w:r w:rsidR="001F0DC2" w:rsidRPr="00FA6F1C">
              <w:rPr>
                <w:rFonts w:ascii="Times New Roman" w:hAnsi="Times New Roman" w:cs="Times New Roman"/>
                <w:sz w:val="28"/>
                <w:szCs w:val="28"/>
              </w:rPr>
              <w:t>daļslodzes</w:t>
            </w:r>
            <w:proofErr w:type="spellEnd"/>
            <w:r w:rsidR="001F0DC2" w:rsidRPr="00FA6F1C">
              <w:rPr>
                <w:rFonts w:ascii="Times New Roman" w:hAnsi="Times New Roman" w:cs="Times New Roman"/>
                <w:sz w:val="28"/>
                <w:szCs w:val="28"/>
              </w:rPr>
              <w:t xml:space="preserve"> finansējums.</w:t>
            </w:r>
            <w:r w:rsidR="00994E94" w:rsidRPr="00FA6F1C">
              <w:rPr>
                <w:rFonts w:ascii="Times New Roman" w:hAnsi="Times New Roman" w:cs="Times New Roman"/>
                <w:sz w:val="28"/>
                <w:szCs w:val="28"/>
              </w:rPr>
              <w:t xml:space="preserve"> S</w:t>
            </w:r>
            <w:r w:rsidR="00010373" w:rsidRPr="00FA6F1C">
              <w:rPr>
                <w:rFonts w:ascii="Times New Roman" w:hAnsi="Times New Roman" w:cs="Times New Roman"/>
                <w:sz w:val="28"/>
                <w:szCs w:val="28"/>
              </w:rPr>
              <w:t>adarbības iestādē</w:t>
            </w:r>
            <w:r w:rsidR="00994E94" w:rsidRPr="00FA6F1C">
              <w:rPr>
                <w:rFonts w:ascii="Times New Roman" w:hAnsi="Times New Roman" w:cs="Times New Roman"/>
                <w:sz w:val="28"/>
                <w:szCs w:val="28"/>
              </w:rPr>
              <w:t xml:space="preserve"> Sabiedrības integrācijas fondā un revīzijas iestādē Finanšu ministrijā plānots iesaistīt esošo personālu,</w:t>
            </w:r>
            <w:r w:rsidR="001F0DC2" w:rsidRPr="00FA6F1C">
              <w:rPr>
                <w:rFonts w:ascii="Times New Roman" w:hAnsi="Times New Roman" w:cs="Times New Roman"/>
                <w:sz w:val="28"/>
                <w:szCs w:val="28"/>
              </w:rPr>
              <w:t xml:space="preserve"> pieļaujot </w:t>
            </w:r>
            <w:proofErr w:type="spellStart"/>
            <w:r w:rsidR="001F0DC2" w:rsidRPr="00FA6F1C">
              <w:rPr>
                <w:rFonts w:ascii="Times New Roman" w:hAnsi="Times New Roman" w:cs="Times New Roman"/>
                <w:sz w:val="28"/>
                <w:szCs w:val="28"/>
              </w:rPr>
              <w:t>daļslodzes</w:t>
            </w:r>
            <w:proofErr w:type="spellEnd"/>
            <w:r w:rsidR="001F0DC2" w:rsidRPr="00FA6F1C">
              <w:rPr>
                <w:rFonts w:ascii="Times New Roman" w:hAnsi="Times New Roman" w:cs="Times New Roman"/>
                <w:sz w:val="28"/>
                <w:szCs w:val="28"/>
              </w:rPr>
              <w:t xml:space="preserve"> finansējumu, bet</w:t>
            </w:r>
            <w:proofErr w:type="gramStart"/>
            <w:r w:rsidR="001F0DC2" w:rsidRPr="00FA6F1C">
              <w:rPr>
                <w:rFonts w:ascii="Times New Roman" w:hAnsi="Times New Roman" w:cs="Times New Roman"/>
                <w:sz w:val="28"/>
                <w:szCs w:val="28"/>
              </w:rPr>
              <w:t xml:space="preserve"> </w:t>
            </w:r>
            <w:r w:rsidR="00994E94" w:rsidRPr="00FA6F1C">
              <w:rPr>
                <w:rFonts w:ascii="Times New Roman" w:hAnsi="Times New Roman" w:cs="Times New Roman"/>
                <w:sz w:val="28"/>
                <w:szCs w:val="28"/>
              </w:rPr>
              <w:t xml:space="preserve"> </w:t>
            </w:r>
            <w:proofErr w:type="gramEnd"/>
            <w:r w:rsidR="00994E94" w:rsidRPr="00FA6F1C">
              <w:rPr>
                <w:rFonts w:ascii="Times New Roman" w:hAnsi="Times New Roman" w:cs="Times New Roman"/>
                <w:sz w:val="28"/>
                <w:szCs w:val="28"/>
              </w:rPr>
              <w:t>nepalielinot kopējo amata vietu skaitu.</w:t>
            </w:r>
          </w:p>
          <w:p w14:paraId="5EDF1EF7" w14:textId="23CD56B4" w:rsidR="000A0B88" w:rsidRPr="00FA6F1C" w:rsidRDefault="00D61A67" w:rsidP="00FA6F1C">
            <w:pPr>
              <w:shd w:val="clear" w:color="auto" w:fill="FFFFFF"/>
              <w:spacing w:after="0" w:line="240" w:lineRule="auto"/>
              <w:ind w:right="57"/>
              <w:jc w:val="both"/>
              <w:rPr>
                <w:rFonts w:ascii="Times New Roman" w:hAnsi="Times New Roman" w:cs="Times New Roman"/>
                <w:sz w:val="28"/>
                <w:szCs w:val="28"/>
              </w:rPr>
            </w:pPr>
            <w:r w:rsidRPr="00FA6F1C">
              <w:rPr>
                <w:rFonts w:ascii="Times New Roman" w:hAnsi="Times New Roman" w:cs="Times New Roman"/>
                <w:sz w:val="28"/>
                <w:szCs w:val="28"/>
              </w:rPr>
              <w:t>5.</w:t>
            </w:r>
            <w:r w:rsidR="0085451E" w:rsidRPr="00FA6F1C">
              <w:rPr>
                <w:rFonts w:ascii="Times New Roman" w:hAnsi="Times New Roman" w:cs="Times New Roman"/>
                <w:sz w:val="28"/>
                <w:szCs w:val="28"/>
              </w:rPr>
              <w:t>Jaunu institūciju izveide, esošu institūciju likvidācija vai reorga</w:t>
            </w:r>
            <w:r w:rsidR="0085451E" w:rsidRPr="00FA6F1C">
              <w:rPr>
                <w:rFonts w:ascii="Times New Roman" w:hAnsi="Times New Roman" w:cs="Times New Roman"/>
                <w:sz w:val="28"/>
                <w:szCs w:val="28"/>
              </w:rPr>
              <w:softHyphen/>
              <w:t>nizācija nav paredzēta.</w:t>
            </w:r>
          </w:p>
        </w:tc>
      </w:tr>
      <w:tr w:rsidR="00DA6C86" w:rsidRPr="00FA6F1C" w14:paraId="5EDF1EFD" w14:textId="77777777" w:rsidTr="001E69FC">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5EDF1EF9" w14:textId="3F9EA13A" w:rsidR="00DA6C86" w:rsidRPr="00FA6F1C" w:rsidRDefault="00DA6C86" w:rsidP="00FA6F1C">
            <w:pPr>
              <w:pStyle w:val="naisnod"/>
              <w:spacing w:before="0" w:beforeAutospacing="0" w:after="0" w:afterAutospacing="0"/>
              <w:ind w:left="57" w:right="57"/>
              <w:jc w:val="both"/>
              <w:rPr>
                <w:sz w:val="28"/>
                <w:szCs w:val="28"/>
              </w:rPr>
            </w:pPr>
            <w:r w:rsidRPr="00FA6F1C">
              <w:rPr>
                <w:sz w:val="28"/>
                <w:szCs w:val="28"/>
              </w:rPr>
              <w:lastRenderedPageBreak/>
              <w:t>3.</w:t>
            </w:r>
          </w:p>
        </w:tc>
        <w:tc>
          <w:tcPr>
            <w:tcW w:w="3615" w:type="dxa"/>
            <w:tcBorders>
              <w:top w:val="single" w:sz="4" w:space="0" w:color="auto"/>
              <w:left w:val="single" w:sz="4" w:space="0" w:color="auto"/>
              <w:bottom w:val="single" w:sz="4" w:space="0" w:color="auto"/>
              <w:right w:val="single" w:sz="4" w:space="0" w:color="auto"/>
            </w:tcBorders>
          </w:tcPr>
          <w:p w14:paraId="5EDF1EFA" w14:textId="77777777" w:rsidR="00DA6C86" w:rsidRPr="00FA6F1C" w:rsidRDefault="00DA6C86" w:rsidP="00FA6F1C">
            <w:pPr>
              <w:pStyle w:val="naisf"/>
              <w:spacing w:before="0" w:beforeAutospacing="0" w:after="0" w:afterAutospacing="0"/>
              <w:ind w:left="57" w:right="57"/>
              <w:rPr>
                <w:sz w:val="28"/>
                <w:szCs w:val="28"/>
              </w:rPr>
            </w:pPr>
            <w:r w:rsidRPr="00FA6F1C">
              <w:rPr>
                <w:sz w:val="28"/>
                <w:szCs w:val="28"/>
              </w:rPr>
              <w:t>Cita informācija</w:t>
            </w:r>
          </w:p>
        </w:tc>
        <w:tc>
          <w:tcPr>
            <w:tcW w:w="5466" w:type="dxa"/>
            <w:tcBorders>
              <w:top w:val="single" w:sz="4" w:space="0" w:color="auto"/>
              <w:left w:val="single" w:sz="4" w:space="0" w:color="auto"/>
              <w:bottom w:val="single" w:sz="4" w:space="0" w:color="auto"/>
              <w:right w:val="single" w:sz="4" w:space="0" w:color="auto"/>
            </w:tcBorders>
          </w:tcPr>
          <w:p w14:paraId="5EDF1EFC" w14:textId="51273B00" w:rsidR="00DA6C86" w:rsidRPr="00FA6F1C" w:rsidRDefault="00380812" w:rsidP="00FA6F1C">
            <w:pPr>
              <w:spacing w:after="0" w:line="240" w:lineRule="auto"/>
              <w:ind w:left="57" w:right="57"/>
              <w:jc w:val="both"/>
              <w:rPr>
                <w:rFonts w:ascii="Times New Roman" w:hAnsi="Times New Roman" w:cs="Times New Roman"/>
                <w:sz w:val="28"/>
                <w:szCs w:val="28"/>
              </w:rPr>
            </w:pPr>
            <w:r w:rsidRPr="00FA6F1C">
              <w:rPr>
                <w:rFonts w:ascii="Times New Roman" w:hAnsi="Times New Roman" w:cs="Times New Roman"/>
                <w:sz w:val="28"/>
                <w:szCs w:val="28"/>
              </w:rPr>
              <w:t>Nav</w:t>
            </w:r>
          </w:p>
        </w:tc>
      </w:tr>
    </w:tbl>
    <w:p w14:paraId="5EDF1EFE" w14:textId="77777777" w:rsidR="00380812" w:rsidRPr="00FA6F1C" w:rsidRDefault="00380812" w:rsidP="00FA6F1C">
      <w:pPr>
        <w:pStyle w:val="ListParagraph"/>
        <w:spacing w:after="0" w:line="240" w:lineRule="auto"/>
        <w:ind w:left="357"/>
        <w:jc w:val="both"/>
        <w:rPr>
          <w:rFonts w:ascii="Times New Roman" w:hAnsi="Times New Roman" w:cs="Times New Roman"/>
          <w:sz w:val="28"/>
          <w:szCs w:val="28"/>
        </w:rPr>
      </w:pPr>
    </w:p>
    <w:p w14:paraId="231DDDA7" w14:textId="77777777" w:rsidR="00236887" w:rsidRPr="00FA6F1C" w:rsidRDefault="00236887" w:rsidP="00FA6F1C">
      <w:pPr>
        <w:spacing w:after="0" w:line="240" w:lineRule="auto"/>
        <w:jc w:val="both"/>
        <w:rPr>
          <w:rFonts w:ascii="Times New Roman" w:hAnsi="Times New Roman" w:cs="Times New Roman"/>
          <w:sz w:val="28"/>
          <w:szCs w:val="28"/>
        </w:rPr>
      </w:pPr>
    </w:p>
    <w:p w14:paraId="2B5B2D77" w14:textId="77777777" w:rsidR="003A4318" w:rsidRPr="00FA6F1C" w:rsidRDefault="003A4318" w:rsidP="00FA6F1C">
      <w:pPr>
        <w:spacing w:after="0" w:line="240" w:lineRule="auto"/>
        <w:jc w:val="both"/>
        <w:rPr>
          <w:rFonts w:ascii="Times New Roman" w:hAnsi="Times New Roman" w:cs="Times New Roman"/>
          <w:sz w:val="28"/>
          <w:szCs w:val="28"/>
        </w:rPr>
      </w:pPr>
    </w:p>
    <w:p w14:paraId="7A43B81C" w14:textId="77777777" w:rsidR="00405E0D" w:rsidRDefault="00405E0D" w:rsidP="00FA6F1C">
      <w:pPr>
        <w:pStyle w:val="naisf"/>
        <w:rPr>
          <w:sz w:val="28"/>
          <w:szCs w:val="28"/>
        </w:rPr>
      </w:pPr>
    </w:p>
    <w:p w14:paraId="132F51EB" w14:textId="2E3E295C" w:rsidR="00236887" w:rsidRPr="00FA6F1C" w:rsidRDefault="003126A7" w:rsidP="00FA6F1C">
      <w:pPr>
        <w:pStyle w:val="naisf"/>
        <w:rPr>
          <w:sz w:val="28"/>
          <w:szCs w:val="28"/>
        </w:rPr>
      </w:pPr>
      <w:r w:rsidRPr="00FA6F1C">
        <w:rPr>
          <w:sz w:val="28"/>
          <w:szCs w:val="28"/>
        </w:rPr>
        <w:t>Labklājības</w:t>
      </w:r>
      <w:r w:rsidR="00236887" w:rsidRPr="00FA6F1C">
        <w:rPr>
          <w:sz w:val="28"/>
          <w:szCs w:val="28"/>
        </w:rPr>
        <w:t xml:space="preserve"> ministrs</w:t>
      </w:r>
      <w:r w:rsidR="00236887" w:rsidRPr="00FA6F1C">
        <w:rPr>
          <w:sz w:val="28"/>
          <w:szCs w:val="28"/>
        </w:rPr>
        <w:tab/>
      </w:r>
      <w:r w:rsidR="00236887" w:rsidRPr="00FA6F1C">
        <w:rPr>
          <w:sz w:val="28"/>
          <w:szCs w:val="28"/>
        </w:rPr>
        <w:tab/>
      </w:r>
      <w:r w:rsidR="00236887" w:rsidRPr="00FA6F1C">
        <w:rPr>
          <w:sz w:val="28"/>
          <w:szCs w:val="28"/>
        </w:rPr>
        <w:tab/>
      </w:r>
      <w:r w:rsidR="00236887" w:rsidRPr="00FA6F1C">
        <w:rPr>
          <w:sz w:val="28"/>
          <w:szCs w:val="28"/>
        </w:rPr>
        <w:tab/>
      </w:r>
      <w:r w:rsidR="00236887" w:rsidRPr="00FA6F1C">
        <w:rPr>
          <w:sz w:val="28"/>
          <w:szCs w:val="28"/>
        </w:rPr>
        <w:tab/>
      </w:r>
      <w:r w:rsidR="00236887" w:rsidRPr="00FA6F1C">
        <w:rPr>
          <w:sz w:val="28"/>
          <w:szCs w:val="28"/>
        </w:rPr>
        <w:tab/>
      </w:r>
      <w:r w:rsidR="00236887" w:rsidRPr="00FA6F1C">
        <w:rPr>
          <w:sz w:val="28"/>
          <w:szCs w:val="28"/>
        </w:rPr>
        <w:tab/>
      </w:r>
      <w:r w:rsidRPr="00FA6F1C">
        <w:rPr>
          <w:sz w:val="28"/>
          <w:szCs w:val="28"/>
        </w:rPr>
        <w:t>U.Augulis</w:t>
      </w:r>
    </w:p>
    <w:p w14:paraId="19665E12" w14:textId="77777777" w:rsidR="00236887" w:rsidRPr="00FA6F1C" w:rsidRDefault="00236887" w:rsidP="00FA6F1C">
      <w:pPr>
        <w:pStyle w:val="Header"/>
        <w:rPr>
          <w:rFonts w:ascii="Times New Roman" w:hAnsi="Times New Roman" w:cs="Times New Roman"/>
          <w:sz w:val="28"/>
          <w:szCs w:val="28"/>
        </w:rPr>
      </w:pPr>
    </w:p>
    <w:p w14:paraId="073386C6" w14:textId="77777777" w:rsidR="00236887" w:rsidRPr="00FA6F1C" w:rsidRDefault="00236887" w:rsidP="00FA6F1C">
      <w:pPr>
        <w:pStyle w:val="Header"/>
        <w:rPr>
          <w:rFonts w:ascii="Times New Roman" w:hAnsi="Times New Roman" w:cs="Times New Roman"/>
          <w:sz w:val="28"/>
          <w:szCs w:val="28"/>
        </w:rPr>
      </w:pPr>
    </w:p>
    <w:p w14:paraId="2DF1896E" w14:textId="77777777" w:rsidR="00BE2045" w:rsidRDefault="00BE2045" w:rsidP="00FA6F1C">
      <w:pPr>
        <w:pStyle w:val="Header"/>
        <w:rPr>
          <w:rFonts w:ascii="Times New Roman" w:hAnsi="Times New Roman" w:cs="Times New Roman"/>
          <w:sz w:val="28"/>
          <w:szCs w:val="28"/>
        </w:rPr>
      </w:pPr>
    </w:p>
    <w:p w14:paraId="2631FBB5" w14:textId="77777777" w:rsidR="00BE2045" w:rsidRDefault="00BE2045" w:rsidP="00FA6F1C">
      <w:pPr>
        <w:pStyle w:val="Header"/>
        <w:rPr>
          <w:rFonts w:ascii="Times New Roman" w:hAnsi="Times New Roman" w:cs="Times New Roman"/>
          <w:sz w:val="28"/>
          <w:szCs w:val="28"/>
        </w:rPr>
      </w:pPr>
    </w:p>
    <w:p w14:paraId="0CC24836" w14:textId="77777777" w:rsidR="00BE2045" w:rsidRDefault="00BE2045" w:rsidP="00FA6F1C">
      <w:pPr>
        <w:pStyle w:val="Header"/>
        <w:rPr>
          <w:rFonts w:ascii="Times New Roman" w:hAnsi="Times New Roman" w:cs="Times New Roman"/>
          <w:sz w:val="28"/>
          <w:szCs w:val="28"/>
        </w:rPr>
      </w:pPr>
    </w:p>
    <w:p w14:paraId="07D49321" w14:textId="77777777" w:rsidR="003C0EAC" w:rsidRDefault="003C0EAC" w:rsidP="00FA6F1C">
      <w:pPr>
        <w:pStyle w:val="Header"/>
        <w:rPr>
          <w:rFonts w:ascii="Times New Roman" w:hAnsi="Times New Roman" w:cs="Times New Roman"/>
          <w:sz w:val="28"/>
          <w:szCs w:val="28"/>
        </w:rPr>
      </w:pPr>
    </w:p>
    <w:p w14:paraId="011D04D4" w14:textId="77777777" w:rsidR="003C0EAC" w:rsidRDefault="003C0EAC" w:rsidP="00FA6F1C">
      <w:pPr>
        <w:pStyle w:val="Header"/>
        <w:rPr>
          <w:rFonts w:ascii="Times New Roman" w:hAnsi="Times New Roman" w:cs="Times New Roman"/>
          <w:sz w:val="28"/>
          <w:szCs w:val="28"/>
        </w:rPr>
      </w:pPr>
    </w:p>
    <w:p w14:paraId="3E2F267D" w14:textId="77777777" w:rsidR="003C0EAC" w:rsidRDefault="003C0EAC" w:rsidP="00FA6F1C">
      <w:pPr>
        <w:pStyle w:val="Header"/>
        <w:rPr>
          <w:rFonts w:ascii="Times New Roman" w:hAnsi="Times New Roman" w:cs="Times New Roman"/>
          <w:sz w:val="28"/>
          <w:szCs w:val="28"/>
        </w:rPr>
      </w:pPr>
    </w:p>
    <w:p w14:paraId="31E45251" w14:textId="77777777" w:rsidR="003C0EAC" w:rsidRDefault="003C0EAC" w:rsidP="00FA6F1C">
      <w:pPr>
        <w:pStyle w:val="Header"/>
        <w:rPr>
          <w:rFonts w:ascii="Times New Roman" w:hAnsi="Times New Roman" w:cs="Times New Roman"/>
          <w:sz w:val="28"/>
          <w:szCs w:val="28"/>
        </w:rPr>
      </w:pPr>
    </w:p>
    <w:p w14:paraId="1F36BD27" w14:textId="77777777" w:rsidR="003C0EAC" w:rsidRDefault="003C0EAC" w:rsidP="00FA6F1C">
      <w:pPr>
        <w:pStyle w:val="Header"/>
        <w:rPr>
          <w:rFonts w:ascii="Times New Roman" w:hAnsi="Times New Roman" w:cs="Times New Roman"/>
          <w:sz w:val="28"/>
          <w:szCs w:val="28"/>
        </w:rPr>
      </w:pPr>
    </w:p>
    <w:p w14:paraId="12033ED6" w14:textId="77777777" w:rsidR="003C0EAC" w:rsidRDefault="003C0EAC" w:rsidP="00FA6F1C">
      <w:pPr>
        <w:pStyle w:val="Header"/>
        <w:rPr>
          <w:rFonts w:ascii="Times New Roman" w:hAnsi="Times New Roman" w:cs="Times New Roman"/>
          <w:sz w:val="28"/>
          <w:szCs w:val="28"/>
        </w:rPr>
      </w:pPr>
    </w:p>
    <w:p w14:paraId="218E5E07" w14:textId="77777777" w:rsidR="003C0EAC" w:rsidRDefault="003C0EAC" w:rsidP="00FA6F1C">
      <w:pPr>
        <w:pStyle w:val="Header"/>
        <w:rPr>
          <w:rFonts w:ascii="Times New Roman" w:hAnsi="Times New Roman" w:cs="Times New Roman"/>
          <w:sz w:val="28"/>
          <w:szCs w:val="28"/>
        </w:rPr>
      </w:pPr>
    </w:p>
    <w:p w14:paraId="6DB9F48D" w14:textId="77777777" w:rsidR="003C0EAC" w:rsidRDefault="003C0EAC" w:rsidP="00FA6F1C">
      <w:pPr>
        <w:pStyle w:val="Header"/>
        <w:rPr>
          <w:rFonts w:ascii="Times New Roman" w:hAnsi="Times New Roman" w:cs="Times New Roman"/>
          <w:sz w:val="28"/>
          <w:szCs w:val="28"/>
        </w:rPr>
      </w:pPr>
    </w:p>
    <w:p w14:paraId="11E7C667" w14:textId="77777777" w:rsidR="003C0EAC" w:rsidRDefault="003C0EAC" w:rsidP="00FA6F1C">
      <w:pPr>
        <w:pStyle w:val="Header"/>
        <w:rPr>
          <w:rFonts w:ascii="Times New Roman" w:hAnsi="Times New Roman" w:cs="Times New Roman"/>
          <w:sz w:val="28"/>
          <w:szCs w:val="28"/>
        </w:rPr>
      </w:pPr>
    </w:p>
    <w:p w14:paraId="03B31698" w14:textId="77777777" w:rsidR="003C0EAC" w:rsidRDefault="003C0EAC" w:rsidP="00FA6F1C">
      <w:pPr>
        <w:pStyle w:val="Header"/>
        <w:rPr>
          <w:rFonts w:ascii="Times New Roman" w:hAnsi="Times New Roman" w:cs="Times New Roman"/>
          <w:sz w:val="28"/>
          <w:szCs w:val="28"/>
        </w:rPr>
      </w:pPr>
    </w:p>
    <w:p w14:paraId="514EDE78" w14:textId="77777777" w:rsidR="003C0EAC" w:rsidRDefault="003C0EAC" w:rsidP="00FA6F1C">
      <w:pPr>
        <w:pStyle w:val="Header"/>
        <w:rPr>
          <w:rFonts w:ascii="Times New Roman" w:hAnsi="Times New Roman" w:cs="Times New Roman"/>
          <w:sz w:val="28"/>
          <w:szCs w:val="28"/>
        </w:rPr>
      </w:pPr>
    </w:p>
    <w:p w14:paraId="4A8780DF" w14:textId="77777777" w:rsidR="00996EB1" w:rsidRDefault="00996EB1" w:rsidP="00996EB1">
      <w:pPr>
        <w:pStyle w:val="Header"/>
        <w:rPr>
          <w:rFonts w:ascii="Times New Roman" w:hAnsi="Times New Roman" w:cs="Times New Roman"/>
          <w:sz w:val="16"/>
          <w:szCs w:val="16"/>
        </w:rPr>
      </w:pPr>
      <w:r w:rsidRPr="00F365C2">
        <w:rPr>
          <w:rFonts w:ascii="Times New Roman" w:hAnsi="Times New Roman" w:cs="Times New Roman"/>
          <w:sz w:val="16"/>
          <w:szCs w:val="16"/>
        </w:rPr>
        <w:fldChar w:fldCharType="begin"/>
      </w:r>
      <w:r w:rsidRPr="00F365C2">
        <w:rPr>
          <w:rFonts w:ascii="Times New Roman" w:hAnsi="Times New Roman" w:cs="Times New Roman"/>
          <w:sz w:val="16"/>
          <w:szCs w:val="16"/>
        </w:rPr>
        <w:instrText xml:space="preserve"> TIME \@ "dd.MM.yyyy H:mm" </w:instrText>
      </w:r>
      <w:r w:rsidRPr="00F365C2">
        <w:rPr>
          <w:rFonts w:ascii="Times New Roman" w:hAnsi="Times New Roman" w:cs="Times New Roman"/>
          <w:sz w:val="16"/>
          <w:szCs w:val="16"/>
        </w:rPr>
        <w:fldChar w:fldCharType="separate"/>
      </w:r>
      <w:r w:rsidR="00FB3736">
        <w:rPr>
          <w:rFonts w:ascii="Times New Roman" w:hAnsi="Times New Roman" w:cs="Times New Roman"/>
          <w:noProof/>
          <w:sz w:val="16"/>
          <w:szCs w:val="16"/>
        </w:rPr>
        <w:t>29.08.2014 11:09</w:t>
      </w:r>
      <w:r w:rsidRPr="00F365C2">
        <w:rPr>
          <w:rFonts w:ascii="Times New Roman" w:hAnsi="Times New Roman" w:cs="Times New Roman"/>
          <w:sz w:val="16"/>
          <w:szCs w:val="16"/>
        </w:rPr>
        <w:fldChar w:fldCharType="end"/>
      </w:r>
    </w:p>
    <w:p w14:paraId="4B67DAE1" w14:textId="5C756FB5" w:rsidR="00996EB1" w:rsidRDefault="00996EB1" w:rsidP="00996EB1">
      <w:pPr>
        <w:pStyle w:val="Header"/>
        <w:rPr>
          <w:rFonts w:ascii="Times New Roman" w:hAnsi="Times New Roman" w:cs="Times New Roman"/>
          <w:sz w:val="16"/>
          <w:szCs w:val="16"/>
        </w:rPr>
      </w:pPr>
      <w:r>
        <w:rPr>
          <w:rFonts w:ascii="Times New Roman" w:hAnsi="Times New Roman" w:cs="Times New Roman"/>
          <w:sz w:val="16"/>
          <w:szCs w:val="16"/>
        </w:rPr>
        <w:t>41</w:t>
      </w:r>
      <w:r w:rsidR="009843DF">
        <w:rPr>
          <w:rFonts w:ascii="Times New Roman" w:hAnsi="Times New Roman" w:cs="Times New Roman"/>
          <w:sz w:val="16"/>
          <w:szCs w:val="16"/>
        </w:rPr>
        <w:t>92</w:t>
      </w:r>
    </w:p>
    <w:p w14:paraId="6A44CAD8" w14:textId="77777777" w:rsidR="00996EB1" w:rsidRDefault="00996EB1" w:rsidP="00996EB1">
      <w:pPr>
        <w:pStyle w:val="Header"/>
        <w:rPr>
          <w:rFonts w:ascii="Times New Roman" w:hAnsi="Times New Roman" w:cs="Times New Roman"/>
          <w:sz w:val="16"/>
          <w:szCs w:val="16"/>
        </w:rPr>
      </w:pPr>
      <w:r>
        <w:rPr>
          <w:rFonts w:ascii="Times New Roman" w:hAnsi="Times New Roman" w:cs="Times New Roman"/>
          <w:sz w:val="16"/>
          <w:szCs w:val="16"/>
        </w:rPr>
        <w:t>L.Grafa</w:t>
      </w:r>
    </w:p>
    <w:p w14:paraId="22507F79" w14:textId="2C5A1731" w:rsidR="00996EB1" w:rsidRDefault="00996EB1" w:rsidP="00996EB1">
      <w:pPr>
        <w:pStyle w:val="Header"/>
        <w:rPr>
          <w:rFonts w:ascii="Times New Roman" w:hAnsi="Times New Roman" w:cs="Times New Roman"/>
          <w:sz w:val="16"/>
          <w:szCs w:val="16"/>
        </w:rPr>
      </w:pPr>
      <w:r>
        <w:rPr>
          <w:rFonts w:ascii="Times New Roman" w:hAnsi="Times New Roman" w:cs="Times New Roman"/>
          <w:sz w:val="16"/>
          <w:szCs w:val="16"/>
        </w:rPr>
        <w:t>Tālr.67021679,</w:t>
      </w:r>
    </w:p>
    <w:p w14:paraId="6C26A9E4" w14:textId="1574CA3A" w:rsidR="00996EB1" w:rsidRPr="00F365C2" w:rsidRDefault="00996EB1" w:rsidP="00996EB1">
      <w:pPr>
        <w:pStyle w:val="Header"/>
        <w:rPr>
          <w:rFonts w:ascii="Times New Roman" w:hAnsi="Times New Roman" w:cs="Times New Roman"/>
          <w:sz w:val="16"/>
          <w:szCs w:val="16"/>
        </w:rPr>
      </w:pPr>
      <w:r>
        <w:rPr>
          <w:rFonts w:ascii="Times New Roman" w:hAnsi="Times New Roman" w:cs="Times New Roman"/>
          <w:sz w:val="16"/>
          <w:szCs w:val="16"/>
        </w:rPr>
        <w:t>e-pasts lauma.grafa@lm.gov.lv</w:t>
      </w:r>
    </w:p>
    <w:sectPr w:rsidR="00996EB1" w:rsidRPr="00F365C2" w:rsidSect="00D62BB4">
      <w:headerReference w:type="even" r:id="rId9"/>
      <w:headerReference w:type="default" r:id="rId10"/>
      <w:footerReference w:type="even" r:id="rId11"/>
      <w:footerReference w:type="default" r:id="rId12"/>
      <w:headerReference w:type="first" r:id="rId13"/>
      <w:footerReference w:type="first" r:id="rId14"/>
      <w:pgSz w:w="11906" w:h="16838" w:code="9"/>
      <w:pgMar w:top="1134" w:right="1701"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6B778" w14:textId="77777777" w:rsidR="00626CEC" w:rsidRDefault="00626CEC" w:rsidP="004369B2">
      <w:pPr>
        <w:spacing w:after="0" w:line="240" w:lineRule="auto"/>
      </w:pPr>
      <w:r>
        <w:separator/>
      </w:r>
    </w:p>
  </w:endnote>
  <w:endnote w:type="continuationSeparator" w:id="0">
    <w:p w14:paraId="773345FE" w14:textId="77777777" w:rsidR="00626CEC" w:rsidRDefault="00626CEC" w:rsidP="0043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8FEA8" w14:textId="42AAA612" w:rsidR="001543FF" w:rsidRPr="00171D36" w:rsidRDefault="001543FF" w:rsidP="00171D36">
    <w:pPr>
      <w:spacing w:after="0" w:line="240" w:lineRule="auto"/>
      <w:jc w:val="both"/>
      <w:rPr>
        <w:rFonts w:ascii="Times New Roman" w:eastAsia="Times New Roman" w:hAnsi="Times New Roman" w:cs="Times New Roman"/>
        <w:sz w:val="18"/>
        <w:szCs w:val="20"/>
      </w:rPr>
    </w:pPr>
    <w:r>
      <w:rPr>
        <w:rFonts w:ascii="Times New Roman" w:hAnsi="Times New Roman" w:cs="Times New Roman"/>
        <w:sz w:val="18"/>
        <w:szCs w:val="20"/>
      </w:rPr>
      <w:t>LMAnot_280814_EAFVP;</w:t>
    </w:r>
    <w:r w:rsidRPr="00236887">
      <w:rPr>
        <w:rFonts w:ascii="Times New Roman" w:hAnsi="Times New Roman" w:cs="Times New Roman"/>
        <w:sz w:val="20"/>
        <w:szCs w:val="24"/>
      </w:rPr>
      <w:t>Likumprojekt</w:t>
    </w:r>
    <w:r>
      <w:rPr>
        <w:rFonts w:ascii="Times New Roman" w:hAnsi="Times New Roman" w:cs="Times New Roman"/>
        <w:sz w:val="20"/>
        <w:szCs w:val="24"/>
      </w:rPr>
      <w:t>a</w:t>
    </w:r>
    <w:r w:rsidRPr="00236887">
      <w:rPr>
        <w:rFonts w:ascii="Times New Roman" w:hAnsi="Times New Roman" w:cs="Times New Roman"/>
        <w:sz w:val="20"/>
        <w:szCs w:val="24"/>
      </w:rPr>
      <w:t xml:space="preserve"> „Eiropas </w:t>
    </w:r>
    <w:r>
      <w:rPr>
        <w:rFonts w:ascii="Times New Roman" w:hAnsi="Times New Roman" w:cs="Times New Roman"/>
        <w:sz w:val="20"/>
        <w:szCs w:val="24"/>
      </w:rPr>
      <w:t>Atbalsta fonda vistrūcīgākajām personām</w:t>
    </w:r>
    <w:r w:rsidRPr="00236887">
      <w:rPr>
        <w:rFonts w:ascii="Times New Roman" w:hAnsi="Times New Roman" w:cs="Times New Roman"/>
        <w:sz w:val="20"/>
        <w:szCs w:val="24"/>
      </w:rPr>
      <w:t xml:space="preserve"> </w:t>
    </w:r>
    <w:r>
      <w:rPr>
        <w:rFonts w:ascii="Times New Roman" w:hAnsi="Times New Roman" w:cs="Times New Roman"/>
        <w:sz w:val="20"/>
        <w:szCs w:val="24"/>
      </w:rPr>
      <w:t>2</w:t>
    </w:r>
    <w:r w:rsidRPr="00236887">
      <w:rPr>
        <w:rFonts w:ascii="Times New Roman" w:hAnsi="Times New Roman" w:cs="Times New Roman"/>
        <w:sz w:val="20"/>
        <w:szCs w:val="24"/>
      </w:rPr>
      <w:t>014.-2020.gada plānošanas perioda vadības likums”</w:t>
    </w:r>
    <w:r>
      <w:rPr>
        <w:rFonts w:ascii="Times New Roman" w:hAnsi="Times New Roman" w:cs="Times New Roman"/>
        <w:sz w:val="20"/>
        <w:szCs w:val="24"/>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748C7" w14:textId="04EB67B4" w:rsidR="001543FF" w:rsidRPr="00D62BB4" w:rsidRDefault="001543FF" w:rsidP="00236887">
    <w:pPr>
      <w:pStyle w:val="Footer"/>
      <w:rPr>
        <w:sz w:val="16"/>
        <w:szCs w:val="16"/>
      </w:rPr>
    </w:pPr>
    <w:r w:rsidRPr="00D62BB4">
      <w:rPr>
        <w:rFonts w:ascii="Times New Roman" w:hAnsi="Times New Roman" w:cs="Times New Roman"/>
        <w:sz w:val="16"/>
        <w:szCs w:val="16"/>
      </w:rPr>
      <w:t>LMAnot_2</w:t>
    </w:r>
    <w:r w:rsidR="009843DF">
      <w:rPr>
        <w:rFonts w:ascii="Times New Roman" w:hAnsi="Times New Roman" w:cs="Times New Roman"/>
        <w:sz w:val="16"/>
        <w:szCs w:val="16"/>
      </w:rPr>
      <w:t>8</w:t>
    </w:r>
    <w:r w:rsidRPr="00D62BB4">
      <w:rPr>
        <w:rFonts w:ascii="Times New Roman" w:hAnsi="Times New Roman" w:cs="Times New Roman"/>
        <w:sz w:val="16"/>
        <w:szCs w:val="16"/>
      </w:rPr>
      <w:t>0814_EAFVP; Likumprojekta „Eiropas Atbalsta fonda vistrūcīgākajām personām 2014.-2020.gada plānošanas perioda vadības likums”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F1F2D" w14:textId="7DA40092" w:rsidR="001543FF" w:rsidRPr="00171D36" w:rsidRDefault="001543FF" w:rsidP="00CA6915">
    <w:pPr>
      <w:spacing w:after="0" w:line="240" w:lineRule="auto"/>
      <w:jc w:val="both"/>
      <w:rPr>
        <w:rFonts w:ascii="Times New Roman" w:eastAsia="Times New Roman" w:hAnsi="Times New Roman" w:cs="Times New Roman"/>
        <w:sz w:val="18"/>
        <w:szCs w:val="20"/>
      </w:rPr>
    </w:pPr>
    <w:r>
      <w:rPr>
        <w:rFonts w:ascii="Times New Roman" w:hAnsi="Times New Roman" w:cs="Times New Roman"/>
        <w:sz w:val="18"/>
        <w:szCs w:val="20"/>
      </w:rPr>
      <w:t>LMAnot_040814_EAFVP;L</w:t>
    </w:r>
    <w:r w:rsidRPr="00236887">
      <w:rPr>
        <w:rFonts w:ascii="Times New Roman" w:hAnsi="Times New Roman" w:cs="Times New Roman"/>
        <w:sz w:val="20"/>
        <w:szCs w:val="24"/>
      </w:rPr>
      <w:t>ikumpr</w:t>
    </w:r>
    <w:r>
      <w:rPr>
        <w:rFonts w:ascii="Times New Roman" w:hAnsi="Times New Roman" w:cs="Times New Roman"/>
        <w:sz w:val="20"/>
        <w:szCs w:val="24"/>
      </w:rPr>
      <w:t>ojekta</w:t>
    </w:r>
    <w:r w:rsidRPr="00236887">
      <w:rPr>
        <w:rFonts w:ascii="Times New Roman" w:hAnsi="Times New Roman" w:cs="Times New Roman"/>
        <w:sz w:val="20"/>
        <w:szCs w:val="24"/>
      </w:rPr>
      <w:t xml:space="preserve">„Eiropas </w:t>
    </w:r>
    <w:r>
      <w:rPr>
        <w:rFonts w:ascii="Times New Roman" w:hAnsi="Times New Roman" w:cs="Times New Roman"/>
        <w:sz w:val="20"/>
        <w:szCs w:val="24"/>
      </w:rPr>
      <w:t xml:space="preserve">Atbalsta fonda vistrūcīgākajām personām </w:t>
    </w:r>
    <w:r w:rsidRPr="00236887">
      <w:rPr>
        <w:rFonts w:ascii="Times New Roman" w:hAnsi="Times New Roman" w:cs="Times New Roman"/>
        <w:sz w:val="20"/>
        <w:szCs w:val="24"/>
      </w:rPr>
      <w:t>2014.-2020.gada plānošanas perioda vadības likums”</w:t>
    </w:r>
    <w:r>
      <w:rPr>
        <w:rFonts w:ascii="Times New Roman" w:hAnsi="Times New Roman" w:cs="Times New Roman"/>
        <w:sz w:val="20"/>
        <w:szCs w:val="24"/>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C31A9" w14:textId="77777777" w:rsidR="00626CEC" w:rsidRDefault="00626CEC" w:rsidP="004369B2">
      <w:pPr>
        <w:spacing w:after="0" w:line="240" w:lineRule="auto"/>
      </w:pPr>
      <w:r>
        <w:separator/>
      </w:r>
    </w:p>
  </w:footnote>
  <w:footnote w:type="continuationSeparator" w:id="0">
    <w:p w14:paraId="18DA2621" w14:textId="77777777" w:rsidR="00626CEC" w:rsidRDefault="00626CEC" w:rsidP="00436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07743919"/>
      <w:docPartObj>
        <w:docPartGallery w:val="Page Numbers (Top of Page)"/>
        <w:docPartUnique/>
      </w:docPartObj>
    </w:sdtPr>
    <w:sdtEndPr>
      <w:rPr>
        <w:noProof/>
        <w:sz w:val="24"/>
      </w:rPr>
    </w:sdtEndPr>
    <w:sdtContent>
      <w:p w14:paraId="33F753CF" w14:textId="4DC67F5E" w:rsidR="001543FF" w:rsidRPr="00171D36" w:rsidRDefault="001543FF">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FB3736">
          <w:rPr>
            <w:rFonts w:ascii="Times New Roman" w:hAnsi="Times New Roman" w:cs="Times New Roman"/>
            <w:noProof/>
            <w:sz w:val="24"/>
          </w:rPr>
          <w:t>20</w:t>
        </w:r>
        <w:r w:rsidRPr="00171D36">
          <w:rPr>
            <w:rFonts w:ascii="Times New Roman" w:hAnsi="Times New Roman" w:cs="Times New Roman"/>
            <w:noProof/>
            <w:sz w:val="24"/>
          </w:rPr>
          <w:fldChar w:fldCharType="end"/>
        </w:r>
      </w:p>
    </w:sdtContent>
  </w:sdt>
  <w:p w14:paraId="5EDF1F2A" w14:textId="77777777" w:rsidR="001543FF" w:rsidRDefault="001543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052230"/>
      <w:docPartObj>
        <w:docPartGallery w:val="Page Numbers (Top of Page)"/>
        <w:docPartUnique/>
      </w:docPartObj>
    </w:sdtPr>
    <w:sdtEndPr>
      <w:rPr>
        <w:rFonts w:ascii="Times New Roman" w:hAnsi="Times New Roman" w:cs="Times New Roman"/>
        <w:noProof/>
        <w:sz w:val="24"/>
      </w:rPr>
    </w:sdtEndPr>
    <w:sdtContent>
      <w:p w14:paraId="60E6A5E9" w14:textId="0E3D1C66" w:rsidR="001543FF" w:rsidRPr="00171D36" w:rsidRDefault="001543FF">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FB3736">
          <w:rPr>
            <w:rFonts w:ascii="Times New Roman" w:hAnsi="Times New Roman" w:cs="Times New Roman"/>
            <w:noProof/>
            <w:sz w:val="24"/>
          </w:rPr>
          <w:t>1</w:t>
        </w:r>
        <w:r w:rsidRPr="00171D36">
          <w:rPr>
            <w:rFonts w:ascii="Times New Roman" w:hAnsi="Times New Roman" w:cs="Times New Roman"/>
            <w:noProof/>
            <w:sz w:val="24"/>
          </w:rPr>
          <w:fldChar w:fldCharType="end"/>
        </w:r>
      </w:p>
    </w:sdtContent>
  </w:sdt>
  <w:p w14:paraId="0D2BB5B5" w14:textId="77777777" w:rsidR="001543FF" w:rsidRDefault="001543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9F7FC" w14:textId="60FCEB25" w:rsidR="001543FF" w:rsidRDefault="001543FF" w:rsidP="00171D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C5F"/>
    <w:multiLevelType w:val="hybridMultilevel"/>
    <w:tmpl w:val="5408115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C1B64BB"/>
    <w:multiLevelType w:val="hybridMultilevel"/>
    <w:tmpl w:val="52A01C2E"/>
    <w:lvl w:ilvl="0" w:tplc="9726F33A">
      <w:start w:val="1"/>
      <w:numFmt w:val="decimal"/>
      <w:lvlText w:val="%1)"/>
      <w:lvlJc w:val="left"/>
      <w:pPr>
        <w:ind w:left="795" w:hanging="360"/>
      </w:pPr>
      <w:rPr>
        <w:rFonts w:ascii="Times New Roman" w:eastAsia="Times New Roman" w:hAnsi="Times New Roman" w:cs="Times New Roman"/>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2A"/>
    <w:rsid w:val="00001C19"/>
    <w:rsid w:val="00001C58"/>
    <w:rsid w:val="00002AC4"/>
    <w:rsid w:val="00003F2D"/>
    <w:rsid w:val="000044FD"/>
    <w:rsid w:val="000066F2"/>
    <w:rsid w:val="00007445"/>
    <w:rsid w:val="00010373"/>
    <w:rsid w:val="00011A47"/>
    <w:rsid w:val="00012F4F"/>
    <w:rsid w:val="000136A3"/>
    <w:rsid w:val="00013770"/>
    <w:rsid w:val="000137AE"/>
    <w:rsid w:val="00013DA3"/>
    <w:rsid w:val="00017269"/>
    <w:rsid w:val="0002742F"/>
    <w:rsid w:val="000277B3"/>
    <w:rsid w:val="00032F96"/>
    <w:rsid w:val="00034F6A"/>
    <w:rsid w:val="00035F18"/>
    <w:rsid w:val="000406B7"/>
    <w:rsid w:val="000420F8"/>
    <w:rsid w:val="00042280"/>
    <w:rsid w:val="00047C66"/>
    <w:rsid w:val="00050722"/>
    <w:rsid w:val="0005381E"/>
    <w:rsid w:val="00053C57"/>
    <w:rsid w:val="00056305"/>
    <w:rsid w:val="00060773"/>
    <w:rsid w:val="000612C8"/>
    <w:rsid w:val="000627FE"/>
    <w:rsid w:val="00062FE4"/>
    <w:rsid w:val="000646FD"/>
    <w:rsid w:val="0006638A"/>
    <w:rsid w:val="0006742F"/>
    <w:rsid w:val="00067F85"/>
    <w:rsid w:val="00071243"/>
    <w:rsid w:val="00071906"/>
    <w:rsid w:val="00072A6D"/>
    <w:rsid w:val="00077BC4"/>
    <w:rsid w:val="000806D0"/>
    <w:rsid w:val="00081CF9"/>
    <w:rsid w:val="00085930"/>
    <w:rsid w:val="00085D9E"/>
    <w:rsid w:val="00087A1E"/>
    <w:rsid w:val="00090102"/>
    <w:rsid w:val="00096879"/>
    <w:rsid w:val="000A0B88"/>
    <w:rsid w:val="000A150F"/>
    <w:rsid w:val="000A193A"/>
    <w:rsid w:val="000A299C"/>
    <w:rsid w:val="000A3A53"/>
    <w:rsid w:val="000A6B02"/>
    <w:rsid w:val="000A6BCF"/>
    <w:rsid w:val="000A76F1"/>
    <w:rsid w:val="000B4C63"/>
    <w:rsid w:val="000B5D84"/>
    <w:rsid w:val="000B6416"/>
    <w:rsid w:val="000B6F71"/>
    <w:rsid w:val="000C0E98"/>
    <w:rsid w:val="000C3185"/>
    <w:rsid w:val="000C44DE"/>
    <w:rsid w:val="000C674A"/>
    <w:rsid w:val="000C7217"/>
    <w:rsid w:val="000D1A7F"/>
    <w:rsid w:val="000D2783"/>
    <w:rsid w:val="000F42B8"/>
    <w:rsid w:val="000F4448"/>
    <w:rsid w:val="000F56D3"/>
    <w:rsid w:val="000F5B89"/>
    <w:rsid w:val="00102686"/>
    <w:rsid w:val="001028F2"/>
    <w:rsid w:val="00106A9B"/>
    <w:rsid w:val="00106E13"/>
    <w:rsid w:val="00107BB6"/>
    <w:rsid w:val="00112CEE"/>
    <w:rsid w:val="00116E35"/>
    <w:rsid w:val="00117C3F"/>
    <w:rsid w:val="0012183D"/>
    <w:rsid w:val="00125C58"/>
    <w:rsid w:val="00125F0B"/>
    <w:rsid w:val="00126271"/>
    <w:rsid w:val="0012659F"/>
    <w:rsid w:val="00127DB5"/>
    <w:rsid w:val="0013023A"/>
    <w:rsid w:val="0013214D"/>
    <w:rsid w:val="00133320"/>
    <w:rsid w:val="00133F76"/>
    <w:rsid w:val="001343C0"/>
    <w:rsid w:val="001377EA"/>
    <w:rsid w:val="00142897"/>
    <w:rsid w:val="0014325E"/>
    <w:rsid w:val="0014439A"/>
    <w:rsid w:val="0014724B"/>
    <w:rsid w:val="00151EA6"/>
    <w:rsid w:val="001522FF"/>
    <w:rsid w:val="001543FF"/>
    <w:rsid w:val="00156205"/>
    <w:rsid w:val="00163A60"/>
    <w:rsid w:val="0016546C"/>
    <w:rsid w:val="00166EA2"/>
    <w:rsid w:val="00170721"/>
    <w:rsid w:val="001719E3"/>
    <w:rsid w:val="00171D17"/>
    <w:rsid w:val="00171D36"/>
    <w:rsid w:val="001730E1"/>
    <w:rsid w:val="00174AC6"/>
    <w:rsid w:val="00175420"/>
    <w:rsid w:val="00176CB2"/>
    <w:rsid w:val="00180603"/>
    <w:rsid w:val="0018190E"/>
    <w:rsid w:val="0018354B"/>
    <w:rsid w:val="00184133"/>
    <w:rsid w:val="001846D8"/>
    <w:rsid w:val="00190751"/>
    <w:rsid w:val="001950A4"/>
    <w:rsid w:val="001A035F"/>
    <w:rsid w:val="001A27B2"/>
    <w:rsid w:val="001A30FE"/>
    <w:rsid w:val="001A3439"/>
    <w:rsid w:val="001A68E1"/>
    <w:rsid w:val="001A6A7F"/>
    <w:rsid w:val="001A7231"/>
    <w:rsid w:val="001A7D41"/>
    <w:rsid w:val="001B1210"/>
    <w:rsid w:val="001B2D57"/>
    <w:rsid w:val="001B42C1"/>
    <w:rsid w:val="001B59EF"/>
    <w:rsid w:val="001B7DED"/>
    <w:rsid w:val="001C144E"/>
    <w:rsid w:val="001D0E62"/>
    <w:rsid w:val="001E3DE9"/>
    <w:rsid w:val="001E4F58"/>
    <w:rsid w:val="001E69FC"/>
    <w:rsid w:val="001F004D"/>
    <w:rsid w:val="001F0072"/>
    <w:rsid w:val="001F0DC2"/>
    <w:rsid w:val="001F4356"/>
    <w:rsid w:val="001F6940"/>
    <w:rsid w:val="0020233E"/>
    <w:rsid w:val="002030E5"/>
    <w:rsid w:val="00203193"/>
    <w:rsid w:val="00203BDB"/>
    <w:rsid w:val="00205DB2"/>
    <w:rsid w:val="00205F39"/>
    <w:rsid w:val="00206258"/>
    <w:rsid w:val="002121D7"/>
    <w:rsid w:val="002130ED"/>
    <w:rsid w:val="00213A02"/>
    <w:rsid w:val="002166BB"/>
    <w:rsid w:val="002222DE"/>
    <w:rsid w:val="00223CCD"/>
    <w:rsid w:val="002301B4"/>
    <w:rsid w:val="0023149A"/>
    <w:rsid w:val="00231A88"/>
    <w:rsid w:val="00232B4D"/>
    <w:rsid w:val="00232EA5"/>
    <w:rsid w:val="0023307F"/>
    <w:rsid w:val="00233CDB"/>
    <w:rsid w:val="002342E8"/>
    <w:rsid w:val="00234A68"/>
    <w:rsid w:val="00235345"/>
    <w:rsid w:val="00236887"/>
    <w:rsid w:val="00240818"/>
    <w:rsid w:val="00242266"/>
    <w:rsid w:val="002441D0"/>
    <w:rsid w:val="00245894"/>
    <w:rsid w:val="00247EBD"/>
    <w:rsid w:val="00250602"/>
    <w:rsid w:val="00255C89"/>
    <w:rsid w:val="002560F4"/>
    <w:rsid w:val="00260B65"/>
    <w:rsid w:val="00261AF2"/>
    <w:rsid w:val="0026678C"/>
    <w:rsid w:val="00272C49"/>
    <w:rsid w:val="002731B1"/>
    <w:rsid w:val="0027384E"/>
    <w:rsid w:val="00274308"/>
    <w:rsid w:val="00276EAD"/>
    <w:rsid w:val="00277B1F"/>
    <w:rsid w:val="00280188"/>
    <w:rsid w:val="0028065B"/>
    <w:rsid w:val="00280696"/>
    <w:rsid w:val="00283435"/>
    <w:rsid w:val="00283A81"/>
    <w:rsid w:val="0028467D"/>
    <w:rsid w:val="00284D83"/>
    <w:rsid w:val="00285418"/>
    <w:rsid w:val="002909AD"/>
    <w:rsid w:val="00290C6A"/>
    <w:rsid w:val="00291533"/>
    <w:rsid w:val="00292140"/>
    <w:rsid w:val="00296224"/>
    <w:rsid w:val="002962D7"/>
    <w:rsid w:val="0029664A"/>
    <w:rsid w:val="002A176B"/>
    <w:rsid w:val="002A470E"/>
    <w:rsid w:val="002A54DD"/>
    <w:rsid w:val="002B2580"/>
    <w:rsid w:val="002B2D5E"/>
    <w:rsid w:val="002B3F0F"/>
    <w:rsid w:val="002B40A6"/>
    <w:rsid w:val="002B525A"/>
    <w:rsid w:val="002B6227"/>
    <w:rsid w:val="002C10EA"/>
    <w:rsid w:val="002C21ED"/>
    <w:rsid w:val="002C3769"/>
    <w:rsid w:val="002C5BB1"/>
    <w:rsid w:val="002C622B"/>
    <w:rsid w:val="002C6B0B"/>
    <w:rsid w:val="002D1DBA"/>
    <w:rsid w:val="002D36D4"/>
    <w:rsid w:val="002D3A9E"/>
    <w:rsid w:val="002D3E6B"/>
    <w:rsid w:val="002D58D0"/>
    <w:rsid w:val="002D6C9C"/>
    <w:rsid w:val="002E1C28"/>
    <w:rsid w:val="002E1DFC"/>
    <w:rsid w:val="002E7C6A"/>
    <w:rsid w:val="002F0510"/>
    <w:rsid w:val="002F29D1"/>
    <w:rsid w:val="002F700B"/>
    <w:rsid w:val="003033B2"/>
    <w:rsid w:val="00304067"/>
    <w:rsid w:val="00304AE2"/>
    <w:rsid w:val="0030568B"/>
    <w:rsid w:val="00305E8A"/>
    <w:rsid w:val="0031152D"/>
    <w:rsid w:val="00311AFF"/>
    <w:rsid w:val="003126A7"/>
    <w:rsid w:val="00315644"/>
    <w:rsid w:val="00320ED9"/>
    <w:rsid w:val="0032258D"/>
    <w:rsid w:val="003231A3"/>
    <w:rsid w:val="00325324"/>
    <w:rsid w:val="00325B01"/>
    <w:rsid w:val="0032630C"/>
    <w:rsid w:val="0032763C"/>
    <w:rsid w:val="00333A9B"/>
    <w:rsid w:val="00337926"/>
    <w:rsid w:val="003425BD"/>
    <w:rsid w:val="00342F9E"/>
    <w:rsid w:val="00343428"/>
    <w:rsid w:val="00346D6A"/>
    <w:rsid w:val="00350FF1"/>
    <w:rsid w:val="00352DF3"/>
    <w:rsid w:val="00353520"/>
    <w:rsid w:val="0035624D"/>
    <w:rsid w:val="00360FAE"/>
    <w:rsid w:val="00364DA3"/>
    <w:rsid w:val="003654AA"/>
    <w:rsid w:val="003714C5"/>
    <w:rsid w:val="003722FD"/>
    <w:rsid w:val="003744BC"/>
    <w:rsid w:val="00375B76"/>
    <w:rsid w:val="00380812"/>
    <w:rsid w:val="003855FF"/>
    <w:rsid w:val="00386316"/>
    <w:rsid w:val="00386C37"/>
    <w:rsid w:val="00387608"/>
    <w:rsid w:val="00393CFF"/>
    <w:rsid w:val="0039446F"/>
    <w:rsid w:val="003A1256"/>
    <w:rsid w:val="003A1663"/>
    <w:rsid w:val="003A27AF"/>
    <w:rsid w:val="003A2B56"/>
    <w:rsid w:val="003A4318"/>
    <w:rsid w:val="003A44CF"/>
    <w:rsid w:val="003B1968"/>
    <w:rsid w:val="003B7608"/>
    <w:rsid w:val="003C04B5"/>
    <w:rsid w:val="003C0EAC"/>
    <w:rsid w:val="003C2DA4"/>
    <w:rsid w:val="003C3971"/>
    <w:rsid w:val="003D38D2"/>
    <w:rsid w:val="003D664D"/>
    <w:rsid w:val="003D7C54"/>
    <w:rsid w:val="003E1193"/>
    <w:rsid w:val="003F0717"/>
    <w:rsid w:val="003F5099"/>
    <w:rsid w:val="003F5713"/>
    <w:rsid w:val="0040070B"/>
    <w:rsid w:val="00405BC6"/>
    <w:rsid w:val="00405E0D"/>
    <w:rsid w:val="00411AD2"/>
    <w:rsid w:val="004159BF"/>
    <w:rsid w:val="00415F33"/>
    <w:rsid w:val="00422153"/>
    <w:rsid w:val="00422888"/>
    <w:rsid w:val="004229F8"/>
    <w:rsid w:val="004246AB"/>
    <w:rsid w:val="0042648E"/>
    <w:rsid w:val="00427F59"/>
    <w:rsid w:val="004317B5"/>
    <w:rsid w:val="0043316C"/>
    <w:rsid w:val="0043659B"/>
    <w:rsid w:val="004369B2"/>
    <w:rsid w:val="0044167E"/>
    <w:rsid w:val="00441994"/>
    <w:rsid w:val="00443166"/>
    <w:rsid w:val="004431BD"/>
    <w:rsid w:val="00444F92"/>
    <w:rsid w:val="00445B7A"/>
    <w:rsid w:val="00445C0F"/>
    <w:rsid w:val="0044749C"/>
    <w:rsid w:val="00451756"/>
    <w:rsid w:val="004538B3"/>
    <w:rsid w:val="004544D2"/>
    <w:rsid w:val="00454F7A"/>
    <w:rsid w:val="00455CAE"/>
    <w:rsid w:val="0046012D"/>
    <w:rsid w:val="00474EEF"/>
    <w:rsid w:val="0047700D"/>
    <w:rsid w:val="004822D6"/>
    <w:rsid w:val="00485D16"/>
    <w:rsid w:val="00486E31"/>
    <w:rsid w:val="00487A04"/>
    <w:rsid w:val="00487D25"/>
    <w:rsid w:val="004900D0"/>
    <w:rsid w:val="00492774"/>
    <w:rsid w:val="0049352B"/>
    <w:rsid w:val="00493A49"/>
    <w:rsid w:val="00496306"/>
    <w:rsid w:val="004A0FA2"/>
    <w:rsid w:val="004A30A9"/>
    <w:rsid w:val="004A44F1"/>
    <w:rsid w:val="004A5864"/>
    <w:rsid w:val="004A72D7"/>
    <w:rsid w:val="004A758F"/>
    <w:rsid w:val="004A7835"/>
    <w:rsid w:val="004B056A"/>
    <w:rsid w:val="004B06D2"/>
    <w:rsid w:val="004B247B"/>
    <w:rsid w:val="004B263A"/>
    <w:rsid w:val="004B4D57"/>
    <w:rsid w:val="004B67DC"/>
    <w:rsid w:val="004C187A"/>
    <w:rsid w:val="004C67B2"/>
    <w:rsid w:val="004D1374"/>
    <w:rsid w:val="004D1B67"/>
    <w:rsid w:val="004D3842"/>
    <w:rsid w:val="004D394D"/>
    <w:rsid w:val="004D6D5B"/>
    <w:rsid w:val="004E11DB"/>
    <w:rsid w:val="004F12C2"/>
    <w:rsid w:val="004F1E88"/>
    <w:rsid w:val="004F1F14"/>
    <w:rsid w:val="004F2C94"/>
    <w:rsid w:val="004F527E"/>
    <w:rsid w:val="004F6353"/>
    <w:rsid w:val="00500402"/>
    <w:rsid w:val="00502937"/>
    <w:rsid w:val="00503049"/>
    <w:rsid w:val="00504770"/>
    <w:rsid w:val="0050499F"/>
    <w:rsid w:val="0051032B"/>
    <w:rsid w:val="00510E7D"/>
    <w:rsid w:val="005119D6"/>
    <w:rsid w:val="005126EC"/>
    <w:rsid w:val="00512934"/>
    <w:rsid w:val="00517601"/>
    <w:rsid w:val="00524E56"/>
    <w:rsid w:val="00525379"/>
    <w:rsid w:val="005258CC"/>
    <w:rsid w:val="005259C6"/>
    <w:rsid w:val="00527ABD"/>
    <w:rsid w:val="005307DD"/>
    <w:rsid w:val="0053272A"/>
    <w:rsid w:val="005365C4"/>
    <w:rsid w:val="00541141"/>
    <w:rsid w:val="00541CC6"/>
    <w:rsid w:val="00542124"/>
    <w:rsid w:val="0054344C"/>
    <w:rsid w:val="00543ADE"/>
    <w:rsid w:val="00545FF6"/>
    <w:rsid w:val="00546129"/>
    <w:rsid w:val="00550879"/>
    <w:rsid w:val="00553240"/>
    <w:rsid w:val="005546D3"/>
    <w:rsid w:val="005561E6"/>
    <w:rsid w:val="005602B1"/>
    <w:rsid w:val="00560C94"/>
    <w:rsid w:val="0056254F"/>
    <w:rsid w:val="005633BF"/>
    <w:rsid w:val="00564E8C"/>
    <w:rsid w:val="00566531"/>
    <w:rsid w:val="00567F6F"/>
    <w:rsid w:val="00570527"/>
    <w:rsid w:val="00571775"/>
    <w:rsid w:val="005801C2"/>
    <w:rsid w:val="005840B6"/>
    <w:rsid w:val="00584507"/>
    <w:rsid w:val="00585200"/>
    <w:rsid w:val="00585B64"/>
    <w:rsid w:val="00585F65"/>
    <w:rsid w:val="005906C4"/>
    <w:rsid w:val="00592AE3"/>
    <w:rsid w:val="00592F7D"/>
    <w:rsid w:val="00596840"/>
    <w:rsid w:val="00596F47"/>
    <w:rsid w:val="00597631"/>
    <w:rsid w:val="005A1D14"/>
    <w:rsid w:val="005A5076"/>
    <w:rsid w:val="005A5A37"/>
    <w:rsid w:val="005A5C64"/>
    <w:rsid w:val="005A6697"/>
    <w:rsid w:val="005B22B7"/>
    <w:rsid w:val="005B4A09"/>
    <w:rsid w:val="005C2ABD"/>
    <w:rsid w:val="005C2DF1"/>
    <w:rsid w:val="005C61E3"/>
    <w:rsid w:val="005D0645"/>
    <w:rsid w:val="005D1BCC"/>
    <w:rsid w:val="005D5CB2"/>
    <w:rsid w:val="005D7884"/>
    <w:rsid w:val="005E056B"/>
    <w:rsid w:val="005E150D"/>
    <w:rsid w:val="005E26F3"/>
    <w:rsid w:val="005E3B60"/>
    <w:rsid w:val="005E5AE3"/>
    <w:rsid w:val="005E6A88"/>
    <w:rsid w:val="005F3251"/>
    <w:rsid w:val="005F32C4"/>
    <w:rsid w:val="005F6425"/>
    <w:rsid w:val="005F73B9"/>
    <w:rsid w:val="006112F6"/>
    <w:rsid w:val="006119A1"/>
    <w:rsid w:val="0061427A"/>
    <w:rsid w:val="00617970"/>
    <w:rsid w:val="006220DE"/>
    <w:rsid w:val="00624960"/>
    <w:rsid w:val="00626CEC"/>
    <w:rsid w:val="00632431"/>
    <w:rsid w:val="006358E7"/>
    <w:rsid w:val="00643263"/>
    <w:rsid w:val="00645BC9"/>
    <w:rsid w:val="00647A63"/>
    <w:rsid w:val="00647B1B"/>
    <w:rsid w:val="00651B2D"/>
    <w:rsid w:val="006562E0"/>
    <w:rsid w:val="00662CA0"/>
    <w:rsid w:val="00663D43"/>
    <w:rsid w:val="00665314"/>
    <w:rsid w:val="00665490"/>
    <w:rsid w:val="006668A0"/>
    <w:rsid w:val="00666C0C"/>
    <w:rsid w:val="006671FC"/>
    <w:rsid w:val="00667E7D"/>
    <w:rsid w:val="0067092B"/>
    <w:rsid w:val="0067202D"/>
    <w:rsid w:val="0067265D"/>
    <w:rsid w:val="0067322B"/>
    <w:rsid w:val="00673A12"/>
    <w:rsid w:val="00673ECF"/>
    <w:rsid w:val="00676018"/>
    <w:rsid w:val="00680414"/>
    <w:rsid w:val="00681548"/>
    <w:rsid w:val="006845B7"/>
    <w:rsid w:val="00686DA3"/>
    <w:rsid w:val="006878C6"/>
    <w:rsid w:val="0069122B"/>
    <w:rsid w:val="00691597"/>
    <w:rsid w:val="00694926"/>
    <w:rsid w:val="00694976"/>
    <w:rsid w:val="00696872"/>
    <w:rsid w:val="006A11AC"/>
    <w:rsid w:val="006A293E"/>
    <w:rsid w:val="006A326F"/>
    <w:rsid w:val="006A37AA"/>
    <w:rsid w:val="006A7F89"/>
    <w:rsid w:val="006B142D"/>
    <w:rsid w:val="006B2115"/>
    <w:rsid w:val="006B2DC9"/>
    <w:rsid w:val="006B4287"/>
    <w:rsid w:val="006B5A5B"/>
    <w:rsid w:val="006B5EB0"/>
    <w:rsid w:val="006C0838"/>
    <w:rsid w:val="006C20CF"/>
    <w:rsid w:val="006C4D67"/>
    <w:rsid w:val="006C62AB"/>
    <w:rsid w:val="006C6FEF"/>
    <w:rsid w:val="006C719C"/>
    <w:rsid w:val="006D1714"/>
    <w:rsid w:val="006D584B"/>
    <w:rsid w:val="006E2085"/>
    <w:rsid w:val="006E412A"/>
    <w:rsid w:val="006E41C3"/>
    <w:rsid w:val="006E5D54"/>
    <w:rsid w:val="006E7B52"/>
    <w:rsid w:val="006F080D"/>
    <w:rsid w:val="006F61E0"/>
    <w:rsid w:val="0070077D"/>
    <w:rsid w:val="00700A10"/>
    <w:rsid w:val="00701901"/>
    <w:rsid w:val="007023C8"/>
    <w:rsid w:val="007059C6"/>
    <w:rsid w:val="00706313"/>
    <w:rsid w:val="007079D9"/>
    <w:rsid w:val="00711354"/>
    <w:rsid w:val="0071422E"/>
    <w:rsid w:val="00714A5B"/>
    <w:rsid w:val="007153BD"/>
    <w:rsid w:val="007177A4"/>
    <w:rsid w:val="00721279"/>
    <w:rsid w:val="007245B9"/>
    <w:rsid w:val="007253C1"/>
    <w:rsid w:val="007253D8"/>
    <w:rsid w:val="00727777"/>
    <w:rsid w:val="00731DBF"/>
    <w:rsid w:val="00732104"/>
    <w:rsid w:val="0073592E"/>
    <w:rsid w:val="0073620D"/>
    <w:rsid w:val="007367C4"/>
    <w:rsid w:val="00742A0A"/>
    <w:rsid w:val="00746D33"/>
    <w:rsid w:val="0074773D"/>
    <w:rsid w:val="007505EB"/>
    <w:rsid w:val="00751978"/>
    <w:rsid w:val="00752631"/>
    <w:rsid w:val="00752A06"/>
    <w:rsid w:val="00753A6D"/>
    <w:rsid w:val="00756A78"/>
    <w:rsid w:val="007579DB"/>
    <w:rsid w:val="00757D86"/>
    <w:rsid w:val="00765B60"/>
    <w:rsid w:val="00765E16"/>
    <w:rsid w:val="00767188"/>
    <w:rsid w:val="00767CE0"/>
    <w:rsid w:val="00771A61"/>
    <w:rsid w:val="007737CC"/>
    <w:rsid w:val="00774E67"/>
    <w:rsid w:val="00776E44"/>
    <w:rsid w:val="00780F05"/>
    <w:rsid w:val="007837A4"/>
    <w:rsid w:val="00783B3F"/>
    <w:rsid w:val="00784413"/>
    <w:rsid w:val="00786848"/>
    <w:rsid w:val="00787650"/>
    <w:rsid w:val="00794CB8"/>
    <w:rsid w:val="00795BDA"/>
    <w:rsid w:val="00796885"/>
    <w:rsid w:val="00796E59"/>
    <w:rsid w:val="00797147"/>
    <w:rsid w:val="007A001E"/>
    <w:rsid w:val="007A09A6"/>
    <w:rsid w:val="007A1574"/>
    <w:rsid w:val="007A4496"/>
    <w:rsid w:val="007A5414"/>
    <w:rsid w:val="007B0193"/>
    <w:rsid w:val="007B2372"/>
    <w:rsid w:val="007B7B6C"/>
    <w:rsid w:val="007C2883"/>
    <w:rsid w:val="007C3A54"/>
    <w:rsid w:val="007C3A6E"/>
    <w:rsid w:val="007C7070"/>
    <w:rsid w:val="007D03DA"/>
    <w:rsid w:val="007D0956"/>
    <w:rsid w:val="007D1B7E"/>
    <w:rsid w:val="007D5708"/>
    <w:rsid w:val="007D72AD"/>
    <w:rsid w:val="007E6C75"/>
    <w:rsid w:val="007E73F9"/>
    <w:rsid w:val="007E7F78"/>
    <w:rsid w:val="007F047A"/>
    <w:rsid w:val="007F1324"/>
    <w:rsid w:val="007F1EDB"/>
    <w:rsid w:val="007F201D"/>
    <w:rsid w:val="007F303A"/>
    <w:rsid w:val="007F32B9"/>
    <w:rsid w:val="007F7071"/>
    <w:rsid w:val="008023D7"/>
    <w:rsid w:val="008034AF"/>
    <w:rsid w:val="0080508B"/>
    <w:rsid w:val="008053B2"/>
    <w:rsid w:val="008065FE"/>
    <w:rsid w:val="008079EB"/>
    <w:rsid w:val="00815A08"/>
    <w:rsid w:val="00816043"/>
    <w:rsid w:val="00824B32"/>
    <w:rsid w:val="008310F4"/>
    <w:rsid w:val="008313C7"/>
    <w:rsid w:val="008331FB"/>
    <w:rsid w:val="008343A5"/>
    <w:rsid w:val="0083663E"/>
    <w:rsid w:val="00836902"/>
    <w:rsid w:val="00843663"/>
    <w:rsid w:val="00843AFD"/>
    <w:rsid w:val="00844B59"/>
    <w:rsid w:val="0084646A"/>
    <w:rsid w:val="008476C2"/>
    <w:rsid w:val="00847E0C"/>
    <w:rsid w:val="00852E51"/>
    <w:rsid w:val="00852EB5"/>
    <w:rsid w:val="0085451E"/>
    <w:rsid w:val="0086078B"/>
    <w:rsid w:val="008608FC"/>
    <w:rsid w:val="00862FD3"/>
    <w:rsid w:val="00864BD1"/>
    <w:rsid w:val="00865C2B"/>
    <w:rsid w:val="00867305"/>
    <w:rsid w:val="0087130E"/>
    <w:rsid w:val="00873238"/>
    <w:rsid w:val="00874568"/>
    <w:rsid w:val="0087502C"/>
    <w:rsid w:val="008769A0"/>
    <w:rsid w:val="00876B5D"/>
    <w:rsid w:val="008812DF"/>
    <w:rsid w:val="008833EC"/>
    <w:rsid w:val="00885312"/>
    <w:rsid w:val="00890063"/>
    <w:rsid w:val="008904B1"/>
    <w:rsid w:val="00892C67"/>
    <w:rsid w:val="00893C1F"/>
    <w:rsid w:val="00894F1D"/>
    <w:rsid w:val="008A0BA7"/>
    <w:rsid w:val="008A388C"/>
    <w:rsid w:val="008A38A0"/>
    <w:rsid w:val="008A38BC"/>
    <w:rsid w:val="008A5837"/>
    <w:rsid w:val="008A68A8"/>
    <w:rsid w:val="008A7536"/>
    <w:rsid w:val="008B2F04"/>
    <w:rsid w:val="008B627E"/>
    <w:rsid w:val="008B7959"/>
    <w:rsid w:val="008C1BAB"/>
    <w:rsid w:val="008C434C"/>
    <w:rsid w:val="008C7341"/>
    <w:rsid w:val="008D0154"/>
    <w:rsid w:val="008D2D9E"/>
    <w:rsid w:val="008E0921"/>
    <w:rsid w:val="008E1FAC"/>
    <w:rsid w:val="008E441B"/>
    <w:rsid w:val="008E47D4"/>
    <w:rsid w:val="008E731F"/>
    <w:rsid w:val="008F04F9"/>
    <w:rsid w:val="008F3FB9"/>
    <w:rsid w:val="008F4AAF"/>
    <w:rsid w:val="00900304"/>
    <w:rsid w:val="00900DB3"/>
    <w:rsid w:val="00901B16"/>
    <w:rsid w:val="00903018"/>
    <w:rsid w:val="0090552E"/>
    <w:rsid w:val="0090638D"/>
    <w:rsid w:val="00906D29"/>
    <w:rsid w:val="00907095"/>
    <w:rsid w:val="00907E8C"/>
    <w:rsid w:val="00907EE4"/>
    <w:rsid w:val="0091000D"/>
    <w:rsid w:val="0091604D"/>
    <w:rsid w:val="00920261"/>
    <w:rsid w:val="0092098F"/>
    <w:rsid w:val="0092218A"/>
    <w:rsid w:val="0092231D"/>
    <w:rsid w:val="00925166"/>
    <w:rsid w:val="009253C9"/>
    <w:rsid w:val="00930C42"/>
    <w:rsid w:val="0093100B"/>
    <w:rsid w:val="009310B9"/>
    <w:rsid w:val="00933948"/>
    <w:rsid w:val="00933EBA"/>
    <w:rsid w:val="00934722"/>
    <w:rsid w:val="0093487E"/>
    <w:rsid w:val="00940809"/>
    <w:rsid w:val="00942B9F"/>
    <w:rsid w:val="0094325B"/>
    <w:rsid w:val="00943F67"/>
    <w:rsid w:val="0094686C"/>
    <w:rsid w:val="00950351"/>
    <w:rsid w:val="00951191"/>
    <w:rsid w:val="00955714"/>
    <w:rsid w:val="00955D91"/>
    <w:rsid w:val="00957476"/>
    <w:rsid w:val="00957C71"/>
    <w:rsid w:val="00962FAE"/>
    <w:rsid w:val="00965B97"/>
    <w:rsid w:val="00966AE4"/>
    <w:rsid w:val="00973CCC"/>
    <w:rsid w:val="00973D28"/>
    <w:rsid w:val="00974EB1"/>
    <w:rsid w:val="0097514C"/>
    <w:rsid w:val="00983615"/>
    <w:rsid w:val="009843DF"/>
    <w:rsid w:val="00985966"/>
    <w:rsid w:val="009864BF"/>
    <w:rsid w:val="00991CBE"/>
    <w:rsid w:val="00991FF4"/>
    <w:rsid w:val="00994E94"/>
    <w:rsid w:val="009956A8"/>
    <w:rsid w:val="0099587C"/>
    <w:rsid w:val="00995E9B"/>
    <w:rsid w:val="00996B8C"/>
    <w:rsid w:val="00996EB1"/>
    <w:rsid w:val="009A0A1E"/>
    <w:rsid w:val="009A3179"/>
    <w:rsid w:val="009A4BF7"/>
    <w:rsid w:val="009A7435"/>
    <w:rsid w:val="009B00CA"/>
    <w:rsid w:val="009C03A4"/>
    <w:rsid w:val="009C0A72"/>
    <w:rsid w:val="009C7B2D"/>
    <w:rsid w:val="009D5F0F"/>
    <w:rsid w:val="009D675D"/>
    <w:rsid w:val="009D6789"/>
    <w:rsid w:val="009E0B81"/>
    <w:rsid w:val="009E0F59"/>
    <w:rsid w:val="009E1574"/>
    <w:rsid w:val="009E1D35"/>
    <w:rsid w:val="009E3F09"/>
    <w:rsid w:val="009E6AF8"/>
    <w:rsid w:val="009E76D9"/>
    <w:rsid w:val="009E7B4D"/>
    <w:rsid w:val="009F0AA4"/>
    <w:rsid w:val="009F21E6"/>
    <w:rsid w:val="009F6D16"/>
    <w:rsid w:val="009F7855"/>
    <w:rsid w:val="00A01565"/>
    <w:rsid w:val="00A016C3"/>
    <w:rsid w:val="00A02881"/>
    <w:rsid w:val="00A02F6C"/>
    <w:rsid w:val="00A045E2"/>
    <w:rsid w:val="00A078FF"/>
    <w:rsid w:val="00A127ED"/>
    <w:rsid w:val="00A14481"/>
    <w:rsid w:val="00A156FB"/>
    <w:rsid w:val="00A23B32"/>
    <w:rsid w:val="00A256D4"/>
    <w:rsid w:val="00A259C9"/>
    <w:rsid w:val="00A25AF9"/>
    <w:rsid w:val="00A271C7"/>
    <w:rsid w:val="00A2782D"/>
    <w:rsid w:val="00A30A2C"/>
    <w:rsid w:val="00A3389D"/>
    <w:rsid w:val="00A36995"/>
    <w:rsid w:val="00A401EC"/>
    <w:rsid w:val="00A40A00"/>
    <w:rsid w:val="00A413B2"/>
    <w:rsid w:val="00A45722"/>
    <w:rsid w:val="00A45B2D"/>
    <w:rsid w:val="00A47FDA"/>
    <w:rsid w:val="00A51AE5"/>
    <w:rsid w:val="00A54E12"/>
    <w:rsid w:val="00A54F7D"/>
    <w:rsid w:val="00A55113"/>
    <w:rsid w:val="00A6009E"/>
    <w:rsid w:val="00A60C31"/>
    <w:rsid w:val="00A61465"/>
    <w:rsid w:val="00A62884"/>
    <w:rsid w:val="00A637F2"/>
    <w:rsid w:val="00A65F57"/>
    <w:rsid w:val="00A70F8B"/>
    <w:rsid w:val="00A737C2"/>
    <w:rsid w:val="00A745EF"/>
    <w:rsid w:val="00A751A1"/>
    <w:rsid w:val="00A864E0"/>
    <w:rsid w:val="00A86B87"/>
    <w:rsid w:val="00A87078"/>
    <w:rsid w:val="00A87ABE"/>
    <w:rsid w:val="00AA21AA"/>
    <w:rsid w:val="00AA22DE"/>
    <w:rsid w:val="00AA6CF5"/>
    <w:rsid w:val="00AB4526"/>
    <w:rsid w:val="00AB4C01"/>
    <w:rsid w:val="00AB54A5"/>
    <w:rsid w:val="00AB5683"/>
    <w:rsid w:val="00AB57D0"/>
    <w:rsid w:val="00AD473A"/>
    <w:rsid w:val="00AE4293"/>
    <w:rsid w:val="00AE54F6"/>
    <w:rsid w:val="00AE6A01"/>
    <w:rsid w:val="00AF0385"/>
    <w:rsid w:val="00AF424C"/>
    <w:rsid w:val="00AF57D0"/>
    <w:rsid w:val="00AF5F37"/>
    <w:rsid w:val="00B013C4"/>
    <w:rsid w:val="00B03955"/>
    <w:rsid w:val="00B1000C"/>
    <w:rsid w:val="00B1096C"/>
    <w:rsid w:val="00B1286E"/>
    <w:rsid w:val="00B12EB3"/>
    <w:rsid w:val="00B20FD2"/>
    <w:rsid w:val="00B214F9"/>
    <w:rsid w:val="00B23AC9"/>
    <w:rsid w:val="00B241FD"/>
    <w:rsid w:val="00B243A9"/>
    <w:rsid w:val="00B24E50"/>
    <w:rsid w:val="00B24FE1"/>
    <w:rsid w:val="00B27A32"/>
    <w:rsid w:val="00B31503"/>
    <w:rsid w:val="00B32539"/>
    <w:rsid w:val="00B33E60"/>
    <w:rsid w:val="00B34110"/>
    <w:rsid w:val="00B4681E"/>
    <w:rsid w:val="00B52F7C"/>
    <w:rsid w:val="00B55417"/>
    <w:rsid w:val="00B62E7B"/>
    <w:rsid w:val="00B63679"/>
    <w:rsid w:val="00B64BD4"/>
    <w:rsid w:val="00B650AC"/>
    <w:rsid w:val="00B666B2"/>
    <w:rsid w:val="00B67A73"/>
    <w:rsid w:val="00B70707"/>
    <w:rsid w:val="00B71673"/>
    <w:rsid w:val="00B72C38"/>
    <w:rsid w:val="00B824EA"/>
    <w:rsid w:val="00B865E0"/>
    <w:rsid w:val="00B9015F"/>
    <w:rsid w:val="00B90DA2"/>
    <w:rsid w:val="00B96385"/>
    <w:rsid w:val="00B97A36"/>
    <w:rsid w:val="00B97E1C"/>
    <w:rsid w:val="00BA12F1"/>
    <w:rsid w:val="00BA6F52"/>
    <w:rsid w:val="00BB5B31"/>
    <w:rsid w:val="00BD2436"/>
    <w:rsid w:val="00BD2D05"/>
    <w:rsid w:val="00BD5CDD"/>
    <w:rsid w:val="00BD67FD"/>
    <w:rsid w:val="00BE0B3D"/>
    <w:rsid w:val="00BE1116"/>
    <w:rsid w:val="00BE2045"/>
    <w:rsid w:val="00BE67BC"/>
    <w:rsid w:val="00BE7C4D"/>
    <w:rsid w:val="00BF1720"/>
    <w:rsid w:val="00BF6E02"/>
    <w:rsid w:val="00C03E09"/>
    <w:rsid w:val="00C05026"/>
    <w:rsid w:val="00C07BE6"/>
    <w:rsid w:val="00C10625"/>
    <w:rsid w:val="00C1149C"/>
    <w:rsid w:val="00C120A4"/>
    <w:rsid w:val="00C15E62"/>
    <w:rsid w:val="00C171CB"/>
    <w:rsid w:val="00C178F2"/>
    <w:rsid w:val="00C228DF"/>
    <w:rsid w:val="00C24975"/>
    <w:rsid w:val="00C25F3D"/>
    <w:rsid w:val="00C30EFC"/>
    <w:rsid w:val="00C31B0F"/>
    <w:rsid w:val="00C32E20"/>
    <w:rsid w:val="00C34A63"/>
    <w:rsid w:val="00C357B0"/>
    <w:rsid w:val="00C365F0"/>
    <w:rsid w:val="00C36AD7"/>
    <w:rsid w:val="00C40096"/>
    <w:rsid w:val="00C40C4E"/>
    <w:rsid w:val="00C41AC2"/>
    <w:rsid w:val="00C47345"/>
    <w:rsid w:val="00C513D0"/>
    <w:rsid w:val="00C521A8"/>
    <w:rsid w:val="00C557F9"/>
    <w:rsid w:val="00C569ED"/>
    <w:rsid w:val="00C607A9"/>
    <w:rsid w:val="00C62286"/>
    <w:rsid w:val="00C624CB"/>
    <w:rsid w:val="00C63BBB"/>
    <w:rsid w:val="00C65499"/>
    <w:rsid w:val="00C66814"/>
    <w:rsid w:val="00C66FCF"/>
    <w:rsid w:val="00C671C5"/>
    <w:rsid w:val="00C72DA0"/>
    <w:rsid w:val="00C72DA9"/>
    <w:rsid w:val="00C7379D"/>
    <w:rsid w:val="00C76627"/>
    <w:rsid w:val="00C85825"/>
    <w:rsid w:val="00C86B50"/>
    <w:rsid w:val="00C9071D"/>
    <w:rsid w:val="00C90EFE"/>
    <w:rsid w:val="00C930BD"/>
    <w:rsid w:val="00C947C2"/>
    <w:rsid w:val="00C94CC6"/>
    <w:rsid w:val="00C95025"/>
    <w:rsid w:val="00C95529"/>
    <w:rsid w:val="00C95729"/>
    <w:rsid w:val="00CA09EF"/>
    <w:rsid w:val="00CA3A38"/>
    <w:rsid w:val="00CA6915"/>
    <w:rsid w:val="00CB2E5A"/>
    <w:rsid w:val="00CB589E"/>
    <w:rsid w:val="00CB67F0"/>
    <w:rsid w:val="00CB779C"/>
    <w:rsid w:val="00CC059E"/>
    <w:rsid w:val="00CC0D77"/>
    <w:rsid w:val="00CC2F72"/>
    <w:rsid w:val="00CC525F"/>
    <w:rsid w:val="00CC68FE"/>
    <w:rsid w:val="00CC69FE"/>
    <w:rsid w:val="00CC727B"/>
    <w:rsid w:val="00CC730E"/>
    <w:rsid w:val="00CC745B"/>
    <w:rsid w:val="00CD1B47"/>
    <w:rsid w:val="00CD234C"/>
    <w:rsid w:val="00CD6F61"/>
    <w:rsid w:val="00CE07DF"/>
    <w:rsid w:val="00CE1498"/>
    <w:rsid w:val="00CE5DBE"/>
    <w:rsid w:val="00CF0360"/>
    <w:rsid w:val="00CF6620"/>
    <w:rsid w:val="00CF6995"/>
    <w:rsid w:val="00CF7068"/>
    <w:rsid w:val="00CF72D5"/>
    <w:rsid w:val="00D00530"/>
    <w:rsid w:val="00D01D49"/>
    <w:rsid w:val="00D06EA2"/>
    <w:rsid w:val="00D1132B"/>
    <w:rsid w:val="00D1194B"/>
    <w:rsid w:val="00D1219F"/>
    <w:rsid w:val="00D1554D"/>
    <w:rsid w:val="00D16792"/>
    <w:rsid w:val="00D20B04"/>
    <w:rsid w:val="00D2104D"/>
    <w:rsid w:val="00D21EF7"/>
    <w:rsid w:val="00D23C4A"/>
    <w:rsid w:val="00D24398"/>
    <w:rsid w:val="00D2552F"/>
    <w:rsid w:val="00D279E9"/>
    <w:rsid w:val="00D31FDC"/>
    <w:rsid w:val="00D3576F"/>
    <w:rsid w:val="00D35E9E"/>
    <w:rsid w:val="00D36792"/>
    <w:rsid w:val="00D42603"/>
    <w:rsid w:val="00D445E3"/>
    <w:rsid w:val="00D4599A"/>
    <w:rsid w:val="00D46663"/>
    <w:rsid w:val="00D468CB"/>
    <w:rsid w:val="00D46F0A"/>
    <w:rsid w:val="00D511EE"/>
    <w:rsid w:val="00D54966"/>
    <w:rsid w:val="00D56B6D"/>
    <w:rsid w:val="00D56E11"/>
    <w:rsid w:val="00D61A67"/>
    <w:rsid w:val="00D61BBA"/>
    <w:rsid w:val="00D61DD2"/>
    <w:rsid w:val="00D62BB4"/>
    <w:rsid w:val="00D62EEC"/>
    <w:rsid w:val="00D631D8"/>
    <w:rsid w:val="00D64CDC"/>
    <w:rsid w:val="00D71EF1"/>
    <w:rsid w:val="00D725FE"/>
    <w:rsid w:val="00D7420A"/>
    <w:rsid w:val="00D76BCA"/>
    <w:rsid w:val="00D76ED0"/>
    <w:rsid w:val="00D804C9"/>
    <w:rsid w:val="00D83127"/>
    <w:rsid w:val="00D84835"/>
    <w:rsid w:val="00D8584A"/>
    <w:rsid w:val="00D86085"/>
    <w:rsid w:val="00D864E4"/>
    <w:rsid w:val="00D870D7"/>
    <w:rsid w:val="00D87EB8"/>
    <w:rsid w:val="00D926F5"/>
    <w:rsid w:val="00D940A2"/>
    <w:rsid w:val="00D94F48"/>
    <w:rsid w:val="00D95A41"/>
    <w:rsid w:val="00D96634"/>
    <w:rsid w:val="00D96C48"/>
    <w:rsid w:val="00D96D1B"/>
    <w:rsid w:val="00D97EFC"/>
    <w:rsid w:val="00DA015A"/>
    <w:rsid w:val="00DA0D8F"/>
    <w:rsid w:val="00DA453B"/>
    <w:rsid w:val="00DA4962"/>
    <w:rsid w:val="00DA4A19"/>
    <w:rsid w:val="00DA58B9"/>
    <w:rsid w:val="00DA5A1C"/>
    <w:rsid w:val="00DA6C86"/>
    <w:rsid w:val="00DA70A6"/>
    <w:rsid w:val="00DB37E2"/>
    <w:rsid w:val="00DB58DA"/>
    <w:rsid w:val="00DB629D"/>
    <w:rsid w:val="00DB78BB"/>
    <w:rsid w:val="00DC023D"/>
    <w:rsid w:val="00DC0307"/>
    <w:rsid w:val="00DC0370"/>
    <w:rsid w:val="00DC1273"/>
    <w:rsid w:val="00DC3420"/>
    <w:rsid w:val="00DD1016"/>
    <w:rsid w:val="00DD3F76"/>
    <w:rsid w:val="00DD47C8"/>
    <w:rsid w:val="00DD49B6"/>
    <w:rsid w:val="00DD5E73"/>
    <w:rsid w:val="00DD6926"/>
    <w:rsid w:val="00DE002F"/>
    <w:rsid w:val="00DE2B4B"/>
    <w:rsid w:val="00DE3EE8"/>
    <w:rsid w:val="00DE4554"/>
    <w:rsid w:val="00DE5F35"/>
    <w:rsid w:val="00DE6036"/>
    <w:rsid w:val="00DE6610"/>
    <w:rsid w:val="00DF300E"/>
    <w:rsid w:val="00DF5521"/>
    <w:rsid w:val="00DF6772"/>
    <w:rsid w:val="00E0686D"/>
    <w:rsid w:val="00E1099B"/>
    <w:rsid w:val="00E137C0"/>
    <w:rsid w:val="00E141B2"/>
    <w:rsid w:val="00E1537C"/>
    <w:rsid w:val="00E163C4"/>
    <w:rsid w:val="00E17E51"/>
    <w:rsid w:val="00E208B9"/>
    <w:rsid w:val="00E23F93"/>
    <w:rsid w:val="00E2597F"/>
    <w:rsid w:val="00E404DB"/>
    <w:rsid w:val="00E406EA"/>
    <w:rsid w:val="00E4130D"/>
    <w:rsid w:val="00E42943"/>
    <w:rsid w:val="00E43215"/>
    <w:rsid w:val="00E46982"/>
    <w:rsid w:val="00E52099"/>
    <w:rsid w:val="00E52FB5"/>
    <w:rsid w:val="00E541D6"/>
    <w:rsid w:val="00E544F6"/>
    <w:rsid w:val="00E54EF5"/>
    <w:rsid w:val="00E569E8"/>
    <w:rsid w:val="00E57FCE"/>
    <w:rsid w:val="00E60E6E"/>
    <w:rsid w:val="00E65755"/>
    <w:rsid w:val="00E701B9"/>
    <w:rsid w:val="00E70959"/>
    <w:rsid w:val="00E71451"/>
    <w:rsid w:val="00E718B7"/>
    <w:rsid w:val="00E71B57"/>
    <w:rsid w:val="00E72CE0"/>
    <w:rsid w:val="00E73815"/>
    <w:rsid w:val="00E74D78"/>
    <w:rsid w:val="00E74E50"/>
    <w:rsid w:val="00E80A81"/>
    <w:rsid w:val="00E82DCB"/>
    <w:rsid w:val="00E84B9F"/>
    <w:rsid w:val="00E86166"/>
    <w:rsid w:val="00E862B5"/>
    <w:rsid w:val="00E8633C"/>
    <w:rsid w:val="00E8652F"/>
    <w:rsid w:val="00E877B0"/>
    <w:rsid w:val="00E908BC"/>
    <w:rsid w:val="00E92316"/>
    <w:rsid w:val="00E96220"/>
    <w:rsid w:val="00E96997"/>
    <w:rsid w:val="00E97FF6"/>
    <w:rsid w:val="00EA09C1"/>
    <w:rsid w:val="00EA2C51"/>
    <w:rsid w:val="00EA363D"/>
    <w:rsid w:val="00EA365B"/>
    <w:rsid w:val="00EA3931"/>
    <w:rsid w:val="00EA6DDF"/>
    <w:rsid w:val="00EB1C58"/>
    <w:rsid w:val="00EB387F"/>
    <w:rsid w:val="00EB5637"/>
    <w:rsid w:val="00EB6BC4"/>
    <w:rsid w:val="00EC100E"/>
    <w:rsid w:val="00EC5190"/>
    <w:rsid w:val="00EC5E31"/>
    <w:rsid w:val="00EC6231"/>
    <w:rsid w:val="00EC64CA"/>
    <w:rsid w:val="00EC7D2D"/>
    <w:rsid w:val="00ED04DE"/>
    <w:rsid w:val="00ED0CC5"/>
    <w:rsid w:val="00ED29E7"/>
    <w:rsid w:val="00ED4614"/>
    <w:rsid w:val="00ED47C4"/>
    <w:rsid w:val="00ED5EB9"/>
    <w:rsid w:val="00ED7D50"/>
    <w:rsid w:val="00EE1D30"/>
    <w:rsid w:val="00EE24A7"/>
    <w:rsid w:val="00EE2F22"/>
    <w:rsid w:val="00EE3E7C"/>
    <w:rsid w:val="00EE3FBC"/>
    <w:rsid w:val="00EE5754"/>
    <w:rsid w:val="00EE6D99"/>
    <w:rsid w:val="00EF282C"/>
    <w:rsid w:val="00EF324E"/>
    <w:rsid w:val="00EF65CD"/>
    <w:rsid w:val="00EF7BBB"/>
    <w:rsid w:val="00F01460"/>
    <w:rsid w:val="00F0244D"/>
    <w:rsid w:val="00F0402E"/>
    <w:rsid w:val="00F0451B"/>
    <w:rsid w:val="00F04F71"/>
    <w:rsid w:val="00F0661D"/>
    <w:rsid w:val="00F0798C"/>
    <w:rsid w:val="00F1174D"/>
    <w:rsid w:val="00F12A40"/>
    <w:rsid w:val="00F13596"/>
    <w:rsid w:val="00F143AE"/>
    <w:rsid w:val="00F16D0A"/>
    <w:rsid w:val="00F17392"/>
    <w:rsid w:val="00F17467"/>
    <w:rsid w:val="00F2194B"/>
    <w:rsid w:val="00F2490D"/>
    <w:rsid w:val="00F3363B"/>
    <w:rsid w:val="00F33780"/>
    <w:rsid w:val="00F34CB6"/>
    <w:rsid w:val="00F3572D"/>
    <w:rsid w:val="00F365C2"/>
    <w:rsid w:val="00F3756E"/>
    <w:rsid w:val="00F40FC7"/>
    <w:rsid w:val="00F41990"/>
    <w:rsid w:val="00F437F3"/>
    <w:rsid w:val="00F43C52"/>
    <w:rsid w:val="00F43CFB"/>
    <w:rsid w:val="00F447CF"/>
    <w:rsid w:val="00F46251"/>
    <w:rsid w:val="00F46D80"/>
    <w:rsid w:val="00F50AA1"/>
    <w:rsid w:val="00F561D7"/>
    <w:rsid w:val="00F564CD"/>
    <w:rsid w:val="00F56776"/>
    <w:rsid w:val="00F56A1E"/>
    <w:rsid w:val="00F56EA8"/>
    <w:rsid w:val="00F57E68"/>
    <w:rsid w:val="00F611EC"/>
    <w:rsid w:val="00F61F43"/>
    <w:rsid w:val="00F62F8F"/>
    <w:rsid w:val="00F637F1"/>
    <w:rsid w:val="00F675DE"/>
    <w:rsid w:val="00F70A14"/>
    <w:rsid w:val="00F719FE"/>
    <w:rsid w:val="00F73424"/>
    <w:rsid w:val="00F76B7F"/>
    <w:rsid w:val="00F7764D"/>
    <w:rsid w:val="00F779B3"/>
    <w:rsid w:val="00F809C4"/>
    <w:rsid w:val="00F81E8D"/>
    <w:rsid w:val="00F8287F"/>
    <w:rsid w:val="00F841FB"/>
    <w:rsid w:val="00F84618"/>
    <w:rsid w:val="00F86147"/>
    <w:rsid w:val="00F87041"/>
    <w:rsid w:val="00F9141E"/>
    <w:rsid w:val="00F9283B"/>
    <w:rsid w:val="00F92F50"/>
    <w:rsid w:val="00F943FB"/>
    <w:rsid w:val="00F96AAB"/>
    <w:rsid w:val="00FA2F18"/>
    <w:rsid w:val="00FA679D"/>
    <w:rsid w:val="00FA6F1C"/>
    <w:rsid w:val="00FB3736"/>
    <w:rsid w:val="00FB4301"/>
    <w:rsid w:val="00FB7381"/>
    <w:rsid w:val="00FC02B0"/>
    <w:rsid w:val="00FC0FAB"/>
    <w:rsid w:val="00FC183C"/>
    <w:rsid w:val="00FC351A"/>
    <w:rsid w:val="00FC5432"/>
    <w:rsid w:val="00FC6921"/>
    <w:rsid w:val="00FD2B16"/>
    <w:rsid w:val="00FD37A7"/>
    <w:rsid w:val="00FE1195"/>
    <w:rsid w:val="00FE2432"/>
    <w:rsid w:val="00FE3E56"/>
    <w:rsid w:val="00FE478C"/>
    <w:rsid w:val="00FE5447"/>
    <w:rsid w:val="00FE5D69"/>
    <w:rsid w:val="00FF2742"/>
    <w:rsid w:val="00FF576C"/>
    <w:rsid w:val="00FF58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F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ft,stil"/>
    <w:basedOn w:val="Normal"/>
    <w:link w:val="FootnoteTextChar"/>
    <w:uiPriority w:val="99"/>
    <w:unhideWhenUsed/>
    <w:rsid w:val="00824B32"/>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f Char,ft Char,stil Char"/>
    <w:basedOn w:val="DefaultParagraphFont"/>
    <w:link w:val="FootnoteText"/>
    <w:uiPriority w:val="99"/>
    <w:rsid w:val="00824B32"/>
    <w:rPr>
      <w:rFonts w:ascii="Times New Roman" w:eastAsiaTheme="minorHAnsi" w:hAnsi="Times New Roman"/>
      <w:sz w:val="20"/>
      <w:szCs w:val="20"/>
      <w:lang w:eastAsia="en-US"/>
    </w:rPr>
  </w:style>
  <w:style w:type="character" w:styleId="FootnoteReference">
    <w:name w:val="footnote reference"/>
    <w:aliases w:val="Footnote Reference Number,Footnote symbol,SUPERS,ftref,Footnote Refernece,stylish,BVI fnr,Fußnotenzeichen_Raxen,callout,Footnote Reference Superscript,Odwołanie przypisu,Footnotes refss,Ref,de nota al pie,-E Fußnotenzeichen,E,E FNZ"/>
    <w:basedOn w:val="DefaultParagraphFont"/>
    <w:uiPriority w:val="99"/>
    <w:unhideWhenUsed/>
    <w:rsid w:val="00824B32"/>
    <w:rPr>
      <w:vertAlign w:val="superscript"/>
    </w:rPr>
  </w:style>
  <w:style w:type="table" w:styleId="TableGrid">
    <w:name w:val="Table Grid"/>
    <w:basedOn w:val="TableNormal"/>
    <w:uiPriority w:val="59"/>
    <w:rsid w:val="00F5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1">
    <w:name w:val="nais1"/>
    <w:basedOn w:val="Normal"/>
    <w:rsid w:val="00E16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pant">
    <w:name w:val="naispant"/>
    <w:basedOn w:val="Normal"/>
    <w:rsid w:val="006C4D6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447CF"/>
    <w:pPr>
      <w:widowControl w:val="0"/>
      <w:spacing w:after="0" w:line="240" w:lineRule="auto"/>
      <w:ind w:firstLine="720"/>
      <w:jc w:val="both"/>
    </w:pPr>
    <w:rPr>
      <w:rFonts w:ascii="Times New Roman" w:eastAsia="Times New Roman" w:hAnsi="Times New Roman" w:cs="Times New Roman"/>
      <w:sz w:val="26"/>
      <w:szCs w:val="20"/>
      <w:lang w:val="en-AU" w:eastAsia="en-US"/>
    </w:rPr>
  </w:style>
  <w:style w:type="paragraph" w:styleId="NormalWeb">
    <w:name w:val="Normal (Web)"/>
    <w:basedOn w:val="Normal"/>
    <w:uiPriority w:val="99"/>
    <w:rsid w:val="0014325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159BF"/>
    <w:rPr>
      <w:color w:val="800080" w:themeColor="followedHyperlink"/>
      <w:u w:val="single"/>
    </w:rPr>
  </w:style>
  <w:style w:type="character" w:customStyle="1" w:styleId="hps">
    <w:name w:val="hps"/>
    <w:uiPriority w:val="99"/>
    <w:rsid w:val="00A61465"/>
  </w:style>
  <w:style w:type="paragraph" w:customStyle="1" w:styleId="naisc">
    <w:name w:val="naisc"/>
    <w:basedOn w:val="Normal"/>
    <w:rsid w:val="00852E51"/>
    <w:pPr>
      <w:spacing w:before="75" w:after="75" w:line="240" w:lineRule="auto"/>
      <w:jc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ft,stil"/>
    <w:basedOn w:val="Normal"/>
    <w:link w:val="FootnoteTextChar"/>
    <w:uiPriority w:val="99"/>
    <w:unhideWhenUsed/>
    <w:rsid w:val="00824B32"/>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f Char,ft Char,stil Char"/>
    <w:basedOn w:val="DefaultParagraphFont"/>
    <w:link w:val="FootnoteText"/>
    <w:uiPriority w:val="99"/>
    <w:rsid w:val="00824B32"/>
    <w:rPr>
      <w:rFonts w:ascii="Times New Roman" w:eastAsiaTheme="minorHAnsi" w:hAnsi="Times New Roman"/>
      <w:sz w:val="20"/>
      <w:szCs w:val="20"/>
      <w:lang w:eastAsia="en-US"/>
    </w:rPr>
  </w:style>
  <w:style w:type="character" w:styleId="FootnoteReference">
    <w:name w:val="footnote reference"/>
    <w:aliases w:val="Footnote Reference Number,Footnote symbol,SUPERS,ftref,Footnote Refernece,stylish,BVI fnr,Fußnotenzeichen_Raxen,callout,Footnote Reference Superscript,Odwołanie przypisu,Footnotes refss,Ref,de nota al pie,-E Fußnotenzeichen,E,E FNZ"/>
    <w:basedOn w:val="DefaultParagraphFont"/>
    <w:uiPriority w:val="99"/>
    <w:unhideWhenUsed/>
    <w:rsid w:val="00824B32"/>
    <w:rPr>
      <w:vertAlign w:val="superscript"/>
    </w:rPr>
  </w:style>
  <w:style w:type="table" w:styleId="TableGrid">
    <w:name w:val="Table Grid"/>
    <w:basedOn w:val="TableNormal"/>
    <w:uiPriority w:val="59"/>
    <w:rsid w:val="00F5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1">
    <w:name w:val="nais1"/>
    <w:basedOn w:val="Normal"/>
    <w:rsid w:val="00E16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pant">
    <w:name w:val="naispant"/>
    <w:basedOn w:val="Normal"/>
    <w:rsid w:val="006C4D6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447CF"/>
    <w:pPr>
      <w:widowControl w:val="0"/>
      <w:spacing w:after="0" w:line="240" w:lineRule="auto"/>
      <w:ind w:firstLine="720"/>
      <w:jc w:val="both"/>
    </w:pPr>
    <w:rPr>
      <w:rFonts w:ascii="Times New Roman" w:eastAsia="Times New Roman" w:hAnsi="Times New Roman" w:cs="Times New Roman"/>
      <w:sz w:val="26"/>
      <w:szCs w:val="20"/>
      <w:lang w:val="en-AU" w:eastAsia="en-US"/>
    </w:rPr>
  </w:style>
  <w:style w:type="paragraph" w:styleId="NormalWeb">
    <w:name w:val="Normal (Web)"/>
    <w:basedOn w:val="Normal"/>
    <w:uiPriority w:val="99"/>
    <w:rsid w:val="0014325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159BF"/>
    <w:rPr>
      <w:color w:val="800080" w:themeColor="followedHyperlink"/>
      <w:u w:val="single"/>
    </w:rPr>
  </w:style>
  <w:style w:type="character" w:customStyle="1" w:styleId="hps">
    <w:name w:val="hps"/>
    <w:uiPriority w:val="99"/>
    <w:rsid w:val="00A61465"/>
  </w:style>
  <w:style w:type="paragraph" w:customStyle="1" w:styleId="naisc">
    <w:name w:val="naisc"/>
    <w:basedOn w:val="Normal"/>
    <w:rsid w:val="00852E51"/>
    <w:pPr>
      <w:spacing w:before="75" w:after="75"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7302023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6E7DFC8-F43E-4B12-8E60-6A9C408DA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21</Pages>
  <Words>22010</Words>
  <Characters>12547</Characters>
  <Application>Microsoft Office Word</Application>
  <DocSecurity>0</DocSecurity>
  <Lines>104</Lines>
  <Paragraphs>68</Paragraphs>
  <ScaleCrop>false</ScaleCrop>
  <HeadingPairs>
    <vt:vector size="2" baseType="variant">
      <vt:variant>
        <vt:lpstr>Title</vt:lpstr>
      </vt:variant>
      <vt:variant>
        <vt:i4>1</vt:i4>
      </vt:variant>
    </vt:vector>
  </HeadingPairs>
  <TitlesOfParts>
    <vt:vector size="1" baseType="lpstr">
      <vt:lpstr>Likumprojekta „Eiropas atbalsta fonda vistrūcīgākajām personām 2014.-2020.gada plānošanas perioda vadības likums” sākotnējās ietekmes novērtējuma ziņojums (anotācija)</vt:lpstr>
    </vt:vector>
  </TitlesOfParts>
  <Company/>
  <LinksUpToDate>false</LinksUpToDate>
  <CharactersWithSpaces>34489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„Eiropas atbalsta fonda vistrūcīgākajām personām 2014.-2020.gada plānošanas perioda vadības likums” sākotnējās ietekmes novērtējuma ziņojums (anotācija)</dc:title>
  <dc:subject>Anotācija</dc:subject>
  <dc:creator>Lauma Grafa</dc:creator>
  <cp:lastModifiedBy>Marika Pudāne</cp:lastModifiedBy>
  <cp:revision>45</cp:revision>
  <cp:lastPrinted>2014-08-29T08:09:00Z</cp:lastPrinted>
  <dcterms:created xsi:type="dcterms:W3CDTF">2014-08-20T09:16:00Z</dcterms:created>
  <dcterms:modified xsi:type="dcterms:W3CDTF">2014-08-29T08:09:00Z</dcterms:modified>
</cp:coreProperties>
</file>