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A56" w:rsidRPr="002D259B" w:rsidRDefault="00857C5B" w:rsidP="00CC1A56">
      <w:pPr>
        <w:pStyle w:val="tv2121"/>
        <w:spacing w:before="0" w:line="240" w:lineRule="auto"/>
        <w:rPr>
          <w:rFonts w:ascii="Times New Roman" w:hAnsi="Times New Roman"/>
          <w:sz w:val="26"/>
          <w:szCs w:val="26"/>
        </w:rPr>
      </w:pPr>
      <w:bookmarkStart w:id="0" w:name="372832"/>
      <w:r w:rsidRPr="002D259B">
        <w:rPr>
          <w:rFonts w:ascii="Times New Roman" w:hAnsi="Times New Roman"/>
          <w:bCs w:val="0"/>
          <w:sz w:val="26"/>
          <w:szCs w:val="26"/>
        </w:rPr>
        <w:t>Ministru kabineta rīkojuma „Grozījumi darbības programmas „Cilvēkresursi un nodarbinātība” papildinājumā” projekta</w:t>
      </w:r>
      <w:r w:rsidRPr="002D259B">
        <w:rPr>
          <w:rFonts w:ascii="Times New Roman" w:hAnsi="Times New Roman"/>
          <w:sz w:val="26"/>
          <w:szCs w:val="26"/>
        </w:rPr>
        <w:t xml:space="preserve"> </w:t>
      </w:r>
      <w:r w:rsidR="00CC1A56" w:rsidRPr="002D259B">
        <w:rPr>
          <w:rFonts w:ascii="Times New Roman" w:hAnsi="Times New Roman"/>
          <w:sz w:val="26"/>
          <w:szCs w:val="26"/>
        </w:rPr>
        <w:t>sākotnējās ietekmes novērtējuma ziņojums (anotācija)</w:t>
      </w:r>
      <w:bookmarkEnd w:id="0"/>
    </w:p>
    <w:p w:rsidR="00CC1A56" w:rsidRPr="00EA0F8E" w:rsidRDefault="00CC1A56" w:rsidP="00CC1A56">
      <w:pPr>
        <w:pStyle w:val="naisf"/>
        <w:spacing w:before="0" w:beforeAutospacing="0" w:after="0" w:afterAutospacing="0"/>
        <w:jc w:val="right"/>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CC1A56" w:rsidRPr="00EA0F8E" w:rsidTr="001E645F">
        <w:trPr>
          <w:trHeight w:val="419"/>
        </w:trPr>
        <w:tc>
          <w:tcPr>
            <w:tcW w:w="5000" w:type="pct"/>
            <w:gridSpan w:val="3"/>
            <w:vAlign w:val="center"/>
          </w:tcPr>
          <w:p w:rsidR="00CC1A56" w:rsidRPr="00EA0F8E" w:rsidRDefault="00CC1A56" w:rsidP="007D385B">
            <w:pPr>
              <w:pStyle w:val="naisnod"/>
              <w:spacing w:before="0" w:beforeAutospacing="0" w:after="0" w:afterAutospacing="0"/>
              <w:ind w:left="57" w:right="57"/>
              <w:jc w:val="center"/>
              <w:rPr>
                <w:b/>
              </w:rPr>
            </w:pPr>
            <w:r w:rsidRPr="00EA0F8E">
              <w:rPr>
                <w:b/>
              </w:rPr>
              <w:t>I. Tiesību akta projekta izstrādes nepieciešamība</w:t>
            </w:r>
          </w:p>
        </w:tc>
      </w:tr>
      <w:tr w:rsidR="00CC1A56" w:rsidRPr="00EA0F8E" w:rsidTr="001E645F">
        <w:trPr>
          <w:trHeight w:val="415"/>
        </w:trPr>
        <w:tc>
          <w:tcPr>
            <w:tcW w:w="227" w:type="pct"/>
          </w:tcPr>
          <w:p w:rsidR="00CC1A56" w:rsidRPr="00EA0F8E" w:rsidRDefault="00CC1A56" w:rsidP="007D385B">
            <w:pPr>
              <w:pStyle w:val="naiskr"/>
              <w:spacing w:before="0" w:beforeAutospacing="0" w:after="0" w:afterAutospacing="0"/>
              <w:ind w:left="57" w:right="57"/>
              <w:jc w:val="center"/>
            </w:pPr>
            <w:r w:rsidRPr="00EA0F8E">
              <w:t>1.</w:t>
            </w:r>
          </w:p>
        </w:tc>
        <w:tc>
          <w:tcPr>
            <w:tcW w:w="1566" w:type="pct"/>
          </w:tcPr>
          <w:p w:rsidR="00CC1A56" w:rsidRPr="00EA0F8E" w:rsidRDefault="00CC1A56" w:rsidP="007D385B">
            <w:pPr>
              <w:pStyle w:val="naiskr"/>
              <w:spacing w:before="0" w:beforeAutospacing="0" w:after="0" w:afterAutospacing="0"/>
              <w:ind w:left="57" w:right="57"/>
            </w:pPr>
            <w:r w:rsidRPr="00EA0F8E">
              <w:t>Pamatojums</w:t>
            </w:r>
          </w:p>
        </w:tc>
        <w:tc>
          <w:tcPr>
            <w:tcW w:w="3207" w:type="pct"/>
          </w:tcPr>
          <w:p w:rsidR="004A7017" w:rsidRPr="00EA0F8E" w:rsidRDefault="006D573E" w:rsidP="007C2BB0">
            <w:pPr>
              <w:spacing w:after="0" w:line="240" w:lineRule="auto"/>
              <w:ind w:left="139" w:right="57"/>
              <w:jc w:val="both"/>
              <w:rPr>
                <w:rFonts w:ascii="Times New Roman" w:hAnsi="Times New Roman" w:cs="Times New Roman"/>
                <w:sz w:val="24"/>
                <w:szCs w:val="24"/>
              </w:rPr>
            </w:pPr>
            <w:r w:rsidRPr="00EA0F8E">
              <w:rPr>
                <w:rFonts w:ascii="Times New Roman" w:hAnsi="Times New Roman" w:cs="Times New Roman"/>
                <w:sz w:val="24"/>
                <w:szCs w:val="24"/>
              </w:rPr>
              <w:t>Ministru kabineta (turpmāk - MK) rīkojuma projekts „Grozījumi darbības programmas „Cilvēkresursi un nodarbinātība” papildinājumā” (turpmāk – MK rīkojuma projekts) ir izstrādāts</w:t>
            </w:r>
            <w:r w:rsidR="007C2BB0">
              <w:rPr>
                <w:rFonts w:ascii="Times New Roman" w:hAnsi="Times New Roman" w:cs="Times New Roman"/>
                <w:sz w:val="24"/>
                <w:szCs w:val="24"/>
              </w:rPr>
              <w:t xml:space="preserve">, </w:t>
            </w:r>
            <w:r w:rsidR="00E4200F" w:rsidRPr="004A7017">
              <w:rPr>
                <w:rFonts w:ascii="Times New Roman" w:hAnsi="Times New Roman" w:cs="Times New Roman"/>
                <w:sz w:val="24"/>
                <w:szCs w:val="24"/>
              </w:rPr>
              <w:t>lai nodrošinātu Nodarbinātības valsts aģentūras</w:t>
            </w:r>
            <w:r w:rsidR="00B6023A" w:rsidRPr="004A7017">
              <w:rPr>
                <w:rFonts w:ascii="Times New Roman" w:hAnsi="Times New Roman" w:cs="Times New Roman"/>
                <w:sz w:val="24"/>
                <w:szCs w:val="24"/>
              </w:rPr>
              <w:t xml:space="preserve"> </w:t>
            </w:r>
            <w:r w:rsidR="00B6023A" w:rsidRPr="00EA0F8E">
              <w:rPr>
                <w:rFonts w:ascii="Times New Roman" w:hAnsi="Times New Roman" w:cs="Times New Roman"/>
                <w:sz w:val="24"/>
                <w:szCs w:val="24"/>
              </w:rPr>
              <w:t xml:space="preserve">(turpmāk - NVA) </w:t>
            </w:r>
            <w:r w:rsidR="00E4200F" w:rsidRPr="004A7017">
              <w:rPr>
                <w:rFonts w:ascii="Times New Roman" w:hAnsi="Times New Roman" w:cs="Times New Roman"/>
                <w:sz w:val="24"/>
                <w:szCs w:val="24"/>
              </w:rPr>
              <w:t>organizēto atbalsta pasākumu bezdarbniekiem īstenošanu atbilstoši Eiropas Savienības prasībām</w:t>
            </w:r>
            <w:r w:rsidR="007C2BB0">
              <w:rPr>
                <w:rFonts w:ascii="Times New Roman" w:hAnsi="Times New Roman" w:cs="Times New Roman"/>
                <w:sz w:val="24"/>
                <w:szCs w:val="24"/>
              </w:rPr>
              <w:t xml:space="preserve"> un normatīvajam regulējumam.</w:t>
            </w:r>
          </w:p>
        </w:tc>
      </w:tr>
      <w:tr w:rsidR="00CC1A56" w:rsidRPr="00EA0F8E" w:rsidTr="001E645F">
        <w:trPr>
          <w:trHeight w:val="472"/>
        </w:trPr>
        <w:tc>
          <w:tcPr>
            <w:tcW w:w="227" w:type="pct"/>
          </w:tcPr>
          <w:p w:rsidR="00CC1A56" w:rsidRPr="00EA0F8E" w:rsidRDefault="00CC1A56" w:rsidP="007D385B">
            <w:pPr>
              <w:pStyle w:val="naiskr"/>
              <w:spacing w:before="0" w:beforeAutospacing="0" w:after="0" w:afterAutospacing="0"/>
              <w:ind w:left="57" w:right="57"/>
              <w:jc w:val="center"/>
            </w:pPr>
            <w:r w:rsidRPr="00EA0F8E">
              <w:t>2.</w:t>
            </w:r>
          </w:p>
        </w:tc>
        <w:tc>
          <w:tcPr>
            <w:tcW w:w="1566" w:type="pct"/>
          </w:tcPr>
          <w:p w:rsidR="0060366C" w:rsidRDefault="00CC1A56" w:rsidP="007D385B">
            <w:pPr>
              <w:pStyle w:val="naiskr"/>
              <w:tabs>
                <w:tab w:val="left" w:pos="170"/>
              </w:tabs>
              <w:spacing w:before="0" w:beforeAutospacing="0" w:after="0" w:afterAutospacing="0"/>
              <w:ind w:left="57" w:right="57"/>
            </w:pPr>
            <w:r w:rsidRPr="00EA0F8E">
              <w:t>Pašreizējā situācija un problēmas, kuru risināšanai tiesību akta projekts izstrādāts, tiesiskā regulējuma mērķis un būtība</w:t>
            </w:r>
          </w:p>
          <w:p w:rsidR="0060366C" w:rsidRPr="0060366C" w:rsidRDefault="0060366C" w:rsidP="0060366C">
            <w:pPr>
              <w:ind w:firstLine="720"/>
              <w:rPr>
                <w:lang w:eastAsia="lv-LV"/>
              </w:rPr>
            </w:pPr>
          </w:p>
          <w:p w:rsidR="0060366C" w:rsidRDefault="0060366C" w:rsidP="0060366C">
            <w:pPr>
              <w:rPr>
                <w:lang w:eastAsia="lv-LV"/>
              </w:rPr>
            </w:pPr>
          </w:p>
          <w:p w:rsidR="00CC1A56" w:rsidRPr="0060366C" w:rsidRDefault="0060366C" w:rsidP="0060366C">
            <w:pPr>
              <w:tabs>
                <w:tab w:val="left" w:pos="1020"/>
              </w:tabs>
              <w:rPr>
                <w:lang w:eastAsia="lv-LV"/>
              </w:rPr>
            </w:pPr>
            <w:r>
              <w:rPr>
                <w:lang w:eastAsia="lv-LV"/>
              </w:rPr>
              <w:tab/>
            </w:r>
          </w:p>
        </w:tc>
        <w:tc>
          <w:tcPr>
            <w:tcW w:w="3207" w:type="pct"/>
          </w:tcPr>
          <w:p w:rsidR="006657F7" w:rsidRPr="006657F7" w:rsidRDefault="004D6C65" w:rsidP="006657F7">
            <w:pPr>
              <w:pStyle w:val="ListParagraph"/>
              <w:numPr>
                <w:ilvl w:val="0"/>
                <w:numId w:val="18"/>
              </w:numPr>
              <w:shd w:val="clear" w:color="auto" w:fill="FFFFFF"/>
              <w:spacing w:after="0" w:line="240" w:lineRule="auto"/>
              <w:ind w:left="139" w:right="57" w:firstLine="0"/>
              <w:jc w:val="both"/>
              <w:rPr>
                <w:rFonts w:ascii="Times New Roman" w:hAnsi="Times New Roman" w:cs="Times New Roman"/>
                <w:sz w:val="24"/>
                <w:szCs w:val="24"/>
              </w:rPr>
            </w:pPr>
            <w:r w:rsidRPr="006657F7">
              <w:rPr>
                <w:rFonts w:ascii="Times New Roman" w:hAnsi="Times New Roman" w:cs="Times New Roman"/>
                <w:sz w:val="24"/>
                <w:szCs w:val="24"/>
              </w:rPr>
              <w:t xml:space="preserve">Šobrīd atbilstoši </w:t>
            </w:r>
            <w:r w:rsidR="0079484D" w:rsidRPr="006657F7">
              <w:rPr>
                <w:rFonts w:ascii="Times New Roman" w:hAnsi="Times New Roman" w:cs="Times New Roman"/>
                <w:sz w:val="24"/>
                <w:szCs w:val="24"/>
              </w:rPr>
              <w:t xml:space="preserve">darbības programmas „Cilvēkresursi un nodarbinātība” papildinājumā (turpmāk – </w:t>
            </w:r>
            <w:r w:rsidRPr="006657F7">
              <w:rPr>
                <w:rFonts w:ascii="Times New Roman" w:hAnsi="Times New Roman" w:cs="Times New Roman"/>
                <w:sz w:val="24"/>
                <w:szCs w:val="24"/>
              </w:rPr>
              <w:t>DPP</w:t>
            </w:r>
            <w:r w:rsidR="0079484D" w:rsidRPr="006657F7">
              <w:rPr>
                <w:rFonts w:ascii="Times New Roman" w:hAnsi="Times New Roman" w:cs="Times New Roman"/>
                <w:sz w:val="24"/>
                <w:szCs w:val="24"/>
              </w:rPr>
              <w:t>)</w:t>
            </w:r>
            <w:r w:rsidR="006657F7" w:rsidRPr="006657F7">
              <w:rPr>
                <w:rFonts w:ascii="Times New Roman" w:hAnsi="Times New Roman" w:cs="Times New Roman"/>
                <w:sz w:val="24"/>
                <w:szCs w:val="24"/>
              </w:rPr>
              <w:t xml:space="preserve"> noteiktajam, viena no mērķa grupām 1.4.1.1.1.apakš</w:t>
            </w:r>
            <w:r w:rsidR="000E08F6">
              <w:rPr>
                <w:rFonts w:ascii="Times New Roman" w:hAnsi="Times New Roman" w:cs="Times New Roman"/>
                <w:sz w:val="24"/>
                <w:szCs w:val="24"/>
              </w:rPr>
              <w:t>a</w:t>
            </w:r>
            <w:r w:rsidR="006657F7" w:rsidRPr="006657F7">
              <w:rPr>
                <w:rFonts w:ascii="Times New Roman" w:hAnsi="Times New Roman" w:cs="Times New Roman"/>
                <w:sz w:val="24"/>
                <w:szCs w:val="24"/>
              </w:rPr>
              <w:t>ktivi</w:t>
            </w:r>
            <w:r w:rsidR="000E08F6">
              <w:rPr>
                <w:rFonts w:ascii="Times New Roman" w:hAnsi="Times New Roman" w:cs="Times New Roman"/>
                <w:sz w:val="24"/>
                <w:szCs w:val="24"/>
              </w:rPr>
              <w:t>tā</w:t>
            </w:r>
            <w:r w:rsidR="006657F7" w:rsidRPr="006657F7">
              <w:rPr>
                <w:rFonts w:ascii="Times New Roman" w:hAnsi="Times New Roman" w:cs="Times New Roman"/>
                <w:sz w:val="24"/>
                <w:szCs w:val="24"/>
              </w:rPr>
              <w:t>tes “Kompleksi atbalsta pasākumi iedzīvotāju integrēšanai sabiedrībā un darba tirgū” (turpmāk – 1.4.1.1.1.apakšaktivitāte) un 1.4.1.1.2.apakšaktivitātes “Atbalstītās nodarbinātības pasākumi mērķgrupu bezdarbniekiem” (turpmāk – 1.4.1.1.2.apakšaktivitāte) ietvaros ir bezdarbnieki, kas atbilst Komisijas 2008.gada 6.augusta Regulas (EK) Nr.800/2008, kas atzīst noteiktas atbalsta kategorijas par saderīgām ar kopējo tirgu, piemērojot Līguma 87. un 88.pantu (vispārējā grupu atbrīvojuma regula), 2.panta 18.punktā noteiktajiem nelabvēlīgākā situācijā esoša darba ņēmēja un 19.punktā noteiktajiem īpaši nelabvēlīgā situācijā esoša darba ņēmēja kritērijiem.</w:t>
            </w:r>
          </w:p>
          <w:p w:rsidR="006657F7" w:rsidRDefault="006657F7" w:rsidP="006657F7">
            <w:pPr>
              <w:shd w:val="clear" w:color="auto" w:fill="FFFFFF"/>
              <w:spacing w:after="0" w:line="240" w:lineRule="auto"/>
              <w:ind w:left="139" w:right="57"/>
              <w:jc w:val="both"/>
              <w:rPr>
                <w:rFonts w:ascii="Times New Roman" w:hAnsi="Times New Roman" w:cs="Times New Roman"/>
                <w:sz w:val="24"/>
                <w:szCs w:val="24"/>
              </w:rPr>
            </w:pPr>
            <w:r>
              <w:rPr>
                <w:rFonts w:ascii="Times New Roman" w:hAnsi="Times New Roman" w:cs="Times New Roman"/>
                <w:sz w:val="24"/>
                <w:szCs w:val="24"/>
              </w:rPr>
              <w:t>Ņemot vērā, ka</w:t>
            </w:r>
            <w:r>
              <w:t xml:space="preserve"> </w:t>
            </w:r>
            <w:r w:rsidRPr="006657F7">
              <w:rPr>
                <w:rFonts w:ascii="Times New Roman" w:hAnsi="Times New Roman" w:cs="Times New Roman"/>
                <w:sz w:val="24"/>
                <w:szCs w:val="24"/>
              </w:rPr>
              <w:t>Komis</w:t>
            </w:r>
            <w:r>
              <w:rPr>
                <w:rFonts w:ascii="Times New Roman" w:hAnsi="Times New Roman" w:cs="Times New Roman"/>
                <w:sz w:val="24"/>
                <w:szCs w:val="24"/>
              </w:rPr>
              <w:t>ijas 2008.gada 6.augusta Regulu</w:t>
            </w:r>
            <w:r w:rsidRPr="006657F7">
              <w:rPr>
                <w:rFonts w:ascii="Times New Roman" w:hAnsi="Times New Roman" w:cs="Times New Roman"/>
                <w:sz w:val="24"/>
                <w:szCs w:val="24"/>
              </w:rPr>
              <w:t xml:space="preserve"> (EK) Nr.800/2008, kas atzīst noteiktas atbalsta kategorijas par saderīgām ar kopējo tirgu, piemērojot Līguma 87. un 88.pantu (vispārējā grupu atbrīvojuma regula)</w:t>
            </w:r>
            <w:r>
              <w:rPr>
                <w:rFonts w:ascii="Times New Roman" w:hAnsi="Times New Roman" w:cs="Times New Roman"/>
                <w:sz w:val="24"/>
                <w:szCs w:val="24"/>
              </w:rPr>
              <w:t xml:space="preserve"> piemēro līdz 2014.gada 30.jūnijam un to, ka regulu var piemērot sešus mēnešus pēc tās spēkā esamības perioda beigām (2014.gada 31.decembrim)</w:t>
            </w:r>
            <w:r w:rsidR="00F05E3E">
              <w:rPr>
                <w:rFonts w:ascii="Times New Roman" w:hAnsi="Times New Roman" w:cs="Times New Roman"/>
                <w:sz w:val="24"/>
                <w:szCs w:val="24"/>
              </w:rPr>
              <w:t>,</w:t>
            </w:r>
            <w:r w:rsidR="00F159B5">
              <w:rPr>
                <w:rFonts w:ascii="Times New Roman" w:hAnsi="Times New Roman" w:cs="Times New Roman"/>
                <w:sz w:val="24"/>
                <w:szCs w:val="24"/>
              </w:rPr>
              <w:t xml:space="preserve"> un to, ka spēkā ir stājies jauns regulējums, nepieciešams DPP noteikt, ka 1.4.1.1.1.apakšaktivitātes un 1.4.1.1.2.apakšaktivitātes viena no mērķa grupām ar 2015.gada janvāri būs bezdarbnieki, kas </w:t>
            </w:r>
            <w:r w:rsidR="00F159B5" w:rsidRPr="00F159B5">
              <w:rPr>
                <w:rFonts w:ascii="Times New Roman" w:hAnsi="Times New Roman" w:cs="Times New Roman"/>
                <w:sz w:val="24"/>
                <w:szCs w:val="24"/>
              </w:rPr>
              <w:t xml:space="preserve">atbilst Komisijas 2014.gada 17.jūnija Regulas (ES) Nr. 651/2014, ar ko noteiktas atbalsta kategorijas atzīst par saderīgām ar iekšējo tirgu, piemērojot Līguma 107. un 108.pantu </w:t>
            </w:r>
            <w:r w:rsidR="000220F0">
              <w:rPr>
                <w:rFonts w:ascii="Times New Roman" w:hAnsi="Times New Roman" w:cs="Times New Roman"/>
                <w:sz w:val="24"/>
                <w:szCs w:val="24"/>
              </w:rPr>
              <w:t xml:space="preserve">(turpmāk – Komisijas regula Nr.651/2014) </w:t>
            </w:r>
            <w:r w:rsidR="00F159B5" w:rsidRPr="00F159B5">
              <w:rPr>
                <w:rFonts w:ascii="Times New Roman" w:hAnsi="Times New Roman" w:cs="Times New Roman"/>
                <w:sz w:val="24"/>
                <w:szCs w:val="24"/>
              </w:rPr>
              <w:t>2.panta 4.punktā noteiktajiem nelabvēlīgākā situācijā esoša darba ņēmēja kritērijiem un 2.panta 99.punktā noteiktajiem īpaši nelabvēlīgā situācijā esoša darba ņēmēja kritērijiem</w:t>
            </w:r>
            <w:r w:rsidR="00F159B5">
              <w:rPr>
                <w:rFonts w:ascii="Times New Roman" w:hAnsi="Times New Roman" w:cs="Times New Roman"/>
                <w:sz w:val="24"/>
                <w:szCs w:val="24"/>
              </w:rPr>
              <w:t>.</w:t>
            </w:r>
          </w:p>
          <w:p w:rsidR="00F159B5" w:rsidRPr="00F159B5" w:rsidRDefault="00F159B5" w:rsidP="007B7F26">
            <w:pPr>
              <w:pStyle w:val="ListParagraph"/>
              <w:numPr>
                <w:ilvl w:val="0"/>
                <w:numId w:val="18"/>
              </w:numPr>
              <w:shd w:val="clear" w:color="auto" w:fill="FFFFFF"/>
              <w:spacing w:after="0" w:line="240" w:lineRule="auto"/>
              <w:ind w:left="139" w:right="57" w:hanging="14"/>
              <w:jc w:val="both"/>
              <w:rPr>
                <w:rFonts w:ascii="Times New Roman" w:hAnsi="Times New Roman" w:cs="Times New Roman"/>
                <w:sz w:val="24"/>
                <w:szCs w:val="24"/>
              </w:rPr>
            </w:pPr>
            <w:r>
              <w:rPr>
                <w:rFonts w:ascii="Times New Roman" w:hAnsi="Times New Roman" w:cs="Times New Roman"/>
                <w:sz w:val="24"/>
                <w:szCs w:val="24"/>
              </w:rPr>
              <w:t>Šobrīd</w:t>
            </w:r>
            <w:r w:rsidR="00F05E3E">
              <w:rPr>
                <w:rFonts w:ascii="Times New Roman" w:hAnsi="Times New Roman" w:cs="Times New Roman"/>
                <w:sz w:val="24"/>
                <w:szCs w:val="24"/>
              </w:rPr>
              <w:t>,</w:t>
            </w:r>
            <w:r>
              <w:rPr>
                <w:rFonts w:ascii="Times New Roman" w:hAnsi="Times New Roman" w:cs="Times New Roman"/>
                <w:sz w:val="24"/>
                <w:szCs w:val="24"/>
              </w:rPr>
              <w:t xml:space="preserve"> atbilstoši DPP noteiktajam</w:t>
            </w:r>
            <w:r w:rsidR="00F05E3E">
              <w:rPr>
                <w:rFonts w:ascii="Times New Roman" w:hAnsi="Times New Roman" w:cs="Times New Roman"/>
                <w:sz w:val="24"/>
                <w:szCs w:val="24"/>
              </w:rPr>
              <w:t>,</w:t>
            </w:r>
            <w:r>
              <w:rPr>
                <w:rFonts w:ascii="Times New Roman" w:hAnsi="Times New Roman" w:cs="Times New Roman"/>
                <w:sz w:val="24"/>
                <w:szCs w:val="24"/>
              </w:rPr>
              <w:t xml:space="preserve"> valsts atbalstu </w:t>
            </w:r>
            <w:r w:rsidR="00F05E3E">
              <w:rPr>
                <w:rFonts w:ascii="Times New Roman" w:hAnsi="Times New Roman" w:cs="Times New Roman"/>
                <w:sz w:val="24"/>
                <w:szCs w:val="24"/>
              </w:rPr>
              <w:t>1.4.1.1.2.apakša</w:t>
            </w:r>
            <w:r>
              <w:rPr>
                <w:rFonts w:ascii="Times New Roman" w:hAnsi="Times New Roman" w:cs="Times New Roman"/>
                <w:sz w:val="24"/>
                <w:szCs w:val="24"/>
              </w:rPr>
              <w:t xml:space="preserve">ktivitātes ietvaros sniedz </w:t>
            </w:r>
            <w:r w:rsidR="007B7F26">
              <w:rPr>
                <w:rFonts w:ascii="Times New Roman" w:hAnsi="Times New Roman" w:cs="Times New Roman"/>
                <w:sz w:val="24"/>
                <w:szCs w:val="24"/>
              </w:rPr>
              <w:t xml:space="preserve">saskaņā ar </w:t>
            </w:r>
            <w:r w:rsidR="007B7F26" w:rsidRPr="007B7F26">
              <w:rPr>
                <w:rFonts w:ascii="Times New Roman" w:hAnsi="Times New Roman" w:cs="Times New Roman"/>
                <w:sz w:val="24"/>
                <w:szCs w:val="24"/>
              </w:rPr>
              <w:t>Komisijas 2008.gada 6.augusta Regulā (EK) Nr.800/2008, kas atzīst noteiktas atbalsta kategorijas par saderīgām ar kopējo tirgu, piemērojot Līguma 87. un 88.pantu (Vispārējā grupu atbrīvojuma regula)</w:t>
            </w:r>
            <w:r w:rsidR="007B7F26">
              <w:rPr>
                <w:rFonts w:ascii="Times New Roman" w:hAnsi="Times New Roman" w:cs="Times New Roman"/>
                <w:sz w:val="24"/>
                <w:szCs w:val="24"/>
              </w:rPr>
              <w:t>,</w:t>
            </w:r>
            <w:r w:rsidR="007B7F26">
              <w:t xml:space="preserve"> </w:t>
            </w:r>
            <w:r w:rsidR="007B7F26" w:rsidRPr="007B7F26">
              <w:rPr>
                <w:rFonts w:ascii="Times New Roman" w:hAnsi="Times New Roman" w:cs="Times New Roman"/>
                <w:sz w:val="24"/>
                <w:szCs w:val="24"/>
              </w:rPr>
              <w:t>Komisi</w:t>
            </w:r>
            <w:r w:rsidR="007B7F26">
              <w:rPr>
                <w:rFonts w:ascii="Times New Roman" w:hAnsi="Times New Roman" w:cs="Times New Roman"/>
                <w:sz w:val="24"/>
                <w:szCs w:val="24"/>
              </w:rPr>
              <w:t xml:space="preserve">jas 2006.gada </w:t>
            </w:r>
            <w:r w:rsidR="007B7F26">
              <w:rPr>
                <w:rFonts w:ascii="Times New Roman" w:hAnsi="Times New Roman" w:cs="Times New Roman"/>
                <w:sz w:val="24"/>
                <w:szCs w:val="24"/>
              </w:rPr>
              <w:lastRenderedPageBreak/>
              <w:t xml:space="preserve">15.decembra </w:t>
            </w:r>
            <w:r w:rsidR="000E08F6">
              <w:rPr>
                <w:rFonts w:ascii="Times New Roman" w:hAnsi="Times New Roman" w:cs="Times New Roman"/>
                <w:sz w:val="24"/>
                <w:szCs w:val="24"/>
              </w:rPr>
              <w:t>R</w:t>
            </w:r>
            <w:r w:rsidR="007B7F26">
              <w:rPr>
                <w:rFonts w:ascii="Times New Roman" w:hAnsi="Times New Roman" w:cs="Times New Roman"/>
                <w:sz w:val="24"/>
                <w:szCs w:val="24"/>
              </w:rPr>
              <w:t>egulā</w:t>
            </w:r>
            <w:r w:rsidR="007B7F26" w:rsidRPr="007B7F26">
              <w:rPr>
                <w:rFonts w:ascii="Times New Roman" w:hAnsi="Times New Roman" w:cs="Times New Roman"/>
                <w:sz w:val="24"/>
                <w:szCs w:val="24"/>
              </w:rPr>
              <w:t xml:space="preserve"> (EK) Nr.1998/2006 par līguma 87. un 88.panta piemērošanu </w:t>
            </w:r>
            <w:r w:rsidR="007B7F26" w:rsidRPr="007B7F26">
              <w:rPr>
                <w:rFonts w:ascii="Times New Roman" w:hAnsi="Times New Roman" w:cs="Times New Roman"/>
                <w:i/>
                <w:sz w:val="24"/>
                <w:szCs w:val="24"/>
              </w:rPr>
              <w:t>de minimis</w:t>
            </w:r>
            <w:r w:rsidR="007B7F26" w:rsidRPr="007B7F26">
              <w:rPr>
                <w:rFonts w:ascii="Times New Roman" w:hAnsi="Times New Roman" w:cs="Times New Roman"/>
                <w:sz w:val="24"/>
                <w:szCs w:val="24"/>
              </w:rPr>
              <w:t xml:space="preserve"> atbalstam</w:t>
            </w:r>
            <w:r w:rsidR="007B7F26">
              <w:rPr>
                <w:rFonts w:ascii="Times New Roman" w:hAnsi="Times New Roman" w:cs="Times New Roman"/>
                <w:sz w:val="24"/>
                <w:szCs w:val="24"/>
              </w:rPr>
              <w:t xml:space="preserve">, </w:t>
            </w:r>
            <w:r w:rsidR="007B7F26" w:rsidRPr="007B7F26">
              <w:rPr>
                <w:rFonts w:ascii="Times New Roman" w:hAnsi="Times New Roman" w:cs="Times New Roman"/>
                <w:sz w:val="24"/>
                <w:szCs w:val="24"/>
              </w:rPr>
              <w:t xml:space="preserve">kā arī Komisijas 2007.gada 20.decembra Regulā (EK) Nr.1535/2007 par EK līguma 87. un 88.panta piemērošanu </w:t>
            </w:r>
            <w:r w:rsidR="007B7F26" w:rsidRPr="007B7F26">
              <w:rPr>
                <w:rFonts w:ascii="Times New Roman" w:hAnsi="Times New Roman" w:cs="Times New Roman"/>
                <w:i/>
                <w:sz w:val="24"/>
                <w:szCs w:val="24"/>
              </w:rPr>
              <w:t>de minimis</w:t>
            </w:r>
            <w:r w:rsidR="007B7F26" w:rsidRPr="007B7F26">
              <w:rPr>
                <w:rFonts w:ascii="Times New Roman" w:hAnsi="Times New Roman" w:cs="Times New Roman"/>
                <w:sz w:val="24"/>
                <w:szCs w:val="24"/>
              </w:rPr>
              <w:t xml:space="preserve"> atbalstam lauksaimniecības produktu ražošanas nozarē</w:t>
            </w:r>
            <w:r w:rsidR="007B7F26">
              <w:rPr>
                <w:rFonts w:ascii="Times New Roman" w:hAnsi="Times New Roman" w:cs="Times New Roman"/>
                <w:sz w:val="24"/>
                <w:szCs w:val="24"/>
              </w:rPr>
              <w:t xml:space="preserve"> un </w:t>
            </w:r>
            <w:r w:rsidR="007B7F26">
              <w:t xml:space="preserve"> </w:t>
            </w:r>
            <w:r w:rsidR="007B7F26" w:rsidRPr="007B7F26">
              <w:rPr>
                <w:rFonts w:ascii="Times New Roman" w:hAnsi="Times New Roman" w:cs="Times New Roman"/>
                <w:sz w:val="24"/>
                <w:szCs w:val="24"/>
              </w:rPr>
              <w:t xml:space="preserve">Komisijas 2007.gada 24.jūlija Regulā (EK) Nr.875/2007 par EK līguma 87. un 88.panta piemērošanu </w:t>
            </w:r>
            <w:r w:rsidR="007B7F26" w:rsidRPr="007B7F26">
              <w:rPr>
                <w:rFonts w:ascii="Times New Roman" w:hAnsi="Times New Roman" w:cs="Times New Roman"/>
                <w:i/>
                <w:sz w:val="24"/>
                <w:szCs w:val="24"/>
              </w:rPr>
              <w:t>de minimis</w:t>
            </w:r>
            <w:r w:rsidR="007B7F26" w:rsidRPr="007B7F26">
              <w:rPr>
                <w:rFonts w:ascii="Times New Roman" w:hAnsi="Times New Roman" w:cs="Times New Roman"/>
                <w:sz w:val="24"/>
                <w:szCs w:val="24"/>
              </w:rPr>
              <w:t xml:space="preserve"> atbalstam zivsaimniecības nozarē un par Regulas (EK) Nr.1860/2004 grozīšanu minētos nosacījumus</w:t>
            </w:r>
            <w:r w:rsidR="007B7F26">
              <w:rPr>
                <w:rFonts w:ascii="Times New Roman" w:hAnsi="Times New Roman" w:cs="Times New Roman"/>
                <w:sz w:val="24"/>
                <w:szCs w:val="24"/>
              </w:rPr>
              <w:t>.</w:t>
            </w:r>
          </w:p>
          <w:p w:rsidR="006657F7" w:rsidRDefault="007B7F26" w:rsidP="00EA0F8E">
            <w:pPr>
              <w:shd w:val="clear" w:color="auto" w:fill="FFFFFF"/>
              <w:spacing w:after="0" w:line="240" w:lineRule="auto"/>
              <w:ind w:left="139" w:right="57"/>
              <w:jc w:val="both"/>
              <w:rPr>
                <w:rFonts w:ascii="Times New Roman" w:hAnsi="Times New Roman" w:cs="Times New Roman"/>
                <w:sz w:val="24"/>
                <w:szCs w:val="24"/>
              </w:rPr>
            </w:pPr>
            <w:r>
              <w:rPr>
                <w:rFonts w:ascii="Times New Roman" w:hAnsi="Times New Roman" w:cs="Times New Roman"/>
                <w:sz w:val="24"/>
                <w:szCs w:val="24"/>
              </w:rPr>
              <w:t xml:space="preserve">Ņemot vērā, ka </w:t>
            </w:r>
            <w:r w:rsidRPr="007B7F26">
              <w:rPr>
                <w:rFonts w:ascii="Times New Roman" w:hAnsi="Times New Roman" w:cs="Times New Roman"/>
                <w:sz w:val="24"/>
                <w:szCs w:val="24"/>
              </w:rPr>
              <w:t xml:space="preserve">Komisijas </w:t>
            </w:r>
            <w:r w:rsidR="0075058A">
              <w:rPr>
                <w:rFonts w:ascii="Times New Roman" w:hAnsi="Times New Roman" w:cs="Times New Roman"/>
                <w:sz w:val="24"/>
                <w:szCs w:val="24"/>
              </w:rPr>
              <w:t>R</w:t>
            </w:r>
            <w:r w:rsidRPr="007B7F26">
              <w:rPr>
                <w:rFonts w:ascii="Times New Roman" w:hAnsi="Times New Roman" w:cs="Times New Roman"/>
                <w:sz w:val="24"/>
                <w:szCs w:val="24"/>
              </w:rPr>
              <w:t xml:space="preserve">egula Nr.1998/2006 un Komisijas </w:t>
            </w:r>
            <w:r w:rsidR="0075058A">
              <w:rPr>
                <w:rFonts w:ascii="Times New Roman" w:hAnsi="Times New Roman" w:cs="Times New Roman"/>
                <w:sz w:val="24"/>
                <w:szCs w:val="24"/>
              </w:rPr>
              <w:t>R</w:t>
            </w:r>
            <w:r w:rsidRPr="007B7F26">
              <w:rPr>
                <w:rFonts w:ascii="Times New Roman" w:hAnsi="Times New Roman" w:cs="Times New Roman"/>
                <w:sz w:val="24"/>
                <w:szCs w:val="24"/>
              </w:rPr>
              <w:t xml:space="preserve">egula Nr.1535/2007 </w:t>
            </w:r>
            <w:r>
              <w:rPr>
                <w:rFonts w:ascii="Times New Roman" w:hAnsi="Times New Roman" w:cs="Times New Roman"/>
                <w:sz w:val="24"/>
                <w:szCs w:val="24"/>
              </w:rPr>
              <w:t xml:space="preserve">ir zaudējušas spēku 2013.gada 31.decembrī un </w:t>
            </w:r>
            <w:r w:rsidRPr="007B7F26">
              <w:rPr>
                <w:rFonts w:ascii="Times New Roman" w:hAnsi="Times New Roman" w:cs="Times New Roman"/>
                <w:sz w:val="24"/>
                <w:szCs w:val="24"/>
              </w:rPr>
              <w:t>pēc to spēkā esības perioda beigām ir piemērojama vēl sešus mēnešus, t.i., līdz 2014.gada 30.jūnijam</w:t>
            </w:r>
            <w:r>
              <w:rPr>
                <w:rFonts w:ascii="Times New Roman" w:hAnsi="Times New Roman" w:cs="Times New Roman"/>
                <w:sz w:val="24"/>
                <w:szCs w:val="24"/>
              </w:rPr>
              <w:t xml:space="preserve">, kā arī to, ka ar 2014.gada 1.janvāri </w:t>
            </w:r>
            <w:r w:rsidR="000220F0">
              <w:rPr>
                <w:rFonts w:ascii="Times New Roman" w:hAnsi="Times New Roman" w:cs="Times New Roman"/>
                <w:sz w:val="24"/>
                <w:szCs w:val="24"/>
              </w:rPr>
              <w:t xml:space="preserve">un 1.jūliju </w:t>
            </w:r>
            <w:r>
              <w:rPr>
                <w:rFonts w:ascii="Times New Roman" w:hAnsi="Times New Roman" w:cs="Times New Roman"/>
                <w:sz w:val="24"/>
                <w:szCs w:val="24"/>
              </w:rPr>
              <w:t xml:space="preserve">spēkā ir jauns </w:t>
            </w:r>
            <w:r w:rsidRPr="007B7F26">
              <w:rPr>
                <w:rFonts w:ascii="Times New Roman" w:hAnsi="Times New Roman" w:cs="Times New Roman"/>
                <w:i/>
                <w:sz w:val="24"/>
                <w:szCs w:val="24"/>
              </w:rPr>
              <w:t>de minimis</w:t>
            </w:r>
            <w:r>
              <w:rPr>
                <w:rFonts w:ascii="Times New Roman" w:hAnsi="Times New Roman" w:cs="Times New Roman"/>
                <w:sz w:val="24"/>
                <w:szCs w:val="24"/>
              </w:rPr>
              <w:t xml:space="preserve"> atbalsta regulējums, nepieciešams noteikt, ka valsts atbalsts 1.4.1.1.2.apakšaktivitātes ietvaros tiks sniegts</w:t>
            </w:r>
            <w:r w:rsidR="0075058A">
              <w:rPr>
                <w:rFonts w:ascii="Times New Roman" w:hAnsi="Times New Roman" w:cs="Times New Roman"/>
                <w:sz w:val="24"/>
                <w:szCs w:val="24"/>
              </w:rPr>
              <w:t>,</w:t>
            </w:r>
            <w:r>
              <w:rPr>
                <w:rFonts w:ascii="Times New Roman" w:hAnsi="Times New Roman" w:cs="Times New Roman"/>
                <w:sz w:val="24"/>
                <w:szCs w:val="24"/>
              </w:rPr>
              <w:t xml:space="preserve"> ievērojot </w:t>
            </w:r>
            <w:r w:rsidRPr="007B7F26">
              <w:rPr>
                <w:rFonts w:ascii="Times New Roman" w:hAnsi="Times New Roman" w:cs="Times New Roman"/>
                <w:sz w:val="24"/>
                <w:szCs w:val="24"/>
              </w:rPr>
              <w:t>Komisijas 2013.gada 18.decembra Regulā (ES) Nr.1407/2013 par Līguma</w:t>
            </w:r>
            <w:r w:rsidR="0075058A">
              <w:rPr>
                <w:rFonts w:ascii="Times New Roman" w:hAnsi="Times New Roman" w:cs="Times New Roman"/>
                <w:sz w:val="24"/>
                <w:szCs w:val="24"/>
              </w:rPr>
              <w:t xml:space="preserve"> par Eiropas savienības darbību</w:t>
            </w:r>
            <w:r w:rsidRPr="007B7F26">
              <w:rPr>
                <w:rFonts w:ascii="Times New Roman" w:hAnsi="Times New Roman" w:cs="Times New Roman"/>
                <w:sz w:val="24"/>
                <w:szCs w:val="24"/>
              </w:rPr>
              <w:t xml:space="preserve"> 107. un 108.panta piemērošanu </w:t>
            </w:r>
            <w:r w:rsidRPr="007B7F26">
              <w:rPr>
                <w:rFonts w:ascii="Times New Roman" w:hAnsi="Times New Roman" w:cs="Times New Roman"/>
                <w:i/>
                <w:sz w:val="24"/>
                <w:szCs w:val="24"/>
              </w:rPr>
              <w:t>de minimis</w:t>
            </w:r>
            <w:r w:rsidRPr="007B7F26">
              <w:rPr>
                <w:rFonts w:ascii="Times New Roman" w:hAnsi="Times New Roman" w:cs="Times New Roman"/>
                <w:sz w:val="24"/>
                <w:szCs w:val="24"/>
              </w:rPr>
              <w:t xml:space="preserve"> atbalstam</w:t>
            </w:r>
            <w:r w:rsidR="000220F0">
              <w:rPr>
                <w:rFonts w:ascii="Times New Roman" w:hAnsi="Times New Roman" w:cs="Times New Roman"/>
                <w:sz w:val="24"/>
                <w:szCs w:val="24"/>
              </w:rPr>
              <w:t xml:space="preserve"> (turpmāk – Komisijas regula Nr.1407/2013)</w:t>
            </w:r>
            <w:r w:rsidRPr="007B7F26">
              <w:rPr>
                <w:rFonts w:ascii="Times New Roman" w:hAnsi="Times New Roman" w:cs="Times New Roman"/>
                <w:sz w:val="24"/>
                <w:szCs w:val="24"/>
              </w:rPr>
              <w:t xml:space="preserve">, Komisijas 2014. gada 27. jūnija Regulā (EK) Nr. 717/2014 par Līguma par Eiropas Savienības darbību </w:t>
            </w:r>
            <w:r w:rsidR="0075058A">
              <w:rPr>
                <w:rFonts w:ascii="Times New Roman" w:hAnsi="Times New Roman" w:cs="Times New Roman"/>
                <w:sz w:val="24"/>
                <w:szCs w:val="24"/>
              </w:rPr>
              <w:t>107</w:t>
            </w:r>
            <w:r w:rsidRPr="007B7F26">
              <w:rPr>
                <w:rFonts w:ascii="Times New Roman" w:hAnsi="Times New Roman" w:cs="Times New Roman"/>
                <w:sz w:val="24"/>
                <w:szCs w:val="24"/>
              </w:rPr>
              <w:t xml:space="preserve">. un </w:t>
            </w:r>
            <w:r w:rsidR="0075058A">
              <w:rPr>
                <w:rFonts w:ascii="Times New Roman" w:hAnsi="Times New Roman" w:cs="Times New Roman"/>
                <w:sz w:val="24"/>
                <w:szCs w:val="24"/>
              </w:rPr>
              <w:t>10</w:t>
            </w:r>
            <w:r w:rsidRPr="007B7F26">
              <w:rPr>
                <w:rFonts w:ascii="Times New Roman" w:hAnsi="Times New Roman" w:cs="Times New Roman"/>
                <w:sz w:val="24"/>
                <w:szCs w:val="24"/>
              </w:rPr>
              <w:t xml:space="preserve">8. panta piemērošanu </w:t>
            </w:r>
            <w:r w:rsidRPr="007B7F26">
              <w:rPr>
                <w:rFonts w:ascii="Times New Roman" w:hAnsi="Times New Roman" w:cs="Times New Roman"/>
                <w:i/>
                <w:sz w:val="24"/>
                <w:szCs w:val="24"/>
              </w:rPr>
              <w:t>de minimis</w:t>
            </w:r>
            <w:r w:rsidRPr="007B7F26">
              <w:rPr>
                <w:rFonts w:ascii="Times New Roman" w:hAnsi="Times New Roman" w:cs="Times New Roman"/>
                <w:sz w:val="24"/>
                <w:szCs w:val="24"/>
              </w:rPr>
              <w:t xml:space="preserve"> atbalstam zvejniecības un akvakultūras nozarē attiecībā uz zivsaimniecības uzņēmumiem, kas darbojas saskaņā ar Eiropas Parlamenta un Padomes 2013. gada 11.decembra Regulu (ES) Nr. 1379/2013 par zvejas un akvakultūras produktu tirgu kopīgo organizāciju</w:t>
            </w:r>
            <w:r w:rsidR="0075058A">
              <w:rPr>
                <w:rFonts w:ascii="Times New Roman" w:hAnsi="Times New Roman" w:cs="Times New Roman"/>
                <w:sz w:val="24"/>
                <w:szCs w:val="24"/>
              </w:rPr>
              <w:t xml:space="preserve"> un ar ko groza Padomes regulas (EK) Nr.1184/2006 un (EK) Nr.1224/2009 un atceļ </w:t>
            </w:r>
            <w:r w:rsidR="00F05E3E">
              <w:rPr>
                <w:rFonts w:ascii="Times New Roman" w:hAnsi="Times New Roman" w:cs="Times New Roman"/>
                <w:sz w:val="24"/>
                <w:szCs w:val="24"/>
              </w:rPr>
              <w:t>Padomes Regulu (EK) Nr.104/2000</w:t>
            </w:r>
            <w:r w:rsidR="000220F0">
              <w:rPr>
                <w:rFonts w:ascii="Times New Roman" w:hAnsi="Times New Roman" w:cs="Times New Roman"/>
                <w:sz w:val="24"/>
                <w:szCs w:val="24"/>
              </w:rPr>
              <w:t xml:space="preserve"> (turpmāk – Komisijas regula Nr.717/2014)</w:t>
            </w:r>
            <w:r w:rsidR="00F05E3E">
              <w:rPr>
                <w:rFonts w:ascii="Times New Roman" w:hAnsi="Times New Roman" w:cs="Times New Roman"/>
                <w:sz w:val="24"/>
                <w:szCs w:val="24"/>
              </w:rPr>
              <w:t>,</w:t>
            </w:r>
            <w:r w:rsidRPr="007B7F26">
              <w:rPr>
                <w:rFonts w:ascii="Times New Roman" w:hAnsi="Times New Roman" w:cs="Times New Roman"/>
                <w:sz w:val="24"/>
                <w:szCs w:val="24"/>
              </w:rPr>
              <w:t xml:space="preserve"> un  Komisijas 2013.gada 18.decembra Regulā (ES) Nr.1408/2013 par Līguma</w:t>
            </w:r>
            <w:r w:rsidR="0075058A">
              <w:rPr>
                <w:rFonts w:ascii="Times New Roman" w:hAnsi="Times New Roman" w:cs="Times New Roman"/>
                <w:sz w:val="24"/>
                <w:szCs w:val="24"/>
              </w:rPr>
              <w:t xml:space="preserve"> par Eiropas Savienības darbību</w:t>
            </w:r>
            <w:r w:rsidRPr="007B7F26">
              <w:rPr>
                <w:rFonts w:ascii="Times New Roman" w:hAnsi="Times New Roman" w:cs="Times New Roman"/>
                <w:sz w:val="24"/>
                <w:szCs w:val="24"/>
              </w:rPr>
              <w:t xml:space="preserve"> 107. un 108.panta piemērošanu </w:t>
            </w:r>
            <w:r w:rsidRPr="007B7F26">
              <w:rPr>
                <w:rFonts w:ascii="Times New Roman" w:hAnsi="Times New Roman" w:cs="Times New Roman"/>
                <w:i/>
                <w:sz w:val="24"/>
                <w:szCs w:val="24"/>
              </w:rPr>
              <w:t>de minimis</w:t>
            </w:r>
            <w:r w:rsidRPr="007B7F26">
              <w:rPr>
                <w:rFonts w:ascii="Times New Roman" w:hAnsi="Times New Roman" w:cs="Times New Roman"/>
                <w:sz w:val="24"/>
                <w:szCs w:val="24"/>
              </w:rPr>
              <w:t xml:space="preserve"> atbalstam lauksaimniecības nozarē</w:t>
            </w:r>
            <w:r w:rsidR="000220F0">
              <w:rPr>
                <w:rFonts w:ascii="Times New Roman" w:hAnsi="Times New Roman" w:cs="Times New Roman"/>
                <w:sz w:val="24"/>
                <w:szCs w:val="24"/>
              </w:rPr>
              <w:t xml:space="preserve"> (turpmāk – Komisijas regula Nr.1408/2013)</w:t>
            </w:r>
            <w:r w:rsidRPr="007B7F26">
              <w:rPr>
                <w:rFonts w:ascii="Times New Roman" w:hAnsi="Times New Roman" w:cs="Times New Roman"/>
                <w:sz w:val="24"/>
                <w:szCs w:val="24"/>
              </w:rPr>
              <w:t xml:space="preserve"> minētos nosacījumus</w:t>
            </w:r>
            <w:r>
              <w:rPr>
                <w:rFonts w:ascii="Times New Roman" w:hAnsi="Times New Roman" w:cs="Times New Roman"/>
                <w:sz w:val="24"/>
                <w:szCs w:val="24"/>
              </w:rPr>
              <w:t>.</w:t>
            </w:r>
          </w:p>
          <w:p w:rsidR="007B7F26" w:rsidRDefault="007B7F26" w:rsidP="00EA0F8E">
            <w:pPr>
              <w:shd w:val="clear" w:color="auto" w:fill="FFFFFF"/>
              <w:spacing w:after="0" w:line="240" w:lineRule="auto"/>
              <w:ind w:left="139" w:right="57"/>
              <w:jc w:val="both"/>
              <w:rPr>
                <w:rFonts w:ascii="Times New Roman" w:hAnsi="Times New Roman" w:cs="Times New Roman"/>
                <w:sz w:val="24"/>
                <w:szCs w:val="24"/>
              </w:rPr>
            </w:pPr>
            <w:r>
              <w:rPr>
                <w:rFonts w:ascii="Times New Roman" w:hAnsi="Times New Roman" w:cs="Times New Roman"/>
                <w:sz w:val="24"/>
                <w:szCs w:val="24"/>
              </w:rPr>
              <w:t xml:space="preserve">Papildus </w:t>
            </w:r>
            <w:r w:rsidR="00DD4F8E">
              <w:rPr>
                <w:rFonts w:ascii="Times New Roman" w:hAnsi="Times New Roman" w:cs="Times New Roman"/>
                <w:sz w:val="24"/>
                <w:szCs w:val="24"/>
              </w:rPr>
              <w:t>ir</w:t>
            </w:r>
            <w:r>
              <w:rPr>
                <w:rFonts w:ascii="Times New Roman" w:hAnsi="Times New Roman" w:cs="Times New Roman"/>
                <w:sz w:val="24"/>
                <w:szCs w:val="24"/>
              </w:rPr>
              <w:t xml:space="preserve"> nepieciešams noteikt, ka valsts atbalstu piešķir atbilstoši Komisijas </w:t>
            </w:r>
            <w:r w:rsidR="00A60613">
              <w:rPr>
                <w:rFonts w:ascii="Times New Roman" w:hAnsi="Times New Roman" w:cs="Times New Roman"/>
                <w:sz w:val="24"/>
                <w:szCs w:val="24"/>
              </w:rPr>
              <w:t>2008.gada 6.augusta Regulas</w:t>
            </w:r>
            <w:r w:rsidR="00A60613" w:rsidRPr="00A60613">
              <w:rPr>
                <w:rFonts w:ascii="Times New Roman" w:hAnsi="Times New Roman" w:cs="Times New Roman"/>
                <w:sz w:val="24"/>
                <w:szCs w:val="24"/>
              </w:rPr>
              <w:t xml:space="preserve"> (EK) Nr.800/2008, kas atzīst noteiktas atbalsta kategorijas par saderīgām ar kopējo tirgu, piemērojot Līguma 87. un 88.pantu (vispārējā grupu atbrīvojuma regula)</w:t>
            </w:r>
            <w:r w:rsidR="00A60613">
              <w:rPr>
                <w:rFonts w:ascii="Times New Roman" w:hAnsi="Times New Roman" w:cs="Times New Roman"/>
                <w:sz w:val="24"/>
                <w:szCs w:val="24"/>
              </w:rPr>
              <w:t xml:space="preserve"> nosacījumiem tikai līdz 2014.gada 31.decembrim, kad beidzas regulas piemērošanas pārejas posms.</w:t>
            </w:r>
          </w:p>
          <w:p w:rsidR="006657F7" w:rsidRDefault="00827CB0" w:rsidP="00EA0F8E">
            <w:pPr>
              <w:shd w:val="clear" w:color="auto" w:fill="FFFFFF"/>
              <w:spacing w:after="0" w:line="240" w:lineRule="auto"/>
              <w:ind w:left="139" w:right="57"/>
              <w:jc w:val="both"/>
              <w:rPr>
                <w:rFonts w:ascii="Times New Roman" w:hAnsi="Times New Roman" w:cs="Times New Roman"/>
                <w:sz w:val="24"/>
                <w:szCs w:val="24"/>
              </w:rPr>
            </w:pPr>
            <w:r>
              <w:rPr>
                <w:rFonts w:ascii="Times New Roman" w:hAnsi="Times New Roman" w:cs="Times New Roman"/>
                <w:sz w:val="24"/>
                <w:szCs w:val="24"/>
              </w:rPr>
              <w:t>Tā kā, saskaņā ar N</w:t>
            </w:r>
            <w:r w:rsidR="00F05E3E">
              <w:rPr>
                <w:rFonts w:ascii="Times New Roman" w:hAnsi="Times New Roman" w:cs="Times New Roman"/>
                <w:sz w:val="24"/>
                <w:szCs w:val="24"/>
              </w:rPr>
              <w:t xml:space="preserve">VA </w:t>
            </w:r>
            <w:r>
              <w:rPr>
                <w:rFonts w:ascii="Times New Roman" w:hAnsi="Times New Roman" w:cs="Times New Roman"/>
                <w:sz w:val="24"/>
                <w:szCs w:val="24"/>
              </w:rPr>
              <w:t>sniegto informāciju, 1.4.1.1.1.apakšaktivitātes projekta ietvaros jauni bezdarbnieki pasākumā “Darba vieta jaunietim” no 01.01.2014. vairs netiek iesaistīti un atbalstu saņem tikai tās personas, kas līgumu noslēgušas 2013.gadā, nav mērķtiecīgi šai apakšaktivitātei mainīt (aktualizēt) valsts atbalsta (</w:t>
            </w:r>
            <w:r w:rsidRPr="00827CB0">
              <w:rPr>
                <w:rFonts w:ascii="Times New Roman" w:hAnsi="Times New Roman" w:cs="Times New Roman"/>
                <w:i/>
                <w:sz w:val="24"/>
                <w:szCs w:val="24"/>
              </w:rPr>
              <w:t>de minimis</w:t>
            </w:r>
            <w:r>
              <w:rPr>
                <w:rFonts w:ascii="Times New Roman" w:hAnsi="Times New Roman" w:cs="Times New Roman"/>
                <w:sz w:val="24"/>
                <w:szCs w:val="24"/>
              </w:rPr>
              <w:t>) normatīvo regulējumu.</w:t>
            </w:r>
          </w:p>
          <w:p w:rsidR="002338DE" w:rsidRDefault="006A2348" w:rsidP="006A2348">
            <w:pPr>
              <w:pStyle w:val="ListParagraph"/>
              <w:shd w:val="clear" w:color="auto" w:fill="FFFFFF"/>
              <w:tabs>
                <w:tab w:val="left" w:pos="5940"/>
              </w:tabs>
              <w:spacing w:after="0" w:line="240" w:lineRule="auto"/>
              <w:ind w:left="139" w:right="141"/>
              <w:jc w:val="both"/>
              <w:rPr>
                <w:rFonts w:ascii="Times New Roman" w:hAnsi="Times New Roman" w:cs="Times New Roman"/>
                <w:sz w:val="24"/>
                <w:szCs w:val="24"/>
              </w:rPr>
            </w:pPr>
            <w:r>
              <w:rPr>
                <w:rFonts w:ascii="Times New Roman" w:hAnsi="Times New Roman" w:cs="Times New Roman"/>
                <w:sz w:val="24"/>
                <w:szCs w:val="24"/>
              </w:rPr>
              <w:t>3.</w:t>
            </w:r>
            <w:r w:rsidR="00A60613" w:rsidRPr="000220F0">
              <w:rPr>
                <w:rFonts w:ascii="Times New Roman" w:hAnsi="Times New Roman" w:cs="Times New Roman"/>
                <w:sz w:val="24"/>
                <w:szCs w:val="24"/>
              </w:rPr>
              <w:t>Ņemot vērā, ka</w:t>
            </w:r>
            <w:r w:rsidR="00A60613">
              <w:t xml:space="preserve"> </w:t>
            </w:r>
            <w:r w:rsidR="00A60613" w:rsidRPr="000220F0">
              <w:rPr>
                <w:rFonts w:ascii="Times New Roman" w:hAnsi="Times New Roman" w:cs="Times New Roman"/>
                <w:sz w:val="24"/>
                <w:szCs w:val="24"/>
              </w:rPr>
              <w:t xml:space="preserve">Komisijas 2007.gada 24.jūlija Regula (EK) Nr.875/2007 par Līguma 87. un 88.panta piemērošanu de </w:t>
            </w:r>
            <w:r w:rsidR="00A60613" w:rsidRPr="000220F0">
              <w:rPr>
                <w:rFonts w:ascii="Times New Roman" w:hAnsi="Times New Roman" w:cs="Times New Roman"/>
                <w:sz w:val="24"/>
                <w:szCs w:val="24"/>
              </w:rPr>
              <w:lastRenderedPageBreak/>
              <w:t xml:space="preserve">minimis atbalstam zivsaimniecības nozarē un par Regulas (EK) Nr.1860/2004 grozīšanu attiecībā uz zivsaimniecības uzņēmumiem, kas darbojas saskaņā ar Padomes 1999.gada 17.decembra Regulu (EK) Nr.104/2000 par zivsaimniecības un akvakultūras produktu tirgu kopīgo organizāciju ir zaudējusi spēku un </w:t>
            </w:r>
            <w:r w:rsidR="000220F0" w:rsidRPr="000220F0">
              <w:rPr>
                <w:rFonts w:ascii="Times New Roman" w:hAnsi="Times New Roman" w:cs="Times New Roman"/>
                <w:sz w:val="24"/>
                <w:szCs w:val="24"/>
              </w:rPr>
              <w:t xml:space="preserve">ar 2014.gada 1.jūliju </w:t>
            </w:r>
            <w:r w:rsidR="00A60613" w:rsidRPr="000220F0">
              <w:rPr>
                <w:rFonts w:ascii="Times New Roman" w:hAnsi="Times New Roman" w:cs="Times New Roman"/>
                <w:sz w:val="24"/>
                <w:szCs w:val="24"/>
              </w:rPr>
              <w:t xml:space="preserve">spēkā ir stājies jauns regulējums </w:t>
            </w:r>
            <w:r w:rsidR="00A60613" w:rsidRPr="000220F0">
              <w:rPr>
                <w:rFonts w:ascii="Times New Roman" w:hAnsi="Times New Roman" w:cs="Times New Roman"/>
                <w:i/>
                <w:sz w:val="24"/>
                <w:szCs w:val="24"/>
              </w:rPr>
              <w:t>de minimis</w:t>
            </w:r>
            <w:r w:rsidR="00A60613" w:rsidRPr="000220F0">
              <w:rPr>
                <w:rFonts w:ascii="Times New Roman" w:hAnsi="Times New Roman" w:cs="Times New Roman"/>
                <w:sz w:val="24"/>
                <w:szCs w:val="24"/>
              </w:rPr>
              <w:t xml:space="preserve"> atbalstam zivsaimniecības nozarē, nepieciešams precizēt regulējumu </w:t>
            </w:r>
            <w:r w:rsidR="004D6C65" w:rsidRPr="000220F0">
              <w:rPr>
                <w:rFonts w:ascii="Times New Roman" w:hAnsi="Times New Roman" w:cs="Times New Roman"/>
                <w:sz w:val="24"/>
                <w:szCs w:val="24"/>
              </w:rPr>
              <w:t xml:space="preserve">1.3.1.1.3.apakšaktivitātes „Bezdarbnieku un darba meklētāju apmācība” (turpmāk – 1.3.1.1.3.apakšaktivitāte) </w:t>
            </w:r>
            <w:r w:rsidR="002338DE" w:rsidRPr="000220F0">
              <w:rPr>
                <w:rFonts w:ascii="Times New Roman" w:hAnsi="Times New Roman" w:cs="Times New Roman"/>
                <w:sz w:val="24"/>
                <w:szCs w:val="24"/>
              </w:rPr>
              <w:t xml:space="preserve">valsts atbalsta sadaļā, nosakot, ka atbalstu sniedz arī atbilstoši </w:t>
            </w:r>
            <w:r w:rsidR="002338DE">
              <w:t xml:space="preserve"> </w:t>
            </w:r>
            <w:r w:rsidR="002338DE" w:rsidRPr="000220F0">
              <w:rPr>
                <w:rFonts w:ascii="Times New Roman" w:hAnsi="Times New Roman" w:cs="Times New Roman"/>
                <w:sz w:val="24"/>
                <w:szCs w:val="24"/>
              </w:rPr>
              <w:t xml:space="preserve">Komisijas </w:t>
            </w:r>
            <w:r w:rsidR="000220F0" w:rsidRPr="000220F0">
              <w:rPr>
                <w:rFonts w:ascii="Times New Roman" w:hAnsi="Times New Roman" w:cs="Times New Roman"/>
                <w:sz w:val="24"/>
                <w:szCs w:val="24"/>
              </w:rPr>
              <w:t>r</w:t>
            </w:r>
            <w:r w:rsidR="002338DE" w:rsidRPr="000220F0">
              <w:rPr>
                <w:rFonts w:ascii="Times New Roman" w:hAnsi="Times New Roman" w:cs="Times New Roman"/>
                <w:sz w:val="24"/>
                <w:szCs w:val="24"/>
              </w:rPr>
              <w:t xml:space="preserve">egulai </w:t>
            </w:r>
            <w:r w:rsidR="000220F0">
              <w:rPr>
                <w:rFonts w:ascii="Times New Roman" w:hAnsi="Times New Roman" w:cs="Times New Roman"/>
                <w:sz w:val="24"/>
                <w:szCs w:val="24"/>
              </w:rPr>
              <w:t>Nr. 717/2014.</w:t>
            </w:r>
          </w:p>
          <w:p w:rsidR="000220F0" w:rsidRPr="000220F0" w:rsidRDefault="000220F0" w:rsidP="000220F0">
            <w:pPr>
              <w:pStyle w:val="ListParagraph"/>
              <w:shd w:val="clear" w:color="auto" w:fill="FFFFFF"/>
              <w:tabs>
                <w:tab w:val="left" w:pos="5940"/>
              </w:tabs>
              <w:spacing w:after="0" w:line="240" w:lineRule="auto"/>
              <w:ind w:left="139" w:right="141"/>
              <w:jc w:val="both"/>
              <w:rPr>
                <w:rFonts w:ascii="Times New Roman" w:hAnsi="Times New Roman" w:cs="Times New Roman"/>
                <w:sz w:val="24"/>
                <w:szCs w:val="24"/>
              </w:rPr>
            </w:pPr>
          </w:p>
          <w:p w:rsidR="00CC1A56" w:rsidRPr="00EA0F8E" w:rsidRDefault="003B0FBE" w:rsidP="00F05E3E">
            <w:pPr>
              <w:tabs>
                <w:tab w:val="left" w:pos="5940"/>
              </w:tabs>
              <w:spacing w:after="0" w:line="240" w:lineRule="auto"/>
              <w:ind w:left="139" w:right="141"/>
              <w:jc w:val="both"/>
              <w:rPr>
                <w:rFonts w:ascii="Times New Roman" w:hAnsi="Times New Roman" w:cs="Times New Roman"/>
                <w:sz w:val="24"/>
                <w:szCs w:val="24"/>
              </w:rPr>
            </w:pPr>
            <w:r w:rsidRPr="00EA0F8E">
              <w:rPr>
                <w:rFonts w:ascii="Times New Roman" w:hAnsi="Times New Roman" w:cs="Times New Roman"/>
                <w:sz w:val="24"/>
                <w:szCs w:val="24"/>
              </w:rPr>
              <w:t>Ņemot vērā iepriekš minēto</w:t>
            </w:r>
            <w:r w:rsidR="00DF49D2" w:rsidRPr="00EA0F8E">
              <w:rPr>
                <w:rFonts w:ascii="Times New Roman" w:eastAsia="Times New Roman" w:hAnsi="Times New Roman" w:cs="Times New Roman"/>
                <w:sz w:val="24"/>
                <w:szCs w:val="24"/>
                <w:lang w:eastAsia="lv-LV"/>
              </w:rPr>
              <w:t>, nepieciešams v</w:t>
            </w:r>
            <w:r w:rsidR="00F05E3E">
              <w:rPr>
                <w:rFonts w:ascii="Times New Roman" w:eastAsia="Times New Roman" w:hAnsi="Times New Roman" w:cs="Times New Roman"/>
                <w:sz w:val="24"/>
                <w:szCs w:val="24"/>
                <w:lang w:eastAsia="lv-LV"/>
              </w:rPr>
              <w:t xml:space="preserve">eikt atbilstošus grozījumus DPP, </w:t>
            </w:r>
            <w:r w:rsidR="00F05E3E">
              <w:rPr>
                <w:rFonts w:ascii="Times New Roman" w:hAnsi="Times New Roman" w:cs="Times New Roman"/>
                <w:sz w:val="24"/>
                <w:szCs w:val="24"/>
              </w:rPr>
              <w:t>lai nodrošinātu atbalsta sniegšanas nepārtrauktību.</w:t>
            </w:r>
          </w:p>
        </w:tc>
      </w:tr>
      <w:tr w:rsidR="00CC1A56" w:rsidRPr="00EA0F8E" w:rsidTr="001E645F">
        <w:trPr>
          <w:trHeight w:val="476"/>
        </w:trPr>
        <w:tc>
          <w:tcPr>
            <w:tcW w:w="227" w:type="pct"/>
          </w:tcPr>
          <w:p w:rsidR="00CC1A56" w:rsidRPr="00EA0F8E" w:rsidRDefault="00CC1A56" w:rsidP="007D385B">
            <w:pPr>
              <w:pStyle w:val="naiskr"/>
              <w:spacing w:before="0" w:beforeAutospacing="0" w:after="0" w:afterAutospacing="0"/>
              <w:ind w:left="57" w:right="57"/>
              <w:jc w:val="center"/>
            </w:pPr>
            <w:r w:rsidRPr="00EA0F8E">
              <w:lastRenderedPageBreak/>
              <w:t>3.</w:t>
            </w:r>
          </w:p>
        </w:tc>
        <w:tc>
          <w:tcPr>
            <w:tcW w:w="1566" w:type="pct"/>
          </w:tcPr>
          <w:p w:rsidR="00CC1A56" w:rsidRPr="00EA0F8E" w:rsidRDefault="00CC1A56" w:rsidP="007D385B">
            <w:pPr>
              <w:pStyle w:val="naiskr"/>
              <w:spacing w:before="0" w:beforeAutospacing="0" w:after="0" w:afterAutospacing="0"/>
              <w:ind w:left="57" w:right="57"/>
            </w:pPr>
            <w:r w:rsidRPr="00EA0F8E">
              <w:t>Projekta izstrādē iesaistītās institūcijas</w:t>
            </w:r>
          </w:p>
        </w:tc>
        <w:tc>
          <w:tcPr>
            <w:tcW w:w="3207" w:type="pct"/>
          </w:tcPr>
          <w:p w:rsidR="00CC1A56" w:rsidRPr="00EA0F8E" w:rsidRDefault="002A161A" w:rsidP="00EA0F8E">
            <w:pPr>
              <w:spacing w:after="0" w:line="240" w:lineRule="auto"/>
              <w:ind w:left="139" w:right="57"/>
              <w:rPr>
                <w:rFonts w:ascii="Times New Roman" w:hAnsi="Times New Roman" w:cs="Times New Roman"/>
                <w:b/>
                <w:sz w:val="24"/>
                <w:szCs w:val="24"/>
              </w:rPr>
            </w:pPr>
            <w:r w:rsidRPr="00EA0F8E">
              <w:rPr>
                <w:rFonts w:ascii="Times New Roman" w:hAnsi="Times New Roman" w:cs="Times New Roman"/>
                <w:sz w:val="24"/>
                <w:szCs w:val="24"/>
              </w:rPr>
              <w:t>MK rīkojuma projekts šo jomu neskar</w:t>
            </w:r>
            <w:r w:rsidR="0093520F" w:rsidRPr="00EA0F8E">
              <w:rPr>
                <w:rFonts w:ascii="Times New Roman" w:hAnsi="Times New Roman" w:cs="Times New Roman"/>
                <w:sz w:val="24"/>
                <w:szCs w:val="24"/>
              </w:rPr>
              <w:t>.</w:t>
            </w:r>
          </w:p>
        </w:tc>
      </w:tr>
      <w:tr w:rsidR="00CC1A56" w:rsidRPr="00EA0F8E" w:rsidTr="001E645F">
        <w:tc>
          <w:tcPr>
            <w:tcW w:w="227" w:type="pct"/>
          </w:tcPr>
          <w:p w:rsidR="00CC1A56" w:rsidRPr="00EA0F8E" w:rsidRDefault="00CC1A56" w:rsidP="007D385B">
            <w:pPr>
              <w:pStyle w:val="naiskr"/>
              <w:spacing w:before="0" w:beforeAutospacing="0" w:after="0" w:afterAutospacing="0"/>
              <w:ind w:left="57" w:right="57"/>
              <w:jc w:val="center"/>
            </w:pPr>
            <w:r w:rsidRPr="00EA0F8E">
              <w:t>4.</w:t>
            </w:r>
          </w:p>
        </w:tc>
        <w:tc>
          <w:tcPr>
            <w:tcW w:w="1566" w:type="pct"/>
          </w:tcPr>
          <w:p w:rsidR="00CC1A56" w:rsidRPr="00EA0F8E" w:rsidRDefault="00CC1A56" w:rsidP="007D385B">
            <w:pPr>
              <w:pStyle w:val="naiskr"/>
              <w:spacing w:before="0" w:beforeAutospacing="0" w:after="0" w:afterAutospacing="0"/>
              <w:ind w:left="57" w:right="57"/>
            </w:pPr>
            <w:r w:rsidRPr="00EA0F8E">
              <w:t>Cita informācija</w:t>
            </w:r>
          </w:p>
        </w:tc>
        <w:tc>
          <w:tcPr>
            <w:tcW w:w="3207" w:type="pct"/>
          </w:tcPr>
          <w:p w:rsidR="009F64F8" w:rsidRPr="00EA0F8E" w:rsidRDefault="00EA0F8E" w:rsidP="00EA0F8E">
            <w:pPr>
              <w:spacing w:after="0" w:line="240" w:lineRule="auto"/>
              <w:ind w:left="139" w:right="141"/>
              <w:jc w:val="both"/>
              <w:rPr>
                <w:rFonts w:ascii="Times New Roman" w:hAnsi="Times New Roman" w:cs="Times New Roman"/>
                <w:sz w:val="24"/>
                <w:szCs w:val="24"/>
              </w:rPr>
            </w:pPr>
            <w:r w:rsidRPr="00EA0F8E">
              <w:rPr>
                <w:rFonts w:ascii="Times New Roman" w:hAnsi="Times New Roman" w:cs="Times New Roman"/>
                <w:sz w:val="24"/>
                <w:szCs w:val="24"/>
              </w:rPr>
              <w:t>Nav.</w:t>
            </w:r>
          </w:p>
        </w:tc>
      </w:tr>
    </w:tbl>
    <w:p w:rsidR="00E83DA0" w:rsidRPr="00EA0F8E" w:rsidRDefault="00E83DA0" w:rsidP="00CC1A56">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EA0F8E" w:rsidTr="00EA0F8E">
        <w:trPr>
          <w:trHeight w:val="556"/>
        </w:trPr>
        <w:tc>
          <w:tcPr>
            <w:tcW w:w="9503" w:type="dxa"/>
            <w:gridSpan w:val="3"/>
            <w:vAlign w:val="center"/>
          </w:tcPr>
          <w:p w:rsidR="00CC1A56" w:rsidRPr="00EA0F8E" w:rsidRDefault="00CC1A56" w:rsidP="007D385B">
            <w:pPr>
              <w:pStyle w:val="naisnod"/>
              <w:spacing w:before="0" w:beforeAutospacing="0" w:after="0" w:afterAutospacing="0"/>
              <w:ind w:left="57" w:right="57"/>
              <w:jc w:val="center"/>
              <w:rPr>
                <w:b/>
              </w:rPr>
            </w:pPr>
            <w:r w:rsidRPr="00EA0F8E">
              <w:rPr>
                <w:b/>
              </w:rPr>
              <w:t>II. Tiesību akta projekta ietekme uz sabiedrību, tautsaimniecības attīstību</w:t>
            </w:r>
          </w:p>
          <w:p w:rsidR="00CC1A56" w:rsidRPr="00EA0F8E" w:rsidRDefault="00CC1A56" w:rsidP="007D385B">
            <w:pPr>
              <w:pStyle w:val="naisnod"/>
              <w:spacing w:before="0" w:beforeAutospacing="0" w:after="0" w:afterAutospacing="0"/>
              <w:ind w:left="57" w:right="57"/>
              <w:jc w:val="center"/>
              <w:rPr>
                <w:b/>
              </w:rPr>
            </w:pPr>
            <w:r w:rsidRPr="00EA0F8E">
              <w:rPr>
                <w:b/>
              </w:rPr>
              <w:t>un administratīvo slogu</w:t>
            </w:r>
          </w:p>
        </w:tc>
      </w:tr>
      <w:tr w:rsidR="00CC1A56" w:rsidRPr="00EA0F8E" w:rsidTr="00EA0F8E">
        <w:trPr>
          <w:trHeight w:val="467"/>
        </w:trPr>
        <w:tc>
          <w:tcPr>
            <w:tcW w:w="431" w:type="dxa"/>
          </w:tcPr>
          <w:p w:rsidR="00CC1A56" w:rsidRPr="00EA0F8E" w:rsidRDefault="00CC1A56" w:rsidP="007D385B">
            <w:pPr>
              <w:pStyle w:val="naiskr"/>
              <w:spacing w:before="0" w:beforeAutospacing="0" w:after="0" w:afterAutospacing="0"/>
              <w:ind w:left="57" w:right="57"/>
              <w:jc w:val="both"/>
            </w:pPr>
            <w:r w:rsidRPr="00EA0F8E">
              <w:t>1.</w:t>
            </w:r>
          </w:p>
        </w:tc>
        <w:tc>
          <w:tcPr>
            <w:tcW w:w="2976" w:type="dxa"/>
          </w:tcPr>
          <w:p w:rsidR="00CC1A56" w:rsidRPr="00EA0F8E" w:rsidRDefault="00CC1A56" w:rsidP="007D385B">
            <w:pPr>
              <w:pStyle w:val="naiskr"/>
              <w:spacing w:before="0" w:beforeAutospacing="0" w:after="0" w:afterAutospacing="0"/>
              <w:ind w:left="57" w:right="57"/>
            </w:pPr>
            <w:r w:rsidRPr="00EA0F8E">
              <w:t>Sabiedrības mērķgrupas, kuras tiesiskais regulējums ietekmē vai varētu ietekmēt</w:t>
            </w:r>
          </w:p>
        </w:tc>
        <w:tc>
          <w:tcPr>
            <w:tcW w:w="6096" w:type="dxa"/>
          </w:tcPr>
          <w:p w:rsidR="00DF49D2" w:rsidRPr="00EA0F8E" w:rsidRDefault="002338DE" w:rsidP="002338DE">
            <w:pPr>
              <w:shd w:val="clear" w:color="auto" w:fill="FFFFFF"/>
              <w:spacing w:after="0" w:line="240" w:lineRule="auto"/>
              <w:ind w:left="132" w:right="142"/>
              <w:jc w:val="both"/>
              <w:rPr>
                <w:rFonts w:ascii="Times New Roman" w:hAnsi="Times New Roman" w:cs="Times New Roman"/>
                <w:sz w:val="24"/>
                <w:szCs w:val="24"/>
              </w:rPr>
            </w:pPr>
            <w:bookmarkStart w:id="1" w:name="p21"/>
            <w:bookmarkEnd w:id="1"/>
            <w:r>
              <w:rPr>
                <w:rFonts w:ascii="Times New Roman" w:hAnsi="Times New Roman" w:cs="Times New Roman"/>
                <w:sz w:val="24"/>
                <w:szCs w:val="24"/>
              </w:rPr>
              <w:t>B</w:t>
            </w:r>
            <w:r w:rsidR="00DF49D2" w:rsidRPr="00EA0F8E">
              <w:rPr>
                <w:rFonts w:ascii="Times New Roman" w:hAnsi="Times New Roman" w:cs="Times New Roman"/>
                <w:sz w:val="24"/>
                <w:szCs w:val="24"/>
              </w:rPr>
              <w:t xml:space="preserve">ezdarbnieki </w:t>
            </w:r>
            <w:r>
              <w:rPr>
                <w:rFonts w:ascii="Times New Roman" w:hAnsi="Times New Roman" w:cs="Times New Roman"/>
                <w:sz w:val="24"/>
                <w:szCs w:val="24"/>
              </w:rPr>
              <w:t xml:space="preserve">un darba meklētāji, īpaši nelabvēlīgā situācijā esoši </w:t>
            </w:r>
            <w:r w:rsidR="00F05E3E">
              <w:rPr>
                <w:rFonts w:ascii="Times New Roman" w:hAnsi="Times New Roman" w:cs="Times New Roman"/>
                <w:sz w:val="24"/>
                <w:szCs w:val="24"/>
              </w:rPr>
              <w:t>bezdarbnieki</w:t>
            </w:r>
            <w:r>
              <w:rPr>
                <w:rFonts w:ascii="Times New Roman" w:hAnsi="Times New Roman" w:cs="Times New Roman"/>
                <w:sz w:val="24"/>
                <w:szCs w:val="24"/>
              </w:rPr>
              <w:t>, bezdarbnieki ar invaliditāti.</w:t>
            </w:r>
          </w:p>
        </w:tc>
      </w:tr>
      <w:tr w:rsidR="00CC1A56" w:rsidRPr="00EA0F8E" w:rsidTr="00EA0F8E">
        <w:trPr>
          <w:trHeight w:val="523"/>
        </w:trPr>
        <w:tc>
          <w:tcPr>
            <w:tcW w:w="431" w:type="dxa"/>
          </w:tcPr>
          <w:p w:rsidR="00CC1A56" w:rsidRPr="00EA0F8E" w:rsidRDefault="00CC1A56" w:rsidP="007D385B">
            <w:pPr>
              <w:pStyle w:val="naiskr"/>
              <w:spacing w:before="0" w:beforeAutospacing="0" w:after="0" w:afterAutospacing="0"/>
              <w:ind w:left="57" w:right="57"/>
              <w:jc w:val="both"/>
            </w:pPr>
            <w:r w:rsidRPr="00EA0F8E">
              <w:t>2.</w:t>
            </w:r>
          </w:p>
        </w:tc>
        <w:tc>
          <w:tcPr>
            <w:tcW w:w="2976" w:type="dxa"/>
          </w:tcPr>
          <w:p w:rsidR="00CC1A56" w:rsidRPr="00EA0F8E" w:rsidRDefault="00CC1A56" w:rsidP="007D385B">
            <w:pPr>
              <w:pStyle w:val="naiskr"/>
              <w:spacing w:before="0" w:beforeAutospacing="0" w:after="0" w:afterAutospacing="0"/>
              <w:ind w:left="57" w:right="57"/>
            </w:pPr>
            <w:r w:rsidRPr="00EA0F8E">
              <w:t>Tiesiskā regulējuma ietekme uz tautsaimniecību un administratīvo slogu</w:t>
            </w:r>
          </w:p>
        </w:tc>
        <w:tc>
          <w:tcPr>
            <w:tcW w:w="6096" w:type="dxa"/>
          </w:tcPr>
          <w:p w:rsidR="00CC1A56" w:rsidRPr="00EA0F8E" w:rsidRDefault="00D404FE" w:rsidP="00EA0F8E">
            <w:pPr>
              <w:shd w:val="clear" w:color="auto" w:fill="FFFFFF"/>
              <w:spacing w:after="0" w:line="240" w:lineRule="auto"/>
              <w:ind w:left="137" w:right="142"/>
              <w:jc w:val="both"/>
              <w:rPr>
                <w:rFonts w:ascii="Times New Roman" w:hAnsi="Times New Roman" w:cs="Times New Roman"/>
                <w:sz w:val="24"/>
                <w:szCs w:val="24"/>
                <w:lang w:eastAsia="lv-LV"/>
              </w:rPr>
            </w:pPr>
            <w:r w:rsidRPr="00EA0F8E">
              <w:rPr>
                <w:rFonts w:ascii="Times New Roman" w:hAnsi="Times New Roman" w:cs="Times New Roman"/>
                <w:sz w:val="24"/>
                <w:szCs w:val="24"/>
                <w:lang w:eastAsia="lv-LV"/>
              </w:rPr>
              <w:t>Sabiedrības grupām un institūcijām projekta tiesiskais regulējums nemaina tiesības un pienākumus, kā arī veicamās darbības.</w:t>
            </w:r>
          </w:p>
        </w:tc>
      </w:tr>
      <w:tr w:rsidR="00CC1A56" w:rsidRPr="00EA0F8E" w:rsidTr="00EA0F8E">
        <w:trPr>
          <w:trHeight w:val="523"/>
        </w:trPr>
        <w:tc>
          <w:tcPr>
            <w:tcW w:w="431" w:type="dxa"/>
            <w:tcBorders>
              <w:bottom w:val="single" w:sz="4" w:space="0" w:color="auto"/>
            </w:tcBorders>
          </w:tcPr>
          <w:p w:rsidR="00CC1A56" w:rsidRPr="00EA0F8E" w:rsidRDefault="00CC1A56" w:rsidP="007D385B">
            <w:pPr>
              <w:pStyle w:val="naiskr"/>
              <w:spacing w:before="0" w:beforeAutospacing="0" w:after="0" w:afterAutospacing="0"/>
              <w:ind w:left="57" w:right="57"/>
              <w:jc w:val="both"/>
            </w:pPr>
            <w:r w:rsidRPr="00EA0F8E">
              <w:t>3.</w:t>
            </w:r>
          </w:p>
        </w:tc>
        <w:tc>
          <w:tcPr>
            <w:tcW w:w="2976" w:type="dxa"/>
            <w:tcBorders>
              <w:bottom w:val="single" w:sz="4" w:space="0" w:color="auto"/>
            </w:tcBorders>
          </w:tcPr>
          <w:p w:rsidR="00CC1A56" w:rsidRPr="00EA0F8E" w:rsidRDefault="00CC1A56" w:rsidP="007D385B">
            <w:pPr>
              <w:pStyle w:val="naiskr"/>
              <w:spacing w:before="0" w:beforeAutospacing="0" w:after="0" w:afterAutospacing="0"/>
              <w:ind w:left="57" w:right="57"/>
            </w:pPr>
            <w:r w:rsidRPr="00EA0F8E">
              <w:t>Administratīvo izmaksu monetārs novērtējums</w:t>
            </w:r>
          </w:p>
        </w:tc>
        <w:tc>
          <w:tcPr>
            <w:tcW w:w="6096" w:type="dxa"/>
            <w:tcBorders>
              <w:bottom w:val="single" w:sz="4" w:space="0" w:color="auto"/>
            </w:tcBorders>
          </w:tcPr>
          <w:p w:rsidR="00CC1A56" w:rsidRPr="00EA0F8E" w:rsidRDefault="00D404FE" w:rsidP="00EA0F8E">
            <w:pPr>
              <w:shd w:val="clear" w:color="auto" w:fill="FFFFFF"/>
              <w:spacing w:after="0" w:line="240" w:lineRule="auto"/>
              <w:ind w:left="137" w:right="57"/>
              <w:rPr>
                <w:rFonts w:ascii="Times New Roman" w:hAnsi="Times New Roman" w:cs="Times New Roman"/>
                <w:sz w:val="24"/>
                <w:szCs w:val="24"/>
                <w:lang w:eastAsia="lv-LV"/>
              </w:rPr>
            </w:pPr>
            <w:r w:rsidRPr="00EA0F8E">
              <w:rPr>
                <w:rFonts w:ascii="Times New Roman" w:hAnsi="Times New Roman" w:cs="Times New Roman"/>
                <w:sz w:val="24"/>
                <w:szCs w:val="24"/>
              </w:rPr>
              <w:t>MK rīkojuma projekts šo jomu neskar.</w:t>
            </w:r>
          </w:p>
        </w:tc>
      </w:tr>
      <w:tr w:rsidR="00CC1A56" w:rsidRPr="00EA0F8E" w:rsidTr="00EA0F8E">
        <w:trPr>
          <w:trHeight w:val="357"/>
        </w:trPr>
        <w:tc>
          <w:tcPr>
            <w:tcW w:w="431" w:type="dxa"/>
            <w:tcBorders>
              <w:bottom w:val="single" w:sz="4" w:space="0" w:color="auto"/>
            </w:tcBorders>
          </w:tcPr>
          <w:p w:rsidR="00CC1A56" w:rsidRPr="00EA0F8E" w:rsidRDefault="00CC1A56" w:rsidP="007D385B">
            <w:pPr>
              <w:pStyle w:val="naiskr"/>
              <w:spacing w:before="0" w:beforeAutospacing="0" w:after="0" w:afterAutospacing="0"/>
              <w:ind w:left="57" w:right="57"/>
              <w:jc w:val="both"/>
            </w:pPr>
            <w:r w:rsidRPr="00EA0F8E">
              <w:t>4.</w:t>
            </w:r>
          </w:p>
        </w:tc>
        <w:tc>
          <w:tcPr>
            <w:tcW w:w="2976" w:type="dxa"/>
            <w:tcBorders>
              <w:bottom w:val="single" w:sz="4" w:space="0" w:color="auto"/>
            </w:tcBorders>
          </w:tcPr>
          <w:p w:rsidR="00CC1A56" w:rsidRPr="00EA0F8E" w:rsidRDefault="00CC1A56" w:rsidP="007D385B">
            <w:pPr>
              <w:pStyle w:val="naiskr"/>
              <w:spacing w:before="0" w:beforeAutospacing="0" w:after="0" w:afterAutospacing="0"/>
              <w:ind w:left="57" w:right="57"/>
            </w:pPr>
            <w:r w:rsidRPr="00EA0F8E">
              <w:t>Cita informācija</w:t>
            </w:r>
          </w:p>
        </w:tc>
        <w:tc>
          <w:tcPr>
            <w:tcW w:w="6096" w:type="dxa"/>
            <w:tcBorders>
              <w:bottom w:val="single" w:sz="4" w:space="0" w:color="auto"/>
            </w:tcBorders>
          </w:tcPr>
          <w:p w:rsidR="00CC1A56" w:rsidRPr="00EA0F8E" w:rsidRDefault="007F44BF" w:rsidP="00EA0F8E">
            <w:pPr>
              <w:shd w:val="clear" w:color="auto" w:fill="FFFFFF"/>
              <w:spacing w:after="0" w:line="240" w:lineRule="auto"/>
              <w:ind w:left="137" w:right="57"/>
              <w:rPr>
                <w:rFonts w:ascii="Times New Roman" w:hAnsi="Times New Roman" w:cs="Times New Roman"/>
                <w:sz w:val="24"/>
                <w:szCs w:val="24"/>
              </w:rPr>
            </w:pPr>
            <w:r w:rsidRPr="00EA0F8E">
              <w:rPr>
                <w:rFonts w:ascii="Times New Roman" w:hAnsi="Times New Roman" w:cs="Times New Roman"/>
                <w:sz w:val="24"/>
                <w:szCs w:val="24"/>
              </w:rPr>
              <w:t>Nav.</w:t>
            </w:r>
          </w:p>
          <w:p w:rsidR="00F40BB1" w:rsidRPr="00EA0F8E" w:rsidRDefault="00F40BB1" w:rsidP="00EA0F8E">
            <w:pPr>
              <w:shd w:val="clear" w:color="auto" w:fill="FFFFFF"/>
              <w:spacing w:after="0" w:line="240" w:lineRule="auto"/>
              <w:ind w:left="137" w:right="57"/>
              <w:rPr>
                <w:rFonts w:ascii="Times New Roman" w:hAnsi="Times New Roman" w:cs="Times New Roman"/>
                <w:sz w:val="24"/>
                <w:szCs w:val="24"/>
                <w:lang w:eastAsia="lv-LV"/>
              </w:rPr>
            </w:pPr>
          </w:p>
        </w:tc>
      </w:tr>
      <w:tr w:rsidR="00A438D2" w:rsidRPr="00EA0F8E" w:rsidTr="00EA0F8E">
        <w:trPr>
          <w:trHeight w:val="357"/>
        </w:trPr>
        <w:tc>
          <w:tcPr>
            <w:tcW w:w="431" w:type="dxa"/>
            <w:tcBorders>
              <w:top w:val="single" w:sz="4" w:space="0" w:color="auto"/>
              <w:left w:val="nil"/>
              <w:bottom w:val="nil"/>
              <w:right w:val="nil"/>
            </w:tcBorders>
          </w:tcPr>
          <w:p w:rsidR="00A438D2" w:rsidRPr="00EA0F8E" w:rsidRDefault="00A438D2" w:rsidP="007D385B">
            <w:pPr>
              <w:pStyle w:val="naiskr"/>
              <w:spacing w:before="0" w:beforeAutospacing="0" w:after="0" w:afterAutospacing="0"/>
              <w:ind w:left="57" w:right="57"/>
              <w:jc w:val="both"/>
            </w:pPr>
          </w:p>
        </w:tc>
        <w:tc>
          <w:tcPr>
            <w:tcW w:w="2976" w:type="dxa"/>
            <w:tcBorders>
              <w:top w:val="single" w:sz="4" w:space="0" w:color="auto"/>
              <w:left w:val="nil"/>
              <w:bottom w:val="nil"/>
              <w:right w:val="nil"/>
            </w:tcBorders>
          </w:tcPr>
          <w:p w:rsidR="00A438D2" w:rsidRPr="00EA0F8E" w:rsidRDefault="00A438D2" w:rsidP="007D385B">
            <w:pPr>
              <w:pStyle w:val="naiskr"/>
              <w:spacing w:before="0" w:beforeAutospacing="0" w:after="0" w:afterAutospacing="0"/>
              <w:ind w:left="57" w:right="57"/>
            </w:pPr>
          </w:p>
        </w:tc>
        <w:tc>
          <w:tcPr>
            <w:tcW w:w="6096" w:type="dxa"/>
            <w:tcBorders>
              <w:top w:val="single" w:sz="4" w:space="0" w:color="auto"/>
              <w:left w:val="nil"/>
              <w:bottom w:val="nil"/>
              <w:right w:val="nil"/>
            </w:tcBorders>
          </w:tcPr>
          <w:p w:rsidR="00F40BB1" w:rsidRPr="00EA0F8E" w:rsidRDefault="00F40BB1" w:rsidP="007D385B">
            <w:pPr>
              <w:shd w:val="clear" w:color="auto" w:fill="FFFFFF"/>
              <w:spacing w:after="0" w:line="240" w:lineRule="auto"/>
              <w:ind w:left="57" w:right="57"/>
              <w:rPr>
                <w:rFonts w:ascii="Times New Roman" w:hAnsi="Times New Roman" w:cs="Times New Roman"/>
                <w:sz w:val="24"/>
                <w:szCs w:val="24"/>
              </w:rPr>
            </w:pPr>
          </w:p>
        </w:tc>
      </w:tr>
    </w:tbl>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927"/>
        <w:gridCol w:w="6114"/>
      </w:tblGrid>
      <w:tr w:rsidR="00CC1A56" w:rsidRPr="00EA0F8E" w:rsidTr="007D385B">
        <w:trPr>
          <w:trHeight w:val="461"/>
          <w:jc w:val="center"/>
        </w:trPr>
        <w:tc>
          <w:tcPr>
            <w:tcW w:w="9511" w:type="dxa"/>
            <w:gridSpan w:val="3"/>
            <w:vAlign w:val="center"/>
          </w:tcPr>
          <w:p w:rsidR="00CC1A56" w:rsidRPr="00EA0F8E" w:rsidRDefault="00CC1A56" w:rsidP="007D385B">
            <w:pPr>
              <w:pStyle w:val="naisnod"/>
              <w:spacing w:before="0" w:beforeAutospacing="0" w:after="0" w:afterAutospacing="0"/>
              <w:jc w:val="center"/>
              <w:rPr>
                <w:b/>
              </w:rPr>
            </w:pPr>
            <w:r w:rsidRPr="00EA0F8E">
              <w:br w:type="page"/>
            </w:r>
            <w:r w:rsidRPr="00EA0F8E">
              <w:rPr>
                <w:b/>
              </w:rPr>
              <w:t>IV. Tiesību akta projekta ietekme uz spēkā esošo tiesību normu sistēmu</w:t>
            </w:r>
          </w:p>
        </w:tc>
      </w:tr>
      <w:tr w:rsidR="00CC1A56" w:rsidRPr="00EA0F8E" w:rsidTr="00EA0F8E">
        <w:trPr>
          <w:jc w:val="center"/>
        </w:trPr>
        <w:tc>
          <w:tcPr>
            <w:tcW w:w="470" w:type="dxa"/>
          </w:tcPr>
          <w:p w:rsidR="00CC1A56" w:rsidRPr="00EA0F8E" w:rsidRDefault="00CC1A56" w:rsidP="007D385B">
            <w:pPr>
              <w:pStyle w:val="naiskr"/>
              <w:tabs>
                <w:tab w:val="left" w:pos="2628"/>
              </w:tabs>
              <w:spacing w:before="0" w:beforeAutospacing="0" w:after="0" w:afterAutospacing="0"/>
              <w:jc w:val="both"/>
              <w:rPr>
                <w:iCs/>
              </w:rPr>
            </w:pPr>
            <w:r w:rsidRPr="00EA0F8E">
              <w:rPr>
                <w:iCs/>
              </w:rPr>
              <w:t>1.</w:t>
            </w:r>
          </w:p>
        </w:tc>
        <w:tc>
          <w:tcPr>
            <w:tcW w:w="2927" w:type="dxa"/>
          </w:tcPr>
          <w:p w:rsidR="00CC1A56" w:rsidRPr="00EA0F8E" w:rsidRDefault="00CC1A56" w:rsidP="007D385B">
            <w:pPr>
              <w:pStyle w:val="naiskr"/>
              <w:tabs>
                <w:tab w:val="left" w:pos="2628"/>
              </w:tabs>
              <w:spacing w:before="0" w:beforeAutospacing="0" w:after="0" w:afterAutospacing="0"/>
              <w:jc w:val="both"/>
              <w:rPr>
                <w:iCs/>
              </w:rPr>
            </w:pPr>
            <w:r w:rsidRPr="00EA0F8E">
              <w:t>Nepieciešamie saistītie tiesību aktu projekti</w:t>
            </w:r>
          </w:p>
        </w:tc>
        <w:tc>
          <w:tcPr>
            <w:tcW w:w="6114" w:type="dxa"/>
          </w:tcPr>
          <w:p w:rsidR="002338DE" w:rsidRDefault="00365B8E" w:rsidP="00EA0F8E">
            <w:pPr>
              <w:shd w:val="clear" w:color="auto" w:fill="FFFFFF"/>
              <w:spacing w:after="0" w:line="240" w:lineRule="auto"/>
              <w:jc w:val="both"/>
              <w:rPr>
                <w:rFonts w:ascii="Times New Roman" w:hAnsi="Times New Roman" w:cs="Times New Roman"/>
                <w:sz w:val="24"/>
                <w:szCs w:val="24"/>
              </w:rPr>
            </w:pPr>
            <w:r w:rsidRPr="00EA0F8E">
              <w:rPr>
                <w:rFonts w:ascii="Times New Roman" w:hAnsi="Times New Roman" w:cs="Times New Roman"/>
                <w:sz w:val="24"/>
                <w:szCs w:val="24"/>
              </w:rPr>
              <w:t>MK rīkojuma projekts rada nepieciešamību veikt atbilstošus grozījumus</w:t>
            </w:r>
            <w:r w:rsidR="002338DE">
              <w:rPr>
                <w:rFonts w:ascii="Times New Roman" w:hAnsi="Times New Roman" w:cs="Times New Roman"/>
                <w:sz w:val="24"/>
                <w:szCs w:val="24"/>
              </w:rPr>
              <w:t>:</w:t>
            </w:r>
          </w:p>
          <w:p w:rsidR="004F6B68" w:rsidRPr="002338DE" w:rsidRDefault="00EA0F8E" w:rsidP="002338DE">
            <w:pPr>
              <w:pStyle w:val="ListParagraph"/>
              <w:numPr>
                <w:ilvl w:val="0"/>
                <w:numId w:val="19"/>
              </w:numPr>
              <w:shd w:val="clear" w:color="auto" w:fill="FFFFFF"/>
              <w:spacing w:after="0" w:line="240" w:lineRule="auto"/>
              <w:jc w:val="both"/>
              <w:rPr>
                <w:rFonts w:ascii="Times New Roman" w:hAnsi="Times New Roman" w:cs="Times New Roman"/>
                <w:sz w:val="24"/>
                <w:szCs w:val="24"/>
              </w:rPr>
            </w:pPr>
            <w:r w:rsidRPr="002338DE">
              <w:rPr>
                <w:rFonts w:ascii="Times New Roman" w:hAnsi="Times New Roman" w:cs="Times New Roman"/>
                <w:sz w:val="24"/>
                <w:szCs w:val="24"/>
              </w:rPr>
              <w:t xml:space="preserve">MK </w:t>
            </w:r>
            <w:r w:rsidR="002338DE">
              <w:rPr>
                <w:rFonts w:ascii="Times New Roman" w:hAnsi="Times New Roman" w:cs="Times New Roman"/>
                <w:color w:val="000000"/>
                <w:sz w:val="24"/>
                <w:szCs w:val="24"/>
              </w:rPr>
              <w:t>2011.gada 1.marta noteikumos Nr.170 “</w:t>
            </w:r>
            <w:r w:rsidR="002338DE" w:rsidRPr="002338DE">
              <w:rPr>
                <w:rFonts w:ascii="Times New Roman" w:hAnsi="Times New Roman" w:cs="Times New Roman"/>
                <w:color w:val="000000"/>
                <w:sz w:val="24"/>
                <w:szCs w:val="24"/>
              </w:rPr>
              <w:t xml:space="preserve">Noteikumi par darbības programmas </w:t>
            </w:r>
            <w:r w:rsidR="002338DE">
              <w:rPr>
                <w:rFonts w:ascii="Times New Roman" w:hAnsi="Times New Roman" w:cs="Times New Roman"/>
                <w:color w:val="000000"/>
                <w:sz w:val="24"/>
                <w:szCs w:val="24"/>
              </w:rPr>
              <w:t>"Cilvēkresursi un nodarbinātība” papildi</w:t>
            </w:r>
            <w:r w:rsidR="002338DE" w:rsidRPr="002338DE">
              <w:rPr>
                <w:rFonts w:ascii="Times New Roman" w:hAnsi="Times New Roman" w:cs="Times New Roman"/>
                <w:color w:val="000000"/>
                <w:sz w:val="24"/>
                <w:szCs w:val="24"/>
              </w:rPr>
              <w:t>nājuma 1.4.1.1.1.apakšaktivitāti "Kompleksi atbalsta pasākumi iedzīvotāju integrēšanai sabiedrībā un darba tirgū</w:t>
            </w:r>
            <w:r w:rsidR="002338DE">
              <w:rPr>
                <w:rFonts w:ascii="Times New Roman" w:hAnsi="Times New Roman" w:cs="Times New Roman"/>
                <w:color w:val="000000"/>
                <w:sz w:val="24"/>
                <w:szCs w:val="24"/>
              </w:rPr>
              <w:t>”</w:t>
            </w:r>
            <w:r w:rsidR="00F05E3E">
              <w:rPr>
                <w:rFonts w:ascii="Times New Roman" w:hAnsi="Times New Roman" w:cs="Times New Roman"/>
                <w:color w:val="000000"/>
                <w:sz w:val="24"/>
                <w:szCs w:val="24"/>
              </w:rPr>
              <w:t>”</w:t>
            </w:r>
            <w:r w:rsidR="002338DE">
              <w:rPr>
                <w:rFonts w:ascii="Times New Roman" w:hAnsi="Times New Roman" w:cs="Times New Roman"/>
                <w:color w:val="000000"/>
                <w:sz w:val="24"/>
                <w:szCs w:val="24"/>
              </w:rPr>
              <w:t>;</w:t>
            </w:r>
          </w:p>
          <w:p w:rsidR="002338DE" w:rsidRDefault="002338DE" w:rsidP="002338DE">
            <w:pPr>
              <w:pStyle w:val="ListParagraph"/>
              <w:numPr>
                <w:ilvl w:val="0"/>
                <w:numId w:val="19"/>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MK 2008.gada 8.aprīļa noteikumos Nr.258 “</w:t>
            </w:r>
            <w:r w:rsidRPr="002338DE">
              <w:rPr>
                <w:rFonts w:ascii="Times New Roman" w:hAnsi="Times New Roman" w:cs="Times New Roman"/>
                <w:sz w:val="24"/>
                <w:szCs w:val="24"/>
              </w:rPr>
              <w:t>Noteikumi par darbības programmas „Cilvēkresursi un nodarbinātība” papildinājuma apakšaktivitāti „Atbalstītās nodarbinātības pasākumi mērķgrupu bezdarbniekiem</w:t>
            </w:r>
            <w:r>
              <w:rPr>
                <w:rFonts w:ascii="Times New Roman" w:hAnsi="Times New Roman" w:cs="Times New Roman"/>
                <w:sz w:val="24"/>
                <w:szCs w:val="24"/>
              </w:rPr>
              <w:t>”</w:t>
            </w:r>
            <w:r w:rsidR="006A2348">
              <w:rPr>
                <w:rFonts w:ascii="Times New Roman" w:hAnsi="Times New Roman" w:cs="Times New Roman"/>
                <w:sz w:val="24"/>
                <w:szCs w:val="24"/>
              </w:rPr>
              <w:t>;</w:t>
            </w:r>
          </w:p>
          <w:p w:rsidR="006A2348" w:rsidRPr="002338DE" w:rsidRDefault="006A2348" w:rsidP="002338DE">
            <w:pPr>
              <w:pStyle w:val="ListParagraph"/>
              <w:numPr>
                <w:ilvl w:val="0"/>
                <w:numId w:val="19"/>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2007.gada 30.oktobra noteikumos Nr.732 “Noteikumi par darbības programmas “Cilvēkresursi un nodarbinātība” papildinājuma apakšaktivitātes </w:t>
            </w:r>
            <w:r>
              <w:rPr>
                <w:rFonts w:ascii="Times New Roman" w:hAnsi="Times New Roman" w:cs="Times New Roman"/>
                <w:sz w:val="24"/>
                <w:szCs w:val="24"/>
              </w:rPr>
              <w:lastRenderedPageBreak/>
              <w:t>“Bezdarbnieku un darba meklētāju apmācība” pirmo un otro kārtu”.</w:t>
            </w:r>
          </w:p>
          <w:p w:rsidR="00CC1A56" w:rsidRPr="00EA0F8E" w:rsidRDefault="00365B8E" w:rsidP="00C07FB5">
            <w:pPr>
              <w:shd w:val="clear" w:color="auto" w:fill="FFFFFF"/>
              <w:spacing w:after="0" w:line="240" w:lineRule="auto"/>
              <w:jc w:val="both"/>
              <w:rPr>
                <w:rFonts w:ascii="Times New Roman" w:hAnsi="Times New Roman" w:cs="Times New Roman"/>
                <w:color w:val="000000"/>
                <w:sz w:val="24"/>
                <w:szCs w:val="24"/>
                <w:lang w:eastAsia="lv-LV"/>
              </w:rPr>
            </w:pPr>
            <w:r w:rsidRPr="00EA0F8E">
              <w:rPr>
                <w:rFonts w:ascii="Times New Roman" w:hAnsi="Times New Roman" w:cs="Times New Roman"/>
                <w:sz w:val="24"/>
                <w:szCs w:val="24"/>
              </w:rPr>
              <w:t>Minētie grozījumi tiesību akt</w:t>
            </w:r>
            <w:r w:rsidR="00F05E3E">
              <w:rPr>
                <w:rFonts w:ascii="Times New Roman" w:hAnsi="Times New Roman" w:cs="Times New Roman"/>
                <w:sz w:val="24"/>
                <w:szCs w:val="24"/>
              </w:rPr>
              <w:t>os</w:t>
            </w:r>
            <w:r w:rsidRPr="00EA0F8E">
              <w:rPr>
                <w:rFonts w:ascii="Times New Roman" w:hAnsi="Times New Roman" w:cs="Times New Roman"/>
                <w:sz w:val="24"/>
                <w:szCs w:val="24"/>
              </w:rPr>
              <w:t xml:space="preserve"> tiks iesniegti Valsts kancelejā </w:t>
            </w:r>
            <w:r w:rsidR="001F6B3E" w:rsidRPr="00EA0F8E">
              <w:rPr>
                <w:rFonts w:ascii="Times New Roman" w:hAnsi="Times New Roman" w:cs="Times New Roman"/>
                <w:sz w:val="24"/>
                <w:szCs w:val="24"/>
              </w:rPr>
              <w:t>tālākai virzībai</w:t>
            </w:r>
            <w:r w:rsidRPr="00EA0F8E">
              <w:rPr>
                <w:rFonts w:ascii="Times New Roman" w:hAnsi="Times New Roman" w:cs="Times New Roman"/>
                <w:sz w:val="24"/>
                <w:szCs w:val="24"/>
              </w:rPr>
              <w:t xml:space="preserve"> MK sēd</w:t>
            </w:r>
            <w:r w:rsidR="001F6B3E" w:rsidRPr="00EA0F8E">
              <w:rPr>
                <w:rFonts w:ascii="Times New Roman" w:hAnsi="Times New Roman" w:cs="Times New Roman"/>
                <w:sz w:val="24"/>
                <w:szCs w:val="24"/>
              </w:rPr>
              <w:t xml:space="preserve">ē indikatīvi 2014.gada </w:t>
            </w:r>
            <w:r w:rsidR="002338DE">
              <w:rPr>
                <w:rFonts w:ascii="Times New Roman" w:hAnsi="Times New Roman" w:cs="Times New Roman"/>
                <w:sz w:val="24"/>
                <w:szCs w:val="24"/>
              </w:rPr>
              <w:t>augustā</w:t>
            </w:r>
            <w:r w:rsidR="004F1F9A" w:rsidRPr="00EA0F8E">
              <w:rPr>
                <w:rFonts w:ascii="Times New Roman" w:hAnsi="Times New Roman" w:cs="Times New Roman"/>
                <w:sz w:val="24"/>
                <w:szCs w:val="24"/>
              </w:rPr>
              <w:t xml:space="preserve"> </w:t>
            </w:r>
            <w:r w:rsidR="001F6B3E" w:rsidRPr="00EA0F8E">
              <w:rPr>
                <w:rFonts w:ascii="Times New Roman" w:hAnsi="Times New Roman" w:cs="Times New Roman"/>
                <w:sz w:val="24"/>
                <w:szCs w:val="24"/>
              </w:rPr>
              <w:t xml:space="preserve">un var tikt virzīti izskatīšanai MK sēdē vienlaikus ar vai pēc šī rīkojuma projekta </w:t>
            </w:r>
            <w:r w:rsidR="002A4ADA" w:rsidRPr="00EA0F8E">
              <w:rPr>
                <w:rFonts w:ascii="Times New Roman" w:hAnsi="Times New Roman" w:cs="Times New Roman"/>
                <w:sz w:val="24"/>
                <w:szCs w:val="24"/>
              </w:rPr>
              <w:t xml:space="preserve">izskatīšanas un </w:t>
            </w:r>
            <w:r w:rsidR="001F6B3E" w:rsidRPr="00EA0F8E">
              <w:rPr>
                <w:rFonts w:ascii="Times New Roman" w:hAnsi="Times New Roman" w:cs="Times New Roman"/>
                <w:sz w:val="24"/>
                <w:szCs w:val="24"/>
              </w:rPr>
              <w:t>apstiprināšanas</w:t>
            </w:r>
            <w:r w:rsidR="002A4ADA" w:rsidRPr="00EA0F8E">
              <w:rPr>
                <w:rFonts w:ascii="Times New Roman" w:hAnsi="Times New Roman" w:cs="Times New Roman"/>
                <w:sz w:val="24"/>
                <w:szCs w:val="24"/>
              </w:rPr>
              <w:t xml:space="preserve"> MK sēdē</w:t>
            </w:r>
            <w:r w:rsidR="001F6B3E" w:rsidRPr="00EA0F8E">
              <w:rPr>
                <w:rFonts w:ascii="Times New Roman" w:hAnsi="Times New Roman" w:cs="Times New Roman"/>
                <w:sz w:val="24"/>
                <w:szCs w:val="24"/>
              </w:rPr>
              <w:t>.</w:t>
            </w:r>
          </w:p>
        </w:tc>
      </w:tr>
      <w:tr w:rsidR="00CC1A56" w:rsidRPr="00EA0F8E" w:rsidTr="00EA0F8E">
        <w:trPr>
          <w:jc w:val="center"/>
        </w:trPr>
        <w:tc>
          <w:tcPr>
            <w:tcW w:w="470" w:type="dxa"/>
          </w:tcPr>
          <w:p w:rsidR="00CC1A56" w:rsidRPr="00EA0F8E" w:rsidRDefault="00CC1A56" w:rsidP="007D385B">
            <w:pPr>
              <w:pStyle w:val="naiskr"/>
              <w:tabs>
                <w:tab w:val="left" w:pos="2628"/>
              </w:tabs>
              <w:spacing w:before="0" w:beforeAutospacing="0" w:after="0" w:afterAutospacing="0"/>
              <w:jc w:val="both"/>
              <w:rPr>
                <w:iCs/>
              </w:rPr>
            </w:pPr>
            <w:r w:rsidRPr="00EA0F8E">
              <w:rPr>
                <w:iCs/>
              </w:rPr>
              <w:lastRenderedPageBreak/>
              <w:t>2.</w:t>
            </w:r>
          </w:p>
        </w:tc>
        <w:tc>
          <w:tcPr>
            <w:tcW w:w="2927" w:type="dxa"/>
          </w:tcPr>
          <w:p w:rsidR="00CC1A56" w:rsidRPr="00EA0F8E" w:rsidRDefault="00CC1A56" w:rsidP="007D385B">
            <w:pPr>
              <w:pStyle w:val="naiskr"/>
              <w:tabs>
                <w:tab w:val="left" w:pos="2628"/>
              </w:tabs>
              <w:spacing w:before="0" w:beforeAutospacing="0" w:after="0" w:afterAutospacing="0"/>
              <w:jc w:val="both"/>
            </w:pPr>
            <w:r w:rsidRPr="00EA0F8E">
              <w:t>Atbildīgā institūcija</w:t>
            </w:r>
          </w:p>
        </w:tc>
        <w:tc>
          <w:tcPr>
            <w:tcW w:w="6114" w:type="dxa"/>
          </w:tcPr>
          <w:p w:rsidR="00CC1A56" w:rsidRPr="00EA0F8E" w:rsidRDefault="0055242A" w:rsidP="007D385B">
            <w:pPr>
              <w:shd w:val="clear" w:color="auto" w:fill="FFFFFF"/>
              <w:spacing w:after="0" w:line="240" w:lineRule="auto"/>
              <w:jc w:val="both"/>
              <w:rPr>
                <w:rFonts w:ascii="Times New Roman" w:hAnsi="Times New Roman" w:cs="Times New Roman"/>
                <w:color w:val="000000"/>
                <w:sz w:val="24"/>
                <w:szCs w:val="24"/>
                <w:lang w:eastAsia="lv-LV"/>
              </w:rPr>
            </w:pPr>
            <w:r w:rsidRPr="00EA0F8E">
              <w:rPr>
                <w:rFonts w:ascii="Times New Roman" w:hAnsi="Times New Roman" w:cs="Times New Roman"/>
                <w:sz w:val="24"/>
                <w:szCs w:val="24"/>
              </w:rPr>
              <w:t>Labklājības ministrija</w:t>
            </w:r>
          </w:p>
        </w:tc>
      </w:tr>
      <w:tr w:rsidR="00CC1A56" w:rsidRPr="00EA0F8E" w:rsidTr="00EA0F8E">
        <w:trPr>
          <w:jc w:val="center"/>
        </w:trPr>
        <w:tc>
          <w:tcPr>
            <w:tcW w:w="470" w:type="dxa"/>
          </w:tcPr>
          <w:p w:rsidR="00CC1A56" w:rsidRPr="00EA0F8E" w:rsidRDefault="00CC1A56" w:rsidP="007D385B">
            <w:pPr>
              <w:pStyle w:val="naiskr"/>
              <w:tabs>
                <w:tab w:val="left" w:pos="2628"/>
              </w:tabs>
              <w:spacing w:before="0" w:beforeAutospacing="0" w:after="0" w:afterAutospacing="0"/>
              <w:jc w:val="both"/>
              <w:rPr>
                <w:iCs/>
              </w:rPr>
            </w:pPr>
            <w:r w:rsidRPr="00EA0F8E">
              <w:rPr>
                <w:iCs/>
              </w:rPr>
              <w:t>3.</w:t>
            </w:r>
          </w:p>
        </w:tc>
        <w:tc>
          <w:tcPr>
            <w:tcW w:w="2927" w:type="dxa"/>
          </w:tcPr>
          <w:p w:rsidR="00CC1A56" w:rsidRPr="00EA0F8E" w:rsidRDefault="00CC1A56" w:rsidP="007D385B">
            <w:pPr>
              <w:pStyle w:val="naiskr"/>
              <w:tabs>
                <w:tab w:val="left" w:pos="2628"/>
              </w:tabs>
              <w:spacing w:before="0" w:beforeAutospacing="0" w:after="0" w:afterAutospacing="0"/>
              <w:jc w:val="both"/>
              <w:rPr>
                <w:iCs/>
              </w:rPr>
            </w:pPr>
            <w:r w:rsidRPr="00EA0F8E">
              <w:t>Cita informācija</w:t>
            </w:r>
          </w:p>
        </w:tc>
        <w:tc>
          <w:tcPr>
            <w:tcW w:w="6114" w:type="dxa"/>
          </w:tcPr>
          <w:p w:rsidR="00CC1A56" w:rsidRPr="004A7017" w:rsidRDefault="002338DE" w:rsidP="002338DE">
            <w:pPr>
              <w:spacing w:after="0" w:line="240" w:lineRule="auto"/>
              <w:ind w:right="57"/>
              <w:jc w:val="both"/>
              <w:rPr>
                <w:rFonts w:ascii="Times New Roman" w:hAnsi="Times New Roman"/>
                <w:sz w:val="24"/>
                <w:szCs w:val="24"/>
              </w:rPr>
            </w:pPr>
            <w:r>
              <w:rPr>
                <w:rFonts w:ascii="Times New Roman" w:hAnsi="Times New Roman"/>
                <w:sz w:val="24"/>
                <w:szCs w:val="24"/>
              </w:rPr>
              <w:t>Nav.</w:t>
            </w:r>
          </w:p>
        </w:tc>
      </w:tr>
    </w:tbl>
    <w:p w:rsidR="00CC1A56" w:rsidRDefault="00CC1A56" w:rsidP="00CC1A56">
      <w:pPr>
        <w:spacing w:after="0" w:line="240" w:lineRule="auto"/>
        <w:rPr>
          <w:rFonts w:ascii="Times New Roman" w:hAnsi="Times New Roman" w:cs="Times New Roman"/>
          <w:sz w:val="24"/>
          <w:szCs w:val="24"/>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3"/>
        <w:gridCol w:w="1685"/>
        <w:gridCol w:w="265"/>
        <w:gridCol w:w="736"/>
        <w:gridCol w:w="1454"/>
        <w:gridCol w:w="1134"/>
        <w:gridCol w:w="1559"/>
        <w:gridCol w:w="2240"/>
      </w:tblGrid>
      <w:tr w:rsidR="00822854" w:rsidTr="00822854">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hideMark/>
          </w:tcPr>
          <w:p w:rsidR="00822854" w:rsidRPr="00BE034A" w:rsidRDefault="00822854" w:rsidP="00BE034A">
            <w:pPr>
              <w:pStyle w:val="naisnod"/>
              <w:spacing w:beforeAutospacing="0" w:afterAutospacing="0"/>
              <w:ind w:left="57" w:right="57"/>
              <w:jc w:val="center"/>
              <w:rPr>
                <w:b/>
              </w:rPr>
            </w:pPr>
            <w:r>
              <w:rPr>
                <w:b/>
              </w:rPr>
              <w:t>V. Tiesību akta projekta atbilstība Latvijas Republikas starptautiskajām saistībām</w:t>
            </w:r>
          </w:p>
        </w:tc>
      </w:tr>
      <w:tr w:rsidR="00822854" w:rsidTr="00822854">
        <w:trPr>
          <w:jc w:val="center"/>
        </w:trPr>
        <w:tc>
          <w:tcPr>
            <w:tcW w:w="513"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rPr>
                <w:rFonts w:ascii="Times New Roman" w:hAnsi="Times New Roman"/>
                <w:sz w:val="24"/>
                <w:szCs w:val="24"/>
              </w:rPr>
            </w:pPr>
            <w:r>
              <w:rPr>
                <w:rFonts w:ascii="Times New Roman" w:hAnsi="Times New Roman"/>
                <w:sz w:val="24"/>
                <w:szCs w:val="24"/>
              </w:rPr>
              <w:t>1.</w:t>
            </w:r>
          </w:p>
        </w:tc>
        <w:tc>
          <w:tcPr>
            <w:tcW w:w="2686"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rPr>
                <w:rFonts w:ascii="Times New Roman" w:hAnsi="Times New Roman"/>
                <w:sz w:val="24"/>
                <w:szCs w:val="24"/>
              </w:rPr>
            </w:pPr>
            <w:r>
              <w:rPr>
                <w:rFonts w:ascii="Times New Roman" w:hAnsi="Times New Roman"/>
                <w:sz w:val="24"/>
                <w:szCs w:val="24"/>
              </w:rPr>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hd w:val="clear" w:color="auto" w:fill="FFFFFF"/>
              <w:spacing w:after="0" w:line="240" w:lineRule="auto"/>
              <w:ind w:left="57" w:right="57"/>
              <w:jc w:val="both"/>
              <w:rPr>
                <w:rFonts w:ascii="Times New Roman" w:hAnsi="Times New Roman"/>
                <w:sz w:val="24"/>
                <w:szCs w:val="24"/>
              </w:rPr>
            </w:pPr>
            <w:r>
              <w:rPr>
                <w:rFonts w:ascii="Times New Roman" w:hAnsi="Times New Roman"/>
                <w:sz w:val="24"/>
                <w:szCs w:val="24"/>
              </w:rPr>
              <w:t>2014.gada 1.janvārī stājas spēkā:</w:t>
            </w:r>
          </w:p>
          <w:p w:rsidR="00822854" w:rsidRDefault="00822854">
            <w:pPr>
              <w:shd w:val="clear" w:color="auto" w:fill="FFFFFF"/>
              <w:spacing w:after="0" w:line="240" w:lineRule="auto"/>
              <w:ind w:left="57" w:right="57"/>
              <w:jc w:val="both"/>
              <w:rPr>
                <w:rFonts w:ascii="Times New Roman" w:hAnsi="Times New Roman"/>
                <w:sz w:val="24"/>
                <w:szCs w:val="24"/>
              </w:rPr>
            </w:pPr>
            <w:r>
              <w:rPr>
                <w:rFonts w:ascii="Times New Roman" w:hAnsi="Times New Roman"/>
                <w:sz w:val="24"/>
                <w:szCs w:val="24"/>
              </w:rPr>
              <w:t>- Komisijas regula Nr.1407/2013, kura aizstāj Komisijas regulu Nr.1998/2006;</w:t>
            </w:r>
          </w:p>
          <w:p w:rsidR="00822854" w:rsidRDefault="00822854">
            <w:pPr>
              <w:shd w:val="clear" w:color="auto" w:fill="FFFFFF"/>
              <w:spacing w:after="0" w:line="240" w:lineRule="auto"/>
              <w:ind w:left="57" w:right="57"/>
              <w:jc w:val="both"/>
              <w:rPr>
                <w:rFonts w:ascii="Times New Roman" w:hAnsi="Times New Roman"/>
                <w:sz w:val="24"/>
                <w:szCs w:val="24"/>
              </w:rPr>
            </w:pPr>
            <w:r>
              <w:rPr>
                <w:rFonts w:ascii="Times New Roman" w:hAnsi="Times New Roman"/>
                <w:sz w:val="24"/>
                <w:szCs w:val="24"/>
              </w:rPr>
              <w:t>- Komisijas regula Nr.1408/2013, kura aizstāj Komisijas regulu Nr.1535/2007;</w:t>
            </w:r>
          </w:p>
          <w:p w:rsidR="00D85B78" w:rsidRDefault="000220F0">
            <w:pPr>
              <w:shd w:val="clear" w:color="auto" w:fill="FFFFFF"/>
              <w:spacing w:after="0" w:line="240" w:lineRule="auto"/>
              <w:ind w:left="57" w:right="57"/>
              <w:jc w:val="both"/>
              <w:rPr>
                <w:rFonts w:ascii="Times New Roman" w:hAnsi="Times New Roman"/>
                <w:sz w:val="24"/>
                <w:szCs w:val="24"/>
              </w:rPr>
            </w:pPr>
            <w:r>
              <w:rPr>
                <w:rFonts w:ascii="Times New Roman" w:hAnsi="Times New Roman"/>
                <w:sz w:val="24"/>
                <w:szCs w:val="24"/>
              </w:rPr>
              <w:t>2014.gada 1.jūlijā stājas spēkā</w:t>
            </w:r>
            <w:r w:rsidR="00D85B78">
              <w:rPr>
                <w:rFonts w:ascii="Times New Roman" w:hAnsi="Times New Roman"/>
                <w:sz w:val="24"/>
                <w:szCs w:val="24"/>
              </w:rPr>
              <w:t>:</w:t>
            </w:r>
            <w:r>
              <w:rPr>
                <w:rFonts w:ascii="Times New Roman" w:hAnsi="Times New Roman"/>
                <w:sz w:val="24"/>
                <w:szCs w:val="24"/>
              </w:rPr>
              <w:t xml:space="preserve"> </w:t>
            </w:r>
          </w:p>
          <w:p w:rsidR="000220F0" w:rsidRDefault="00D85B78">
            <w:pPr>
              <w:shd w:val="clear" w:color="auto" w:fill="FFFFFF"/>
              <w:spacing w:after="0" w:line="240" w:lineRule="auto"/>
              <w:ind w:left="57" w:right="57"/>
              <w:jc w:val="both"/>
              <w:rPr>
                <w:rFonts w:ascii="Times New Roman" w:hAnsi="Times New Roman"/>
                <w:sz w:val="24"/>
                <w:szCs w:val="24"/>
              </w:rPr>
            </w:pPr>
            <w:r>
              <w:rPr>
                <w:rFonts w:ascii="Times New Roman" w:hAnsi="Times New Roman"/>
                <w:sz w:val="24"/>
                <w:szCs w:val="24"/>
              </w:rPr>
              <w:t>- Komisijas regula Nr.651/2014;</w:t>
            </w:r>
          </w:p>
          <w:p w:rsidR="00D85B78" w:rsidRDefault="00D85B78">
            <w:pPr>
              <w:shd w:val="clear" w:color="auto" w:fill="FFFFFF"/>
              <w:spacing w:after="0" w:line="240" w:lineRule="auto"/>
              <w:ind w:left="57" w:right="57"/>
              <w:jc w:val="both"/>
              <w:rPr>
                <w:rFonts w:ascii="Times New Roman" w:hAnsi="Times New Roman"/>
                <w:sz w:val="24"/>
                <w:szCs w:val="24"/>
              </w:rPr>
            </w:pPr>
            <w:r>
              <w:rPr>
                <w:rFonts w:ascii="Times New Roman" w:hAnsi="Times New Roman"/>
                <w:sz w:val="24"/>
                <w:szCs w:val="24"/>
              </w:rPr>
              <w:t>- Komisijas regula Nr.717/2014.</w:t>
            </w:r>
          </w:p>
          <w:p w:rsidR="000220F0" w:rsidRDefault="00822854" w:rsidP="00D85B78">
            <w:pPr>
              <w:shd w:val="clear" w:color="auto" w:fill="FFFFFF"/>
              <w:spacing w:after="0" w:line="240" w:lineRule="auto"/>
              <w:ind w:left="57" w:right="57"/>
              <w:jc w:val="both"/>
              <w:rPr>
                <w:rFonts w:ascii="Times New Roman" w:hAnsi="Times New Roman"/>
                <w:sz w:val="24"/>
                <w:szCs w:val="24"/>
              </w:rPr>
            </w:pPr>
            <w:r>
              <w:rPr>
                <w:rFonts w:ascii="Times New Roman" w:hAnsi="Times New Roman"/>
                <w:sz w:val="24"/>
                <w:szCs w:val="24"/>
              </w:rPr>
              <w:t>Komisijas regula Nr.1998/2006 un Komisijas regula Nr.1535/2007 pēc to spēkā esības perioda beigām ir piemērojama vēl sešus mēnešus, t.i., līdz 2014</w:t>
            </w:r>
            <w:r w:rsidR="000220F0">
              <w:rPr>
                <w:rFonts w:ascii="Times New Roman" w:hAnsi="Times New Roman"/>
                <w:sz w:val="24"/>
                <w:szCs w:val="24"/>
              </w:rPr>
              <w:t xml:space="preserve">.gada 30.jūnijam, savukārt </w:t>
            </w:r>
            <w:r w:rsidR="000220F0" w:rsidRPr="000220F0">
              <w:rPr>
                <w:rFonts w:ascii="Times New Roman" w:hAnsi="Times New Roman"/>
                <w:sz w:val="24"/>
                <w:szCs w:val="24"/>
              </w:rPr>
              <w:t>Komi</w:t>
            </w:r>
            <w:r w:rsidR="005922C8">
              <w:rPr>
                <w:rFonts w:ascii="Times New Roman" w:hAnsi="Times New Roman"/>
                <w:sz w:val="24"/>
                <w:szCs w:val="24"/>
              </w:rPr>
              <w:t>sijas 2008.gada 6.augusta Regula</w:t>
            </w:r>
            <w:r w:rsidR="000220F0" w:rsidRPr="000220F0">
              <w:rPr>
                <w:rFonts w:ascii="Times New Roman" w:hAnsi="Times New Roman"/>
                <w:sz w:val="24"/>
                <w:szCs w:val="24"/>
              </w:rPr>
              <w:t xml:space="preserve"> (EK) Nr.800/2008, kas atzīst noteiktas atbalsta kategorijas par saderīgām ar kopējo tirgu, piemērojot Līguma 87. un 88.pantu (Vispārējā grupu atbrīvojuma regula)</w:t>
            </w:r>
            <w:r w:rsidR="000220F0">
              <w:rPr>
                <w:rFonts w:ascii="Times New Roman" w:hAnsi="Times New Roman"/>
                <w:sz w:val="24"/>
                <w:szCs w:val="24"/>
              </w:rPr>
              <w:t xml:space="preserve"> pēc tās</w:t>
            </w:r>
            <w:r w:rsidR="000220F0" w:rsidRPr="000220F0">
              <w:rPr>
                <w:rFonts w:ascii="Times New Roman" w:hAnsi="Times New Roman"/>
                <w:sz w:val="24"/>
                <w:szCs w:val="24"/>
              </w:rPr>
              <w:t xml:space="preserve"> spēkā esības perioda beigām ir piemērojama vēl sešus </w:t>
            </w:r>
            <w:r w:rsidR="000220F0">
              <w:rPr>
                <w:rFonts w:ascii="Times New Roman" w:hAnsi="Times New Roman"/>
                <w:sz w:val="24"/>
                <w:szCs w:val="24"/>
              </w:rPr>
              <w:t>mēnešus, t.i., līdz 2014.gada 31.decembrim.</w:t>
            </w:r>
          </w:p>
        </w:tc>
      </w:tr>
      <w:tr w:rsidR="00822854" w:rsidTr="00822854">
        <w:trPr>
          <w:jc w:val="center"/>
        </w:trPr>
        <w:tc>
          <w:tcPr>
            <w:tcW w:w="513"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rPr>
                <w:rFonts w:ascii="Times New Roman" w:hAnsi="Times New Roman"/>
                <w:sz w:val="24"/>
                <w:szCs w:val="24"/>
              </w:rPr>
            </w:pPr>
            <w:r>
              <w:rPr>
                <w:rFonts w:ascii="Times New Roman" w:hAnsi="Times New Roman"/>
                <w:sz w:val="24"/>
                <w:szCs w:val="24"/>
              </w:rPr>
              <w:t>2.</w:t>
            </w:r>
          </w:p>
        </w:tc>
        <w:tc>
          <w:tcPr>
            <w:tcW w:w="2686"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rPr>
                <w:rFonts w:ascii="Times New Roman" w:hAnsi="Times New Roman"/>
                <w:sz w:val="24"/>
                <w:szCs w:val="24"/>
              </w:rPr>
            </w:pPr>
            <w:r>
              <w:rPr>
                <w:rFonts w:ascii="Times New Roman" w:hAnsi="Times New Roman"/>
                <w:sz w:val="24"/>
                <w:szCs w:val="24"/>
              </w:rPr>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rsidP="0060366C">
            <w:pPr>
              <w:spacing w:after="0" w:line="240" w:lineRule="auto"/>
              <w:ind w:left="57"/>
              <w:jc w:val="both"/>
              <w:rPr>
                <w:rFonts w:ascii="Times New Roman" w:hAnsi="Times New Roman"/>
                <w:sz w:val="24"/>
                <w:szCs w:val="24"/>
              </w:rPr>
            </w:pPr>
            <w:r>
              <w:rPr>
                <w:rFonts w:ascii="Times New Roman" w:hAnsi="Times New Roman"/>
                <w:sz w:val="24"/>
                <w:szCs w:val="24"/>
              </w:rPr>
              <w:t xml:space="preserve">MK </w:t>
            </w:r>
            <w:r w:rsidR="0060366C">
              <w:rPr>
                <w:rFonts w:ascii="Times New Roman" w:hAnsi="Times New Roman"/>
                <w:sz w:val="24"/>
                <w:szCs w:val="24"/>
              </w:rPr>
              <w:t>rīkojuma</w:t>
            </w:r>
            <w:r>
              <w:rPr>
                <w:rFonts w:ascii="Times New Roman" w:hAnsi="Times New Roman"/>
                <w:sz w:val="24"/>
                <w:szCs w:val="24"/>
              </w:rPr>
              <w:t xml:space="preserve"> projekts šo jomu neskar.</w:t>
            </w:r>
          </w:p>
        </w:tc>
      </w:tr>
      <w:tr w:rsidR="00822854" w:rsidTr="00822854">
        <w:trPr>
          <w:jc w:val="center"/>
        </w:trPr>
        <w:tc>
          <w:tcPr>
            <w:tcW w:w="513"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rPr>
                <w:rFonts w:ascii="Times New Roman" w:hAnsi="Times New Roman"/>
                <w:sz w:val="24"/>
                <w:szCs w:val="24"/>
              </w:rPr>
            </w:pPr>
            <w:r>
              <w:rPr>
                <w:rFonts w:ascii="Times New Roman" w:hAnsi="Times New Roman"/>
                <w:sz w:val="24"/>
                <w:szCs w:val="24"/>
              </w:rPr>
              <w:t>3.</w:t>
            </w:r>
          </w:p>
        </w:tc>
        <w:tc>
          <w:tcPr>
            <w:tcW w:w="2686"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rPr>
                <w:rFonts w:ascii="Times New Roman" w:hAnsi="Times New Roman"/>
                <w:sz w:val="24"/>
                <w:szCs w:val="24"/>
              </w:rPr>
            </w:pPr>
            <w:r>
              <w:rPr>
                <w:rFonts w:ascii="Times New Roman" w:hAnsi="Times New Roman"/>
                <w:sz w:val="24"/>
                <w:szCs w:val="24"/>
              </w:rPr>
              <w:t>Cita informācija</w:t>
            </w:r>
          </w:p>
        </w:tc>
        <w:tc>
          <w:tcPr>
            <w:tcW w:w="6387"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jc w:val="both"/>
              <w:rPr>
                <w:rFonts w:ascii="Times New Roman" w:hAnsi="Times New Roman"/>
                <w:sz w:val="24"/>
                <w:szCs w:val="24"/>
              </w:rPr>
            </w:pPr>
            <w:r>
              <w:rPr>
                <w:rFonts w:ascii="Times New Roman" w:hAnsi="Times New Roman"/>
                <w:sz w:val="24"/>
                <w:szCs w:val="24"/>
              </w:rPr>
              <w:t>Nav.</w:t>
            </w:r>
          </w:p>
        </w:tc>
      </w:tr>
      <w:tr w:rsidR="00822854" w:rsidTr="00822854">
        <w:trPr>
          <w:jc w:val="center"/>
        </w:trPr>
        <w:tc>
          <w:tcPr>
            <w:tcW w:w="9586" w:type="dxa"/>
            <w:gridSpan w:val="8"/>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822854" w:rsidRDefault="00822854">
            <w:pPr>
              <w:spacing w:after="0" w:line="240" w:lineRule="auto"/>
              <w:ind w:left="57"/>
              <w:jc w:val="center"/>
              <w:rPr>
                <w:rFonts w:ascii="Times New Roman" w:hAnsi="Times New Roman"/>
                <w:b/>
                <w:sz w:val="24"/>
                <w:szCs w:val="24"/>
              </w:rPr>
            </w:pPr>
            <w:r>
              <w:rPr>
                <w:rFonts w:ascii="Times New Roman" w:hAnsi="Times New Roman"/>
                <w:b/>
                <w:sz w:val="24"/>
                <w:szCs w:val="24"/>
              </w:rPr>
              <w:t>1.tabula</w:t>
            </w:r>
          </w:p>
          <w:p w:rsidR="00822854" w:rsidRDefault="00822854">
            <w:pPr>
              <w:spacing w:after="0" w:line="240" w:lineRule="auto"/>
              <w:ind w:left="57"/>
              <w:jc w:val="center"/>
              <w:rPr>
                <w:rFonts w:ascii="Times New Roman" w:hAnsi="Times New Roman"/>
                <w:sz w:val="24"/>
                <w:szCs w:val="24"/>
              </w:rPr>
            </w:pPr>
            <w:r>
              <w:rPr>
                <w:rFonts w:ascii="Times New Roman" w:hAnsi="Times New Roman"/>
                <w:b/>
                <w:sz w:val="24"/>
                <w:szCs w:val="24"/>
              </w:rPr>
              <w:t>Tiesību akta projekta atbilstība ES tiesību aktiem</w:t>
            </w:r>
          </w:p>
        </w:tc>
      </w:tr>
      <w:tr w:rsidR="00822854" w:rsidTr="00822854">
        <w:trPr>
          <w:jc w:val="center"/>
        </w:trPr>
        <w:tc>
          <w:tcPr>
            <w:tcW w:w="219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rPr>
                <w:rFonts w:ascii="Times New Roman" w:hAnsi="Times New Roman"/>
                <w:sz w:val="24"/>
                <w:szCs w:val="24"/>
              </w:rPr>
            </w:pPr>
            <w:r>
              <w:rPr>
                <w:rFonts w:ascii="Times New Roman" w:hAnsi="Times New Roman"/>
                <w:sz w:val="24"/>
                <w:szCs w:val="24"/>
              </w:rPr>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D85B78" w:rsidP="00D85B78">
            <w:pPr>
              <w:pStyle w:val="ListParagraph"/>
              <w:numPr>
                <w:ilvl w:val="0"/>
                <w:numId w:val="20"/>
              </w:numPr>
              <w:spacing w:after="0" w:line="240" w:lineRule="auto"/>
              <w:rPr>
                <w:rFonts w:ascii="Times New Roman" w:hAnsi="Times New Roman"/>
                <w:sz w:val="24"/>
                <w:szCs w:val="24"/>
              </w:rPr>
            </w:pPr>
            <w:r w:rsidRPr="00D85B78">
              <w:rPr>
                <w:rFonts w:ascii="Times New Roman" w:hAnsi="Times New Roman"/>
                <w:sz w:val="24"/>
                <w:szCs w:val="24"/>
              </w:rPr>
              <w:t>Komisijas 2008.gada 6.augusta Regulā (EK) Nr.800/2008, kas atzīst noteiktas atbalsta kategorijas par saderīgām ar kopējo tirgu, piemērojot Līguma 87. un 88.pantu (Vispārējā grupu atbrīvojuma regula)</w:t>
            </w:r>
            <w:r>
              <w:rPr>
                <w:rFonts w:ascii="Times New Roman" w:hAnsi="Times New Roman"/>
                <w:sz w:val="24"/>
                <w:szCs w:val="24"/>
              </w:rPr>
              <w:t xml:space="preserve"> (turpmāk – Komisijas regula Nr.800/2008);</w:t>
            </w:r>
          </w:p>
          <w:p w:rsidR="00D85B78" w:rsidRPr="00D85B78" w:rsidRDefault="00D85B78" w:rsidP="00D85B78">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Komisijas regula Nr.651/2014</w:t>
            </w:r>
          </w:p>
        </w:tc>
      </w:tr>
      <w:tr w:rsidR="00822854" w:rsidTr="00822854">
        <w:trPr>
          <w:jc w:val="center"/>
        </w:trPr>
        <w:tc>
          <w:tcPr>
            <w:tcW w:w="219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822854" w:rsidRDefault="00822854">
            <w:pPr>
              <w:spacing w:after="0" w:line="240" w:lineRule="auto"/>
              <w:ind w:left="57"/>
              <w:jc w:val="center"/>
              <w:rPr>
                <w:rFonts w:ascii="Times New Roman" w:hAnsi="Times New Roman"/>
                <w:sz w:val="24"/>
                <w:szCs w:val="24"/>
              </w:rPr>
            </w:pPr>
            <w:r>
              <w:rPr>
                <w:rFonts w:ascii="Times New Roman" w:hAnsi="Times New Roman"/>
                <w:sz w:val="24"/>
                <w:szCs w:val="24"/>
              </w:rPr>
              <w:t>A</w:t>
            </w:r>
          </w:p>
        </w:tc>
        <w:tc>
          <w:tcPr>
            <w:tcW w:w="2455"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822854" w:rsidRDefault="00822854">
            <w:pPr>
              <w:spacing w:after="0" w:line="240" w:lineRule="auto"/>
              <w:ind w:left="57"/>
              <w:jc w:val="center"/>
              <w:rPr>
                <w:rFonts w:ascii="Times New Roman" w:hAnsi="Times New Roman"/>
                <w:sz w:val="24"/>
                <w:szCs w:val="24"/>
              </w:rPr>
            </w:pPr>
            <w:r>
              <w:rPr>
                <w:rFonts w:ascii="Times New Roman" w:hAnsi="Times New Roman"/>
                <w:sz w:val="24"/>
                <w:szCs w:val="24"/>
              </w:rPr>
              <w:t>B</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822854" w:rsidRDefault="00822854">
            <w:pPr>
              <w:spacing w:after="0" w:line="240" w:lineRule="auto"/>
              <w:ind w:left="57"/>
              <w:jc w:val="center"/>
              <w:rPr>
                <w:rFonts w:ascii="Times New Roman" w:hAnsi="Times New Roman"/>
                <w:sz w:val="24"/>
                <w:szCs w:val="24"/>
              </w:rPr>
            </w:pPr>
            <w:r>
              <w:rPr>
                <w:rFonts w:ascii="Times New Roman" w:hAnsi="Times New Roman"/>
                <w:sz w:val="24"/>
                <w:szCs w:val="24"/>
              </w:rPr>
              <w:t>C</w:t>
            </w:r>
          </w:p>
        </w:tc>
        <w:tc>
          <w:tcPr>
            <w:tcW w:w="224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822854" w:rsidRDefault="00822854">
            <w:pPr>
              <w:spacing w:after="0" w:line="240" w:lineRule="auto"/>
              <w:ind w:left="57"/>
              <w:jc w:val="center"/>
              <w:rPr>
                <w:rFonts w:ascii="Times New Roman" w:hAnsi="Times New Roman"/>
                <w:sz w:val="24"/>
                <w:szCs w:val="24"/>
              </w:rPr>
            </w:pPr>
            <w:r>
              <w:rPr>
                <w:rFonts w:ascii="Times New Roman" w:hAnsi="Times New Roman"/>
                <w:sz w:val="24"/>
                <w:szCs w:val="24"/>
              </w:rPr>
              <w:t>D</w:t>
            </w:r>
          </w:p>
        </w:tc>
      </w:tr>
      <w:tr w:rsidR="00822854" w:rsidTr="00822854">
        <w:trPr>
          <w:jc w:val="center"/>
        </w:trPr>
        <w:tc>
          <w:tcPr>
            <w:tcW w:w="219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rPr>
                <w:rFonts w:ascii="Times New Roman" w:hAnsi="Times New Roman"/>
                <w:spacing w:val="-3"/>
                <w:sz w:val="24"/>
                <w:szCs w:val="24"/>
              </w:rPr>
            </w:pPr>
            <w:r>
              <w:rPr>
                <w:rFonts w:ascii="Times New Roman" w:hAnsi="Times New Roman"/>
                <w:spacing w:val="-3"/>
                <w:sz w:val="24"/>
                <w:szCs w:val="24"/>
              </w:rPr>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rPr>
                <w:rFonts w:ascii="Times New Roman" w:hAnsi="Times New Roman"/>
                <w:spacing w:val="-3"/>
                <w:sz w:val="24"/>
                <w:szCs w:val="24"/>
              </w:rPr>
            </w:pPr>
            <w:r>
              <w:rPr>
                <w:rFonts w:ascii="Times New Roman" w:hAnsi="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rPr>
                <w:rFonts w:ascii="Times New Roman" w:hAnsi="Times New Roman"/>
                <w:spacing w:val="-3"/>
                <w:sz w:val="24"/>
                <w:szCs w:val="24"/>
              </w:rPr>
            </w:pPr>
            <w:r>
              <w:rPr>
                <w:rFonts w:ascii="Times New Roman" w:hAnsi="Times New Roman"/>
                <w:spacing w:val="-3"/>
                <w:sz w:val="24"/>
                <w:szCs w:val="24"/>
              </w:rPr>
              <w:t>Informācija par to, vai šīs tabulas A ailē minētās ES tiesību akta vienības tiek pārņemtas vai ieviestas pilnībā vai daļēji.</w:t>
            </w:r>
          </w:p>
          <w:p w:rsidR="00822854" w:rsidRDefault="00822854">
            <w:pPr>
              <w:spacing w:after="0" w:line="240" w:lineRule="auto"/>
              <w:ind w:left="57"/>
              <w:rPr>
                <w:rFonts w:ascii="Times New Roman" w:hAnsi="Times New Roman"/>
                <w:spacing w:val="-3"/>
                <w:sz w:val="24"/>
                <w:szCs w:val="24"/>
              </w:rPr>
            </w:pPr>
            <w:r>
              <w:rPr>
                <w:rFonts w:ascii="Times New Roman" w:hAnsi="Times New Roman"/>
                <w:spacing w:val="-3"/>
                <w:sz w:val="24"/>
                <w:szCs w:val="24"/>
              </w:rPr>
              <w:t xml:space="preserve">Ja attiecīgā ES tiesību akta vienība tiek pārņemta vai ieviesta daļēji, sniedz attiecīgu skaidrojumu, kā arī precīzi norāda, kad un kādā veidā ES tiesību akta </w:t>
            </w:r>
            <w:r>
              <w:rPr>
                <w:rFonts w:ascii="Times New Roman" w:hAnsi="Times New Roman"/>
                <w:spacing w:val="-3"/>
                <w:sz w:val="24"/>
                <w:szCs w:val="24"/>
              </w:rPr>
              <w:lastRenderedPageBreak/>
              <w:t>vienība tiks pārņemta vai ieviesta pilnībā.</w:t>
            </w:r>
          </w:p>
          <w:p w:rsidR="00822854" w:rsidRDefault="00822854">
            <w:pPr>
              <w:spacing w:after="0" w:line="240" w:lineRule="auto"/>
              <w:ind w:left="57"/>
              <w:rPr>
                <w:rFonts w:ascii="Times New Roman" w:hAnsi="Times New Roman"/>
                <w:spacing w:val="-3"/>
                <w:sz w:val="24"/>
                <w:szCs w:val="24"/>
              </w:rPr>
            </w:pPr>
            <w:r>
              <w:rPr>
                <w:rFonts w:ascii="Times New Roman" w:hAnsi="Times New Roman"/>
                <w:spacing w:val="-3"/>
                <w:sz w:val="24"/>
                <w:szCs w:val="24"/>
              </w:rPr>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rPr>
                <w:rFonts w:ascii="Times New Roman" w:hAnsi="Times New Roman"/>
                <w:sz w:val="24"/>
                <w:szCs w:val="24"/>
              </w:rPr>
            </w:pPr>
            <w:r>
              <w:rPr>
                <w:rFonts w:ascii="Times New Roman" w:hAnsi="Times New Roman"/>
                <w:spacing w:val="-3"/>
                <w:sz w:val="24"/>
                <w:szCs w:val="24"/>
              </w:rPr>
              <w:lastRenderedPageBreak/>
              <w:t xml:space="preserve">Informācija par to, vai šīs </w:t>
            </w:r>
            <w:r>
              <w:rPr>
                <w:rFonts w:ascii="Times New Roman" w:hAnsi="Times New Roman"/>
                <w:sz w:val="24"/>
                <w:szCs w:val="24"/>
              </w:rPr>
              <w:t>tabulas B ailē minētās projekta vienības paredz stingrākas prasības nekā šīs tabulas A ailē minētās ES tiesību akta vienības.</w:t>
            </w:r>
          </w:p>
          <w:p w:rsidR="00822854" w:rsidRDefault="00822854">
            <w:pPr>
              <w:spacing w:after="0" w:line="240" w:lineRule="auto"/>
              <w:ind w:left="57"/>
              <w:rPr>
                <w:rFonts w:ascii="Times New Roman" w:hAnsi="Times New Roman"/>
                <w:sz w:val="24"/>
                <w:szCs w:val="24"/>
              </w:rPr>
            </w:pPr>
            <w:r>
              <w:rPr>
                <w:rFonts w:ascii="Times New Roman" w:hAnsi="Times New Roman"/>
                <w:sz w:val="24"/>
                <w:szCs w:val="24"/>
              </w:rPr>
              <w:t>Ja projekts satur stingrā</w:t>
            </w:r>
            <w:r>
              <w:rPr>
                <w:rFonts w:ascii="Times New Roman" w:hAnsi="Times New Roman"/>
                <w:sz w:val="24"/>
                <w:szCs w:val="24"/>
              </w:rPr>
              <w:softHyphen/>
              <w:t xml:space="preserve">kas prasības </w:t>
            </w:r>
            <w:r>
              <w:rPr>
                <w:rFonts w:ascii="Times New Roman" w:hAnsi="Times New Roman"/>
                <w:sz w:val="24"/>
                <w:szCs w:val="24"/>
              </w:rPr>
              <w:lastRenderedPageBreak/>
              <w:t>nekā attie</w:t>
            </w:r>
            <w:r>
              <w:rPr>
                <w:rFonts w:ascii="Times New Roman" w:hAnsi="Times New Roman"/>
                <w:sz w:val="24"/>
                <w:szCs w:val="24"/>
              </w:rPr>
              <w:softHyphen/>
              <w:t>cīgais ES tiesību akts, norāda pamatojumu un samērīgumu.</w:t>
            </w:r>
          </w:p>
          <w:p w:rsidR="00822854" w:rsidRDefault="00822854">
            <w:pPr>
              <w:spacing w:after="0" w:line="240" w:lineRule="auto"/>
              <w:ind w:left="57"/>
              <w:rPr>
                <w:rFonts w:ascii="Times New Roman" w:hAnsi="Times New Roman"/>
                <w:spacing w:val="-3"/>
                <w:sz w:val="24"/>
                <w:szCs w:val="24"/>
              </w:rPr>
            </w:pPr>
            <w:r>
              <w:rPr>
                <w:rFonts w:ascii="Times New Roman" w:hAnsi="Times New Roman"/>
                <w:sz w:val="24"/>
                <w:szCs w:val="24"/>
              </w:rPr>
              <w:t>Norāda iespējamās alternatīvas (t.sk. alternatīvas, kas neparedz tiesiskā regulējuma izstrādi) – kādos gadījumos būtu iespējams izvairīties no stingrāku prasību</w:t>
            </w:r>
            <w:r>
              <w:rPr>
                <w:rFonts w:ascii="Times New Roman" w:hAnsi="Times New Roman"/>
                <w:spacing w:val="-3"/>
                <w:sz w:val="24"/>
                <w:szCs w:val="24"/>
              </w:rPr>
              <w:t xml:space="preserve"> noteikšanas, nekā paredzēts attiecīgajos ES tiesību aktos</w:t>
            </w:r>
          </w:p>
        </w:tc>
      </w:tr>
      <w:tr w:rsidR="00822854" w:rsidTr="00822854">
        <w:trPr>
          <w:jc w:val="center"/>
        </w:trPr>
        <w:tc>
          <w:tcPr>
            <w:tcW w:w="219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D85B78">
            <w:pPr>
              <w:spacing w:after="0" w:line="240" w:lineRule="auto"/>
              <w:ind w:left="57"/>
              <w:jc w:val="center"/>
              <w:rPr>
                <w:rFonts w:ascii="Times New Roman" w:hAnsi="Times New Roman"/>
                <w:spacing w:val="-2"/>
                <w:sz w:val="24"/>
                <w:szCs w:val="24"/>
              </w:rPr>
            </w:pPr>
            <w:r>
              <w:rPr>
                <w:rFonts w:ascii="Times New Roman" w:hAnsi="Times New Roman"/>
                <w:spacing w:val="-2"/>
                <w:sz w:val="24"/>
                <w:szCs w:val="24"/>
              </w:rPr>
              <w:lastRenderedPageBreak/>
              <w:t>Komisijas regulas Nr.800/2008 2.panta 18</w:t>
            </w:r>
            <w:r w:rsidR="00822854">
              <w:rPr>
                <w:rFonts w:ascii="Times New Roman" w:hAnsi="Times New Roman"/>
                <w:spacing w:val="-2"/>
                <w:sz w:val="24"/>
                <w:szCs w:val="24"/>
              </w:rPr>
              <w:t>.punkts</w:t>
            </w:r>
          </w:p>
        </w:tc>
        <w:tc>
          <w:tcPr>
            <w:tcW w:w="2455"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D85B78" w:rsidP="00D85B78">
            <w:pPr>
              <w:spacing w:after="0" w:line="240" w:lineRule="auto"/>
              <w:ind w:left="57"/>
              <w:jc w:val="center"/>
              <w:rPr>
                <w:rFonts w:ascii="Times New Roman" w:hAnsi="Times New Roman"/>
                <w:spacing w:val="-2"/>
                <w:sz w:val="24"/>
                <w:szCs w:val="24"/>
              </w:rPr>
            </w:pPr>
            <w:r>
              <w:rPr>
                <w:rFonts w:ascii="Times New Roman" w:hAnsi="Times New Roman"/>
                <w:sz w:val="24"/>
                <w:szCs w:val="24"/>
              </w:rPr>
              <w:t>MK rīkojuma</w:t>
            </w:r>
            <w:r w:rsidR="00822854">
              <w:rPr>
                <w:rFonts w:ascii="Times New Roman" w:hAnsi="Times New Roman"/>
                <w:sz w:val="24"/>
                <w:szCs w:val="24"/>
              </w:rPr>
              <w:t xml:space="preserve"> </w:t>
            </w:r>
            <w:r w:rsidR="009363BE">
              <w:rPr>
                <w:rFonts w:ascii="Times New Roman" w:hAnsi="Times New Roman" w:cs="Times New Roman"/>
                <w:color w:val="000000"/>
                <w:sz w:val="24"/>
                <w:szCs w:val="24"/>
              </w:rPr>
              <w:t>grozījumu projekta</w:t>
            </w:r>
            <w:r>
              <w:rPr>
                <w:rFonts w:ascii="Times New Roman" w:hAnsi="Times New Roman"/>
                <w:sz w:val="24"/>
                <w:szCs w:val="24"/>
              </w:rPr>
              <w:t xml:space="preserve"> 1.2. un 1.3</w:t>
            </w:r>
            <w:r w:rsidR="00822854">
              <w:rPr>
                <w:rFonts w:ascii="Times New Roman" w:hAnsi="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jc w:val="center"/>
              <w:rPr>
                <w:rFonts w:ascii="Times New Roman" w:hAnsi="Times New Roman"/>
                <w:spacing w:val="-2"/>
                <w:sz w:val="24"/>
                <w:szCs w:val="24"/>
              </w:rPr>
            </w:pPr>
            <w:r>
              <w:rPr>
                <w:rFonts w:ascii="Times New Roman" w:hAnsi="Times New Roman"/>
                <w:spacing w:val="-2"/>
                <w:sz w:val="24"/>
                <w:szCs w:val="24"/>
              </w:rPr>
              <w:t>Vienība tiek ieviesta pilnībā</w:t>
            </w:r>
            <w:r w:rsidR="00D85B78">
              <w:rPr>
                <w:rFonts w:ascii="Times New Roman" w:hAnsi="Times New Roman"/>
                <w:spacing w:val="-2"/>
                <w:sz w:val="24"/>
                <w:szCs w:val="24"/>
              </w:rPr>
              <w:t xml:space="preserve"> līdz 2014.gada 31.decembrim</w:t>
            </w:r>
            <w:r>
              <w:rPr>
                <w:rFonts w:ascii="Times New Roman" w:hAnsi="Times New Roman"/>
                <w:spacing w:val="-2"/>
                <w:sz w:val="24"/>
                <w:szCs w:val="24"/>
              </w:rPr>
              <w:t>.</w:t>
            </w:r>
          </w:p>
          <w:p w:rsidR="00822854" w:rsidRDefault="00822854">
            <w:pPr>
              <w:spacing w:after="0" w:line="240" w:lineRule="auto"/>
              <w:ind w:left="57"/>
              <w:jc w:val="center"/>
              <w:rPr>
                <w:rFonts w:ascii="Times New Roman" w:hAnsi="Times New Roman"/>
                <w:spacing w:val="-2"/>
                <w:sz w:val="24"/>
                <w:szCs w:val="24"/>
              </w:rPr>
            </w:pPr>
            <w:r>
              <w:rPr>
                <w:rFonts w:ascii="Times New Roman" w:hAnsi="Times New Roman"/>
                <w:sz w:val="24"/>
                <w:szCs w:val="24"/>
              </w:rPr>
              <w:t>Atbildīgā institūcija – NVA (projekta ieviesējs).</w:t>
            </w:r>
          </w:p>
        </w:tc>
        <w:tc>
          <w:tcPr>
            <w:tcW w:w="224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jc w:val="center"/>
              <w:rPr>
                <w:rFonts w:ascii="Times New Roman" w:hAnsi="Times New Roman"/>
                <w:spacing w:val="-2"/>
                <w:sz w:val="24"/>
                <w:szCs w:val="24"/>
              </w:rPr>
            </w:pPr>
            <w:r>
              <w:rPr>
                <w:rFonts w:ascii="Times New Roman" w:hAnsi="Times New Roman"/>
                <w:spacing w:val="-2"/>
                <w:sz w:val="24"/>
                <w:szCs w:val="24"/>
              </w:rPr>
              <w:t>Netiek paredzētas stingrākas prasības.</w:t>
            </w:r>
          </w:p>
        </w:tc>
      </w:tr>
      <w:tr w:rsidR="00822854" w:rsidTr="00822854">
        <w:trPr>
          <w:jc w:val="center"/>
        </w:trPr>
        <w:tc>
          <w:tcPr>
            <w:tcW w:w="219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D85B78">
            <w:pPr>
              <w:spacing w:after="0" w:line="240" w:lineRule="auto"/>
              <w:ind w:left="57"/>
              <w:jc w:val="center"/>
              <w:rPr>
                <w:rFonts w:ascii="Times New Roman" w:hAnsi="Times New Roman"/>
                <w:spacing w:val="-2"/>
                <w:sz w:val="24"/>
                <w:szCs w:val="24"/>
              </w:rPr>
            </w:pPr>
            <w:r w:rsidRPr="00D85B78">
              <w:rPr>
                <w:rFonts w:ascii="Times New Roman" w:hAnsi="Times New Roman"/>
                <w:spacing w:val="-2"/>
                <w:sz w:val="24"/>
                <w:szCs w:val="24"/>
              </w:rPr>
              <w:t>Komisija</w:t>
            </w:r>
            <w:r>
              <w:rPr>
                <w:rFonts w:ascii="Times New Roman" w:hAnsi="Times New Roman"/>
                <w:spacing w:val="-2"/>
                <w:sz w:val="24"/>
                <w:szCs w:val="24"/>
              </w:rPr>
              <w:t>s regulas Nr.800/2008 2.panta 19</w:t>
            </w:r>
            <w:r w:rsidRPr="00D85B78">
              <w:rPr>
                <w:rFonts w:ascii="Times New Roman" w:hAnsi="Times New Roman"/>
                <w:spacing w:val="-2"/>
                <w:sz w:val="24"/>
                <w:szCs w:val="24"/>
              </w:rPr>
              <w:t>.punkts</w:t>
            </w:r>
          </w:p>
        </w:tc>
        <w:tc>
          <w:tcPr>
            <w:tcW w:w="2455"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D85B78" w:rsidP="00822854">
            <w:pPr>
              <w:spacing w:after="0" w:line="240" w:lineRule="auto"/>
              <w:ind w:left="57"/>
              <w:jc w:val="center"/>
              <w:rPr>
                <w:rFonts w:ascii="Times New Roman" w:hAnsi="Times New Roman"/>
                <w:spacing w:val="-2"/>
                <w:sz w:val="24"/>
                <w:szCs w:val="24"/>
              </w:rPr>
            </w:pPr>
            <w:r w:rsidRPr="00D85B78">
              <w:rPr>
                <w:rFonts w:ascii="Times New Roman" w:hAnsi="Times New Roman"/>
                <w:spacing w:val="-2"/>
                <w:sz w:val="24"/>
                <w:szCs w:val="24"/>
              </w:rPr>
              <w:t>MK rīkojuma grozījumu projekta 1.2. un 1.3.apakšpunkts</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85B78" w:rsidRPr="00D85B78" w:rsidRDefault="00D85B78" w:rsidP="00D85B78">
            <w:pPr>
              <w:spacing w:after="0" w:line="240" w:lineRule="auto"/>
              <w:ind w:left="57"/>
              <w:jc w:val="center"/>
              <w:rPr>
                <w:rFonts w:ascii="Times New Roman" w:hAnsi="Times New Roman"/>
                <w:spacing w:val="-2"/>
                <w:sz w:val="24"/>
                <w:szCs w:val="24"/>
              </w:rPr>
            </w:pPr>
            <w:r w:rsidRPr="00D85B78">
              <w:rPr>
                <w:rFonts w:ascii="Times New Roman" w:hAnsi="Times New Roman"/>
                <w:spacing w:val="-2"/>
                <w:sz w:val="24"/>
                <w:szCs w:val="24"/>
              </w:rPr>
              <w:t>Vienība tiek ieviesta pilnībā līdz 2014.gada 31.decembrim.</w:t>
            </w:r>
          </w:p>
          <w:p w:rsidR="00822854" w:rsidRDefault="00D85B78" w:rsidP="00D85B78">
            <w:pPr>
              <w:spacing w:after="0" w:line="240" w:lineRule="auto"/>
              <w:ind w:left="57"/>
              <w:jc w:val="center"/>
              <w:rPr>
                <w:rFonts w:ascii="Times New Roman" w:hAnsi="Times New Roman"/>
                <w:spacing w:val="-2"/>
                <w:sz w:val="24"/>
                <w:szCs w:val="24"/>
              </w:rPr>
            </w:pPr>
            <w:r w:rsidRPr="00D85B78">
              <w:rPr>
                <w:rFonts w:ascii="Times New Roman" w:hAnsi="Times New Roman"/>
                <w:spacing w:val="-2"/>
                <w:sz w:val="24"/>
                <w:szCs w:val="24"/>
              </w:rPr>
              <w:t>Atbildīgā institūcija – NVA (projekta ieviesējs).</w:t>
            </w:r>
          </w:p>
        </w:tc>
        <w:tc>
          <w:tcPr>
            <w:tcW w:w="224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jc w:val="center"/>
              <w:rPr>
                <w:rFonts w:ascii="Times New Roman" w:hAnsi="Times New Roman"/>
                <w:spacing w:val="-2"/>
                <w:sz w:val="24"/>
                <w:szCs w:val="24"/>
              </w:rPr>
            </w:pPr>
            <w:r>
              <w:rPr>
                <w:rFonts w:ascii="Times New Roman" w:hAnsi="Times New Roman"/>
                <w:spacing w:val="-2"/>
                <w:sz w:val="24"/>
                <w:szCs w:val="24"/>
              </w:rPr>
              <w:t>Netiek paredzētas stingrākas prasības.</w:t>
            </w:r>
          </w:p>
        </w:tc>
      </w:tr>
      <w:tr w:rsidR="00822854" w:rsidTr="00822854">
        <w:trPr>
          <w:jc w:val="center"/>
        </w:trPr>
        <w:tc>
          <w:tcPr>
            <w:tcW w:w="219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D85B78">
            <w:pPr>
              <w:spacing w:after="0" w:line="240" w:lineRule="auto"/>
              <w:ind w:left="57"/>
              <w:jc w:val="center"/>
              <w:rPr>
                <w:rFonts w:ascii="Times New Roman" w:hAnsi="Times New Roman"/>
                <w:spacing w:val="-2"/>
                <w:sz w:val="24"/>
                <w:szCs w:val="24"/>
              </w:rPr>
            </w:pPr>
            <w:r>
              <w:rPr>
                <w:rFonts w:ascii="Times New Roman" w:hAnsi="Times New Roman"/>
                <w:spacing w:val="-2"/>
                <w:sz w:val="24"/>
                <w:szCs w:val="24"/>
              </w:rPr>
              <w:t>Komisijas regulas Nr.651/2014 2.panta 4</w:t>
            </w:r>
            <w:r w:rsidR="00822854">
              <w:rPr>
                <w:rFonts w:ascii="Times New Roman" w:hAnsi="Times New Roman"/>
                <w:spacing w:val="-2"/>
                <w:sz w:val="24"/>
                <w:szCs w:val="24"/>
              </w:rPr>
              <w:t>.punkts</w:t>
            </w:r>
          </w:p>
        </w:tc>
        <w:tc>
          <w:tcPr>
            <w:tcW w:w="2455"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D85B78" w:rsidP="00822854">
            <w:pPr>
              <w:spacing w:after="0" w:line="240" w:lineRule="auto"/>
              <w:ind w:left="57"/>
              <w:jc w:val="center"/>
              <w:rPr>
                <w:rFonts w:ascii="Times New Roman" w:hAnsi="Times New Roman"/>
                <w:spacing w:val="-2"/>
                <w:sz w:val="24"/>
                <w:szCs w:val="24"/>
              </w:rPr>
            </w:pPr>
            <w:r w:rsidRPr="00D85B78">
              <w:rPr>
                <w:rFonts w:ascii="Times New Roman" w:hAnsi="Times New Roman"/>
                <w:spacing w:val="-2"/>
                <w:sz w:val="24"/>
                <w:szCs w:val="24"/>
              </w:rPr>
              <w:t>MK rīkojuma grozījumu projekta 1.2. un 1.3.apakšpunkts</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D85B78">
            <w:pPr>
              <w:spacing w:after="0" w:line="240" w:lineRule="auto"/>
              <w:ind w:left="57"/>
              <w:jc w:val="center"/>
              <w:rPr>
                <w:rFonts w:ascii="Times New Roman" w:hAnsi="Times New Roman"/>
                <w:spacing w:val="-2"/>
                <w:sz w:val="24"/>
                <w:szCs w:val="24"/>
              </w:rPr>
            </w:pPr>
            <w:r>
              <w:rPr>
                <w:rFonts w:ascii="Times New Roman" w:hAnsi="Times New Roman"/>
                <w:spacing w:val="-2"/>
                <w:sz w:val="24"/>
                <w:szCs w:val="24"/>
              </w:rPr>
              <w:t>Vienība tiks</w:t>
            </w:r>
            <w:r w:rsidR="00822854">
              <w:rPr>
                <w:rFonts w:ascii="Times New Roman" w:hAnsi="Times New Roman"/>
                <w:spacing w:val="-2"/>
                <w:sz w:val="24"/>
                <w:szCs w:val="24"/>
              </w:rPr>
              <w:t xml:space="preserve"> ieviesta pilnībā</w:t>
            </w:r>
            <w:r>
              <w:rPr>
                <w:rFonts w:ascii="Times New Roman" w:hAnsi="Times New Roman"/>
                <w:spacing w:val="-2"/>
                <w:sz w:val="24"/>
                <w:szCs w:val="24"/>
              </w:rPr>
              <w:t xml:space="preserve"> no 2015.gada 1.janvāra</w:t>
            </w:r>
            <w:r w:rsidR="00822854">
              <w:rPr>
                <w:rFonts w:ascii="Times New Roman" w:hAnsi="Times New Roman"/>
                <w:spacing w:val="-2"/>
                <w:sz w:val="24"/>
                <w:szCs w:val="24"/>
              </w:rPr>
              <w:t>.</w:t>
            </w:r>
          </w:p>
          <w:p w:rsidR="00822854" w:rsidRDefault="00822854">
            <w:pPr>
              <w:spacing w:after="0" w:line="240" w:lineRule="auto"/>
              <w:ind w:left="57"/>
              <w:jc w:val="center"/>
              <w:rPr>
                <w:rFonts w:ascii="Times New Roman" w:hAnsi="Times New Roman"/>
                <w:spacing w:val="-2"/>
                <w:sz w:val="24"/>
                <w:szCs w:val="24"/>
              </w:rPr>
            </w:pPr>
            <w:r>
              <w:rPr>
                <w:rFonts w:ascii="Times New Roman" w:hAnsi="Times New Roman"/>
                <w:sz w:val="24"/>
                <w:szCs w:val="24"/>
              </w:rPr>
              <w:t>Atbildīgā institūcija – NVA (projekta ieviesējs).</w:t>
            </w:r>
          </w:p>
        </w:tc>
        <w:tc>
          <w:tcPr>
            <w:tcW w:w="224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jc w:val="center"/>
              <w:rPr>
                <w:rFonts w:ascii="Times New Roman" w:hAnsi="Times New Roman"/>
                <w:spacing w:val="-2"/>
                <w:sz w:val="24"/>
                <w:szCs w:val="24"/>
              </w:rPr>
            </w:pPr>
            <w:r>
              <w:rPr>
                <w:rFonts w:ascii="Times New Roman" w:hAnsi="Times New Roman"/>
                <w:spacing w:val="-2"/>
                <w:sz w:val="24"/>
                <w:szCs w:val="24"/>
              </w:rPr>
              <w:t>Netiek paredzētas stingrākas prasības.</w:t>
            </w:r>
          </w:p>
        </w:tc>
      </w:tr>
      <w:tr w:rsidR="00822854" w:rsidTr="00822854">
        <w:trPr>
          <w:jc w:val="center"/>
        </w:trPr>
        <w:tc>
          <w:tcPr>
            <w:tcW w:w="219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D85B78">
            <w:pPr>
              <w:spacing w:after="0" w:line="240" w:lineRule="auto"/>
              <w:ind w:left="57"/>
              <w:jc w:val="center"/>
              <w:rPr>
                <w:rFonts w:ascii="Times New Roman" w:hAnsi="Times New Roman"/>
                <w:spacing w:val="-2"/>
                <w:sz w:val="24"/>
                <w:szCs w:val="24"/>
              </w:rPr>
            </w:pPr>
            <w:r w:rsidRPr="00D85B78">
              <w:rPr>
                <w:rFonts w:ascii="Times New Roman" w:hAnsi="Times New Roman"/>
                <w:spacing w:val="-2"/>
                <w:sz w:val="24"/>
                <w:szCs w:val="24"/>
              </w:rPr>
              <w:t>Komisij</w:t>
            </w:r>
            <w:r>
              <w:rPr>
                <w:rFonts w:ascii="Times New Roman" w:hAnsi="Times New Roman"/>
                <w:spacing w:val="-2"/>
                <w:sz w:val="24"/>
                <w:szCs w:val="24"/>
              </w:rPr>
              <w:t>as regulas Nr.651/2014 2.panta 99</w:t>
            </w:r>
            <w:r w:rsidRPr="00D85B78">
              <w:rPr>
                <w:rFonts w:ascii="Times New Roman" w:hAnsi="Times New Roman"/>
                <w:spacing w:val="-2"/>
                <w:sz w:val="24"/>
                <w:szCs w:val="24"/>
              </w:rPr>
              <w:t>.punkts</w:t>
            </w:r>
          </w:p>
        </w:tc>
        <w:tc>
          <w:tcPr>
            <w:tcW w:w="2455"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D85B78" w:rsidP="0060366C">
            <w:pPr>
              <w:spacing w:after="0" w:line="240" w:lineRule="auto"/>
              <w:ind w:left="57"/>
              <w:jc w:val="center"/>
              <w:rPr>
                <w:rFonts w:ascii="Times New Roman" w:hAnsi="Times New Roman"/>
                <w:spacing w:val="-2"/>
                <w:sz w:val="24"/>
                <w:szCs w:val="24"/>
              </w:rPr>
            </w:pPr>
            <w:r w:rsidRPr="00D85B78">
              <w:rPr>
                <w:rFonts w:ascii="Times New Roman" w:hAnsi="Times New Roman"/>
                <w:spacing w:val="-2"/>
                <w:sz w:val="24"/>
                <w:szCs w:val="24"/>
              </w:rPr>
              <w:t>MK rīkojuma grozījumu projekta 1.2. un 1.3.apakšpunkts</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85B78" w:rsidRPr="00D85B78" w:rsidRDefault="00D85B78" w:rsidP="00D85B78">
            <w:pPr>
              <w:spacing w:after="0" w:line="240" w:lineRule="auto"/>
              <w:ind w:left="57"/>
              <w:jc w:val="center"/>
              <w:rPr>
                <w:rFonts w:ascii="Times New Roman" w:hAnsi="Times New Roman"/>
                <w:spacing w:val="-2"/>
                <w:sz w:val="24"/>
                <w:szCs w:val="24"/>
              </w:rPr>
            </w:pPr>
            <w:r w:rsidRPr="00D85B78">
              <w:rPr>
                <w:rFonts w:ascii="Times New Roman" w:hAnsi="Times New Roman"/>
                <w:spacing w:val="-2"/>
                <w:sz w:val="24"/>
                <w:szCs w:val="24"/>
              </w:rPr>
              <w:t>Vienība tiks ieviesta pilnībā no 2015.gada 1.janvāra.</w:t>
            </w:r>
          </w:p>
          <w:p w:rsidR="00822854" w:rsidRDefault="00D85B78" w:rsidP="00D85B78">
            <w:pPr>
              <w:spacing w:after="0" w:line="240" w:lineRule="auto"/>
              <w:ind w:left="57"/>
              <w:jc w:val="center"/>
              <w:rPr>
                <w:rFonts w:ascii="Times New Roman" w:hAnsi="Times New Roman"/>
                <w:spacing w:val="-2"/>
                <w:sz w:val="24"/>
                <w:szCs w:val="24"/>
              </w:rPr>
            </w:pPr>
            <w:r w:rsidRPr="00D85B78">
              <w:rPr>
                <w:rFonts w:ascii="Times New Roman" w:hAnsi="Times New Roman"/>
                <w:spacing w:val="-2"/>
                <w:sz w:val="24"/>
                <w:szCs w:val="24"/>
              </w:rPr>
              <w:t>Atbildīgā institūcija – NVA (projekta ieviesējs).</w:t>
            </w:r>
          </w:p>
        </w:tc>
        <w:tc>
          <w:tcPr>
            <w:tcW w:w="224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jc w:val="center"/>
              <w:rPr>
                <w:rFonts w:ascii="Times New Roman" w:hAnsi="Times New Roman"/>
                <w:spacing w:val="-2"/>
                <w:sz w:val="24"/>
                <w:szCs w:val="24"/>
              </w:rPr>
            </w:pPr>
            <w:r>
              <w:rPr>
                <w:rFonts w:ascii="Times New Roman" w:hAnsi="Times New Roman"/>
                <w:spacing w:val="-2"/>
                <w:sz w:val="24"/>
                <w:szCs w:val="24"/>
              </w:rPr>
              <w:t>Netiek paredzētas stingrākas prasības.</w:t>
            </w:r>
          </w:p>
        </w:tc>
      </w:tr>
      <w:tr w:rsidR="00822854" w:rsidTr="00822854">
        <w:trPr>
          <w:jc w:val="center"/>
        </w:trPr>
        <w:tc>
          <w:tcPr>
            <w:tcW w:w="219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rPr>
                <w:rFonts w:ascii="Times New Roman" w:hAnsi="Times New Roman"/>
                <w:spacing w:val="-3"/>
                <w:sz w:val="24"/>
                <w:szCs w:val="24"/>
              </w:rPr>
            </w:pPr>
            <w:r>
              <w:rPr>
                <w:rFonts w:ascii="Times New Roman" w:hAnsi="Times New Roman"/>
                <w:spacing w:val="-3"/>
                <w:sz w:val="24"/>
                <w:szCs w:val="24"/>
              </w:rPr>
              <w:t>Kā ir izmantota ES tiesību aktā paredzētā rīcības brīvība dalīb</w:t>
            </w:r>
            <w:r>
              <w:rPr>
                <w:rFonts w:ascii="Times New Roman" w:hAnsi="Times New Roman"/>
                <w:spacing w:val="-3"/>
                <w:sz w:val="24"/>
                <w:szCs w:val="24"/>
              </w:rPr>
              <w:softHyphen/>
              <w:t>valstij pārņemt vai ieviest noteiktas ES tiesību akta normas?</w:t>
            </w:r>
          </w:p>
          <w:p w:rsidR="00822854" w:rsidRDefault="00822854">
            <w:pPr>
              <w:spacing w:after="0" w:line="240" w:lineRule="auto"/>
              <w:ind w:left="57"/>
              <w:rPr>
                <w:rFonts w:ascii="Times New Roman" w:hAnsi="Times New Roman"/>
                <w:spacing w:val="-3"/>
                <w:sz w:val="24"/>
                <w:szCs w:val="24"/>
              </w:rPr>
            </w:pPr>
            <w:r>
              <w:rPr>
                <w:rFonts w:ascii="Times New Roman" w:hAnsi="Times New Roman"/>
                <w:spacing w:val="-3"/>
                <w:sz w:val="24"/>
                <w:szCs w:val="24"/>
              </w:rPr>
              <w:t>Kādēļ?</w:t>
            </w:r>
          </w:p>
        </w:tc>
        <w:tc>
          <w:tcPr>
            <w:tcW w:w="7388"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rsidP="0060366C">
            <w:pPr>
              <w:spacing w:after="0" w:line="240" w:lineRule="auto"/>
              <w:ind w:left="57"/>
              <w:rPr>
                <w:rFonts w:ascii="Times New Roman" w:hAnsi="Times New Roman"/>
                <w:sz w:val="24"/>
                <w:szCs w:val="24"/>
              </w:rPr>
            </w:pPr>
            <w:r>
              <w:rPr>
                <w:rFonts w:ascii="Times New Roman" w:hAnsi="Times New Roman"/>
                <w:sz w:val="24"/>
                <w:szCs w:val="24"/>
              </w:rPr>
              <w:t xml:space="preserve">MK </w:t>
            </w:r>
            <w:r w:rsidR="0060366C">
              <w:rPr>
                <w:rFonts w:ascii="Times New Roman" w:hAnsi="Times New Roman"/>
                <w:sz w:val="24"/>
                <w:szCs w:val="24"/>
              </w:rPr>
              <w:t>rīkojuma</w:t>
            </w:r>
            <w:r>
              <w:rPr>
                <w:rFonts w:ascii="Times New Roman" w:hAnsi="Times New Roman"/>
                <w:sz w:val="24"/>
                <w:szCs w:val="24"/>
              </w:rPr>
              <w:t xml:space="preserve"> projekts šo jomu neskar.</w:t>
            </w:r>
          </w:p>
        </w:tc>
      </w:tr>
      <w:tr w:rsidR="00822854" w:rsidTr="00822854">
        <w:trPr>
          <w:jc w:val="center"/>
        </w:trPr>
        <w:tc>
          <w:tcPr>
            <w:tcW w:w="219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rPr>
                <w:rFonts w:ascii="Times New Roman" w:hAnsi="Times New Roman"/>
                <w:spacing w:val="-3"/>
                <w:sz w:val="24"/>
                <w:szCs w:val="24"/>
              </w:rPr>
            </w:pPr>
            <w:r>
              <w:rPr>
                <w:rFonts w:ascii="Times New Roman" w:hAnsi="Times New Roman"/>
                <w:spacing w:val="-4"/>
                <w:sz w:val="24"/>
                <w:szCs w:val="24"/>
              </w:rPr>
              <w:t>Saistības sniegt paziņojumu ES insti</w:t>
            </w:r>
            <w:r>
              <w:rPr>
                <w:rFonts w:ascii="Times New Roman" w:hAnsi="Times New Roman"/>
                <w:spacing w:val="-4"/>
                <w:sz w:val="24"/>
                <w:szCs w:val="24"/>
              </w:rPr>
              <w:softHyphen/>
              <w:t>tūcijām un ES dalīb</w:t>
            </w:r>
            <w:r>
              <w:rPr>
                <w:rFonts w:ascii="Times New Roman" w:hAnsi="Times New Roman"/>
                <w:spacing w:val="-4"/>
                <w:sz w:val="24"/>
                <w:szCs w:val="24"/>
              </w:rPr>
              <w:softHyphen/>
              <w:t>valstīm atbilstoši normatīvajiem aktiem, kas regulē informā</w:t>
            </w:r>
            <w:r>
              <w:rPr>
                <w:rFonts w:ascii="Times New Roman" w:hAnsi="Times New Roman"/>
                <w:spacing w:val="-4"/>
                <w:sz w:val="24"/>
                <w:szCs w:val="24"/>
              </w:rPr>
              <w:softHyphen/>
              <w:t xml:space="preserve">cijas </w:t>
            </w:r>
            <w:r>
              <w:rPr>
                <w:rFonts w:ascii="Times New Roman" w:hAnsi="Times New Roman"/>
                <w:spacing w:val="-4"/>
                <w:sz w:val="24"/>
                <w:szCs w:val="24"/>
              </w:rPr>
              <w:lastRenderedPageBreak/>
              <w:t>sniegšanu par tehnisko noteikumu, valsts atbalsta piešķir</w:t>
            </w:r>
            <w:r>
              <w:rPr>
                <w:rFonts w:ascii="Times New Roman" w:hAnsi="Times New Roman"/>
                <w:spacing w:val="-4"/>
                <w:sz w:val="24"/>
                <w:szCs w:val="24"/>
              </w:rPr>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rsidP="0060366C">
            <w:pPr>
              <w:spacing w:after="0" w:line="240" w:lineRule="auto"/>
              <w:ind w:left="57"/>
              <w:rPr>
                <w:rFonts w:ascii="Times New Roman" w:hAnsi="Times New Roman"/>
                <w:sz w:val="24"/>
                <w:szCs w:val="24"/>
              </w:rPr>
            </w:pPr>
            <w:r>
              <w:rPr>
                <w:rFonts w:ascii="Times New Roman" w:hAnsi="Times New Roman"/>
                <w:sz w:val="24"/>
                <w:szCs w:val="24"/>
              </w:rPr>
              <w:lastRenderedPageBreak/>
              <w:t xml:space="preserve">MK </w:t>
            </w:r>
            <w:r w:rsidR="0060366C">
              <w:rPr>
                <w:rFonts w:ascii="Times New Roman" w:hAnsi="Times New Roman"/>
                <w:sz w:val="24"/>
                <w:szCs w:val="24"/>
              </w:rPr>
              <w:t>rīkojuma</w:t>
            </w:r>
            <w:r>
              <w:rPr>
                <w:rFonts w:ascii="Times New Roman" w:hAnsi="Times New Roman"/>
                <w:sz w:val="24"/>
                <w:szCs w:val="24"/>
              </w:rPr>
              <w:t xml:space="preserve"> projekts šo jomu neskar.</w:t>
            </w:r>
          </w:p>
        </w:tc>
      </w:tr>
      <w:tr w:rsidR="00822854" w:rsidTr="00822854">
        <w:trPr>
          <w:jc w:val="center"/>
        </w:trPr>
        <w:tc>
          <w:tcPr>
            <w:tcW w:w="219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rPr>
                <w:rFonts w:ascii="Times New Roman" w:hAnsi="Times New Roman"/>
                <w:sz w:val="24"/>
                <w:szCs w:val="24"/>
              </w:rPr>
            </w:pPr>
            <w:r>
              <w:rPr>
                <w:rFonts w:ascii="Times New Roman" w:hAnsi="Times New Roman"/>
                <w:sz w:val="24"/>
                <w:szCs w:val="24"/>
              </w:rPr>
              <w:lastRenderedPageBreak/>
              <w:t>Cita informācija</w:t>
            </w:r>
          </w:p>
        </w:tc>
        <w:tc>
          <w:tcPr>
            <w:tcW w:w="7388"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rPr>
                <w:rFonts w:ascii="Times New Roman" w:hAnsi="Times New Roman"/>
                <w:sz w:val="24"/>
                <w:szCs w:val="24"/>
              </w:rPr>
            </w:pPr>
            <w:r>
              <w:rPr>
                <w:rFonts w:ascii="Times New Roman" w:hAnsi="Times New Roman"/>
                <w:sz w:val="24"/>
                <w:szCs w:val="24"/>
              </w:rPr>
              <w:t>Nav.</w:t>
            </w:r>
          </w:p>
        </w:tc>
      </w:tr>
      <w:tr w:rsidR="00822854" w:rsidTr="00822854">
        <w:trPr>
          <w:jc w:val="center"/>
        </w:trPr>
        <w:tc>
          <w:tcPr>
            <w:tcW w:w="9586" w:type="dxa"/>
            <w:gridSpan w:val="8"/>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822854" w:rsidRDefault="00822854">
            <w:pPr>
              <w:spacing w:after="0" w:line="240" w:lineRule="auto"/>
              <w:ind w:left="57"/>
              <w:jc w:val="center"/>
              <w:rPr>
                <w:rFonts w:ascii="Times New Roman" w:hAnsi="Times New Roman"/>
                <w:b/>
                <w:sz w:val="24"/>
                <w:szCs w:val="24"/>
              </w:rPr>
            </w:pPr>
            <w:r>
              <w:rPr>
                <w:rFonts w:ascii="Times New Roman" w:hAnsi="Times New Roman"/>
                <w:b/>
                <w:sz w:val="24"/>
                <w:szCs w:val="24"/>
              </w:rPr>
              <w:t>2.tabula</w:t>
            </w:r>
          </w:p>
          <w:p w:rsidR="00822854" w:rsidRDefault="00822854">
            <w:pPr>
              <w:spacing w:after="0" w:line="240" w:lineRule="auto"/>
              <w:ind w:left="57"/>
              <w:jc w:val="center"/>
              <w:rPr>
                <w:rFonts w:ascii="Times New Roman" w:hAnsi="Times New Roman"/>
                <w:b/>
                <w:sz w:val="24"/>
                <w:szCs w:val="24"/>
              </w:rPr>
            </w:pPr>
            <w:r>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rsidR="00822854" w:rsidRDefault="00822854">
            <w:pPr>
              <w:spacing w:after="0" w:line="240" w:lineRule="auto"/>
              <w:ind w:left="57"/>
              <w:jc w:val="center"/>
              <w:rPr>
                <w:rFonts w:ascii="Times New Roman" w:hAnsi="Times New Roman"/>
                <w:b/>
                <w:sz w:val="24"/>
                <w:szCs w:val="24"/>
              </w:rPr>
            </w:pPr>
            <w:r>
              <w:rPr>
                <w:rFonts w:ascii="Times New Roman" w:hAnsi="Times New Roman"/>
                <w:b/>
                <w:sz w:val="24"/>
                <w:szCs w:val="24"/>
              </w:rPr>
              <w:t>Pasākumi šo saistību izpildei</w:t>
            </w:r>
          </w:p>
        </w:tc>
      </w:tr>
      <w:tr w:rsidR="00822854" w:rsidTr="00822854">
        <w:trPr>
          <w:jc w:val="center"/>
        </w:trPr>
        <w:tc>
          <w:tcPr>
            <w:tcW w:w="2463"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822854" w:rsidRDefault="00822854">
            <w:pPr>
              <w:spacing w:after="0" w:line="240" w:lineRule="auto"/>
              <w:ind w:left="57"/>
              <w:rPr>
                <w:rFonts w:ascii="Times New Roman" w:hAnsi="Times New Roman"/>
                <w:sz w:val="24"/>
                <w:szCs w:val="24"/>
              </w:rPr>
            </w:pPr>
            <w:r>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rsidP="0060366C">
            <w:pPr>
              <w:spacing w:after="0" w:line="240" w:lineRule="auto"/>
              <w:ind w:left="57"/>
              <w:rPr>
                <w:rFonts w:ascii="Times New Roman" w:hAnsi="Times New Roman"/>
                <w:sz w:val="24"/>
                <w:szCs w:val="24"/>
              </w:rPr>
            </w:pPr>
            <w:r>
              <w:rPr>
                <w:rFonts w:ascii="Times New Roman" w:hAnsi="Times New Roman"/>
                <w:sz w:val="24"/>
                <w:szCs w:val="24"/>
              </w:rPr>
              <w:t xml:space="preserve">MK </w:t>
            </w:r>
            <w:r w:rsidR="0060366C">
              <w:rPr>
                <w:rFonts w:ascii="Times New Roman" w:hAnsi="Times New Roman"/>
                <w:sz w:val="24"/>
                <w:szCs w:val="24"/>
              </w:rPr>
              <w:t>rīkojuma</w:t>
            </w:r>
            <w:r>
              <w:rPr>
                <w:rFonts w:ascii="Times New Roman" w:hAnsi="Times New Roman"/>
                <w:sz w:val="24"/>
                <w:szCs w:val="24"/>
              </w:rPr>
              <w:t xml:space="preserve"> projekts šo jomu neskar.</w:t>
            </w:r>
          </w:p>
        </w:tc>
      </w:tr>
      <w:tr w:rsidR="00822854" w:rsidTr="00822854">
        <w:trPr>
          <w:jc w:val="center"/>
        </w:trPr>
        <w:tc>
          <w:tcPr>
            <w:tcW w:w="2463"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822854" w:rsidRDefault="00822854">
            <w:pPr>
              <w:spacing w:after="0" w:line="240" w:lineRule="auto"/>
              <w:ind w:left="57"/>
              <w:jc w:val="center"/>
              <w:rPr>
                <w:rFonts w:ascii="Times New Roman" w:hAnsi="Times New Roman"/>
                <w:sz w:val="24"/>
                <w:szCs w:val="24"/>
              </w:rPr>
            </w:pPr>
            <w:r>
              <w:rPr>
                <w:rFonts w:ascii="Times New Roman" w:hAnsi="Times New Roman"/>
                <w:sz w:val="24"/>
                <w:szCs w:val="24"/>
              </w:rPr>
              <w:t>A</w:t>
            </w:r>
          </w:p>
        </w:tc>
        <w:tc>
          <w:tcPr>
            <w:tcW w:w="3324"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822854" w:rsidRDefault="00822854">
            <w:pPr>
              <w:spacing w:after="0" w:line="240" w:lineRule="auto"/>
              <w:ind w:left="57"/>
              <w:jc w:val="center"/>
              <w:rPr>
                <w:rFonts w:ascii="Times New Roman" w:hAnsi="Times New Roman"/>
                <w:sz w:val="24"/>
                <w:szCs w:val="24"/>
              </w:rPr>
            </w:pPr>
            <w:r>
              <w:rPr>
                <w:rFonts w:ascii="Times New Roman" w:hAnsi="Times New Roman"/>
                <w:sz w:val="24"/>
                <w:szCs w:val="24"/>
              </w:rPr>
              <w:t>B</w:t>
            </w:r>
          </w:p>
        </w:tc>
        <w:tc>
          <w:tcPr>
            <w:tcW w:w="3799"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822854" w:rsidRDefault="00822854">
            <w:pPr>
              <w:spacing w:after="0" w:line="240" w:lineRule="auto"/>
              <w:ind w:left="57"/>
              <w:jc w:val="center"/>
              <w:rPr>
                <w:rFonts w:ascii="Times New Roman" w:hAnsi="Times New Roman"/>
                <w:sz w:val="24"/>
                <w:szCs w:val="24"/>
              </w:rPr>
            </w:pPr>
            <w:r>
              <w:rPr>
                <w:rFonts w:ascii="Times New Roman" w:hAnsi="Times New Roman"/>
                <w:sz w:val="24"/>
                <w:szCs w:val="24"/>
              </w:rPr>
              <w:t>C</w:t>
            </w:r>
          </w:p>
        </w:tc>
      </w:tr>
      <w:tr w:rsidR="00822854" w:rsidTr="00822854">
        <w:trPr>
          <w:jc w:val="center"/>
        </w:trPr>
        <w:tc>
          <w:tcPr>
            <w:tcW w:w="2463"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rPr>
                <w:rFonts w:ascii="Times New Roman" w:hAnsi="Times New Roman"/>
                <w:sz w:val="24"/>
                <w:szCs w:val="24"/>
              </w:rPr>
            </w:pPr>
            <w:r>
              <w:rPr>
                <w:rFonts w:ascii="Times New Roman" w:hAnsi="Times New Roman"/>
                <w:sz w:val="24"/>
                <w:szCs w:val="24"/>
              </w:rPr>
              <w:t>Starptautiskās saistības (pēc būtības), kas izriet no norādītā starptautis</w:t>
            </w:r>
            <w:r>
              <w:rPr>
                <w:rFonts w:ascii="Times New Roman" w:hAnsi="Times New Roman"/>
                <w:sz w:val="24"/>
                <w:szCs w:val="24"/>
              </w:rPr>
              <w:softHyphen/>
              <w:t>kā dokumenta.</w:t>
            </w:r>
          </w:p>
          <w:p w:rsidR="00822854" w:rsidRDefault="00822854">
            <w:pPr>
              <w:spacing w:after="0" w:line="240" w:lineRule="auto"/>
              <w:ind w:left="57"/>
              <w:rPr>
                <w:rFonts w:ascii="Times New Roman" w:hAnsi="Times New Roman"/>
                <w:sz w:val="24"/>
                <w:szCs w:val="24"/>
              </w:rPr>
            </w:pPr>
            <w:r>
              <w:rPr>
                <w:rFonts w:ascii="Times New Roman" w:hAnsi="Times New Roman"/>
                <w:sz w:val="24"/>
                <w:szCs w:val="24"/>
              </w:rPr>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rPr>
                <w:rFonts w:ascii="Times New Roman" w:hAnsi="Times New Roman"/>
                <w:sz w:val="24"/>
                <w:szCs w:val="24"/>
              </w:rPr>
            </w:pPr>
            <w:r>
              <w:rPr>
                <w:rFonts w:ascii="Times New Roman" w:hAnsi="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rPr>
                <w:rFonts w:ascii="Times New Roman" w:hAnsi="Times New Roman"/>
                <w:sz w:val="24"/>
                <w:szCs w:val="24"/>
              </w:rPr>
            </w:pPr>
            <w:r>
              <w:rPr>
                <w:rFonts w:ascii="Times New Roman" w:hAnsi="Times New Roman"/>
                <w:sz w:val="24"/>
                <w:szCs w:val="24"/>
              </w:rPr>
              <w:t>Informācija par to, vai starptautiskās saistības, kas minētas šīs tabulas A ailē, tiek izpildītas pilnībā vai daļēji.</w:t>
            </w:r>
          </w:p>
          <w:p w:rsidR="00822854" w:rsidRDefault="00822854">
            <w:pPr>
              <w:spacing w:after="0" w:line="240" w:lineRule="auto"/>
              <w:ind w:left="57"/>
              <w:rPr>
                <w:rFonts w:ascii="Times New Roman" w:hAnsi="Times New Roman"/>
                <w:sz w:val="24"/>
                <w:szCs w:val="24"/>
              </w:rPr>
            </w:pPr>
            <w:r>
              <w:rPr>
                <w:rFonts w:ascii="Times New Roman" w:hAnsi="Times New Roman"/>
                <w:sz w:val="24"/>
                <w:szCs w:val="24"/>
              </w:rPr>
              <w:t>Ja attiecīgās starptautiskās saistības tiek izpildītas daļēji, sniedz skaidrojumu, kā arī precīzi norāda, kad un kādā veidā starptautiskās saistības tiks izpildītas pilnībā.</w:t>
            </w:r>
          </w:p>
          <w:p w:rsidR="00822854" w:rsidRDefault="00822854">
            <w:pPr>
              <w:spacing w:after="0" w:line="240" w:lineRule="auto"/>
              <w:ind w:left="57" w:right="57"/>
              <w:rPr>
                <w:rFonts w:ascii="Times New Roman" w:hAnsi="Times New Roman"/>
                <w:sz w:val="24"/>
                <w:szCs w:val="24"/>
              </w:rPr>
            </w:pPr>
            <w:r>
              <w:rPr>
                <w:rFonts w:ascii="Times New Roman" w:hAnsi="Times New Roman"/>
                <w:sz w:val="24"/>
                <w:szCs w:val="24"/>
              </w:rPr>
              <w:t>Norāda institūciju, kas ir atbildīga par šo saistību izpildi pilnībā</w:t>
            </w:r>
          </w:p>
        </w:tc>
      </w:tr>
      <w:tr w:rsidR="00822854" w:rsidTr="00822854">
        <w:trPr>
          <w:jc w:val="center"/>
        </w:trPr>
        <w:tc>
          <w:tcPr>
            <w:tcW w:w="2463"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rPr>
                <w:rFonts w:ascii="Times New Roman" w:hAnsi="Times New Roman"/>
                <w:sz w:val="24"/>
                <w:szCs w:val="24"/>
              </w:rPr>
            </w:pPr>
            <w:r>
              <w:rPr>
                <w:rFonts w:ascii="Times New Roman" w:hAnsi="Times New Roman"/>
                <w:sz w:val="24"/>
                <w:szCs w:val="24"/>
              </w:rPr>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rsidP="0060366C">
            <w:pPr>
              <w:spacing w:after="0" w:line="240" w:lineRule="auto"/>
              <w:ind w:left="57"/>
              <w:rPr>
                <w:rFonts w:ascii="Times New Roman" w:hAnsi="Times New Roman"/>
                <w:sz w:val="24"/>
                <w:szCs w:val="24"/>
              </w:rPr>
            </w:pPr>
            <w:r>
              <w:rPr>
                <w:rFonts w:ascii="Times New Roman" w:hAnsi="Times New Roman"/>
                <w:sz w:val="24"/>
                <w:szCs w:val="24"/>
              </w:rPr>
              <w:t xml:space="preserve">MK </w:t>
            </w:r>
            <w:r w:rsidR="0060366C">
              <w:rPr>
                <w:rFonts w:ascii="Times New Roman" w:hAnsi="Times New Roman"/>
                <w:sz w:val="24"/>
                <w:szCs w:val="24"/>
              </w:rPr>
              <w:t>rīkojuma</w:t>
            </w:r>
            <w:r>
              <w:rPr>
                <w:rFonts w:ascii="Times New Roman" w:hAnsi="Times New Roman"/>
                <w:sz w:val="24"/>
                <w:szCs w:val="24"/>
              </w:rPr>
              <w:t xml:space="preserve"> projekts šo jomu neskar.</w:t>
            </w:r>
          </w:p>
        </w:tc>
        <w:tc>
          <w:tcPr>
            <w:tcW w:w="3799"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rsidP="0060366C">
            <w:pPr>
              <w:spacing w:after="0" w:line="240" w:lineRule="auto"/>
              <w:ind w:left="57"/>
              <w:rPr>
                <w:rFonts w:ascii="Times New Roman" w:hAnsi="Times New Roman"/>
                <w:sz w:val="24"/>
                <w:szCs w:val="24"/>
              </w:rPr>
            </w:pPr>
            <w:r>
              <w:rPr>
                <w:rFonts w:ascii="Times New Roman" w:hAnsi="Times New Roman"/>
                <w:sz w:val="24"/>
                <w:szCs w:val="24"/>
              </w:rPr>
              <w:t xml:space="preserve">MK </w:t>
            </w:r>
            <w:r w:rsidR="0060366C">
              <w:rPr>
                <w:rFonts w:ascii="Times New Roman" w:hAnsi="Times New Roman"/>
                <w:sz w:val="24"/>
                <w:szCs w:val="24"/>
              </w:rPr>
              <w:t xml:space="preserve">rīkojuma </w:t>
            </w:r>
            <w:r>
              <w:rPr>
                <w:rFonts w:ascii="Times New Roman" w:hAnsi="Times New Roman"/>
                <w:sz w:val="24"/>
                <w:szCs w:val="24"/>
              </w:rPr>
              <w:t>projekts šo jomu neskar.</w:t>
            </w:r>
          </w:p>
        </w:tc>
      </w:tr>
      <w:tr w:rsidR="00822854" w:rsidTr="00822854">
        <w:trPr>
          <w:jc w:val="center"/>
        </w:trPr>
        <w:tc>
          <w:tcPr>
            <w:tcW w:w="2463"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rPr>
                <w:rFonts w:ascii="Times New Roman" w:hAnsi="Times New Roman"/>
                <w:sz w:val="24"/>
                <w:szCs w:val="24"/>
              </w:rPr>
            </w:pPr>
            <w:r>
              <w:rPr>
                <w:rFonts w:ascii="Times New Roman" w:hAnsi="Times New Roman"/>
                <w:sz w:val="24"/>
                <w:szCs w:val="24"/>
              </w:rPr>
              <w:t>Vai starptautiskajā dokumentā paredzētās saistības nav pretrunā ar jau esošajām Latvijas Republikas starptautis</w:t>
            </w:r>
            <w:r>
              <w:rPr>
                <w:rFonts w:ascii="Times New Roman" w:hAnsi="Times New Roman"/>
                <w:sz w:val="24"/>
                <w:szCs w:val="24"/>
              </w:rPr>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rsidP="0060366C">
            <w:pPr>
              <w:spacing w:after="0" w:line="240" w:lineRule="auto"/>
              <w:ind w:left="57"/>
              <w:jc w:val="both"/>
              <w:rPr>
                <w:rFonts w:ascii="Times New Roman" w:hAnsi="Times New Roman"/>
                <w:sz w:val="24"/>
                <w:szCs w:val="24"/>
              </w:rPr>
            </w:pPr>
            <w:r>
              <w:rPr>
                <w:rFonts w:ascii="Times New Roman" w:hAnsi="Times New Roman"/>
                <w:sz w:val="24"/>
                <w:szCs w:val="24"/>
              </w:rPr>
              <w:t xml:space="preserve">MK </w:t>
            </w:r>
            <w:r w:rsidR="0060366C">
              <w:rPr>
                <w:rFonts w:ascii="Times New Roman" w:hAnsi="Times New Roman"/>
                <w:sz w:val="24"/>
                <w:szCs w:val="24"/>
              </w:rPr>
              <w:t>rīkojuma</w:t>
            </w:r>
            <w:r w:rsidR="00B6023A">
              <w:rPr>
                <w:rFonts w:ascii="Times New Roman" w:hAnsi="Times New Roman"/>
                <w:sz w:val="24"/>
                <w:szCs w:val="24"/>
              </w:rPr>
              <w:t xml:space="preserve"> </w:t>
            </w:r>
            <w:r>
              <w:rPr>
                <w:rFonts w:ascii="Times New Roman" w:hAnsi="Times New Roman"/>
                <w:sz w:val="24"/>
                <w:szCs w:val="24"/>
              </w:rPr>
              <w:t>projekts šo jomu neskar.</w:t>
            </w:r>
          </w:p>
        </w:tc>
      </w:tr>
      <w:tr w:rsidR="00822854" w:rsidTr="00822854">
        <w:trPr>
          <w:jc w:val="center"/>
        </w:trPr>
        <w:tc>
          <w:tcPr>
            <w:tcW w:w="2463"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rPr>
                <w:rFonts w:ascii="Times New Roman" w:hAnsi="Times New Roman"/>
                <w:sz w:val="24"/>
                <w:szCs w:val="24"/>
              </w:rPr>
            </w:pPr>
            <w:r>
              <w:rPr>
                <w:rFonts w:ascii="Times New Roman" w:hAnsi="Times New Roman"/>
                <w:sz w:val="24"/>
                <w:szCs w:val="24"/>
              </w:rPr>
              <w:t>Cita informācija</w:t>
            </w:r>
          </w:p>
        </w:tc>
        <w:tc>
          <w:tcPr>
            <w:tcW w:w="7123"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22854" w:rsidRDefault="00822854">
            <w:pPr>
              <w:spacing w:after="0" w:line="240" w:lineRule="auto"/>
              <w:ind w:left="57"/>
              <w:jc w:val="both"/>
              <w:rPr>
                <w:rFonts w:ascii="Times New Roman" w:hAnsi="Times New Roman"/>
                <w:sz w:val="24"/>
                <w:szCs w:val="24"/>
              </w:rPr>
            </w:pPr>
            <w:r>
              <w:rPr>
                <w:rFonts w:ascii="Times New Roman" w:hAnsi="Times New Roman"/>
                <w:sz w:val="24"/>
                <w:szCs w:val="24"/>
              </w:rPr>
              <w:t>Nav.</w:t>
            </w:r>
          </w:p>
        </w:tc>
      </w:tr>
    </w:tbl>
    <w:p w:rsidR="00822854" w:rsidRPr="00EA0F8E" w:rsidDel="009D1634" w:rsidRDefault="00822854" w:rsidP="00CC1A56">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921"/>
        <w:gridCol w:w="6127"/>
      </w:tblGrid>
      <w:tr w:rsidR="00CC1A56" w:rsidRPr="00EA0F8E" w:rsidTr="007D385B">
        <w:trPr>
          <w:trHeight w:val="421"/>
          <w:jc w:val="center"/>
        </w:trPr>
        <w:tc>
          <w:tcPr>
            <w:tcW w:w="9524" w:type="dxa"/>
            <w:gridSpan w:val="3"/>
            <w:vAlign w:val="center"/>
          </w:tcPr>
          <w:p w:rsidR="00CC1A56" w:rsidRPr="00EA0F8E" w:rsidRDefault="00CC1A56" w:rsidP="007D385B">
            <w:pPr>
              <w:pStyle w:val="naisnod"/>
              <w:spacing w:before="0" w:beforeAutospacing="0" w:after="0" w:afterAutospacing="0"/>
              <w:ind w:left="57" w:right="57"/>
              <w:jc w:val="center"/>
            </w:pPr>
            <w:r w:rsidRPr="00EA0F8E">
              <w:rPr>
                <w:b/>
              </w:rPr>
              <w:t>VI. Sabiedrības līdzdalība un komunikācijas aktivitātes</w:t>
            </w:r>
          </w:p>
        </w:tc>
      </w:tr>
      <w:tr w:rsidR="00CC1A56" w:rsidRPr="00EA0F8E" w:rsidTr="001D5EBC">
        <w:trPr>
          <w:trHeight w:val="553"/>
          <w:jc w:val="center"/>
        </w:trPr>
        <w:tc>
          <w:tcPr>
            <w:tcW w:w="476" w:type="dxa"/>
          </w:tcPr>
          <w:p w:rsidR="00CC1A56" w:rsidRPr="00EA0F8E" w:rsidRDefault="00CC1A56" w:rsidP="007D385B">
            <w:pPr>
              <w:spacing w:after="0" w:line="240" w:lineRule="auto"/>
              <w:ind w:left="57" w:right="57"/>
              <w:jc w:val="both"/>
              <w:rPr>
                <w:rFonts w:ascii="Times New Roman" w:hAnsi="Times New Roman" w:cs="Times New Roman"/>
                <w:bCs/>
                <w:sz w:val="24"/>
                <w:szCs w:val="24"/>
              </w:rPr>
            </w:pPr>
            <w:r w:rsidRPr="00EA0F8E">
              <w:rPr>
                <w:rFonts w:ascii="Times New Roman" w:hAnsi="Times New Roman" w:cs="Times New Roman"/>
                <w:bCs/>
                <w:sz w:val="24"/>
                <w:szCs w:val="24"/>
              </w:rPr>
              <w:t>1.</w:t>
            </w:r>
          </w:p>
        </w:tc>
        <w:tc>
          <w:tcPr>
            <w:tcW w:w="2921" w:type="dxa"/>
          </w:tcPr>
          <w:p w:rsidR="00CC1A56" w:rsidRPr="00EA0F8E"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EA0F8E">
              <w:rPr>
                <w:rFonts w:ascii="Times New Roman" w:hAnsi="Times New Roman" w:cs="Times New Roman"/>
                <w:sz w:val="24"/>
                <w:szCs w:val="24"/>
                <w:lang w:eastAsia="lv-LV"/>
              </w:rPr>
              <w:t>Plānotās sabiedrības līdzdalības un komunikācijas aktivitātes saistībā ar projektu</w:t>
            </w:r>
          </w:p>
        </w:tc>
        <w:tc>
          <w:tcPr>
            <w:tcW w:w="6127" w:type="dxa"/>
          </w:tcPr>
          <w:p w:rsidR="00CC1A56" w:rsidRPr="00EA0F8E" w:rsidRDefault="002874DE" w:rsidP="00D85B78">
            <w:pPr>
              <w:shd w:val="clear" w:color="auto" w:fill="FFFFFF"/>
              <w:spacing w:after="0" w:line="240" w:lineRule="auto"/>
              <w:ind w:left="142" w:right="173"/>
              <w:jc w:val="both"/>
              <w:rPr>
                <w:rFonts w:ascii="Times New Roman" w:hAnsi="Times New Roman" w:cs="Times New Roman"/>
                <w:sz w:val="24"/>
                <w:szCs w:val="24"/>
              </w:rPr>
            </w:pPr>
            <w:bookmarkStart w:id="2" w:name="p61"/>
            <w:bookmarkEnd w:id="2"/>
            <w:r w:rsidRPr="00EA0F8E">
              <w:rPr>
                <w:rFonts w:ascii="Times New Roman" w:hAnsi="Times New Roman" w:cs="Times New Roman"/>
                <w:sz w:val="24"/>
                <w:szCs w:val="24"/>
              </w:rPr>
              <w:t>Sabiedrības līdzdalība nebija nepieciešama, jo</w:t>
            </w:r>
            <w:r w:rsidR="00EA0F8E" w:rsidRPr="00EA0F8E">
              <w:rPr>
                <w:rFonts w:ascii="Times New Roman" w:hAnsi="Times New Roman" w:cs="Times New Roman"/>
                <w:sz w:val="24"/>
                <w:szCs w:val="24"/>
              </w:rPr>
              <w:t xml:space="preserve"> 1.3.1.1.3.</w:t>
            </w:r>
            <w:r w:rsidR="00D85B78">
              <w:rPr>
                <w:rFonts w:ascii="Times New Roman" w:hAnsi="Times New Roman" w:cs="Times New Roman"/>
                <w:sz w:val="24"/>
                <w:szCs w:val="24"/>
              </w:rPr>
              <w:t>, 1.4.1.1.1. un 1.4.1.1.2.</w:t>
            </w:r>
            <w:r w:rsidR="00EA0F8E" w:rsidRPr="00EA0F8E" w:rsidDel="00EA0F8E">
              <w:rPr>
                <w:rFonts w:ascii="Times New Roman" w:hAnsi="Times New Roman" w:cs="Times New Roman"/>
                <w:sz w:val="24"/>
                <w:szCs w:val="24"/>
              </w:rPr>
              <w:t xml:space="preserve"> </w:t>
            </w:r>
            <w:r w:rsidRPr="00EA0F8E">
              <w:rPr>
                <w:rFonts w:ascii="Times New Roman" w:hAnsi="Times New Roman" w:cs="Times New Roman"/>
                <w:sz w:val="24"/>
                <w:szCs w:val="24"/>
              </w:rPr>
              <w:t>apakšaktivitāte</w:t>
            </w:r>
            <w:r w:rsidR="00D85B78">
              <w:rPr>
                <w:rFonts w:ascii="Times New Roman" w:hAnsi="Times New Roman" w:cs="Times New Roman"/>
                <w:sz w:val="24"/>
                <w:szCs w:val="24"/>
              </w:rPr>
              <w:t>s</w:t>
            </w:r>
            <w:r w:rsidRPr="00EA0F8E">
              <w:rPr>
                <w:rFonts w:ascii="Times New Roman" w:hAnsi="Times New Roman" w:cs="Times New Roman"/>
                <w:sz w:val="24"/>
                <w:szCs w:val="24"/>
              </w:rPr>
              <w:t xml:space="preserve"> tiek īstenota</w:t>
            </w:r>
            <w:r w:rsidR="00D85B78">
              <w:rPr>
                <w:rFonts w:ascii="Times New Roman" w:hAnsi="Times New Roman" w:cs="Times New Roman"/>
                <w:sz w:val="24"/>
                <w:szCs w:val="24"/>
              </w:rPr>
              <w:t>s</w:t>
            </w:r>
            <w:r w:rsidRPr="00EA0F8E">
              <w:rPr>
                <w:rFonts w:ascii="Times New Roman" w:hAnsi="Times New Roman" w:cs="Times New Roman"/>
                <w:sz w:val="24"/>
                <w:szCs w:val="24"/>
              </w:rPr>
              <w:t xml:space="preserve"> ierobežotas projektu iesniegumu atlases veidā un t</w:t>
            </w:r>
            <w:r w:rsidR="00D85B78">
              <w:rPr>
                <w:rFonts w:ascii="Times New Roman" w:hAnsi="Times New Roman" w:cs="Times New Roman"/>
                <w:sz w:val="24"/>
                <w:szCs w:val="24"/>
              </w:rPr>
              <w:t>o</w:t>
            </w:r>
            <w:r w:rsidRPr="00EA0F8E">
              <w:rPr>
                <w:rFonts w:ascii="Times New Roman" w:hAnsi="Times New Roman" w:cs="Times New Roman"/>
                <w:sz w:val="24"/>
                <w:szCs w:val="24"/>
              </w:rPr>
              <w:t xml:space="preserve"> ietvaros jau ir noslēgti līgumi par projektu īstenošanu</w:t>
            </w:r>
            <w:r w:rsidR="00EA0F8E" w:rsidRPr="00EA0F8E">
              <w:rPr>
                <w:rFonts w:ascii="Times New Roman" w:hAnsi="Times New Roman" w:cs="Times New Roman"/>
                <w:sz w:val="24"/>
                <w:szCs w:val="24"/>
              </w:rPr>
              <w:t xml:space="preserve">. </w:t>
            </w:r>
          </w:p>
        </w:tc>
      </w:tr>
      <w:tr w:rsidR="00CC1A56" w:rsidRPr="00EA0F8E" w:rsidTr="001D5EBC">
        <w:trPr>
          <w:trHeight w:val="339"/>
          <w:jc w:val="center"/>
        </w:trPr>
        <w:tc>
          <w:tcPr>
            <w:tcW w:w="476" w:type="dxa"/>
          </w:tcPr>
          <w:p w:rsidR="00CC1A56" w:rsidRPr="00EA0F8E" w:rsidRDefault="00CC1A56" w:rsidP="007D385B">
            <w:pPr>
              <w:spacing w:after="0" w:line="240" w:lineRule="auto"/>
              <w:ind w:left="57" w:right="57"/>
              <w:jc w:val="both"/>
              <w:rPr>
                <w:rFonts w:ascii="Times New Roman" w:hAnsi="Times New Roman" w:cs="Times New Roman"/>
                <w:bCs/>
                <w:sz w:val="24"/>
                <w:szCs w:val="24"/>
              </w:rPr>
            </w:pPr>
            <w:r w:rsidRPr="00EA0F8E">
              <w:rPr>
                <w:rFonts w:ascii="Times New Roman" w:hAnsi="Times New Roman" w:cs="Times New Roman"/>
                <w:bCs/>
                <w:sz w:val="24"/>
                <w:szCs w:val="24"/>
              </w:rPr>
              <w:lastRenderedPageBreak/>
              <w:t>2.</w:t>
            </w:r>
          </w:p>
        </w:tc>
        <w:tc>
          <w:tcPr>
            <w:tcW w:w="2921" w:type="dxa"/>
          </w:tcPr>
          <w:p w:rsidR="00CC1A56" w:rsidRPr="00EA0F8E" w:rsidRDefault="00CC1A56" w:rsidP="007D385B">
            <w:pPr>
              <w:spacing w:after="0" w:line="240" w:lineRule="auto"/>
              <w:ind w:left="57" w:right="57"/>
              <w:rPr>
                <w:rFonts w:ascii="Times New Roman" w:hAnsi="Times New Roman" w:cs="Times New Roman"/>
                <w:sz w:val="24"/>
                <w:szCs w:val="24"/>
                <w:lang w:eastAsia="lv-LV"/>
              </w:rPr>
            </w:pPr>
            <w:r w:rsidRPr="00EA0F8E">
              <w:rPr>
                <w:rFonts w:ascii="Times New Roman" w:hAnsi="Times New Roman" w:cs="Times New Roman"/>
                <w:sz w:val="24"/>
                <w:szCs w:val="24"/>
                <w:lang w:eastAsia="lv-LV"/>
              </w:rPr>
              <w:t>Sabiedrības līdzdalība projekta izstrādē</w:t>
            </w:r>
          </w:p>
        </w:tc>
        <w:tc>
          <w:tcPr>
            <w:tcW w:w="6127" w:type="dxa"/>
          </w:tcPr>
          <w:p w:rsidR="00CC1A56" w:rsidRPr="00EA0F8E" w:rsidRDefault="00514DDD" w:rsidP="001D5EBC">
            <w:pPr>
              <w:shd w:val="clear" w:color="auto" w:fill="FFFFFF"/>
              <w:spacing w:after="0" w:line="240" w:lineRule="auto"/>
              <w:ind w:left="142"/>
              <w:jc w:val="both"/>
              <w:rPr>
                <w:rFonts w:ascii="Times New Roman" w:hAnsi="Times New Roman" w:cs="Times New Roman"/>
                <w:sz w:val="24"/>
                <w:szCs w:val="24"/>
              </w:rPr>
            </w:pPr>
            <w:bookmarkStart w:id="3" w:name="p62"/>
            <w:bookmarkEnd w:id="3"/>
            <w:r w:rsidRPr="00EA0F8E">
              <w:rPr>
                <w:rFonts w:ascii="Times New Roman" w:hAnsi="Times New Roman" w:cs="Times New Roman"/>
                <w:sz w:val="24"/>
                <w:szCs w:val="24"/>
              </w:rPr>
              <w:t>MK rīkojuma projekts šo jomu neskar.</w:t>
            </w:r>
          </w:p>
        </w:tc>
      </w:tr>
      <w:tr w:rsidR="00CC1A56" w:rsidRPr="00EA0F8E" w:rsidTr="001D5EBC">
        <w:trPr>
          <w:trHeight w:val="476"/>
          <w:jc w:val="center"/>
        </w:trPr>
        <w:tc>
          <w:tcPr>
            <w:tcW w:w="476" w:type="dxa"/>
          </w:tcPr>
          <w:p w:rsidR="00CC1A56" w:rsidRPr="00EA0F8E" w:rsidRDefault="00CC1A56" w:rsidP="007D385B">
            <w:pPr>
              <w:spacing w:after="0" w:line="240" w:lineRule="auto"/>
              <w:ind w:left="57" w:right="57"/>
              <w:jc w:val="both"/>
              <w:rPr>
                <w:rFonts w:ascii="Times New Roman" w:hAnsi="Times New Roman" w:cs="Times New Roman"/>
                <w:bCs/>
                <w:sz w:val="24"/>
                <w:szCs w:val="24"/>
              </w:rPr>
            </w:pPr>
            <w:r w:rsidRPr="00EA0F8E">
              <w:rPr>
                <w:rFonts w:ascii="Times New Roman" w:hAnsi="Times New Roman" w:cs="Times New Roman"/>
                <w:bCs/>
                <w:sz w:val="24"/>
                <w:szCs w:val="24"/>
              </w:rPr>
              <w:t>3.</w:t>
            </w:r>
          </w:p>
        </w:tc>
        <w:tc>
          <w:tcPr>
            <w:tcW w:w="2921" w:type="dxa"/>
          </w:tcPr>
          <w:p w:rsidR="00CC1A56" w:rsidRPr="00EA0F8E" w:rsidRDefault="00CC1A56" w:rsidP="007D385B">
            <w:pPr>
              <w:spacing w:after="0" w:line="240" w:lineRule="auto"/>
              <w:ind w:left="57" w:right="57"/>
              <w:rPr>
                <w:rFonts w:ascii="Times New Roman" w:hAnsi="Times New Roman" w:cs="Times New Roman"/>
                <w:sz w:val="24"/>
                <w:szCs w:val="24"/>
                <w:lang w:eastAsia="lv-LV"/>
              </w:rPr>
            </w:pPr>
            <w:r w:rsidRPr="00EA0F8E">
              <w:rPr>
                <w:rFonts w:ascii="Times New Roman" w:hAnsi="Times New Roman" w:cs="Times New Roman"/>
                <w:sz w:val="24"/>
                <w:szCs w:val="24"/>
                <w:lang w:eastAsia="lv-LV"/>
              </w:rPr>
              <w:t>Sabiedrības līdzdalības rezultāti</w:t>
            </w:r>
          </w:p>
        </w:tc>
        <w:tc>
          <w:tcPr>
            <w:tcW w:w="6127" w:type="dxa"/>
          </w:tcPr>
          <w:p w:rsidR="00CC1A56" w:rsidRPr="00EA0F8E" w:rsidRDefault="00514DDD" w:rsidP="001D5EBC">
            <w:pPr>
              <w:shd w:val="clear" w:color="auto" w:fill="FFFFFF"/>
              <w:spacing w:after="0" w:line="240" w:lineRule="auto"/>
              <w:ind w:left="142"/>
              <w:jc w:val="both"/>
              <w:rPr>
                <w:rFonts w:ascii="Times New Roman" w:hAnsi="Times New Roman" w:cs="Times New Roman"/>
                <w:sz w:val="24"/>
                <w:szCs w:val="24"/>
              </w:rPr>
            </w:pPr>
            <w:r w:rsidRPr="00EA0F8E">
              <w:rPr>
                <w:rFonts w:ascii="Times New Roman" w:hAnsi="Times New Roman" w:cs="Times New Roman"/>
                <w:sz w:val="24"/>
                <w:szCs w:val="24"/>
              </w:rPr>
              <w:t>MK rīkojuma projekts šo jomu neskar.</w:t>
            </w:r>
          </w:p>
        </w:tc>
      </w:tr>
      <w:tr w:rsidR="00CC1A56" w:rsidRPr="00EA0F8E" w:rsidTr="001D5EBC">
        <w:trPr>
          <w:trHeight w:val="476"/>
          <w:jc w:val="center"/>
        </w:trPr>
        <w:tc>
          <w:tcPr>
            <w:tcW w:w="476" w:type="dxa"/>
          </w:tcPr>
          <w:p w:rsidR="00CC1A56" w:rsidRPr="00EA0F8E" w:rsidRDefault="00CC1A56" w:rsidP="007D385B">
            <w:pPr>
              <w:spacing w:after="0" w:line="240" w:lineRule="auto"/>
              <w:ind w:left="57" w:right="57"/>
              <w:jc w:val="both"/>
              <w:rPr>
                <w:rFonts w:ascii="Times New Roman" w:hAnsi="Times New Roman" w:cs="Times New Roman"/>
                <w:bCs/>
                <w:sz w:val="24"/>
                <w:szCs w:val="24"/>
              </w:rPr>
            </w:pPr>
            <w:r w:rsidRPr="00EA0F8E">
              <w:rPr>
                <w:rFonts w:ascii="Times New Roman" w:hAnsi="Times New Roman" w:cs="Times New Roman"/>
                <w:bCs/>
                <w:sz w:val="24"/>
                <w:szCs w:val="24"/>
              </w:rPr>
              <w:t>4.</w:t>
            </w:r>
          </w:p>
        </w:tc>
        <w:tc>
          <w:tcPr>
            <w:tcW w:w="2921" w:type="dxa"/>
          </w:tcPr>
          <w:p w:rsidR="00CC1A56" w:rsidRPr="00EA0F8E" w:rsidRDefault="00CC1A56" w:rsidP="007D385B">
            <w:pPr>
              <w:spacing w:after="0" w:line="240" w:lineRule="auto"/>
              <w:ind w:left="57" w:right="57"/>
              <w:rPr>
                <w:rFonts w:ascii="Times New Roman" w:hAnsi="Times New Roman" w:cs="Times New Roman"/>
                <w:sz w:val="24"/>
                <w:szCs w:val="24"/>
                <w:lang w:eastAsia="lv-LV"/>
              </w:rPr>
            </w:pPr>
            <w:r w:rsidRPr="00EA0F8E">
              <w:rPr>
                <w:rFonts w:ascii="Times New Roman" w:hAnsi="Times New Roman" w:cs="Times New Roman"/>
                <w:sz w:val="24"/>
                <w:szCs w:val="24"/>
                <w:lang w:eastAsia="lv-LV"/>
              </w:rPr>
              <w:t>Cita informācija</w:t>
            </w:r>
          </w:p>
        </w:tc>
        <w:tc>
          <w:tcPr>
            <w:tcW w:w="6127" w:type="dxa"/>
          </w:tcPr>
          <w:p w:rsidR="00CC1A56" w:rsidRPr="00EA0F8E" w:rsidRDefault="00514DDD" w:rsidP="001D5EBC">
            <w:pPr>
              <w:shd w:val="clear" w:color="auto" w:fill="FFFFFF"/>
              <w:spacing w:after="0" w:line="240" w:lineRule="auto"/>
              <w:ind w:left="142"/>
              <w:jc w:val="both"/>
              <w:rPr>
                <w:rFonts w:ascii="Times New Roman" w:hAnsi="Times New Roman" w:cs="Times New Roman"/>
                <w:sz w:val="24"/>
                <w:szCs w:val="24"/>
              </w:rPr>
            </w:pPr>
            <w:r w:rsidRPr="00EA0F8E">
              <w:rPr>
                <w:rFonts w:ascii="Times New Roman" w:hAnsi="Times New Roman" w:cs="Times New Roman"/>
                <w:sz w:val="24"/>
                <w:szCs w:val="24"/>
              </w:rPr>
              <w:t>Nav.</w:t>
            </w:r>
          </w:p>
        </w:tc>
      </w:tr>
    </w:tbl>
    <w:p w:rsidR="00CC1A56" w:rsidRPr="00EA0F8E" w:rsidRDefault="00CC1A56"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60"/>
        <w:gridCol w:w="6121"/>
      </w:tblGrid>
      <w:tr w:rsidR="00CC1A56" w:rsidRPr="00EA0F8E" w:rsidTr="007D385B">
        <w:trPr>
          <w:trHeight w:val="381"/>
          <w:jc w:val="center"/>
        </w:trPr>
        <w:tc>
          <w:tcPr>
            <w:tcW w:w="9518" w:type="dxa"/>
            <w:gridSpan w:val="3"/>
            <w:vAlign w:val="center"/>
          </w:tcPr>
          <w:p w:rsidR="00CC1A56" w:rsidRPr="00EA0F8E" w:rsidRDefault="00CC1A56" w:rsidP="007D385B">
            <w:pPr>
              <w:pStyle w:val="naisnod"/>
              <w:spacing w:before="0" w:beforeAutospacing="0" w:after="0" w:afterAutospacing="0"/>
              <w:ind w:left="57" w:right="57"/>
              <w:jc w:val="center"/>
            </w:pPr>
            <w:r w:rsidRPr="00EA0F8E">
              <w:rPr>
                <w:b/>
              </w:rPr>
              <w:t>VII. Tiesību akta projekta izpildes nodrošināšana un tās ietekme uz institūcijām</w:t>
            </w:r>
          </w:p>
        </w:tc>
      </w:tr>
      <w:tr w:rsidR="00CC1A56" w:rsidRPr="00EA0F8E" w:rsidTr="001D5EBC">
        <w:trPr>
          <w:trHeight w:val="427"/>
          <w:jc w:val="center"/>
        </w:trPr>
        <w:tc>
          <w:tcPr>
            <w:tcW w:w="437" w:type="dxa"/>
          </w:tcPr>
          <w:p w:rsidR="00CC1A56" w:rsidRPr="00EA0F8E" w:rsidRDefault="00CC1A56" w:rsidP="007D385B">
            <w:pPr>
              <w:pStyle w:val="naisnod"/>
              <w:spacing w:before="0" w:beforeAutospacing="0" w:after="0" w:afterAutospacing="0"/>
              <w:ind w:left="57" w:right="57"/>
              <w:jc w:val="both"/>
            </w:pPr>
            <w:r w:rsidRPr="00EA0F8E">
              <w:t>1.</w:t>
            </w:r>
          </w:p>
        </w:tc>
        <w:tc>
          <w:tcPr>
            <w:tcW w:w="2960" w:type="dxa"/>
          </w:tcPr>
          <w:p w:rsidR="00CC1A56" w:rsidRPr="00EA0F8E" w:rsidRDefault="00CC1A56" w:rsidP="007D385B">
            <w:pPr>
              <w:pStyle w:val="naisf"/>
              <w:spacing w:before="0" w:beforeAutospacing="0" w:after="0" w:afterAutospacing="0"/>
              <w:ind w:left="57" w:right="57"/>
            </w:pPr>
            <w:r w:rsidRPr="00EA0F8E">
              <w:t>Projekta izpildē iesaistītās institūcijas</w:t>
            </w:r>
          </w:p>
        </w:tc>
        <w:tc>
          <w:tcPr>
            <w:tcW w:w="6121" w:type="dxa"/>
          </w:tcPr>
          <w:p w:rsidR="00CC1A56" w:rsidRPr="00EA0F8E" w:rsidRDefault="006E3024" w:rsidP="001D5EBC">
            <w:pPr>
              <w:shd w:val="clear" w:color="auto" w:fill="FFFFFF"/>
              <w:spacing w:after="0" w:line="240" w:lineRule="auto"/>
              <w:ind w:left="114"/>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sidRPr="00EA0F8E">
              <w:rPr>
                <w:rFonts w:ascii="Times New Roman" w:hAnsi="Times New Roman" w:cs="Times New Roman"/>
                <w:sz w:val="24"/>
                <w:szCs w:val="24"/>
              </w:rPr>
              <w:t>Labklājības ministrija kā E</w:t>
            </w:r>
            <w:r w:rsidR="00774AFB" w:rsidRPr="00EA0F8E">
              <w:rPr>
                <w:rFonts w:ascii="Times New Roman" w:hAnsi="Times New Roman" w:cs="Times New Roman"/>
                <w:sz w:val="24"/>
                <w:szCs w:val="24"/>
              </w:rPr>
              <w:t xml:space="preserve">iropas </w:t>
            </w:r>
            <w:r w:rsidRPr="00EA0F8E">
              <w:rPr>
                <w:rFonts w:ascii="Times New Roman" w:hAnsi="Times New Roman" w:cs="Times New Roman"/>
                <w:sz w:val="24"/>
                <w:szCs w:val="24"/>
              </w:rPr>
              <w:t>S</w:t>
            </w:r>
            <w:r w:rsidR="00774AFB" w:rsidRPr="00EA0F8E">
              <w:rPr>
                <w:rFonts w:ascii="Times New Roman" w:hAnsi="Times New Roman" w:cs="Times New Roman"/>
                <w:sz w:val="24"/>
                <w:szCs w:val="24"/>
              </w:rPr>
              <w:t>avienības</w:t>
            </w:r>
            <w:r w:rsidRPr="00EA0F8E">
              <w:rPr>
                <w:rFonts w:ascii="Times New Roman" w:hAnsi="Times New Roman" w:cs="Times New Roman"/>
                <w:sz w:val="24"/>
                <w:szCs w:val="24"/>
              </w:rPr>
              <w:t xml:space="preserve"> fondu atbildīgā iestāde, </w:t>
            </w:r>
            <w:r w:rsidR="00EA0F8E" w:rsidRPr="00EA0F8E">
              <w:rPr>
                <w:rFonts w:ascii="Times New Roman" w:hAnsi="Times New Roman" w:cs="Times New Roman"/>
                <w:sz w:val="24"/>
                <w:szCs w:val="24"/>
              </w:rPr>
              <w:t>NVA</w:t>
            </w:r>
            <w:r w:rsidRPr="00EA0F8E">
              <w:rPr>
                <w:rFonts w:ascii="Times New Roman" w:hAnsi="Times New Roman" w:cs="Times New Roman"/>
                <w:sz w:val="24"/>
                <w:szCs w:val="24"/>
              </w:rPr>
              <w:t xml:space="preserve"> kā E</w:t>
            </w:r>
            <w:r w:rsidR="00D44056" w:rsidRPr="00EA0F8E">
              <w:rPr>
                <w:rFonts w:ascii="Times New Roman" w:hAnsi="Times New Roman" w:cs="Times New Roman"/>
                <w:sz w:val="24"/>
                <w:szCs w:val="24"/>
              </w:rPr>
              <w:t xml:space="preserve">iropas </w:t>
            </w:r>
            <w:r w:rsidRPr="00EA0F8E">
              <w:rPr>
                <w:rFonts w:ascii="Times New Roman" w:hAnsi="Times New Roman" w:cs="Times New Roman"/>
                <w:sz w:val="24"/>
                <w:szCs w:val="24"/>
              </w:rPr>
              <w:t>S</w:t>
            </w:r>
            <w:r w:rsidR="00D44056" w:rsidRPr="00EA0F8E">
              <w:rPr>
                <w:rFonts w:ascii="Times New Roman" w:hAnsi="Times New Roman" w:cs="Times New Roman"/>
                <w:sz w:val="24"/>
                <w:szCs w:val="24"/>
              </w:rPr>
              <w:t>avienības</w:t>
            </w:r>
            <w:r w:rsidRPr="00EA0F8E">
              <w:rPr>
                <w:rFonts w:ascii="Times New Roman" w:hAnsi="Times New Roman" w:cs="Times New Roman"/>
                <w:sz w:val="24"/>
                <w:szCs w:val="24"/>
              </w:rPr>
              <w:t xml:space="preserve"> fondu finansējuma saņēmējs.</w:t>
            </w:r>
          </w:p>
        </w:tc>
      </w:tr>
      <w:tr w:rsidR="00CC1A56" w:rsidRPr="00EA0F8E" w:rsidTr="001D5EBC">
        <w:trPr>
          <w:trHeight w:val="463"/>
          <w:jc w:val="center"/>
        </w:trPr>
        <w:tc>
          <w:tcPr>
            <w:tcW w:w="437" w:type="dxa"/>
          </w:tcPr>
          <w:p w:rsidR="00CC1A56" w:rsidRPr="00EA0F8E" w:rsidRDefault="00CC1A56" w:rsidP="007D385B">
            <w:pPr>
              <w:pStyle w:val="naisnod"/>
              <w:spacing w:before="0" w:beforeAutospacing="0" w:after="0" w:afterAutospacing="0"/>
              <w:ind w:left="57" w:right="57"/>
              <w:jc w:val="both"/>
            </w:pPr>
            <w:r w:rsidRPr="00EA0F8E">
              <w:t>2.</w:t>
            </w:r>
          </w:p>
        </w:tc>
        <w:tc>
          <w:tcPr>
            <w:tcW w:w="2960" w:type="dxa"/>
          </w:tcPr>
          <w:p w:rsidR="00CC1A56" w:rsidRPr="00EA0F8E" w:rsidRDefault="00CC1A56" w:rsidP="007D385B">
            <w:pPr>
              <w:pStyle w:val="naisf"/>
              <w:spacing w:before="0" w:beforeAutospacing="0" w:after="0" w:afterAutospacing="0"/>
              <w:ind w:left="57" w:right="57"/>
            </w:pPr>
            <w:r w:rsidRPr="00EA0F8E">
              <w:t>Projekta izpildes ietekme uz pār</w:t>
            </w:r>
            <w:r w:rsidRPr="00EA0F8E">
              <w:softHyphen/>
              <w:t>valdes funkcijām un institucionālo struktūru.</w:t>
            </w:r>
          </w:p>
          <w:p w:rsidR="00CC1A56" w:rsidRPr="00EA0F8E" w:rsidRDefault="00CC1A56" w:rsidP="007D385B">
            <w:pPr>
              <w:pStyle w:val="naisf"/>
              <w:spacing w:before="0" w:beforeAutospacing="0" w:after="0" w:afterAutospacing="0"/>
              <w:ind w:left="57" w:right="57"/>
            </w:pPr>
            <w:r w:rsidRPr="00EA0F8E">
              <w:t>Jaunu institūciju izveide, esošu institūciju likvidācija vai reorga</w:t>
            </w:r>
            <w:r w:rsidRPr="00EA0F8E">
              <w:softHyphen/>
              <w:t>nizācija, to ietekme uz institūcijas cilvēkresursiem</w:t>
            </w:r>
          </w:p>
        </w:tc>
        <w:tc>
          <w:tcPr>
            <w:tcW w:w="6121" w:type="dxa"/>
          </w:tcPr>
          <w:p w:rsidR="00CC1A56" w:rsidRPr="00EA0F8E" w:rsidRDefault="00232033" w:rsidP="001D5EBC">
            <w:pPr>
              <w:shd w:val="clear" w:color="auto" w:fill="FFFFFF"/>
              <w:spacing w:after="0" w:line="240" w:lineRule="auto"/>
              <w:ind w:left="114"/>
              <w:jc w:val="both"/>
              <w:rPr>
                <w:rFonts w:ascii="Times New Roman" w:hAnsi="Times New Roman" w:cs="Times New Roman"/>
                <w:sz w:val="24"/>
                <w:szCs w:val="24"/>
                <w:lang w:eastAsia="lv-LV"/>
              </w:rPr>
            </w:pPr>
            <w:r w:rsidRPr="00EA0F8E">
              <w:rPr>
                <w:rFonts w:ascii="Times New Roman" w:hAnsi="Times New Roman" w:cs="Times New Roman"/>
                <w:sz w:val="24"/>
                <w:szCs w:val="24"/>
              </w:rPr>
              <w:t>MK rīkojuma projekts šo jomu neskar.</w:t>
            </w:r>
          </w:p>
        </w:tc>
      </w:tr>
      <w:tr w:rsidR="00CC1A56" w:rsidRPr="00EA0F8E" w:rsidTr="001D5EBC">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CC1A56" w:rsidRPr="00EA0F8E" w:rsidRDefault="00CC1A56" w:rsidP="007D385B">
            <w:pPr>
              <w:pStyle w:val="naisnod"/>
              <w:spacing w:before="0" w:beforeAutospacing="0" w:after="0" w:afterAutospacing="0"/>
              <w:ind w:left="57" w:right="57"/>
              <w:jc w:val="both"/>
            </w:pPr>
            <w:r w:rsidRPr="00EA0F8E">
              <w:t>3.</w:t>
            </w:r>
          </w:p>
        </w:tc>
        <w:tc>
          <w:tcPr>
            <w:tcW w:w="2960" w:type="dxa"/>
            <w:tcBorders>
              <w:top w:val="single" w:sz="4" w:space="0" w:color="auto"/>
              <w:left w:val="single" w:sz="4" w:space="0" w:color="auto"/>
              <w:bottom w:val="single" w:sz="4" w:space="0" w:color="auto"/>
              <w:right w:val="single" w:sz="4" w:space="0" w:color="auto"/>
            </w:tcBorders>
          </w:tcPr>
          <w:p w:rsidR="00CC1A56" w:rsidRPr="00EA0F8E" w:rsidRDefault="00CC1A56" w:rsidP="007D385B">
            <w:pPr>
              <w:pStyle w:val="naisf"/>
              <w:spacing w:before="0" w:beforeAutospacing="0" w:after="0" w:afterAutospacing="0"/>
              <w:ind w:left="57" w:right="57"/>
            </w:pPr>
            <w:r w:rsidRPr="00EA0F8E">
              <w:t>Cita informācija</w:t>
            </w:r>
          </w:p>
        </w:tc>
        <w:tc>
          <w:tcPr>
            <w:tcW w:w="6121" w:type="dxa"/>
            <w:tcBorders>
              <w:top w:val="single" w:sz="4" w:space="0" w:color="auto"/>
              <w:left w:val="single" w:sz="4" w:space="0" w:color="auto"/>
              <w:bottom w:val="single" w:sz="4" w:space="0" w:color="auto"/>
              <w:right w:val="single" w:sz="4" w:space="0" w:color="auto"/>
            </w:tcBorders>
          </w:tcPr>
          <w:p w:rsidR="00CC1A56" w:rsidRPr="00EA0F8E" w:rsidRDefault="00232033" w:rsidP="001D5EBC">
            <w:pPr>
              <w:spacing w:after="0" w:line="240" w:lineRule="auto"/>
              <w:ind w:left="114" w:right="57"/>
              <w:jc w:val="both"/>
              <w:rPr>
                <w:rFonts w:ascii="Times New Roman" w:hAnsi="Times New Roman" w:cs="Times New Roman"/>
                <w:sz w:val="24"/>
                <w:szCs w:val="24"/>
                <w:lang w:eastAsia="lv-LV"/>
              </w:rPr>
            </w:pPr>
            <w:r w:rsidRPr="00EA0F8E">
              <w:rPr>
                <w:rFonts w:ascii="Times New Roman" w:hAnsi="Times New Roman" w:cs="Times New Roman"/>
                <w:sz w:val="24"/>
                <w:szCs w:val="24"/>
              </w:rPr>
              <w:t>Nav.</w:t>
            </w:r>
          </w:p>
        </w:tc>
      </w:tr>
    </w:tbl>
    <w:p w:rsidR="00843389" w:rsidRPr="00EA0F8E" w:rsidRDefault="00843389" w:rsidP="00843389">
      <w:pPr>
        <w:spacing w:after="0" w:line="240" w:lineRule="auto"/>
        <w:rPr>
          <w:rFonts w:ascii="Times New Roman" w:hAnsi="Times New Roman" w:cs="Times New Roman"/>
          <w:sz w:val="24"/>
          <w:szCs w:val="24"/>
        </w:rPr>
      </w:pPr>
      <w:r w:rsidRPr="00EA0F8E">
        <w:rPr>
          <w:rFonts w:ascii="Times New Roman" w:hAnsi="Times New Roman" w:cs="Times New Roman"/>
          <w:sz w:val="24"/>
          <w:szCs w:val="24"/>
        </w:rPr>
        <w:t xml:space="preserve">Anotācijas </w:t>
      </w:r>
      <w:r w:rsidR="00F60E13" w:rsidRPr="00EA0F8E">
        <w:rPr>
          <w:rFonts w:ascii="Times New Roman" w:hAnsi="Times New Roman" w:cs="Times New Roman"/>
          <w:sz w:val="24"/>
          <w:szCs w:val="24"/>
        </w:rPr>
        <w:t>III</w:t>
      </w:r>
      <w:r w:rsidRPr="00EA0F8E">
        <w:rPr>
          <w:rFonts w:ascii="Times New Roman" w:hAnsi="Times New Roman" w:cs="Times New Roman"/>
          <w:sz w:val="24"/>
          <w:szCs w:val="24"/>
        </w:rPr>
        <w:t xml:space="preserve"> sadaļa – MK rīkojuma projekts šo jomu neskar.</w:t>
      </w:r>
    </w:p>
    <w:p w:rsidR="00D473ED" w:rsidRPr="00EA0F8E" w:rsidRDefault="00D473ED" w:rsidP="00843389">
      <w:pPr>
        <w:spacing w:after="0" w:line="240" w:lineRule="auto"/>
        <w:rPr>
          <w:rFonts w:ascii="Times New Roman" w:hAnsi="Times New Roman" w:cs="Times New Roman"/>
          <w:sz w:val="24"/>
          <w:szCs w:val="24"/>
        </w:rPr>
      </w:pPr>
    </w:p>
    <w:p w:rsidR="00D473ED" w:rsidRPr="00EA0F8E" w:rsidRDefault="00D473ED" w:rsidP="00843389">
      <w:pPr>
        <w:spacing w:after="0" w:line="240" w:lineRule="auto"/>
        <w:rPr>
          <w:rFonts w:ascii="Times New Roman" w:hAnsi="Times New Roman" w:cs="Times New Roman"/>
          <w:sz w:val="24"/>
          <w:szCs w:val="24"/>
        </w:rPr>
      </w:pPr>
    </w:p>
    <w:p w:rsidR="00D85B78" w:rsidRDefault="00D85B78" w:rsidP="00D473ED">
      <w:pPr>
        <w:tabs>
          <w:tab w:val="left" w:pos="7371"/>
        </w:tabs>
        <w:spacing w:after="0" w:line="240" w:lineRule="auto"/>
        <w:rPr>
          <w:rFonts w:ascii="Times New Roman" w:hAnsi="Times New Roman" w:cs="Times New Roman"/>
          <w:sz w:val="26"/>
          <w:szCs w:val="26"/>
        </w:rPr>
      </w:pPr>
    </w:p>
    <w:p w:rsidR="00D85B78" w:rsidRDefault="00D85B78" w:rsidP="00D473ED">
      <w:pPr>
        <w:tabs>
          <w:tab w:val="left" w:pos="7371"/>
        </w:tabs>
        <w:spacing w:after="0" w:line="240" w:lineRule="auto"/>
        <w:rPr>
          <w:rFonts w:ascii="Times New Roman" w:hAnsi="Times New Roman" w:cs="Times New Roman"/>
          <w:sz w:val="26"/>
          <w:szCs w:val="26"/>
        </w:rPr>
      </w:pPr>
    </w:p>
    <w:p w:rsidR="00D85B78" w:rsidRDefault="00D85B78" w:rsidP="00D473ED">
      <w:pPr>
        <w:tabs>
          <w:tab w:val="left" w:pos="7371"/>
        </w:tabs>
        <w:spacing w:after="0" w:line="240" w:lineRule="auto"/>
        <w:rPr>
          <w:rFonts w:ascii="Times New Roman" w:hAnsi="Times New Roman" w:cs="Times New Roman"/>
          <w:sz w:val="26"/>
          <w:szCs w:val="26"/>
        </w:rPr>
      </w:pPr>
    </w:p>
    <w:p w:rsidR="00D473ED" w:rsidRPr="002D259B" w:rsidRDefault="00B72F7C" w:rsidP="00D473ED">
      <w:pPr>
        <w:tabs>
          <w:tab w:val="left" w:pos="7371"/>
        </w:tabs>
        <w:spacing w:after="0" w:line="240" w:lineRule="auto"/>
        <w:rPr>
          <w:rFonts w:ascii="Times New Roman" w:hAnsi="Times New Roman" w:cs="Times New Roman"/>
          <w:sz w:val="26"/>
          <w:szCs w:val="26"/>
        </w:rPr>
      </w:pPr>
      <w:r w:rsidRPr="002D259B">
        <w:rPr>
          <w:rFonts w:ascii="Times New Roman" w:hAnsi="Times New Roman" w:cs="Times New Roman"/>
          <w:sz w:val="26"/>
          <w:szCs w:val="26"/>
        </w:rPr>
        <w:t>Labklājības ministrs</w:t>
      </w:r>
      <w:r w:rsidR="00D473ED" w:rsidRPr="002D259B">
        <w:rPr>
          <w:rFonts w:ascii="Times New Roman" w:hAnsi="Times New Roman" w:cs="Times New Roman"/>
          <w:sz w:val="26"/>
          <w:szCs w:val="26"/>
        </w:rPr>
        <w:tab/>
      </w:r>
      <w:r w:rsidRPr="002D259B">
        <w:rPr>
          <w:rFonts w:ascii="Times New Roman" w:hAnsi="Times New Roman" w:cs="Times New Roman"/>
          <w:sz w:val="26"/>
          <w:szCs w:val="26"/>
        </w:rPr>
        <w:t>U.Augulis</w:t>
      </w:r>
    </w:p>
    <w:p w:rsidR="00D473ED" w:rsidRPr="00D473ED" w:rsidRDefault="00D473ED" w:rsidP="00D473ED">
      <w:pPr>
        <w:spacing w:after="0" w:line="240" w:lineRule="auto"/>
        <w:rPr>
          <w:rFonts w:ascii="Times New Roman" w:hAnsi="Times New Roman" w:cs="Times New Roman"/>
          <w:sz w:val="24"/>
          <w:szCs w:val="24"/>
        </w:rPr>
      </w:pPr>
    </w:p>
    <w:p w:rsidR="00D473ED" w:rsidRPr="00D473ED" w:rsidRDefault="00D473ED" w:rsidP="00D473ED">
      <w:pPr>
        <w:spacing w:after="0" w:line="240" w:lineRule="auto"/>
        <w:rPr>
          <w:rFonts w:ascii="Times New Roman" w:hAnsi="Times New Roman" w:cs="Times New Roman"/>
          <w:sz w:val="24"/>
          <w:szCs w:val="24"/>
        </w:rPr>
      </w:pPr>
    </w:p>
    <w:p w:rsidR="00D85B78" w:rsidRDefault="00D85B78" w:rsidP="00D473ED">
      <w:pPr>
        <w:spacing w:after="0" w:line="240" w:lineRule="auto"/>
        <w:rPr>
          <w:rFonts w:ascii="Times New Roman" w:hAnsi="Times New Roman" w:cs="Times New Roman"/>
          <w:sz w:val="20"/>
          <w:szCs w:val="20"/>
        </w:rPr>
      </w:pPr>
    </w:p>
    <w:p w:rsidR="00D85B78" w:rsidRDefault="00D85B78" w:rsidP="00D473ED">
      <w:pPr>
        <w:spacing w:after="0" w:line="240" w:lineRule="auto"/>
        <w:rPr>
          <w:rFonts w:ascii="Times New Roman" w:hAnsi="Times New Roman" w:cs="Times New Roman"/>
          <w:sz w:val="20"/>
          <w:szCs w:val="20"/>
        </w:rPr>
      </w:pPr>
    </w:p>
    <w:p w:rsidR="00D85B78" w:rsidRDefault="00D85B78" w:rsidP="00D473ED">
      <w:pPr>
        <w:spacing w:after="0" w:line="240" w:lineRule="auto"/>
        <w:rPr>
          <w:rFonts w:ascii="Times New Roman" w:hAnsi="Times New Roman" w:cs="Times New Roman"/>
          <w:sz w:val="20"/>
          <w:szCs w:val="20"/>
        </w:rPr>
      </w:pPr>
    </w:p>
    <w:p w:rsidR="00D85B78" w:rsidRDefault="00D85B78" w:rsidP="00D473ED">
      <w:pPr>
        <w:spacing w:after="0" w:line="240" w:lineRule="auto"/>
        <w:rPr>
          <w:rFonts w:ascii="Times New Roman" w:hAnsi="Times New Roman" w:cs="Times New Roman"/>
          <w:sz w:val="20"/>
          <w:szCs w:val="20"/>
        </w:rPr>
      </w:pPr>
    </w:p>
    <w:p w:rsidR="00D85B78" w:rsidRDefault="00D85B78" w:rsidP="00D473ED">
      <w:pPr>
        <w:spacing w:after="0" w:line="240" w:lineRule="auto"/>
        <w:rPr>
          <w:rFonts w:ascii="Times New Roman" w:hAnsi="Times New Roman" w:cs="Times New Roman"/>
          <w:sz w:val="20"/>
          <w:szCs w:val="20"/>
        </w:rPr>
      </w:pPr>
    </w:p>
    <w:p w:rsidR="00D85B78" w:rsidRDefault="00D85B78" w:rsidP="00D473ED">
      <w:pPr>
        <w:spacing w:after="0" w:line="240" w:lineRule="auto"/>
        <w:rPr>
          <w:rFonts w:ascii="Times New Roman" w:hAnsi="Times New Roman" w:cs="Times New Roman"/>
          <w:sz w:val="20"/>
          <w:szCs w:val="20"/>
        </w:rPr>
      </w:pPr>
    </w:p>
    <w:p w:rsidR="00D85B78" w:rsidRDefault="00D85B78" w:rsidP="00D473ED">
      <w:pPr>
        <w:spacing w:after="0" w:line="240" w:lineRule="auto"/>
        <w:rPr>
          <w:rFonts w:ascii="Times New Roman" w:hAnsi="Times New Roman" w:cs="Times New Roman"/>
          <w:sz w:val="20"/>
          <w:szCs w:val="20"/>
        </w:rPr>
      </w:pPr>
    </w:p>
    <w:p w:rsidR="00D85B78" w:rsidRDefault="00D85B78" w:rsidP="00D473ED">
      <w:pPr>
        <w:spacing w:after="0" w:line="240" w:lineRule="auto"/>
        <w:rPr>
          <w:rFonts w:ascii="Times New Roman" w:hAnsi="Times New Roman" w:cs="Times New Roman"/>
          <w:sz w:val="20"/>
          <w:szCs w:val="20"/>
        </w:rPr>
      </w:pPr>
    </w:p>
    <w:p w:rsidR="00D85B78" w:rsidRDefault="00D85B78" w:rsidP="00D473ED">
      <w:pPr>
        <w:spacing w:after="0" w:line="240" w:lineRule="auto"/>
        <w:rPr>
          <w:rFonts w:ascii="Times New Roman" w:hAnsi="Times New Roman" w:cs="Times New Roman"/>
          <w:sz w:val="20"/>
          <w:szCs w:val="20"/>
        </w:rPr>
      </w:pPr>
    </w:p>
    <w:p w:rsidR="00D85B78" w:rsidRDefault="00D85B78" w:rsidP="00D473ED">
      <w:pPr>
        <w:spacing w:after="0" w:line="240" w:lineRule="auto"/>
        <w:rPr>
          <w:rFonts w:ascii="Times New Roman" w:hAnsi="Times New Roman" w:cs="Times New Roman"/>
          <w:sz w:val="20"/>
          <w:szCs w:val="20"/>
        </w:rPr>
      </w:pPr>
    </w:p>
    <w:p w:rsidR="00D85B78" w:rsidRDefault="00D85B78" w:rsidP="00D473ED">
      <w:pPr>
        <w:spacing w:after="0" w:line="240" w:lineRule="auto"/>
        <w:rPr>
          <w:rFonts w:ascii="Times New Roman" w:hAnsi="Times New Roman" w:cs="Times New Roman"/>
          <w:sz w:val="20"/>
          <w:szCs w:val="20"/>
        </w:rPr>
      </w:pPr>
    </w:p>
    <w:p w:rsidR="00D85B78" w:rsidRDefault="00D85B78" w:rsidP="00D473ED">
      <w:pPr>
        <w:spacing w:after="0" w:line="240" w:lineRule="auto"/>
        <w:rPr>
          <w:rFonts w:ascii="Times New Roman" w:hAnsi="Times New Roman" w:cs="Times New Roman"/>
          <w:sz w:val="20"/>
          <w:szCs w:val="20"/>
        </w:rPr>
      </w:pPr>
    </w:p>
    <w:p w:rsidR="00D85B78" w:rsidRDefault="00D85B78" w:rsidP="00D473ED">
      <w:pPr>
        <w:spacing w:after="0" w:line="240" w:lineRule="auto"/>
        <w:rPr>
          <w:rFonts w:ascii="Times New Roman" w:hAnsi="Times New Roman" w:cs="Times New Roman"/>
          <w:sz w:val="20"/>
          <w:szCs w:val="20"/>
        </w:rPr>
      </w:pPr>
    </w:p>
    <w:p w:rsidR="00294678" w:rsidRPr="00294678" w:rsidRDefault="00004CBC" w:rsidP="00294678">
      <w:pPr>
        <w:spacing w:after="0" w:line="240" w:lineRule="auto"/>
        <w:rPr>
          <w:rFonts w:ascii="Times New Roman" w:hAnsi="Times New Roman" w:cs="Times New Roman"/>
          <w:sz w:val="20"/>
          <w:szCs w:val="20"/>
        </w:rPr>
      </w:pPr>
      <w:r>
        <w:rPr>
          <w:rFonts w:ascii="Times New Roman" w:hAnsi="Times New Roman" w:cs="Times New Roman"/>
          <w:sz w:val="20"/>
          <w:szCs w:val="20"/>
        </w:rPr>
        <w:t>31.07.2014. 15:51</w:t>
      </w:r>
      <w:bookmarkStart w:id="8" w:name="_GoBack"/>
      <w:bookmarkEnd w:id="8"/>
    </w:p>
    <w:p w:rsidR="00294678" w:rsidRPr="00294678" w:rsidRDefault="005922C8" w:rsidP="00294678">
      <w:pPr>
        <w:spacing w:after="0" w:line="240" w:lineRule="auto"/>
        <w:rPr>
          <w:rFonts w:ascii="Times New Roman" w:hAnsi="Times New Roman" w:cs="Times New Roman"/>
          <w:sz w:val="20"/>
          <w:szCs w:val="20"/>
        </w:rPr>
      </w:pPr>
      <w:r>
        <w:rPr>
          <w:rFonts w:ascii="Times New Roman" w:hAnsi="Times New Roman" w:cs="Times New Roman"/>
          <w:sz w:val="20"/>
          <w:szCs w:val="20"/>
        </w:rPr>
        <w:t>1849</w:t>
      </w:r>
    </w:p>
    <w:p w:rsidR="00294678" w:rsidRPr="00294678" w:rsidRDefault="00294678" w:rsidP="00294678">
      <w:pPr>
        <w:spacing w:after="0" w:line="240" w:lineRule="auto"/>
        <w:rPr>
          <w:rFonts w:ascii="Times New Roman" w:hAnsi="Times New Roman" w:cs="Times New Roman"/>
          <w:sz w:val="20"/>
          <w:szCs w:val="20"/>
        </w:rPr>
      </w:pPr>
      <w:r w:rsidRPr="00294678">
        <w:rPr>
          <w:rFonts w:ascii="Times New Roman" w:hAnsi="Times New Roman" w:cs="Times New Roman"/>
          <w:color w:val="000000"/>
          <w:sz w:val="20"/>
          <w:szCs w:val="20"/>
        </w:rPr>
        <w:t>Vjačeslavs Makarovs</w:t>
      </w:r>
      <w:r w:rsidRPr="00294678">
        <w:rPr>
          <w:rFonts w:ascii="Times New Roman" w:hAnsi="Times New Roman" w:cs="Times New Roman"/>
          <w:color w:val="000000"/>
          <w:sz w:val="20"/>
          <w:szCs w:val="20"/>
        </w:rPr>
        <w:br/>
        <w:t>Tel.:67021630</w:t>
      </w:r>
      <w:r w:rsidRPr="00294678">
        <w:rPr>
          <w:rFonts w:ascii="Times New Roman" w:hAnsi="Times New Roman" w:cs="Times New Roman"/>
          <w:color w:val="000000"/>
          <w:sz w:val="20"/>
          <w:szCs w:val="20"/>
        </w:rPr>
        <w:br/>
        <w:t>Vjaceslavs.Makarovs@lm.gov.lv</w:t>
      </w:r>
    </w:p>
    <w:p w:rsidR="00D473ED" w:rsidRPr="00D473ED" w:rsidRDefault="00D473ED" w:rsidP="00294678">
      <w:pPr>
        <w:spacing w:after="0" w:line="240" w:lineRule="auto"/>
        <w:rPr>
          <w:rFonts w:ascii="Times New Roman" w:hAnsi="Times New Roman" w:cs="Times New Roman"/>
          <w:sz w:val="20"/>
          <w:szCs w:val="20"/>
        </w:rPr>
      </w:pPr>
    </w:p>
    <w:sectPr w:rsidR="00D473ED" w:rsidRPr="00D473ED" w:rsidSect="006D6C8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11D" w:rsidRDefault="00FF411D" w:rsidP="006D6C82">
      <w:pPr>
        <w:spacing w:after="0" w:line="240" w:lineRule="auto"/>
      </w:pPr>
      <w:r>
        <w:separator/>
      </w:r>
    </w:p>
  </w:endnote>
  <w:endnote w:type="continuationSeparator" w:id="0">
    <w:p w:rsidR="00FF411D" w:rsidRDefault="00FF411D"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BE" w:rsidRPr="006E169E" w:rsidRDefault="00F161BE">
    <w:pPr>
      <w:pStyle w:val="Footer"/>
      <w:rPr>
        <w:rFonts w:ascii="Times New Roman" w:hAnsi="Times New Roman" w:cs="Times New Roman"/>
      </w:rPr>
    </w:pPr>
    <w:r w:rsidRPr="006E169E">
      <w:rPr>
        <w:rFonts w:ascii="Times New Roman" w:hAnsi="Times New Roman" w:cs="Times New Roman"/>
        <w:sz w:val="20"/>
        <w:szCs w:val="20"/>
      </w:rPr>
      <w:t>LMAnot_</w:t>
    </w:r>
    <w:r w:rsidR="00F716EF">
      <w:rPr>
        <w:rFonts w:ascii="Times New Roman" w:hAnsi="Times New Roman" w:cs="Times New Roman"/>
        <w:sz w:val="20"/>
        <w:szCs w:val="20"/>
      </w:rPr>
      <w:t>31</w:t>
    </w:r>
    <w:r w:rsidR="00D85B78">
      <w:rPr>
        <w:rFonts w:ascii="Times New Roman" w:hAnsi="Times New Roman" w:cs="Times New Roman"/>
        <w:sz w:val="20"/>
        <w:szCs w:val="20"/>
      </w:rPr>
      <w:t>07</w:t>
    </w:r>
    <w:r>
      <w:rPr>
        <w:rFonts w:ascii="Times New Roman" w:hAnsi="Times New Roman" w:cs="Times New Roman"/>
        <w:sz w:val="20"/>
        <w:szCs w:val="20"/>
      </w:rPr>
      <w:t>14</w:t>
    </w:r>
    <w:r w:rsidRPr="006E169E">
      <w:rPr>
        <w:rFonts w:ascii="Times New Roman" w:hAnsi="Times New Roman" w:cs="Times New Roman"/>
        <w:sz w:val="20"/>
        <w:szCs w:val="20"/>
      </w:rPr>
      <w:t>_1DPP;</w:t>
    </w:r>
    <w:r w:rsidRPr="006E169E">
      <w:rPr>
        <w:rFonts w:ascii="Times New Roman" w:hAnsi="Times New Roman" w:cs="Times New Roman"/>
      </w:rPr>
      <w:t xml:space="preserve"> </w:t>
    </w:r>
    <w:r w:rsidRPr="006E169E">
      <w:rPr>
        <w:rFonts w:ascii="Times New Roman" w:hAnsi="Times New Roman" w:cs="Times New Roman"/>
        <w:bCs/>
        <w:sz w:val="20"/>
        <w:szCs w:val="20"/>
      </w:rPr>
      <w:t>Minis</w:t>
    </w:r>
    <w:r w:rsidR="00D85B78">
      <w:rPr>
        <w:rFonts w:ascii="Times New Roman" w:hAnsi="Times New Roman" w:cs="Times New Roman"/>
        <w:bCs/>
        <w:sz w:val="20"/>
        <w:szCs w:val="20"/>
      </w:rPr>
      <w:t>tru kabineta rīkojuma „Grozījumi</w:t>
    </w:r>
    <w:r w:rsidRPr="006E169E">
      <w:rPr>
        <w:rFonts w:ascii="Times New Roman" w:hAnsi="Times New Roman" w:cs="Times New Roman"/>
        <w:bCs/>
        <w:sz w:val="20"/>
        <w:szCs w:val="20"/>
      </w:rPr>
      <w:t xml:space="preserve"> darbības programmas „Cilvēkresursi un nodarbinātība” papildinājumā”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BE" w:rsidRPr="006E169E" w:rsidRDefault="00F161BE">
    <w:pPr>
      <w:pStyle w:val="Footer"/>
      <w:rPr>
        <w:rFonts w:ascii="Times New Roman" w:hAnsi="Times New Roman" w:cs="Times New Roman"/>
      </w:rPr>
    </w:pPr>
    <w:r w:rsidRPr="006E169E">
      <w:rPr>
        <w:rFonts w:ascii="Times New Roman" w:hAnsi="Times New Roman" w:cs="Times New Roman"/>
        <w:sz w:val="20"/>
        <w:szCs w:val="20"/>
      </w:rPr>
      <w:t>LMAnot_</w:t>
    </w:r>
    <w:r w:rsidR="00F716EF">
      <w:rPr>
        <w:rFonts w:ascii="Times New Roman" w:hAnsi="Times New Roman" w:cs="Times New Roman"/>
        <w:sz w:val="20"/>
        <w:szCs w:val="20"/>
      </w:rPr>
      <w:t>31</w:t>
    </w:r>
    <w:r w:rsidR="00D85B78">
      <w:rPr>
        <w:rFonts w:ascii="Times New Roman" w:hAnsi="Times New Roman" w:cs="Times New Roman"/>
        <w:sz w:val="20"/>
        <w:szCs w:val="20"/>
      </w:rPr>
      <w:t>07</w:t>
    </w:r>
    <w:r>
      <w:rPr>
        <w:rFonts w:ascii="Times New Roman" w:hAnsi="Times New Roman" w:cs="Times New Roman"/>
        <w:sz w:val="20"/>
        <w:szCs w:val="20"/>
      </w:rPr>
      <w:t>14</w:t>
    </w:r>
    <w:r w:rsidRPr="006E169E">
      <w:rPr>
        <w:rFonts w:ascii="Times New Roman" w:hAnsi="Times New Roman" w:cs="Times New Roman"/>
        <w:sz w:val="20"/>
        <w:szCs w:val="20"/>
      </w:rPr>
      <w:t>_1DPP;</w:t>
    </w:r>
    <w:r w:rsidRPr="006E169E">
      <w:rPr>
        <w:rFonts w:ascii="Times New Roman" w:hAnsi="Times New Roman" w:cs="Times New Roman"/>
      </w:rPr>
      <w:t xml:space="preserve"> </w:t>
    </w:r>
    <w:r w:rsidRPr="006E169E">
      <w:rPr>
        <w:rFonts w:ascii="Times New Roman" w:hAnsi="Times New Roman" w:cs="Times New Roman"/>
        <w:bCs/>
        <w:sz w:val="20"/>
        <w:szCs w:val="20"/>
      </w:rPr>
      <w:t>Ministru kabineta</w:t>
    </w:r>
    <w:r w:rsidR="00D85B78">
      <w:rPr>
        <w:rFonts w:ascii="Times New Roman" w:hAnsi="Times New Roman" w:cs="Times New Roman"/>
        <w:bCs/>
        <w:sz w:val="20"/>
        <w:szCs w:val="20"/>
      </w:rPr>
      <w:t xml:space="preserve"> rīkojuma „Grozījumi</w:t>
    </w:r>
    <w:r w:rsidRPr="006E169E">
      <w:rPr>
        <w:rFonts w:ascii="Times New Roman" w:hAnsi="Times New Roman" w:cs="Times New Roman"/>
        <w:bCs/>
        <w:sz w:val="20"/>
        <w:szCs w:val="20"/>
      </w:rPr>
      <w:t xml:space="preserve"> darbības programmas „Cilvēkresursi un nodarbinātība” papildinājumā”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11D" w:rsidRDefault="00FF411D" w:rsidP="006D6C82">
      <w:pPr>
        <w:spacing w:after="0" w:line="240" w:lineRule="auto"/>
      </w:pPr>
      <w:r>
        <w:separator/>
      </w:r>
    </w:p>
  </w:footnote>
  <w:footnote w:type="continuationSeparator" w:id="0">
    <w:p w:rsidR="00FF411D" w:rsidRDefault="00FF411D"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noProof/>
      </w:rPr>
    </w:sdtEndPr>
    <w:sdtContent>
      <w:p w:rsidR="00F161BE" w:rsidRDefault="00F161BE">
        <w:pPr>
          <w:pStyle w:val="Header"/>
          <w:jc w:val="center"/>
        </w:pPr>
        <w:r>
          <w:fldChar w:fldCharType="begin"/>
        </w:r>
        <w:r>
          <w:instrText xml:space="preserve"> PAGE   \* MERGEFORMAT </w:instrText>
        </w:r>
        <w:r>
          <w:fldChar w:fldCharType="separate"/>
        </w:r>
        <w:r w:rsidR="00004CBC">
          <w:rPr>
            <w:noProof/>
          </w:rPr>
          <w:t>6</w:t>
        </w:r>
        <w:r>
          <w:rPr>
            <w:noProof/>
          </w:rPr>
          <w:fldChar w:fldCharType="end"/>
        </w:r>
      </w:p>
    </w:sdtContent>
  </w:sdt>
  <w:p w:rsidR="00F161BE" w:rsidRDefault="00F16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FB0E08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155FC2"/>
    <w:multiLevelType w:val="hybridMultilevel"/>
    <w:tmpl w:val="FB80E2E4"/>
    <w:lvl w:ilvl="0" w:tplc="09405B38">
      <w:start w:val="2014"/>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3">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A2706AA"/>
    <w:multiLevelType w:val="hybridMultilevel"/>
    <w:tmpl w:val="A878B4F6"/>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5">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5834763"/>
    <w:multiLevelType w:val="hybridMultilevel"/>
    <w:tmpl w:val="B978A512"/>
    <w:lvl w:ilvl="0" w:tplc="9FA04D5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nsid w:val="3F7B14AA"/>
    <w:multiLevelType w:val="hybridMultilevel"/>
    <w:tmpl w:val="5F828362"/>
    <w:lvl w:ilvl="0" w:tplc="E18A0976">
      <w:start w:val="10"/>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8">
    <w:nsid w:val="44634107"/>
    <w:multiLevelType w:val="hybridMultilevel"/>
    <w:tmpl w:val="13AAD0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C0533FF"/>
    <w:multiLevelType w:val="hybridMultilevel"/>
    <w:tmpl w:val="15E08B7A"/>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nsid w:val="57133164"/>
    <w:multiLevelType w:val="hybridMultilevel"/>
    <w:tmpl w:val="B5F86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730100C"/>
    <w:multiLevelType w:val="hybridMultilevel"/>
    <w:tmpl w:val="7A20A33C"/>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4">
    <w:nsid w:val="582E2ECB"/>
    <w:multiLevelType w:val="hybridMultilevel"/>
    <w:tmpl w:val="F146AD0C"/>
    <w:lvl w:ilvl="0" w:tplc="0FDA6C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D0B33CD"/>
    <w:multiLevelType w:val="hybridMultilevel"/>
    <w:tmpl w:val="C628AA36"/>
    <w:lvl w:ilvl="0" w:tplc="B758226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6">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7">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num w:numId="1">
    <w:abstractNumId w:val="5"/>
  </w:num>
  <w:num w:numId="2">
    <w:abstractNumId w:val="3"/>
  </w:num>
  <w:num w:numId="3">
    <w:abstractNumId w:val="9"/>
  </w:num>
  <w:num w:numId="4">
    <w:abstractNumId w:val="19"/>
  </w:num>
  <w:num w:numId="5">
    <w:abstractNumId w:val="16"/>
  </w:num>
  <w:num w:numId="6">
    <w:abstractNumId w:val="1"/>
  </w:num>
  <w:num w:numId="7">
    <w:abstractNumId w:val="18"/>
  </w:num>
  <w:num w:numId="8">
    <w:abstractNumId w:val="11"/>
  </w:num>
  <w:num w:numId="9">
    <w:abstractNumId w:val="0"/>
  </w:num>
  <w:num w:numId="10">
    <w:abstractNumId w:val="10"/>
  </w:num>
  <w:num w:numId="11">
    <w:abstractNumId w:val="17"/>
  </w:num>
  <w:num w:numId="12">
    <w:abstractNumId w:val="6"/>
  </w:num>
  <w:num w:numId="13">
    <w:abstractNumId w:val="13"/>
  </w:num>
  <w:num w:numId="14">
    <w:abstractNumId w:val="4"/>
  </w:num>
  <w:num w:numId="15">
    <w:abstractNumId w:val="14"/>
  </w:num>
  <w:num w:numId="16">
    <w:abstractNumId w:val="7"/>
  </w:num>
  <w:num w:numId="17">
    <w:abstractNumId w:val="15"/>
  </w:num>
  <w:num w:numId="18">
    <w:abstractNumId w:val="12"/>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1FC0"/>
    <w:rsid w:val="00002103"/>
    <w:rsid w:val="00004CBC"/>
    <w:rsid w:val="000112ED"/>
    <w:rsid w:val="000220F0"/>
    <w:rsid w:val="0003678C"/>
    <w:rsid w:val="000459D0"/>
    <w:rsid w:val="0004643E"/>
    <w:rsid w:val="00051838"/>
    <w:rsid w:val="00053DE3"/>
    <w:rsid w:val="00062F3E"/>
    <w:rsid w:val="00065E19"/>
    <w:rsid w:val="00072876"/>
    <w:rsid w:val="00074C69"/>
    <w:rsid w:val="000938B5"/>
    <w:rsid w:val="00095132"/>
    <w:rsid w:val="000A50F4"/>
    <w:rsid w:val="000A556B"/>
    <w:rsid w:val="000A5A8A"/>
    <w:rsid w:val="000B5881"/>
    <w:rsid w:val="000C6349"/>
    <w:rsid w:val="000C6DA7"/>
    <w:rsid w:val="000D11B7"/>
    <w:rsid w:val="000E08F6"/>
    <w:rsid w:val="000E4745"/>
    <w:rsid w:val="000E79FF"/>
    <w:rsid w:val="001021F5"/>
    <w:rsid w:val="00104816"/>
    <w:rsid w:val="00104ACD"/>
    <w:rsid w:val="00104ACF"/>
    <w:rsid w:val="0010641A"/>
    <w:rsid w:val="00110769"/>
    <w:rsid w:val="001144D9"/>
    <w:rsid w:val="0011756F"/>
    <w:rsid w:val="00125DF5"/>
    <w:rsid w:val="00126D51"/>
    <w:rsid w:val="00132CEF"/>
    <w:rsid w:val="00134BDB"/>
    <w:rsid w:val="00140CF3"/>
    <w:rsid w:val="00152B5A"/>
    <w:rsid w:val="001540B9"/>
    <w:rsid w:val="00163649"/>
    <w:rsid w:val="00163F68"/>
    <w:rsid w:val="00166E6E"/>
    <w:rsid w:val="00167190"/>
    <w:rsid w:val="001761AE"/>
    <w:rsid w:val="00176916"/>
    <w:rsid w:val="00177F36"/>
    <w:rsid w:val="00181E0E"/>
    <w:rsid w:val="0018780A"/>
    <w:rsid w:val="00192A2D"/>
    <w:rsid w:val="00197EC4"/>
    <w:rsid w:val="001A0727"/>
    <w:rsid w:val="001B1214"/>
    <w:rsid w:val="001B426D"/>
    <w:rsid w:val="001C30B9"/>
    <w:rsid w:val="001D5EBC"/>
    <w:rsid w:val="001D61A3"/>
    <w:rsid w:val="001E645F"/>
    <w:rsid w:val="001F6B3E"/>
    <w:rsid w:val="00206F07"/>
    <w:rsid w:val="002120C9"/>
    <w:rsid w:val="002123C9"/>
    <w:rsid w:val="00212CFF"/>
    <w:rsid w:val="002141C0"/>
    <w:rsid w:val="00215683"/>
    <w:rsid w:val="00232033"/>
    <w:rsid w:val="002338DE"/>
    <w:rsid w:val="00241546"/>
    <w:rsid w:val="002472FA"/>
    <w:rsid w:val="00253304"/>
    <w:rsid w:val="0025552A"/>
    <w:rsid w:val="002568F2"/>
    <w:rsid w:val="00256C7E"/>
    <w:rsid w:val="0026710C"/>
    <w:rsid w:val="00281E6C"/>
    <w:rsid w:val="00283E43"/>
    <w:rsid w:val="0028479A"/>
    <w:rsid w:val="00285FDD"/>
    <w:rsid w:val="002874DE"/>
    <w:rsid w:val="00294678"/>
    <w:rsid w:val="00295EA4"/>
    <w:rsid w:val="002A046C"/>
    <w:rsid w:val="002A161A"/>
    <w:rsid w:val="002A4ADA"/>
    <w:rsid w:val="002B0232"/>
    <w:rsid w:val="002B0D05"/>
    <w:rsid w:val="002B602F"/>
    <w:rsid w:val="002B636F"/>
    <w:rsid w:val="002B6FF3"/>
    <w:rsid w:val="002D1F05"/>
    <w:rsid w:val="002D2016"/>
    <w:rsid w:val="002D259B"/>
    <w:rsid w:val="002E105B"/>
    <w:rsid w:val="002E5587"/>
    <w:rsid w:val="002F1000"/>
    <w:rsid w:val="002F2310"/>
    <w:rsid w:val="0030050C"/>
    <w:rsid w:val="0030284F"/>
    <w:rsid w:val="00303FFC"/>
    <w:rsid w:val="003158E1"/>
    <w:rsid w:val="00320A19"/>
    <w:rsid w:val="00321D39"/>
    <w:rsid w:val="0032210B"/>
    <w:rsid w:val="00332A1D"/>
    <w:rsid w:val="00334CA9"/>
    <w:rsid w:val="00336B3A"/>
    <w:rsid w:val="00340D2B"/>
    <w:rsid w:val="0034223C"/>
    <w:rsid w:val="00344A09"/>
    <w:rsid w:val="00345771"/>
    <w:rsid w:val="00354E5C"/>
    <w:rsid w:val="0035641C"/>
    <w:rsid w:val="00363E94"/>
    <w:rsid w:val="00365B8E"/>
    <w:rsid w:val="00367421"/>
    <w:rsid w:val="003721D8"/>
    <w:rsid w:val="00376240"/>
    <w:rsid w:val="00377EB0"/>
    <w:rsid w:val="0038217F"/>
    <w:rsid w:val="00382C79"/>
    <w:rsid w:val="00385892"/>
    <w:rsid w:val="00386A7D"/>
    <w:rsid w:val="00390CD6"/>
    <w:rsid w:val="00390DA0"/>
    <w:rsid w:val="0039236F"/>
    <w:rsid w:val="00393D64"/>
    <w:rsid w:val="003970EF"/>
    <w:rsid w:val="00397EEE"/>
    <w:rsid w:val="003A3A21"/>
    <w:rsid w:val="003B0FBE"/>
    <w:rsid w:val="003B1B19"/>
    <w:rsid w:val="003C00B7"/>
    <w:rsid w:val="003D2EF5"/>
    <w:rsid w:val="003D58F4"/>
    <w:rsid w:val="003D7FCC"/>
    <w:rsid w:val="003E4689"/>
    <w:rsid w:val="003E6EBD"/>
    <w:rsid w:val="003E7876"/>
    <w:rsid w:val="003F64F8"/>
    <w:rsid w:val="00400D63"/>
    <w:rsid w:val="004144A3"/>
    <w:rsid w:val="004247E7"/>
    <w:rsid w:val="0042524F"/>
    <w:rsid w:val="004279EC"/>
    <w:rsid w:val="00427EFE"/>
    <w:rsid w:val="0043187B"/>
    <w:rsid w:val="00450B0F"/>
    <w:rsid w:val="00454A54"/>
    <w:rsid w:val="00455C53"/>
    <w:rsid w:val="00466E9D"/>
    <w:rsid w:val="00470125"/>
    <w:rsid w:val="00474BEE"/>
    <w:rsid w:val="00477EA9"/>
    <w:rsid w:val="004926DA"/>
    <w:rsid w:val="004A0562"/>
    <w:rsid w:val="004A7017"/>
    <w:rsid w:val="004B2C5B"/>
    <w:rsid w:val="004B4BC8"/>
    <w:rsid w:val="004C0127"/>
    <w:rsid w:val="004C55C1"/>
    <w:rsid w:val="004D24D9"/>
    <w:rsid w:val="004D2900"/>
    <w:rsid w:val="004D4A4C"/>
    <w:rsid w:val="004D654A"/>
    <w:rsid w:val="004D6C65"/>
    <w:rsid w:val="004D6C8E"/>
    <w:rsid w:val="004E2B79"/>
    <w:rsid w:val="004F15BC"/>
    <w:rsid w:val="004F1BD2"/>
    <w:rsid w:val="004F1F9A"/>
    <w:rsid w:val="004F6B68"/>
    <w:rsid w:val="00501F1C"/>
    <w:rsid w:val="0050327A"/>
    <w:rsid w:val="00510A25"/>
    <w:rsid w:val="00511D62"/>
    <w:rsid w:val="00513962"/>
    <w:rsid w:val="00514DDD"/>
    <w:rsid w:val="00515286"/>
    <w:rsid w:val="0051753C"/>
    <w:rsid w:val="005346EE"/>
    <w:rsid w:val="00534C99"/>
    <w:rsid w:val="00547074"/>
    <w:rsid w:val="00547218"/>
    <w:rsid w:val="00551B31"/>
    <w:rsid w:val="0055242A"/>
    <w:rsid w:val="005566A6"/>
    <w:rsid w:val="005820D6"/>
    <w:rsid w:val="005913E4"/>
    <w:rsid w:val="005922C8"/>
    <w:rsid w:val="005948BF"/>
    <w:rsid w:val="005955B6"/>
    <w:rsid w:val="00597F2B"/>
    <w:rsid w:val="005A2EC2"/>
    <w:rsid w:val="005B104F"/>
    <w:rsid w:val="005C718F"/>
    <w:rsid w:val="005D0485"/>
    <w:rsid w:val="005D3E1C"/>
    <w:rsid w:val="005D6E48"/>
    <w:rsid w:val="005E2E68"/>
    <w:rsid w:val="005E6929"/>
    <w:rsid w:val="005F280E"/>
    <w:rsid w:val="005F403C"/>
    <w:rsid w:val="0060366C"/>
    <w:rsid w:val="0060518C"/>
    <w:rsid w:val="006074DC"/>
    <w:rsid w:val="00623854"/>
    <w:rsid w:val="006245FD"/>
    <w:rsid w:val="006409EE"/>
    <w:rsid w:val="00645EF3"/>
    <w:rsid w:val="00647162"/>
    <w:rsid w:val="00647F71"/>
    <w:rsid w:val="00654303"/>
    <w:rsid w:val="00654FBD"/>
    <w:rsid w:val="00655797"/>
    <w:rsid w:val="00662B35"/>
    <w:rsid w:val="006657F7"/>
    <w:rsid w:val="006673B6"/>
    <w:rsid w:val="0067586A"/>
    <w:rsid w:val="00677F0A"/>
    <w:rsid w:val="00687767"/>
    <w:rsid w:val="00687780"/>
    <w:rsid w:val="00694F66"/>
    <w:rsid w:val="006952F4"/>
    <w:rsid w:val="00695A97"/>
    <w:rsid w:val="006A2348"/>
    <w:rsid w:val="006A448C"/>
    <w:rsid w:val="006A6178"/>
    <w:rsid w:val="006A720A"/>
    <w:rsid w:val="006A7754"/>
    <w:rsid w:val="006B1DFB"/>
    <w:rsid w:val="006B616F"/>
    <w:rsid w:val="006B7133"/>
    <w:rsid w:val="006D1917"/>
    <w:rsid w:val="006D573E"/>
    <w:rsid w:val="006D6C82"/>
    <w:rsid w:val="006D73FE"/>
    <w:rsid w:val="006E169E"/>
    <w:rsid w:val="006E3024"/>
    <w:rsid w:val="006E6976"/>
    <w:rsid w:val="006E6A49"/>
    <w:rsid w:val="006F615E"/>
    <w:rsid w:val="006F6735"/>
    <w:rsid w:val="006F6CC7"/>
    <w:rsid w:val="006F6F3B"/>
    <w:rsid w:val="007032FF"/>
    <w:rsid w:val="00706F82"/>
    <w:rsid w:val="00710CCF"/>
    <w:rsid w:val="00712045"/>
    <w:rsid w:val="0075058A"/>
    <w:rsid w:val="00750E0D"/>
    <w:rsid w:val="00754E15"/>
    <w:rsid w:val="00755E70"/>
    <w:rsid w:val="00756ADA"/>
    <w:rsid w:val="0077161A"/>
    <w:rsid w:val="00771926"/>
    <w:rsid w:val="00774AFB"/>
    <w:rsid w:val="0077679B"/>
    <w:rsid w:val="007831DA"/>
    <w:rsid w:val="00786082"/>
    <w:rsid w:val="007922A6"/>
    <w:rsid w:val="0079484D"/>
    <w:rsid w:val="007A75B6"/>
    <w:rsid w:val="007B599D"/>
    <w:rsid w:val="007B5D78"/>
    <w:rsid w:val="007B7F26"/>
    <w:rsid w:val="007C2BB0"/>
    <w:rsid w:val="007C480A"/>
    <w:rsid w:val="007C73B8"/>
    <w:rsid w:val="007D385B"/>
    <w:rsid w:val="007E0E1E"/>
    <w:rsid w:val="007F0D8C"/>
    <w:rsid w:val="007F44BF"/>
    <w:rsid w:val="007F5010"/>
    <w:rsid w:val="007F56E6"/>
    <w:rsid w:val="007F57E5"/>
    <w:rsid w:val="008026E4"/>
    <w:rsid w:val="00802AE9"/>
    <w:rsid w:val="00814B8D"/>
    <w:rsid w:val="008171AD"/>
    <w:rsid w:val="00820527"/>
    <w:rsid w:val="00822854"/>
    <w:rsid w:val="00827CB0"/>
    <w:rsid w:val="008422C0"/>
    <w:rsid w:val="00843389"/>
    <w:rsid w:val="0084496D"/>
    <w:rsid w:val="008477DE"/>
    <w:rsid w:val="00857C5B"/>
    <w:rsid w:val="00870319"/>
    <w:rsid w:val="00874FAD"/>
    <w:rsid w:val="00885959"/>
    <w:rsid w:val="00891D72"/>
    <w:rsid w:val="0089308D"/>
    <w:rsid w:val="00894175"/>
    <w:rsid w:val="008A10C7"/>
    <w:rsid w:val="008C40F0"/>
    <w:rsid w:val="008C532A"/>
    <w:rsid w:val="008D13E2"/>
    <w:rsid w:val="008D51D3"/>
    <w:rsid w:val="008F01AC"/>
    <w:rsid w:val="009121E7"/>
    <w:rsid w:val="00916FE9"/>
    <w:rsid w:val="0093520F"/>
    <w:rsid w:val="009363BE"/>
    <w:rsid w:val="0094080C"/>
    <w:rsid w:val="00942A6F"/>
    <w:rsid w:val="00943293"/>
    <w:rsid w:val="00944E1A"/>
    <w:rsid w:val="00946B53"/>
    <w:rsid w:val="00962BF1"/>
    <w:rsid w:val="009638E8"/>
    <w:rsid w:val="009665F6"/>
    <w:rsid w:val="009715A3"/>
    <w:rsid w:val="00975BC8"/>
    <w:rsid w:val="00980C4B"/>
    <w:rsid w:val="009913DE"/>
    <w:rsid w:val="009945CD"/>
    <w:rsid w:val="009A0267"/>
    <w:rsid w:val="009A5F8B"/>
    <w:rsid w:val="009B252C"/>
    <w:rsid w:val="009B34D7"/>
    <w:rsid w:val="009B5EDB"/>
    <w:rsid w:val="009B7DBA"/>
    <w:rsid w:val="009C39B5"/>
    <w:rsid w:val="009C5386"/>
    <w:rsid w:val="009D5CED"/>
    <w:rsid w:val="009D7F50"/>
    <w:rsid w:val="009F3C67"/>
    <w:rsid w:val="009F64F8"/>
    <w:rsid w:val="00A202EB"/>
    <w:rsid w:val="00A24C23"/>
    <w:rsid w:val="00A33379"/>
    <w:rsid w:val="00A35D0D"/>
    <w:rsid w:val="00A37FE1"/>
    <w:rsid w:val="00A416ED"/>
    <w:rsid w:val="00A4348C"/>
    <w:rsid w:val="00A438D2"/>
    <w:rsid w:val="00A523D9"/>
    <w:rsid w:val="00A53A22"/>
    <w:rsid w:val="00A55F33"/>
    <w:rsid w:val="00A60613"/>
    <w:rsid w:val="00A62217"/>
    <w:rsid w:val="00A65273"/>
    <w:rsid w:val="00A66ECC"/>
    <w:rsid w:val="00A673AD"/>
    <w:rsid w:val="00A74718"/>
    <w:rsid w:val="00A76816"/>
    <w:rsid w:val="00A94ED9"/>
    <w:rsid w:val="00AA12B0"/>
    <w:rsid w:val="00AA3F24"/>
    <w:rsid w:val="00AA71B1"/>
    <w:rsid w:val="00AB4028"/>
    <w:rsid w:val="00AB70F9"/>
    <w:rsid w:val="00AC0C52"/>
    <w:rsid w:val="00AC0FA8"/>
    <w:rsid w:val="00AC6C18"/>
    <w:rsid w:val="00AD4143"/>
    <w:rsid w:val="00AE0DE2"/>
    <w:rsid w:val="00AE55A0"/>
    <w:rsid w:val="00AF7AF4"/>
    <w:rsid w:val="00B00F6C"/>
    <w:rsid w:val="00B06F07"/>
    <w:rsid w:val="00B105FC"/>
    <w:rsid w:val="00B13677"/>
    <w:rsid w:val="00B25D22"/>
    <w:rsid w:val="00B321EE"/>
    <w:rsid w:val="00B45123"/>
    <w:rsid w:val="00B46D66"/>
    <w:rsid w:val="00B6023A"/>
    <w:rsid w:val="00B6063C"/>
    <w:rsid w:val="00B60913"/>
    <w:rsid w:val="00B62CA2"/>
    <w:rsid w:val="00B62FB7"/>
    <w:rsid w:val="00B66033"/>
    <w:rsid w:val="00B72F7C"/>
    <w:rsid w:val="00B80868"/>
    <w:rsid w:val="00B85672"/>
    <w:rsid w:val="00B90401"/>
    <w:rsid w:val="00B9049D"/>
    <w:rsid w:val="00B90D82"/>
    <w:rsid w:val="00B96485"/>
    <w:rsid w:val="00B96944"/>
    <w:rsid w:val="00BB5814"/>
    <w:rsid w:val="00BC1631"/>
    <w:rsid w:val="00BC7A10"/>
    <w:rsid w:val="00BD76EA"/>
    <w:rsid w:val="00BD7D00"/>
    <w:rsid w:val="00BE034A"/>
    <w:rsid w:val="00BF1BDA"/>
    <w:rsid w:val="00BF1C90"/>
    <w:rsid w:val="00BF2461"/>
    <w:rsid w:val="00BF3151"/>
    <w:rsid w:val="00C03565"/>
    <w:rsid w:val="00C07FB5"/>
    <w:rsid w:val="00C206AD"/>
    <w:rsid w:val="00C20F59"/>
    <w:rsid w:val="00C30C3B"/>
    <w:rsid w:val="00C3759C"/>
    <w:rsid w:val="00C37B9A"/>
    <w:rsid w:val="00C417D7"/>
    <w:rsid w:val="00C43430"/>
    <w:rsid w:val="00C442F9"/>
    <w:rsid w:val="00C51095"/>
    <w:rsid w:val="00C63E56"/>
    <w:rsid w:val="00C65180"/>
    <w:rsid w:val="00C66F2F"/>
    <w:rsid w:val="00C74646"/>
    <w:rsid w:val="00C80769"/>
    <w:rsid w:val="00C845E5"/>
    <w:rsid w:val="00C86B5F"/>
    <w:rsid w:val="00C87872"/>
    <w:rsid w:val="00C90B47"/>
    <w:rsid w:val="00C91ABA"/>
    <w:rsid w:val="00C974D3"/>
    <w:rsid w:val="00CA74AB"/>
    <w:rsid w:val="00CB32B6"/>
    <w:rsid w:val="00CC1A56"/>
    <w:rsid w:val="00CD64AE"/>
    <w:rsid w:val="00CD7EF5"/>
    <w:rsid w:val="00CE6516"/>
    <w:rsid w:val="00D0337A"/>
    <w:rsid w:val="00D3183B"/>
    <w:rsid w:val="00D404FE"/>
    <w:rsid w:val="00D42462"/>
    <w:rsid w:val="00D44056"/>
    <w:rsid w:val="00D473ED"/>
    <w:rsid w:val="00D5097F"/>
    <w:rsid w:val="00D57954"/>
    <w:rsid w:val="00D60002"/>
    <w:rsid w:val="00D61CB4"/>
    <w:rsid w:val="00D85B78"/>
    <w:rsid w:val="00D925B8"/>
    <w:rsid w:val="00DA6448"/>
    <w:rsid w:val="00DB2814"/>
    <w:rsid w:val="00DB3052"/>
    <w:rsid w:val="00DB552D"/>
    <w:rsid w:val="00DC1B07"/>
    <w:rsid w:val="00DD3888"/>
    <w:rsid w:val="00DD4F8E"/>
    <w:rsid w:val="00DE0F62"/>
    <w:rsid w:val="00DE2DA0"/>
    <w:rsid w:val="00DE57EB"/>
    <w:rsid w:val="00DF49D2"/>
    <w:rsid w:val="00DF764C"/>
    <w:rsid w:val="00E0119C"/>
    <w:rsid w:val="00E01564"/>
    <w:rsid w:val="00E02E53"/>
    <w:rsid w:val="00E11944"/>
    <w:rsid w:val="00E2329D"/>
    <w:rsid w:val="00E24F81"/>
    <w:rsid w:val="00E25102"/>
    <w:rsid w:val="00E25952"/>
    <w:rsid w:val="00E2764C"/>
    <w:rsid w:val="00E4200F"/>
    <w:rsid w:val="00E452B1"/>
    <w:rsid w:val="00E50358"/>
    <w:rsid w:val="00E60388"/>
    <w:rsid w:val="00E61B13"/>
    <w:rsid w:val="00E673FB"/>
    <w:rsid w:val="00E74162"/>
    <w:rsid w:val="00E80428"/>
    <w:rsid w:val="00E83DA0"/>
    <w:rsid w:val="00E92018"/>
    <w:rsid w:val="00E93120"/>
    <w:rsid w:val="00E94723"/>
    <w:rsid w:val="00EA075D"/>
    <w:rsid w:val="00EA0F8E"/>
    <w:rsid w:val="00EA1E2D"/>
    <w:rsid w:val="00EA3033"/>
    <w:rsid w:val="00EB2256"/>
    <w:rsid w:val="00EB6441"/>
    <w:rsid w:val="00EC0598"/>
    <w:rsid w:val="00EC30B1"/>
    <w:rsid w:val="00EC3359"/>
    <w:rsid w:val="00EC694C"/>
    <w:rsid w:val="00ED4855"/>
    <w:rsid w:val="00ED56D4"/>
    <w:rsid w:val="00ED63AA"/>
    <w:rsid w:val="00EF0EA7"/>
    <w:rsid w:val="00EF7E11"/>
    <w:rsid w:val="00F00CD5"/>
    <w:rsid w:val="00F05E3E"/>
    <w:rsid w:val="00F07BB7"/>
    <w:rsid w:val="00F11135"/>
    <w:rsid w:val="00F11F5B"/>
    <w:rsid w:val="00F14001"/>
    <w:rsid w:val="00F159B5"/>
    <w:rsid w:val="00F15C0D"/>
    <w:rsid w:val="00F161BE"/>
    <w:rsid w:val="00F16D63"/>
    <w:rsid w:val="00F40BB1"/>
    <w:rsid w:val="00F456B9"/>
    <w:rsid w:val="00F46D1C"/>
    <w:rsid w:val="00F60E13"/>
    <w:rsid w:val="00F63902"/>
    <w:rsid w:val="00F65BA1"/>
    <w:rsid w:val="00F716EF"/>
    <w:rsid w:val="00FA6A4B"/>
    <w:rsid w:val="00FC0148"/>
    <w:rsid w:val="00FC5E70"/>
    <w:rsid w:val="00FC5F5E"/>
    <w:rsid w:val="00FC6CF7"/>
    <w:rsid w:val="00FD22D1"/>
    <w:rsid w:val="00FD3C42"/>
    <w:rsid w:val="00FE25D4"/>
    <w:rsid w:val="00FE47D5"/>
    <w:rsid w:val="00FF411D"/>
    <w:rsid w:val="00FF589C"/>
    <w:rsid w:val="00FF77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7BFB8-3091-4F94-B46E-7DE98B29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uiPriority w:val="99"/>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paragraph" w:styleId="NoSpacing">
    <w:name w:val="No Spacing"/>
    <w:uiPriority w:val="1"/>
    <w:qFormat/>
    <w:rsid w:val="00597F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1514">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F54AA-615F-4FFF-B7DF-7890DEC2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9540</Words>
  <Characters>5438</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Ministru kabineta rīkojuma „Grozījumi darbības programmas „Cilvēkresursi un nodarbinātība” papildinājumā” projekta sākotnējās ietekmes novērtējuma ziņojums (anotācija)</vt:lpstr>
    </vt:vector>
  </TitlesOfParts>
  <Company>LM</Company>
  <LinksUpToDate>false</LinksUpToDate>
  <CharactersWithSpaces>14949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„Grozījumi darbības programmas „Cilvēkresursi un nodarbinātība” papildinājumā” projekta sākotnējās ietekmes novērtējuma ziņojums (anotācija)</dc:title>
  <dc:subject>Anotācija</dc:subject>
  <dc:creator>Vjačeslavs Makarovs</dc:creator>
  <cp:keywords/>
  <dc:description>Tel.:67021630_x000d_
Vjaceslavs.Makarovs@lm.gov.lv_x000d_
</dc:description>
  <cp:lastModifiedBy>Vjaceslavs Makarovs</cp:lastModifiedBy>
  <cp:revision>18</cp:revision>
  <cp:lastPrinted>2014-01-10T13:14:00Z</cp:lastPrinted>
  <dcterms:created xsi:type="dcterms:W3CDTF">2014-07-29T11:03:00Z</dcterms:created>
  <dcterms:modified xsi:type="dcterms:W3CDTF">2014-07-31T12:51:00Z</dcterms:modified>
</cp:coreProperties>
</file>