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8F" w:rsidRPr="00E73112" w:rsidRDefault="003D288F">
      <w:pPr>
        <w:tabs>
          <w:tab w:val="left" w:pos="6663"/>
        </w:tabs>
        <w:rPr>
          <w:sz w:val="28"/>
          <w:szCs w:val="28"/>
        </w:rPr>
      </w:pPr>
      <w:proofErr w:type="gramStart"/>
      <w:r w:rsidRPr="00E73112">
        <w:rPr>
          <w:sz w:val="28"/>
          <w:szCs w:val="28"/>
        </w:rPr>
        <w:t>2014.gada</w:t>
      </w:r>
      <w:proofErr w:type="gramEnd"/>
      <w:r w:rsidRPr="00E73112">
        <w:rPr>
          <w:sz w:val="28"/>
          <w:szCs w:val="28"/>
        </w:rPr>
        <w:t xml:space="preserve">            </w:t>
      </w:r>
      <w:r w:rsidRPr="00E73112">
        <w:rPr>
          <w:sz w:val="28"/>
          <w:szCs w:val="28"/>
        </w:rPr>
        <w:tab/>
        <w:t>Rīkojums Nr.</w:t>
      </w:r>
    </w:p>
    <w:p w:rsidR="003D288F" w:rsidRPr="00E73112" w:rsidRDefault="003D288F">
      <w:pPr>
        <w:tabs>
          <w:tab w:val="left" w:pos="6663"/>
        </w:tabs>
        <w:rPr>
          <w:sz w:val="28"/>
          <w:szCs w:val="28"/>
        </w:rPr>
      </w:pPr>
      <w:r w:rsidRPr="00E73112">
        <w:rPr>
          <w:sz w:val="28"/>
          <w:szCs w:val="28"/>
        </w:rPr>
        <w:t>Rīgā</w:t>
      </w:r>
      <w:r w:rsidRPr="00E73112">
        <w:rPr>
          <w:sz w:val="28"/>
          <w:szCs w:val="28"/>
        </w:rPr>
        <w:tab/>
        <w:t>(prot. Nr.</w:t>
      </w:r>
      <w:proofErr w:type="gramStart"/>
      <w:r w:rsidRPr="00E73112">
        <w:rPr>
          <w:sz w:val="28"/>
          <w:szCs w:val="28"/>
        </w:rPr>
        <w:t xml:space="preserve">               .</w:t>
      </w:r>
      <w:proofErr w:type="gramEnd"/>
      <w:r w:rsidRPr="00E73112">
        <w:rPr>
          <w:sz w:val="28"/>
          <w:szCs w:val="28"/>
        </w:rPr>
        <w:t>§)</w:t>
      </w:r>
    </w:p>
    <w:p w:rsidR="003D288F" w:rsidRPr="00E73112" w:rsidRDefault="003D288F" w:rsidP="00063883">
      <w:pPr>
        <w:jc w:val="center"/>
        <w:rPr>
          <w:b/>
          <w:bCs/>
          <w:sz w:val="28"/>
          <w:szCs w:val="28"/>
        </w:rPr>
      </w:pPr>
    </w:p>
    <w:p w:rsidR="003D288F" w:rsidRPr="00E73112" w:rsidRDefault="003D288F" w:rsidP="00063883">
      <w:pPr>
        <w:jc w:val="center"/>
        <w:rPr>
          <w:b/>
          <w:bCs/>
          <w:sz w:val="28"/>
          <w:szCs w:val="28"/>
        </w:rPr>
      </w:pPr>
      <w:r w:rsidRPr="00E73112">
        <w:rPr>
          <w:b/>
          <w:bCs/>
          <w:sz w:val="28"/>
          <w:szCs w:val="28"/>
        </w:rPr>
        <w:t>Grozījumi darbības programmas „Cilvēkresursi un nodarbinātība”</w:t>
      </w:r>
    </w:p>
    <w:p w:rsidR="003D288F" w:rsidRPr="00E73112" w:rsidRDefault="003D288F" w:rsidP="00063883">
      <w:pPr>
        <w:jc w:val="center"/>
        <w:rPr>
          <w:b/>
          <w:bCs/>
          <w:sz w:val="28"/>
          <w:szCs w:val="28"/>
        </w:rPr>
      </w:pPr>
      <w:r w:rsidRPr="00E73112">
        <w:rPr>
          <w:b/>
          <w:bCs/>
          <w:sz w:val="28"/>
          <w:szCs w:val="28"/>
        </w:rPr>
        <w:t>papildinājumā</w:t>
      </w:r>
    </w:p>
    <w:p w:rsidR="003D288F" w:rsidRPr="00E73112" w:rsidRDefault="003D288F" w:rsidP="00063883">
      <w:pPr>
        <w:ind w:right="-625"/>
        <w:rPr>
          <w:sz w:val="28"/>
          <w:szCs w:val="28"/>
        </w:rPr>
      </w:pPr>
    </w:p>
    <w:p w:rsidR="003D288F" w:rsidRPr="00E73112" w:rsidRDefault="003D288F" w:rsidP="006A74E5">
      <w:pPr>
        <w:pStyle w:val="Default"/>
        <w:ind w:firstLine="720"/>
        <w:jc w:val="both"/>
        <w:rPr>
          <w:sz w:val="28"/>
          <w:szCs w:val="28"/>
        </w:rPr>
      </w:pPr>
      <w:r w:rsidRPr="00E73112">
        <w:rPr>
          <w:sz w:val="28"/>
          <w:szCs w:val="28"/>
        </w:rPr>
        <w:t xml:space="preserve">1. Izdarīt darbības programmas „Cilvēkresursi un nodarbinātība” papildinājumā (apstiprināts ar Ministru kabineta </w:t>
      </w:r>
      <w:proofErr w:type="gramStart"/>
      <w:r w:rsidRPr="00E73112">
        <w:rPr>
          <w:sz w:val="28"/>
          <w:szCs w:val="28"/>
        </w:rPr>
        <w:t>2008.gada</w:t>
      </w:r>
      <w:proofErr w:type="gramEnd"/>
      <w:r w:rsidRPr="00E73112">
        <w:rPr>
          <w:sz w:val="28"/>
          <w:szCs w:val="28"/>
        </w:rPr>
        <w:t xml:space="preserve"> 9.aprīļa rīkojumu </w:t>
      </w:r>
      <w:r w:rsidRPr="00E73112">
        <w:rPr>
          <w:spacing w:val="-4"/>
          <w:sz w:val="28"/>
          <w:szCs w:val="28"/>
        </w:rPr>
        <w:t>Nr.197 „Par darbības programmas „Cilvēkresursi un nodarbinātība” papildinājuma</w:t>
      </w:r>
      <w:r w:rsidRPr="00E73112">
        <w:rPr>
          <w:sz w:val="28"/>
          <w:szCs w:val="28"/>
        </w:rPr>
        <w:t xml:space="preserve"> apstiprināšanu”) šādus grozījumus:</w:t>
      </w:r>
    </w:p>
    <w:p w:rsidR="003D288F" w:rsidRPr="00E73112" w:rsidRDefault="003D288F" w:rsidP="005B65CB">
      <w:pPr>
        <w:pStyle w:val="Default"/>
        <w:jc w:val="both"/>
        <w:rPr>
          <w:sz w:val="28"/>
          <w:szCs w:val="28"/>
        </w:rPr>
      </w:pPr>
    </w:p>
    <w:p w:rsidR="00410B75" w:rsidRPr="00E73112" w:rsidRDefault="00410B75" w:rsidP="00410B75">
      <w:pPr>
        <w:pStyle w:val="ListParagraph"/>
        <w:numPr>
          <w:ilvl w:val="1"/>
          <w:numId w:val="5"/>
        </w:numPr>
        <w:rPr>
          <w:color w:val="000000"/>
          <w:sz w:val="28"/>
          <w:szCs w:val="28"/>
          <w:lang w:eastAsia="lv-LV"/>
        </w:rPr>
      </w:pPr>
      <w:r w:rsidRPr="00E73112">
        <w:rPr>
          <w:color w:val="000000"/>
          <w:sz w:val="28"/>
          <w:szCs w:val="28"/>
          <w:lang w:eastAsia="lv-LV"/>
        </w:rPr>
        <w:t>aizstāt 234.punktā skaitli „5</w:t>
      </w:r>
      <w:r w:rsidR="00BC4472" w:rsidRPr="00E73112">
        <w:rPr>
          <w:color w:val="000000"/>
          <w:sz w:val="28"/>
          <w:szCs w:val="28"/>
          <w:lang w:eastAsia="lv-LV"/>
        </w:rPr>
        <w:t> 770 776” ar skaitli „5 342 </w:t>
      </w:r>
      <w:r w:rsidRPr="00E73112">
        <w:rPr>
          <w:color w:val="000000"/>
          <w:sz w:val="28"/>
          <w:szCs w:val="28"/>
          <w:lang w:eastAsia="lv-LV"/>
        </w:rPr>
        <w:t>621”;</w:t>
      </w:r>
    </w:p>
    <w:p w:rsidR="00410B75" w:rsidRPr="00E73112" w:rsidRDefault="00410B75" w:rsidP="00410B75">
      <w:pPr>
        <w:pStyle w:val="Default"/>
        <w:ind w:left="1440"/>
        <w:jc w:val="both"/>
        <w:rPr>
          <w:sz w:val="28"/>
          <w:szCs w:val="28"/>
        </w:rPr>
      </w:pPr>
    </w:p>
    <w:p w:rsidR="003D288F" w:rsidRPr="00E73112" w:rsidRDefault="003D288F" w:rsidP="00BF0BFF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E73112">
        <w:rPr>
          <w:sz w:val="28"/>
          <w:szCs w:val="28"/>
        </w:rPr>
        <w:t>izteikt 237.punktu šādā redakcijā:</w:t>
      </w:r>
    </w:p>
    <w:p w:rsidR="003D288F" w:rsidRPr="00E73112" w:rsidRDefault="003D288F" w:rsidP="005205DE">
      <w:pPr>
        <w:pStyle w:val="Default"/>
        <w:jc w:val="both"/>
        <w:rPr>
          <w:sz w:val="28"/>
          <w:szCs w:val="28"/>
        </w:rPr>
      </w:pPr>
    </w:p>
    <w:p w:rsidR="003D288F" w:rsidRPr="00E73112" w:rsidRDefault="003D288F" w:rsidP="005205DE">
      <w:pPr>
        <w:pStyle w:val="Default"/>
        <w:ind w:firstLine="709"/>
        <w:jc w:val="both"/>
        <w:rPr>
          <w:sz w:val="28"/>
          <w:szCs w:val="28"/>
        </w:rPr>
      </w:pPr>
      <w:r w:rsidRPr="00E73112">
        <w:rPr>
          <w:sz w:val="28"/>
          <w:szCs w:val="28"/>
        </w:rPr>
        <w:t>„237. Atbalsta veids: Darba metožu un sniegto pakalpojumu satura pilnveidošana, personāla attīstības plānu īstenošana, karjeras konsultāciju metodiskās bāzes modernizācija, karjeras konsultāciju pakalpojumu kvalitātes paaugstināšana un metodiskās bāzes pilnveidošana, operatīvās klientu apkalpošanas</w:t>
      </w:r>
      <w:r w:rsidR="0090653F">
        <w:rPr>
          <w:sz w:val="28"/>
          <w:szCs w:val="28"/>
        </w:rPr>
        <w:t xml:space="preserve"> informācijas tehnoloģijas </w:t>
      </w:r>
      <w:r w:rsidRPr="00E73112">
        <w:rPr>
          <w:sz w:val="28"/>
          <w:szCs w:val="28"/>
        </w:rPr>
        <w:t>rīku noma.</w:t>
      </w:r>
      <w:r w:rsidR="008A124D" w:rsidRPr="00E73112">
        <w:rPr>
          <w:sz w:val="28"/>
          <w:szCs w:val="28"/>
        </w:rPr>
        <w:t>”;</w:t>
      </w:r>
    </w:p>
    <w:p w:rsidR="003D288F" w:rsidRPr="00E73112" w:rsidRDefault="003D288F" w:rsidP="005205DE">
      <w:pPr>
        <w:pStyle w:val="Default"/>
        <w:jc w:val="both"/>
        <w:rPr>
          <w:sz w:val="28"/>
          <w:szCs w:val="28"/>
        </w:rPr>
      </w:pPr>
    </w:p>
    <w:p w:rsidR="003D288F" w:rsidRPr="00E73112" w:rsidRDefault="003D288F" w:rsidP="00BF0BFF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E73112">
        <w:rPr>
          <w:sz w:val="28"/>
          <w:szCs w:val="28"/>
        </w:rPr>
        <w:t>aizstāt 240.punktā skaitli „3 298 709” ar skaitli „3 449 855”;</w:t>
      </w:r>
    </w:p>
    <w:p w:rsidR="003D288F" w:rsidRPr="00E73112" w:rsidRDefault="003D288F" w:rsidP="00ED2B3E">
      <w:pPr>
        <w:pStyle w:val="Default"/>
        <w:ind w:left="1440"/>
        <w:jc w:val="both"/>
        <w:rPr>
          <w:sz w:val="28"/>
          <w:szCs w:val="28"/>
        </w:rPr>
      </w:pPr>
    </w:p>
    <w:p w:rsidR="003D288F" w:rsidRPr="00E73112" w:rsidRDefault="003D288F" w:rsidP="00C34B8E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E73112">
        <w:rPr>
          <w:sz w:val="28"/>
          <w:szCs w:val="28"/>
        </w:rPr>
        <w:t>aizstāt 246.punktā skaitli „20 0</w:t>
      </w:r>
      <w:r w:rsidR="006C0E80" w:rsidRPr="00E73112">
        <w:rPr>
          <w:sz w:val="28"/>
          <w:szCs w:val="28"/>
        </w:rPr>
        <w:t>50 768” ar skaitli „20 385 115”;</w:t>
      </w:r>
    </w:p>
    <w:p w:rsidR="003D288F" w:rsidRPr="00E73112" w:rsidRDefault="003D288F" w:rsidP="00ED2B3E">
      <w:pPr>
        <w:pStyle w:val="Default"/>
        <w:ind w:left="1440"/>
        <w:jc w:val="both"/>
        <w:rPr>
          <w:sz w:val="28"/>
          <w:szCs w:val="28"/>
        </w:rPr>
      </w:pPr>
    </w:p>
    <w:p w:rsidR="003D288F" w:rsidRPr="00E73112" w:rsidRDefault="003D288F" w:rsidP="00BF0BFF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E73112">
        <w:rPr>
          <w:sz w:val="28"/>
          <w:szCs w:val="28"/>
        </w:rPr>
        <w:t>izteikt 258.punktu šādā redakcijā:</w:t>
      </w:r>
    </w:p>
    <w:p w:rsidR="003D288F" w:rsidRPr="00E73112" w:rsidRDefault="003D288F" w:rsidP="009A0CD4">
      <w:pPr>
        <w:pStyle w:val="Default"/>
        <w:ind w:firstLine="709"/>
        <w:jc w:val="both"/>
        <w:rPr>
          <w:sz w:val="28"/>
          <w:szCs w:val="28"/>
        </w:rPr>
      </w:pPr>
      <w:r w:rsidRPr="00E73112">
        <w:rPr>
          <w:sz w:val="28"/>
          <w:szCs w:val="28"/>
        </w:rPr>
        <w:t xml:space="preserve">„258. Minimālais un maksimālais projekta finansējuma apjoms: Minimālā attiecināmo izmaksu kopsumma ir EUR 327 261. Maksimālā projekta attiecināmo izmaksu kopsumma ir EUR </w:t>
      </w:r>
      <w:r w:rsidR="006652EC" w:rsidRPr="00E73112">
        <w:rPr>
          <w:sz w:val="28"/>
          <w:szCs w:val="28"/>
        </w:rPr>
        <w:t>894 068</w:t>
      </w:r>
      <w:r w:rsidRPr="00E73112">
        <w:rPr>
          <w:sz w:val="28"/>
          <w:szCs w:val="28"/>
        </w:rPr>
        <w:t xml:space="preserve"> finansējuma saņēmējam, kuram deleģēta valsts politikas īstenošana bezdarba samazināšanas un bezdarbnieku, darba meklētāju un bezdarba riskam pakļauto personu atbalsta jomā un kurš veic darba tirgus īstermiņa prognozēšanu, un EUR </w:t>
      </w:r>
      <w:r w:rsidR="006652EC" w:rsidRPr="00E73112">
        <w:rPr>
          <w:sz w:val="28"/>
          <w:szCs w:val="28"/>
        </w:rPr>
        <w:t>336 988</w:t>
      </w:r>
      <w:r w:rsidRPr="00E73112">
        <w:rPr>
          <w:sz w:val="28"/>
          <w:szCs w:val="28"/>
        </w:rPr>
        <w:t xml:space="preserve"> finansējuma saņēmējam, kuram normatīvajos aktos deleģēta atbildība par darba tirgus vidēja un ilgtermiņa prognozēšanas sistēmas izveidi un uzturēšanu, darba tirgus konjun</w:t>
      </w:r>
      <w:r w:rsidR="000664CE" w:rsidRPr="00E73112">
        <w:rPr>
          <w:sz w:val="28"/>
          <w:szCs w:val="28"/>
        </w:rPr>
        <w:t>k</w:t>
      </w:r>
      <w:r w:rsidRPr="00E73112">
        <w:rPr>
          <w:sz w:val="28"/>
          <w:szCs w:val="28"/>
        </w:rPr>
        <w:t>tūras analīzi un prognozēšanu.”;</w:t>
      </w:r>
    </w:p>
    <w:p w:rsidR="003D288F" w:rsidRPr="00E73112" w:rsidRDefault="003D288F" w:rsidP="009D4593">
      <w:pPr>
        <w:pStyle w:val="Default"/>
        <w:ind w:left="1440"/>
        <w:jc w:val="both"/>
        <w:rPr>
          <w:sz w:val="28"/>
          <w:szCs w:val="28"/>
        </w:rPr>
      </w:pPr>
    </w:p>
    <w:p w:rsidR="003D288F" w:rsidRPr="00E73112" w:rsidRDefault="003D288F" w:rsidP="009D4593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E73112">
        <w:rPr>
          <w:sz w:val="28"/>
          <w:szCs w:val="28"/>
        </w:rPr>
        <w:t>izteikt 1.3.1.pasākuma „Nodarbinātība” tabulu „Finanšu plāns” šādā redakcijā:</w:t>
      </w:r>
    </w:p>
    <w:p w:rsidR="003D288F" w:rsidRPr="00E73112" w:rsidRDefault="003D288F" w:rsidP="007D2D62">
      <w:pPr>
        <w:pStyle w:val="Default"/>
        <w:jc w:val="center"/>
        <w:rPr>
          <w:b/>
          <w:bCs/>
          <w:sz w:val="28"/>
          <w:szCs w:val="28"/>
        </w:rPr>
      </w:pPr>
      <w:r w:rsidRPr="00E73112">
        <w:rPr>
          <w:b/>
          <w:bCs/>
          <w:sz w:val="28"/>
          <w:szCs w:val="28"/>
        </w:rPr>
        <w:t>„Finanšu plāns</w:t>
      </w:r>
    </w:p>
    <w:p w:rsidR="003D288F" w:rsidRDefault="003D288F" w:rsidP="007D2D62">
      <w:pPr>
        <w:pStyle w:val="Default"/>
        <w:jc w:val="both"/>
        <w:rPr>
          <w:sz w:val="26"/>
          <w:szCs w:val="26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278"/>
        <w:gridCol w:w="2842"/>
        <w:gridCol w:w="1202"/>
        <w:gridCol w:w="1333"/>
        <w:gridCol w:w="1202"/>
        <w:gridCol w:w="1202"/>
        <w:gridCol w:w="1291"/>
        <w:gridCol w:w="236"/>
        <w:gridCol w:w="189"/>
      </w:tblGrid>
      <w:tr w:rsidR="003D288F" w:rsidRPr="003244B8">
        <w:trPr>
          <w:gridBefore w:val="1"/>
          <w:gridAfter w:val="1"/>
          <w:wBefore w:w="6" w:type="dxa"/>
          <w:wAfter w:w="189" w:type="dxa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D288F" w:rsidRDefault="003D288F" w:rsidP="00D80457">
            <w:pPr>
              <w:tabs>
                <w:tab w:val="left" w:pos="851"/>
                <w:tab w:val="left" w:pos="993"/>
              </w:tabs>
              <w:rPr>
                <w:b/>
                <w:bCs/>
                <w:sz w:val="20"/>
                <w:szCs w:val="20"/>
              </w:rPr>
            </w:pPr>
          </w:p>
          <w:p w:rsidR="003D288F" w:rsidRPr="003244B8" w:rsidRDefault="003D288F" w:rsidP="003244B8">
            <w:pPr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„</w:t>
            </w:r>
          </w:p>
        </w:tc>
        <w:tc>
          <w:tcPr>
            <w:tcW w:w="2842" w:type="dxa"/>
            <w:vAlign w:val="center"/>
          </w:tcPr>
          <w:p w:rsidR="003D288F" w:rsidRPr="003244B8" w:rsidRDefault="003D288F" w:rsidP="00D80457">
            <w:pPr>
              <w:tabs>
                <w:tab w:val="left" w:pos="851"/>
                <w:tab w:val="left" w:pos="993"/>
              </w:tabs>
              <w:rPr>
                <w:b/>
                <w:bCs/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>Gads/Investīcijas joma</w:t>
            </w:r>
          </w:p>
        </w:tc>
        <w:tc>
          <w:tcPr>
            <w:tcW w:w="1202" w:type="dxa"/>
            <w:vAlign w:val="center"/>
          </w:tcPr>
          <w:p w:rsidR="003D288F" w:rsidRPr="003244B8" w:rsidRDefault="003D288F" w:rsidP="00D80457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>Kopā, EUR</w:t>
            </w:r>
          </w:p>
        </w:tc>
        <w:tc>
          <w:tcPr>
            <w:tcW w:w="1333" w:type="dxa"/>
            <w:vAlign w:val="center"/>
          </w:tcPr>
          <w:p w:rsidR="003D288F" w:rsidRPr="003244B8" w:rsidRDefault="003D288F" w:rsidP="00D80457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>Publiskais finansējums,</w:t>
            </w:r>
          </w:p>
          <w:p w:rsidR="003D288F" w:rsidRPr="003244B8" w:rsidRDefault="003D288F" w:rsidP="00D80457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202" w:type="dxa"/>
            <w:vAlign w:val="center"/>
          </w:tcPr>
          <w:p w:rsidR="003D288F" w:rsidRPr="003244B8" w:rsidRDefault="003D288F" w:rsidP="00D80457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>ESF,</w:t>
            </w:r>
          </w:p>
          <w:p w:rsidR="003D288F" w:rsidRPr="003244B8" w:rsidRDefault="003D288F" w:rsidP="00D80457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202" w:type="dxa"/>
            <w:vAlign w:val="center"/>
          </w:tcPr>
          <w:p w:rsidR="003D288F" w:rsidRPr="003244B8" w:rsidRDefault="003D288F" w:rsidP="00D80457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>Nacionālais publiskais finansējums, EUR</w:t>
            </w:r>
          </w:p>
        </w:tc>
        <w:tc>
          <w:tcPr>
            <w:tcW w:w="1291" w:type="dxa"/>
            <w:vAlign w:val="center"/>
          </w:tcPr>
          <w:p w:rsidR="003D288F" w:rsidRPr="003244B8" w:rsidRDefault="003D288F" w:rsidP="00D80457">
            <w:pPr>
              <w:tabs>
                <w:tab w:val="left" w:pos="851"/>
                <w:tab w:val="left" w:pos="993"/>
              </w:tabs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>Privātais finansējums,</w:t>
            </w:r>
          </w:p>
          <w:p w:rsidR="003D288F" w:rsidRPr="003244B8" w:rsidRDefault="003D288F" w:rsidP="00D80457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D288F" w:rsidRPr="003244B8" w:rsidRDefault="003D288F" w:rsidP="00D80457">
            <w:pPr>
              <w:tabs>
                <w:tab w:val="left" w:pos="851"/>
                <w:tab w:val="left" w:pos="993"/>
              </w:tabs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288F" w:rsidRPr="003244B8">
        <w:trPr>
          <w:gridBefore w:val="1"/>
          <w:gridAfter w:val="1"/>
          <w:wBefore w:w="6" w:type="dxa"/>
          <w:wAfter w:w="189" w:type="dxa"/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D288F" w:rsidRPr="003244B8" w:rsidRDefault="003D288F" w:rsidP="00D80457">
            <w:pPr>
              <w:tabs>
                <w:tab w:val="left" w:pos="851"/>
                <w:tab w:val="left" w:pos="993"/>
              </w:tabs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vAlign w:val="center"/>
          </w:tcPr>
          <w:p w:rsidR="003D288F" w:rsidRPr="003244B8" w:rsidRDefault="003D288F" w:rsidP="00D80457">
            <w:pPr>
              <w:tabs>
                <w:tab w:val="left" w:pos="851"/>
                <w:tab w:val="left" w:pos="993"/>
              </w:tabs>
              <w:ind w:firstLine="720"/>
              <w:rPr>
                <w:b/>
                <w:bCs/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2" w:type="dxa"/>
            <w:vAlign w:val="center"/>
          </w:tcPr>
          <w:p w:rsidR="003D288F" w:rsidRPr="003244B8" w:rsidRDefault="003D288F" w:rsidP="00D80457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1=2+5</w:t>
            </w:r>
          </w:p>
        </w:tc>
        <w:tc>
          <w:tcPr>
            <w:tcW w:w="1333" w:type="dxa"/>
            <w:vAlign w:val="center"/>
          </w:tcPr>
          <w:p w:rsidR="003D288F" w:rsidRPr="003244B8" w:rsidRDefault="003D288F" w:rsidP="00D80457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2=3+4</w:t>
            </w:r>
          </w:p>
        </w:tc>
        <w:tc>
          <w:tcPr>
            <w:tcW w:w="1202" w:type="dxa"/>
            <w:vAlign w:val="center"/>
          </w:tcPr>
          <w:p w:rsidR="003D288F" w:rsidRPr="003244B8" w:rsidRDefault="003D288F" w:rsidP="00D80457">
            <w:pPr>
              <w:tabs>
                <w:tab w:val="left" w:pos="851"/>
                <w:tab w:val="left" w:pos="993"/>
              </w:tabs>
              <w:ind w:firstLine="720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3</w:t>
            </w:r>
          </w:p>
        </w:tc>
        <w:tc>
          <w:tcPr>
            <w:tcW w:w="1202" w:type="dxa"/>
            <w:vAlign w:val="center"/>
          </w:tcPr>
          <w:p w:rsidR="003D288F" w:rsidRPr="003244B8" w:rsidRDefault="003D288F" w:rsidP="00D80457">
            <w:pPr>
              <w:tabs>
                <w:tab w:val="left" w:pos="851"/>
                <w:tab w:val="left" w:pos="993"/>
              </w:tabs>
              <w:ind w:firstLine="720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4</w:t>
            </w:r>
          </w:p>
        </w:tc>
        <w:tc>
          <w:tcPr>
            <w:tcW w:w="1291" w:type="dxa"/>
            <w:vAlign w:val="center"/>
          </w:tcPr>
          <w:p w:rsidR="003D288F" w:rsidRPr="003244B8" w:rsidRDefault="003D288F" w:rsidP="00D80457">
            <w:pPr>
              <w:tabs>
                <w:tab w:val="left" w:pos="851"/>
                <w:tab w:val="left" w:pos="993"/>
              </w:tabs>
              <w:ind w:firstLine="720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D288F" w:rsidRPr="003244B8" w:rsidRDefault="003D288F" w:rsidP="00D80457">
            <w:pPr>
              <w:tabs>
                <w:tab w:val="left" w:pos="851"/>
                <w:tab w:val="left" w:pos="993"/>
              </w:tabs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3D288F" w:rsidRPr="003244B8">
        <w:trPr>
          <w:gridBefore w:val="1"/>
          <w:gridAfter w:val="1"/>
          <w:wBefore w:w="6" w:type="dxa"/>
          <w:wAfter w:w="189" w:type="dxa"/>
          <w:trHeight w:val="301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D288F" w:rsidRPr="003244B8" w:rsidRDefault="003D288F" w:rsidP="00D804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</w:tcPr>
          <w:p w:rsidR="003D288F" w:rsidRPr="003806BF" w:rsidRDefault="003D288F" w:rsidP="00D80457">
            <w:pPr>
              <w:pStyle w:val="Default"/>
              <w:rPr>
                <w:sz w:val="20"/>
                <w:szCs w:val="20"/>
              </w:rPr>
            </w:pPr>
            <w:r w:rsidRPr="003806BF">
              <w:rPr>
                <w:b/>
                <w:bCs/>
                <w:sz w:val="20"/>
                <w:szCs w:val="20"/>
              </w:rPr>
              <w:t xml:space="preserve">1.3.1. Nodarbinātība </w:t>
            </w:r>
          </w:p>
        </w:tc>
        <w:tc>
          <w:tcPr>
            <w:tcW w:w="1202" w:type="dxa"/>
          </w:tcPr>
          <w:p w:rsidR="003D288F" w:rsidRPr="00C417C8" w:rsidRDefault="003D288F" w:rsidP="008A124D">
            <w:pPr>
              <w:pStyle w:val="Default"/>
              <w:ind w:left="-43"/>
              <w:jc w:val="center"/>
              <w:rPr>
                <w:sz w:val="20"/>
                <w:szCs w:val="20"/>
              </w:rPr>
            </w:pPr>
            <w:r w:rsidRPr="00C417C8">
              <w:rPr>
                <w:bCs/>
                <w:sz w:val="20"/>
                <w:szCs w:val="20"/>
              </w:rPr>
              <w:t>301 145 525</w:t>
            </w:r>
          </w:p>
        </w:tc>
        <w:tc>
          <w:tcPr>
            <w:tcW w:w="1333" w:type="dxa"/>
          </w:tcPr>
          <w:p w:rsidR="003D288F" w:rsidRPr="00C417C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C417C8">
              <w:rPr>
                <w:bCs/>
                <w:sz w:val="20"/>
                <w:szCs w:val="20"/>
              </w:rPr>
              <w:t>268 754 746</w:t>
            </w:r>
          </w:p>
        </w:tc>
        <w:tc>
          <w:tcPr>
            <w:tcW w:w="1202" w:type="dxa"/>
          </w:tcPr>
          <w:p w:rsidR="003D288F" w:rsidRPr="00C417C8" w:rsidRDefault="003D288F" w:rsidP="008A124D">
            <w:pPr>
              <w:pStyle w:val="Default"/>
              <w:ind w:left="-26"/>
              <w:jc w:val="center"/>
              <w:rPr>
                <w:sz w:val="20"/>
                <w:szCs w:val="20"/>
              </w:rPr>
            </w:pPr>
            <w:r w:rsidRPr="00C417C8">
              <w:rPr>
                <w:bCs/>
                <w:sz w:val="20"/>
                <w:szCs w:val="20"/>
              </w:rPr>
              <w:t>236 865 098</w:t>
            </w:r>
          </w:p>
        </w:tc>
        <w:tc>
          <w:tcPr>
            <w:tcW w:w="1202" w:type="dxa"/>
          </w:tcPr>
          <w:p w:rsidR="003D288F" w:rsidRPr="00C417C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C417C8">
              <w:rPr>
                <w:bCs/>
                <w:sz w:val="20"/>
                <w:szCs w:val="20"/>
              </w:rPr>
              <w:t>31 889 648</w:t>
            </w:r>
          </w:p>
        </w:tc>
        <w:tc>
          <w:tcPr>
            <w:tcW w:w="1291" w:type="dxa"/>
          </w:tcPr>
          <w:p w:rsidR="003D288F" w:rsidRPr="00C417C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C417C8">
              <w:rPr>
                <w:bCs/>
                <w:sz w:val="20"/>
                <w:szCs w:val="20"/>
              </w:rPr>
              <w:t>32 390 779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D288F" w:rsidRPr="003244B8" w:rsidRDefault="003D288F" w:rsidP="00D8045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288F" w:rsidRPr="003244B8">
        <w:trPr>
          <w:gridBefore w:val="1"/>
          <w:gridAfter w:val="1"/>
          <w:wBefore w:w="6" w:type="dxa"/>
          <w:wAfter w:w="189" w:type="dxa"/>
          <w:trHeight w:val="760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D288F" w:rsidRPr="003244B8" w:rsidRDefault="003D288F" w:rsidP="00D804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</w:tcPr>
          <w:p w:rsidR="003D288F" w:rsidRPr="003244B8" w:rsidRDefault="003D288F" w:rsidP="00D80457">
            <w:pPr>
              <w:pStyle w:val="Default"/>
              <w:rPr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 xml:space="preserve">1.3.1.1. Darbspējas vecuma iedzīvotāju konkurētspējas paaugstināšana darba tirgū, t.sk. nodarbināto pārkvalifikācija un aktīvie nodarbinātības pasākumi </w:t>
            </w:r>
          </w:p>
        </w:tc>
        <w:tc>
          <w:tcPr>
            <w:tcW w:w="1202" w:type="dxa"/>
          </w:tcPr>
          <w:p w:rsidR="003D288F" w:rsidRPr="00C417C8" w:rsidRDefault="003D288F" w:rsidP="00C3671D">
            <w:pPr>
              <w:pStyle w:val="Default"/>
              <w:ind w:left="-43"/>
              <w:jc w:val="center"/>
              <w:rPr>
                <w:bCs/>
                <w:sz w:val="20"/>
                <w:szCs w:val="20"/>
              </w:rPr>
            </w:pPr>
            <w:r w:rsidRPr="00C417C8">
              <w:rPr>
                <w:bCs/>
                <w:sz w:val="20"/>
                <w:szCs w:val="20"/>
              </w:rPr>
              <w:t>17</w:t>
            </w:r>
            <w:r w:rsidR="00C3671D">
              <w:rPr>
                <w:bCs/>
                <w:sz w:val="20"/>
                <w:szCs w:val="20"/>
              </w:rPr>
              <w:t>3 792 794</w:t>
            </w:r>
          </w:p>
        </w:tc>
        <w:tc>
          <w:tcPr>
            <w:tcW w:w="1333" w:type="dxa"/>
          </w:tcPr>
          <w:p w:rsidR="003D288F" w:rsidRPr="00C417C8" w:rsidRDefault="003D288F" w:rsidP="00C3671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C417C8">
              <w:rPr>
                <w:bCs/>
                <w:sz w:val="20"/>
                <w:szCs w:val="20"/>
              </w:rPr>
              <w:t>15</w:t>
            </w:r>
            <w:r w:rsidR="00C3671D">
              <w:rPr>
                <w:bCs/>
                <w:sz w:val="20"/>
                <w:szCs w:val="20"/>
              </w:rPr>
              <w:t>2 326 207</w:t>
            </w:r>
          </w:p>
        </w:tc>
        <w:tc>
          <w:tcPr>
            <w:tcW w:w="1202" w:type="dxa"/>
          </w:tcPr>
          <w:p w:rsidR="003D288F" w:rsidRPr="00C417C8" w:rsidRDefault="003D288F" w:rsidP="00C3671D">
            <w:pPr>
              <w:pStyle w:val="Default"/>
              <w:ind w:left="-26"/>
              <w:jc w:val="center"/>
              <w:rPr>
                <w:bCs/>
                <w:sz w:val="20"/>
                <w:szCs w:val="20"/>
              </w:rPr>
            </w:pPr>
            <w:r w:rsidRPr="00C417C8">
              <w:rPr>
                <w:bCs/>
                <w:sz w:val="20"/>
                <w:szCs w:val="20"/>
              </w:rPr>
              <w:t>14</w:t>
            </w:r>
            <w:r w:rsidR="00C3671D">
              <w:rPr>
                <w:bCs/>
                <w:sz w:val="20"/>
                <w:szCs w:val="20"/>
              </w:rPr>
              <w:t>1 763 254</w:t>
            </w:r>
          </w:p>
        </w:tc>
        <w:tc>
          <w:tcPr>
            <w:tcW w:w="1202" w:type="dxa"/>
          </w:tcPr>
          <w:p w:rsidR="003D288F" w:rsidRPr="00C417C8" w:rsidRDefault="003D288F" w:rsidP="00C3671D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C417C8">
              <w:rPr>
                <w:bCs/>
                <w:sz w:val="20"/>
                <w:szCs w:val="20"/>
              </w:rPr>
              <w:t>10</w:t>
            </w:r>
            <w:r w:rsidR="00C3671D">
              <w:rPr>
                <w:bCs/>
                <w:sz w:val="20"/>
                <w:szCs w:val="20"/>
              </w:rPr>
              <w:t> 562 953</w:t>
            </w:r>
          </w:p>
        </w:tc>
        <w:tc>
          <w:tcPr>
            <w:tcW w:w="1291" w:type="dxa"/>
          </w:tcPr>
          <w:p w:rsidR="003D288F" w:rsidRPr="00C417C8" w:rsidRDefault="003D288F" w:rsidP="00D8045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C417C8">
              <w:rPr>
                <w:bCs/>
                <w:sz w:val="20"/>
                <w:szCs w:val="20"/>
              </w:rPr>
              <w:t>21 466 587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D288F" w:rsidRPr="003244B8" w:rsidRDefault="003D288F" w:rsidP="00D8045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288F" w:rsidRPr="003244B8">
        <w:trPr>
          <w:gridBefore w:val="1"/>
          <w:gridAfter w:val="1"/>
          <w:wBefore w:w="6" w:type="dxa"/>
          <w:wAfter w:w="189" w:type="dxa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D288F" w:rsidRPr="003244B8" w:rsidRDefault="003D288F" w:rsidP="00D804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</w:tcPr>
          <w:p w:rsidR="003D288F" w:rsidRPr="003244B8" w:rsidRDefault="003D288F" w:rsidP="00D80457">
            <w:pPr>
              <w:pStyle w:val="Default"/>
              <w:rPr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 xml:space="preserve">1.3.1.1.1. Atbalsts nodarbināto apmācībām komersantu konkurētspējas veicināšanai - atbalsts partnerībās organizētām apmācībām </w:t>
            </w:r>
          </w:p>
        </w:tc>
        <w:tc>
          <w:tcPr>
            <w:tcW w:w="1202" w:type="dxa"/>
          </w:tcPr>
          <w:p w:rsidR="003D288F" w:rsidRPr="003244B8" w:rsidRDefault="003D288F" w:rsidP="00FF6C53">
            <w:pPr>
              <w:pStyle w:val="Default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47</w:t>
            </w:r>
            <w:r w:rsidR="00FF6C53">
              <w:rPr>
                <w:sz w:val="20"/>
                <w:szCs w:val="20"/>
              </w:rPr>
              <w:t> 371 298</w:t>
            </w:r>
          </w:p>
        </w:tc>
        <w:tc>
          <w:tcPr>
            <w:tcW w:w="1333" w:type="dxa"/>
          </w:tcPr>
          <w:p w:rsidR="003D288F" w:rsidRPr="003244B8" w:rsidRDefault="003D288F" w:rsidP="00FF6C53">
            <w:pPr>
              <w:pStyle w:val="Default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31</w:t>
            </w:r>
            <w:r w:rsidR="00FF6C53">
              <w:rPr>
                <w:sz w:val="20"/>
                <w:szCs w:val="20"/>
              </w:rPr>
              <w:t> 689 578</w:t>
            </w:r>
          </w:p>
        </w:tc>
        <w:tc>
          <w:tcPr>
            <w:tcW w:w="1202" w:type="dxa"/>
          </w:tcPr>
          <w:p w:rsidR="003D288F" w:rsidRPr="003244B8" w:rsidRDefault="00FF6C53" w:rsidP="00D804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30 896 185</w:t>
            </w:r>
          </w:p>
        </w:tc>
        <w:tc>
          <w:tcPr>
            <w:tcW w:w="1202" w:type="dxa"/>
          </w:tcPr>
          <w:p w:rsidR="003D288F" w:rsidRPr="003244B8" w:rsidRDefault="00FF6C53" w:rsidP="00D804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793 393</w:t>
            </w:r>
          </w:p>
        </w:tc>
        <w:tc>
          <w:tcPr>
            <w:tcW w:w="1291" w:type="dxa"/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15 681 720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D288F" w:rsidRPr="003244B8">
        <w:trPr>
          <w:gridBefore w:val="1"/>
          <w:gridAfter w:val="1"/>
          <w:wBefore w:w="6" w:type="dxa"/>
          <w:wAfter w:w="189" w:type="dxa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D288F" w:rsidRPr="003244B8" w:rsidRDefault="003D288F" w:rsidP="00D804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</w:tcPr>
          <w:p w:rsidR="003D288F" w:rsidRPr="003244B8" w:rsidRDefault="003D288F" w:rsidP="00D80457">
            <w:pPr>
              <w:pStyle w:val="Default"/>
              <w:rPr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 xml:space="preserve">1.3.1.1.3. Bezdarbnieku un darba meklētāju apmācība </w:t>
            </w:r>
          </w:p>
        </w:tc>
        <w:tc>
          <w:tcPr>
            <w:tcW w:w="1202" w:type="dxa"/>
          </w:tcPr>
          <w:p w:rsidR="003D288F" w:rsidRPr="003244B8" w:rsidRDefault="003D288F" w:rsidP="008A124D">
            <w:pPr>
              <w:pStyle w:val="Default"/>
              <w:ind w:left="-185" w:right="-105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107 869 176</w:t>
            </w:r>
          </w:p>
        </w:tc>
        <w:tc>
          <w:tcPr>
            <w:tcW w:w="1333" w:type="dxa"/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107 869 176</w:t>
            </w:r>
          </w:p>
        </w:tc>
        <w:tc>
          <w:tcPr>
            <w:tcW w:w="1202" w:type="dxa"/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99 432 869</w:t>
            </w:r>
          </w:p>
        </w:tc>
        <w:tc>
          <w:tcPr>
            <w:tcW w:w="1202" w:type="dxa"/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8 436 307</w:t>
            </w:r>
          </w:p>
        </w:tc>
        <w:tc>
          <w:tcPr>
            <w:tcW w:w="1291" w:type="dxa"/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D288F" w:rsidRPr="003244B8">
        <w:trPr>
          <w:gridBefore w:val="1"/>
          <w:gridAfter w:val="1"/>
          <w:wBefore w:w="6" w:type="dxa"/>
          <w:wAfter w:w="189" w:type="dxa"/>
          <w:trHeight w:val="1134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D288F" w:rsidRPr="003244B8" w:rsidRDefault="003D288F" w:rsidP="00D804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</w:tcPr>
          <w:p w:rsidR="003D288F" w:rsidRPr="003244B8" w:rsidRDefault="003D288F" w:rsidP="00D80457">
            <w:pPr>
              <w:pStyle w:val="Default"/>
              <w:rPr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 xml:space="preserve">1.3.1.1.4. Atbalsts nodarbināto apmācībām komersantu konkurētspējas veicināšanai - atbalsts komersantu individuāli organizētām apmācībām </w:t>
            </w:r>
          </w:p>
        </w:tc>
        <w:tc>
          <w:tcPr>
            <w:tcW w:w="1202" w:type="dxa"/>
          </w:tcPr>
          <w:p w:rsidR="003D288F" w:rsidRPr="003244B8" w:rsidRDefault="003D288F" w:rsidP="000D7C2A">
            <w:pPr>
              <w:pStyle w:val="Default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4</w:t>
            </w:r>
            <w:r w:rsidR="000D7C2A">
              <w:rPr>
                <w:sz w:val="20"/>
                <w:szCs w:val="20"/>
              </w:rPr>
              <w:t> 312 555</w:t>
            </w:r>
          </w:p>
        </w:tc>
        <w:tc>
          <w:tcPr>
            <w:tcW w:w="1333" w:type="dxa"/>
          </w:tcPr>
          <w:p w:rsidR="003D288F" w:rsidRPr="003244B8" w:rsidRDefault="000D7C2A" w:rsidP="00D804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2 796 304</w:t>
            </w:r>
          </w:p>
        </w:tc>
        <w:tc>
          <w:tcPr>
            <w:tcW w:w="1202" w:type="dxa"/>
          </w:tcPr>
          <w:p w:rsidR="003D288F" w:rsidRPr="003244B8" w:rsidRDefault="000D7C2A" w:rsidP="00D804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2 796 304</w:t>
            </w:r>
          </w:p>
        </w:tc>
        <w:tc>
          <w:tcPr>
            <w:tcW w:w="1202" w:type="dxa"/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1 516 251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D288F" w:rsidRPr="003244B8">
        <w:trPr>
          <w:gridBefore w:val="1"/>
          <w:gridAfter w:val="1"/>
          <w:wBefore w:w="6" w:type="dxa"/>
          <w:wAfter w:w="189" w:type="dxa"/>
          <w:trHeight w:val="812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D288F" w:rsidRPr="003244B8" w:rsidRDefault="003D288F" w:rsidP="00D804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</w:tcPr>
          <w:p w:rsidR="003D288F" w:rsidRPr="003244B8" w:rsidRDefault="003D288F" w:rsidP="00D80457">
            <w:pPr>
              <w:pStyle w:val="Default"/>
              <w:rPr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 xml:space="preserve">1.3.1.1.5. Atbalsts bezdarba riskam pakļauto personu apmācībai </w:t>
            </w:r>
          </w:p>
        </w:tc>
        <w:tc>
          <w:tcPr>
            <w:tcW w:w="1202" w:type="dxa"/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5 702 533</w:t>
            </w:r>
          </w:p>
        </w:tc>
        <w:tc>
          <w:tcPr>
            <w:tcW w:w="1333" w:type="dxa"/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5 702 533</w:t>
            </w:r>
          </w:p>
        </w:tc>
        <w:tc>
          <w:tcPr>
            <w:tcW w:w="1202" w:type="dxa"/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4 369 280</w:t>
            </w:r>
          </w:p>
        </w:tc>
        <w:tc>
          <w:tcPr>
            <w:tcW w:w="1202" w:type="dxa"/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1 333 253</w:t>
            </w:r>
          </w:p>
        </w:tc>
        <w:tc>
          <w:tcPr>
            <w:tcW w:w="1291" w:type="dxa"/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D288F" w:rsidRPr="003244B8">
        <w:trPr>
          <w:gridBefore w:val="1"/>
          <w:gridAfter w:val="1"/>
          <w:wBefore w:w="6" w:type="dxa"/>
          <w:wAfter w:w="189" w:type="dxa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D288F" w:rsidRPr="003244B8" w:rsidRDefault="003D288F" w:rsidP="00D804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</w:tcPr>
          <w:p w:rsidR="003D288F" w:rsidRPr="003244B8" w:rsidRDefault="003D288F" w:rsidP="00D80457">
            <w:pPr>
              <w:pStyle w:val="Default"/>
              <w:rPr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 xml:space="preserve">1.3.1.1.6. Atbalsts darba vietu radīšanai </w:t>
            </w:r>
          </w:p>
        </w:tc>
        <w:tc>
          <w:tcPr>
            <w:tcW w:w="1202" w:type="dxa"/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8 537 232</w:t>
            </w:r>
          </w:p>
        </w:tc>
        <w:tc>
          <w:tcPr>
            <w:tcW w:w="1333" w:type="dxa"/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4 268 616</w:t>
            </w:r>
          </w:p>
        </w:tc>
        <w:tc>
          <w:tcPr>
            <w:tcW w:w="1202" w:type="dxa"/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4 268 616</w:t>
            </w:r>
          </w:p>
        </w:tc>
        <w:tc>
          <w:tcPr>
            <w:tcW w:w="1202" w:type="dxa"/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0</w:t>
            </w:r>
          </w:p>
        </w:tc>
        <w:tc>
          <w:tcPr>
            <w:tcW w:w="1291" w:type="dxa"/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4 268 616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D288F" w:rsidRPr="003806BF">
        <w:trPr>
          <w:gridBefore w:val="1"/>
          <w:gridAfter w:val="1"/>
          <w:wBefore w:w="6" w:type="dxa"/>
          <w:wAfter w:w="189" w:type="dxa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D288F" w:rsidRPr="003244B8" w:rsidRDefault="003D288F" w:rsidP="00D804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</w:tcPr>
          <w:p w:rsidR="003D288F" w:rsidRPr="003244B8" w:rsidRDefault="003D288F" w:rsidP="00D80457">
            <w:pPr>
              <w:pStyle w:val="Default"/>
              <w:rPr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 xml:space="preserve">1.3.1.2. Atbalsts pašnodarbinātības un uzņēmējdarbības uzsākšanai </w:t>
            </w:r>
          </w:p>
        </w:tc>
        <w:tc>
          <w:tcPr>
            <w:tcW w:w="1202" w:type="dxa"/>
          </w:tcPr>
          <w:p w:rsidR="003D288F" w:rsidRPr="003806BF" w:rsidRDefault="003D288F" w:rsidP="001D74D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806BF">
              <w:rPr>
                <w:bCs/>
                <w:sz w:val="20"/>
                <w:szCs w:val="20"/>
              </w:rPr>
              <w:t>2</w:t>
            </w:r>
            <w:r w:rsidR="001D74D3">
              <w:rPr>
                <w:bCs/>
                <w:sz w:val="20"/>
                <w:szCs w:val="20"/>
              </w:rPr>
              <w:t>5 806 681</w:t>
            </w:r>
          </w:p>
        </w:tc>
        <w:tc>
          <w:tcPr>
            <w:tcW w:w="1333" w:type="dxa"/>
          </w:tcPr>
          <w:p w:rsidR="003D288F" w:rsidRPr="003806BF" w:rsidRDefault="003D288F" w:rsidP="001D74D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806BF">
              <w:rPr>
                <w:bCs/>
                <w:sz w:val="20"/>
                <w:szCs w:val="20"/>
              </w:rPr>
              <w:t>1</w:t>
            </w:r>
            <w:r w:rsidR="001D74D3">
              <w:rPr>
                <w:bCs/>
                <w:sz w:val="20"/>
                <w:szCs w:val="20"/>
              </w:rPr>
              <w:t>5 079 470</w:t>
            </w:r>
          </w:p>
        </w:tc>
        <w:tc>
          <w:tcPr>
            <w:tcW w:w="1202" w:type="dxa"/>
          </w:tcPr>
          <w:p w:rsidR="003D288F" w:rsidRPr="003806BF" w:rsidRDefault="003D288F" w:rsidP="001D74D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806BF">
              <w:rPr>
                <w:bCs/>
                <w:sz w:val="20"/>
                <w:szCs w:val="20"/>
              </w:rPr>
              <w:t>12</w:t>
            </w:r>
            <w:r w:rsidR="001D74D3">
              <w:rPr>
                <w:bCs/>
                <w:sz w:val="20"/>
                <w:szCs w:val="20"/>
              </w:rPr>
              <w:t> 817 551</w:t>
            </w:r>
          </w:p>
        </w:tc>
        <w:tc>
          <w:tcPr>
            <w:tcW w:w="1202" w:type="dxa"/>
          </w:tcPr>
          <w:p w:rsidR="003D288F" w:rsidRPr="003806BF" w:rsidRDefault="003D288F" w:rsidP="001D74D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806BF">
              <w:rPr>
                <w:bCs/>
                <w:sz w:val="20"/>
                <w:szCs w:val="20"/>
              </w:rPr>
              <w:t>2</w:t>
            </w:r>
            <w:r w:rsidR="001D74D3">
              <w:rPr>
                <w:bCs/>
                <w:sz w:val="20"/>
                <w:szCs w:val="20"/>
              </w:rPr>
              <w:t> 261 919</w:t>
            </w:r>
          </w:p>
        </w:tc>
        <w:tc>
          <w:tcPr>
            <w:tcW w:w="1291" w:type="dxa"/>
          </w:tcPr>
          <w:p w:rsidR="003D288F" w:rsidRPr="003806BF" w:rsidRDefault="003D288F" w:rsidP="00D8045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3806BF">
              <w:rPr>
                <w:bCs/>
                <w:sz w:val="20"/>
                <w:szCs w:val="20"/>
              </w:rPr>
              <w:t>10 727 211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D288F" w:rsidRPr="003806BF" w:rsidRDefault="003D288F" w:rsidP="00D80457">
            <w:pPr>
              <w:pStyle w:val="Default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3D288F" w:rsidRPr="003244B8">
        <w:trPr>
          <w:gridBefore w:val="1"/>
          <w:gridAfter w:val="1"/>
          <w:wBefore w:w="6" w:type="dxa"/>
          <w:wAfter w:w="189" w:type="dxa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D288F" w:rsidRPr="003244B8" w:rsidRDefault="003D288F" w:rsidP="00D804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</w:tcPr>
          <w:p w:rsidR="003D288F" w:rsidRPr="003244B8" w:rsidRDefault="003D288F" w:rsidP="00D80457">
            <w:pPr>
              <w:pStyle w:val="Default"/>
              <w:rPr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 xml:space="preserve">1.3.1.3. Darba attiecību un darba drošības normatīvo aktu praktiska piemērošana un uzraudzības pilnveidošana </w:t>
            </w:r>
          </w:p>
        </w:tc>
        <w:tc>
          <w:tcPr>
            <w:tcW w:w="1202" w:type="dxa"/>
          </w:tcPr>
          <w:p w:rsidR="003D288F" w:rsidRPr="009B1A86" w:rsidRDefault="003D288F" w:rsidP="008C3AA6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10</w:t>
            </w:r>
            <w:r w:rsidR="008C3AA6" w:rsidRPr="009B1A86">
              <w:rPr>
                <w:bCs/>
                <w:sz w:val="20"/>
                <w:szCs w:val="20"/>
              </w:rPr>
              <w:t> 093 438</w:t>
            </w:r>
          </w:p>
        </w:tc>
        <w:tc>
          <w:tcPr>
            <w:tcW w:w="1333" w:type="dxa"/>
          </w:tcPr>
          <w:p w:rsidR="003D288F" w:rsidRPr="009B1A86" w:rsidRDefault="003D288F" w:rsidP="008C3AA6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10</w:t>
            </w:r>
            <w:r w:rsidR="008C3AA6" w:rsidRPr="009B1A86">
              <w:rPr>
                <w:bCs/>
                <w:sz w:val="20"/>
                <w:szCs w:val="20"/>
              </w:rPr>
              <w:t> 093 438</w:t>
            </w:r>
          </w:p>
        </w:tc>
        <w:tc>
          <w:tcPr>
            <w:tcW w:w="1202" w:type="dxa"/>
          </w:tcPr>
          <w:p w:rsidR="003D288F" w:rsidRPr="009B1A86" w:rsidRDefault="003D288F" w:rsidP="008C3AA6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8</w:t>
            </w:r>
            <w:r w:rsidR="00115629" w:rsidRPr="009B1A86">
              <w:rPr>
                <w:bCs/>
                <w:sz w:val="20"/>
                <w:szCs w:val="20"/>
              </w:rPr>
              <w:t> </w:t>
            </w:r>
            <w:r w:rsidR="008C3AA6" w:rsidRPr="009B1A86">
              <w:rPr>
                <w:bCs/>
                <w:sz w:val="20"/>
                <w:szCs w:val="20"/>
              </w:rPr>
              <w:t>579421</w:t>
            </w:r>
          </w:p>
        </w:tc>
        <w:tc>
          <w:tcPr>
            <w:tcW w:w="1202" w:type="dxa"/>
          </w:tcPr>
          <w:p w:rsidR="003D288F" w:rsidRPr="001A1637" w:rsidRDefault="003D288F" w:rsidP="001A163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1 5</w:t>
            </w:r>
            <w:r w:rsidR="008C3AA6" w:rsidRPr="009B1A86">
              <w:rPr>
                <w:bCs/>
                <w:sz w:val="20"/>
                <w:szCs w:val="20"/>
              </w:rPr>
              <w:t>14 017</w:t>
            </w:r>
          </w:p>
        </w:tc>
        <w:tc>
          <w:tcPr>
            <w:tcW w:w="1291" w:type="dxa"/>
          </w:tcPr>
          <w:p w:rsidR="003D288F" w:rsidRPr="00115629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806B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D288F" w:rsidRPr="003244B8" w:rsidRDefault="003D288F" w:rsidP="00D8045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288F" w:rsidRPr="003244B8">
        <w:trPr>
          <w:gridBefore w:val="1"/>
          <w:gridAfter w:val="1"/>
          <w:wBefore w:w="6" w:type="dxa"/>
          <w:wAfter w:w="189" w:type="dxa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D288F" w:rsidRPr="003244B8" w:rsidRDefault="003D288F" w:rsidP="00D804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</w:tcPr>
          <w:p w:rsidR="003D288F" w:rsidRPr="003244B8" w:rsidRDefault="003D288F" w:rsidP="00D80457">
            <w:pPr>
              <w:pStyle w:val="Default"/>
              <w:rPr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 xml:space="preserve">1.3.1.3.1. Darba attiecību un darba drošības normatīvo aktu uzraudzības pilnveidošana </w:t>
            </w:r>
          </w:p>
        </w:tc>
        <w:tc>
          <w:tcPr>
            <w:tcW w:w="1202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sz w:val="20"/>
                <w:szCs w:val="20"/>
              </w:rPr>
              <w:t>870 026</w:t>
            </w:r>
          </w:p>
        </w:tc>
        <w:tc>
          <w:tcPr>
            <w:tcW w:w="1333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sz w:val="20"/>
                <w:szCs w:val="20"/>
              </w:rPr>
              <w:t>870 026</w:t>
            </w:r>
          </w:p>
        </w:tc>
        <w:tc>
          <w:tcPr>
            <w:tcW w:w="1202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sz w:val="20"/>
                <w:szCs w:val="20"/>
              </w:rPr>
              <w:t>739 521</w:t>
            </w:r>
          </w:p>
        </w:tc>
        <w:tc>
          <w:tcPr>
            <w:tcW w:w="1202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sz w:val="20"/>
                <w:szCs w:val="20"/>
              </w:rPr>
              <w:t>130 505</w:t>
            </w:r>
          </w:p>
        </w:tc>
        <w:tc>
          <w:tcPr>
            <w:tcW w:w="1291" w:type="dxa"/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D288F" w:rsidRPr="003244B8">
        <w:trPr>
          <w:gridBefore w:val="1"/>
          <w:gridAfter w:val="1"/>
          <w:wBefore w:w="6" w:type="dxa"/>
          <w:wAfter w:w="189" w:type="dxa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D288F" w:rsidRPr="003244B8" w:rsidRDefault="003D288F" w:rsidP="00D804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</w:tcPr>
          <w:p w:rsidR="003D288F" w:rsidRPr="003244B8" w:rsidRDefault="003D288F" w:rsidP="00D80457">
            <w:pPr>
              <w:pStyle w:val="Default"/>
              <w:rPr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 xml:space="preserve">1.3.1.3.2. Darba attiecību un darba drošības normatīvo aktu praktiska piemērošana nozarēs un uzņēmumos </w:t>
            </w:r>
          </w:p>
        </w:tc>
        <w:tc>
          <w:tcPr>
            <w:tcW w:w="1202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sz w:val="20"/>
                <w:szCs w:val="20"/>
              </w:rPr>
              <w:t>9 223 412</w:t>
            </w:r>
          </w:p>
        </w:tc>
        <w:tc>
          <w:tcPr>
            <w:tcW w:w="1333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sz w:val="20"/>
                <w:szCs w:val="20"/>
              </w:rPr>
              <w:t>9 223 412</w:t>
            </w:r>
          </w:p>
        </w:tc>
        <w:tc>
          <w:tcPr>
            <w:tcW w:w="1202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sz w:val="20"/>
                <w:szCs w:val="20"/>
              </w:rPr>
              <w:t>7 839 900</w:t>
            </w:r>
          </w:p>
        </w:tc>
        <w:tc>
          <w:tcPr>
            <w:tcW w:w="1202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sz w:val="20"/>
                <w:szCs w:val="20"/>
              </w:rPr>
              <w:t>1 383 512</w:t>
            </w:r>
          </w:p>
        </w:tc>
        <w:tc>
          <w:tcPr>
            <w:tcW w:w="1291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3D288F" w:rsidRPr="003244B8"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3D288F" w:rsidRPr="003244B8" w:rsidRDefault="003D288F" w:rsidP="00D804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</w:tcPr>
          <w:p w:rsidR="003D288F" w:rsidRPr="003244B8" w:rsidRDefault="003D288F" w:rsidP="00D80457">
            <w:pPr>
              <w:pStyle w:val="Default"/>
              <w:rPr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 xml:space="preserve">1.3.1.4. Kapacitātes stiprināšana darba tirgus institūcijām </w:t>
            </w:r>
          </w:p>
        </w:tc>
        <w:tc>
          <w:tcPr>
            <w:tcW w:w="1202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3 449 855</w:t>
            </w:r>
          </w:p>
        </w:tc>
        <w:tc>
          <w:tcPr>
            <w:tcW w:w="1333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3 449 855</w:t>
            </w:r>
          </w:p>
        </w:tc>
        <w:tc>
          <w:tcPr>
            <w:tcW w:w="1202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2 932 167</w:t>
            </w:r>
          </w:p>
        </w:tc>
        <w:tc>
          <w:tcPr>
            <w:tcW w:w="1202" w:type="dxa"/>
          </w:tcPr>
          <w:p w:rsidR="003D288F" w:rsidRPr="009B1A86" w:rsidRDefault="003D288F" w:rsidP="000F1432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517 688</w:t>
            </w:r>
          </w:p>
        </w:tc>
        <w:tc>
          <w:tcPr>
            <w:tcW w:w="1291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nil"/>
              <w:bottom w:val="nil"/>
              <w:right w:val="nil"/>
            </w:tcBorders>
          </w:tcPr>
          <w:p w:rsidR="003D288F" w:rsidRPr="003244B8" w:rsidRDefault="003D288F" w:rsidP="00D8045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288F" w:rsidRPr="003244B8">
        <w:trPr>
          <w:gridBefore w:val="1"/>
          <w:gridAfter w:val="1"/>
          <w:wBefore w:w="6" w:type="dxa"/>
          <w:wAfter w:w="189" w:type="dxa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D288F" w:rsidRPr="003244B8" w:rsidRDefault="003D288F" w:rsidP="00D804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</w:tcPr>
          <w:p w:rsidR="003D288F" w:rsidRPr="003244B8" w:rsidRDefault="003D288F" w:rsidP="00D80457">
            <w:pPr>
              <w:pStyle w:val="Default"/>
              <w:rPr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 xml:space="preserve">1.3.1.5. Vietējo nodarbinātības veicināšanas pasākumu plānu ieviešanas atbalsts </w:t>
            </w:r>
          </w:p>
        </w:tc>
        <w:tc>
          <w:tcPr>
            <w:tcW w:w="1202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86 423 479</w:t>
            </w:r>
          </w:p>
        </w:tc>
        <w:tc>
          <w:tcPr>
            <w:tcW w:w="1333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86 423 479</w:t>
            </w:r>
          </w:p>
        </w:tc>
        <w:tc>
          <w:tcPr>
            <w:tcW w:w="1202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69 575 067</w:t>
            </w:r>
          </w:p>
        </w:tc>
        <w:tc>
          <w:tcPr>
            <w:tcW w:w="1202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16 848 412</w:t>
            </w:r>
          </w:p>
        </w:tc>
        <w:tc>
          <w:tcPr>
            <w:tcW w:w="1291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D288F" w:rsidRPr="003244B8" w:rsidRDefault="003D288F" w:rsidP="00D8045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288F" w:rsidRPr="003244B8">
        <w:trPr>
          <w:gridBefore w:val="1"/>
          <w:gridAfter w:val="1"/>
          <w:wBefore w:w="6" w:type="dxa"/>
          <w:wAfter w:w="189" w:type="dxa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D288F" w:rsidRPr="003244B8" w:rsidRDefault="003D288F" w:rsidP="00D804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</w:tcPr>
          <w:p w:rsidR="003D288F" w:rsidRPr="003244B8" w:rsidRDefault="003D288F" w:rsidP="00D80457">
            <w:pPr>
              <w:pStyle w:val="Default"/>
              <w:rPr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 xml:space="preserve">1.3.1.6. Atbalsts dzimumu līdztiesības veicināšanai darba tirgū </w:t>
            </w:r>
          </w:p>
        </w:tc>
        <w:tc>
          <w:tcPr>
            <w:tcW w:w="1202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D288F" w:rsidRPr="003244B8" w:rsidRDefault="003D288F" w:rsidP="00D8045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288F" w:rsidRPr="003244B8">
        <w:trPr>
          <w:gridBefore w:val="1"/>
          <w:gridAfter w:val="1"/>
          <w:wBefore w:w="6" w:type="dxa"/>
          <w:wAfter w:w="189" w:type="dxa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D288F" w:rsidRPr="003244B8" w:rsidRDefault="003D288F" w:rsidP="00D804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</w:tcPr>
          <w:p w:rsidR="003D288F" w:rsidRPr="003244B8" w:rsidRDefault="003D288F" w:rsidP="00D80457">
            <w:pPr>
              <w:pStyle w:val="Default"/>
              <w:rPr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 xml:space="preserve">1.3.1.7. Darba tirgus pieprasījuma īstermiņa un ilgtermiņa prognozēšanas un uzraudzības sistēmas attīstība </w:t>
            </w:r>
          </w:p>
        </w:tc>
        <w:tc>
          <w:tcPr>
            <w:tcW w:w="1202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1 231 056</w:t>
            </w:r>
          </w:p>
        </w:tc>
        <w:tc>
          <w:tcPr>
            <w:tcW w:w="1333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1 231 056</w:t>
            </w:r>
          </w:p>
        </w:tc>
        <w:tc>
          <w:tcPr>
            <w:tcW w:w="1202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1 046 397</w:t>
            </w:r>
          </w:p>
        </w:tc>
        <w:tc>
          <w:tcPr>
            <w:tcW w:w="1202" w:type="dxa"/>
          </w:tcPr>
          <w:p w:rsidR="003D288F" w:rsidRPr="009B1A86" w:rsidRDefault="003D288F" w:rsidP="001A163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184 659</w:t>
            </w:r>
          </w:p>
        </w:tc>
        <w:tc>
          <w:tcPr>
            <w:tcW w:w="1291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D288F" w:rsidRPr="003244B8" w:rsidRDefault="003D288F" w:rsidP="00D8045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288F" w:rsidRPr="003244B8">
        <w:trPr>
          <w:gridBefore w:val="1"/>
          <w:gridAfter w:val="1"/>
          <w:wBefore w:w="6" w:type="dxa"/>
          <w:wAfter w:w="189" w:type="dxa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D288F" w:rsidRPr="003244B8" w:rsidRDefault="003D288F" w:rsidP="00D80457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2842" w:type="dxa"/>
            <w:vAlign w:val="center"/>
          </w:tcPr>
          <w:p w:rsidR="003D288F" w:rsidRPr="003244B8" w:rsidRDefault="003D288F" w:rsidP="00D80457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3244B8">
              <w:rPr>
                <w:b/>
                <w:bCs/>
                <w:sz w:val="20"/>
                <w:szCs w:val="20"/>
                <w:lang w:val="lv-LV"/>
              </w:rPr>
              <w:t>1.3.1.8. Atbalsts labāko inovatīvo risinājumu meklējumiem un labas prakses piemēru integrēšanai darba tirgus politikās un ieviešanas instrumentārijos</w:t>
            </w:r>
          </w:p>
        </w:tc>
        <w:tc>
          <w:tcPr>
            <w:tcW w:w="1202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3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02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</w:tcPr>
          <w:p w:rsidR="003D288F" w:rsidRPr="009B1A86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9B1A8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D288F" w:rsidRPr="003244B8" w:rsidRDefault="003D288F" w:rsidP="00D8045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288F" w:rsidRPr="008B7DA3">
        <w:trPr>
          <w:gridBefore w:val="1"/>
          <w:gridAfter w:val="1"/>
          <w:wBefore w:w="6" w:type="dxa"/>
          <w:wAfter w:w="189" w:type="dxa"/>
        </w:trPr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D288F" w:rsidRPr="003244B8" w:rsidRDefault="003D288F" w:rsidP="00D804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</w:tcPr>
          <w:p w:rsidR="003D288F" w:rsidRPr="003244B8" w:rsidRDefault="003D288F" w:rsidP="00D80457">
            <w:pPr>
              <w:pStyle w:val="Default"/>
              <w:rPr>
                <w:sz w:val="20"/>
                <w:szCs w:val="20"/>
              </w:rPr>
            </w:pPr>
            <w:r w:rsidRPr="003244B8">
              <w:rPr>
                <w:b/>
                <w:bCs/>
                <w:sz w:val="20"/>
                <w:szCs w:val="20"/>
              </w:rPr>
              <w:t xml:space="preserve">1.3.1.9. Augstas kvalifikācijas darbinieku piesaiste </w:t>
            </w:r>
          </w:p>
        </w:tc>
        <w:tc>
          <w:tcPr>
            <w:tcW w:w="1202" w:type="dxa"/>
          </w:tcPr>
          <w:p w:rsidR="003D288F" w:rsidRPr="00583950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806BF">
              <w:rPr>
                <w:bCs/>
                <w:sz w:val="20"/>
                <w:szCs w:val="20"/>
              </w:rPr>
              <w:t>348 222</w:t>
            </w:r>
          </w:p>
        </w:tc>
        <w:tc>
          <w:tcPr>
            <w:tcW w:w="1333" w:type="dxa"/>
          </w:tcPr>
          <w:p w:rsidR="003D288F" w:rsidRPr="00583950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806BF">
              <w:rPr>
                <w:bCs/>
                <w:sz w:val="20"/>
                <w:szCs w:val="20"/>
              </w:rPr>
              <w:t>151 241</w:t>
            </w:r>
          </w:p>
        </w:tc>
        <w:tc>
          <w:tcPr>
            <w:tcW w:w="1202" w:type="dxa"/>
          </w:tcPr>
          <w:p w:rsidR="003D288F" w:rsidRPr="00583950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806BF">
              <w:rPr>
                <w:bCs/>
                <w:sz w:val="20"/>
                <w:szCs w:val="20"/>
              </w:rPr>
              <w:t>151 241</w:t>
            </w:r>
          </w:p>
        </w:tc>
        <w:tc>
          <w:tcPr>
            <w:tcW w:w="1202" w:type="dxa"/>
          </w:tcPr>
          <w:p w:rsidR="003D288F" w:rsidRPr="00583950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806B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1" w:type="dxa"/>
          </w:tcPr>
          <w:p w:rsidR="003D288F" w:rsidRPr="00583950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806BF">
              <w:rPr>
                <w:bCs/>
                <w:sz w:val="20"/>
                <w:szCs w:val="20"/>
              </w:rPr>
              <w:t>196 981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D288F" w:rsidRPr="003244B8" w:rsidRDefault="003D288F" w:rsidP="00D80457">
            <w:pPr>
              <w:pStyle w:val="Default"/>
              <w:jc w:val="center"/>
              <w:rPr>
                <w:sz w:val="20"/>
                <w:szCs w:val="20"/>
              </w:rPr>
            </w:pPr>
            <w:r w:rsidRPr="003244B8">
              <w:rPr>
                <w:sz w:val="20"/>
                <w:szCs w:val="20"/>
              </w:rPr>
              <w:t>”;</w:t>
            </w:r>
          </w:p>
        </w:tc>
      </w:tr>
    </w:tbl>
    <w:p w:rsidR="003D288F" w:rsidRDefault="003D288F" w:rsidP="003F1F1E">
      <w:pPr>
        <w:pStyle w:val="Default"/>
        <w:jc w:val="both"/>
        <w:rPr>
          <w:sz w:val="26"/>
          <w:szCs w:val="26"/>
        </w:rPr>
      </w:pPr>
    </w:p>
    <w:p w:rsidR="003F1F1E" w:rsidRDefault="003F1F1E" w:rsidP="003F1F1E">
      <w:pPr>
        <w:pStyle w:val="Default"/>
        <w:jc w:val="both"/>
        <w:rPr>
          <w:sz w:val="26"/>
          <w:szCs w:val="26"/>
        </w:rPr>
      </w:pPr>
    </w:p>
    <w:p w:rsidR="000E123A" w:rsidRPr="00E73112" w:rsidRDefault="000E123A" w:rsidP="006F747F">
      <w:pPr>
        <w:pStyle w:val="ListParagraph"/>
        <w:numPr>
          <w:ilvl w:val="1"/>
          <w:numId w:val="5"/>
        </w:numPr>
        <w:rPr>
          <w:color w:val="000000"/>
          <w:sz w:val="28"/>
          <w:szCs w:val="28"/>
          <w:lang w:eastAsia="lv-LV"/>
        </w:rPr>
      </w:pPr>
      <w:r w:rsidRPr="00E73112">
        <w:rPr>
          <w:sz w:val="28"/>
          <w:szCs w:val="28"/>
        </w:rPr>
        <w:t>izteikt 1.3.1.pasākuma „Nodarbinātība” tabulas „Uzraudzības rādītāji” rādītāja „Sabiedrībai derīgos darbos iesaistīto bezdarbnieku skaits” rindu šādā redakcijā:</w:t>
      </w:r>
    </w:p>
    <w:p w:rsidR="00E732B7" w:rsidRPr="0036315F" w:rsidRDefault="00E732B7" w:rsidP="00E732B7">
      <w:pPr>
        <w:pStyle w:val="ListParagraph"/>
        <w:ind w:left="1440"/>
        <w:rPr>
          <w:color w:val="000000"/>
          <w:sz w:val="26"/>
          <w:szCs w:val="26"/>
          <w:lang w:eastAsia="lv-LV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"/>
        <w:gridCol w:w="1569"/>
        <w:gridCol w:w="1469"/>
        <w:gridCol w:w="1078"/>
        <w:gridCol w:w="1561"/>
        <w:gridCol w:w="3127"/>
        <w:gridCol w:w="393"/>
      </w:tblGrid>
      <w:tr w:rsidR="00E732B7" w:rsidTr="004C4E7C"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E732B7" w:rsidRPr="006519E8" w:rsidRDefault="00E732B7" w:rsidP="004C4E7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</w:p>
        </w:tc>
        <w:tc>
          <w:tcPr>
            <w:tcW w:w="1573" w:type="dxa"/>
            <w:vAlign w:val="center"/>
          </w:tcPr>
          <w:p w:rsidR="00E732B7" w:rsidRPr="0065729C" w:rsidRDefault="00E732B7" w:rsidP="00026E2E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65729C">
              <w:rPr>
                <w:b/>
                <w:sz w:val="20"/>
                <w:szCs w:val="20"/>
                <w:lang w:eastAsia="lv-LV"/>
              </w:rPr>
              <w:t>Rādītājs</w:t>
            </w:r>
          </w:p>
        </w:tc>
        <w:tc>
          <w:tcPr>
            <w:tcW w:w="1472" w:type="dxa"/>
            <w:vAlign w:val="center"/>
          </w:tcPr>
          <w:p w:rsidR="00E732B7" w:rsidRPr="0065729C" w:rsidRDefault="00E732B7" w:rsidP="004C4E7C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65729C">
              <w:rPr>
                <w:b/>
                <w:sz w:val="20"/>
                <w:szCs w:val="20"/>
                <w:lang w:eastAsia="lv-LV"/>
              </w:rPr>
              <w:t>Kvanti-</w:t>
            </w:r>
          </w:p>
          <w:p w:rsidR="00E732B7" w:rsidRPr="0065729C" w:rsidRDefault="00E732B7" w:rsidP="004C4E7C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proofErr w:type="spellStart"/>
            <w:r w:rsidRPr="0065729C">
              <w:rPr>
                <w:b/>
                <w:sz w:val="20"/>
                <w:szCs w:val="20"/>
                <w:lang w:eastAsia="lv-LV"/>
              </w:rPr>
              <w:t>fikācija</w:t>
            </w:r>
            <w:proofErr w:type="spellEnd"/>
          </w:p>
          <w:p w:rsidR="00E732B7" w:rsidRPr="0065729C" w:rsidRDefault="00E732B7" w:rsidP="00026E2E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proofErr w:type="gramStart"/>
            <w:r w:rsidRPr="0065729C">
              <w:rPr>
                <w:b/>
                <w:sz w:val="20"/>
                <w:szCs w:val="20"/>
                <w:lang w:eastAsia="lv-LV"/>
              </w:rPr>
              <w:t>2004.gadā</w:t>
            </w:r>
            <w:proofErr w:type="gramEnd"/>
          </w:p>
        </w:tc>
        <w:tc>
          <w:tcPr>
            <w:tcW w:w="1040" w:type="dxa"/>
            <w:vAlign w:val="center"/>
          </w:tcPr>
          <w:p w:rsidR="00E732B7" w:rsidRPr="0065729C" w:rsidRDefault="00E732B7" w:rsidP="004C4E7C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65729C">
              <w:rPr>
                <w:b/>
                <w:sz w:val="20"/>
                <w:szCs w:val="20"/>
                <w:lang w:eastAsia="lv-LV"/>
              </w:rPr>
              <w:t>Kvanti-</w:t>
            </w:r>
          </w:p>
          <w:p w:rsidR="00E732B7" w:rsidRPr="0065729C" w:rsidRDefault="00E732B7" w:rsidP="004C4E7C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proofErr w:type="spellStart"/>
            <w:r w:rsidRPr="0065729C">
              <w:rPr>
                <w:b/>
                <w:sz w:val="20"/>
                <w:szCs w:val="20"/>
                <w:lang w:eastAsia="lv-LV"/>
              </w:rPr>
              <w:t>fikācija</w:t>
            </w:r>
            <w:proofErr w:type="spellEnd"/>
          </w:p>
          <w:p w:rsidR="00E732B7" w:rsidRPr="0065729C" w:rsidRDefault="00E732B7" w:rsidP="00026E2E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proofErr w:type="gramStart"/>
            <w:r w:rsidRPr="0065729C">
              <w:rPr>
                <w:b/>
                <w:sz w:val="20"/>
                <w:szCs w:val="20"/>
                <w:lang w:eastAsia="lv-LV"/>
              </w:rPr>
              <w:t>2013.gadā</w:t>
            </w:r>
            <w:proofErr w:type="gramEnd"/>
          </w:p>
        </w:tc>
        <w:tc>
          <w:tcPr>
            <w:tcW w:w="1561" w:type="dxa"/>
            <w:vAlign w:val="center"/>
          </w:tcPr>
          <w:p w:rsidR="00E732B7" w:rsidRPr="0065729C" w:rsidRDefault="00E732B7" w:rsidP="004C4E7C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65729C">
              <w:rPr>
                <w:b/>
                <w:sz w:val="20"/>
                <w:szCs w:val="20"/>
                <w:lang w:eastAsia="lv-LV"/>
              </w:rPr>
              <w:t>Saiknes ar</w:t>
            </w:r>
          </w:p>
          <w:p w:rsidR="00E732B7" w:rsidRPr="0065729C" w:rsidRDefault="00E732B7" w:rsidP="004C4E7C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65729C">
              <w:rPr>
                <w:b/>
                <w:sz w:val="20"/>
                <w:szCs w:val="20"/>
                <w:lang w:eastAsia="lv-LV"/>
              </w:rPr>
              <w:t>investīciju</w:t>
            </w:r>
          </w:p>
          <w:p w:rsidR="00E732B7" w:rsidRPr="0065729C" w:rsidRDefault="00E732B7" w:rsidP="004C4E7C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65729C">
              <w:rPr>
                <w:b/>
                <w:sz w:val="20"/>
                <w:szCs w:val="20"/>
                <w:lang w:eastAsia="lv-LV"/>
              </w:rPr>
              <w:t>virzienu</w:t>
            </w:r>
          </w:p>
          <w:p w:rsidR="00E732B7" w:rsidRPr="0065729C" w:rsidRDefault="00E732B7" w:rsidP="004C4E7C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65729C">
              <w:rPr>
                <w:b/>
                <w:sz w:val="20"/>
                <w:szCs w:val="20"/>
                <w:lang w:eastAsia="lv-LV"/>
              </w:rPr>
              <w:t>pamatojums</w:t>
            </w:r>
          </w:p>
        </w:tc>
        <w:tc>
          <w:tcPr>
            <w:tcW w:w="3156" w:type="dxa"/>
            <w:vAlign w:val="center"/>
          </w:tcPr>
          <w:p w:rsidR="00E732B7" w:rsidRPr="0065729C" w:rsidRDefault="00E732B7" w:rsidP="00026E2E">
            <w:pPr>
              <w:jc w:val="center"/>
              <w:rPr>
                <w:b/>
                <w:sz w:val="20"/>
                <w:szCs w:val="20"/>
                <w:lang w:eastAsia="lv-LV"/>
              </w:rPr>
            </w:pPr>
            <w:r w:rsidRPr="0065729C">
              <w:rPr>
                <w:b/>
                <w:sz w:val="20"/>
                <w:szCs w:val="20"/>
                <w:lang w:eastAsia="lv-LV"/>
              </w:rPr>
              <w:t>Aprēķina skaidrojums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vAlign w:val="bottom"/>
          </w:tcPr>
          <w:p w:rsidR="00E732B7" w:rsidRPr="006519E8" w:rsidRDefault="00E732B7" w:rsidP="004C4E7C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0E123A" w:rsidTr="004C4E7C"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0E123A" w:rsidRPr="006519E8" w:rsidRDefault="000E123A" w:rsidP="004C4E7C">
            <w:pPr>
              <w:pStyle w:val="Default"/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0E123A" w:rsidRPr="006519E8" w:rsidRDefault="000E123A" w:rsidP="004C4E7C">
            <w:pPr>
              <w:pStyle w:val="Default"/>
              <w:rPr>
                <w:sz w:val="20"/>
                <w:szCs w:val="20"/>
              </w:rPr>
            </w:pPr>
            <w:r w:rsidRPr="006519E8">
              <w:rPr>
                <w:sz w:val="20"/>
                <w:szCs w:val="20"/>
              </w:rPr>
              <w:t xml:space="preserve">Sabiedrībai derīgos darbos iesaistīto bezdarbnieku skaits </w:t>
            </w:r>
          </w:p>
          <w:p w:rsidR="000E123A" w:rsidRPr="006519E8" w:rsidRDefault="000E123A" w:rsidP="004C4E7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0E123A" w:rsidRPr="006519E8" w:rsidRDefault="000E123A" w:rsidP="004C4E7C">
            <w:pPr>
              <w:pStyle w:val="Default"/>
              <w:jc w:val="center"/>
              <w:rPr>
                <w:sz w:val="20"/>
                <w:szCs w:val="20"/>
              </w:rPr>
            </w:pPr>
            <w:r w:rsidRPr="006519E8">
              <w:rPr>
                <w:sz w:val="20"/>
                <w:szCs w:val="20"/>
              </w:rPr>
              <w:t xml:space="preserve">9 622 </w:t>
            </w:r>
          </w:p>
          <w:p w:rsidR="000E123A" w:rsidRPr="006519E8" w:rsidRDefault="000E123A" w:rsidP="004C4E7C">
            <w:pPr>
              <w:pStyle w:val="Default"/>
              <w:jc w:val="center"/>
              <w:rPr>
                <w:sz w:val="20"/>
                <w:szCs w:val="20"/>
              </w:rPr>
            </w:pPr>
            <w:r w:rsidRPr="006519E8">
              <w:rPr>
                <w:sz w:val="20"/>
                <w:szCs w:val="20"/>
              </w:rPr>
              <w:t>(</w:t>
            </w:r>
            <w:proofErr w:type="gramStart"/>
            <w:r w:rsidRPr="006519E8">
              <w:rPr>
                <w:sz w:val="20"/>
                <w:szCs w:val="20"/>
              </w:rPr>
              <w:t>2006.g.</w:t>
            </w:r>
            <w:proofErr w:type="gramEnd"/>
            <w:r w:rsidRPr="006519E8">
              <w:rPr>
                <w:sz w:val="20"/>
                <w:szCs w:val="20"/>
              </w:rPr>
              <w:t>) (algotos pagaidu darbos iesaistīto bezdarbnieku skaits pēc Nodarbi-</w:t>
            </w:r>
            <w:proofErr w:type="spellStart"/>
            <w:r w:rsidRPr="006519E8">
              <w:rPr>
                <w:sz w:val="20"/>
                <w:szCs w:val="20"/>
              </w:rPr>
              <w:t>nātības</w:t>
            </w:r>
            <w:proofErr w:type="spellEnd"/>
            <w:r w:rsidRPr="006519E8">
              <w:rPr>
                <w:sz w:val="20"/>
                <w:szCs w:val="20"/>
              </w:rPr>
              <w:t xml:space="preserve"> valsts aģentūras 2006.gada publiskā pārskata datiem) </w:t>
            </w:r>
          </w:p>
        </w:tc>
        <w:tc>
          <w:tcPr>
            <w:tcW w:w="1040" w:type="dxa"/>
          </w:tcPr>
          <w:p w:rsidR="003F1F1E" w:rsidRPr="001A1637" w:rsidRDefault="003F1F1E" w:rsidP="003F1F1E">
            <w:pPr>
              <w:pStyle w:val="Default"/>
              <w:jc w:val="center"/>
              <w:rPr>
                <w:sz w:val="20"/>
                <w:szCs w:val="20"/>
              </w:rPr>
            </w:pPr>
            <w:r w:rsidRPr="001A1637">
              <w:rPr>
                <w:sz w:val="20"/>
                <w:szCs w:val="20"/>
              </w:rPr>
              <w:t>136 239</w:t>
            </w:r>
          </w:p>
          <w:p w:rsidR="000E123A" w:rsidRPr="006519E8" w:rsidRDefault="000E123A" w:rsidP="004C4E7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0E123A" w:rsidRPr="006519E8" w:rsidRDefault="000E123A" w:rsidP="004C4E7C">
            <w:pPr>
              <w:pStyle w:val="Default"/>
              <w:jc w:val="both"/>
              <w:rPr>
                <w:sz w:val="20"/>
                <w:szCs w:val="20"/>
              </w:rPr>
            </w:pPr>
            <w:r w:rsidRPr="006519E8">
              <w:rPr>
                <w:sz w:val="20"/>
                <w:szCs w:val="20"/>
              </w:rPr>
              <w:t xml:space="preserve">1.3.1.5.aktivitāte </w:t>
            </w:r>
          </w:p>
          <w:p w:rsidR="000E123A" w:rsidRPr="006519E8" w:rsidRDefault="000E123A" w:rsidP="004C4E7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56" w:type="dxa"/>
          </w:tcPr>
          <w:p w:rsidR="000E123A" w:rsidRPr="006519E8" w:rsidRDefault="000E123A" w:rsidP="004C4E7C">
            <w:pPr>
              <w:pStyle w:val="Default"/>
              <w:jc w:val="both"/>
              <w:rPr>
                <w:sz w:val="20"/>
                <w:szCs w:val="20"/>
              </w:rPr>
            </w:pPr>
            <w:r w:rsidRPr="006519E8">
              <w:rPr>
                <w:sz w:val="20"/>
                <w:szCs w:val="20"/>
              </w:rPr>
              <w:t xml:space="preserve">1.kārtas ietvaros vidējās viena bezdarbnieka iesaistes izmaksas 593 EUR (vienu bezdarbnieku plānots nodarbināt vidēji 4,5 mēnešus). </w:t>
            </w:r>
          </w:p>
          <w:p w:rsidR="000E123A" w:rsidRPr="006519E8" w:rsidRDefault="000E123A" w:rsidP="004C4E7C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E123A" w:rsidRPr="006519E8" w:rsidRDefault="000E123A" w:rsidP="004C4E7C">
            <w:pPr>
              <w:pStyle w:val="Default"/>
              <w:jc w:val="both"/>
              <w:rPr>
                <w:sz w:val="20"/>
                <w:szCs w:val="20"/>
              </w:rPr>
            </w:pPr>
            <w:r w:rsidRPr="006519E8">
              <w:rPr>
                <w:sz w:val="20"/>
                <w:szCs w:val="20"/>
              </w:rPr>
              <w:t xml:space="preserve">2.kārtas ietvaros vidējās viena bezdarbnieka izmaksas 641 EUR (viena bezdarbnieka iesaistes ilgums pasākumā ir 4 mēneši). </w:t>
            </w:r>
          </w:p>
        </w:tc>
        <w:tc>
          <w:tcPr>
            <w:tcW w:w="394" w:type="dxa"/>
            <w:tcBorders>
              <w:top w:val="nil"/>
              <w:bottom w:val="nil"/>
              <w:right w:val="nil"/>
            </w:tcBorders>
            <w:vAlign w:val="bottom"/>
          </w:tcPr>
          <w:p w:rsidR="00DA7EFF" w:rsidRDefault="00DA7EFF" w:rsidP="004C4E7C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DA7EFF" w:rsidRDefault="00DA7EFF" w:rsidP="004C4E7C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DA7EFF" w:rsidRDefault="00DA7EFF" w:rsidP="004C4E7C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DA7EFF" w:rsidRDefault="00DA7EFF" w:rsidP="004C4E7C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DA7EFF" w:rsidRDefault="00DA7EFF" w:rsidP="004C4E7C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DA7EFF" w:rsidRDefault="00DA7EFF" w:rsidP="004C4E7C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DA7EFF" w:rsidRDefault="00DA7EFF" w:rsidP="004C4E7C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DA7EFF" w:rsidRDefault="00DA7EFF" w:rsidP="004C4E7C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DA7EFF" w:rsidRDefault="00DA7EFF" w:rsidP="004C4E7C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DA7EFF" w:rsidRDefault="00DA7EFF" w:rsidP="004C4E7C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DA7EFF" w:rsidRDefault="00DA7EFF" w:rsidP="004C4E7C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DA7EFF" w:rsidRDefault="00DA7EFF" w:rsidP="004C4E7C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DA7EFF" w:rsidRDefault="00DA7EFF" w:rsidP="004C4E7C">
            <w:pPr>
              <w:pStyle w:val="Default"/>
              <w:jc w:val="right"/>
              <w:rPr>
                <w:sz w:val="20"/>
                <w:szCs w:val="20"/>
              </w:rPr>
            </w:pPr>
          </w:p>
          <w:p w:rsidR="000E123A" w:rsidRPr="006519E8" w:rsidRDefault="000E123A" w:rsidP="004C4E7C">
            <w:pPr>
              <w:pStyle w:val="Default"/>
              <w:jc w:val="right"/>
              <w:rPr>
                <w:sz w:val="20"/>
                <w:szCs w:val="20"/>
              </w:rPr>
            </w:pPr>
            <w:r w:rsidRPr="006519E8">
              <w:rPr>
                <w:sz w:val="20"/>
                <w:szCs w:val="20"/>
              </w:rPr>
              <w:t>”;</w:t>
            </w:r>
          </w:p>
        </w:tc>
      </w:tr>
    </w:tbl>
    <w:p w:rsidR="003D288F" w:rsidRDefault="003D288F" w:rsidP="009D2BFC">
      <w:pPr>
        <w:pStyle w:val="Default"/>
        <w:jc w:val="both"/>
        <w:rPr>
          <w:sz w:val="26"/>
          <w:szCs w:val="26"/>
        </w:rPr>
      </w:pPr>
    </w:p>
    <w:p w:rsidR="003D288F" w:rsidRPr="00E73112" w:rsidRDefault="003D288F" w:rsidP="006F747F">
      <w:pPr>
        <w:pStyle w:val="ListParagraph"/>
        <w:numPr>
          <w:ilvl w:val="1"/>
          <w:numId w:val="5"/>
        </w:numPr>
        <w:rPr>
          <w:color w:val="000000"/>
          <w:sz w:val="28"/>
          <w:szCs w:val="28"/>
          <w:lang w:eastAsia="lv-LV"/>
        </w:rPr>
      </w:pPr>
      <w:r w:rsidRPr="00E73112">
        <w:rPr>
          <w:color w:val="000000"/>
          <w:sz w:val="28"/>
          <w:szCs w:val="28"/>
          <w:lang w:eastAsia="lv-LV"/>
        </w:rPr>
        <w:t>izteikt 1.3.1.pasākuma „Nodarbinātība” tabulas „Uzraudzības rādītāju teritoriālais sadalījums” rādītāja „Sabiedrībai derīgos darbos iesaistīto bezdarbnieku skaits” rindu šādā redakcijā:</w:t>
      </w:r>
    </w:p>
    <w:p w:rsidR="003D288F" w:rsidRPr="00DF5312" w:rsidRDefault="003D288F" w:rsidP="00DF5312">
      <w:pPr>
        <w:pStyle w:val="ListParagraph"/>
        <w:ind w:left="1440"/>
        <w:rPr>
          <w:color w:val="000000"/>
          <w:sz w:val="26"/>
          <w:szCs w:val="26"/>
          <w:lang w:eastAsia="lv-LV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3358"/>
        <w:gridCol w:w="1689"/>
        <w:gridCol w:w="1556"/>
        <w:gridCol w:w="2110"/>
        <w:gridCol w:w="361"/>
      </w:tblGrid>
      <w:tr w:rsidR="00293AC1" w:rsidRPr="008B7DA3" w:rsidTr="00F956CF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293AC1" w:rsidRDefault="00293AC1" w:rsidP="00DF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</w:p>
        </w:tc>
        <w:tc>
          <w:tcPr>
            <w:tcW w:w="3358" w:type="dxa"/>
            <w:vAlign w:val="center"/>
          </w:tcPr>
          <w:p w:rsidR="00293AC1" w:rsidRDefault="00293AC1" w:rsidP="004C4E7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293AC1" w:rsidRDefault="00293AC1" w:rsidP="004C4E7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Plānošanas reģions</w:t>
            </w:r>
          </w:p>
        </w:tc>
        <w:tc>
          <w:tcPr>
            <w:tcW w:w="1556" w:type="dxa"/>
          </w:tcPr>
          <w:p w:rsidR="00293AC1" w:rsidRDefault="00293AC1" w:rsidP="004C4E7C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Kvantifikācija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2004.gadā</w:t>
            </w:r>
            <w:proofErr w:type="gramEnd"/>
          </w:p>
        </w:tc>
        <w:tc>
          <w:tcPr>
            <w:tcW w:w="2110" w:type="dxa"/>
          </w:tcPr>
          <w:p w:rsidR="00293AC1" w:rsidRPr="0033385E" w:rsidRDefault="00293AC1" w:rsidP="004C4E7C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Kvantifikācija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2013.gadā</w:t>
            </w:r>
            <w:proofErr w:type="gramEnd"/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vAlign w:val="bottom"/>
          </w:tcPr>
          <w:p w:rsidR="00293AC1" w:rsidRDefault="00293AC1" w:rsidP="00DF5312">
            <w:pPr>
              <w:tabs>
                <w:tab w:val="left" w:pos="142"/>
                <w:tab w:val="left" w:pos="851"/>
              </w:tabs>
              <w:ind w:right="-113"/>
              <w:jc w:val="right"/>
              <w:rPr>
                <w:sz w:val="20"/>
                <w:szCs w:val="20"/>
              </w:rPr>
            </w:pPr>
          </w:p>
        </w:tc>
      </w:tr>
      <w:tr w:rsidR="00F956CF" w:rsidRPr="008B7DA3" w:rsidTr="00F956CF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F956CF" w:rsidRPr="008B7DA3" w:rsidRDefault="00F956CF" w:rsidP="00F956CF">
            <w:pPr>
              <w:rPr>
                <w:sz w:val="20"/>
                <w:szCs w:val="20"/>
              </w:rPr>
            </w:pPr>
          </w:p>
        </w:tc>
        <w:tc>
          <w:tcPr>
            <w:tcW w:w="3358" w:type="dxa"/>
            <w:vMerge w:val="restart"/>
            <w:vAlign w:val="center"/>
          </w:tcPr>
          <w:p w:rsidR="00F956CF" w:rsidRPr="00DF5312" w:rsidRDefault="00F956CF" w:rsidP="00F956CF">
            <w:pPr>
              <w:pStyle w:val="Default"/>
              <w:jc w:val="both"/>
              <w:rPr>
                <w:sz w:val="20"/>
                <w:szCs w:val="20"/>
              </w:rPr>
            </w:pPr>
            <w:r w:rsidRPr="00DF5312">
              <w:rPr>
                <w:sz w:val="20"/>
                <w:szCs w:val="20"/>
              </w:rPr>
              <w:t>Sabiedrībai derīgos darbos iesaistīto bezdarbnieku skaits</w:t>
            </w:r>
          </w:p>
        </w:tc>
        <w:tc>
          <w:tcPr>
            <w:tcW w:w="1689" w:type="dxa"/>
          </w:tcPr>
          <w:p w:rsidR="00F956CF" w:rsidRDefault="00F956CF" w:rsidP="00F95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Rīga </w:t>
            </w:r>
          </w:p>
        </w:tc>
        <w:tc>
          <w:tcPr>
            <w:tcW w:w="1556" w:type="dxa"/>
            <w:vMerge w:val="restart"/>
          </w:tcPr>
          <w:p w:rsidR="00F956CF" w:rsidRDefault="00F956CF" w:rsidP="00F956CF">
            <w:pPr>
              <w:pStyle w:val="Default"/>
              <w:jc w:val="center"/>
              <w:rPr>
                <w:sz w:val="20"/>
                <w:szCs w:val="20"/>
              </w:rPr>
            </w:pPr>
            <w:r w:rsidRPr="00DF5312">
              <w:rPr>
                <w:sz w:val="20"/>
                <w:szCs w:val="20"/>
              </w:rPr>
              <w:t>9 622 (</w:t>
            </w:r>
            <w:proofErr w:type="gramStart"/>
            <w:r w:rsidRPr="00DF5312">
              <w:rPr>
                <w:sz w:val="20"/>
                <w:szCs w:val="20"/>
              </w:rPr>
              <w:t>2006.g.</w:t>
            </w:r>
            <w:proofErr w:type="gramEnd"/>
            <w:r w:rsidRPr="00DF5312">
              <w:rPr>
                <w:sz w:val="20"/>
                <w:szCs w:val="20"/>
              </w:rPr>
              <w:t>) (algotos pagaidu darbos iesaistīto bezdarbnieku skaits pēc Nodarbinātības valsts aģentūras 2006.gada publiskā pārskata datiem)</w:t>
            </w:r>
          </w:p>
        </w:tc>
        <w:tc>
          <w:tcPr>
            <w:tcW w:w="2110" w:type="dxa"/>
          </w:tcPr>
          <w:p w:rsidR="00F956CF" w:rsidRPr="000C3B3A" w:rsidRDefault="00F956CF" w:rsidP="00F956CF">
            <w:pPr>
              <w:pStyle w:val="Default"/>
              <w:jc w:val="center"/>
              <w:rPr>
                <w:sz w:val="20"/>
                <w:szCs w:val="20"/>
              </w:rPr>
            </w:pPr>
            <w:r w:rsidRPr="000C3B3A">
              <w:rPr>
                <w:sz w:val="20"/>
                <w:szCs w:val="20"/>
              </w:rPr>
              <w:t>29 277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vAlign w:val="bottom"/>
          </w:tcPr>
          <w:p w:rsidR="00F956CF" w:rsidRDefault="00F956CF" w:rsidP="00F956CF">
            <w:pPr>
              <w:tabs>
                <w:tab w:val="left" w:pos="142"/>
                <w:tab w:val="left" w:pos="851"/>
              </w:tabs>
              <w:ind w:right="-113"/>
              <w:jc w:val="right"/>
              <w:rPr>
                <w:sz w:val="20"/>
                <w:szCs w:val="20"/>
              </w:rPr>
            </w:pPr>
          </w:p>
        </w:tc>
      </w:tr>
      <w:tr w:rsidR="00F956CF" w:rsidRPr="008B7DA3" w:rsidTr="00F956CF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F956CF" w:rsidRPr="008B7DA3" w:rsidRDefault="00F956CF" w:rsidP="00F956CF">
            <w:pPr>
              <w:rPr>
                <w:sz w:val="20"/>
                <w:szCs w:val="20"/>
              </w:rPr>
            </w:pPr>
          </w:p>
        </w:tc>
        <w:tc>
          <w:tcPr>
            <w:tcW w:w="3358" w:type="dxa"/>
            <w:vMerge/>
            <w:vAlign w:val="center"/>
          </w:tcPr>
          <w:p w:rsidR="00F956CF" w:rsidRPr="00571679" w:rsidRDefault="00F956CF" w:rsidP="00F956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9" w:type="dxa"/>
          </w:tcPr>
          <w:p w:rsidR="00F956CF" w:rsidRDefault="00F956CF" w:rsidP="00F95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Vidzeme </w:t>
            </w:r>
          </w:p>
        </w:tc>
        <w:tc>
          <w:tcPr>
            <w:tcW w:w="1556" w:type="dxa"/>
            <w:vMerge/>
          </w:tcPr>
          <w:p w:rsidR="00F956CF" w:rsidRDefault="00F956CF" w:rsidP="00F956C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F956CF" w:rsidRPr="000C3B3A" w:rsidRDefault="00F956CF" w:rsidP="00F956CF">
            <w:pPr>
              <w:pStyle w:val="Default"/>
              <w:jc w:val="center"/>
              <w:rPr>
                <w:sz w:val="20"/>
                <w:szCs w:val="20"/>
              </w:rPr>
            </w:pPr>
            <w:r w:rsidRPr="000C3B3A">
              <w:rPr>
                <w:sz w:val="20"/>
                <w:szCs w:val="20"/>
              </w:rPr>
              <w:t>19 384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vAlign w:val="bottom"/>
          </w:tcPr>
          <w:p w:rsidR="00F956CF" w:rsidRDefault="00F956CF" w:rsidP="00F956CF">
            <w:pPr>
              <w:tabs>
                <w:tab w:val="left" w:pos="142"/>
                <w:tab w:val="left" w:pos="851"/>
              </w:tabs>
              <w:ind w:right="-113"/>
              <w:jc w:val="right"/>
              <w:rPr>
                <w:sz w:val="20"/>
                <w:szCs w:val="20"/>
              </w:rPr>
            </w:pPr>
          </w:p>
        </w:tc>
      </w:tr>
      <w:tr w:rsidR="00F956CF" w:rsidRPr="008B7DA3" w:rsidTr="00F956CF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F956CF" w:rsidRPr="008B7DA3" w:rsidRDefault="00F956CF" w:rsidP="00F956CF">
            <w:pPr>
              <w:rPr>
                <w:sz w:val="20"/>
                <w:szCs w:val="20"/>
              </w:rPr>
            </w:pPr>
          </w:p>
        </w:tc>
        <w:tc>
          <w:tcPr>
            <w:tcW w:w="3358" w:type="dxa"/>
            <w:vMerge/>
            <w:vAlign w:val="center"/>
          </w:tcPr>
          <w:p w:rsidR="00F956CF" w:rsidRPr="00571679" w:rsidRDefault="00F956CF" w:rsidP="00F956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9" w:type="dxa"/>
          </w:tcPr>
          <w:p w:rsidR="00F956CF" w:rsidRDefault="00F956CF" w:rsidP="00F95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Kurzeme </w:t>
            </w:r>
          </w:p>
        </w:tc>
        <w:tc>
          <w:tcPr>
            <w:tcW w:w="1556" w:type="dxa"/>
            <w:vMerge/>
          </w:tcPr>
          <w:p w:rsidR="00F956CF" w:rsidRDefault="00F956CF" w:rsidP="00F956C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F956CF" w:rsidRPr="000C3B3A" w:rsidRDefault="00F956CF" w:rsidP="00F956CF">
            <w:pPr>
              <w:pStyle w:val="Default"/>
              <w:jc w:val="center"/>
              <w:rPr>
                <w:sz w:val="20"/>
                <w:szCs w:val="20"/>
              </w:rPr>
            </w:pPr>
            <w:r w:rsidRPr="000C3B3A">
              <w:rPr>
                <w:sz w:val="20"/>
                <w:szCs w:val="20"/>
              </w:rPr>
              <w:t>22 947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vAlign w:val="bottom"/>
          </w:tcPr>
          <w:p w:rsidR="00F956CF" w:rsidRDefault="00F956CF" w:rsidP="00F956CF">
            <w:pPr>
              <w:tabs>
                <w:tab w:val="left" w:pos="142"/>
                <w:tab w:val="left" w:pos="851"/>
              </w:tabs>
              <w:ind w:right="-113"/>
              <w:jc w:val="right"/>
              <w:rPr>
                <w:sz w:val="20"/>
                <w:szCs w:val="20"/>
              </w:rPr>
            </w:pPr>
          </w:p>
        </w:tc>
      </w:tr>
      <w:tr w:rsidR="00F956CF" w:rsidRPr="008B7DA3" w:rsidTr="00F956CF"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F956CF" w:rsidRPr="008B7DA3" w:rsidRDefault="00F956CF" w:rsidP="00F956C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58" w:type="dxa"/>
            <w:vMerge/>
            <w:vAlign w:val="center"/>
          </w:tcPr>
          <w:p w:rsidR="00F956CF" w:rsidRPr="00571679" w:rsidRDefault="00F956CF" w:rsidP="00F956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9" w:type="dxa"/>
          </w:tcPr>
          <w:p w:rsidR="00F956CF" w:rsidRDefault="00F956CF" w:rsidP="00F95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Zemgale </w:t>
            </w:r>
          </w:p>
        </w:tc>
        <w:tc>
          <w:tcPr>
            <w:tcW w:w="1556" w:type="dxa"/>
            <w:vMerge/>
          </w:tcPr>
          <w:p w:rsidR="00F956CF" w:rsidRDefault="00F956CF" w:rsidP="00F956C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F956CF" w:rsidRPr="000C3B3A" w:rsidRDefault="00F956CF" w:rsidP="00F956CF">
            <w:pPr>
              <w:pStyle w:val="Default"/>
              <w:jc w:val="center"/>
              <w:rPr>
                <w:sz w:val="20"/>
                <w:szCs w:val="20"/>
              </w:rPr>
            </w:pPr>
            <w:r w:rsidRPr="000C3B3A">
              <w:rPr>
                <w:sz w:val="20"/>
                <w:szCs w:val="20"/>
              </w:rPr>
              <w:t xml:space="preserve">19 732 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vAlign w:val="bottom"/>
          </w:tcPr>
          <w:p w:rsidR="00F956CF" w:rsidRDefault="00F956CF" w:rsidP="00F956CF">
            <w:pPr>
              <w:tabs>
                <w:tab w:val="left" w:pos="142"/>
                <w:tab w:val="left" w:pos="851"/>
              </w:tabs>
              <w:ind w:right="-113"/>
              <w:jc w:val="right"/>
              <w:rPr>
                <w:sz w:val="20"/>
                <w:szCs w:val="20"/>
              </w:rPr>
            </w:pPr>
          </w:p>
        </w:tc>
      </w:tr>
      <w:tr w:rsidR="00F956CF" w:rsidRPr="008B7DA3" w:rsidTr="00F956CF">
        <w:trPr>
          <w:trHeight w:val="1442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F956CF" w:rsidRPr="008B7DA3" w:rsidRDefault="00F956CF" w:rsidP="00F956CF">
            <w:pPr>
              <w:rPr>
                <w:sz w:val="20"/>
                <w:szCs w:val="20"/>
              </w:rPr>
            </w:pPr>
          </w:p>
        </w:tc>
        <w:tc>
          <w:tcPr>
            <w:tcW w:w="3358" w:type="dxa"/>
            <w:vMerge/>
            <w:vAlign w:val="center"/>
          </w:tcPr>
          <w:p w:rsidR="00F956CF" w:rsidRPr="008B7DA3" w:rsidRDefault="00F956CF" w:rsidP="00F956CF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F956CF" w:rsidRDefault="00F956CF" w:rsidP="00F956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Latgale </w:t>
            </w:r>
          </w:p>
        </w:tc>
        <w:tc>
          <w:tcPr>
            <w:tcW w:w="1556" w:type="dxa"/>
            <w:vMerge/>
          </w:tcPr>
          <w:p w:rsidR="00F956CF" w:rsidRDefault="00F956CF" w:rsidP="00F956C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:rsidR="00F956CF" w:rsidRPr="000C3B3A" w:rsidRDefault="00F956CF" w:rsidP="00F956CF">
            <w:pPr>
              <w:pStyle w:val="Default"/>
              <w:jc w:val="center"/>
              <w:rPr>
                <w:sz w:val="20"/>
                <w:szCs w:val="20"/>
              </w:rPr>
            </w:pPr>
            <w:r w:rsidRPr="000C3B3A">
              <w:rPr>
                <w:sz w:val="20"/>
                <w:szCs w:val="20"/>
              </w:rPr>
              <w:t>44 899</w:t>
            </w: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  <w:vAlign w:val="bottom"/>
          </w:tcPr>
          <w:p w:rsidR="00F956CF" w:rsidRDefault="00F956CF" w:rsidP="00F956CF">
            <w:pPr>
              <w:tabs>
                <w:tab w:val="left" w:pos="142"/>
                <w:tab w:val="left" w:pos="851"/>
              </w:tabs>
              <w:ind w:right="-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”;</w:t>
            </w:r>
          </w:p>
        </w:tc>
      </w:tr>
    </w:tbl>
    <w:p w:rsidR="003D288F" w:rsidRDefault="003D288F" w:rsidP="00DF5312">
      <w:pPr>
        <w:pStyle w:val="Default"/>
        <w:ind w:left="720"/>
        <w:jc w:val="both"/>
        <w:rPr>
          <w:sz w:val="26"/>
          <w:szCs w:val="26"/>
        </w:rPr>
      </w:pPr>
    </w:p>
    <w:p w:rsidR="001B69FE" w:rsidRPr="00E73112" w:rsidRDefault="00905512" w:rsidP="003B0D3C">
      <w:pPr>
        <w:pStyle w:val="Default"/>
        <w:numPr>
          <w:ilvl w:val="1"/>
          <w:numId w:val="5"/>
        </w:numPr>
        <w:tabs>
          <w:tab w:val="clear" w:pos="1440"/>
          <w:tab w:val="num" w:pos="0"/>
        </w:tabs>
        <w:ind w:left="0" w:firstLine="709"/>
        <w:jc w:val="both"/>
        <w:rPr>
          <w:sz w:val="28"/>
          <w:szCs w:val="28"/>
        </w:rPr>
      </w:pPr>
      <w:r w:rsidRPr="00E73112">
        <w:rPr>
          <w:sz w:val="28"/>
          <w:szCs w:val="28"/>
        </w:rPr>
        <w:t>izteikt</w:t>
      </w:r>
      <w:r w:rsidR="001B69FE" w:rsidRPr="00E73112">
        <w:rPr>
          <w:sz w:val="28"/>
          <w:szCs w:val="28"/>
        </w:rPr>
        <w:t xml:space="preserve"> 308.punktu </w:t>
      </w:r>
      <w:r w:rsidRPr="00E73112">
        <w:rPr>
          <w:sz w:val="28"/>
          <w:szCs w:val="28"/>
        </w:rPr>
        <w:t>šādā redakcijā:</w:t>
      </w:r>
    </w:p>
    <w:p w:rsidR="001B69FE" w:rsidRPr="00E73112" w:rsidRDefault="00905512" w:rsidP="00905512">
      <w:pPr>
        <w:pStyle w:val="Default"/>
        <w:ind w:firstLine="709"/>
        <w:jc w:val="both"/>
        <w:rPr>
          <w:rFonts w:eastAsia="Calibri"/>
          <w:sz w:val="28"/>
          <w:szCs w:val="28"/>
        </w:rPr>
      </w:pPr>
      <w:r w:rsidRPr="00E73112">
        <w:rPr>
          <w:rFonts w:eastAsia="Calibri"/>
          <w:sz w:val="28"/>
          <w:szCs w:val="28"/>
        </w:rPr>
        <w:t xml:space="preserve">„308. Atbalsts veids: Karjeras plānošanas konsultācijas, individuālas speciālistu konsultācijas un grupu konsultācijas, kas veicina personas pašapziņas paaugstināšanos un motivāciju integrēties darba tirgū; jauniešu darba prakse (ietverot teorētiskās apmācības), nodrošinot iespēju jauniešiem bezdarbniekiem iegūt darba iemaņas; pasākums „Darba vieta jaunietim”, kas vērsts uz jauniešu bezdarbnieku integrēšanu darba tirgū, vienlaikus veicinot pastāvīgas darba vietas izveidi un jauniešu bezdarbnieku pastāvīgu nodarbinātību; pasākums „Darbnīcas jauniešiem”, kura ietvaros jaunieši bezdarbnieki izglītības iestādē iepazīst trīs profesionālās izglītības programmas un to specifiku, kas ļautu izvēlēties jauniešiem bezdarbniekiem izglītības un profesionālās darbības jomu; atbalsta </w:t>
      </w:r>
      <w:r w:rsidRPr="00E73112">
        <w:rPr>
          <w:rFonts w:eastAsia="Calibri"/>
          <w:sz w:val="28"/>
          <w:szCs w:val="28"/>
        </w:rPr>
        <w:lastRenderedPageBreak/>
        <w:t xml:space="preserve">pasākumi bezdarbniekiem, kuru apgādībā ir bērns vecumā no pusotra gada līdz pamatizglītības ieguves uzsākšanai; atbalsta pasākumi ilgstošajiem bezdarbniekiem ar atkarības problēmām, kas dod iespēju ārstēt alkohola, narkotisko un psihotropo vielu atkarību; asistenta, </w:t>
      </w:r>
      <w:proofErr w:type="spellStart"/>
      <w:r w:rsidRPr="00E73112">
        <w:rPr>
          <w:rFonts w:eastAsia="Calibri"/>
          <w:sz w:val="28"/>
          <w:szCs w:val="28"/>
        </w:rPr>
        <w:t>ergoterapeita</w:t>
      </w:r>
      <w:proofErr w:type="spellEnd"/>
      <w:r w:rsidRPr="00E73112">
        <w:rPr>
          <w:rFonts w:eastAsia="Calibri"/>
          <w:sz w:val="28"/>
          <w:szCs w:val="28"/>
        </w:rPr>
        <w:t xml:space="preserve"> un surdotulka pakalpojumi personām ar invaliditāti; zinātnisks pētījums ilgstošam bezdarbam un citiem sociālās atstumtības riskiem pakļauto bezdarbnieku un viņu mājsaimniecību situācijas, atbalsta un aktivizācijas programmu izpētei un pilnveides priekšlikumu sagatavošanai; </w:t>
      </w:r>
      <w:r w:rsidRPr="00E73112">
        <w:rPr>
          <w:sz w:val="28"/>
          <w:szCs w:val="28"/>
        </w:rPr>
        <w:t>zinātnisks pētījums par jauniešu, kas nemācās, nestrādā un neapgūst arodu profilu un aktivizācijas iespējām.”;</w:t>
      </w:r>
    </w:p>
    <w:p w:rsidR="00905512" w:rsidRPr="00E73112" w:rsidRDefault="00905512" w:rsidP="001B69FE">
      <w:pPr>
        <w:pStyle w:val="Default"/>
        <w:ind w:left="1440"/>
        <w:jc w:val="both"/>
        <w:rPr>
          <w:sz w:val="28"/>
          <w:szCs w:val="28"/>
        </w:rPr>
      </w:pPr>
    </w:p>
    <w:p w:rsidR="003D288F" w:rsidRPr="00E73112" w:rsidRDefault="003D288F" w:rsidP="006F747F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E73112">
        <w:rPr>
          <w:sz w:val="28"/>
          <w:szCs w:val="28"/>
        </w:rPr>
        <w:t>izteikt 311.punktu šādā redakcijā:</w:t>
      </w:r>
    </w:p>
    <w:p w:rsidR="003D288F" w:rsidRPr="00E73112" w:rsidRDefault="003D288F" w:rsidP="00F6160F">
      <w:pPr>
        <w:pStyle w:val="Default"/>
        <w:ind w:firstLine="709"/>
        <w:jc w:val="both"/>
        <w:rPr>
          <w:sz w:val="28"/>
          <w:szCs w:val="28"/>
        </w:rPr>
      </w:pPr>
      <w:r w:rsidRPr="00E73112">
        <w:rPr>
          <w:sz w:val="28"/>
          <w:szCs w:val="28"/>
        </w:rPr>
        <w:t xml:space="preserve">„311. Minimālais un maksimālais projekta finansējuma apjoms: Minimālā attiecināmo izmaksu kopsumma projektam nav ierobežota. Maksimālā attiecināmo izmaksu kopsumma ir EUR </w:t>
      </w:r>
      <w:r w:rsidR="00495D1D" w:rsidRPr="00E73112">
        <w:rPr>
          <w:sz w:val="28"/>
          <w:szCs w:val="28"/>
        </w:rPr>
        <w:t>18 136 721</w:t>
      </w:r>
      <w:r w:rsidRPr="00E73112">
        <w:rPr>
          <w:sz w:val="28"/>
          <w:szCs w:val="28"/>
        </w:rPr>
        <w:t>.”;</w:t>
      </w:r>
    </w:p>
    <w:p w:rsidR="003D288F" w:rsidRPr="00E73112" w:rsidRDefault="003D288F" w:rsidP="00F6160F">
      <w:pPr>
        <w:pStyle w:val="Default"/>
        <w:ind w:firstLine="709"/>
        <w:jc w:val="both"/>
        <w:rPr>
          <w:sz w:val="28"/>
          <w:szCs w:val="28"/>
        </w:rPr>
      </w:pPr>
    </w:p>
    <w:p w:rsidR="003D288F" w:rsidRPr="00E73112" w:rsidRDefault="003D288F" w:rsidP="006F747F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E73112">
        <w:rPr>
          <w:sz w:val="28"/>
          <w:szCs w:val="28"/>
        </w:rPr>
        <w:t>izteikt 1.4.1.pasākuma „Sociālā iekļaušana” tabulu „Finanšu plāns” šādā redakcijā:</w:t>
      </w:r>
    </w:p>
    <w:p w:rsidR="003D288F" w:rsidRPr="00E73112" w:rsidRDefault="003D288F" w:rsidP="00796479">
      <w:pPr>
        <w:tabs>
          <w:tab w:val="left" w:pos="0"/>
        </w:tabs>
        <w:jc w:val="center"/>
        <w:rPr>
          <w:sz w:val="28"/>
          <w:szCs w:val="28"/>
        </w:rPr>
      </w:pPr>
      <w:r w:rsidRPr="00E73112">
        <w:rPr>
          <w:b/>
          <w:bCs/>
          <w:sz w:val="28"/>
          <w:szCs w:val="28"/>
        </w:rPr>
        <w:t>„Finanšu plāns</w:t>
      </w:r>
    </w:p>
    <w:p w:rsidR="003D288F" w:rsidRPr="00B654D7" w:rsidRDefault="003D288F" w:rsidP="00796479">
      <w:pPr>
        <w:pStyle w:val="StyleEE-numbering12pt"/>
        <w:tabs>
          <w:tab w:val="clear" w:pos="0"/>
        </w:tabs>
        <w:ind w:firstLine="0"/>
        <w:rPr>
          <w:sz w:val="26"/>
          <w:szCs w:val="26"/>
        </w:rPr>
      </w:pPr>
    </w:p>
    <w:tbl>
      <w:tblPr>
        <w:tblW w:w="991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118"/>
        <w:gridCol w:w="1134"/>
        <w:gridCol w:w="1417"/>
        <w:gridCol w:w="1134"/>
        <w:gridCol w:w="1276"/>
        <w:gridCol w:w="1276"/>
        <w:gridCol w:w="280"/>
      </w:tblGrid>
      <w:tr w:rsidR="003D288F" w:rsidRPr="00363C1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D288F" w:rsidRPr="00363C18" w:rsidRDefault="003D288F" w:rsidP="00D80457">
            <w:pPr>
              <w:tabs>
                <w:tab w:val="left" w:pos="851"/>
                <w:tab w:val="left" w:pos="993"/>
              </w:tabs>
              <w:rPr>
                <w:sz w:val="20"/>
                <w:szCs w:val="20"/>
              </w:rPr>
            </w:pPr>
            <w:r w:rsidRPr="00363C18">
              <w:rPr>
                <w:sz w:val="20"/>
                <w:szCs w:val="20"/>
              </w:rPr>
              <w:t>„</w:t>
            </w:r>
          </w:p>
        </w:tc>
        <w:tc>
          <w:tcPr>
            <w:tcW w:w="3118" w:type="dxa"/>
            <w:vAlign w:val="center"/>
          </w:tcPr>
          <w:p w:rsidR="003D288F" w:rsidRPr="00363C18" w:rsidRDefault="003D288F" w:rsidP="00D80457">
            <w:pPr>
              <w:tabs>
                <w:tab w:val="left" w:pos="851"/>
                <w:tab w:val="left" w:pos="993"/>
              </w:tabs>
              <w:rPr>
                <w:b/>
                <w:bCs/>
                <w:sz w:val="20"/>
                <w:szCs w:val="20"/>
              </w:rPr>
            </w:pPr>
            <w:r w:rsidRPr="00363C18">
              <w:rPr>
                <w:b/>
                <w:bCs/>
                <w:sz w:val="20"/>
                <w:szCs w:val="20"/>
              </w:rPr>
              <w:t>Gads/Investīcijas joma</w:t>
            </w:r>
          </w:p>
        </w:tc>
        <w:tc>
          <w:tcPr>
            <w:tcW w:w="1134" w:type="dxa"/>
            <w:vAlign w:val="center"/>
          </w:tcPr>
          <w:p w:rsidR="003D288F" w:rsidRPr="00363C18" w:rsidRDefault="003D288F" w:rsidP="00D80457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C18">
              <w:rPr>
                <w:b/>
                <w:bCs/>
                <w:sz w:val="20"/>
                <w:szCs w:val="20"/>
              </w:rPr>
              <w:t>Kopā, EUR</w:t>
            </w:r>
          </w:p>
        </w:tc>
        <w:tc>
          <w:tcPr>
            <w:tcW w:w="1417" w:type="dxa"/>
            <w:vAlign w:val="center"/>
          </w:tcPr>
          <w:p w:rsidR="003D288F" w:rsidRPr="00363C18" w:rsidRDefault="003D288F" w:rsidP="00D80457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C18">
              <w:rPr>
                <w:b/>
                <w:bCs/>
                <w:sz w:val="20"/>
                <w:szCs w:val="20"/>
              </w:rPr>
              <w:t>Publiskais finansējums,</w:t>
            </w:r>
          </w:p>
          <w:p w:rsidR="003D288F" w:rsidRPr="00363C18" w:rsidRDefault="003D288F" w:rsidP="00D80457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C18"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134" w:type="dxa"/>
            <w:vAlign w:val="center"/>
          </w:tcPr>
          <w:p w:rsidR="003D288F" w:rsidRPr="00363C18" w:rsidRDefault="003D288F" w:rsidP="00D80457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C18">
              <w:rPr>
                <w:b/>
                <w:bCs/>
                <w:sz w:val="20"/>
                <w:szCs w:val="20"/>
              </w:rPr>
              <w:t>ESF,</w:t>
            </w:r>
          </w:p>
          <w:p w:rsidR="003D288F" w:rsidRPr="00363C18" w:rsidRDefault="003D288F" w:rsidP="00D80457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C18"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1276" w:type="dxa"/>
            <w:vAlign w:val="center"/>
          </w:tcPr>
          <w:p w:rsidR="003D288F" w:rsidRPr="00363C18" w:rsidRDefault="003D288F" w:rsidP="00D80457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C18">
              <w:rPr>
                <w:b/>
                <w:bCs/>
                <w:sz w:val="20"/>
                <w:szCs w:val="20"/>
              </w:rPr>
              <w:t>Nacionālais publiskais finansējums, EUR</w:t>
            </w:r>
          </w:p>
        </w:tc>
        <w:tc>
          <w:tcPr>
            <w:tcW w:w="1276" w:type="dxa"/>
            <w:vAlign w:val="center"/>
          </w:tcPr>
          <w:p w:rsidR="003D288F" w:rsidRPr="00363C18" w:rsidRDefault="003D288F" w:rsidP="00D80457">
            <w:pPr>
              <w:tabs>
                <w:tab w:val="left" w:pos="851"/>
                <w:tab w:val="left" w:pos="993"/>
              </w:tabs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63C18">
              <w:rPr>
                <w:b/>
                <w:bCs/>
                <w:sz w:val="20"/>
                <w:szCs w:val="20"/>
              </w:rPr>
              <w:t>Privātais finansējums,</w:t>
            </w:r>
          </w:p>
          <w:p w:rsidR="003D288F" w:rsidRPr="00363C18" w:rsidRDefault="003D288F" w:rsidP="00D80457">
            <w:pPr>
              <w:tabs>
                <w:tab w:val="left" w:pos="851"/>
                <w:tab w:val="left" w:pos="99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363C18">
              <w:rPr>
                <w:b/>
                <w:bCs/>
                <w:sz w:val="20"/>
                <w:szCs w:val="20"/>
              </w:rPr>
              <w:t>EUR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D288F" w:rsidRPr="00363C18" w:rsidRDefault="003D288F" w:rsidP="00D80457">
            <w:pPr>
              <w:tabs>
                <w:tab w:val="left" w:pos="851"/>
                <w:tab w:val="left" w:pos="993"/>
              </w:tabs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288F" w:rsidRPr="00363C18">
        <w:trPr>
          <w:trHeight w:val="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D288F" w:rsidRPr="00363C18" w:rsidRDefault="003D288F" w:rsidP="00D80457">
            <w:pPr>
              <w:tabs>
                <w:tab w:val="left" w:pos="851"/>
                <w:tab w:val="left" w:pos="993"/>
              </w:tabs>
              <w:ind w:firstLine="7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D288F" w:rsidRPr="00363C18" w:rsidRDefault="003D288F" w:rsidP="00D80457">
            <w:pPr>
              <w:tabs>
                <w:tab w:val="left" w:pos="851"/>
                <w:tab w:val="left" w:pos="993"/>
              </w:tabs>
              <w:ind w:firstLine="720"/>
              <w:rPr>
                <w:b/>
                <w:bCs/>
                <w:sz w:val="20"/>
                <w:szCs w:val="20"/>
              </w:rPr>
            </w:pPr>
            <w:r w:rsidRPr="00363C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3D288F" w:rsidRPr="00363C18" w:rsidRDefault="003D288F" w:rsidP="00D80457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63C18">
              <w:rPr>
                <w:sz w:val="20"/>
                <w:szCs w:val="20"/>
              </w:rPr>
              <w:t>1=2+5</w:t>
            </w:r>
          </w:p>
        </w:tc>
        <w:tc>
          <w:tcPr>
            <w:tcW w:w="1417" w:type="dxa"/>
            <w:vAlign w:val="center"/>
          </w:tcPr>
          <w:p w:rsidR="003D288F" w:rsidRPr="00363C18" w:rsidRDefault="003D288F" w:rsidP="00D80457">
            <w:pPr>
              <w:tabs>
                <w:tab w:val="left" w:pos="851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363C18">
              <w:rPr>
                <w:sz w:val="20"/>
                <w:szCs w:val="20"/>
              </w:rPr>
              <w:t>2=3+4</w:t>
            </w:r>
          </w:p>
        </w:tc>
        <w:tc>
          <w:tcPr>
            <w:tcW w:w="1134" w:type="dxa"/>
            <w:vAlign w:val="center"/>
          </w:tcPr>
          <w:p w:rsidR="003D288F" w:rsidRPr="00363C18" w:rsidRDefault="003D288F" w:rsidP="00D80457">
            <w:pPr>
              <w:tabs>
                <w:tab w:val="left" w:pos="851"/>
                <w:tab w:val="left" w:pos="993"/>
              </w:tabs>
              <w:ind w:firstLine="720"/>
              <w:jc w:val="center"/>
              <w:rPr>
                <w:sz w:val="20"/>
                <w:szCs w:val="20"/>
              </w:rPr>
            </w:pPr>
            <w:r w:rsidRPr="00363C1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D288F" w:rsidRPr="00363C18" w:rsidRDefault="003D288F" w:rsidP="00D80457">
            <w:pPr>
              <w:tabs>
                <w:tab w:val="left" w:pos="851"/>
                <w:tab w:val="left" w:pos="993"/>
              </w:tabs>
              <w:ind w:firstLine="720"/>
              <w:jc w:val="center"/>
              <w:rPr>
                <w:sz w:val="20"/>
                <w:szCs w:val="20"/>
              </w:rPr>
            </w:pPr>
            <w:r w:rsidRPr="00363C1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D288F" w:rsidRPr="00363C18" w:rsidRDefault="003D288F" w:rsidP="00D80457">
            <w:pPr>
              <w:tabs>
                <w:tab w:val="left" w:pos="851"/>
                <w:tab w:val="left" w:pos="993"/>
              </w:tabs>
              <w:ind w:firstLine="720"/>
              <w:jc w:val="center"/>
              <w:rPr>
                <w:sz w:val="20"/>
                <w:szCs w:val="20"/>
              </w:rPr>
            </w:pPr>
            <w:r w:rsidRPr="00363C18">
              <w:rPr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D288F" w:rsidRPr="00363C18" w:rsidRDefault="003D288F" w:rsidP="00D80457">
            <w:pPr>
              <w:tabs>
                <w:tab w:val="left" w:pos="851"/>
                <w:tab w:val="left" w:pos="993"/>
              </w:tabs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3D288F" w:rsidRPr="00363C18">
        <w:trPr>
          <w:trHeight w:val="30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D288F" w:rsidRPr="00363C18" w:rsidRDefault="003D288F" w:rsidP="00D80457">
            <w:pPr>
              <w:pStyle w:val="NormalWeb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D288F" w:rsidRPr="00363C18" w:rsidRDefault="003D288F" w:rsidP="00D80457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363C18">
              <w:rPr>
                <w:b/>
                <w:bCs/>
                <w:sz w:val="20"/>
                <w:szCs w:val="20"/>
              </w:rPr>
              <w:t xml:space="preserve">1.4.1. </w:t>
            </w:r>
            <w:proofErr w:type="spellStart"/>
            <w:r w:rsidRPr="00363C18">
              <w:rPr>
                <w:b/>
                <w:bCs/>
                <w:sz w:val="20"/>
                <w:szCs w:val="20"/>
              </w:rPr>
              <w:t>Sociālā</w:t>
            </w:r>
            <w:proofErr w:type="spellEnd"/>
            <w:r w:rsidRPr="00363C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3C18">
              <w:rPr>
                <w:b/>
                <w:bCs/>
                <w:sz w:val="20"/>
                <w:szCs w:val="20"/>
              </w:rPr>
              <w:t>iekļaušana</w:t>
            </w:r>
            <w:proofErr w:type="spellEnd"/>
          </w:p>
        </w:tc>
        <w:tc>
          <w:tcPr>
            <w:tcW w:w="1134" w:type="dxa"/>
            <w:vAlign w:val="center"/>
          </w:tcPr>
          <w:p w:rsidR="003D288F" w:rsidRPr="001D2B27" w:rsidRDefault="003D288F" w:rsidP="00D8045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51 591 383</w:t>
            </w:r>
          </w:p>
        </w:tc>
        <w:tc>
          <w:tcPr>
            <w:tcW w:w="1417" w:type="dxa"/>
            <w:vAlign w:val="center"/>
          </w:tcPr>
          <w:p w:rsidR="003D288F" w:rsidRPr="001D2B27" w:rsidRDefault="003D288F" w:rsidP="00D8045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51 591 383</w:t>
            </w:r>
          </w:p>
        </w:tc>
        <w:tc>
          <w:tcPr>
            <w:tcW w:w="1134" w:type="dxa"/>
            <w:vAlign w:val="center"/>
          </w:tcPr>
          <w:p w:rsidR="003D288F" w:rsidRPr="001D2B27" w:rsidRDefault="003D288F" w:rsidP="00D8045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48 014 823</w:t>
            </w:r>
          </w:p>
        </w:tc>
        <w:tc>
          <w:tcPr>
            <w:tcW w:w="1276" w:type="dxa"/>
            <w:vAlign w:val="center"/>
          </w:tcPr>
          <w:p w:rsidR="003D288F" w:rsidRPr="001D2B27" w:rsidRDefault="003D288F" w:rsidP="00D8045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3 576 560</w:t>
            </w:r>
          </w:p>
        </w:tc>
        <w:tc>
          <w:tcPr>
            <w:tcW w:w="1276" w:type="dxa"/>
            <w:vAlign w:val="center"/>
          </w:tcPr>
          <w:p w:rsidR="003D288F" w:rsidRPr="001D2B27" w:rsidRDefault="003D288F" w:rsidP="00D8045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D288F" w:rsidRPr="00363C18" w:rsidRDefault="003D288F" w:rsidP="00D80457">
            <w:pPr>
              <w:pStyle w:val="NormalWeb"/>
              <w:rPr>
                <w:b/>
                <w:bCs/>
                <w:sz w:val="20"/>
                <w:szCs w:val="20"/>
              </w:rPr>
            </w:pPr>
          </w:p>
        </w:tc>
      </w:tr>
      <w:tr w:rsidR="003D288F" w:rsidRPr="00363C18">
        <w:trPr>
          <w:trHeight w:val="76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D288F" w:rsidRPr="00363C18" w:rsidRDefault="003D288F" w:rsidP="00D80457">
            <w:pPr>
              <w:pStyle w:val="NormalWeb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D288F" w:rsidRPr="00363C18" w:rsidRDefault="003D288F" w:rsidP="00D80457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363C18">
              <w:rPr>
                <w:b/>
                <w:bCs/>
                <w:sz w:val="20"/>
                <w:szCs w:val="20"/>
              </w:rPr>
              <w:t xml:space="preserve">1.4.1.1. </w:t>
            </w:r>
            <w:proofErr w:type="spellStart"/>
            <w:r w:rsidRPr="00363C18">
              <w:rPr>
                <w:b/>
                <w:bCs/>
                <w:sz w:val="20"/>
                <w:szCs w:val="20"/>
              </w:rPr>
              <w:t>Iedzīvotāju</w:t>
            </w:r>
            <w:proofErr w:type="spellEnd"/>
            <w:r w:rsidRPr="00363C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3C18">
              <w:rPr>
                <w:b/>
                <w:bCs/>
                <w:sz w:val="20"/>
                <w:szCs w:val="20"/>
              </w:rPr>
              <w:t>ekonomiskās</w:t>
            </w:r>
            <w:proofErr w:type="spellEnd"/>
            <w:r w:rsidRPr="00363C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3C18">
              <w:rPr>
                <w:b/>
                <w:bCs/>
                <w:sz w:val="20"/>
                <w:szCs w:val="20"/>
              </w:rPr>
              <w:t>aktivitātes</w:t>
            </w:r>
            <w:proofErr w:type="spellEnd"/>
            <w:r w:rsidRPr="00363C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3C18">
              <w:rPr>
                <w:b/>
                <w:bCs/>
                <w:sz w:val="20"/>
                <w:szCs w:val="20"/>
              </w:rPr>
              <w:t>stimulēšana</w:t>
            </w:r>
            <w:proofErr w:type="spellEnd"/>
          </w:p>
        </w:tc>
        <w:tc>
          <w:tcPr>
            <w:tcW w:w="1134" w:type="dxa"/>
            <w:vAlign w:val="center"/>
          </w:tcPr>
          <w:p w:rsidR="003D288F" w:rsidRPr="001D2B27" w:rsidRDefault="003D288F" w:rsidP="00E3021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31</w:t>
            </w:r>
            <w:r w:rsidR="00E30217" w:rsidRPr="001D2B27">
              <w:rPr>
                <w:bCs/>
                <w:sz w:val="20"/>
                <w:szCs w:val="20"/>
              </w:rPr>
              <w:t> 411 898</w:t>
            </w:r>
          </w:p>
        </w:tc>
        <w:tc>
          <w:tcPr>
            <w:tcW w:w="1417" w:type="dxa"/>
            <w:vAlign w:val="center"/>
          </w:tcPr>
          <w:p w:rsidR="003D288F" w:rsidRPr="001D2B27" w:rsidRDefault="003D288F" w:rsidP="00E3021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31</w:t>
            </w:r>
            <w:r w:rsidR="00E30217" w:rsidRPr="001D2B27">
              <w:rPr>
                <w:bCs/>
                <w:sz w:val="20"/>
                <w:szCs w:val="20"/>
              </w:rPr>
              <w:t> 411 898</w:t>
            </w:r>
          </w:p>
        </w:tc>
        <w:tc>
          <w:tcPr>
            <w:tcW w:w="1134" w:type="dxa"/>
            <w:vAlign w:val="center"/>
          </w:tcPr>
          <w:p w:rsidR="003D288F" w:rsidRPr="001D2B27" w:rsidRDefault="003D288F" w:rsidP="00D260AB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29</w:t>
            </w:r>
            <w:r w:rsidR="00D260AB" w:rsidRPr="001D2B27">
              <w:rPr>
                <w:bCs/>
                <w:sz w:val="20"/>
                <w:szCs w:val="20"/>
              </w:rPr>
              <w:t> 093 506</w:t>
            </w:r>
          </w:p>
        </w:tc>
        <w:tc>
          <w:tcPr>
            <w:tcW w:w="1276" w:type="dxa"/>
            <w:vAlign w:val="center"/>
          </w:tcPr>
          <w:p w:rsidR="003D288F" w:rsidRPr="001D2B27" w:rsidRDefault="003D288F" w:rsidP="00D8045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2 318 392</w:t>
            </w:r>
          </w:p>
        </w:tc>
        <w:tc>
          <w:tcPr>
            <w:tcW w:w="1276" w:type="dxa"/>
            <w:vAlign w:val="center"/>
          </w:tcPr>
          <w:p w:rsidR="003D288F" w:rsidRPr="001D2B27" w:rsidRDefault="003D288F" w:rsidP="00D8045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D288F" w:rsidRPr="00363C18" w:rsidRDefault="003D288F" w:rsidP="00D80457">
            <w:pPr>
              <w:pStyle w:val="NormalWeb"/>
              <w:rPr>
                <w:b/>
                <w:bCs/>
                <w:sz w:val="20"/>
                <w:szCs w:val="20"/>
              </w:rPr>
            </w:pPr>
          </w:p>
        </w:tc>
      </w:tr>
      <w:tr w:rsidR="003D288F" w:rsidRPr="00363C1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D288F" w:rsidRPr="00363C18" w:rsidRDefault="003D288F" w:rsidP="00D80457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vAlign w:val="center"/>
          </w:tcPr>
          <w:p w:rsidR="003D288F" w:rsidRPr="00363C18" w:rsidRDefault="003D288F" w:rsidP="00D80457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363C18">
              <w:rPr>
                <w:b/>
                <w:bCs/>
                <w:sz w:val="20"/>
                <w:szCs w:val="20"/>
                <w:lang w:val="lv-LV"/>
              </w:rPr>
              <w:t>1.4.1.1.1. Kompleksi atbalsta pasākumi iedzīvotāju integrēšanai sabiedrībā un darba tirgū</w:t>
            </w:r>
          </w:p>
        </w:tc>
        <w:tc>
          <w:tcPr>
            <w:tcW w:w="1134" w:type="dxa"/>
            <w:vAlign w:val="center"/>
          </w:tcPr>
          <w:p w:rsidR="003D288F" w:rsidRPr="001D2B27" w:rsidRDefault="003D288F" w:rsidP="007C3CA9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18</w:t>
            </w:r>
            <w:r w:rsidR="007C3CA9" w:rsidRPr="001D2B27">
              <w:rPr>
                <w:bCs/>
                <w:sz w:val="20"/>
                <w:szCs w:val="20"/>
              </w:rPr>
              <w:t> 136 721</w:t>
            </w:r>
          </w:p>
        </w:tc>
        <w:tc>
          <w:tcPr>
            <w:tcW w:w="1417" w:type="dxa"/>
            <w:vAlign w:val="center"/>
          </w:tcPr>
          <w:p w:rsidR="003D288F" w:rsidRPr="001D2B27" w:rsidRDefault="003D288F" w:rsidP="007C3CA9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18</w:t>
            </w:r>
            <w:r w:rsidR="007C3CA9" w:rsidRPr="001D2B27">
              <w:rPr>
                <w:bCs/>
                <w:sz w:val="20"/>
                <w:szCs w:val="20"/>
              </w:rPr>
              <w:t> 136 721</w:t>
            </w:r>
          </w:p>
        </w:tc>
        <w:tc>
          <w:tcPr>
            <w:tcW w:w="1134" w:type="dxa"/>
            <w:vAlign w:val="center"/>
          </w:tcPr>
          <w:p w:rsidR="003D288F" w:rsidRPr="001D2B27" w:rsidRDefault="003D288F" w:rsidP="007C3CA9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16</w:t>
            </w:r>
            <w:r w:rsidR="007C3CA9" w:rsidRPr="001D2B27">
              <w:rPr>
                <w:bCs/>
                <w:sz w:val="20"/>
                <w:szCs w:val="20"/>
              </w:rPr>
              <w:t> 707 386</w:t>
            </w:r>
          </w:p>
        </w:tc>
        <w:tc>
          <w:tcPr>
            <w:tcW w:w="1276" w:type="dxa"/>
            <w:vAlign w:val="center"/>
          </w:tcPr>
          <w:p w:rsidR="003D288F" w:rsidRPr="001D2B27" w:rsidRDefault="003D288F" w:rsidP="007C3CA9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 xml:space="preserve">1 429 </w:t>
            </w:r>
            <w:r w:rsidR="007C3CA9" w:rsidRPr="001D2B27">
              <w:rPr>
                <w:bCs/>
                <w:sz w:val="20"/>
                <w:szCs w:val="20"/>
              </w:rPr>
              <w:t>335</w:t>
            </w:r>
          </w:p>
        </w:tc>
        <w:tc>
          <w:tcPr>
            <w:tcW w:w="1276" w:type="dxa"/>
            <w:vAlign w:val="center"/>
          </w:tcPr>
          <w:p w:rsidR="003D288F" w:rsidRPr="001D2B27" w:rsidRDefault="003D288F" w:rsidP="00D8045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D288F" w:rsidRPr="00363C18" w:rsidRDefault="003D288F" w:rsidP="00D80457">
            <w:pPr>
              <w:pStyle w:val="NormalWeb"/>
              <w:rPr>
                <w:b/>
                <w:bCs/>
                <w:sz w:val="20"/>
                <w:szCs w:val="20"/>
              </w:rPr>
            </w:pPr>
          </w:p>
        </w:tc>
      </w:tr>
      <w:tr w:rsidR="003D288F" w:rsidRPr="00363C1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D288F" w:rsidRPr="00363C18" w:rsidRDefault="003D288F" w:rsidP="00D80457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vAlign w:val="center"/>
          </w:tcPr>
          <w:p w:rsidR="003D288F" w:rsidRPr="00363C18" w:rsidRDefault="003D288F" w:rsidP="00D80457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363C18">
              <w:rPr>
                <w:b/>
                <w:bCs/>
                <w:sz w:val="20"/>
                <w:szCs w:val="20"/>
                <w:lang w:val="lv-LV"/>
              </w:rPr>
              <w:t>1.4.1.1.2. Atbalstītās nodarbinātības pasākumi mērķgrupu bezdarbniekiem</w:t>
            </w:r>
          </w:p>
        </w:tc>
        <w:tc>
          <w:tcPr>
            <w:tcW w:w="1134" w:type="dxa"/>
            <w:vAlign w:val="center"/>
          </w:tcPr>
          <w:p w:rsidR="003D288F" w:rsidRPr="001D2B27" w:rsidRDefault="003D288F" w:rsidP="008B7D04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13</w:t>
            </w:r>
            <w:r w:rsidR="008B7D04" w:rsidRPr="001D2B27">
              <w:rPr>
                <w:bCs/>
                <w:sz w:val="20"/>
                <w:szCs w:val="20"/>
              </w:rPr>
              <w:t> 275 177</w:t>
            </w:r>
          </w:p>
        </w:tc>
        <w:tc>
          <w:tcPr>
            <w:tcW w:w="1417" w:type="dxa"/>
            <w:vAlign w:val="center"/>
          </w:tcPr>
          <w:p w:rsidR="003D288F" w:rsidRPr="001D2B27" w:rsidRDefault="003D288F" w:rsidP="00C772F9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13</w:t>
            </w:r>
            <w:r w:rsidR="00C772F9" w:rsidRPr="001D2B27">
              <w:rPr>
                <w:bCs/>
                <w:sz w:val="20"/>
                <w:szCs w:val="20"/>
              </w:rPr>
              <w:t> 275 177</w:t>
            </w:r>
          </w:p>
        </w:tc>
        <w:tc>
          <w:tcPr>
            <w:tcW w:w="1134" w:type="dxa"/>
            <w:vAlign w:val="center"/>
          </w:tcPr>
          <w:p w:rsidR="003D288F" w:rsidRPr="001D2B27" w:rsidRDefault="003D288F" w:rsidP="00C772F9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12</w:t>
            </w:r>
            <w:r w:rsidR="00C772F9" w:rsidRPr="001D2B27">
              <w:rPr>
                <w:bCs/>
                <w:sz w:val="20"/>
                <w:szCs w:val="20"/>
              </w:rPr>
              <w:t> 386 120</w:t>
            </w:r>
          </w:p>
        </w:tc>
        <w:tc>
          <w:tcPr>
            <w:tcW w:w="1276" w:type="dxa"/>
            <w:vAlign w:val="center"/>
          </w:tcPr>
          <w:p w:rsidR="003D288F" w:rsidRPr="001D2B27" w:rsidRDefault="003D288F" w:rsidP="00C772F9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88</w:t>
            </w:r>
            <w:r w:rsidR="00C772F9" w:rsidRPr="001D2B27">
              <w:rPr>
                <w:bCs/>
                <w:sz w:val="20"/>
                <w:szCs w:val="20"/>
              </w:rPr>
              <w:t>9 057</w:t>
            </w:r>
          </w:p>
        </w:tc>
        <w:tc>
          <w:tcPr>
            <w:tcW w:w="1276" w:type="dxa"/>
            <w:vAlign w:val="center"/>
          </w:tcPr>
          <w:p w:rsidR="003D288F" w:rsidRPr="001D2B27" w:rsidRDefault="003D288F" w:rsidP="00D8045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D288F" w:rsidRPr="00363C18" w:rsidRDefault="003D288F" w:rsidP="00D80457">
            <w:pPr>
              <w:pStyle w:val="NormalWeb"/>
              <w:rPr>
                <w:b/>
                <w:bCs/>
                <w:sz w:val="20"/>
                <w:szCs w:val="20"/>
              </w:rPr>
            </w:pPr>
          </w:p>
        </w:tc>
      </w:tr>
      <w:tr w:rsidR="003D288F" w:rsidRPr="00363C18">
        <w:trPr>
          <w:trHeight w:val="113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D288F" w:rsidRPr="00363C18" w:rsidRDefault="003D288F" w:rsidP="00D80457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vAlign w:val="center"/>
          </w:tcPr>
          <w:p w:rsidR="003D288F" w:rsidRPr="00363C18" w:rsidRDefault="003D288F" w:rsidP="00D80457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363C18">
              <w:rPr>
                <w:b/>
                <w:bCs/>
                <w:sz w:val="20"/>
                <w:szCs w:val="20"/>
                <w:lang w:val="lv-LV"/>
              </w:rPr>
              <w:t>1.4.1.2. Darbspēju vērtēšanas sistēmas un sociālo pakalpojumu ieviešanas sistēmas pilnveidošana</w:t>
            </w:r>
          </w:p>
        </w:tc>
        <w:tc>
          <w:tcPr>
            <w:tcW w:w="1134" w:type="dxa"/>
            <w:vAlign w:val="center"/>
          </w:tcPr>
          <w:p w:rsidR="003D288F" w:rsidRPr="001D2B27" w:rsidRDefault="003D288F" w:rsidP="00E3021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20</w:t>
            </w:r>
            <w:r w:rsidR="00E30217" w:rsidRPr="001D2B27">
              <w:rPr>
                <w:bCs/>
                <w:sz w:val="20"/>
                <w:szCs w:val="20"/>
              </w:rPr>
              <w:t> 179 485</w:t>
            </w:r>
          </w:p>
        </w:tc>
        <w:tc>
          <w:tcPr>
            <w:tcW w:w="1417" w:type="dxa"/>
            <w:vAlign w:val="center"/>
          </w:tcPr>
          <w:p w:rsidR="003D288F" w:rsidRPr="001D2B27" w:rsidRDefault="003D288F" w:rsidP="00E3021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20</w:t>
            </w:r>
            <w:r w:rsidR="00E30217" w:rsidRPr="001D2B27">
              <w:rPr>
                <w:bCs/>
                <w:sz w:val="20"/>
                <w:szCs w:val="20"/>
              </w:rPr>
              <w:t> 179 485</w:t>
            </w:r>
          </w:p>
        </w:tc>
        <w:tc>
          <w:tcPr>
            <w:tcW w:w="1134" w:type="dxa"/>
            <w:vAlign w:val="center"/>
          </w:tcPr>
          <w:p w:rsidR="003D288F" w:rsidRPr="001D2B27" w:rsidRDefault="003D288F" w:rsidP="00DB7333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18</w:t>
            </w:r>
            <w:r w:rsidR="00DB7333" w:rsidRPr="001D2B27">
              <w:rPr>
                <w:bCs/>
                <w:sz w:val="20"/>
                <w:szCs w:val="20"/>
              </w:rPr>
              <w:t> 921 317</w:t>
            </w:r>
          </w:p>
        </w:tc>
        <w:tc>
          <w:tcPr>
            <w:tcW w:w="1276" w:type="dxa"/>
            <w:vAlign w:val="center"/>
          </w:tcPr>
          <w:p w:rsidR="003D288F" w:rsidRPr="001D2B27" w:rsidRDefault="003D288F" w:rsidP="00D8045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1 258 168</w:t>
            </w:r>
          </w:p>
        </w:tc>
        <w:tc>
          <w:tcPr>
            <w:tcW w:w="1276" w:type="dxa"/>
            <w:vAlign w:val="center"/>
          </w:tcPr>
          <w:p w:rsidR="003D288F" w:rsidRPr="001D2B27" w:rsidRDefault="003D288F" w:rsidP="00D8045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D288F" w:rsidRPr="00363C18" w:rsidRDefault="003D288F" w:rsidP="00D80457">
            <w:pPr>
              <w:pStyle w:val="NormalWeb"/>
              <w:rPr>
                <w:b/>
                <w:bCs/>
                <w:sz w:val="20"/>
                <w:szCs w:val="20"/>
              </w:rPr>
            </w:pPr>
          </w:p>
        </w:tc>
      </w:tr>
      <w:tr w:rsidR="003D288F" w:rsidRPr="00363C18">
        <w:trPr>
          <w:trHeight w:val="812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D288F" w:rsidRPr="00363C18" w:rsidRDefault="003D288F" w:rsidP="00D80457">
            <w:pPr>
              <w:pStyle w:val="NormalWeb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3D288F" w:rsidRPr="00363C18" w:rsidRDefault="003D288F" w:rsidP="00D80457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363C18">
              <w:rPr>
                <w:b/>
                <w:bCs/>
                <w:sz w:val="20"/>
                <w:szCs w:val="20"/>
              </w:rPr>
              <w:t xml:space="preserve">1.4.1.2.1. </w:t>
            </w:r>
            <w:proofErr w:type="spellStart"/>
            <w:r w:rsidRPr="00363C18">
              <w:rPr>
                <w:b/>
                <w:bCs/>
                <w:sz w:val="20"/>
                <w:szCs w:val="20"/>
              </w:rPr>
              <w:t>Darbspēju</w:t>
            </w:r>
            <w:proofErr w:type="spellEnd"/>
            <w:r w:rsidRPr="00363C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3C18">
              <w:rPr>
                <w:b/>
                <w:bCs/>
                <w:sz w:val="20"/>
                <w:szCs w:val="20"/>
              </w:rPr>
              <w:t>vērtēšanas</w:t>
            </w:r>
            <w:proofErr w:type="spellEnd"/>
            <w:r w:rsidRPr="00363C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3C18">
              <w:rPr>
                <w:b/>
                <w:bCs/>
                <w:sz w:val="20"/>
                <w:szCs w:val="20"/>
              </w:rPr>
              <w:t>sistēmas</w:t>
            </w:r>
            <w:proofErr w:type="spellEnd"/>
            <w:r w:rsidRPr="00363C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63C18">
              <w:rPr>
                <w:b/>
                <w:bCs/>
                <w:sz w:val="20"/>
                <w:szCs w:val="20"/>
              </w:rPr>
              <w:t>pilnveidošana</w:t>
            </w:r>
            <w:proofErr w:type="spellEnd"/>
          </w:p>
        </w:tc>
        <w:tc>
          <w:tcPr>
            <w:tcW w:w="1134" w:type="dxa"/>
            <w:vAlign w:val="center"/>
          </w:tcPr>
          <w:p w:rsidR="003D288F" w:rsidRPr="001D2B27" w:rsidRDefault="003D288F" w:rsidP="00D8045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2 112 691</w:t>
            </w:r>
          </w:p>
        </w:tc>
        <w:tc>
          <w:tcPr>
            <w:tcW w:w="1417" w:type="dxa"/>
            <w:vAlign w:val="center"/>
          </w:tcPr>
          <w:p w:rsidR="003D288F" w:rsidRPr="001D2B27" w:rsidRDefault="003D288F" w:rsidP="00D8045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2 112 691</w:t>
            </w:r>
          </w:p>
        </w:tc>
        <w:tc>
          <w:tcPr>
            <w:tcW w:w="1134" w:type="dxa"/>
            <w:vAlign w:val="center"/>
          </w:tcPr>
          <w:p w:rsidR="003D288F" w:rsidRPr="001D2B27" w:rsidRDefault="003D288F" w:rsidP="00D8045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1 795 787</w:t>
            </w:r>
          </w:p>
        </w:tc>
        <w:tc>
          <w:tcPr>
            <w:tcW w:w="1276" w:type="dxa"/>
            <w:vAlign w:val="center"/>
          </w:tcPr>
          <w:p w:rsidR="003D288F" w:rsidRPr="001D2B27" w:rsidRDefault="003D288F" w:rsidP="00D8045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316 904</w:t>
            </w:r>
          </w:p>
        </w:tc>
        <w:tc>
          <w:tcPr>
            <w:tcW w:w="1276" w:type="dxa"/>
            <w:vAlign w:val="center"/>
          </w:tcPr>
          <w:p w:rsidR="003D288F" w:rsidRPr="001D2B27" w:rsidRDefault="003D288F" w:rsidP="00D8045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D288F" w:rsidRPr="00363C18" w:rsidRDefault="003D288F" w:rsidP="00D80457">
            <w:pPr>
              <w:pStyle w:val="NormalWeb"/>
              <w:rPr>
                <w:b/>
                <w:bCs/>
                <w:sz w:val="20"/>
                <w:szCs w:val="20"/>
              </w:rPr>
            </w:pPr>
          </w:p>
        </w:tc>
      </w:tr>
      <w:tr w:rsidR="003D288F" w:rsidRPr="00363C1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D288F" w:rsidRPr="00363C18" w:rsidRDefault="003D288F" w:rsidP="00D80457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vAlign w:val="center"/>
          </w:tcPr>
          <w:p w:rsidR="003D288F" w:rsidRPr="00363C18" w:rsidRDefault="003D288F" w:rsidP="00D80457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363C18">
              <w:rPr>
                <w:b/>
                <w:bCs/>
                <w:sz w:val="20"/>
                <w:szCs w:val="20"/>
                <w:lang w:val="lv-LV"/>
              </w:rPr>
              <w:t>1.4.1.2.2. Sociālās rehabilitācijas pakalpojumu attīstība personām ar redzes un dzirdes traucējumiem</w:t>
            </w:r>
          </w:p>
        </w:tc>
        <w:tc>
          <w:tcPr>
            <w:tcW w:w="1134" w:type="dxa"/>
            <w:vAlign w:val="center"/>
          </w:tcPr>
          <w:p w:rsidR="003D288F" w:rsidRPr="001D2B27" w:rsidRDefault="003D288F" w:rsidP="00D8045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5 382 038</w:t>
            </w:r>
          </w:p>
        </w:tc>
        <w:tc>
          <w:tcPr>
            <w:tcW w:w="1417" w:type="dxa"/>
            <w:vAlign w:val="center"/>
          </w:tcPr>
          <w:p w:rsidR="003D288F" w:rsidRPr="001D2B27" w:rsidRDefault="003D288F" w:rsidP="00D8045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5 382 038</w:t>
            </w:r>
          </w:p>
        </w:tc>
        <w:tc>
          <w:tcPr>
            <w:tcW w:w="1134" w:type="dxa"/>
            <w:vAlign w:val="center"/>
          </w:tcPr>
          <w:p w:rsidR="003D288F" w:rsidRPr="001D2B27" w:rsidRDefault="003D288F" w:rsidP="00D8045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4 574 733</w:t>
            </w:r>
          </w:p>
        </w:tc>
        <w:tc>
          <w:tcPr>
            <w:tcW w:w="1276" w:type="dxa"/>
            <w:vAlign w:val="center"/>
          </w:tcPr>
          <w:p w:rsidR="003D288F" w:rsidRPr="001D2B27" w:rsidRDefault="003D288F" w:rsidP="00D8045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807 305</w:t>
            </w:r>
          </w:p>
        </w:tc>
        <w:tc>
          <w:tcPr>
            <w:tcW w:w="1276" w:type="dxa"/>
            <w:vAlign w:val="center"/>
          </w:tcPr>
          <w:p w:rsidR="003D288F" w:rsidRPr="001D2B27" w:rsidRDefault="003D288F" w:rsidP="00D8045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</w:tcPr>
          <w:p w:rsidR="003D288F" w:rsidRPr="00363C18" w:rsidRDefault="003D288F" w:rsidP="00D80457">
            <w:pPr>
              <w:pStyle w:val="NormalWeb"/>
              <w:rPr>
                <w:b/>
                <w:bCs/>
                <w:sz w:val="20"/>
                <w:szCs w:val="20"/>
              </w:rPr>
            </w:pPr>
          </w:p>
        </w:tc>
      </w:tr>
      <w:tr w:rsidR="003D288F" w:rsidRPr="008B7DA3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3D288F" w:rsidRPr="00363C18" w:rsidRDefault="003D288F" w:rsidP="00D80457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118" w:type="dxa"/>
            <w:vAlign w:val="center"/>
          </w:tcPr>
          <w:p w:rsidR="003D288F" w:rsidRPr="00363C18" w:rsidRDefault="003D288F" w:rsidP="00D80457">
            <w:pPr>
              <w:pStyle w:val="NormalWeb"/>
              <w:rPr>
                <w:b/>
                <w:bCs/>
                <w:sz w:val="20"/>
                <w:szCs w:val="20"/>
                <w:lang w:val="lv-LV"/>
              </w:rPr>
            </w:pPr>
            <w:r w:rsidRPr="00363C18">
              <w:rPr>
                <w:b/>
                <w:bCs/>
                <w:sz w:val="20"/>
                <w:szCs w:val="20"/>
                <w:lang w:val="lv-LV"/>
              </w:rPr>
              <w:t>1.4.1.2.4. Sociālās rehabilitācijas un institūcijām alternatīvu sociālās aprūpes pakalpojumu attīstība reģionos</w:t>
            </w:r>
          </w:p>
        </w:tc>
        <w:tc>
          <w:tcPr>
            <w:tcW w:w="1134" w:type="dxa"/>
            <w:vAlign w:val="center"/>
          </w:tcPr>
          <w:p w:rsidR="003D288F" w:rsidRPr="001D2B27" w:rsidRDefault="003D288F" w:rsidP="0016722A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12</w:t>
            </w:r>
            <w:r w:rsidR="0016722A" w:rsidRPr="001D2B27">
              <w:rPr>
                <w:bCs/>
                <w:sz w:val="20"/>
                <w:szCs w:val="20"/>
              </w:rPr>
              <w:t> 684 756</w:t>
            </w:r>
          </w:p>
        </w:tc>
        <w:tc>
          <w:tcPr>
            <w:tcW w:w="1417" w:type="dxa"/>
            <w:vAlign w:val="center"/>
          </w:tcPr>
          <w:p w:rsidR="003D288F" w:rsidRPr="001D2B27" w:rsidRDefault="003D288F" w:rsidP="0016722A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12</w:t>
            </w:r>
            <w:r w:rsidR="0016722A" w:rsidRPr="001D2B27">
              <w:rPr>
                <w:bCs/>
                <w:sz w:val="20"/>
                <w:szCs w:val="20"/>
              </w:rPr>
              <w:t> 684 756</w:t>
            </w:r>
          </w:p>
        </w:tc>
        <w:tc>
          <w:tcPr>
            <w:tcW w:w="1134" w:type="dxa"/>
            <w:vAlign w:val="center"/>
          </w:tcPr>
          <w:p w:rsidR="003D288F" w:rsidRPr="001D2B27" w:rsidRDefault="003D288F" w:rsidP="0016722A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12</w:t>
            </w:r>
            <w:r w:rsidR="0016722A" w:rsidRPr="001D2B27">
              <w:rPr>
                <w:bCs/>
                <w:sz w:val="20"/>
                <w:szCs w:val="20"/>
              </w:rPr>
              <w:t> 550 797</w:t>
            </w:r>
          </w:p>
        </w:tc>
        <w:tc>
          <w:tcPr>
            <w:tcW w:w="1276" w:type="dxa"/>
            <w:vAlign w:val="center"/>
          </w:tcPr>
          <w:p w:rsidR="003D288F" w:rsidRPr="001D2B27" w:rsidRDefault="003D288F" w:rsidP="00D80457">
            <w:pPr>
              <w:pStyle w:val="NormalWeb"/>
              <w:rPr>
                <w:bCs/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133 959</w:t>
            </w:r>
          </w:p>
        </w:tc>
        <w:tc>
          <w:tcPr>
            <w:tcW w:w="1276" w:type="dxa"/>
            <w:vAlign w:val="center"/>
          </w:tcPr>
          <w:p w:rsidR="003D288F" w:rsidRPr="001D2B27" w:rsidRDefault="003D288F" w:rsidP="00D80457">
            <w:pPr>
              <w:pStyle w:val="NormalWeb"/>
              <w:rPr>
                <w:sz w:val="20"/>
                <w:szCs w:val="20"/>
              </w:rPr>
            </w:pPr>
            <w:r w:rsidRPr="001D2B2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bottom"/>
          </w:tcPr>
          <w:p w:rsidR="003D288F" w:rsidRPr="00363C18" w:rsidRDefault="003D288F" w:rsidP="00363C18">
            <w:pPr>
              <w:pStyle w:val="NormalWeb"/>
              <w:jc w:val="right"/>
              <w:rPr>
                <w:sz w:val="20"/>
                <w:szCs w:val="20"/>
              </w:rPr>
            </w:pPr>
            <w:r w:rsidRPr="00363C18">
              <w:rPr>
                <w:sz w:val="20"/>
                <w:szCs w:val="20"/>
              </w:rPr>
              <w:t>”;</w:t>
            </w:r>
          </w:p>
        </w:tc>
      </w:tr>
    </w:tbl>
    <w:p w:rsidR="003D288F" w:rsidRDefault="003D288F" w:rsidP="0087189B">
      <w:pPr>
        <w:tabs>
          <w:tab w:val="left" w:pos="142"/>
          <w:tab w:val="left" w:pos="851"/>
        </w:tabs>
        <w:ind w:right="-113"/>
        <w:rPr>
          <w:spacing w:val="-2"/>
          <w:sz w:val="28"/>
          <w:szCs w:val="28"/>
          <w:lang w:eastAsia="lv-LV"/>
        </w:rPr>
      </w:pPr>
    </w:p>
    <w:p w:rsidR="003D288F" w:rsidRPr="00C83743" w:rsidRDefault="003D288F" w:rsidP="00007A6B">
      <w:pPr>
        <w:tabs>
          <w:tab w:val="left" w:pos="142"/>
          <w:tab w:val="left" w:pos="851"/>
        </w:tabs>
        <w:ind w:right="-113" w:firstLine="720"/>
        <w:rPr>
          <w:sz w:val="28"/>
          <w:szCs w:val="28"/>
          <w:lang w:eastAsia="lv-LV"/>
        </w:rPr>
      </w:pPr>
      <w:r w:rsidRPr="00C83743">
        <w:rPr>
          <w:spacing w:val="-2"/>
          <w:sz w:val="28"/>
          <w:szCs w:val="28"/>
          <w:lang w:eastAsia="lv-LV"/>
        </w:rPr>
        <w:lastRenderedPageBreak/>
        <w:t xml:space="preserve">2. Labklājības ministrijai nedēļas laikā iesniegt precizēto darbības programmas „Cilvēkresursi </w:t>
      </w:r>
      <w:r w:rsidRPr="00C83743">
        <w:rPr>
          <w:sz w:val="28"/>
          <w:szCs w:val="28"/>
          <w:lang w:eastAsia="lv-LV"/>
        </w:rPr>
        <w:t>un nodarbinātība” papildinājumu Valsts kancelejā.</w:t>
      </w:r>
    </w:p>
    <w:p w:rsidR="003D288F" w:rsidRPr="00C83743" w:rsidRDefault="003D288F" w:rsidP="008D40C5">
      <w:pPr>
        <w:tabs>
          <w:tab w:val="left" w:pos="142"/>
          <w:tab w:val="left" w:pos="851"/>
        </w:tabs>
        <w:ind w:right="-113"/>
        <w:rPr>
          <w:sz w:val="28"/>
          <w:szCs w:val="28"/>
          <w:lang w:eastAsia="lv-LV"/>
        </w:rPr>
      </w:pPr>
    </w:p>
    <w:p w:rsidR="00C71280" w:rsidRPr="00C83743" w:rsidRDefault="00C71280" w:rsidP="008D40C5">
      <w:pPr>
        <w:tabs>
          <w:tab w:val="left" w:pos="142"/>
          <w:tab w:val="left" w:pos="851"/>
        </w:tabs>
        <w:ind w:right="-113"/>
        <w:rPr>
          <w:sz w:val="28"/>
          <w:szCs w:val="28"/>
          <w:lang w:eastAsia="lv-LV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85"/>
        <w:gridCol w:w="4310"/>
      </w:tblGrid>
      <w:tr w:rsidR="003D288F" w:rsidRPr="00C83743" w:rsidTr="00CB716C">
        <w:tc>
          <w:tcPr>
            <w:tcW w:w="4585" w:type="dxa"/>
          </w:tcPr>
          <w:p w:rsidR="003D288F" w:rsidRPr="00C83743" w:rsidRDefault="003D288F" w:rsidP="0015316F">
            <w:pPr>
              <w:tabs>
                <w:tab w:val="left" w:pos="142"/>
                <w:tab w:val="left" w:pos="851"/>
              </w:tabs>
              <w:ind w:right="-113"/>
              <w:rPr>
                <w:sz w:val="28"/>
                <w:szCs w:val="28"/>
              </w:rPr>
            </w:pPr>
            <w:r w:rsidRPr="00C83743">
              <w:rPr>
                <w:sz w:val="28"/>
                <w:szCs w:val="28"/>
              </w:rPr>
              <w:t xml:space="preserve">Ministru </w:t>
            </w:r>
            <w:r w:rsidR="00CB716C" w:rsidRPr="00C83743">
              <w:rPr>
                <w:sz w:val="28"/>
                <w:szCs w:val="28"/>
              </w:rPr>
              <w:t>prezidente</w:t>
            </w:r>
          </w:p>
        </w:tc>
        <w:tc>
          <w:tcPr>
            <w:tcW w:w="4310" w:type="dxa"/>
          </w:tcPr>
          <w:p w:rsidR="003D288F" w:rsidRPr="00C83743" w:rsidRDefault="00CB716C" w:rsidP="00917FE5">
            <w:pPr>
              <w:tabs>
                <w:tab w:val="left" w:pos="142"/>
                <w:tab w:val="left" w:pos="851"/>
              </w:tabs>
              <w:ind w:right="-108"/>
              <w:jc w:val="right"/>
              <w:rPr>
                <w:sz w:val="28"/>
                <w:szCs w:val="28"/>
              </w:rPr>
            </w:pPr>
            <w:r w:rsidRPr="00C83743">
              <w:rPr>
                <w:sz w:val="28"/>
                <w:szCs w:val="28"/>
              </w:rPr>
              <w:t>L.Straujuma</w:t>
            </w:r>
          </w:p>
          <w:p w:rsidR="003D288F" w:rsidRPr="00C83743" w:rsidRDefault="003D288F" w:rsidP="00917FE5">
            <w:pPr>
              <w:tabs>
                <w:tab w:val="left" w:pos="142"/>
                <w:tab w:val="left" w:pos="851"/>
              </w:tabs>
              <w:ind w:right="-108"/>
              <w:rPr>
                <w:sz w:val="28"/>
                <w:szCs w:val="28"/>
              </w:rPr>
            </w:pPr>
          </w:p>
        </w:tc>
      </w:tr>
      <w:tr w:rsidR="003D288F" w:rsidRPr="00C83743" w:rsidTr="00CB716C">
        <w:tc>
          <w:tcPr>
            <w:tcW w:w="4585" w:type="dxa"/>
          </w:tcPr>
          <w:p w:rsidR="003D288F" w:rsidRPr="00C83743" w:rsidRDefault="00CB716C" w:rsidP="0015316F">
            <w:pPr>
              <w:tabs>
                <w:tab w:val="left" w:pos="142"/>
                <w:tab w:val="left" w:pos="851"/>
              </w:tabs>
              <w:ind w:right="-113"/>
              <w:rPr>
                <w:sz w:val="28"/>
                <w:szCs w:val="28"/>
              </w:rPr>
            </w:pPr>
            <w:r w:rsidRPr="00C83743">
              <w:rPr>
                <w:sz w:val="28"/>
                <w:szCs w:val="28"/>
              </w:rPr>
              <w:t>Labklājības ministrs</w:t>
            </w:r>
          </w:p>
        </w:tc>
        <w:tc>
          <w:tcPr>
            <w:tcW w:w="4310" w:type="dxa"/>
          </w:tcPr>
          <w:p w:rsidR="003D288F" w:rsidRPr="00C83743" w:rsidRDefault="00CB716C" w:rsidP="00CB716C">
            <w:pPr>
              <w:tabs>
                <w:tab w:val="left" w:pos="142"/>
                <w:tab w:val="left" w:pos="851"/>
              </w:tabs>
              <w:ind w:right="176"/>
              <w:jc w:val="right"/>
              <w:rPr>
                <w:sz w:val="28"/>
                <w:szCs w:val="28"/>
              </w:rPr>
            </w:pPr>
            <w:r w:rsidRPr="00C83743">
              <w:rPr>
                <w:sz w:val="28"/>
                <w:szCs w:val="28"/>
              </w:rPr>
              <w:t>U.Augulis</w:t>
            </w:r>
          </w:p>
        </w:tc>
      </w:tr>
    </w:tbl>
    <w:p w:rsidR="008D06A3" w:rsidRDefault="008D06A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8D06A3" w:rsidRDefault="008D06A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9174AC" w:rsidRDefault="009174AC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71280" w:rsidRDefault="00C71280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83743" w:rsidRDefault="00C8374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83743" w:rsidRDefault="00C8374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83743" w:rsidRDefault="00C8374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83743" w:rsidRDefault="00C8374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83743" w:rsidRDefault="00C8374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83743" w:rsidRDefault="00C8374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83743" w:rsidRDefault="00C8374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83743" w:rsidRDefault="00C8374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83743" w:rsidRDefault="00C8374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83743" w:rsidRDefault="00C8374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83743" w:rsidRDefault="00C8374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83743" w:rsidRDefault="00C8374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83743" w:rsidRDefault="00C8374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83743" w:rsidRDefault="00C8374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83743" w:rsidRDefault="00C8374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83743" w:rsidRDefault="00C8374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83743" w:rsidRDefault="00C8374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83743" w:rsidRDefault="00C8374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83743" w:rsidRDefault="00C8374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83743" w:rsidRDefault="00C8374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83743" w:rsidRDefault="00C8374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83743" w:rsidRDefault="00C83743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71280" w:rsidRDefault="00C71280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71280" w:rsidRDefault="00C71280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C71280" w:rsidRDefault="00C71280" w:rsidP="008D40C5">
      <w:pPr>
        <w:tabs>
          <w:tab w:val="left" w:pos="709"/>
          <w:tab w:val="left" w:pos="6840"/>
        </w:tabs>
        <w:rPr>
          <w:sz w:val="20"/>
          <w:szCs w:val="20"/>
        </w:rPr>
      </w:pPr>
    </w:p>
    <w:p w:rsidR="003D288F" w:rsidRPr="009174AC" w:rsidRDefault="003F72A2" w:rsidP="008D40C5">
      <w:pPr>
        <w:tabs>
          <w:tab w:val="left" w:pos="709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24</w:t>
      </w:r>
      <w:r w:rsidR="00C40422">
        <w:rPr>
          <w:sz w:val="20"/>
          <w:szCs w:val="20"/>
        </w:rPr>
        <w:t>.03</w:t>
      </w:r>
      <w:r w:rsidR="003D288F" w:rsidRPr="009174AC">
        <w:rPr>
          <w:sz w:val="20"/>
          <w:szCs w:val="20"/>
        </w:rPr>
        <w:t xml:space="preserve">.2014. </w:t>
      </w:r>
      <w:r w:rsidR="00D02A26">
        <w:rPr>
          <w:sz w:val="20"/>
          <w:szCs w:val="20"/>
        </w:rPr>
        <w:t>14:50</w:t>
      </w:r>
      <w:bookmarkStart w:id="0" w:name="_GoBack"/>
      <w:bookmarkEnd w:id="0"/>
    </w:p>
    <w:p w:rsidR="003D288F" w:rsidRPr="009174AC" w:rsidRDefault="003D288F" w:rsidP="008D40C5">
      <w:pPr>
        <w:tabs>
          <w:tab w:val="left" w:pos="709"/>
          <w:tab w:val="left" w:pos="6840"/>
        </w:tabs>
        <w:rPr>
          <w:sz w:val="20"/>
          <w:szCs w:val="20"/>
        </w:rPr>
      </w:pPr>
      <w:r w:rsidRPr="009174AC">
        <w:rPr>
          <w:sz w:val="20"/>
          <w:szCs w:val="20"/>
        </w:rPr>
        <w:t>1</w:t>
      </w:r>
      <w:r w:rsidR="009A1CBD">
        <w:rPr>
          <w:sz w:val="20"/>
          <w:szCs w:val="20"/>
        </w:rPr>
        <w:t>167</w:t>
      </w:r>
    </w:p>
    <w:p w:rsidR="003D288F" w:rsidRPr="009174AC" w:rsidRDefault="003D288F" w:rsidP="008D40C5">
      <w:pPr>
        <w:tabs>
          <w:tab w:val="left" w:pos="709"/>
          <w:tab w:val="left" w:pos="6840"/>
        </w:tabs>
        <w:rPr>
          <w:sz w:val="20"/>
          <w:szCs w:val="20"/>
        </w:rPr>
      </w:pPr>
      <w:r w:rsidRPr="009174AC">
        <w:rPr>
          <w:sz w:val="20"/>
          <w:szCs w:val="20"/>
        </w:rPr>
        <w:t>D.Zvaigzne, 67021660</w:t>
      </w:r>
    </w:p>
    <w:p w:rsidR="003D288F" w:rsidRPr="009174AC" w:rsidRDefault="00D02A26" w:rsidP="00571679">
      <w:pPr>
        <w:tabs>
          <w:tab w:val="left" w:pos="709"/>
          <w:tab w:val="left" w:pos="6840"/>
        </w:tabs>
        <w:rPr>
          <w:sz w:val="20"/>
          <w:szCs w:val="20"/>
        </w:rPr>
      </w:pPr>
      <w:hyperlink r:id="rId7" w:history="1">
        <w:r w:rsidR="003D288F" w:rsidRPr="009174AC">
          <w:rPr>
            <w:rStyle w:val="Hyperlink"/>
            <w:sz w:val="20"/>
            <w:szCs w:val="20"/>
            <w:lang w:val="lv-LV"/>
          </w:rPr>
          <w:t>Dace.Zvaigzne@lm.gov.lv</w:t>
        </w:r>
      </w:hyperlink>
      <w:proofErr w:type="gramStart"/>
      <w:r w:rsidR="003D288F" w:rsidRPr="009174AC">
        <w:rPr>
          <w:sz w:val="20"/>
          <w:szCs w:val="20"/>
        </w:rPr>
        <w:t xml:space="preserve">  </w:t>
      </w:r>
      <w:proofErr w:type="gramEnd"/>
    </w:p>
    <w:sectPr w:rsidR="003D288F" w:rsidRPr="009174AC" w:rsidSect="004840F0">
      <w:headerReference w:type="default" r:id="rId8"/>
      <w:footerReference w:type="default" r:id="rId9"/>
      <w:headerReference w:type="first" r:id="rId10"/>
      <w:footerReference w:type="first" r:id="rId11"/>
      <w:footnotePr>
        <w:numStart w:val="7"/>
      </w:footnotePr>
      <w:type w:val="continuous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51" w:rsidRDefault="002C1451" w:rsidP="00471E7C">
      <w:r>
        <w:separator/>
      </w:r>
    </w:p>
  </w:endnote>
  <w:endnote w:type="continuationSeparator" w:id="0">
    <w:p w:rsidR="002C1451" w:rsidRDefault="002C1451" w:rsidP="0047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51" w:rsidRPr="007C0F0E" w:rsidRDefault="002C1451" w:rsidP="007C0F0E">
    <w:pPr>
      <w:pStyle w:val="Footer"/>
    </w:pPr>
    <w:r w:rsidRPr="00B51B8B">
      <w:rPr>
        <w:sz w:val="20"/>
        <w:szCs w:val="20"/>
      </w:rPr>
      <w:t>LMRik_</w:t>
    </w:r>
    <w:r w:rsidR="002858FE">
      <w:rPr>
        <w:sz w:val="20"/>
        <w:szCs w:val="20"/>
      </w:rPr>
      <w:t>24</w:t>
    </w:r>
    <w:r w:rsidR="00BE371C">
      <w:rPr>
        <w:sz w:val="20"/>
        <w:szCs w:val="20"/>
      </w:rPr>
      <w:t>03</w:t>
    </w:r>
    <w:r>
      <w:rPr>
        <w:sz w:val="20"/>
        <w:szCs w:val="20"/>
      </w:rPr>
      <w:t>14</w:t>
    </w:r>
    <w:r w:rsidRPr="00B51B8B">
      <w:rPr>
        <w:sz w:val="20"/>
        <w:szCs w:val="20"/>
      </w:rPr>
      <w:t>_</w:t>
    </w:r>
    <w:r>
      <w:rPr>
        <w:sz w:val="20"/>
        <w:szCs w:val="20"/>
      </w:rPr>
      <w:t>1DPP;</w:t>
    </w:r>
    <w:r w:rsidRPr="00B51B8B">
      <w:rPr>
        <w:sz w:val="20"/>
        <w:szCs w:val="20"/>
      </w:rPr>
      <w:t xml:space="preserve"> Ministru kabineta rīkojuma projekts „</w:t>
    </w:r>
    <w:r>
      <w:rPr>
        <w:sz w:val="20"/>
        <w:szCs w:val="20"/>
      </w:rPr>
      <w:t>Grozījumi</w:t>
    </w:r>
    <w:r w:rsidRPr="00B51B8B">
      <w:rPr>
        <w:sz w:val="20"/>
        <w:szCs w:val="20"/>
      </w:rPr>
      <w:t xml:space="preserve"> darbības programmas „Cilvēkresursi un nodarbinātība” papildinājumā”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51" w:rsidRPr="00B51B8B" w:rsidRDefault="002C1451" w:rsidP="00B1145B">
    <w:pPr>
      <w:pStyle w:val="Footer"/>
      <w:rPr>
        <w:sz w:val="20"/>
        <w:szCs w:val="20"/>
      </w:rPr>
    </w:pPr>
    <w:r w:rsidRPr="00B51B8B">
      <w:rPr>
        <w:sz w:val="20"/>
        <w:szCs w:val="20"/>
      </w:rPr>
      <w:t>LMRik_</w:t>
    </w:r>
    <w:r w:rsidR="002858FE">
      <w:rPr>
        <w:sz w:val="20"/>
        <w:szCs w:val="20"/>
      </w:rPr>
      <w:t>24</w:t>
    </w:r>
    <w:r w:rsidR="00BE371C">
      <w:rPr>
        <w:sz w:val="20"/>
        <w:szCs w:val="20"/>
      </w:rPr>
      <w:t>03</w:t>
    </w:r>
    <w:r>
      <w:rPr>
        <w:sz w:val="20"/>
        <w:szCs w:val="20"/>
      </w:rPr>
      <w:t>14</w:t>
    </w:r>
    <w:r w:rsidRPr="00B51B8B">
      <w:rPr>
        <w:sz w:val="20"/>
        <w:szCs w:val="20"/>
      </w:rPr>
      <w:t>_</w:t>
    </w:r>
    <w:r>
      <w:rPr>
        <w:sz w:val="20"/>
        <w:szCs w:val="20"/>
      </w:rPr>
      <w:t>1DPP;</w:t>
    </w:r>
    <w:r w:rsidRPr="00B51B8B">
      <w:rPr>
        <w:sz w:val="20"/>
        <w:szCs w:val="20"/>
      </w:rPr>
      <w:t xml:space="preserve"> Ministru kabineta rīkojuma projekts „</w:t>
    </w:r>
    <w:r>
      <w:rPr>
        <w:sz w:val="20"/>
        <w:szCs w:val="20"/>
      </w:rPr>
      <w:t>G</w:t>
    </w:r>
    <w:r w:rsidRPr="00B51B8B">
      <w:rPr>
        <w:sz w:val="20"/>
        <w:szCs w:val="20"/>
      </w:rPr>
      <w:t>rozījum</w:t>
    </w:r>
    <w:r>
      <w:rPr>
        <w:sz w:val="20"/>
        <w:szCs w:val="20"/>
      </w:rPr>
      <w:t>i</w:t>
    </w:r>
    <w:r w:rsidRPr="00B51B8B">
      <w:rPr>
        <w:sz w:val="20"/>
        <w:szCs w:val="20"/>
      </w:rPr>
      <w:t xml:space="preserve"> darbības programmas „Cilvēkresursi un nodarbinātība” papildinājumā”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51" w:rsidRDefault="002C1451" w:rsidP="00471E7C">
      <w:r>
        <w:separator/>
      </w:r>
    </w:p>
  </w:footnote>
  <w:footnote w:type="continuationSeparator" w:id="0">
    <w:p w:rsidR="002C1451" w:rsidRDefault="002C1451" w:rsidP="00471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51" w:rsidRDefault="002C1451" w:rsidP="00B1145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A26">
      <w:rPr>
        <w:rStyle w:val="PageNumber"/>
        <w:noProof/>
      </w:rPr>
      <w:t>4</w:t>
    </w:r>
    <w:r>
      <w:rPr>
        <w:rStyle w:val="PageNumber"/>
      </w:rPr>
      <w:fldChar w:fldCharType="end"/>
    </w:r>
  </w:p>
  <w:p w:rsidR="002C1451" w:rsidRDefault="002C145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51" w:rsidRDefault="002C1451" w:rsidP="00B114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2FBE"/>
    <w:multiLevelType w:val="multilevel"/>
    <w:tmpl w:val="0426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">
    <w:nsid w:val="105D71E1"/>
    <w:multiLevelType w:val="hybridMultilevel"/>
    <w:tmpl w:val="ADEA5B4C"/>
    <w:lvl w:ilvl="0" w:tplc="59BCF656">
      <w:start w:val="1"/>
      <w:numFmt w:val="decimal"/>
      <w:pStyle w:val="EE-numbering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  <w:i w:val="0"/>
        <w:iCs w:val="0"/>
        <w:color w:val="auto"/>
      </w:rPr>
    </w:lvl>
    <w:lvl w:ilvl="1" w:tplc="04260019">
      <w:start w:val="1"/>
      <w:numFmt w:val="bullet"/>
      <w:pStyle w:val="EE-bulletChar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cs="Wingdings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871A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F534FD"/>
    <w:multiLevelType w:val="multilevel"/>
    <w:tmpl w:val="9B963B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F72522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0B8130F"/>
    <w:multiLevelType w:val="hybridMultilevel"/>
    <w:tmpl w:val="B9A43F1E"/>
    <w:lvl w:ilvl="0" w:tplc="FFFFFFFF">
      <w:start w:val="1"/>
      <w:numFmt w:val="decimal"/>
      <w:pStyle w:val="EE-parag-num-1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D0EA7"/>
    <w:multiLevelType w:val="hybridMultilevel"/>
    <w:tmpl w:val="C076EC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3147F"/>
    <w:multiLevelType w:val="hybridMultilevel"/>
    <w:tmpl w:val="6D84FBA6"/>
    <w:lvl w:ilvl="0" w:tplc="FFFFFFFF">
      <w:start w:val="1"/>
      <w:numFmt w:val="decimal"/>
      <w:pStyle w:val="EE-paragrChar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F9"/>
    <w:rsid w:val="000004FF"/>
    <w:rsid w:val="00000981"/>
    <w:rsid w:val="00001127"/>
    <w:rsid w:val="0000330A"/>
    <w:rsid w:val="000036C5"/>
    <w:rsid w:val="00003A21"/>
    <w:rsid w:val="0000423E"/>
    <w:rsid w:val="0000474A"/>
    <w:rsid w:val="0000474C"/>
    <w:rsid w:val="00004FB4"/>
    <w:rsid w:val="00005CCD"/>
    <w:rsid w:val="00007475"/>
    <w:rsid w:val="00007961"/>
    <w:rsid w:val="00007A6B"/>
    <w:rsid w:val="0001040A"/>
    <w:rsid w:val="000109C7"/>
    <w:rsid w:val="000130E6"/>
    <w:rsid w:val="000132F3"/>
    <w:rsid w:val="0001330B"/>
    <w:rsid w:val="0001352D"/>
    <w:rsid w:val="00014620"/>
    <w:rsid w:val="00014DDD"/>
    <w:rsid w:val="00015A47"/>
    <w:rsid w:val="00016EA4"/>
    <w:rsid w:val="00016F27"/>
    <w:rsid w:val="0001731C"/>
    <w:rsid w:val="00017404"/>
    <w:rsid w:val="00017A9D"/>
    <w:rsid w:val="00017D66"/>
    <w:rsid w:val="00020319"/>
    <w:rsid w:val="000206DD"/>
    <w:rsid w:val="00022BD6"/>
    <w:rsid w:val="00023155"/>
    <w:rsid w:val="00024DB2"/>
    <w:rsid w:val="000258ED"/>
    <w:rsid w:val="00026561"/>
    <w:rsid w:val="00026E2E"/>
    <w:rsid w:val="000273B0"/>
    <w:rsid w:val="00031C8A"/>
    <w:rsid w:val="00032515"/>
    <w:rsid w:val="00032AD2"/>
    <w:rsid w:val="000334E0"/>
    <w:rsid w:val="000366A5"/>
    <w:rsid w:val="000371E3"/>
    <w:rsid w:val="000378BE"/>
    <w:rsid w:val="00040B02"/>
    <w:rsid w:val="00042010"/>
    <w:rsid w:val="00046B8A"/>
    <w:rsid w:val="000474D0"/>
    <w:rsid w:val="00047895"/>
    <w:rsid w:val="00050B60"/>
    <w:rsid w:val="00051DF3"/>
    <w:rsid w:val="000527EF"/>
    <w:rsid w:val="000540D5"/>
    <w:rsid w:val="00054868"/>
    <w:rsid w:val="00054B14"/>
    <w:rsid w:val="00056334"/>
    <w:rsid w:val="00057AB7"/>
    <w:rsid w:val="00060E71"/>
    <w:rsid w:val="000619DD"/>
    <w:rsid w:val="00061D86"/>
    <w:rsid w:val="00062379"/>
    <w:rsid w:val="000623DC"/>
    <w:rsid w:val="00063491"/>
    <w:rsid w:val="00063883"/>
    <w:rsid w:val="00063AB8"/>
    <w:rsid w:val="000657FE"/>
    <w:rsid w:val="000664CE"/>
    <w:rsid w:val="00066B04"/>
    <w:rsid w:val="00070CCB"/>
    <w:rsid w:val="00071B33"/>
    <w:rsid w:val="00071B7F"/>
    <w:rsid w:val="000741B7"/>
    <w:rsid w:val="000751B1"/>
    <w:rsid w:val="0007629A"/>
    <w:rsid w:val="00077F2E"/>
    <w:rsid w:val="00080EAA"/>
    <w:rsid w:val="0008219C"/>
    <w:rsid w:val="000830FD"/>
    <w:rsid w:val="00083709"/>
    <w:rsid w:val="00084185"/>
    <w:rsid w:val="00085B3E"/>
    <w:rsid w:val="00092F59"/>
    <w:rsid w:val="00096A95"/>
    <w:rsid w:val="00096C8D"/>
    <w:rsid w:val="000A01E6"/>
    <w:rsid w:val="000A0569"/>
    <w:rsid w:val="000A0BEA"/>
    <w:rsid w:val="000A1044"/>
    <w:rsid w:val="000A1A62"/>
    <w:rsid w:val="000A2A7B"/>
    <w:rsid w:val="000A308E"/>
    <w:rsid w:val="000A3244"/>
    <w:rsid w:val="000A5211"/>
    <w:rsid w:val="000A65C1"/>
    <w:rsid w:val="000B1558"/>
    <w:rsid w:val="000B27D4"/>
    <w:rsid w:val="000B34C4"/>
    <w:rsid w:val="000B4B26"/>
    <w:rsid w:val="000C2157"/>
    <w:rsid w:val="000C2A2D"/>
    <w:rsid w:val="000C3631"/>
    <w:rsid w:val="000C3646"/>
    <w:rsid w:val="000C392C"/>
    <w:rsid w:val="000C3B3A"/>
    <w:rsid w:val="000C57F6"/>
    <w:rsid w:val="000C58EB"/>
    <w:rsid w:val="000C60AA"/>
    <w:rsid w:val="000C6755"/>
    <w:rsid w:val="000C6920"/>
    <w:rsid w:val="000C6A82"/>
    <w:rsid w:val="000C6C85"/>
    <w:rsid w:val="000C7196"/>
    <w:rsid w:val="000C7694"/>
    <w:rsid w:val="000D1234"/>
    <w:rsid w:val="000D337B"/>
    <w:rsid w:val="000D4D58"/>
    <w:rsid w:val="000D726D"/>
    <w:rsid w:val="000D759C"/>
    <w:rsid w:val="000D7C2A"/>
    <w:rsid w:val="000D7F31"/>
    <w:rsid w:val="000E123A"/>
    <w:rsid w:val="000E4406"/>
    <w:rsid w:val="000E5EA7"/>
    <w:rsid w:val="000E721D"/>
    <w:rsid w:val="000E73B3"/>
    <w:rsid w:val="000E7D64"/>
    <w:rsid w:val="000F043A"/>
    <w:rsid w:val="000F0F51"/>
    <w:rsid w:val="000F1432"/>
    <w:rsid w:val="000F16D4"/>
    <w:rsid w:val="000F2C9A"/>
    <w:rsid w:val="000F363E"/>
    <w:rsid w:val="000F40DD"/>
    <w:rsid w:val="000F4389"/>
    <w:rsid w:val="000F516C"/>
    <w:rsid w:val="000F6B08"/>
    <w:rsid w:val="000F6F71"/>
    <w:rsid w:val="000F767B"/>
    <w:rsid w:val="000F7723"/>
    <w:rsid w:val="00101151"/>
    <w:rsid w:val="001024C7"/>
    <w:rsid w:val="00102796"/>
    <w:rsid w:val="00102DED"/>
    <w:rsid w:val="00103D6D"/>
    <w:rsid w:val="00104034"/>
    <w:rsid w:val="00104B51"/>
    <w:rsid w:val="00106FC9"/>
    <w:rsid w:val="00110374"/>
    <w:rsid w:val="00110F13"/>
    <w:rsid w:val="001122F1"/>
    <w:rsid w:val="00115629"/>
    <w:rsid w:val="00115AC4"/>
    <w:rsid w:val="00116031"/>
    <w:rsid w:val="00117295"/>
    <w:rsid w:val="00120D24"/>
    <w:rsid w:val="00121A42"/>
    <w:rsid w:val="00121C88"/>
    <w:rsid w:val="00122E9D"/>
    <w:rsid w:val="00123644"/>
    <w:rsid w:val="00123852"/>
    <w:rsid w:val="0012470C"/>
    <w:rsid w:val="00124A7B"/>
    <w:rsid w:val="00125A31"/>
    <w:rsid w:val="00125B64"/>
    <w:rsid w:val="00125F5A"/>
    <w:rsid w:val="00126E4B"/>
    <w:rsid w:val="0012752F"/>
    <w:rsid w:val="00130279"/>
    <w:rsid w:val="001304F7"/>
    <w:rsid w:val="00130651"/>
    <w:rsid w:val="00133941"/>
    <w:rsid w:val="00134B25"/>
    <w:rsid w:val="00135409"/>
    <w:rsid w:val="00135800"/>
    <w:rsid w:val="0013632F"/>
    <w:rsid w:val="00136E9D"/>
    <w:rsid w:val="001407E7"/>
    <w:rsid w:val="001408F7"/>
    <w:rsid w:val="00141D85"/>
    <w:rsid w:val="00142F10"/>
    <w:rsid w:val="001436D7"/>
    <w:rsid w:val="0014750F"/>
    <w:rsid w:val="001501A8"/>
    <w:rsid w:val="0015316F"/>
    <w:rsid w:val="0015371A"/>
    <w:rsid w:val="00154BA9"/>
    <w:rsid w:val="00154C9E"/>
    <w:rsid w:val="00154CB0"/>
    <w:rsid w:val="001555AA"/>
    <w:rsid w:val="00157161"/>
    <w:rsid w:val="0015768B"/>
    <w:rsid w:val="00161EB1"/>
    <w:rsid w:val="001633B2"/>
    <w:rsid w:val="00163B09"/>
    <w:rsid w:val="00163F21"/>
    <w:rsid w:val="001644F5"/>
    <w:rsid w:val="00164A04"/>
    <w:rsid w:val="00164E9D"/>
    <w:rsid w:val="0016605C"/>
    <w:rsid w:val="0016722A"/>
    <w:rsid w:val="001719A3"/>
    <w:rsid w:val="00171F80"/>
    <w:rsid w:val="0017274E"/>
    <w:rsid w:val="00175128"/>
    <w:rsid w:val="00175F69"/>
    <w:rsid w:val="00176930"/>
    <w:rsid w:val="00177D9D"/>
    <w:rsid w:val="001806A1"/>
    <w:rsid w:val="001807AB"/>
    <w:rsid w:val="00181251"/>
    <w:rsid w:val="00181FE8"/>
    <w:rsid w:val="00182A3F"/>
    <w:rsid w:val="00183981"/>
    <w:rsid w:val="00183FFD"/>
    <w:rsid w:val="00184744"/>
    <w:rsid w:val="00184E7A"/>
    <w:rsid w:val="001872C5"/>
    <w:rsid w:val="00190618"/>
    <w:rsid w:val="00190C8F"/>
    <w:rsid w:val="00191496"/>
    <w:rsid w:val="00191B53"/>
    <w:rsid w:val="00192BDE"/>
    <w:rsid w:val="00195024"/>
    <w:rsid w:val="0019560E"/>
    <w:rsid w:val="00196079"/>
    <w:rsid w:val="001961A6"/>
    <w:rsid w:val="0019660B"/>
    <w:rsid w:val="00196A3E"/>
    <w:rsid w:val="001971D2"/>
    <w:rsid w:val="00197944"/>
    <w:rsid w:val="00197F71"/>
    <w:rsid w:val="001A0ED4"/>
    <w:rsid w:val="001A1637"/>
    <w:rsid w:val="001A1C64"/>
    <w:rsid w:val="001A2947"/>
    <w:rsid w:val="001A69C3"/>
    <w:rsid w:val="001A711D"/>
    <w:rsid w:val="001A739C"/>
    <w:rsid w:val="001A79B3"/>
    <w:rsid w:val="001B00E1"/>
    <w:rsid w:val="001B0BFA"/>
    <w:rsid w:val="001B1070"/>
    <w:rsid w:val="001B1CD9"/>
    <w:rsid w:val="001B2394"/>
    <w:rsid w:val="001B2478"/>
    <w:rsid w:val="001B2EF1"/>
    <w:rsid w:val="001B33C0"/>
    <w:rsid w:val="001B38B0"/>
    <w:rsid w:val="001B482B"/>
    <w:rsid w:val="001B5A7F"/>
    <w:rsid w:val="001B5C35"/>
    <w:rsid w:val="001B6257"/>
    <w:rsid w:val="001B69FE"/>
    <w:rsid w:val="001B7CCF"/>
    <w:rsid w:val="001C05FD"/>
    <w:rsid w:val="001C0EC8"/>
    <w:rsid w:val="001C178F"/>
    <w:rsid w:val="001C1DED"/>
    <w:rsid w:val="001C1EC4"/>
    <w:rsid w:val="001C43F5"/>
    <w:rsid w:val="001C5119"/>
    <w:rsid w:val="001C5BA9"/>
    <w:rsid w:val="001C7034"/>
    <w:rsid w:val="001C75AD"/>
    <w:rsid w:val="001D0E1D"/>
    <w:rsid w:val="001D128A"/>
    <w:rsid w:val="001D1A66"/>
    <w:rsid w:val="001D207A"/>
    <w:rsid w:val="001D2B27"/>
    <w:rsid w:val="001D339F"/>
    <w:rsid w:val="001D4680"/>
    <w:rsid w:val="001D4D96"/>
    <w:rsid w:val="001D527A"/>
    <w:rsid w:val="001D64FD"/>
    <w:rsid w:val="001D6855"/>
    <w:rsid w:val="001D6F2E"/>
    <w:rsid w:val="001D74D3"/>
    <w:rsid w:val="001E3CEE"/>
    <w:rsid w:val="001E3D86"/>
    <w:rsid w:val="001E3E90"/>
    <w:rsid w:val="001E6FC8"/>
    <w:rsid w:val="001E70AB"/>
    <w:rsid w:val="001F123B"/>
    <w:rsid w:val="001F2FC2"/>
    <w:rsid w:val="001F390D"/>
    <w:rsid w:val="001F490E"/>
    <w:rsid w:val="001F52DE"/>
    <w:rsid w:val="002002D3"/>
    <w:rsid w:val="00200EE0"/>
    <w:rsid w:val="00201139"/>
    <w:rsid w:val="00202100"/>
    <w:rsid w:val="00202F9F"/>
    <w:rsid w:val="00203C75"/>
    <w:rsid w:val="002054E8"/>
    <w:rsid w:val="00206390"/>
    <w:rsid w:val="00207078"/>
    <w:rsid w:val="002072FE"/>
    <w:rsid w:val="00207CCD"/>
    <w:rsid w:val="00207E27"/>
    <w:rsid w:val="00210F5E"/>
    <w:rsid w:val="0021375A"/>
    <w:rsid w:val="002140EE"/>
    <w:rsid w:val="00214EB2"/>
    <w:rsid w:val="0022164B"/>
    <w:rsid w:val="00221E4E"/>
    <w:rsid w:val="002222F4"/>
    <w:rsid w:val="00224336"/>
    <w:rsid w:val="00224681"/>
    <w:rsid w:val="00225577"/>
    <w:rsid w:val="0023058A"/>
    <w:rsid w:val="00230A41"/>
    <w:rsid w:val="00230BBF"/>
    <w:rsid w:val="00230BC5"/>
    <w:rsid w:val="00232F9A"/>
    <w:rsid w:val="00234137"/>
    <w:rsid w:val="002347BB"/>
    <w:rsid w:val="00235556"/>
    <w:rsid w:val="002356E4"/>
    <w:rsid w:val="00236A58"/>
    <w:rsid w:val="00236F02"/>
    <w:rsid w:val="0024067A"/>
    <w:rsid w:val="002416A5"/>
    <w:rsid w:val="00244162"/>
    <w:rsid w:val="002443B8"/>
    <w:rsid w:val="002448E5"/>
    <w:rsid w:val="00245B51"/>
    <w:rsid w:val="0024652A"/>
    <w:rsid w:val="00250108"/>
    <w:rsid w:val="0025093F"/>
    <w:rsid w:val="0025323E"/>
    <w:rsid w:val="00255155"/>
    <w:rsid w:val="0025531B"/>
    <w:rsid w:val="00255CCE"/>
    <w:rsid w:val="00256118"/>
    <w:rsid w:val="00256DE0"/>
    <w:rsid w:val="00257167"/>
    <w:rsid w:val="00257435"/>
    <w:rsid w:val="002601A5"/>
    <w:rsid w:val="00260345"/>
    <w:rsid w:val="002606FA"/>
    <w:rsid w:val="00261D39"/>
    <w:rsid w:val="00262723"/>
    <w:rsid w:val="00262E1F"/>
    <w:rsid w:val="00265BE8"/>
    <w:rsid w:val="00265F60"/>
    <w:rsid w:val="00267A67"/>
    <w:rsid w:val="0027027F"/>
    <w:rsid w:val="00272294"/>
    <w:rsid w:val="00274AB4"/>
    <w:rsid w:val="002750EB"/>
    <w:rsid w:val="002751E7"/>
    <w:rsid w:val="00275735"/>
    <w:rsid w:val="00275D82"/>
    <w:rsid w:val="00276C77"/>
    <w:rsid w:val="00276F1B"/>
    <w:rsid w:val="002807C6"/>
    <w:rsid w:val="00281C58"/>
    <w:rsid w:val="002840EF"/>
    <w:rsid w:val="0028458E"/>
    <w:rsid w:val="002846B9"/>
    <w:rsid w:val="0028505A"/>
    <w:rsid w:val="002858FE"/>
    <w:rsid w:val="00285A01"/>
    <w:rsid w:val="00287518"/>
    <w:rsid w:val="00287BB0"/>
    <w:rsid w:val="00290E05"/>
    <w:rsid w:val="002922D7"/>
    <w:rsid w:val="00293AC1"/>
    <w:rsid w:val="00295C47"/>
    <w:rsid w:val="00296463"/>
    <w:rsid w:val="002A1257"/>
    <w:rsid w:val="002A1595"/>
    <w:rsid w:val="002A1C6F"/>
    <w:rsid w:val="002A5393"/>
    <w:rsid w:val="002A7242"/>
    <w:rsid w:val="002A7561"/>
    <w:rsid w:val="002A7B16"/>
    <w:rsid w:val="002B0EB0"/>
    <w:rsid w:val="002B1C92"/>
    <w:rsid w:val="002B2F7A"/>
    <w:rsid w:val="002B3CFA"/>
    <w:rsid w:val="002B7001"/>
    <w:rsid w:val="002C00A0"/>
    <w:rsid w:val="002C0483"/>
    <w:rsid w:val="002C1451"/>
    <w:rsid w:val="002C1A20"/>
    <w:rsid w:val="002C49CC"/>
    <w:rsid w:val="002C4B0E"/>
    <w:rsid w:val="002C51C8"/>
    <w:rsid w:val="002C5407"/>
    <w:rsid w:val="002C5567"/>
    <w:rsid w:val="002C588A"/>
    <w:rsid w:val="002C5D4C"/>
    <w:rsid w:val="002C5E13"/>
    <w:rsid w:val="002C6A1B"/>
    <w:rsid w:val="002C6FD7"/>
    <w:rsid w:val="002C70ED"/>
    <w:rsid w:val="002C7A41"/>
    <w:rsid w:val="002D079A"/>
    <w:rsid w:val="002D13FB"/>
    <w:rsid w:val="002D14D4"/>
    <w:rsid w:val="002D1D29"/>
    <w:rsid w:val="002D3C2C"/>
    <w:rsid w:val="002D3C3F"/>
    <w:rsid w:val="002D4B06"/>
    <w:rsid w:val="002D5324"/>
    <w:rsid w:val="002D5E96"/>
    <w:rsid w:val="002D5FFA"/>
    <w:rsid w:val="002E12A0"/>
    <w:rsid w:val="002E2E4E"/>
    <w:rsid w:val="002F0867"/>
    <w:rsid w:val="002F6C2F"/>
    <w:rsid w:val="00301C5D"/>
    <w:rsid w:val="00304021"/>
    <w:rsid w:val="0030592B"/>
    <w:rsid w:val="0030768C"/>
    <w:rsid w:val="0030795F"/>
    <w:rsid w:val="00307BA7"/>
    <w:rsid w:val="00310E19"/>
    <w:rsid w:val="00315B95"/>
    <w:rsid w:val="00316239"/>
    <w:rsid w:val="003176D8"/>
    <w:rsid w:val="00317D7E"/>
    <w:rsid w:val="0032225E"/>
    <w:rsid w:val="003233DC"/>
    <w:rsid w:val="00323C90"/>
    <w:rsid w:val="003244B8"/>
    <w:rsid w:val="0032564A"/>
    <w:rsid w:val="0032567C"/>
    <w:rsid w:val="003267B6"/>
    <w:rsid w:val="003269C3"/>
    <w:rsid w:val="0032762C"/>
    <w:rsid w:val="00327DC6"/>
    <w:rsid w:val="003314A5"/>
    <w:rsid w:val="003315E4"/>
    <w:rsid w:val="00331999"/>
    <w:rsid w:val="0033385E"/>
    <w:rsid w:val="00333E79"/>
    <w:rsid w:val="0033633F"/>
    <w:rsid w:val="00337459"/>
    <w:rsid w:val="00340703"/>
    <w:rsid w:val="0034078F"/>
    <w:rsid w:val="0034108A"/>
    <w:rsid w:val="003447C4"/>
    <w:rsid w:val="003451F6"/>
    <w:rsid w:val="0034534E"/>
    <w:rsid w:val="00347350"/>
    <w:rsid w:val="00350312"/>
    <w:rsid w:val="00350A2F"/>
    <w:rsid w:val="003515BD"/>
    <w:rsid w:val="00351EA3"/>
    <w:rsid w:val="0035265D"/>
    <w:rsid w:val="00353326"/>
    <w:rsid w:val="00353759"/>
    <w:rsid w:val="003538B1"/>
    <w:rsid w:val="003539AB"/>
    <w:rsid w:val="003539ED"/>
    <w:rsid w:val="00353B9F"/>
    <w:rsid w:val="00353DC9"/>
    <w:rsid w:val="003549F1"/>
    <w:rsid w:val="00354CA0"/>
    <w:rsid w:val="00354F40"/>
    <w:rsid w:val="003566C8"/>
    <w:rsid w:val="0035674D"/>
    <w:rsid w:val="00357577"/>
    <w:rsid w:val="00360468"/>
    <w:rsid w:val="003605F3"/>
    <w:rsid w:val="00362639"/>
    <w:rsid w:val="003626D9"/>
    <w:rsid w:val="0036309D"/>
    <w:rsid w:val="0036315F"/>
    <w:rsid w:val="003637A7"/>
    <w:rsid w:val="00363C18"/>
    <w:rsid w:val="00366C8F"/>
    <w:rsid w:val="00371144"/>
    <w:rsid w:val="0037176A"/>
    <w:rsid w:val="003717EA"/>
    <w:rsid w:val="00372390"/>
    <w:rsid w:val="00372A0D"/>
    <w:rsid w:val="00372CE7"/>
    <w:rsid w:val="00372DA9"/>
    <w:rsid w:val="00375425"/>
    <w:rsid w:val="0037574F"/>
    <w:rsid w:val="0037627E"/>
    <w:rsid w:val="00376648"/>
    <w:rsid w:val="00377278"/>
    <w:rsid w:val="003774E2"/>
    <w:rsid w:val="003806BF"/>
    <w:rsid w:val="00380B4F"/>
    <w:rsid w:val="0038147C"/>
    <w:rsid w:val="0038290F"/>
    <w:rsid w:val="0038349D"/>
    <w:rsid w:val="00383E7F"/>
    <w:rsid w:val="00383EF7"/>
    <w:rsid w:val="00383F37"/>
    <w:rsid w:val="00384CCC"/>
    <w:rsid w:val="00385A30"/>
    <w:rsid w:val="00385B3B"/>
    <w:rsid w:val="003862E0"/>
    <w:rsid w:val="00386572"/>
    <w:rsid w:val="00387E53"/>
    <w:rsid w:val="00390449"/>
    <w:rsid w:val="00390F5D"/>
    <w:rsid w:val="00391EC5"/>
    <w:rsid w:val="003935F0"/>
    <w:rsid w:val="00397C09"/>
    <w:rsid w:val="003A1B07"/>
    <w:rsid w:val="003A2D5B"/>
    <w:rsid w:val="003A373F"/>
    <w:rsid w:val="003A4192"/>
    <w:rsid w:val="003A4FBD"/>
    <w:rsid w:val="003A5726"/>
    <w:rsid w:val="003A627B"/>
    <w:rsid w:val="003A6F16"/>
    <w:rsid w:val="003A7F0A"/>
    <w:rsid w:val="003B0D3C"/>
    <w:rsid w:val="003B1026"/>
    <w:rsid w:val="003B12EC"/>
    <w:rsid w:val="003B1328"/>
    <w:rsid w:val="003B3E35"/>
    <w:rsid w:val="003B3FA2"/>
    <w:rsid w:val="003B4684"/>
    <w:rsid w:val="003B4862"/>
    <w:rsid w:val="003B64E7"/>
    <w:rsid w:val="003C0710"/>
    <w:rsid w:val="003C18A1"/>
    <w:rsid w:val="003C20B5"/>
    <w:rsid w:val="003C34E1"/>
    <w:rsid w:val="003C5720"/>
    <w:rsid w:val="003C7371"/>
    <w:rsid w:val="003C7A30"/>
    <w:rsid w:val="003D0C25"/>
    <w:rsid w:val="003D1AE5"/>
    <w:rsid w:val="003D288F"/>
    <w:rsid w:val="003D348F"/>
    <w:rsid w:val="003D469E"/>
    <w:rsid w:val="003D4CAB"/>
    <w:rsid w:val="003D5DB9"/>
    <w:rsid w:val="003D5EC5"/>
    <w:rsid w:val="003D6918"/>
    <w:rsid w:val="003D71E2"/>
    <w:rsid w:val="003E02B2"/>
    <w:rsid w:val="003E1BE3"/>
    <w:rsid w:val="003E40E7"/>
    <w:rsid w:val="003E47B6"/>
    <w:rsid w:val="003E4DDE"/>
    <w:rsid w:val="003E6167"/>
    <w:rsid w:val="003E6CD5"/>
    <w:rsid w:val="003F02C6"/>
    <w:rsid w:val="003F0719"/>
    <w:rsid w:val="003F11BE"/>
    <w:rsid w:val="003F1F1E"/>
    <w:rsid w:val="003F2A1D"/>
    <w:rsid w:val="003F56AD"/>
    <w:rsid w:val="003F5B8C"/>
    <w:rsid w:val="003F620E"/>
    <w:rsid w:val="003F72A2"/>
    <w:rsid w:val="00400E55"/>
    <w:rsid w:val="004022BF"/>
    <w:rsid w:val="00402D0C"/>
    <w:rsid w:val="00403FD3"/>
    <w:rsid w:val="00404312"/>
    <w:rsid w:val="004050FE"/>
    <w:rsid w:val="00406453"/>
    <w:rsid w:val="00410423"/>
    <w:rsid w:val="00410725"/>
    <w:rsid w:val="00410B75"/>
    <w:rsid w:val="00410E10"/>
    <w:rsid w:val="00411AC0"/>
    <w:rsid w:val="00411BC1"/>
    <w:rsid w:val="00413339"/>
    <w:rsid w:val="00414CC7"/>
    <w:rsid w:val="00415673"/>
    <w:rsid w:val="0041567D"/>
    <w:rsid w:val="00416EBA"/>
    <w:rsid w:val="004173B2"/>
    <w:rsid w:val="004201E6"/>
    <w:rsid w:val="00421CED"/>
    <w:rsid w:val="00422207"/>
    <w:rsid w:val="00423119"/>
    <w:rsid w:val="00423F9E"/>
    <w:rsid w:val="00424F41"/>
    <w:rsid w:val="00424FF2"/>
    <w:rsid w:val="00425154"/>
    <w:rsid w:val="00426C7D"/>
    <w:rsid w:val="00427C52"/>
    <w:rsid w:val="004326B3"/>
    <w:rsid w:val="00433AD4"/>
    <w:rsid w:val="00433F84"/>
    <w:rsid w:val="00433FB0"/>
    <w:rsid w:val="00435D95"/>
    <w:rsid w:val="00436062"/>
    <w:rsid w:val="004365A0"/>
    <w:rsid w:val="0043723F"/>
    <w:rsid w:val="00441235"/>
    <w:rsid w:val="00442094"/>
    <w:rsid w:val="0044379A"/>
    <w:rsid w:val="00444129"/>
    <w:rsid w:val="00444FDA"/>
    <w:rsid w:val="0044548C"/>
    <w:rsid w:val="0044649A"/>
    <w:rsid w:val="00446808"/>
    <w:rsid w:val="0044773E"/>
    <w:rsid w:val="00447776"/>
    <w:rsid w:val="0045046E"/>
    <w:rsid w:val="004523A9"/>
    <w:rsid w:val="004529A4"/>
    <w:rsid w:val="00452BF4"/>
    <w:rsid w:val="004531DD"/>
    <w:rsid w:val="00453662"/>
    <w:rsid w:val="00454E19"/>
    <w:rsid w:val="0045569B"/>
    <w:rsid w:val="004560E8"/>
    <w:rsid w:val="004564C6"/>
    <w:rsid w:val="004566D1"/>
    <w:rsid w:val="00456749"/>
    <w:rsid w:val="00457516"/>
    <w:rsid w:val="00457779"/>
    <w:rsid w:val="0045788A"/>
    <w:rsid w:val="004601E4"/>
    <w:rsid w:val="00462140"/>
    <w:rsid w:val="00462886"/>
    <w:rsid w:val="00462ED1"/>
    <w:rsid w:val="00463A22"/>
    <w:rsid w:val="00463E28"/>
    <w:rsid w:val="00464432"/>
    <w:rsid w:val="004654C4"/>
    <w:rsid w:val="00471E7C"/>
    <w:rsid w:val="00472E7A"/>
    <w:rsid w:val="00474FAE"/>
    <w:rsid w:val="00475D90"/>
    <w:rsid w:val="00481D3A"/>
    <w:rsid w:val="00482E65"/>
    <w:rsid w:val="004840F0"/>
    <w:rsid w:val="00484811"/>
    <w:rsid w:val="0048688A"/>
    <w:rsid w:val="0048736A"/>
    <w:rsid w:val="004904C4"/>
    <w:rsid w:val="004907B7"/>
    <w:rsid w:val="00491E83"/>
    <w:rsid w:val="0049244C"/>
    <w:rsid w:val="004925D7"/>
    <w:rsid w:val="00492670"/>
    <w:rsid w:val="00494F4E"/>
    <w:rsid w:val="00495D1D"/>
    <w:rsid w:val="00496A51"/>
    <w:rsid w:val="004970EB"/>
    <w:rsid w:val="00497376"/>
    <w:rsid w:val="004976BE"/>
    <w:rsid w:val="00497733"/>
    <w:rsid w:val="004A0F0B"/>
    <w:rsid w:val="004A128E"/>
    <w:rsid w:val="004A2FD9"/>
    <w:rsid w:val="004A39D1"/>
    <w:rsid w:val="004A3C34"/>
    <w:rsid w:val="004A6F1E"/>
    <w:rsid w:val="004A750A"/>
    <w:rsid w:val="004B0C23"/>
    <w:rsid w:val="004B127E"/>
    <w:rsid w:val="004B1E7A"/>
    <w:rsid w:val="004B1F2E"/>
    <w:rsid w:val="004B497B"/>
    <w:rsid w:val="004B5A4F"/>
    <w:rsid w:val="004B6C0F"/>
    <w:rsid w:val="004C1308"/>
    <w:rsid w:val="004C1CDA"/>
    <w:rsid w:val="004C317D"/>
    <w:rsid w:val="004C3946"/>
    <w:rsid w:val="004C47DD"/>
    <w:rsid w:val="004C4E35"/>
    <w:rsid w:val="004C4E7C"/>
    <w:rsid w:val="004C5A30"/>
    <w:rsid w:val="004C5ED9"/>
    <w:rsid w:val="004C5FDA"/>
    <w:rsid w:val="004C6118"/>
    <w:rsid w:val="004C77BE"/>
    <w:rsid w:val="004D0930"/>
    <w:rsid w:val="004D32FA"/>
    <w:rsid w:val="004D4F0F"/>
    <w:rsid w:val="004D74AC"/>
    <w:rsid w:val="004D7CDE"/>
    <w:rsid w:val="004E0D78"/>
    <w:rsid w:val="004E1111"/>
    <w:rsid w:val="004E115C"/>
    <w:rsid w:val="004E1B8B"/>
    <w:rsid w:val="004E252A"/>
    <w:rsid w:val="004E2E69"/>
    <w:rsid w:val="004E3337"/>
    <w:rsid w:val="004E3FE8"/>
    <w:rsid w:val="004E76B4"/>
    <w:rsid w:val="004F0188"/>
    <w:rsid w:val="004F038F"/>
    <w:rsid w:val="004F0475"/>
    <w:rsid w:val="004F332C"/>
    <w:rsid w:val="004F5832"/>
    <w:rsid w:val="004F59FA"/>
    <w:rsid w:val="004F5BBF"/>
    <w:rsid w:val="004F6AAD"/>
    <w:rsid w:val="004F6B7F"/>
    <w:rsid w:val="004F7466"/>
    <w:rsid w:val="004F7C54"/>
    <w:rsid w:val="00502A0A"/>
    <w:rsid w:val="00504F9C"/>
    <w:rsid w:val="005063DF"/>
    <w:rsid w:val="00506834"/>
    <w:rsid w:val="0050732C"/>
    <w:rsid w:val="005074C3"/>
    <w:rsid w:val="00507500"/>
    <w:rsid w:val="00507C7A"/>
    <w:rsid w:val="00510C19"/>
    <w:rsid w:val="00512E6C"/>
    <w:rsid w:val="00514708"/>
    <w:rsid w:val="0051488C"/>
    <w:rsid w:val="00516487"/>
    <w:rsid w:val="00516DAC"/>
    <w:rsid w:val="00517304"/>
    <w:rsid w:val="0051739D"/>
    <w:rsid w:val="00520259"/>
    <w:rsid w:val="005202ED"/>
    <w:rsid w:val="005205DE"/>
    <w:rsid w:val="00522B30"/>
    <w:rsid w:val="005247DB"/>
    <w:rsid w:val="00526339"/>
    <w:rsid w:val="00527044"/>
    <w:rsid w:val="00527604"/>
    <w:rsid w:val="005276D1"/>
    <w:rsid w:val="00531194"/>
    <w:rsid w:val="00532D55"/>
    <w:rsid w:val="00534A72"/>
    <w:rsid w:val="00534FDB"/>
    <w:rsid w:val="0053586B"/>
    <w:rsid w:val="005373C2"/>
    <w:rsid w:val="00537899"/>
    <w:rsid w:val="005407D1"/>
    <w:rsid w:val="00541677"/>
    <w:rsid w:val="00541ECC"/>
    <w:rsid w:val="0054246E"/>
    <w:rsid w:val="0054268E"/>
    <w:rsid w:val="005427F1"/>
    <w:rsid w:val="005436A4"/>
    <w:rsid w:val="00543833"/>
    <w:rsid w:val="00543EA3"/>
    <w:rsid w:val="00550BDF"/>
    <w:rsid w:val="005510C2"/>
    <w:rsid w:val="005514A2"/>
    <w:rsid w:val="00551DDB"/>
    <w:rsid w:val="00552FC7"/>
    <w:rsid w:val="0055334A"/>
    <w:rsid w:val="0055390F"/>
    <w:rsid w:val="00554F67"/>
    <w:rsid w:val="00555D55"/>
    <w:rsid w:val="00557789"/>
    <w:rsid w:val="00560C2A"/>
    <w:rsid w:val="00560C7B"/>
    <w:rsid w:val="005613B3"/>
    <w:rsid w:val="0056163B"/>
    <w:rsid w:val="005619D0"/>
    <w:rsid w:val="00562D96"/>
    <w:rsid w:val="00563075"/>
    <w:rsid w:val="00563E8E"/>
    <w:rsid w:val="005640B8"/>
    <w:rsid w:val="00564636"/>
    <w:rsid w:val="00564A46"/>
    <w:rsid w:val="005664A1"/>
    <w:rsid w:val="005672C6"/>
    <w:rsid w:val="0056746A"/>
    <w:rsid w:val="005677CC"/>
    <w:rsid w:val="00567D2B"/>
    <w:rsid w:val="00571679"/>
    <w:rsid w:val="00571FCD"/>
    <w:rsid w:val="00574544"/>
    <w:rsid w:val="0057460C"/>
    <w:rsid w:val="00574826"/>
    <w:rsid w:val="00574DDB"/>
    <w:rsid w:val="00575D95"/>
    <w:rsid w:val="00576BA0"/>
    <w:rsid w:val="0057731A"/>
    <w:rsid w:val="00577736"/>
    <w:rsid w:val="005814D8"/>
    <w:rsid w:val="005819CB"/>
    <w:rsid w:val="00582D9B"/>
    <w:rsid w:val="0058348A"/>
    <w:rsid w:val="00583950"/>
    <w:rsid w:val="00585C4C"/>
    <w:rsid w:val="00586126"/>
    <w:rsid w:val="00587A90"/>
    <w:rsid w:val="00590D3D"/>
    <w:rsid w:val="00591F5B"/>
    <w:rsid w:val="00592707"/>
    <w:rsid w:val="00592D8A"/>
    <w:rsid w:val="00595510"/>
    <w:rsid w:val="005957D4"/>
    <w:rsid w:val="00595F44"/>
    <w:rsid w:val="005966F8"/>
    <w:rsid w:val="005968E5"/>
    <w:rsid w:val="00596EFC"/>
    <w:rsid w:val="005973B8"/>
    <w:rsid w:val="005A06DA"/>
    <w:rsid w:val="005A0F6E"/>
    <w:rsid w:val="005A171C"/>
    <w:rsid w:val="005A1CF2"/>
    <w:rsid w:val="005A22F2"/>
    <w:rsid w:val="005A44A6"/>
    <w:rsid w:val="005A4A38"/>
    <w:rsid w:val="005A596D"/>
    <w:rsid w:val="005A64FD"/>
    <w:rsid w:val="005A67C1"/>
    <w:rsid w:val="005A6E45"/>
    <w:rsid w:val="005B00E3"/>
    <w:rsid w:val="005B1432"/>
    <w:rsid w:val="005B1E51"/>
    <w:rsid w:val="005B35A6"/>
    <w:rsid w:val="005B45F4"/>
    <w:rsid w:val="005B627B"/>
    <w:rsid w:val="005B65CB"/>
    <w:rsid w:val="005B6BFE"/>
    <w:rsid w:val="005B722E"/>
    <w:rsid w:val="005B76BC"/>
    <w:rsid w:val="005B7DB9"/>
    <w:rsid w:val="005B7F07"/>
    <w:rsid w:val="005C010F"/>
    <w:rsid w:val="005C0142"/>
    <w:rsid w:val="005C2B94"/>
    <w:rsid w:val="005C706D"/>
    <w:rsid w:val="005C7A3A"/>
    <w:rsid w:val="005D1A0F"/>
    <w:rsid w:val="005D26DD"/>
    <w:rsid w:val="005D32C2"/>
    <w:rsid w:val="005D3603"/>
    <w:rsid w:val="005D5862"/>
    <w:rsid w:val="005D6CD2"/>
    <w:rsid w:val="005E0F2C"/>
    <w:rsid w:val="005E116E"/>
    <w:rsid w:val="005E2B0F"/>
    <w:rsid w:val="005E57E5"/>
    <w:rsid w:val="005E6878"/>
    <w:rsid w:val="005E6D26"/>
    <w:rsid w:val="005F080F"/>
    <w:rsid w:val="005F097E"/>
    <w:rsid w:val="005F2340"/>
    <w:rsid w:val="005F2E90"/>
    <w:rsid w:val="005F470E"/>
    <w:rsid w:val="005F5406"/>
    <w:rsid w:val="005F7736"/>
    <w:rsid w:val="005F7924"/>
    <w:rsid w:val="005F7A33"/>
    <w:rsid w:val="006002CF"/>
    <w:rsid w:val="00600A65"/>
    <w:rsid w:val="006011EB"/>
    <w:rsid w:val="00601875"/>
    <w:rsid w:val="00601CA6"/>
    <w:rsid w:val="0060278C"/>
    <w:rsid w:val="00603068"/>
    <w:rsid w:val="00603329"/>
    <w:rsid w:val="006038F7"/>
    <w:rsid w:val="006050E9"/>
    <w:rsid w:val="0060554D"/>
    <w:rsid w:val="00606308"/>
    <w:rsid w:val="00606C68"/>
    <w:rsid w:val="00607746"/>
    <w:rsid w:val="00607FD4"/>
    <w:rsid w:val="00611BF0"/>
    <w:rsid w:val="006151F2"/>
    <w:rsid w:val="006154EF"/>
    <w:rsid w:val="0061743B"/>
    <w:rsid w:val="006178E9"/>
    <w:rsid w:val="0062168A"/>
    <w:rsid w:val="00622CF2"/>
    <w:rsid w:val="00622FA3"/>
    <w:rsid w:val="00627E0D"/>
    <w:rsid w:val="00630310"/>
    <w:rsid w:val="00630379"/>
    <w:rsid w:val="00631617"/>
    <w:rsid w:val="0063213C"/>
    <w:rsid w:val="0063374A"/>
    <w:rsid w:val="00634317"/>
    <w:rsid w:val="00634D52"/>
    <w:rsid w:val="00635631"/>
    <w:rsid w:val="00635F24"/>
    <w:rsid w:val="0063615B"/>
    <w:rsid w:val="00636310"/>
    <w:rsid w:val="00636F9C"/>
    <w:rsid w:val="006376E2"/>
    <w:rsid w:val="0064199B"/>
    <w:rsid w:val="00641EBA"/>
    <w:rsid w:val="00642313"/>
    <w:rsid w:val="00643082"/>
    <w:rsid w:val="00644B89"/>
    <w:rsid w:val="00645861"/>
    <w:rsid w:val="00645898"/>
    <w:rsid w:val="00647275"/>
    <w:rsid w:val="00647B4E"/>
    <w:rsid w:val="00650974"/>
    <w:rsid w:val="006519E8"/>
    <w:rsid w:val="00651DBB"/>
    <w:rsid w:val="00652441"/>
    <w:rsid w:val="00652499"/>
    <w:rsid w:val="006526B6"/>
    <w:rsid w:val="0065362F"/>
    <w:rsid w:val="00653F32"/>
    <w:rsid w:val="00654CFD"/>
    <w:rsid w:val="00654E2E"/>
    <w:rsid w:val="00655E0A"/>
    <w:rsid w:val="0065729C"/>
    <w:rsid w:val="00657A5C"/>
    <w:rsid w:val="00660582"/>
    <w:rsid w:val="00661443"/>
    <w:rsid w:val="00661D73"/>
    <w:rsid w:val="00662BC1"/>
    <w:rsid w:val="00663606"/>
    <w:rsid w:val="006638C0"/>
    <w:rsid w:val="006652EC"/>
    <w:rsid w:val="006658B0"/>
    <w:rsid w:val="00665DE0"/>
    <w:rsid w:val="006676C2"/>
    <w:rsid w:val="00672103"/>
    <w:rsid w:val="0067273E"/>
    <w:rsid w:val="00672AF2"/>
    <w:rsid w:val="0067419A"/>
    <w:rsid w:val="0067571A"/>
    <w:rsid w:val="00676D94"/>
    <w:rsid w:val="00680E84"/>
    <w:rsid w:val="00681753"/>
    <w:rsid w:val="0068273F"/>
    <w:rsid w:val="006831EF"/>
    <w:rsid w:val="00683CC0"/>
    <w:rsid w:val="006840E8"/>
    <w:rsid w:val="006842A5"/>
    <w:rsid w:val="006845D8"/>
    <w:rsid w:val="00684723"/>
    <w:rsid w:val="006866CE"/>
    <w:rsid w:val="00686B3F"/>
    <w:rsid w:val="00686E43"/>
    <w:rsid w:val="00686E96"/>
    <w:rsid w:val="00691B11"/>
    <w:rsid w:val="00692C1A"/>
    <w:rsid w:val="006931BA"/>
    <w:rsid w:val="006941BC"/>
    <w:rsid w:val="00695CF4"/>
    <w:rsid w:val="00697FBA"/>
    <w:rsid w:val="006A0AAC"/>
    <w:rsid w:val="006A101F"/>
    <w:rsid w:val="006A35A8"/>
    <w:rsid w:val="006A3870"/>
    <w:rsid w:val="006A3E82"/>
    <w:rsid w:val="006A74E5"/>
    <w:rsid w:val="006B008B"/>
    <w:rsid w:val="006B02D9"/>
    <w:rsid w:val="006B0F2B"/>
    <w:rsid w:val="006B2897"/>
    <w:rsid w:val="006B40BB"/>
    <w:rsid w:val="006B63C3"/>
    <w:rsid w:val="006B683C"/>
    <w:rsid w:val="006B6DD4"/>
    <w:rsid w:val="006B7A4B"/>
    <w:rsid w:val="006B7FF3"/>
    <w:rsid w:val="006C097B"/>
    <w:rsid w:val="006C0E80"/>
    <w:rsid w:val="006C234A"/>
    <w:rsid w:val="006C2F3F"/>
    <w:rsid w:val="006C373F"/>
    <w:rsid w:val="006C54FF"/>
    <w:rsid w:val="006C6937"/>
    <w:rsid w:val="006C6C86"/>
    <w:rsid w:val="006C7481"/>
    <w:rsid w:val="006C783B"/>
    <w:rsid w:val="006D0026"/>
    <w:rsid w:val="006D13E9"/>
    <w:rsid w:val="006D29A6"/>
    <w:rsid w:val="006D2F0E"/>
    <w:rsid w:val="006D2F90"/>
    <w:rsid w:val="006D3BEE"/>
    <w:rsid w:val="006D41F3"/>
    <w:rsid w:val="006D48EB"/>
    <w:rsid w:val="006D7DEF"/>
    <w:rsid w:val="006E0956"/>
    <w:rsid w:val="006E0CE4"/>
    <w:rsid w:val="006E13F9"/>
    <w:rsid w:val="006E32CA"/>
    <w:rsid w:val="006E4510"/>
    <w:rsid w:val="006E4DEF"/>
    <w:rsid w:val="006E6743"/>
    <w:rsid w:val="006F2C3E"/>
    <w:rsid w:val="006F35C7"/>
    <w:rsid w:val="006F4E9B"/>
    <w:rsid w:val="006F6092"/>
    <w:rsid w:val="006F62BE"/>
    <w:rsid w:val="006F6C48"/>
    <w:rsid w:val="006F7455"/>
    <w:rsid w:val="006F747F"/>
    <w:rsid w:val="006F76F9"/>
    <w:rsid w:val="006F776D"/>
    <w:rsid w:val="006F7964"/>
    <w:rsid w:val="006F7A87"/>
    <w:rsid w:val="0070097C"/>
    <w:rsid w:val="00703C35"/>
    <w:rsid w:val="007066DC"/>
    <w:rsid w:val="00706729"/>
    <w:rsid w:val="00711035"/>
    <w:rsid w:val="00711DC7"/>
    <w:rsid w:val="00713177"/>
    <w:rsid w:val="0071429E"/>
    <w:rsid w:val="00714703"/>
    <w:rsid w:val="007160EE"/>
    <w:rsid w:val="007174E3"/>
    <w:rsid w:val="0071762F"/>
    <w:rsid w:val="00717BA3"/>
    <w:rsid w:val="00720AEF"/>
    <w:rsid w:val="007211A9"/>
    <w:rsid w:val="007212C7"/>
    <w:rsid w:val="00722920"/>
    <w:rsid w:val="00722A93"/>
    <w:rsid w:val="007261D9"/>
    <w:rsid w:val="007262FF"/>
    <w:rsid w:val="00726ACD"/>
    <w:rsid w:val="00727D7B"/>
    <w:rsid w:val="00731216"/>
    <w:rsid w:val="00732205"/>
    <w:rsid w:val="0073289D"/>
    <w:rsid w:val="00733A1F"/>
    <w:rsid w:val="00733BA3"/>
    <w:rsid w:val="00734002"/>
    <w:rsid w:val="00736462"/>
    <w:rsid w:val="0073777E"/>
    <w:rsid w:val="0074143B"/>
    <w:rsid w:val="00743189"/>
    <w:rsid w:val="007438CF"/>
    <w:rsid w:val="007450E8"/>
    <w:rsid w:val="007464CB"/>
    <w:rsid w:val="00747018"/>
    <w:rsid w:val="00747340"/>
    <w:rsid w:val="00747E89"/>
    <w:rsid w:val="007526F3"/>
    <w:rsid w:val="007568A2"/>
    <w:rsid w:val="00756BD7"/>
    <w:rsid w:val="00756E18"/>
    <w:rsid w:val="007571F6"/>
    <w:rsid w:val="007575C1"/>
    <w:rsid w:val="0075785F"/>
    <w:rsid w:val="00761565"/>
    <w:rsid w:val="00761974"/>
    <w:rsid w:val="007651AC"/>
    <w:rsid w:val="007665D4"/>
    <w:rsid w:val="007670F8"/>
    <w:rsid w:val="007673A1"/>
    <w:rsid w:val="007720E4"/>
    <w:rsid w:val="00774003"/>
    <w:rsid w:val="0077705A"/>
    <w:rsid w:val="00780906"/>
    <w:rsid w:val="00781319"/>
    <w:rsid w:val="00782997"/>
    <w:rsid w:val="00783E8C"/>
    <w:rsid w:val="00786A84"/>
    <w:rsid w:val="0078700D"/>
    <w:rsid w:val="00787045"/>
    <w:rsid w:val="0079112C"/>
    <w:rsid w:val="00791733"/>
    <w:rsid w:val="0079266E"/>
    <w:rsid w:val="0079304F"/>
    <w:rsid w:val="007933E3"/>
    <w:rsid w:val="00794E2D"/>
    <w:rsid w:val="0079534C"/>
    <w:rsid w:val="007959AF"/>
    <w:rsid w:val="00795BE4"/>
    <w:rsid w:val="00795C3F"/>
    <w:rsid w:val="00796479"/>
    <w:rsid w:val="00797CF6"/>
    <w:rsid w:val="007A25E6"/>
    <w:rsid w:val="007A2F20"/>
    <w:rsid w:val="007A3A0D"/>
    <w:rsid w:val="007A3BD7"/>
    <w:rsid w:val="007A3D6E"/>
    <w:rsid w:val="007A40B1"/>
    <w:rsid w:val="007A5337"/>
    <w:rsid w:val="007A5CF1"/>
    <w:rsid w:val="007A72EB"/>
    <w:rsid w:val="007A7B1C"/>
    <w:rsid w:val="007B01C5"/>
    <w:rsid w:val="007B052E"/>
    <w:rsid w:val="007B39C3"/>
    <w:rsid w:val="007B4420"/>
    <w:rsid w:val="007B4994"/>
    <w:rsid w:val="007B67DD"/>
    <w:rsid w:val="007C0295"/>
    <w:rsid w:val="007C07C7"/>
    <w:rsid w:val="007C0F0E"/>
    <w:rsid w:val="007C16BD"/>
    <w:rsid w:val="007C18C1"/>
    <w:rsid w:val="007C3CA9"/>
    <w:rsid w:val="007C3EEA"/>
    <w:rsid w:val="007C43EA"/>
    <w:rsid w:val="007C44CC"/>
    <w:rsid w:val="007C4AF7"/>
    <w:rsid w:val="007C4B2C"/>
    <w:rsid w:val="007C5A69"/>
    <w:rsid w:val="007C673D"/>
    <w:rsid w:val="007C788B"/>
    <w:rsid w:val="007D0D0F"/>
    <w:rsid w:val="007D0F4E"/>
    <w:rsid w:val="007D16AD"/>
    <w:rsid w:val="007D1D90"/>
    <w:rsid w:val="007D2D62"/>
    <w:rsid w:val="007D2EE5"/>
    <w:rsid w:val="007D457C"/>
    <w:rsid w:val="007E06F7"/>
    <w:rsid w:val="007E0877"/>
    <w:rsid w:val="007E1D5B"/>
    <w:rsid w:val="007E1ED9"/>
    <w:rsid w:val="007E2AC3"/>
    <w:rsid w:val="007E2B63"/>
    <w:rsid w:val="007E41F9"/>
    <w:rsid w:val="007E4565"/>
    <w:rsid w:val="007E4F14"/>
    <w:rsid w:val="007E6976"/>
    <w:rsid w:val="007F1BB5"/>
    <w:rsid w:val="007F246B"/>
    <w:rsid w:val="007F2A1D"/>
    <w:rsid w:val="007F4356"/>
    <w:rsid w:val="007F53D4"/>
    <w:rsid w:val="007F548F"/>
    <w:rsid w:val="007F571E"/>
    <w:rsid w:val="007F716D"/>
    <w:rsid w:val="007F75BF"/>
    <w:rsid w:val="0080002A"/>
    <w:rsid w:val="00802704"/>
    <w:rsid w:val="00802716"/>
    <w:rsid w:val="00806549"/>
    <w:rsid w:val="00811E18"/>
    <w:rsid w:val="008125AD"/>
    <w:rsid w:val="00813C34"/>
    <w:rsid w:val="00815430"/>
    <w:rsid w:val="00821DF4"/>
    <w:rsid w:val="00823CBD"/>
    <w:rsid w:val="00823DDC"/>
    <w:rsid w:val="00824167"/>
    <w:rsid w:val="008257C5"/>
    <w:rsid w:val="00825859"/>
    <w:rsid w:val="00826E1F"/>
    <w:rsid w:val="00826FA0"/>
    <w:rsid w:val="008314A0"/>
    <w:rsid w:val="00832651"/>
    <w:rsid w:val="0083479B"/>
    <w:rsid w:val="00835E4F"/>
    <w:rsid w:val="00836650"/>
    <w:rsid w:val="00840722"/>
    <w:rsid w:val="00841116"/>
    <w:rsid w:val="0084245D"/>
    <w:rsid w:val="00842B74"/>
    <w:rsid w:val="00843E16"/>
    <w:rsid w:val="008441E1"/>
    <w:rsid w:val="00844448"/>
    <w:rsid w:val="00845C53"/>
    <w:rsid w:val="008461BB"/>
    <w:rsid w:val="008470E4"/>
    <w:rsid w:val="00847480"/>
    <w:rsid w:val="0085024C"/>
    <w:rsid w:val="00850A27"/>
    <w:rsid w:val="00851434"/>
    <w:rsid w:val="00855862"/>
    <w:rsid w:val="00856813"/>
    <w:rsid w:val="00857109"/>
    <w:rsid w:val="00857714"/>
    <w:rsid w:val="0086033F"/>
    <w:rsid w:val="00862E33"/>
    <w:rsid w:val="00862FCA"/>
    <w:rsid w:val="008631D7"/>
    <w:rsid w:val="008665B5"/>
    <w:rsid w:val="00866782"/>
    <w:rsid w:val="00866E5B"/>
    <w:rsid w:val="0086714D"/>
    <w:rsid w:val="008702B6"/>
    <w:rsid w:val="0087189B"/>
    <w:rsid w:val="00872302"/>
    <w:rsid w:val="008727C7"/>
    <w:rsid w:val="00872BAB"/>
    <w:rsid w:val="00872D60"/>
    <w:rsid w:val="00874C10"/>
    <w:rsid w:val="0087553A"/>
    <w:rsid w:val="008769E5"/>
    <w:rsid w:val="0088068A"/>
    <w:rsid w:val="00880F40"/>
    <w:rsid w:val="00880F45"/>
    <w:rsid w:val="008821B5"/>
    <w:rsid w:val="00882299"/>
    <w:rsid w:val="00884AC8"/>
    <w:rsid w:val="00887A25"/>
    <w:rsid w:val="00890236"/>
    <w:rsid w:val="008904CA"/>
    <w:rsid w:val="00890771"/>
    <w:rsid w:val="00891137"/>
    <w:rsid w:val="008914E2"/>
    <w:rsid w:val="00891B0F"/>
    <w:rsid w:val="008933E3"/>
    <w:rsid w:val="00897C63"/>
    <w:rsid w:val="00897CAF"/>
    <w:rsid w:val="008A124D"/>
    <w:rsid w:val="008A18B8"/>
    <w:rsid w:val="008A32B2"/>
    <w:rsid w:val="008A39B6"/>
    <w:rsid w:val="008A56B0"/>
    <w:rsid w:val="008A57D5"/>
    <w:rsid w:val="008A717B"/>
    <w:rsid w:val="008A7B2A"/>
    <w:rsid w:val="008B1120"/>
    <w:rsid w:val="008B248F"/>
    <w:rsid w:val="008B28DA"/>
    <w:rsid w:val="008B2DA2"/>
    <w:rsid w:val="008B3388"/>
    <w:rsid w:val="008B4774"/>
    <w:rsid w:val="008B4FE3"/>
    <w:rsid w:val="008B6F20"/>
    <w:rsid w:val="008B7D04"/>
    <w:rsid w:val="008B7DA3"/>
    <w:rsid w:val="008C0BDD"/>
    <w:rsid w:val="008C1E56"/>
    <w:rsid w:val="008C26FA"/>
    <w:rsid w:val="008C2E82"/>
    <w:rsid w:val="008C3336"/>
    <w:rsid w:val="008C352F"/>
    <w:rsid w:val="008C3AA6"/>
    <w:rsid w:val="008C53A1"/>
    <w:rsid w:val="008D06A3"/>
    <w:rsid w:val="008D19AB"/>
    <w:rsid w:val="008D2149"/>
    <w:rsid w:val="008D3228"/>
    <w:rsid w:val="008D360C"/>
    <w:rsid w:val="008D40C5"/>
    <w:rsid w:val="008D45A4"/>
    <w:rsid w:val="008D488F"/>
    <w:rsid w:val="008D5138"/>
    <w:rsid w:val="008D5D32"/>
    <w:rsid w:val="008D5E55"/>
    <w:rsid w:val="008D73BC"/>
    <w:rsid w:val="008D7748"/>
    <w:rsid w:val="008D7DEE"/>
    <w:rsid w:val="008E025D"/>
    <w:rsid w:val="008E0F0D"/>
    <w:rsid w:val="008E2544"/>
    <w:rsid w:val="008E2FF1"/>
    <w:rsid w:val="008E4622"/>
    <w:rsid w:val="008E480E"/>
    <w:rsid w:val="008E5477"/>
    <w:rsid w:val="008E580E"/>
    <w:rsid w:val="008E6671"/>
    <w:rsid w:val="008E749F"/>
    <w:rsid w:val="008E7EB2"/>
    <w:rsid w:val="008F0053"/>
    <w:rsid w:val="008F01B3"/>
    <w:rsid w:val="008F1853"/>
    <w:rsid w:val="008F1BF1"/>
    <w:rsid w:val="008F26F5"/>
    <w:rsid w:val="008F4145"/>
    <w:rsid w:val="008F43D1"/>
    <w:rsid w:val="008F5027"/>
    <w:rsid w:val="008F5717"/>
    <w:rsid w:val="008F62C5"/>
    <w:rsid w:val="008F6AB3"/>
    <w:rsid w:val="00901A16"/>
    <w:rsid w:val="00902082"/>
    <w:rsid w:val="0090291E"/>
    <w:rsid w:val="00903AA6"/>
    <w:rsid w:val="00903EDA"/>
    <w:rsid w:val="00905512"/>
    <w:rsid w:val="00905D4F"/>
    <w:rsid w:val="009063BB"/>
    <w:rsid w:val="0090653F"/>
    <w:rsid w:val="00907802"/>
    <w:rsid w:val="00907A90"/>
    <w:rsid w:val="009112B9"/>
    <w:rsid w:val="00912A7C"/>
    <w:rsid w:val="00915E72"/>
    <w:rsid w:val="00916062"/>
    <w:rsid w:val="009162F6"/>
    <w:rsid w:val="009174AC"/>
    <w:rsid w:val="00917FE5"/>
    <w:rsid w:val="00920252"/>
    <w:rsid w:val="00921AC7"/>
    <w:rsid w:val="00921EB0"/>
    <w:rsid w:val="00922016"/>
    <w:rsid w:val="009230EF"/>
    <w:rsid w:val="00923BB8"/>
    <w:rsid w:val="009259CD"/>
    <w:rsid w:val="009268C2"/>
    <w:rsid w:val="00931673"/>
    <w:rsid w:val="00931859"/>
    <w:rsid w:val="00932424"/>
    <w:rsid w:val="009325F3"/>
    <w:rsid w:val="00934BDD"/>
    <w:rsid w:val="00935D03"/>
    <w:rsid w:val="00936085"/>
    <w:rsid w:val="0093634D"/>
    <w:rsid w:val="009417C9"/>
    <w:rsid w:val="00943220"/>
    <w:rsid w:val="00945291"/>
    <w:rsid w:val="0094650A"/>
    <w:rsid w:val="00946EB7"/>
    <w:rsid w:val="009472FC"/>
    <w:rsid w:val="0094794B"/>
    <w:rsid w:val="00951E19"/>
    <w:rsid w:val="00954946"/>
    <w:rsid w:val="00954E9E"/>
    <w:rsid w:val="00954EB1"/>
    <w:rsid w:val="00955846"/>
    <w:rsid w:val="00955D55"/>
    <w:rsid w:val="009560C3"/>
    <w:rsid w:val="0095633B"/>
    <w:rsid w:val="0095696C"/>
    <w:rsid w:val="009575DC"/>
    <w:rsid w:val="0095761D"/>
    <w:rsid w:val="00957845"/>
    <w:rsid w:val="0096027D"/>
    <w:rsid w:val="0096081E"/>
    <w:rsid w:val="00962BD3"/>
    <w:rsid w:val="00963570"/>
    <w:rsid w:val="00964637"/>
    <w:rsid w:val="00965468"/>
    <w:rsid w:val="0096564E"/>
    <w:rsid w:val="00972E5D"/>
    <w:rsid w:val="0097611D"/>
    <w:rsid w:val="0097625D"/>
    <w:rsid w:val="009800D0"/>
    <w:rsid w:val="00980397"/>
    <w:rsid w:val="009808DE"/>
    <w:rsid w:val="00981429"/>
    <w:rsid w:val="009816AF"/>
    <w:rsid w:val="00983B18"/>
    <w:rsid w:val="0099066D"/>
    <w:rsid w:val="009906B2"/>
    <w:rsid w:val="00990D01"/>
    <w:rsid w:val="00991F03"/>
    <w:rsid w:val="00993BA2"/>
    <w:rsid w:val="00995DA7"/>
    <w:rsid w:val="009972AE"/>
    <w:rsid w:val="009A014C"/>
    <w:rsid w:val="009A0CD4"/>
    <w:rsid w:val="009A10FA"/>
    <w:rsid w:val="009A1CBD"/>
    <w:rsid w:val="009A3427"/>
    <w:rsid w:val="009A4962"/>
    <w:rsid w:val="009A54B8"/>
    <w:rsid w:val="009B0633"/>
    <w:rsid w:val="009B1410"/>
    <w:rsid w:val="009B148E"/>
    <w:rsid w:val="009B1A86"/>
    <w:rsid w:val="009B1CEE"/>
    <w:rsid w:val="009B2989"/>
    <w:rsid w:val="009B358E"/>
    <w:rsid w:val="009B4DD0"/>
    <w:rsid w:val="009B61B1"/>
    <w:rsid w:val="009C3609"/>
    <w:rsid w:val="009C3DA8"/>
    <w:rsid w:val="009C5871"/>
    <w:rsid w:val="009C599A"/>
    <w:rsid w:val="009C6A62"/>
    <w:rsid w:val="009C71F4"/>
    <w:rsid w:val="009D15F1"/>
    <w:rsid w:val="009D2A2E"/>
    <w:rsid w:val="009D2B33"/>
    <w:rsid w:val="009D2BFC"/>
    <w:rsid w:val="009D2F9E"/>
    <w:rsid w:val="009D4593"/>
    <w:rsid w:val="009E0083"/>
    <w:rsid w:val="009E0CBE"/>
    <w:rsid w:val="009E209D"/>
    <w:rsid w:val="009E222A"/>
    <w:rsid w:val="009E52B7"/>
    <w:rsid w:val="009E7265"/>
    <w:rsid w:val="009E762E"/>
    <w:rsid w:val="009E78F8"/>
    <w:rsid w:val="009E79C2"/>
    <w:rsid w:val="009F042E"/>
    <w:rsid w:val="009F0594"/>
    <w:rsid w:val="009F27C6"/>
    <w:rsid w:val="009F3B12"/>
    <w:rsid w:val="009F4CB1"/>
    <w:rsid w:val="009F72C2"/>
    <w:rsid w:val="009F7365"/>
    <w:rsid w:val="009F7810"/>
    <w:rsid w:val="00A00739"/>
    <w:rsid w:val="00A02C48"/>
    <w:rsid w:val="00A03AC4"/>
    <w:rsid w:val="00A049A3"/>
    <w:rsid w:val="00A04E48"/>
    <w:rsid w:val="00A055B2"/>
    <w:rsid w:val="00A05868"/>
    <w:rsid w:val="00A05CC7"/>
    <w:rsid w:val="00A06A9B"/>
    <w:rsid w:val="00A072B6"/>
    <w:rsid w:val="00A07541"/>
    <w:rsid w:val="00A10E93"/>
    <w:rsid w:val="00A11AAB"/>
    <w:rsid w:val="00A12844"/>
    <w:rsid w:val="00A12BBE"/>
    <w:rsid w:val="00A16A92"/>
    <w:rsid w:val="00A16D96"/>
    <w:rsid w:val="00A204C7"/>
    <w:rsid w:val="00A20665"/>
    <w:rsid w:val="00A23681"/>
    <w:rsid w:val="00A25616"/>
    <w:rsid w:val="00A25DE7"/>
    <w:rsid w:val="00A27A1F"/>
    <w:rsid w:val="00A27AAD"/>
    <w:rsid w:val="00A3064D"/>
    <w:rsid w:val="00A3239A"/>
    <w:rsid w:val="00A3383D"/>
    <w:rsid w:val="00A345B5"/>
    <w:rsid w:val="00A35DB6"/>
    <w:rsid w:val="00A40250"/>
    <w:rsid w:val="00A40D99"/>
    <w:rsid w:val="00A42A2E"/>
    <w:rsid w:val="00A42AA7"/>
    <w:rsid w:val="00A42BEE"/>
    <w:rsid w:val="00A44DA2"/>
    <w:rsid w:val="00A453DF"/>
    <w:rsid w:val="00A4592C"/>
    <w:rsid w:val="00A46140"/>
    <w:rsid w:val="00A461F9"/>
    <w:rsid w:val="00A4653D"/>
    <w:rsid w:val="00A502ED"/>
    <w:rsid w:val="00A53EC6"/>
    <w:rsid w:val="00A55A92"/>
    <w:rsid w:val="00A55CF3"/>
    <w:rsid w:val="00A57E68"/>
    <w:rsid w:val="00A60009"/>
    <w:rsid w:val="00A60D53"/>
    <w:rsid w:val="00A62C78"/>
    <w:rsid w:val="00A66A08"/>
    <w:rsid w:val="00A67F38"/>
    <w:rsid w:val="00A70C80"/>
    <w:rsid w:val="00A71159"/>
    <w:rsid w:val="00A71418"/>
    <w:rsid w:val="00A714D4"/>
    <w:rsid w:val="00A71ECD"/>
    <w:rsid w:val="00A721BE"/>
    <w:rsid w:val="00A723AD"/>
    <w:rsid w:val="00A73864"/>
    <w:rsid w:val="00A73A7B"/>
    <w:rsid w:val="00A7450E"/>
    <w:rsid w:val="00A75B0C"/>
    <w:rsid w:val="00A75E09"/>
    <w:rsid w:val="00A760D7"/>
    <w:rsid w:val="00A80B66"/>
    <w:rsid w:val="00A81236"/>
    <w:rsid w:val="00A83C65"/>
    <w:rsid w:val="00A850F9"/>
    <w:rsid w:val="00A85B64"/>
    <w:rsid w:val="00A8749F"/>
    <w:rsid w:val="00A87E52"/>
    <w:rsid w:val="00A928A4"/>
    <w:rsid w:val="00A92A33"/>
    <w:rsid w:val="00A92ABE"/>
    <w:rsid w:val="00A92C65"/>
    <w:rsid w:val="00A92D10"/>
    <w:rsid w:val="00A92F0E"/>
    <w:rsid w:val="00A93B0D"/>
    <w:rsid w:val="00A943AF"/>
    <w:rsid w:val="00A944B3"/>
    <w:rsid w:val="00A951D5"/>
    <w:rsid w:val="00A9588B"/>
    <w:rsid w:val="00A96B78"/>
    <w:rsid w:val="00AA01E0"/>
    <w:rsid w:val="00AA4E5B"/>
    <w:rsid w:val="00AA6470"/>
    <w:rsid w:val="00AA6596"/>
    <w:rsid w:val="00AA68B1"/>
    <w:rsid w:val="00AA6C56"/>
    <w:rsid w:val="00AA76BE"/>
    <w:rsid w:val="00AB0043"/>
    <w:rsid w:val="00AB050E"/>
    <w:rsid w:val="00AB058C"/>
    <w:rsid w:val="00AB09BF"/>
    <w:rsid w:val="00AB1108"/>
    <w:rsid w:val="00AB4CB4"/>
    <w:rsid w:val="00AB5672"/>
    <w:rsid w:val="00AC1BE0"/>
    <w:rsid w:val="00AC1F67"/>
    <w:rsid w:val="00AC2790"/>
    <w:rsid w:val="00AC2CB9"/>
    <w:rsid w:val="00AC317D"/>
    <w:rsid w:val="00AC3785"/>
    <w:rsid w:val="00AC3BCF"/>
    <w:rsid w:val="00AC4406"/>
    <w:rsid w:val="00AC577A"/>
    <w:rsid w:val="00AC68C9"/>
    <w:rsid w:val="00AC7F24"/>
    <w:rsid w:val="00AC7FA3"/>
    <w:rsid w:val="00AD04D0"/>
    <w:rsid w:val="00AD26C0"/>
    <w:rsid w:val="00AD3359"/>
    <w:rsid w:val="00AD57CF"/>
    <w:rsid w:val="00AD6E2C"/>
    <w:rsid w:val="00AD74B7"/>
    <w:rsid w:val="00AD753B"/>
    <w:rsid w:val="00AE0CB1"/>
    <w:rsid w:val="00AE0F80"/>
    <w:rsid w:val="00AE2282"/>
    <w:rsid w:val="00AE2ABA"/>
    <w:rsid w:val="00AE30F8"/>
    <w:rsid w:val="00AE341C"/>
    <w:rsid w:val="00AE3BEF"/>
    <w:rsid w:val="00AE551E"/>
    <w:rsid w:val="00AE5752"/>
    <w:rsid w:val="00AE5A6F"/>
    <w:rsid w:val="00AE687D"/>
    <w:rsid w:val="00AF0CE0"/>
    <w:rsid w:val="00AF0E43"/>
    <w:rsid w:val="00AF2C75"/>
    <w:rsid w:val="00AF3216"/>
    <w:rsid w:val="00AF5422"/>
    <w:rsid w:val="00AF615A"/>
    <w:rsid w:val="00AF74B3"/>
    <w:rsid w:val="00AF74FB"/>
    <w:rsid w:val="00B02037"/>
    <w:rsid w:val="00B02438"/>
    <w:rsid w:val="00B02831"/>
    <w:rsid w:val="00B02FED"/>
    <w:rsid w:val="00B03010"/>
    <w:rsid w:val="00B04E4F"/>
    <w:rsid w:val="00B052CB"/>
    <w:rsid w:val="00B06AF3"/>
    <w:rsid w:val="00B06D3E"/>
    <w:rsid w:val="00B07935"/>
    <w:rsid w:val="00B10644"/>
    <w:rsid w:val="00B10DFD"/>
    <w:rsid w:val="00B1145B"/>
    <w:rsid w:val="00B132F3"/>
    <w:rsid w:val="00B136FB"/>
    <w:rsid w:val="00B150C9"/>
    <w:rsid w:val="00B15D4C"/>
    <w:rsid w:val="00B167E7"/>
    <w:rsid w:val="00B16A21"/>
    <w:rsid w:val="00B20F1C"/>
    <w:rsid w:val="00B217FC"/>
    <w:rsid w:val="00B21F1A"/>
    <w:rsid w:val="00B231C9"/>
    <w:rsid w:val="00B2337D"/>
    <w:rsid w:val="00B24C5A"/>
    <w:rsid w:val="00B24D19"/>
    <w:rsid w:val="00B253C6"/>
    <w:rsid w:val="00B270F8"/>
    <w:rsid w:val="00B2756E"/>
    <w:rsid w:val="00B31542"/>
    <w:rsid w:val="00B349D8"/>
    <w:rsid w:val="00B35BF4"/>
    <w:rsid w:val="00B36006"/>
    <w:rsid w:val="00B36642"/>
    <w:rsid w:val="00B40E18"/>
    <w:rsid w:val="00B41B2A"/>
    <w:rsid w:val="00B41BE0"/>
    <w:rsid w:val="00B42571"/>
    <w:rsid w:val="00B4269C"/>
    <w:rsid w:val="00B42DF6"/>
    <w:rsid w:val="00B447E9"/>
    <w:rsid w:val="00B45F7C"/>
    <w:rsid w:val="00B504AC"/>
    <w:rsid w:val="00B50792"/>
    <w:rsid w:val="00B507A2"/>
    <w:rsid w:val="00B51B8B"/>
    <w:rsid w:val="00B5322C"/>
    <w:rsid w:val="00B53B90"/>
    <w:rsid w:val="00B605BC"/>
    <w:rsid w:val="00B61209"/>
    <w:rsid w:val="00B621E2"/>
    <w:rsid w:val="00B62CE6"/>
    <w:rsid w:val="00B64CA6"/>
    <w:rsid w:val="00B654D7"/>
    <w:rsid w:val="00B65612"/>
    <w:rsid w:val="00B65620"/>
    <w:rsid w:val="00B66FF7"/>
    <w:rsid w:val="00B67928"/>
    <w:rsid w:val="00B70D8F"/>
    <w:rsid w:val="00B70E76"/>
    <w:rsid w:val="00B73567"/>
    <w:rsid w:val="00B737AE"/>
    <w:rsid w:val="00B744D1"/>
    <w:rsid w:val="00B747E3"/>
    <w:rsid w:val="00B75217"/>
    <w:rsid w:val="00B75CBD"/>
    <w:rsid w:val="00B76527"/>
    <w:rsid w:val="00B76EF2"/>
    <w:rsid w:val="00B8047E"/>
    <w:rsid w:val="00B8091D"/>
    <w:rsid w:val="00B8121C"/>
    <w:rsid w:val="00B81B36"/>
    <w:rsid w:val="00B829DF"/>
    <w:rsid w:val="00B82B5E"/>
    <w:rsid w:val="00B83314"/>
    <w:rsid w:val="00B8376B"/>
    <w:rsid w:val="00B84125"/>
    <w:rsid w:val="00B84ACE"/>
    <w:rsid w:val="00B85AD0"/>
    <w:rsid w:val="00B85EFF"/>
    <w:rsid w:val="00B86F6D"/>
    <w:rsid w:val="00B87243"/>
    <w:rsid w:val="00B872B3"/>
    <w:rsid w:val="00B879D6"/>
    <w:rsid w:val="00B90DEC"/>
    <w:rsid w:val="00B9175A"/>
    <w:rsid w:val="00B93988"/>
    <w:rsid w:val="00B93B2B"/>
    <w:rsid w:val="00B93BDF"/>
    <w:rsid w:val="00B94023"/>
    <w:rsid w:val="00B94532"/>
    <w:rsid w:val="00B9508B"/>
    <w:rsid w:val="00B9522B"/>
    <w:rsid w:val="00B95444"/>
    <w:rsid w:val="00B96AD2"/>
    <w:rsid w:val="00BA05C7"/>
    <w:rsid w:val="00BA0E8B"/>
    <w:rsid w:val="00BA12A3"/>
    <w:rsid w:val="00BA205E"/>
    <w:rsid w:val="00BA322B"/>
    <w:rsid w:val="00BA458B"/>
    <w:rsid w:val="00BA50B3"/>
    <w:rsid w:val="00BA58BE"/>
    <w:rsid w:val="00BA7116"/>
    <w:rsid w:val="00BB25CD"/>
    <w:rsid w:val="00BB2A3B"/>
    <w:rsid w:val="00BB4357"/>
    <w:rsid w:val="00BB5AE7"/>
    <w:rsid w:val="00BB64EE"/>
    <w:rsid w:val="00BB675B"/>
    <w:rsid w:val="00BB766F"/>
    <w:rsid w:val="00BC0DBC"/>
    <w:rsid w:val="00BC1780"/>
    <w:rsid w:val="00BC351C"/>
    <w:rsid w:val="00BC4282"/>
    <w:rsid w:val="00BC4472"/>
    <w:rsid w:val="00BC4541"/>
    <w:rsid w:val="00BC47D3"/>
    <w:rsid w:val="00BC4BFF"/>
    <w:rsid w:val="00BC669C"/>
    <w:rsid w:val="00BC7828"/>
    <w:rsid w:val="00BD0334"/>
    <w:rsid w:val="00BD0524"/>
    <w:rsid w:val="00BD51B7"/>
    <w:rsid w:val="00BD5736"/>
    <w:rsid w:val="00BD6E1E"/>
    <w:rsid w:val="00BD7C12"/>
    <w:rsid w:val="00BD7FD2"/>
    <w:rsid w:val="00BE0276"/>
    <w:rsid w:val="00BE146C"/>
    <w:rsid w:val="00BE15C5"/>
    <w:rsid w:val="00BE2E9F"/>
    <w:rsid w:val="00BE3102"/>
    <w:rsid w:val="00BE3540"/>
    <w:rsid w:val="00BE35FD"/>
    <w:rsid w:val="00BE371C"/>
    <w:rsid w:val="00BE4164"/>
    <w:rsid w:val="00BE63BE"/>
    <w:rsid w:val="00BE642F"/>
    <w:rsid w:val="00BF0BFF"/>
    <w:rsid w:val="00BF3025"/>
    <w:rsid w:val="00BF3624"/>
    <w:rsid w:val="00BF3CBB"/>
    <w:rsid w:val="00BF6426"/>
    <w:rsid w:val="00BF6758"/>
    <w:rsid w:val="00BF69F9"/>
    <w:rsid w:val="00BF6CFD"/>
    <w:rsid w:val="00C01841"/>
    <w:rsid w:val="00C01A29"/>
    <w:rsid w:val="00C02174"/>
    <w:rsid w:val="00C02D8B"/>
    <w:rsid w:val="00C0381F"/>
    <w:rsid w:val="00C03CBE"/>
    <w:rsid w:val="00C0431C"/>
    <w:rsid w:val="00C052CE"/>
    <w:rsid w:val="00C12097"/>
    <w:rsid w:val="00C12555"/>
    <w:rsid w:val="00C127F5"/>
    <w:rsid w:val="00C13A59"/>
    <w:rsid w:val="00C14452"/>
    <w:rsid w:val="00C158E8"/>
    <w:rsid w:val="00C15AE6"/>
    <w:rsid w:val="00C16B45"/>
    <w:rsid w:val="00C20715"/>
    <w:rsid w:val="00C2089C"/>
    <w:rsid w:val="00C2237F"/>
    <w:rsid w:val="00C22A11"/>
    <w:rsid w:val="00C23E07"/>
    <w:rsid w:val="00C25C71"/>
    <w:rsid w:val="00C30A44"/>
    <w:rsid w:val="00C34B8E"/>
    <w:rsid w:val="00C35E65"/>
    <w:rsid w:val="00C3671D"/>
    <w:rsid w:val="00C36E70"/>
    <w:rsid w:val="00C372F8"/>
    <w:rsid w:val="00C3749C"/>
    <w:rsid w:val="00C40422"/>
    <w:rsid w:val="00C40498"/>
    <w:rsid w:val="00C4138F"/>
    <w:rsid w:val="00C417C8"/>
    <w:rsid w:val="00C41994"/>
    <w:rsid w:val="00C424E7"/>
    <w:rsid w:val="00C425B4"/>
    <w:rsid w:val="00C425D0"/>
    <w:rsid w:val="00C42EC6"/>
    <w:rsid w:val="00C43759"/>
    <w:rsid w:val="00C457D7"/>
    <w:rsid w:val="00C4652F"/>
    <w:rsid w:val="00C467CE"/>
    <w:rsid w:val="00C469A4"/>
    <w:rsid w:val="00C5063D"/>
    <w:rsid w:val="00C50B0A"/>
    <w:rsid w:val="00C51921"/>
    <w:rsid w:val="00C51D77"/>
    <w:rsid w:val="00C54557"/>
    <w:rsid w:val="00C55967"/>
    <w:rsid w:val="00C5731A"/>
    <w:rsid w:val="00C57476"/>
    <w:rsid w:val="00C57D90"/>
    <w:rsid w:val="00C60595"/>
    <w:rsid w:val="00C6196A"/>
    <w:rsid w:val="00C627B4"/>
    <w:rsid w:val="00C62A0E"/>
    <w:rsid w:val="00C635DF"/>
    <w:rsid w:val="00C63BF9"/>
    <w:rsid w:val="00C65E0F"/>
    <w:rsid w:val="00C666BF"/>
    <w:rsid w:val="00C66BA3"/>
    <w:rsid w:val="00C679D4"/>
    <w:rsid w:val="00C7099D"/>
    <w:rsid w:val="00C71280"/>
    <w:rsid w:val="00C71B32"/>
    <w:rsid w:val="00C747D6"/>
    <w:rsid w:val="00C74DF9"/>
    <w:rsid w:val="00C75DDB"/>
    <w:rsid w:val="00C772F9"/>
    <w:rsid w:val="00C77721"/>
    <w:rsid w:val="00C80294"/>
    <w:rsid w:val="00C813E1"/>
    <w:rsid w:val="00C82F1F"/>
    <w:rsid w:val="00C83743"/>
    <w:rsid w:val="00C85659"/>
    <w:rsid w:val="00C863DB"/>
    <w:rsid w:val="00C86EA0"/>
    <w:rsid w:val="00C9114D"/>
    <w:rsid w:val="00C91EE2"/>
    <w:rsid w:val="00C925B9"/>
    <w:rsid w:val="00C92CF3"/>
    <w:rsid w:val="00C9430A"/>
    <w:rsid w:val="00C94338"/>
    <w:rsid w:val="00C9495C"/>
    <w:rsid w:val="00C95A52"/>
    <w:rsid w:val="00C961CC"/>
    <w:rsid w:val="00C964F5"/>
    <w:rsid w:val="00C96CBA"/>
    <w:rsid w:val="00CA01B1"/>
    <w:rsid w:val="00CA0DF7"/>
    <w:rsid w:val="00CA0EDC"/>
    <w:rsid w:val="00CA3EB5"/>
    <w:rsid w:val="00CA4DCF"/>
    <w:rsid w:val="00CA519C"/>
    <w:rsid w:val="00CA5A88"/>
    <w:rsid w:val="00CA6EDD"/>
    <w:rsid w:val="00CB15C3"/>
    <w:rsid w:val="00CB1692"/>
    <w:rsid w:val="00CB1765"/>
    <w:rsid w:val="00CB2D9C"/>
    <w:rsid w:val="00CB393C"/>
    <w:rsid w:val="00CB3A3E"/>
    <w:rsid w:val="00CB409C"/>
    <w:rsid w:val="00CB415E"/>
    <w:rsid w:val="00CB4A1E"/>
    <w:rsid w:val="00CB51E2"/>
    <w:rsid w:val="00CB5AFA"/>
    <w:rsid w:val="00CB716C"/>
    <w:rsid w:val="00CB7D55"/>
    <w:rsid w:val="00CB7F99"/>
    <w:rsid w:val="00CC1FDA"/>
    <w:rsid w:val="00CC3941"/>
    <w:rsid w:val="00CC3CE7"/>
    <w:rsid w:val="00CC4480"/>
    <w:rsid w:val="00CC4C34"/>
    <w:rsid w:val="00CC64D7"/>
    <w:rsid w:val="00CC693F"/>
    <w:rsid w:val="00CC70F1"/>
    <w:rsid w:val="00CC753C"/>
    <w:rsid w:val="00CC7C1D"/>
    <w:rsid w:val="00CD0B80"/>
    <w:rsid w:val="00CD1BF9"/>
    <w:rsid w:val="00CD3BF1"/>
    <w:rsid w:val="00CD449E"/>
    <w:rsid w:val="00CD530F"/>
    <w:rsid w:val="00CD5E5C"/>
    <w:rsid w:val="00CD735C"/>
    <w:rsid w:val="00CD75E6"/>
    <w:rsid w:val="00CE02B6"/>
    <w:rsid w:val="00CE13DE"/>
    <w:rsid w:val="00CE3467"/>
    <w:rsid w:val="00CE376D"/>
    <w:rsid w:val="00CE4972"/>
    <w:rsid w:val="00CE4A20"/>
    <w:rsid w:val="00CE4DA3"/>
    <w:rsid w:val="00CE5A6B"/>
    <w:rsid w:val="00CE5F5D"/>
    <w:rsid w:val="00CF04DD"/>
    <w:rsid w:val="00CF1197"/>
    <w:rsid w:val="00CF17AC"/>
    <w:rsid w:val="00CF17E4"/>
    <w:rsid w:val="00CF25E3"/>
    <w:rsid w:val="00CF37B9"/>
    <w:rsid w:val="00CF3A8B"/>
    <w:rsid w:val="00CF3AE4"/>
    <w:rsid w:val="00CF48C4"/>
    <w:rsid w:val="00CF4B63"/>
    <w:rsid w:val="00CF4DED"/>
    <w:rsid w:val="00CF5954"/>
    <w:rsid w:val="00CF61FD"/>
    <w:rsid w:val="00CF629A"/>
    <w:rsid w:val="00CF6592"/>
    <w:rsid w:val="00D00723"/>
    <w:rsid w:val="00D013E7"/>
    <w:rsid w:val="00D01C17"/>
    <w:rsid w:val="00D023C2"/>
    <w:rsid w:val="00D02A26"/>
    <w:rsid w:val="00D036E8"/>
    <w:rsid w:val="00D03CA6"/>
    <w:rsid w:val="00D04A43"/>
    <w:rsid w:val="00D10DA2"/>
    <w:rsid w:val="00D11803"/>
    <w:rsid w:val="00D1270B"/>
    <w:rsid w:val="00D12820"/>
    <w:rsid w:val="00D12E4C"/>
    <w:rsid w:val="00D1527E"/>
    <w:rsid w:val="00D155CA"/>
    <w:rsid w:val="00D16AE0"/>
    <w:rsid w:val="00D16EEB"/>
    <w:rsid w:val="00D17060"/>
    <w:rsid w:val="00D177A1"/>
    <w:rsid w:val="00D21BA8"/>
    <w:rsid w:val="00D224E6"/>
    <w:rsid w:val="00D23681"/>
    <w:rsid w:val="00D2438D"/>
    <w:rsid w:val="00D255A8"/>
    <w:rsid w:val="00D260AB"/>
    <w:rsid w:val="00D32C35"/>
    <w:rsid w:val="00D330A5"/>
    <w:rsid w:val="00D33E40"/>
    <w:rsid w:val="00D3419B"/>
    <w:rsid w:val="00D34C09"/>
    <w:rsid w:val="00D35AA4"/>
    <w:rsid w:val="00D363CD"/>
    <w:rsid w:val="00D40376"/>
    <w:rsid w:val="00D416D0"/>
    <w:rsid w:val="00D42D8F"/>
    <w:rsid w:val="00D43704"/>
    <w:rsid w:val="00D43FE8"/>
    <w:rsid w:val="00D456FE"/>
    <w:rsid w:val="00D46707"/>
    <w:rsid w:val="00D46BAD"/>
    <w:rsid w:val="00D46BCD"/>
    <w:rsid w:val="00D46EC7"/>
    <w:rsid w:val="00D46F06"/>
    <w:rsid w:val="00D473C9"/>
    <w:rsid w:val="00D47AEB"/>
    <w:rsid w:val="00D50463"/>
    <w:rsid w:val="00D50985"/>
    <w:rsid w:val="00D50D56"/>
    <w:rsid w:val="00D51C71"/>
    <w:rsid w:val="00D527A0"/>
    <w:rsid w:val="00D52A9D"/>
    <w:rsid w:val="00D53127"/>
    <w:rsid w:val="00D533B5"/>
    <w:rsid w:val="00D535A1"/>
    <w:rsid w:val="00D5370A"/>
    <w:rsid w:val="00D544A3"/>
    <w:rsid w:val="00D5474A"/>
    <w:rsid w:val="00D54DE8"/>
    <w:rsid w:val="00D556A4"/>
    <w:rsid w:val="00D558D7"/>
    <w:rsid w:val="00D55B81"/>
    <w:rsid w:val="00D57540"/>
    <w:rsid w:val="00D60A9E"/>
    <w:rsid w:val="00D62B6C"/>
    <w:rsid w:val="00D660D7"/>
    <w:rsid w:val="00D66558"/>
    <w:rsid w:val="00D669D0"/>
    <w:rsid w:val="00D669F2"/>
    <w:rsid w:val="00D66F98"/>
    <w:rsid w:val="00D67369"/>
    <w:rsid w:val="00D67D3C"/>
    <w:rsid w:val="00D71E23"/>
    <w:rsid w:val="00D71F10"/>
    <w:rsid w:val="00D721A6"/>
    <w:rsid w:val="00D73DC2"/>
    <w:rsid w:val="00D74445"/>
    <w:rsid w:val="00D74836"/>
    <w:rsid w:val="00D74864"/>
    <w:rsid w:val="00D74B53"/>
    <w:rsid w:val="00D74DB3"/>
    <w:rsid w:val="00D7505B"/>
    <w:rsid w:val="00D75C5C"/>
    <w:rsid w:val="00D80457"/>
    <w:rsid w:val="00D80545"/>
    <w:rsid w:val="00D80D6B"/>
    <w:rsid w:val="00D80F40"/>
    <w:rsid w:val="00D814DF"/>
    <w:rsid w:val="00D81EA4"/>
    <w:rsid w:val="00D8244F"/>
    <w:rsid w:val="00D82DFC"/>
    <w:rsid w:val="00D84AEF"/>
    <w:rsid w:val="00D86302"/>
    <w:rsid w:val="00D86E90"/>
    <w:rsid w:val="00D87258"/>
    <w:rsid w:val="00D87E15"/>
    <w:rsid w:val="00D914AF"/>
    <w:rsid w:val="00D91EF9"/>
    <w:rsid w:val="00D92C85"/>
    <w:rsid w:val="00D9427B"/>
    <w:rsid w:val="00D9464C"/>
    <w:rsid w:val="00D95C7E"/>
    <w:rsid w:val="00D9620E"/>
    <w:rsid w:val="00D968EA"/>
    <w:rsid w:val="00D96DD5"/>
    <w:rsid w:val="00D970F8"/>
    <w:rsid w:val="00DA1633"/>
    <w:rsid w:val="00DA2C50"/>
    <w:rsid w:val="00DA4C86"/>
    <w:rsid w:val="00DA5CB9"/>
    <w:rsid w:val="00DA68A1"/>
    <w:rsid w:val="00DA6C61"/>
    <w:rsid w:val="00DA6CDD"/>
    <w:rsid w:val="00DA76A3"/>
    <w:rsid w:val="00DA7EFF"/>
    <w:rsid w:val="00DB16AC"/>
    <w:rsid w:val="00DB1C3E"/>
    <w:rsid w:val="00DB390F"/>
    <w:rsid w:val="00DB53B7"/>
    <w:rsid w:val="00DB609B"/>
    <w:rsid w:val="00DB63A5"/>
    <w:rsid w:val="00DB6F9F"/>
    <w:rsid w:val="00DB7333"/>
    <w:rsid w:val="00DB7A83"/>
    <w:rsid w:val="00DB7D0C"/>
    <w:rsid w:val="00DC2D74"/>
    <w:rsid w:val="00DC3A6E"/>
    <w:rsid w:val="00DC49DA"/>
    <w:rsid w:val="00DC4FB6"/>
    <w:rsid w:val="00DC7E10"/>
    <w:rsid w:val="00DD31C5"/>
    <w:rsid w:val="00DD44E9"/>
    <w:rsid w:val="00DD4B80"/>
    <w:rsid w:val="00DD596A"/>
    <w:rsid w:val="00DD7030"/>
    <w:rsid w:val="00DE1577"/>
    <w:rsid w:val="00DE24A4"/>
    <w:rsid w:val="00DE28C5"/>
    <w:rsid w:val="00DE4448"/>
    <w:rsid w:val="00DE4EAA"/>
    <w:rsid w:val="00DE5A47"/>
    <w:rsid w:val="00DE6EDE"/>
    <w:rsid w:val="00DE7348"/>
    <w:rsid w:val="00DE781A"/>
    <w:rsid w:val="00DF21C4"/>
    <w:rsid w:val="00DF246B"/>
    <w:rsid w:val="00DF2FF1"/>
    <w:rsid w:val="00DF320B"/>
    <w:rsid w:val="00DF385E"/>
    <w:rsid w:val="00DF4099"/>
    <w:rsid w:val="00DF4CDE"/>
    <w:rsid w:val="00DF52D7"/>
    <w:rsid w:val="00DF5312"/>
    <w:rsid w:val="00DF7A8E"/>
    <w:rsid w:val="00DF7D3E"/>
    <w:rsid w:val="00E00DC0"/>
    <w:rsid w:val="00E0495B"/>
    <w:rsid w:val="00E0524B"/>
    <w:rsid w:val="00E06AE2"/>
    <w:rsid w:val="00E073C7"/>
    <w:rsid w:val="00E07D47"/>
    <w:rsid w:val="00E07F00"/>
    <w:rsid w:val="00E10D58"/>
    <w:rsid w:val="00E1173D"/>
    <w:rsid w:val="00E12D06"/>
    <w:rsid w:val="00E1536E"/>
    <w:rsid w:val="00E157A9"/>
    <w:rsid w:val="00E16138"/>
    <w:rsid w:val="00E167CB"/>
    <w:rsid w:val="00E16B4B"/>
    <w:rsid w:val="00E16C0A"/>
    <w:rsid w:val="00E17487"/>
    <w:rsid w:val="00E17593"/>
    <w:rsid w:val="00E20859"/>
    <w:rsid w:val="00E20D03"/>
    <w:rsid w:val="00E20FCC"/>
    <w:rsid w:val="00E213FB"/>
    <w:rsid w:val="00E254E1"/>
    <w:rsid w:val="00E25D8F"/>
    <w:rsid w:val="00E263FE"/>
    <w:rsid w:val="00E27CBE"/>
    <w:rsid w:val="00E30217"/>
    <w:rsid w:val="00E304BE"/>
    <w:rsid w:val="00E307A1"/>
    <w:rsid w:val="00E30A4C"/>
    <w:rsid w:val="00E30C11"/>
    <w:rsid w:val="00E30D71"/>
    <w:rsid w:val="00E31515"/>
    <w:rsid w:val="00E31FB6"/>
    <w:rsid w:val="00E33D36"/>
    <w:rsid w:val="00E34513"/>
    <w:rsid w:val="00E34A0D"/>
    <w:rsid w:val="00E34B96"/>
    <w:rsid w:val="00E34F1B"/>
    <w:rsid w:val="00E34F8B"/>
    <w:rsid w:val="00E3568D"/>
    <w:rsid w:val="00E35DDE"/>
    <w:rsid w:val="00E36F4A"/>
    <w:rsid w:val="00E40C0F"/>
    <w:rsid w:val="00E40E58"/>
    <w:rsid w:val="00E410E8"/>
    <w:rsid w:val="00E41197"/>
    <w:rsid w:val="00E41394"/>
    <w:rsid w:val="00E41720"/>
    <w:rsid w:val="00E4429A"/>
    <w:rsid w:val="00E460F7"/>
    <w:rsid w:val="00E46955"/>
    <w:rsid w:val="00E50C17"/>
    <w:rsid w:val="00E5117E"/>
    <w:rsid w:val="00E513B5"/>
    <w:rsid w:val="00E51EE5"/>
    <w:rsid w:val="00E52396"/>
    <w:rsid w:val="00E52F88"/>
    <w:rsid w:val="00E53D8D"/>
    <w:rsid w:val="00E548C5"/>
    <w:rsid w:val="00E563D2"/>
    <w:rsid w:val="00E5643E"/>
    <w:rsid w:val="00E564F9"/>
    <w:rsid w:val="00E57F16"/>
    <w:rsid w:val="00E6154F"/>
    <w:rsid w:val="00E6210C"/>
    <w:rsid w:val="00E63055"/>
    <w:rsid w:val="00E64DEA"/>
    <w:rsid w:val="00E64F5B"/>
    <w:rsid w:val="00E656DB"/>
    <w:rsid w:val="00E70F2F"/>
    <w:rsid w:val="00E73112"/>
    <w:rsid w:val="00E73240"/>
    <w:rsid w:val="00E732B7"/>
    <w:rsid w:val="00E73624"/>
    <w:rsid w:val="00E750DC"/>
    <w:rsid w:val="00E75619"/>
    <w:rsid w:val="00E76318"/>
    <w:rsid w:val="00E766B8"/>
    <w:rsid w:val="00E77295"/>
    <w:rsid w:val="00E82D5E"/>
    <w:rsid w:val="00E84554"/>
    <w:rsid w:val="00E859DD"/>
    <w:rsid w:val="00E86719"/>
    <w:rsid w:val="00E86AAD"/>
    <w:rsid w:val="00E86D61"/>
    <w:rsid w:val="00E905CD"/>
    <w:rsid w:val="00E91761"/>
    <w:rsid w:val="00E91D4A"/>
    <w:rsid w:val="00E92182"/>
    <w:rsid w:val="00E925F5"/>
    <w:rsid w:val="00E9285D"/>
    <w:rsid w:val="00E92D8E"/>
    <w:rsid w:val="00E94245"/>
    <w:rsid w:val="00E94884"/>
    <w:rsid w:val="00E94CD6"/>
    <w:rsid w:val="00E96464"/>
    <w:rsid w:val="00E967FF"/>
    <w:rsid w:val="00E97E50"/>
    <w:rsid w:val="00EA0F60"/>
    <w:rsid w:val="00EA14DE"/>
    <w:rsid w:val="00EA18AA"/>
    <w:rsid w:val="00EA1F70"/>
    <w:rsid w:val="00EA26FE"/>
    <w:rsid w:val="00EA2F76"/>
    <w:rsid w:val="00EA310F"/>
    <w:rsid w:val="00EA34C1"/>
    <w:rsid w:val="00EA3720"/>
    <w:rsid w:val="00EA5448"/>
    <w:rsid w:val="00EA5521"/>
    <w:rsid w:val="00EA7041"/>
    <w:rsid w:val="00EB18C3"/>
    <w:rsid w:val="00EB2E43"/>
    <w:rsid w:val="00EB3163"/>
    <w:rsid w:val="00EB3784"/>
    <w:rsid w:val="00EB4450"/>
    <w:rsid w:val="00EB6C8D"/>
    <w:rsid w:val="00EB7EB6"/>
    <w:rsid w:val="00EC009C"/>
    <w:rsid w:val="00EC05B2"/>
    <w:rsid w:val="00EC4BC5"/>
    <w:rsid w:val="00EC5690"/>
    <w:rsid w:val="00EC7355"/>
    <w:rsid w:val="00ED0427"/>
    <w:rsid w:val="00ED0F4D"/>
    <w:rsid w:val="00ED1428"/>
    <w:rsid w:val="00ED171F"/>
    <w:rsid w:val="00ED1B6D"/>
    <w:rsid w:val="00ED1ECE"/>
    <w:rsid w:val="00ED2B3E"/>
    <w:rsid w:val="00ED2E0D"/>
    <w:rsid w:val="00ED3108"/>
    <w:rsid w:val="00ED354A"/>
    <w:rsid w:val="00ED3DBB"/>
    <w:rsid w:val="00ED3EDE"/>
    <w:rsid w:val="00ED4219"/>
    <w:rsid w:val="00ED53DC"/>
    <w:rsid w:val="00ED5BA8"/>
    <w:rsid w:val="00EE0C0F"/>
    <w:rsid w:val="00EE1637"/>
    <w:rsid w:val="00EE2183"/>
    <w:rsid w:val="00EE2DB5"/>
    <w:rsid w:val="00EE2F32"/>
    <w:rsid w:val="00EE344D"/>
    <w:rsid w:val="00EE4BA9"/>
    <w:rsid w:val="00EE50CC"/>
    <w:rsid w:val="00EE5D1A"/>
    <w:rsid w:val="00EE65F6"/>
    <w:rsid w:val="00EE6D38"/>
    <w:rsid w:val="00EE74CF"/>
    <w:rsid w:val="00EF04B8"/>
    <w:rsid w:val="00EF04F5"/>
    <w:rsid w:val="00EF1640"/>
    <w:rsid w:val="00EF1FAE"/>
    <w:rsid w:val="00EF231D"/>
    <w:rsid w:val="00EF2808"/>
    <w:rsid w:val="00EF2B43"/>
    <w:rsid w:val="00EF5F9B"/>
    <w:rsid w:val="00EF6461"/>
    <w:rsid w:val="00EF6614"/>
    <w:rsid w:val="00EF6FA6"/>
    <w:rsid w:val="00EF7763"/>
    <w:rsid w:val="00EF78D0"/>
    <w:rsid w:val="00F012D3"/>
    <w:rsid w:val="00F02B26"/>
    <w:rsid w:val="00F03E1B"/>
    <w:rsid w:val="00F06290"/>
    <w:rsid w:val="00F071B3"/>
    <w:rsid w:val="00F075AC"/>
    <w:rsid w:val="00F109C9"/>
    <w:rsid w:val="00F10D03"/>
    <w:rsid w:val="00F1149B"/>
    <w:rsid w:val="00F13A0E"/>
    <w:rsid w:val="00F145B5"/>
    <w:rsid w:val="00F149E3"/>
    <w:rsid w:val="00F158FE"/>
    <w:rsid w:val="00F15A7D"/>
    <w:rsid w:val="00F1726A"/>
    <w:rsid w:val="00F17E34"/>
    <w:rsid w:val="00F213D0"/>
    <w:rsid w:val="00F2356E"/>
    <w:rsid w:val="00F23CCE"/>
    <w:rsid w:val="00F2432A"/>
    <w:rsid w:val="00F2446D"/>
    <w:rsid w:val="00F255A5"/>
    <w:rsid w:val="00F31193"/>
    <w:rsid w:val="00F31C9E"/>
    <w:rsid w:val="00F32798"/>
    <w:rsid w:val="00F3406F"/>
    <w:rsid w:val="00F34914"/>
    <w:rsid w:val="00F37B50"/>
    <w:rsid w:val="00F40802"/>
    <w:rsid w:val="00F40F1B"/>
    <w:rsid w:val="00F413E0"/>
    <w:rsid w:val="00F416FF"/>
    <w:rsid w:val="00F41BAB"/>
    <w:rsid w:val="00F45B2B"/>
    <w:rsid w:val="00F45B81"/>
    <w:rsid w:val="00F46090"/>
    <w:rsid w:val="00F461F9"/>
    <w:rsid w:val="00F47E6D"/>
    <w:rsid w:val="00F50E9F"/>
    <w:rsid w:val="00F51124"/>
    <w:rsid w:val="00F5315E"/>
    <w:rsid w:val="00F5451B"/>
    <w:rsid w:val="00F559E5"/>
    <w:rsid w:val="00F55C75"/>
    <w:rsid w:val="00F55F82"/>
    <w:rsid w:val="00F56302"/>
    <w:rsid w:val="00F56A9F"/>
    <w:rsid w:val="00F578AD"/>
    <w:rsid w:val="00F60302"/>
    <w:rsid w:val="00F6160F"/>
    <w:rsid w:val="00F62238"/>
    <w:rsid w:val="00F63404"/>
    <w:rsid w:val="00F64CD4"/>
    <w:rsid w:val="00F701A9"/>
    <w:rsid w:val="00F704CA"/>
    <w:rsid w:val="00F71014"/>
    <w:rsid w:val="00F77103"/>
    <w:rsid w:val="00F7714F"/>
    <w:rsid w:val="00F81043"/>
    <w:rsid w:val="00F81EFB"/>
    <w:rsid w:val="00F82261"/>
    <w:rsid w:val="00F82712"/>
    <w:rsid w:val="00F82ED7"/>
    <w:rsid w:val="00F83865"/>
    <w:rsid w:val="00F83B0A"/>
    <w:rsid w:val="00F84012"/>
    <w:rsid w:val="00F840FC"/>
    <w:rsid w:val="00F841CE"/>
    <w:rsid w:val="00F850C4"/>
    <w:rsid w:val="00F8523E"/>
    <w:rsid w:val="00F8591E"/>
    <w:rsid w:val="00F85EB1"/>
    <w:rsid w:val="00F956CF"/>
    <w:rsid w:val="00F95DD8"/>
    <w:rsid w:val="00F96FC4"/>
    <w:rsid w:val="00F9713F"/>
    <w:rsid w:val="00F97A13"/>
    <w:rsid w:val="00F97D73"/>
    <w:rsid w:val="00FA0D79"/>
    <w:rsid w:val="00FA1000"/>
    <w:rsid w:val="00FA2711"/>
    <w:rsid w:val="00FA32FB"/>
    <w:rsid w:val="00FA3359"/>
    <w:rsid w:val="00FA4C65"/>
    <w:rsid w:val="00FA4CCE"/>
    <w:rsid w:val="00FA5135"/>
    <w:rsid w:val="00FA6D38"/>
    <w:rsid w:val="00FA73CC"/>
    <w:rsid w:val="00FA7ED5"/>
    <w:rsid w:val="00FB0AF1"/>
    <w:rsid w:val="00FB1381"/>
    <w:rsid w:val="00FB1F5C"/>
    <w:rsid w:val="00FB2D6C"/>
    <w:rsid w:val="00FB3252"/>
    <w:rsid w:val="00FB47B5"/>
    <w:rsid w:val="00FB4B5F"/>
    <w:rsid w:val="00FB5384"/>
    <w:rsid w:val="00FB5DD5"/>
    <w:rsid w:val="00FB624C"/>
    <w:rsid w:val="00FB6680"/>
    <w:rsid w:val="00FB66D4"/>
    <w:rsid w:val="00FB6ABC"/>
    <w:rsid w:val="00FB7120"/>
    <w:rsid w:val="00FC0E71"/>
    <w:rsid w:val="00FC1B42"/>
    <w:rsid w:val="00FC301B"/>
    <w:rsid w:val="00FC6DA1"/>
    <w:rsid w:val="00FD083F"/>
    <w:rsid w:val="00FD269C"/>
    <w:rsid w:val="00FD39A5"/>
    <w:rsid w:val="00FD43D9"/>
    <w:rsid w:val="00FD4592"/>
    <w:rsid w:val="00FD4785"/>
    <w:rsid w:val="00FD65AA"/>
    <w:rsid w:val="00FD6A4A"/>
    <w:rsid w:val="00FD73A3"/>
    <w:rsid w:val="00FE051C"/>
    <w:rsid w:val="00FE05AC"/>
    <w:rsid w:val="00FE0FFE"/>
    <w:rsid w:val="00FE16D3"/>
    <w:rsid w:val="00FE196D"/>
    <w:rsid w:val="00FE1C62"/>
    <w:rsid w:val="00FE2C24"/>
    <w:rsid w:val="00FE4C16"/>
    <w:rsid w:val="00FE51B6"/>
    <w:rsid w:val="00FE5DD5"/>
    <w:rsid w:val="00FE70E5"/>
    <w:rsid w:val="00FF0380"/>
    <w:rsid w:val="00FF0DFA"/>
    <w:rsid w:val="00FF14CD"/>
    <w:rsid w:val="00FF3422"/>
    <w:rsid w:val="00FF356D"/>
    <w:rsid w:val="00FF3866"/>
    <w:rsid w:val="00FF4451"/>
    <w:rsid w:val="00FF61E7"/>
    <w:rsid w:val="00FF6C53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docId w15:val="{61FC9713-A13B-46F6-A959-46EDA779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312"/>
    <w:pPr>
      <w:jc w:val="both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07C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07C6"/>
    <w:rPr>
      <w:rFonts w:ascii="Cambria" w:hAnsi="Cambria" w:cs="Cambria"/>
      <w:b/>
      <w:bCs/>
      <w:color w:val="365F9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A943A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71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1E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807C6"/>
    <w:rPr>
      <w:color w:val="0000FF"/>
      <w:u w:val="single"/>
      <w:lang w:val="en-US" w:eastAsia="en-US"/>
    </w:rPr>
  </w:style>
  <w:style w:type="paragraph" w:customStyle="1" w:styleId="EE-paragr-12">
    <w:name w:val="EE-paragr-12"/>
    <w:basedOn w:val="Normal"/>
    <w:link w:val="EE-paragr-12Char"/>
    <w:uiPriority w:val="99"/>
    <w:rsid w:val="007E41F9"/>
    <w:rPr>
      <w:lang w:eastAsia="lv-LV"/>
    </w:rPr>
  </w:style>
  <w:style w:type="paragraph" w:customStyle="1" w:styleId="EE-parag-num-12">
    <w:name w:val="EE-parag-num-12"/>
    <w:basedOn w:val="Normal"/>
    <w:link w:val="EE-parag-num-12Char"/>
    <w:uiPriority w:val="99"/>
    <w:rsid w:val="007E41F9"/>
    <w:pPr>
      <w:numPr>
        <w:numId w:val="1"/>
      </w:numPr>
      <w:spacing w:before="120" w:after="120"/>
    </w:pPr>
    <w:rPr>
      <w:lang w:eastAsia="lv-LV"/>
    </w:rPr>
  </w:style>
  <w:style w:type="character" w:customStyle="1" w:styleId="EE-paragr-12Char">
    <w:name w:val="EE-paragr-12 Char"/>
    <w:basedOn w:val="DefaultParagraphFont"/>
    <w:link w:val="EE-paragr-12"/>
    <w:uiPriority w:val="99"/>
    <w:locked/>
    <w:rsid w:val="007E41F9"/>
    <w:rPr>
      <w:rFonts w:eastAsia="Times New Roman"/>
      <w:sz w:val="24"/>
      <w:szCs w:val="24"/>
      <w:lang w:eastAsia="lv-LV"/>
    </w:rPr>
  </w:style>
  <w:style w:type="character" w:customStyle="1" w:styleId="EE-parag-num-12Char">
    <w:name w:val="EE-parag-num-12 Char"/>
    <w:basedOn w:val="DefaultParagraphFont"/>
    <w:link w:val="EE-parag-num-12"/>
    <w:uiPriority w:val="99"/>
    <w:locked/>
    <w:rsid w:val="007E41F9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E41F9"/>
    <w:pPr>
      <w:ind w:left="720"/>
    </w:pPr>
  </w:style>
  <w:style w:type="paragraph" w:styleId="Header">
    <w:name w:val="header"/>
    <w:basedOn w:val="Normal"/>
    <w:link w:val="HeaderChar"/>
    <w:uiPriority w:val="99"/>
    <w:rsid w:val="00471E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1E7C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71E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1E7C"/>
    <w:rPr>
      <w:rFonts w:eastAsia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2807C6"/>
    <w:pPr>
      <w:spacing w:before="120" w:after="120"/>
      <w:jc w:val="left"/>
    </w:pPr>
    <w:rPr>
      <w:b/>
      <w:bCs/>
      <w:caps/>
      <w:sz w:val="20"/>
      <w:szCs w:val="20"/>
      <w:lang w:eastAsia="lv-LV"/>
    </w:rPr>
  </w:style>
  <w:style w:type="paragraph" w:styleId="TOC2">
    <w:name w:val="toc 2"/>
    <w:basedOn w:val="Normal"/>
    <w:next w:val="Normal"/>
    <w:autoRedefine/>
    <w:uiPriority w:val="99"/>
    <w:semiHidden/>
    <w:rsid w:val="002807C6"/>
    <w:pPr>
      <w:ind w:left="240"/>
      <w:jc w:val="left"/>
    </w:pPr>
    <w:rPr>
      <w:smallCaps/>
      <w:sz w:val="20"/>
      <w:szCs w:val="20"/>
      <w:lang w:eastAsia="lv-LV"/>
    </w:rPr>
  </w:style>
  <w:style w:type="paragraph" w:customStyle="1" w:styleId="StyleHeading116ptSmallcapsNotAllcapsLeftLeft0c">
    <w:name w:val="Style Heading 1 + 16 pt Small caps Not All caps Left Left:  0 c..."/>
    <w:basedOn w:val="Heading1"/>
    <w:uiPriority w:val="99"/>
    <w:rsid w:val="002807C6"/>
    <w:pPr>
      <w:keepLines w:val="0"/>
      <w:autoSpaceDE w:val="0"/>
      <w:autoSpaceDN w:val="0"/>
      <w:adjustRightInd w:val="0"/>
      <w:spacing w:before="360" w:after="360"/>
      <w:jc w:val="left"/>
    </w:pPr>
    <w:rPr>
      <w:rFonts w:ascii="Times New Roman" w:hAnsi="Times New Roman" w:cs="Times New Roman"/>
      <w:smallCaps/>
      <w:color w:val="auto"/>
      <w:sz w:val="32"/>
      <w:szCs w:val="32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rsid w:val="00A94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943AF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4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943AF"/>
    <w:rPr>
      <w:rFonts w:eastAsia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B5DD5"/>
    <w:pPr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B5DD5"/>
    <w:rPr>
      <w:rFonts w:ascii="Consolas" w:hAnsi="Consolas" w:cs="Consolas"/>
      <w:sz w:val="21"/>
      <w:szCs w:val="21"/>
      <w:lang w:eastAsia="en-US"/>
    </w:rPr>
  </w:style>
  <w:style w:type="paragraph" w:styleId="FootnoteText">
    <w:name w:val="footnote text"/>
    <w:aliases w:val="Footnote,Fußnote"/>
    <w:basedOn w:val="Normal"/>
    <w:link w:val="FootnoteTextChar"/>
    <w:uiPriority w:val="99"/>
    <w:semiHidden/>
    <w:rsid w:val="00D544A3"/>
    <w:pPr>
      <w:jc w:val="left"/>
    </w:pPr>
    <w:rPr>
      <w:sz w:val="20"/>
      <w:szCs w:val="20"/>
      <w:lang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locked/>
    <w:rsid w:val="00D544A3"/>
    <w:rPr>
      <w:rFonts w:eastAsia="Times New Roman"/>
    </w:rPr>
  </w:style>
  <w:style w:type="character" w:styleId="FootnoteReference">
    <w:name w:val="footnote reference"/>
    <w:aliases w:val="Footnote Reference Number"/>
    <w:basedOn w:val="DefaultParagraphFont"/>
    <w:uiPriority w:val="99"/>
    <w:semiHidden/>
    <w:rsid w:val="00D544A3"/>
    <w:rPr>
      <w:vertAlign w:val="superscript"/>
      <w:lang w:val="en-US" w:eastAsia="en-US"/>
    </w:rPr>
  </w:style>
  <w:style w:type="paragraph" w:customStyle="1" w:styleId="EE-paragr">
    <w:name w:val="EE-paragr"/>
    <w:basedOn w:val="Normal"/>
    <w:link w:val="EE-paragrRakstz"/>
    <w:autoRedefine/>
    <w:uiPriority w:val="99"/>
    <w:rsid w:val="003D71E2"/>
    <w:pPr>
      <w:ind w:left="-57" w:right="-57"/>
      <w:jc w:val="left"/>
    </w:pPr>
    <w:rPr>
      <w:spacing w:val="-2"/>
      <w:sz w:val="22"/>
      <w:szCs w:val="22"/>
      <w:lang w:eastAsia="lv-LV"/>
    </w:rPr>
  </w:style>
  <w:style w:type="character" w:customStyle="1" w:styleId="EE-paragrRakstz">
    <w:name w:val="EE-paragr Rakstz."/>
    <w:basedOn w:val="DefaultParagraphFont"/>
    <w:link w:val="EE-paragr"/>
    <w:uiPriority w:val="99"/>
    <w:locked/>
    <w:rsid w:val="003D71E2"/>
    <w:rPr>
      <w:spacing w:val="-2"/>
      <w:sz w:val="22"/>
      <w:szCs w:val="22"/>
      <w:lang w:val="lv-LV" w:eastAsia="lv-LV"/>
    </w:rPr>
  </w:style>
  <w:style w:type="paragraph" w:customStyle="1" w:styleId="EE-bullet">
    <w:name w:val="EE-bullet"/>
    <w:basedOn w:val="Normal"/>
    <w:link w:val="EE-bulletChar1"/>
    <w:autoRedefine/>
    <w:uiPriority w:val="99"/>
    <w:rsid w:val="00AE2ABA"/>
    <w:pPr>
      <w:tabs>
        <w:tab w:val="num" w:pos="1363"/>
      </w:tabs>
      <w:spacing w:before="120" w:after="120"/>
    </w:pPr>
    <w:rPr>
      <w:lang w:eastAsia="lv-LV"/>
    </w:rPr>
  </w:style>
  <w:style w:type="character" w:customStyle="1" w:styleId="EE-bulletChar1">
    <w:name w:val="EE-bullet Char1"/>
    <w:basedOn w:val="DefaultParagraphFont"/>
    <w:link w:val="EE-bullet"/>
    <w:uiPriority w:val="99"/>
    <w:locked/>
    <w:rsid w:val="00AE2ABA"/>
    <w:rPr>
      <w:rFonts w:eastAsia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AE2ABA"/>
    <w:pPr>
      <w:spacing w:line="240" w:lineRule="exact"/>
      <w:jc w:val="left"/>
    </w:pPr>
    <w:rPr>
      <w:lang w:eastAsia="lv-LV"/>
    </w:rPr>
  </w:style>
  <w:style w:type="paragraph" w:customStyle="1" w:styleId="EE-H2">
    <w:name w:val="EE-H2"/>
    <w:basedOn w:val="Normal"/>
    <w:link w:val="EE-H2Char"/>
    <w:autoRedefine/>
    <w:uiPriority w:val="99"/>
    <w:rsid w:val="009F7810"/>
    <w:pPr>
      <w:spacing w:before="360" w:after="240"/>
      <w:ind w:left="357"/>
      <w:jc w:val="center"/>
    </w:pPr>
    <w:rPr>
      <w:sz w:val="28"/>
      <w:szCs w:val="28"/>
      <w:lang w:eastAsia="lv-LV"/>
    </w:rPr>
  </w:style>
  <w:style w:type="paragraph" w:customStyle="1" w:styleId="EE-bulletChar">
    <w:name w:val="EE-bullet Char"/>
    <w:basedOn w:val="Normal"/>
    <w:autoRedefine/>
    <w:uiPriority w:val="99"/>
    <w:rsid w:val="009F7810"/>
    <w:pPr>
      <w:numPr>
        <w:ilvl w:val="1"/>
        <w:numId w:val="3"/>
      </w:numPr>
      <w:spacing w:before="120" w:after="120"/>
      <w:ind w:left="360" w:hanging="360"/>
      <w:jc w:val="left"/>
    </w:pPr>
    <w:rPr>
      <w:sz w:val="20"/>
      <w:szCs w:val="20"/>
      <w:lang w:eastAsia="lv-LV"/>
    </w:rPr>
  </w:style>
  <w:style w:type="paragraph" w:customStyle="1" w:styleId="EE-numbering">
    <w:name w:val="EE-numbering"/>
    <w:basedOn w:val="EE-bulletChar"/>
    <w:link w:val="EE-numberingChar"/>
    <w:uiPriority w:val="99"/>
    <w:rsid w:val="009F7810"/>
    <w:pPr>
      <w:numPr>
        <w:ilvl w:val="0"/>
      </w:numPr>
    </w:pPr>
  </w:style>
  <w:style w:type="character" w:customStyle="1" w:styleId="EE-H2Char">
    <w:name w:val="EE-H2 Char"/>
    <w:basedOn w:val="DefaultParagraphFont"/>
    <w:link w:val="EE-H2"/>
    <w:uiPriority w:val="99"/>
    <w:locked/>
    <w:rsid w:val="009F7810"/>
    <w:rPr>
      <w:rFonts w:eastAsia="Times New Roman"/>
      <w:sz w:val="28"/>
      <w:szCs w:val="28"/>
    </w:rPr>
  </w:style>
  <w:style w:type="paragraph" w:customStyle="1" w:styleId="StyleEE-numbering12pt">
    <w:name w:val="Style EE-numbering + 12 pt"/>
    <w:basedOn w:val="Normal"/>
    <w:link w:val="StyleEE-numbering12ptChar"/>
    <w:autoRedefine/>
    <w:uiPriority w:val="99"/>
    <w:rsid w:val="004201E6"/>
    <w:pPr>
      <w:tabs>
        <w:tab w:val="num" w:pos="0"/>
      </w:tabs>
      <w:spacing w:before="120"/>
      <w:ind w:firstLine="720"/>
    </w:pPr>
    <w:rPr>
      <w:noProof/>
      <w:color w:val="000000"/>
      <w:sz w:val="28"/>
      <w:szCs w:val="28"/>
      <w:lang w:eastAsia="lv-LV"/>
    </w:rPr>
  </w:style>
  <w:style w:type="character" w:customStyle="1" w:styleId="StyleEE-numbering12ptChar">
    <w:name w:val="Style EE-numbering + 12 pt Char"/>
    <w:basedOn w:val="DefaultParagraphFont"/>
    <w:link w:val="StyleEE-numbering12pt"/>
    <w:uiPriority w:val="99"/>
    <w:locked/>
    <w:rsid w:val="004201E6"/>
    <w:rPr>
      <w:noProof/>
      <w:color w:val="000000"/>
      <w:sz w:val="28"/>
      <w:szCs w:val="28"/>
      <w:lang w:val="lv-LV" w:eastAsia="lv-LV"/>
    </w:rPr>
  </w:style>
  <w:style w:type="character" w:customStyle="1" w:styleId="EE-numberingChar">
    <w:name w:val="EE-numbering Char"/>
    <w:basedOn w:val="DefaultParagraphFont"/>
    <w:link w:val="EE-numbering"/>
    <w:uiPriority w:val="99"/>
    <w:locked/>
    <w:rsid w:val="00F97D73"/>
    <w:rPr>
      <w:rFonts w:eastAsia="Times New Roman"/>
      <w:sz w:val="20"/>
      <w:szCs w:val="20"/>
    </w:rPr>
  </w:style>
  <w:style w:type="paragraph" w:customStyle="1" w:styleId="RakstzRakstz1">
    <w:name w:val="Rakstz. Rakstz.1"/>
    <w:basedOn w:val="Normal"/>
    <w:next w:val="BlockText"/>
    <w:uiPriority w:val="99"/>
    <w:rsid w:val="00F97D73"/>
    <w:pPr>
      <w:spacing w:before="120" w:after="160" w:line="240" w:lineRule="exact"/>
      <w:ind w:firstLine="720"/>
    </w:pPr>
    <w:rPr>
      <w:lang w:val="en-US"/>
    </w:rPr>
  </w:style>
  <w:style w:type="paragraph" w:styleId="BlockText">
    <w:name w:val="Block Text"/>
    <w:basedOn w:val="Normal"/>
    <w:uiPriority w:val="99"/>
    <w:semiHidden/>
    <w:rsid w:val="00F97D73"/>
    <w:pPr>
      <w:spacing w:after="120"/>
      <w:ind w:left="1440" w:right="1440"/>
    </w:pPr>
  </w:style>
  <w:style w:type="paragraph" w:customStyle="1" w:styleId="TAA">
    <w:name w:val="TAA"/>
    <w:basedOn w:val="Normal"/>
    <w:autoRedefine/>
    <w:uiPriority w:val="99"/>
    <w:rsid w:val="00CD5E5C"/>
    <w:pPr>
      <w:spacing w:before="120" w:after="60"/>
      <w:ind w:left="1134"/>
    </w:pPr>
    <w:rPr>
      <w:lang w:eastAsia="lv-LV"/>
    </w:rPr>
  </w:style>
  <w:style w:type="paragraph" w:styleId="BodyText">
    <w:name w:val="Body Text"/>
    <w:basedOn w:val="Normal"/>
    <w:link w:val="BodyTextChar"/>
    <w:uiPriority w:val="99"/>
    <w:rsid w:val="001633B2"/>
    <w:pPr>
      <w:widowControl w:val="0"/>
      <w:jc w:val="center"/>
    </w:pPr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33B2"/>
    <w:rPr>
      <w:rFonts w:eastAsia="Times New Roman"/>
      <w:b/>
      <w:bCs/>
      <w:sz w:val="24"/>
      <w:szCs w:val="24"/>
      <w:lang w:val="en-US" w:eastAsia="en-US"/>
    </w:rPr>
  </w:style>
  <w:style w:type="paragraph" w:customStyle="1" w:styleId="StyleEE-bullet12ptBefore0ptAfter0pt">
    <w:name w:val="Style EE-bullet + 12 pt Before:  0 pt After:  0 pt"/>
    <w:basedOn w:val="EE-bullet"/>
    <w:link w:val="StyleEE-bullet12ptBefore0ptAfter0ptChar"/>
    <w:autoRedefine/>
    <w:uiPriority w:val="99"/>
    <w:rsid w:val="00F1726A"/>
    <w:pPr>
      <w:tabs>
        <w:tab w:val="clear" w:pos="1363"/>
      </w:tabs>
    </w:pPr>
  </w:style>
  <w:style w:type="character" w:customStyle="1" w:styleId="StyleEE-bullet12ptBefore0ptAfter0ptChar">
    <w:name w:val="Style EE-bullet + 12 pt Before:  0 pt After:  0 pt Char"/>
    <w:basedOn w:val="DefaultParagraphFont"/>
    <w:link w:val="StyleEE-bullet12ptBefore0ptAfter0pt"/>
    <w:uiPriority w:val="99"/>
    <w:locked/>
    <w:rsid w:val="00F1726A"/>
    <w:rPr>
      <w:rFonts w:eastAsia="Times New Roman"/>
      <w:sz w:val="24"/>
      <w:szCs w:val="24"/>
    </w:rPr>
  </w:style>
  <w:style w:type="paragraph" w:customStyle="1" w:styleId="EE-bullet-12">
    <w:name w:val="EE-bullet-12"/>
    <w:basedOn w:val="Normal"/>
    <w:autoRedefine/>
    <w:uiPriority w:val="99"/>
    <w:rsid w:val="005C2B94"/>
    <w:pPr>
      <w:tabs>
        <w:tab w:val="left" w:pos="851"/>
      </w:tabs>
      <w:ind w:left="993"/>
    </w:pPr>
    <w:rPr>
      <w:rFonts w:eastAsia="Calibri"/>
      <w:sz w:val="28"/>
      <w:szCs w:val="28"/>
      <w:lang w:eastAsia="lv-LV"/>
    </w:rPr>
  </w:style>
  <w:style w:type="paragraph" w:customStyle="1" w:styleId="CharCharRakstzRakstz">
    <w:name w:val="Char Char Rakstz. Rakstz."/>
    <w:basedOn w:val="Normal"/>
    <w:next w:val="Normal"/>
    <w:uiPriority w:val="99"/>
    <w:rsid w:val="009C3609"/>
    <w:pPr>
      <w:spacing w:before="120" w:after="160" w:line="240" w:lineRule="exact"/>
      <w:ind w:firstLine="720"/>
    </w:pPr>
    <w:rPr>
      <w:rFonts w:ascii="Verdana" w:hAnsi="Verdana" w:cs="Verdana"/>
      <w:sz w:val="20"/>
      <w:szCs w:val="20"/>
      <w:lang w:val="en-US"/>
    </w:rPr>
  </w:style>
  <w:style w:type="paragraph" w:customStyle="1" w:styleId="EE-paragrChar">
    <w:name w:val="EE-paragr Char"/>
    <w:basedOn w:val="Normal"/>
    <w:autoRedefine/>
    <w:uiPriority w:val="99"/>
    <w:rsid w:val="002B1C92"/>
    <w:pPr>
      <w:numPr>
        <w:numId w:val="4"/>
      </w:numPr>
      <w:spacing w:before="120" w:after="120"/>
      <w:ind w:hanging="720"/>
    </w:pPr>
    <w:rPr>
      <w:lang w:eastAsia="lv-LV"/>
    </w:rPr>
  </w:style>
  <w:style w:type="paragraph" w:customStyle="1" w:styleId="RakstzCharCharRakstzCharCharRakstz">
    <w:name w:val="Rakstz. Char Char Rakstz. Char Char Rakstz."/>
    <w:basedOn w:val="Normal"/>
    <w:uiPriority w:val="99"/>
    <w:rsid w:val="004F59FA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customStyle="1" w:styleId="CharChar8">
    <w:name w:val="Char Char8"/>
    <w:basedOn w:val="DefaultParagraphFont"/>
    <w:uiPriority w:val="99"/>
    <w:locked/>
    <w:rsid w:val="004F59FA"/>
    <w:rPr>
      <w:rFonts w:ascii="Tahoma" w:hAnsi="Tahoma" w:cs="Tahoma"/>
      <w:sz w:val="24"/>
      <w:szCs w:val="24"/>
      <w:lang w:val="lv-LV" w:eastAsia="en-US"/>
    </w:rPr>
  </w:style>
  <w:style w:type="paragraph" w:customStyle="1" w:styleId="Default">
    <w:name w:val="Default"/>
    <w:uiPriority w:val="99"/>
    <w:rsid w:val="00C74DF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RakstzRakstzChar">
    <w:name w:val="Rakstz. Rakstz. Char"/>
    <w:basedOn w:val="Normal"/>
    <w:next w:val="BlockText"/>
    <w:uiPriority w:val="99"/>
    <w:rsid w:val="009230EF"/>
    <w:pPr>
      <w:spacing w:before="120" w:after="160" w:line="240" w:lineRule="exact"/>
      <w:ind w:firstLine="720"/>
    </w:pPr>
    <w:rPr>
      <w:lang w:val="en-US"/>
    </w:rPr>
  </w:style>
  <w:style w:type="paragraph" w:styleId="NormalWeb">
    <w:name w:val="Normal (Web)"/>
    <w:basedOn w:val="Normal"/>
    <w:uiPriority w:val="99"/>
    <w:rsid w:val="00EF1640"/>
    <w:pPr>
      <w:spacing w:before="100" w:beforeAutospacing="1" w:after="100" w:afterAutospacing="1"/>
      <w:jc w:val="left"/>
    </w:pPr>
    <w:rPr>
      <w:lang w:val="en-GB"/>
    </w:rPr>
  </w:style>
  <w:style w:type="character" w:styleId="PageNumber">
    <w:name w:val="page number"/>
    <w:basedOn w:val="DefaultParagraphFont"/>
    <w:uiPriority w:val="99"/>
    <w:rsid w:val="00B1145B"/>
  </w:style>
  <w:style w:type="table" w:styleId="TableGrid">
    <w:name w:val="Table Grid"/>
    <w:basedOn w:val="TableNormal"/>
    <w:uiPriority w:val="99"/>
    <w:rsid w:val="008D40C5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kstzCharCharRakstzCharCharRakstz1">
    <w:name w:val="Rakstz. Char Char Rakstz. Char Char Rakstz.1"/>
    <w:basedOn w:val="Normal"/>
    <w:uiPriority w:val="99"/>
    <w:rsid w:val="0087189B"/>
    <w:pPr>
      <w:spacing w:after="160" w:line="240" w:lineRule="exact"/>
      <w:jc w:val="left"/>
    </w:pPr>
    <w:rPr>
      <w:rFonts w:ascii="Tahoma" w:eastAsia="Calibri" w:hAnsi="Tahoma" w:cs="Tahoma"/>
      <w:sz w:val="20"/>
      <w:szCs w:val="20"/>
      <w:lang w:val="en-US"/>
    </w:rPr>
  </w:style>
  <w:style w:type="numbering" w:styleId="111111">
    <w:name w:val="Outline List 2"/>
    <w:basedOn w:val="NoList"/>
    <w:uiPriority w:val="99"/>
    <w:semiHidden/>
    <w:unhideWhenUsed/>
    <w:rsid w:val="00A47EC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ce.Zvaigzne@l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5606</Words>
  <Characters>3196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darbības programmas „Cilvēkresursi un nodarbinātība”</vt:lpstr>
    </vt:vector>
  </TitlesOfParts>
  <Company>LM</Company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darbības programmas „Cilvēkresursi un nodarbinātība”</dc:title>
  <dc:subject>MK rīkojuma projekts</dc:subject>
  <dc:creator>Dace Zvaigzne</dc:creator>
  <cp:keywords/>
  <dc:description>Dace Zvaigzne, 67021660 Dace.Zvaigzne@lm.gov.lv</dc:description>
  <cp:lastModifiedBy>Dace Zvaigzne</cp:lastModifiedBy>
  <cp:revision>12</cp:revision>
  <cp:lastPrinted>2014-02-04T11:24:00Z</cp:lastPrinted>
  <dcterms:created xsi:type="dcterms:W3CDTF">2014-03-24T07:04:00Z</dcterms:created>
  <dcterms:modified xsi:type="dcterms:W3CDTF">2014-03-24T12:50:00Z</dcterms:modified>
</cp:coreProperties>
</file>