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F5C" w:rsidRDefault="00D05748" w:rsidP="004A3F5C">
      <w:pPr>
        <w:jc w:val="center"/>
        <w:rPr>
          <w:b/>
          <w:sz w:val="28"/>
          <w:szCs w:val="28"/>
        </w:rPr>
      </w:pPr>
      <w:bookmarkStart w:id="0" w:name="OLE_LINK1"/>
      <w:bookmarkStart w:id="1" w:name="OLE_LINK2"/>
      <w:r w:rsidRPr="00D05748">
        <w:rPr>
          <w:b/>
          <w:bCs/>
          <w:color w:val="000000"/>
          <w:sz w:val="28"/>
          <w:szCs w:val="28"/>
        </w:rPr>
        <w:t>Ministru Kabineta noteikumu „</w:t>
      </w:r>
      <w:r w:rsidRPr="00D05748">
        <w:rPr>
          <w:b/>
          <w:sz w:val="28"/>
          <w:szCs w:val="28"/>
        </w:rPr>
        <w:t>Kārtība, kādā valsts fondēto pensiju shēmas līdzekļu pārvaldītājs aprēķina maksājumu par ieguldījumu plāna pārvaldi un tiek veikta maksājuma uzskaite un ieturēšana</w:t>
      </w:r>
      <w:r w:rsidRPr="00D05748">
        <w:rPr>
          <w:b/>
          <w:bCs/>
          <w:color w:val="000000"/>
          <w:sz w:val="28"/>
          <w:szCs w:val="28"/>
        </w:rPr>
        <w:t xml:space="preserve">” </w:t>
      </w:r>
      <w:bookmarkEnd w:id="0"/>
      <w:bookmarkEnd w:id="1"/>
      <w:r w:rsidRPr="00D05748">
        <w:rPr>
          <w:b/>
          <w:bCs/>
          <w:color w:val="000000"/>
          <w:sz w:val="28"/>
          <w:szCs w:val="28"/>
        </w:rPr>
        <w:t xml:space="preserve">sākotnējās ietekmes novērtējuma </w:t>
      </w:r>
      <w:smartTag w:uri="schemas-tilde-lv/tildestengine" w:element="veidnes">
        <w:smartTagPr>
          <w:attr w:name="baseform" w:val="akt|s"/>
          <w:attr w:name="id" w:val="-1"/>
          <w:attr w:name="text" w:val="akta"/>
        </w:smartTagPr>
        <w:r w:rsidRPr="00D05748">
          <w:rPr>
            <w:b/>
            <w:bCs/>
            <w:color w:val="000000"/>
            <w:sz w:val="28"/>
            <w:szCs w:val="28"/>
          </w:rPr>
          <w:t>ziņojums</w:t>
        </w:r>
      </w:smartTag>
      <w:r w:rsidRPr="00551AC6">
        <w:rPr>
          <w:b/>
          <w:bCs/>
          <w:color w:val="000000"/>
        </w:rPr>
        <w:t xml:space="preserve"> </w:t>
      </w:r>
      <w:r w:rsidR="004A3F5C" w:rsidRPr="00D05748">
        <w:rPr>
          <w:b/>
          <w:sz w:val="28"/>
          <w:szCs w:val="28"/>
        </w:rPr>
        <w:t>(anotācija)</w:t>
      </w:r>
    </w:p>
    <w:p w:rsidR="00D05748" w:rsidRPr="00D05748" w:rsidRDefault="00D05748" w:rsidP="004A3F5C">
      <w:pPr>
        <w:jc w:val="center"/>
        <w:rPr>
          <w:b/>
          <w:bCs/>
          <w:sz w:val="28"/>
          <w:szCs w:val="28"/>
        </w:rPr>
      </w:pPr>
    </w:p>
    <w:p w:rsidR="004A3F5C" w:rsidRPr="00D05748" w:rsidRDefault="004A3F5C" w:rsidP="004A3F5C">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057"/>
        <w:gridCol w:w="5804"/>
      </w:tblGrid>
      <w:tr w:rsidR="004A3F5C" w:rsidRPr="00D05748" w:rsidTr="00D721B2">
        <w:tc>
          <w:tcPr>
            <w:tcW w:w="5000" w:type="pct"/>
            <w:gridSpan w:val="3"/>
          </w:tcPr>
          <w:p w:rsidR="004A3F5C" w:rsidRPr="00D05748" w:rsidRDefault="004A3F5C" w:rsidP="00D721B2">
            <w:pPr>
              <w:jc w:val="center"/>
              <w:rPr>
                <w:b/>
                <w:sz w:val="28"/>
                <w:szCs w:val="28"/>
              </w:rPr>
            </w:pPr>
            <w:r w:rsidRPr="00D05748">
              <w:rPr>
                <w:b/>
                <w:sz w:val="28"/>
                <w:szCs w:val="28"/>
              </w:rPr>
              <w:t>I. Tiesību akta projekta izstrādes nepieciešamība</w:t>
            </w:r>
          </w:p>
        </w:tc>
      </w:tr>
      <w:tr w:rsidR="004A3F5C" w:rsidRPr="00D05748" w:rsidTr="00D721B2">
        <w:tc>
          <w:tcPr>
            <w:tcW w:w="213" w:type="pct"/>
          </w:tcPr>
          <w:p w:rsidR="004A3F5C" w:rsidRPr="00D05748" w:rsidRDefault="004A3F5C" w:rsidP="00D721B2">
            <w:pPr>
              <w:rPr>
                <w:sz w:val="28"/>
                <w:szCs w:val="28"/>
              </w:rPr>
            </w:pPr>
            <w:r w:rsidRPr="00D05748">
              <w:rPr>
                <w:sz w:val="28"/>
                <w:szCs w:val="28"/>
              </w:rPr>
              <w:t>1.</w:t>
            </w:r>
          </w:p>
        </w:tc>
        <w:tc>
          <w:tcPr>
            <w:tcW w:w="1654" w:type="pct"/>
          </w:tcPr>
          <w:p w:rsidR="004A3F5C" w:rsidRPr="00D05748" w:rsidRDefault="004A3F5C" w:rsidP="00D721B2">
            <w:pPr>
              <w:rPr>
                <w:sz w:val="28"/>
                <w:szCs w:val="28"/>
              </w:rPr>
            </w:pPr>
            <w:r w:rsidRPr="00D05748">
              <w:rPr>
                <w:sz w:val="28"/>
                <w:szCs w:val="28"/>
              </w:rPr>
              <w:t>Pamatojums</w:t>
            </w:r>
          </w:p>
        </w:tc>
        <w:tc>
          <w:tcPr>
            <w:tcW w:w="3133" w:type="pct"/>
          </w:tcPr>
          <w:p w:rsidR="004A3F5C" w:rsidRDefault="00D05748" w:rsidP="00D721B2">
            <w:pPr>
              <w:jc w:val="both"/>
              <w:rPr>
                <w:bCs/>
                <w:color w:val="000000"/>
                <w:sz w:val="28"/>
                <w:szCs w:val="28"/>
              </w:rPr>
            </w:pPr>
            <w:r w:rsidRPr="00D05748">
              <w:rPr>
                <w:bCs/>
                <w:color w:val="000000"/>
                <w:sz w:val="28"/>
                <w:szCs w:val="28"/>
              </w:rPr>
              <w:t>Ministru kabineta noteikumu „</w:t>
            </w:r>
            <w:r w:rsidRPr="00D05748">
              <w:rPr>
                <w:sz w:val="28"/>
                <w:szCs w:val="28"/>
              </w:rPr>
              <w:t>Kārtība, kādā valsts fondēto pensiju shēmas līdzekļu pārvaldītājs aprēķina maksājumu par ieguldījumu plāna pārvaldi un tiek veikta maksājuma uzskaite un ieturēšana</w:t>
            </w:r>
            <w:r w:rsidRPr="00D05748">
              <w:rPr>
                <w:bCs/>
                <w:color w:val="000000"/>
                <w:sz w:val="28"/>
                <w:szCs w:val="28"/>
              </w:rPr>
              <w:t>” projekts (turpmāk – MK noteikumi) izstrādāts, pamatojoties uz Valsts fondēto pensiju likuma 11.panta 5.</w:t>
            </w:r>
            <w:r w:rsidRPr="00D05748">
              <w:rPr>
                <w:bCs/>
                <w:color w:val="000000"/>
                <w:sz w:val="28"/>
                <w:szCs w:val="28"/>
                <w:vertAlign w:val="superscript"/>
              </w:rPr>
              <w:t>2</w:t>
            </w:r>
            <w:r w:rsidRPr="00D05748">
              <w:rPr>
                <w:bCs/>
                <w:color w:val="000000"/>
                <w:sz w:val="28"/>
                <w:szCs w:val="28"/>
              </w:rPr>
              <w:t xml:space="preserve"> daļā noteikto deleģējumu.</w:t>
            </w:r>
          </w:p>
          <w:p w:rsidR="00D05748" w:rsidRPr="00D05748" w:rsidRDefault="00D05748" w:rsidP="00D721B2">
            <w:pPr>
              <w:jc w:val="both"/>
              <w:rPr>
                <w:bCs/>
                <w:sz w:val="28"/>
                <w:szCs w:val="28"/>
              </w:rPr>
            </w:pPr>
          </w:p>
        </w:tc>
      </w:tr>
      <w:tr w:rsidR="004A3F5C" w:rsidRPr="00D05748" w:rsidTr="00D721B2">
        <w:tc>
          <w:tcPr>
            <w:tcW w:w="213" w:type="pct"/>
          </w:tcPr>
          <w:p w:rsidR="004A3F5C" w:rsidRPr="00D05748" w:rsidRDefault="004A3F5C" w:rsidP="00D721B2">
            <w:pPr>
              <w:rPr>
                <w:sz w:val="28"/>
                <w:szCs w:val="28"/>
              </w:rPr>
            </w:pPr>
            <w:r w:rsidRPr="00D05748">
              <w:rPr>
                <w:sz w:val="28"/>
                <w:szCs w:val="28"/>
              </w:rPr>
              <w:t xml:space="preserve">2. </w:t>
            </w:r>
          </w:p>
        </w:tc>
        <w:tc>
          <w:tcPr>
            <w:tcW w:w="1654" w:type="pct"/>
          </w:tcPr>
          <w:p w:rsidR="004A3F5C" w:rsidRPr="00D05748" w:rsidRDefault="004A3F5C" w:rsidP="00D721B2">
            <w:pPr>
              <w:rPr>
                <w:sz w:val="28"/>
                <w:szCs w:val="28"/>
              </w:rPr>
            </w:pPr>
            <w:r w:rsidRPr="00D05748">
              <w:rPr>
                <w:sz w:val="28"/>
                <w:szCs w:val="28"/>
              </w:rPr>
              <w:t>Pašreizējā situācija un problēmas, kuru risināšanai tiesību akta projekts izstrādāts, tiesiskā regulējuma mērķis un būtība</w:t>
            </w:r>
          </w:p>
        </w:tc>
        <w:tc>
          <w:tcPr>
            <w:tcW w:w="3133" w:type="pct"/>
          </w:tcPr>
          <w:p w:rsidR="00D05748" w:rsidRPr="00D05748" w:rsidRDefault="00D05748" w:rsidP="00D05748">
            <w:pPr>
              <w:spacing w:after="120"/>
              <w:ind w:right="143"/>
              <w:jc w:val="both"/>
              <w:rPr>
                <w:bCs/>
                <w:color w:val="000000"/>
                <w:sz w:val="28"/>
                <w:szCs w:val="28"/>
              </w:rPr>
            </w:pPr>
            <w:r w:rsidRPr="00D05748">
              <w:rPr>
                <w:bCs/>
                <w:color w:val="000000"/>
                <w:sz w:val="28"/>
                <w:szCs w:val="28"/>
              </w:rPr>
              <w:t>Līdz 2014.gada 31.decembrim valsts fondēto pensiju shēmas līdzekļu pārvaldītāji</w:t>
            </w:r>
            <w:r w:rsidR="00123DE6">
              <w:rPr>
                <w:bCs/>
                <w:color w:val="000000"/>
                <w:sz w:val="28"/>
                <w:szCs w:val="28"/>
              </w:rPr>
              <w:t xml:space="preserve"> (</w:t>
            </w:r>
            <w:r w:rsidRPr="00D05748">
              <w:rPr>
                <w:bCs/>
                <w:color w:val="000000"/>
                <w:sz w:val="28"/>
                <w:szCs w:val="28"/>
              </w:rPr>
              <w:t>ieguldījumu pārvaldes sabiedrības, kas pārvalda valsts fondēto pensiju līdzekļus</w:t>
            </w:r>
            <w:r w:rsidR="00123DE6">
              <w:rPr>
                <w:bCs/>
                <w:color w:val="000000"/>
                <w:sz w:val="28"/>
                <w:szCs w:val="28"/>
              </w:rPr>
              <w:t>)</w:t>
            </w:r>
            <w:r w:rsidRPr="00D05748">
              <w:rPr>
                <w:bCs/>
                <w:color w:val="000000"/>
                <w:sz w:val="28"/>
                <w:szCs w:val="28"/>
              </w:rPr>
              <w:t xml:space="preserve">, nodrošina, lai maksimālie maksājumi par ieguldījumu plāna pārvaldi, ietverot līdzekļu pārvaldītājam un līdzekļu turētājam izmaksājamās atlīdzības, kā arī maksājumus trešajām personām, kurus veic no ieguldījumu plāna līdzekļiem, nepārsniedz 2% no ieguldījumu plāna aktīvu vidējās vērtības gadā. Šajos maksājumos neietilpst izdevumi, kas radušies, veicot darījumus ar ieguldījumu plāna aktīvu pārdošanu un/vai atpirkšanu. Tādējādi atlīdzība par līdzekļu pārvaldīšanu pašlaik nav tiešā veidā saistīta ar sasniegto pārvaldīšanas rezultātu. </w:t>
            </w:r>
          </w:p>
          <w:p w:rsidR="00D05748" w:rsidRPr="00D05748" w:rsidRDefault="00D05748" w:rsidP="00D05748">
            <w:pPr>
              <w:spacing w:after="120"/>
              <w:ind w:right="141"/>
              <w:jc w:val="both"/>
              <w:rPr>
                <w:sz w:val="28"/>
                <w:szCs w:val="28"/>
              </w:rPr>
            </w:pPr>
            <w:r w:rsidRPr="00D05748">
              <w:rPr>
                <w:sz w:val="28"/>
                <w:szCs w:val="28"/>
              </w:rPr>
              <w:t>Atbilstoši Valsts fondēto pensiju likumam no 2015.gada 1.janvāra fondēto pensiju shēmas līdzekļu pārvaldītājam maksājumu par ieguldījumu plāna pārvaldi veidos:</w:t>
            </w:r>
          </w:p>
          <w:p w:rsidR="00D05748" w:rsidRPr="00D05748" w:rsidRDefault="00D05748" w:rsidP="00D05748">
            <w:pPr>
              <w:numPr>
                <w:ilvl w:val="0"/>
                <w:numId w:val="1"/>
              </w:numPr>
              <w:ind w:left="175" w:right="142" w:hanging="113"/>
              <w:jc w:val="both"/>
              <w:rPr>
                <w:sz w:val="28"/>
                <w:szCs w:val="28"/>
              </w:rPr>
            </w:pPr>
            <w:r w:rsidRPr="00D05748">
              <w:rPr>
                <w:sz w:val="28"/>
                <w:szCs w:val="28"/>
              </w:rPr>
              <w:t xml:space="preserve">maksājuma pastāvīgā daļa, kas ir viens procents no ieguldījumu plāna aktīvu vidējās vērtības gadā un ietver maksājumus līdzekļu pārvaldītājam, līdzekļu turētājam, kā arī maksājumus trešajām personām, kurus veic no ieguldījumu plāna līdzekļiem, izņemot </w:t>
            </w:r>
            <w:r w:rsidRPr="00D05748">
              <w:rPr>
                <w:sz w:val="28"/>
                <w:szCs w:val="28"/>
              </w:rPr>
              <w:lastRenderedPageBreak/>
              <w:t>izdevumus, kas radušies, veicot darījumus ar ieguldījumu plāna aktīvu pārdošanu ar atpirkšanu. Maksājuma pastāvīgā daļa tiks ieturēta neatkarīgi no ieguldījumu plāna rezultāta;</w:t>
            </w:r>
          </w:p>
          <w:p w:rsidR="00D05748" w:rsidRPr="00D05748" w:rsidRDefault="00D05748" w:rsidP="00D05748">
            <w:pPr>
              <w:numPr>
                <w:ilvl w:val="0"/>
                <w:numId w:val="1"/>
              </w:numPr>
              <w:ind w:left="175" w:right="142" w:hanging="113"/>
              <w:jc w:val="both"/>
              <w:rPr>
                <w:sz w:val="28"/>
                <w:szCs w:val="28"/>
              </w:rPr>
            </w:pPr>
            <w:r w:rsidRPr="00D05748">
              <w:rPr>
                <w:sz w:val="28"/>
                <w:szCs w:val="28"/>
              </w:rPr>
              <w:t xml:space="preserve">ieguldījumu plānam, uzrādot labus pārvaldīšanas rezultātus, tas būs tiesīgs ieturēt maksājuma mainīgo daļu, kas ir atlīdzība fondēto pensiju shēmas līdzekļu pārvaldītājam par ieguldījumu plāna darbības rezultātu, un tās apmērs būs atkarīgs no pensiju plāna ienesīguma. </w:t>
            </w:r>
          </w:p>
          <w:p w:rsidR="00D05748" w:rsidRPr="00D05748" w:rsidRDefault="00D05748" w:rsidP="00D05748">
            <w:pPr>
              <w:autoSpaceDE w:val="0"/>
              <w:autoSpaceDN w:val="0"/>
              <w:adjustRightInd w:val="0"/>
              <w:spacing w:after="120"/>
              <w:ind w:right="136"/>
              <w:jc w:val="both"/>
              <w:rPr>
                <w:rFonts w:eastAsia="Calibri"/>
                <w:sz w:val="28"/>
                <w:szCs w:val="28"/>
                <w:lang w:eastAsia="en-US"/>
              </w:rPr>
            </w:pPr>
            <w:r w:rsidRPr="00D05748">
              <w:rPr>
                <w:rFonts w:eastAsia="Calibri"/>
                <w:sz w:val="28"/>
                <w:szCs w:val="28"/>
                <w:lang w:eastAsia="en-US"/>
              </w:rPr>
              <w:t>Maksājuma pastāvīgā un mainīgā daļa kopā nedrīkst pārsniegt Valsts fondēto pensiju likumā noteikto maksimālo apmēru maksājumam par ieguldījumu plānu pārvaldi – 2% no ieguldījumu plāna aktīvu vidējās vērtības gadā, bet konservatīvajiem ieguldījumu plāniem– 1,5% apmērā.</w:t>
            </w:r>
          </w:p>
          <w:p w:rsidR="00D05748" w:rsidRPr="00D05748" w:rsidRDefault="00D05748" w:rsidP="00D05748">
            <w:pPr>
              <w:spacing w:after="120"/>
              <w:ind w:right="141"/>
              <w:jc w:val="both"/>
              <w:rPr>
                <w:rFonts w:eastAsia="Calibri"/>
                <w:sz w:val="28"/>
                <w:szCs w:val="28"/>
                <w:lang w:eastAsia="en-US"/>
              </w:rPr>
            </w:pPr>
            <w:r w:rsidRPr="00D05748">
              <w:rPr>
                <w:rFonts w:eastAsia="Calibri"/>
                <w:sz w:val="28"/>
                <w:szCs w:val="28"/>
                <w:lang w:eastAsia="en-US"/>
              </w:rPr>
              <w:t>MK noteikumu projekts paredz noteikt kārtību, kā valsts fondēto pensiju shēmas līdzekļu pārvaldītājs aprēķina maksājuma par ieguldījumu plāna pārvaldi pastāvīgo un mainīgo daļu, kā arī kārtību, kādā tiek veikta maksājuma pastāvīgās un mainīgās daļas uzskaite un ieturēšana.</w:t>
            </w:r>
          </w:p>
          <w:p w:rsidR="00D05748" w:rsidRPr="00D05748" w:rsidRDefault="00D05748" w:rsidP="00D05748">
            <w:pPr>
              <w:autoSpaceDE w:val="0"/>
              <w:autoSpaceDN w:val="0"/>
              <w:adjustRightInd w:val="0"/>
              <w:spacing w:after="120"/>
              <w:ind w:right="137"/>
              <w:jc w:val="both"/>
              <w:rPr>
                <w:rFonts w:eastAsia="Calibri"/>
                <w:sz w:val="28"/>
                <w:szCs w:val="28"/>
                <w:lang w:eastAsia="en-US"/>
              </w:rPr>
            </w:pPr>
            <w:r w:rsidRPr="00D05748">
              <w:rPr>
                <w:rFonts w:eastAsia="Calibri"/>
                <w:sz w:val="28"/>
                <w:szCs w:val="28"/>
                <w:lang w:eastAsia="en-US"/>
              </w:rPr>
              <w:t>Aprēķinot maksājuma pastāvīgo daļu, ņem vērā ieguldījumu plāna neto aktīva vērtību iepriekšējā aprēķina dienā, Valsts fondēto pensiju likumā noteikto maksājuma pastāvīgo daļu procentos, kā arī kalendāro dienu skaitu pārskata gadā un kalendāro dienu skaitu no iepriekšējā aprēķina dienas.</w:t>
            </w:r>
          </w:p>
          <w:p w:rsidR="00D05748" w:rsidRPr="00D05748" w:rsidRDefault="00D05748" w:rsidP="00D05748">
            <w:pPr>
              <w:autoSpaceDE w:val="0"/>
              <w:autoSpaceDN w:val="0"/>
              <w:adjustRightInd w:val="0"/>
              <w:spacing w:after="120"/>
              <w:ind w:right="137"/>
              <w:jc w:val="both"/>
              <w:rPr>
                <w:rFonts w:eastAsia="Calibri"/>
                <w:sz w:val="28"/>
                <w:szCs w:val="28"/>
                <w:lang w:eastAsia="en-US"/>
              </w:rPr>
            </w:pPr>
            <w:r w:rsidRPr="00D05748">
              <w:rPr>
                <w:rFonts w:eastAsia="Calibri"/>
                <w:sz w:val="28"/>
                <w:szCs w:val="28"/>
                <w:lang w:eastAsia="en-US"/>
              </w:rPr>
              <w:t>Maksājuma pastāvīgo daļu uzkrāj mēneša laikā, iegūstot</w:t>
            </w:r>
            <w:r w:rsidRPr="00D05748" w:rsidDel="00904124">
              <w:rPr>
                <w:rFonts w:eastAsia="Calibri"/>
                <w:sz w:val="28"/>
                <w:szCs w:val="28"/>
                <w:lang w:eastAsia="en-US"/>
              </w:rPr>
              <w:t xml:space="preserve"> </w:t>
            </w:r>
            <w:r w:rsidRPr="00D05748">
              <w:rPr>
                <w:rFonts w:eastAsia="Calibri"/>
                <w:sz w:val="28"/>
                <w:szCs w:val="28"/>
                <w:lang w:eastAsia="en-US"/>
              </w:rPr>
              <w:t>kopējo maksājuma pastāvīgās daļas apmēru par kārtējo mēnesi, ko aprēķina, summējot par katru aprēķina dienu aprēķināto dienas maksājuma pastāvīgo daļu no kārtējā mēneša sākuma.</w:t>
            </w:r>
          </w:p>
          <w:p w:rsidR="00D05748" w:rsidRPr="00D05748" w:rsidRDefault="00D05748" w:rsidP="00D05748">
            <w:pPr>
              <w:autoSpaceDE w:val="0"/>
              <w:autoSpaceDN w:val="0"/>
              <w:adjustRightInd w:val="0"/>
              <w:spacing w:after="120"/>
              <w:ind w:right="137"/>
              <w:jc w:val="both"/>
              <w:rPr>
                <w:rFonts w:eastAsia="Calibri"/>
                <w:sz w:val="28"/>
                <w:szCs w:val="28"/>
                <w:lang w:eastAsia="en-US"/>
              </w:rPr>
            </w:pPr>
            <w:r w:rsidRPr="00D05748">
              <w:rPr>
                <w:rFonts w:eastAsia="Calibri"/>
                <w:sz w:val="28"/>
                <w:szCs w:val="28"/>
                <w:lang w:eastAsia="en-US"/>
              </w:rPr>
              <w:t>Kopējo maksājuma pastāvīgās daļas apmēru par kārtējo mēnesi ietur reizi mēnesī.</w:t>
            </w:r>
          </w:p>
          <w:p w:rsidR="00D05748" w:rsidRPr="00D05748" w:rsidRDefault="00D05748" w:rsidP="00D05748">
            <w:pPr>
              <w:spacing w:after="120"/>
              <w:ind w:right="141"/>
              <w:jc w:val="both"/>
              <w:rPr>
                <w:rFonts w:eastAsia="Calibri"/>
                <w:sz w:val="28"/>
                <w:szCs w:val="28"/>
                <w:lang w:eastAsia="en-US"/>
              </w:rPr>
            </w:pPr>
            <w:r w:rsidRPr="00D05748">
              <w:rPr>
                <w:rFonts w:eastAsia="Calibri"/>
                <w:sz w:val="28"/>
                <w:szCs w:val="28"/>
                <w:lang w:eastAsia="en-US"/>
              </w:rPr>
              <w:lastRenderedPageBreak/>
              <w:t>Maksājuma mainīgā daļas lielumu nosaka uzrādītais ieguldījumu plāna pārvaldīšanas rezultāts attiecībā pret atskaites indeksu, kā arī daļa, ko no sasniegtās virspeļņas apmēra ietur līdzekļu pārvaldītājs. Ienesīguma aprēķinos tiek ņemts vērā dienas un pēdējo 24 mēnešu ienesīgums, kā arī ienesīgums no gada sākuma. Lai līdzekļu pārvaldītājs gada beigās varētu ieturēt maksājuma mainīgo daļu, ieguldījumu plāna ienesīgumam par kārtējo gadu ir jābūt pozitīvam. 24 mēnešu salīdzināšanas periods ir izvēlēts, lai lielāku zaudējumu gadījumā līdzekļu pārvaldītājs ilgāk nevarētu saņemt maksājuma mainīgo daļu, taču vienlaicīgi arī atturētu līdzekļu pārvaldītāju no motivācijas uzņemties nesamērīgu risku zaudējumu atgūšanai. Kā atskaites indekss ir izvēlēts trīs mēnešu EURIBOR indekss, kas raksturo finanšu tirgos pieejamo īstermiņa depozīta likmju līmeni un kas vēsturiski vienmēr ir bijis pozitīvs. Līdzekļu pārvaldītājs saņem 20% no sasniegtās virspeļņas, taču nepārsniedzot likumā noteikto maksājuma par ieguldījumu plāna pārvaldi maksimālo apmēru. 20% līmenis izvēlēts, balstoties uz līdzekļu pārvaldītāja potenciālās peļņas un kopējā maksājuma par ieguldījumu plāna pārvaldi līmeņa aprēķiniem, ņemot vērā finanšu tirgos pieejamā ienesīguma vēsturisko analīzi.</w:t>
            </w:r>
          </w:p>
          <w:p w:rsidR="00D05748" w:rsidRPr="00D05748" w:rsidRDefault="00D05748" w:rsidP="00D05748">
            <w:pPr>
              <w:autoSpaceDE w:val="0"/>
              <w:autoSpaceDN w:val="0"/>
              <w:adjustRightInd w:val="0"/>
              <w:spacing w:after="120"/>
              <w:ind w:right="137"/>
              <w:jc w:val="both"/>
              <w:rPr>
                <w:rFonts w:eastAsia="Calibri"/>
                <w:sz w:val="28"/>
                <w:szCs w:val="28"/>
                <w:lang w:eastAsia="en-US"/>
              </w:rPr>
            </w:pPr>
            <w:r w:rsidRPr="00D05748">
              <w:rPr>
                <w:rFonts w:eastAsia="Calibri"/>
                <w:sz w:val="28"/>
                <w:szCs w:val="28"/>
                <w:lang w:eastAsia="en-US"/>
              </w:rPr>
              <w:t xml:space="preserve">Maksājuma mainīgās daļas aprēķinu veic trīs etapos. Pirmkārt, tiek noteikts maksājuma mainīgās daļas apmērs aprēķina dienā, un to uzkrāj gada laikā, iegūstot kopējo maksājuma mainīgās daļas apmēru par kārtējo gadu, ko aprēķina, summējot par katru aprēķina dienu aprēķināto maksājuma mainīgo daļu no kārtējā gada sākuma. Aprēķinā tiek izmantots atskaites indekss, kas veidots no trīs mēnešu Eiropas starpbanku tirgus likmēm EURIBOR, kas iegūtas no Reuters, Bloomberg vai Euribor-EBF interneta mājas lapas </w:t>
            </w:r>
            <w:hyperlink r:id="rId8" w:history="1">
              <w:r w:rsidRPr="00D05748">
                <w:rPr>
                  <w:rFonts w:eastAsia="Calibri"/>
                  <w:color w:val="0000FF"/>
                  <w:sz w:val="28"/>
                  <w:szCs w:val="28"/>
                  <w:u w:val="single"/>
                  <w:lang w:eastAsia="en-US"/>
                </w:rPr>
                <w:t>http://www.euribor-ebf.eu</w:t>
              </w:r>
            </w:hyperlink>
            <w:r w:rsidRPr="00D05748">
              <w:rPr>
                <w:rFonts w:eastAsia="Calibri"/>
                <w:sz w:val="28"/>
                <w:szCs w:val="28"/>
                <w:lang w:eastAsia="en-US"/>
              </w:rPr>
              <w:t xml:space="preserve">. Atskaites indeksa aprēķinu veic katru aprēķina </w:t>
            </w:r>
            <w:r w:rsidRPr="00D05748">
              <w:rPr>
                <w:rFonts w:eastAsia="Calibri"/>
                <w:sz w:val="28"/>
                <w:szCs w:val="28"/>
                <w:lang w:eastAsia="en-US"/>
              </w:rPr>
              <w:lastRenderedPageBreak/>
              <w:t xml:space="preserve">dienu. </w:t>
            </w:r>
          </w:p>
          <w:p w:rsidR="00D05748" w:rsidRPr="00D05748" w:rsidRDefault="00D05748" w:rsidP="00D05748">
            <w:pPr>
              <w:autoSpaceDE w:val="0"/>
              <w:autoSpaceDN w:val="0"/>
              <w:adjustRightInd w:val="0"/>
              <w:spacing w:after="120"/>
              <w:ind w:right="137"/>
              <w:jc w:val="both"/>
              <w:rPr>
                <w:rFonts w:eastAsia="Calibri"/>
                <w:sz w:val="28"/>
                <w:szCs w:val="28"/>
                <w:lang w:eastAsia="en-US"/>
              </w:rPr>
            </w:pPr>
            <w:r w:rsidRPr="00D05748">
              <w:rPr>
                <w:rFonts w:eastAsia="Calibri"/>
                <w:sz w:val="28"/>
                <w:szCs w:val="28"/>
                <w:lang w:eastAsia="en-US"/>
              </w:rPr>
              <w:t xml:space="preserve">Otrkārt, tiek aprēķināta maksājuma mainīgā daļa, atbilstoši virspeļņas rādītājiem pēdējo 24 mēnešu periodā. Aprēķinātās maksājuma mainīgās daļas uzkrāšanu atsāk katru gadu no jauna kārtējā gada pirmajā aprēķina dienā, dzēšot iepriekšējā gada uzkrāto aprēķinātā maksājuma mainīgās daļas apmēru un nosakot to no nulles. </w:t>
            </w:r>
          </w:p>
          <w:p w:rsidR="00D05748" w:rsidRPr="00D05748" w:rsidRDefault="00D05748" w:rsidP="00D05748">
            <w:pPr>
              <w:autoSpaceDE w:val="0"/>
              <w:autoSpaceDN w:val="0"/>
              <w:adjustRightInd w:val="0"/>
              <w:spacing w:after="120"/>
              <w:ind w:right="137"/>
              <w:jc w:val="both"/>
              <w:rPr>
                <w:rFonts w:eastAsia="Calibri"/>
                <w:sz w:val="28"/>
                <w:szCs w:val="28"/>
                <w:lang w:eastAsia="en-US"/>
              </w:rPr>
            </w:pPr>
            <w:r w:rsidRPr="00D05748">
              <w:rPr>
                <w:rFonts w:eastAsia="Calibri"/>
                <w:sz w:val="28"/>
                <w:szCs w:val="28"/>
                <w:lang w:eastAsia="en-US"/>
              </w:rPr>
              <w:t>Treškārt, tiek aprēķināta ieguldījumu plāna finanšu pārskatos uzskaitītā maksājuma mainīgā daļa, kuru rēķina atšķirīgi gada pirmajā dienā un citās gada aprēķina dienās. Ieguldījumu plāna finanšu pā</w:t>
            </w:r>
            <w:r w:rsidR="00123DE6">
              <w:rPr>
                <w:rFonts w:eastAsia="Calibri"/>
                <w:sz w:val="28"/>
                <w:szCs w:val="28"/>
                <w:lang w:eastAsia="en-US"/>
              </w:rPr>
              <w:t>rskatos atskaitīto</w:t>
            </w:r>
            <w:r w:rsidRPr="00D05748">
              <w:rPr>
                <w:rFonts w:eastAsia="Calibri"/>
                <w:sz w:val="28"/>
                <w:szCs w:val="28"/>
                <w:lang w:eastAsia="en-US"/>
              </w:rPr>
              <w:t xml:space="preserve"> maksājuma mainīgo daļu uzkrāj gada laikā un ietur par kārtējo gadu reizi gadā. </w:t>
            </w:r>
          </w:p>
          <w:p w:rsidR="004A3F5C" w:rsidRDefault="00D05748" w:rsidP="00D05748">
            <w:pPr>
              <w:pStyle w:val="naisf"/>
              <w:ind w:firstLine="0"/>
              <w:rPr>
                <w:rFonts w:eastAsia="Calibri"/>
                <w:sz w:val="28"/>
                <w:szCs w:val="28"/>
                <w:lang w:eastAsia="en-US"/>
              </w:rPr>
            </w:pPr>
            <w:r w:rsidRPr="00D05748">
              <w:rPr>
                <w:rFonts w:eastAsia="Calibri"/>
                <w:sz w:val="28"/>
                <w:szCs w:val="28"/>
                <w:lang w:eastAsia="en-US"/>
              </w:rPr>
              <w:t>MK noteikumu projekts paredz arī pārejas noteikumus, nosakot, ka atskaites indeksa aprēķina sākuma datums ir 2015.gada 1.janvāris, un tā sākotnējā vērtība ir</w:t>
            </w:r>
            <w:r w:rsidR="00123DE6">
              <w:rPr>
                <w:rFonts w:eastAsia="Calibri"/>
                <w:sz w:val="28"/>
                <w:szCs w:val="28"/>
                <w:lang w:eastAsia="en-US"/>
              </w:rPr>
              <w:t xml:space="preserve"> „viens” uz 2014.</w:t>
            </w:r>
            <w:r w:rsidRPr="00D05748">
              <w:rPr>
                <w:rFonts w:eastAsia="Calibri"/>
                <w:sz w:val="28"/>
                <w:szCs w:val="28"/>
                <w:lang w:eastAsia="en-US"/>
              </w:rPr>
              <w:t>gada 31.decembri. Visiem ieguldījumu plāniem, veicot maksājuma pastāvīgās un mai</w:t>
            </w:r>
            <w:r w:rsidR="00123DE6">
              <w:rPr>
                <w:rFonts w:eastAsia="Calibri"/>
                <w:sz w:val="28"/>
                <w:szCs w:val="28"/>
                <w:lang w:eastAsia="en-US"/>
              </w:rPr>
              <w:t>nīgās daļas ieviešanu, kā 2014.</w:t>
            </w:r>
            <w:r w:rsidRPr="00D05748">
              <w:rPr>
                <w:rFonts w:eastAsia="Calibri"/>
                <w:sz w:val="28"/>
                <w:szCs w:val="28"/>
                <w:lang w:eastAsia="en-US"/>
              </w:rPr>
              <w:t>gada pēdējo aprēķina dienu nosaka 2014.gada 31.decembri. Vienlaikus pār</w:t>
            </w:r>
            <w:r w:rsidR="00123DE6">
              <w:rPr>
                <w:rFonts w:eastAsia="Calibri"/>
                <w:sz w:val="28"/>
                <w:szCs w:val="28"/>
                <w:lang w:eastAsia="en-US"/>
              </w:rPr>
              <w:t>ejas noteikumi nosaka, ka 2015.</w:t>
            </w:r>
            <w:r w:rsidRPr="00D05748">
              <w:rPr>
                <w:rFonts w:eastAsia="Calibri"/>
                <w:sz w:val="28"/>
                <w:szCs w:val="28"/>
                <w:lang w:eastAsia="en-US"/>
              </w:rPr>
              <w:t>gada un 2016.gada laikā par perioda sākuma dienu aprēķinos, kas veikti par 24 m</w:t>
            </w:r>
            <w:r w:rsidR="00123DE6">
              <w:rPr>
                <w:rFonts w:eastAsia="Calibri"/>
                <w:sz w:val="28"/>
                <w:szCs w:val="28"/>
                <w:lang w:eastAsia="en-US"/>
              </w:rPr>
              <w:t>ēnešiem, uzskata 2014.gada 31.</w:t>
            </w:r>
            <w:r w:rsidRPr="00D05748">
              <w:rPr>
                <w:rFonts w:eastAsia="Calibri"/>
                <w:sz w:val="28"/>
                <w:szCs w:val="28"/>
                <w:lang w:eastAsia="en-US"/>
              </w:rPr>
              <w:t>decembri.</w:t>
            </w:r>
          </w:p>
          <w:p w:rsidR="00D05748" w:rsidRPr="00D05748" w:rsidRDefault="00D05748" w:rsidP="00D05748">
            <w:pPr>
              <w:pStyle w:val="naisf"/>
              <w:ind w:firstLine="0"/>
              <w:rPr>
                <w:sz w:val="28"/>
                <w:szCs w:val="28"/>
              </w:rPr>
            </w:pPr>
          </w:p>
        </w:tc>
      </w:tr>
      <w:tr w:rsidR="004A3F5C" w:rsidRPr="00D05748" w:rsidTr="00D721B2">
        <w:tc>
          <w:tcPr>
            <w:tcW w:w="213" w:type="pct"/>
          </w:tcPr>
          <w:p w:rsidR="004A3F5C" w:rsidRPr="00D05748" w:rsidRDefault="004A3F5C" w:rsidP="00D721B2">
            <w:pPr>
              <w:rPr>
                <w:sz w:val="28"/>
                <w:szCs w:val="28"/>
              </w:rPr>
            </w:pPr>
            <w:r w:rsidRPr="00D05748">
              <w:rPr>
                <w:sz w:val="28"/>
                <w:szCs w:val="28"/>
              </w:rPr>
              <w:lastRenderedPageBreak/>
              <w:t>3.</w:t>
            </w:r>
          </w:p>
        </w:tc>
        <w:tc>
          <w:tcPr>
            <w:tcW w:w="1654" w:type="pct"/>
          </w:tcPr>
          <w:p w:rsidR="004A3F5C" w:rsidRPr="00D05748" w:rsidRDefault="004A3F5C" w:rsidP="00D721B2">
            <w:pPr>
              <w:rPr>
                <w:sz w:val="28"/>
                <w:szCs w:val="28"/>
              </w:rPr>
            </w:pPr>
            <w:r w:rsidRPr="00D05748">
              <w:rPr>
                <w:sz w:val="28"/>
                <w:szCs w:val="28"/>
              </w:rPr>
              <w:t>Projekta izstrādē iesaistītās institūcijas</w:t>
            </w:r>
          </w:p>
        </w:tc>
        <w:tc>
          <w:tcPr>
            <w:tcW w:w="3133" w:type="pct"/>
          </w:tcPr>
          <w:p w:rsidR="004A3F5C" w:rsidRDefault="004A3F5C" w:rsidP="00D721B2">
            <w:pPr>
              <w:jc w:val="both"/>
              <w:rPr>
                <w:sz w:val="28"/>
                <w:szCs w:val="28"/>
              </w:rPr>
            </w:pPr>
            <w:r w:rsidRPr="00D05748">
              <w:rPr>
                <w:sz w:val="28"/>
                <w:szCs w:val="28"/>
              </w:rPr>
              <w:t>Finanšu un kapitāla tirgus komisija, Latvijas Komercbanku asociācija</w:t>
            </w:r>
            <w:r w:rsidR="00D05748" w:rsidRPr="00D05748">
              <w:rPr>
                <w:sz w:val="28"/>
                <w:szCs w:val="28"/>
              </w:rPr>
              <w:t>.</w:t>
            </w:r>
          </w:p>
          <w:p w:rsidR="00D05748" w:rsidRPr="00D05748" w:rsidRDefault="00D05748" w:rsidP="00D721B2">
            <w:pPr>
              <w:jc w:val="both"/>
              <w:rPr>
                <w:color w:val="FF0000"/>
                <w:sz w:val="28"/>
                <w:szCs w:val="28"/>
              </w:rPr>
            </w:pPr>
          </w:p>
        </w:tc>
      </w:tr>
      <w:tr w:rsidR="004A3F5C" w:rsidRPr="00D05748" w:rsidTr="00D721B2">
        <w:tc>
          <w:tcPr>
            <w:tcW w:w="213" w:type="pct"/>
          </w:tcPr>
          <w:p w:rsidR="004A3F5C" w:rsidRPr="00D05748" w:rsidRDefault="004A3F5C" w:rsidP="00D721B2">
            <w:pPr>
              <w:rPr>
                <w:sz w:val="28"/>
                <w:szCs w:val="28"/>
              </w:rPr>
            </w:pPr>
            <w:r w:rsidRPr="00D05748">
              <w:rPr>
                <w:sz w:val="28"/>
                <w:szCs w:val="28"/>
              </w:rPr>
              <w:t xml:space="preserve">4. </w:t>
            </w:r>
          </w:p>
        </w:tc>
        <w:tc>
          <w:tcPr>
            <w:tcW w:w="1654" w:type="pct"/>
          </w:tcPr>
          <w:p w:rsidR="004A3F5C" w:rsidRPr="00D05748" w:rsidRDefault="004A3F5C" w:rsidP="00D721B2">
            <w:pPr>
              <w:rPr>
                <w:sz w:val="28"/>
                <w:szCs w:val="28"/>
              </w:rPr>
            </w:pPr>
            <w:r w:rsidRPr="00D05748">
              <w:rPr>
                <w:sz w:val="28"/>
                <w:szCs w:val="28"/>
              </w:rPr>
              <w:t>Cita informācija</w:t>
            </w:r>
          </w:p>
        </w:tc>
        <w:tc>
          <w:tcPr>
            <w:tcW w:w="3133" w:type="pct"/>
          </w:tcPr>
          <w:p w:rsidR="004A3F5C" w:rsidRPr="00D05748" w:rsidRDefault="004A3F5C" w:rsidP="00D721B2">
            <w:pPr>
              <w:jc w:val="both"/>
              <w:rPr>
                <w:color w:val="FF0000"/>
                <w:sz w:val="28"/>
                <w:szCs w:val="28"/>
              </w:rPr>
            </w:pPr>
            <w:r w:rsidRPr="00D05748">
              <w:rPr>
                <w:sz w:val="28"/>
                <w:szCs w:val="28"/>
              </w:rPr>
              <w:t>Nav.</w:t>
            </w:r>
          </w:p>
        </w:tc>
      </w:tr>
    </w:tbl>
    <w:p w:rsidR="004A3F5C" w:rsidRPr="00D05748" w:rsidRDefault="004A3F5C" w:rsidP="004A3F5C">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066"/>
        <w:gridCol w:w="5795"/>
      </w:tblGrid>
      <w:tr w:rsidR="004A3F5C" w:rsidRPr="00D05748" w:rsidTr="00D721B2">
        <w:tc>
          <w:tcPr>
            <w:tcW w:w="9287" w:type="dxa"/>
            <w:gridSpan w:val="3"/>
          </w:tcPr>
          <w:p w:rsidR="004A3F5C" w:rsidRPr="00D05748" w:rsidRDefault="004A3F5C" w:rsidP="00D721B2">
            <w:pPr>
              <w:pStyle w:val="naisnod"/>
              <w:spacing w:before="0" w:after="0"/>
              <w:ind w:left="57" w:right="57"/>
              <w:rPr>
                <w:b w:val="0"/>
                <w:sz w:val="28"/>
                <w:szCs w:val="28"/>
              </w:rPr>
            </w:pPr>
            <w:r w:rsidRPr="00D05748">
              <w:rPr>
                <w:sz w:val="28"/>
                <w:szCs w:val="28"/>
              </w:rPr>
              <w:t>II.</w:t>
            </w:r>
            <w:r w:rsidRPr="00D05748">
              <w:rPr>
                <w:b w:val="0"/>
                <w:sz w:val="28"/>
                <w:szCs w:val="28"/>
              </w:rPr>
              <w:t xml:space="preserve"> </w:t>
            </w:r>
            <w:r w:rsidRPr="00D05748">
              <w:rPr>
                <w:sz w:val="28"/>
                <w:szCs w:val="28"/>
              </w:rPr>
              <w:t>Tiesību akta projekta ietekme uz sabiedrību, tautsaimniecības attīstību</w:t>
            </w:r>
          </w:p>
          <w:p w:rsidR="004A3F5C" w:rsidRPr="00D05748" w:rsidRDefault="004A3F5C" w:rsidP="00D721B2">
            <w:pPr>
              <w:jc w:val="center"/>
              <w:rPr>
                <w:b/>
                <w:sz w:val="28"/>
                <w:szCs w:val="28"/>
              </w:rPr>
            </w:pPr>
            <w:r w:rsidRPr="00D05748">
              <w:rPr>
                <w:b/>
                <w:sz w:val="28"/>
                <w:szCs w:val="28"/>
              </w:rPr>
              <w:t>un administratīvo slogu</w:t>
            </w:r>
          </w:p>
        </w:tc>
      </w:tr>
      <w:tr w:rsidR="004A3F5C" w:rsidRPr="00D05748" w:rsidTr="004A3F5C">
        <w:tc>
          <w:tcPr>
            <w:tcW w:w="426" w:type="dxa"/>
          </w:tcPr>
          <w:p w:rsidR="004A3F5C" w:rsidRPr="00D05748" w:rsidRDefault="004A3F5C" w:rsidP="00D721B2">
            <w:pPr>
              <w:rPr>
                <w:sz w:val="28"/>
                <w:szCs w:val="28"/>
              </w:rPr>
            </w:pPr>
            <w:r w:rsidRPr="00D05748">
              <w:rPr>
                <w:sz w:val="28"/>
                <w:szCs w:val="28"/>
              </w:rPr>
              <w:t>1.</w:t>
            </w:r>
          </w:p>
        </w:tc>
        <w:tc>
          <w:tcPr>
            <w:tcW w:w="3066" w:type="dxa"/>
          </w:tcPr>
          <w:p w:rsidR="004A3F5C" w:rsidRPr="00D05748" w:rsidRDefault="004A3F5C" w:rsidP="00D721B2">
            <w:pPr>
              <w:rPr>
                <w:sz w:val="28"/>
                <w:szCs w:val="28"/>
              </w:rPr>
            </w:pPr>
            <w:r w:rsidRPr="00D05748">
              <w:rPr>
                <w:sz w:val="28"/>
                <w:szCs w:val="28"/>
              </w:rPr>
              <w:t>Sabiedrības mērķgrupas, kuras tiesiskais regulējums ietekmē vai varētu ietekmēt</w:t>
            </w:r>
          </w:p>
        </w:tc>
        <w:tc>
          <w:tcPr>
            <w:tcW w:w="5795" w:type="dxa"/>
          </w:tcPr>
          <w:p w:rsidR="00D05748" w:rsidRPr="00D05748" w:rsidRDefault="00D05748" w:rsidP="00D05748">
            <w:pPr>
              <w:autoSpaceDE w:val="0"/>
              <w:autoSpaceDN w:val="0"/>
              <w:adjustRightInd w:val="0"/>
              <w:spacing w:after="120"/>
              <w:ind w:right="136"/>
              <w:jc w:val="both"/>
              <w:rPr>
                <w:rFonts w:eastAsia="Calibri"/>
                <w:bCs/>
                <w:color w:val="000000"/>
                <w:sz w:val="28"/>
                <w:szCs w:val="28"/>
                <w:lang w:eastAsia="en-US"/>
              </w:rPr>
            </w:pPr>
            <w:r w:rsidRPr="00D05748">
              <w:rPr>
                <w:rFonts w:eastAsia="Calibri"/>
                <w:bCs/>
                <w:color w:val="000000"/>
                <w:sz w:val="28"/>
                <w:szCs w:val="28"/>
                <w:lang w:eastAsia="en-US"/>
              </w:rPr>
              <w:t xml:space="preserve">Saskaņā ar Valsts fondēto pensiju likuma 3.panta pirmo un otro daļu tiem sociālo iemaksu veicējiem, kas dzimuši pēc 1971.gada 1.jūlija, līdzdalība valsts fondēto pensiju shēmā ir noteikta obligāta, savukārt tiem, kas dzimuši no </w:t>
            </w:r>
            <w:r w:rsidRPr="00D05748">
              <w:rPr>
                <w:rFonts w:eastAsia="Calibri"/>
                <w:bCs/>
                <w:color w:val="000000"/>
                <w:sz w:val="28"/>
                <w:szCs w:val="28"/>
                <w:lang w:eastAsia="en-US"/>
              </w:rPr>
              <w:lastRenderedPageBreak/>
              <w:t xml:space="preserve">1951.gada 2.jūlija līdz 1971.gada 1.jūlijam (ieskaitot), - brīvprātīga. </w:t>
            </w:r>
          </w:p>
          <w:p w:rsidR="00D05748" w:rsidRPr="00D05748" w:rsidRDefault="00D05748" w:rsidP="00D05748">
            <w:pPr>
              <w:autoSpaceDE w:val="0"/>
              <w:autoSpaceDN w:val="0"/>
              <w:adjustRightInd w:val="0"/>
              <w:spacing w:after="120"/>
              <w:ind w:right="136"/>
              <w:jc w:val="both"/>
              <w:rPr>
                <w:rFonts w:eastAsia="Calibri"/>
                <w:bCs/>
                <w:color w:val="000000"/>
                <w:sz w:val="28"/>
                <w:szCs w:val="28"/>
                <w:lang w:eastAsia="en-US"/>
              </w:rPr>
            </w:pPr>
            <w:r w:rsidRPr="00D05748">
              <w:rPr>
                <w:rFonts w:eastAsia="Calibri"/>
                <w:sz w:val="28"/>
                <w:szCs w:val="28"/>
                <w:lang w:eastAsia="en-US"/>
              </w:rPr>
              <w:t>2013.gada 31.decembrī valsts fondēto pensiju shēmā bija reģistrēti 1 225 tūkstoši dalībnieku</w:t>
            </w:r>
            <w:r w:rsidRPr="00D05748">
              <w:rPr>
                <w:rFonts w:eastAsia="Calibri"/>
                <w:bCs/>
                <w:color w:val="000000"/>
                <w:sz w:val="28"/>
                <w:szCs w:val="28"/>
                <w:lang w:eastAsia="en-US"/>
              </w:rPr>
              <w:t xml:space="preserve"> no tiem kā obligātie shēmas dalībnieki bija reģistrēti 730 tūkst. personu un brīvprātīgie - 495 tūkst. personu.</w:t>
            </w:r>
          </w:p>
          <w:p w:rsidR="004A3F5C" w:rsidRDefault="00D05748" w:rsidP="00D05748">
            <w:pPr>
              <w:jc w:val="both"/>
              <w:rPr>
                <w:rFonts w:eastAsia="Calibri"/>
                <w:bCs/>
                <w:color w:val="000000"/>
                <w:sz w:val="28"/>
                <w:szCs w:val="28"/>
                <w:lang w:eastAsia="en-US"/>
              </w:rPr>
            </w:pPr>
            <w:r w:rsidRPr="00D05748">
              <w:rPr>
                <w:rFonts w:eastAsia="Calibri"/>
                <w:bCs/>
                <w:color w:val="000000"/>
                <w:sz w:val="28"/>
                <w:szCs w:val="28"/>
                <w:lang w:eastAsia="en-US"/>
              </w:rPr>
              <w:t>2014.gadā Latvijā ir 7 valsts fondēto pensiju shēmas līdzekļu pārvaldītāji un 26 ieguldījumu plāni (10 konservatīvie plāni, 9 aktīvie plāni un 4 sabalansētie plāni).</w:t>
            </w:r>
          </w:p>
          <w:p w:rsidR="00D05748" w:rsidRPr="00D05748" w:rsidRDefault="00D05748" w:rsidP="00D05748">
            <w:pPr>
              <w:jc w:val="both"/>
              <w:rPr>
                <w:rFonts w:eastAsia="Calibri"/>
                <w:sz w:val="28"/>
                <w:szCs w:val="28"/>
                <w:lang w:eastAsia="en-US"/>
              </w:rPr>
            </w:pPr>
          </w:p>
        </w:tc>
      </w:tr>
      <w:tr w:rsidR="004A3F5C" w:rsidRPr="00D05748" w:rsidTr="004A3F5C">
        <w:tc>
          <w:tcPr>
            <w:tcW w:w="426" w:type="dxa"/>
          </w:tcPr>
          <w:p w:rsidR="004A3F5C" w:rsidRPr="00D05748" w:rsidRDefault="004A3F5C" w:rsidP="00D721B2">
            <w:pPr>
              <w:rPr>
                <w:sz w:val="28"/>
                <w:szCs w:val="28"/>
              </w:rPr>
            </w:pPr>
            <w:r w:rsidRPr="00D05748">
              <w:rPr>
                <w:sz w:val="28"/>
                <w:szCs w:val="28"/>
              </w:rPr>
              <w:lastRenderedPageBreak/>
              <w:t xml:space="preserve">2. </w:t>
            </w:r>
          </w:p>
        </w:tc>
        <w:tc>
          <w:tcPr>
            <w:tcW w:w="3066" w:type="dxa"/>
          </w:tcPr>
          <w:p w:rsidR="004A3F5C" w:rsidRPr="00D05748" w:rsidRDefault="004A3F5C" w:rsidP="00D721B2">
            <w:pPr>
              <w:rPr>
                <w:sz w:val="28"/>
                <w:szCs w:val="28"/>
              </w:rPr>
            </w:pPr>
            <w:r w:rsidRPr="00D05748">
              <w:rPr>
                <w:sz w:val="28"/>
                <w:szCs w:val="28"/>
              </w:rPr>
              <w:t>Tiesiskā regulējuma ietekme uz tautsaimniecību un administratīvo slogu</w:t>
            </w:r>
          </w:p>
        </w:tc>
        <w:tc>
          <w:tcPr>
            <w:tcW w:w="5795" w:type="dxa"/>
          </w:tcPr>
          <w:p w:rsidR="00D05748" w:rsidRPr="00D05748" w:rsidRDefault="00D05748" w:rsidP="00D05748">
            <w:pPr>
              <w:shd w:val="clear" w:color="auto" w:fill="FFFFFF"/>
              <w:spacing w:after="120"/>
              <w:ind w:right="136"/>
              <w:jc w:val="both"/>
              <w:rPr>
                <w:bCs/>
                <w:sz w:val="28"/>
                <w:szCs w:val="28"/>
                <w:lang w:eastAsia="en-US"/>
              </w:rPr>
            </w:pPr>
            <w:r w:rsidRPr="00D05748">
              <w:rPr>
                <w:bCs/>
                <w:sz w:val="28"/>
                <w:szCs w:val="28"/>
                <w:lang w:eastAsia="en-US"/>
              </w:rPr>
              <w:t>MK noteikumu projekta tiesiskais regulējums nemaina tiesības un pienākumus</w:t>
            </w:r>
            <w:r w:rsidRPr="00D05748">
              <w:rPr>
                <w:color w:val="000000"/>
                <w:sz w:val="28"/>
                <w:szCs w:val="28"/>
                <w:lang w:eastAsia="en-US"/>
              </w:rPr>
              <w:t xml:space="preserve"> valsts fondēto pensiju shēmas dalībniekiem.</w:t>
            </w:r>
          </w:p>
          <w:p w:rsidR="00D05748" w:rsidRPr="00D05748" w:rsidRDefault="00D05748" w:rsidP="00D05748">
            <w:pPr>
              <w:shd w:val="clear" w:color="auto" w:fill="FFFFFF"/>
              <w:spacing w:after="120"/>
              <w:ind w:right="136"/>
              <w:jc w:val="both"/>
              <w:rPr>
                <w:bCs/>
                <w:sz w:val="28"/>
                <w:szCs w:val="28"/>
                <w:lang w:eastAsia="en-US"/>
              </w:rPr>
            </w:pPr>
            <w:r w:rsidRPr="00D05748">
              <w:rPr>
                <w:bCs/>
                <w:sz w:val="28"/>
                <w:szCs w:val="28"/>
                <w:lang w:eastAsia="en-US"/>
              </w:rPr>
              <w:t xml:space="preserve">Sagaidāms, ka, ieviešot MK noteikumu projektā paredzētās izmaiņas maksājuma aprēķinos, administratīvais slogs palielināsies </w:t>
            </w:r>
            <w:r w:rsidRPr="00D05748">
              <w:rPr>
                <w:color w:val="000000"/>
                <w:sz w:val="28"/>
                <w:szCs w:val="28"/>
                <w:lang w:eastAsia="en-US"/>
              </w:rPr>
              <w:t>fondēto pensiju shēmas līdzekļu pārvaldītājiem.</w:t>
            </w:r>
            <w:r w:rsidRPr="00D05748">
              <w:rPr>
                <w:bCs/>
                <w:sz w:val="28"/>
                <w:szCs w:val="28"/>
                <w:lang w:eastAsia="en-US"/>
              </w:rPr>
              <w:t xml:space="preserve"> Palielināsies arī nepieciešamība pēc jaunas iekšējās dokumentācijas un kontroles sistēmu ieviešanas. </w:t>
            </w:r>
          </w:p>
          <w:p w:rsidR="004A3F5C" w:rsidRPr="00D05748" w:rsidRDefault="00D05748" w:rsidP="00D05748">
            <w:pPr>
              <w:jc w:val="both"/>
              <w:rPr>
                <w:color w:val="FF0000"/>
                <w:sz w:val="28"/>
                <w:szCs w:val="28"/>
              </w:rPr>
            </w:pPr>
            <w:r w:rsidRPr="00D05748">
              <w:rPr>
                <w:rFonts w:eastAsia="Calibri"/>
                <w:sz w:val="28"/>
                <w:szCs w:val="28"/>
                <w:lang w:eastAsia="en-US"/>
              </w:rPr>
              <w:t>Nav sagaidāms, ka izmaiņas atstās būtisku ietekmi uz uzņēmējdarbības vidi, jo izstrādes gaitā, šī ietekme tika ņemta vērā, nosakot pastāvīgo maksājumu apmēru. Līdzekļu pārvaldītājiem tomēr ir jārēķinās, ka laikā, kad pensiju plānu pārvaldīšanas rezultāti būs nepamierinoši, maksājumi par plāna pārvaldi būtiski saruks pret pašreizējo apmēru, kas attiecīgi ietekmēs pārvaldītāju finansiālo darbību. Arī laikā, kad plānu rezultāti būs labi, līdzekļu pārvaldītājiem ir jārēķinās, ka maksājumu par ieguldījumu plāna pārvaldes mainīgo daļu līdzekļu pārvaldītājs saņems tikai pārskata gada beigās, nevis reizi mēnesī, kā iepriekš.</w:t>
            </w:r>
          </w:p>
        </w:tc>
      </w:tr>
      <w:tr w:rsidR="004A3F5C" w:rsidRPr="00D05748" w:rsidTr="004A3F5C">
        <w:tc>
          <w:tcPr>
            <w:tcW w:w="426" w:type="dxa"/>
          </w:tcPr>
          <w:p w:rsidR="004A3F5C" w:rsidRPr="00D05748" w:rsidRDefault="004A3F5C" w:rsidP="00D721B2">
            <w:pPr>
              <w:rPr>
                <w:sz w:val="28"/>
                <w:szCs w:val="28"/>
              </w:rPr>
            </w:pPr>
            <w:r w:rsidRPr="00D05748">
              <w:rPr>
                <w:sz w:val="28"/>
                <w:szCs w:val="28"/>
              </w:rPr>
              <w:t>3.</w:t>
            </w:r>
          </w:p>
        </w:tc>
        <w:tc>
          <w:tcPr>
            <w:tcW w:w="3066" w:type="dxa"/>
          </w:tcPr>
          <w:p w:rsidR="004A3F5C" w:rsidRPr="00D05748" w:rsidRDefault="004A3F5C" w:rsidP="00D721B2">
            <w:pPr>
              <w:rPr>
                <w:sz w:val="28"/>
                <w:szCs w:val="28"/>
              </w:rPr>
            </w:pPr>
            <w:r w:rsidRPr="00D05748">
              <w:rPr>
                <w:sz w:val="28"/>
                <w:szCs w:val="28"/>
              </w:rPr>
              <w:t>Administratīvo izmaksu monetārs novērtējums</w:t>
            </w:r>
          </w:p>
        </w:tc>
        <w:tc>
          <w:tcPr>
            <w:tcW w:w="5795" w:type="dxa"/>
          </w:tcPr>
          <w:p w:rsidR="00D05748" w:rsidRPr="00D05748" w:rsidRDefault="00123DE6" w:rsidP="005D352B">
            <w:pPr>
              <w:spacing w:after="120"/>
              <w:ind w:right="136"/>
              <w:jc w:val="both"/>
              <w:rPr>
                <w:bCs/>
                <w:sz w:val="28"/>
                <w:szCs w:val="28"/>
              </w:rPr>
            </w:pPr>
            <w:r>
              <w:rPr>
                <w:bCs/>
                <w:sz w:val="28"/>
                <w:szCs w:val="28"/>
              </w:rPr>
              <w:t>Līdzekļu pārvaldītājiem</w:t>
            </w:r>
            <w:r w:rsidR="00D05748" w:rsidRPr="00D05748">
              <w:rPr>
                <w:bCs/>
                <w:sz w:val="28"/>
                <w:szCs w:val="28"/>
              </w:rPr>
              <w:t xml:space="preserve"> veidosies papildus izdevumi, piemērojoties jaunajam maksājumu principam. Galvenās izmaksu grupas būs šādas:</w:t>
            </w:r>
          </w:p>
          <w:p w:rsidR="00D05748" w:rsidRPr="00D05748" w:rsidRDefault="00D05748" w:rsidP="005D352B">
            <w:pPr>
              <w:numPr>
                <w:ilvl w:val="0"/>
                <w:numId w:val="1"/>
              </w:numPr>
              <w:spacing w:after="120"/>
              <w:ind w:left="419" w:right="136" w:hanging="357"/>
              <w:jc w:val="both"/>
              <w:rPr>
                <w:bCs/>
                <w:sz w:val="28"/>
                <w:szCs w:val="28"/>
              </w:rPr>
            </w:pPr>
            <w:r w:rsidRPr="00D05748">
              <w:rPr>
                <w:bCs/>
                <w:sz w:val="28"/>
                <w:szCs w:val="28"/>
              </w:rPr>
              <w:t xml:space="preserve">juridiskie izdevumi, kas saistīti ar izmaiņu veikšanu ieguldījumu plānu prospektos un </w:t>
            </w:r>
            <w:r w:rsidRPr="00D05748">
              <w:rPr>
                <w:bCs/>
                <w:sz w:val="28"/>
                <w:szCs w:val="28"/>
              </w:rPr>
              <w:lastRenderedPageBreak/>
              <w:t>citos iekšējos un ārējos dokumentos;</w:t>
            </w:r>
          </w:p>
          <w:p w:rsidR="00D05748" w:rsidRPr="00D05748" w:rsidRDefault="00D05748" w:rsidP="005D352B">
            <w:pPr>
              <w:numPr>
                <w:ilvl w:val="0"/>
                <w:numId w:val="1"/>
              </w:numPr>
              <w:spacing w:after="120"/>
              <w:ind w:left="419" w:right="136" w:hanging="357"/>
              <w:jc w:val="both"/>
              <w:rPr>
                <w:bCs/>
                <w:sz w:val="28"/>
                <w:szCs w:val="28"/>
              </w:rPr>
            </w:pPr>
            <w:r w:rsidRPr="00D05748">
              <w:rPr>
                <w:bCs/>
                <w:sz w:val="28"/>
                <w:szCs w:val="28"/>
              </w:rPr>
              <w:t>jaunā algoritma ieviešanas izdevumi, kas saistīti ar algoritma izstrādi un ieviešanu daļas vērtības aprēķina sistēmās un iekšējos procesos.</w:t>
            </w:r>
          </w:p>
          <w:p w:rsidR="005D352B" w:rsidRDefault="005D352B" w:rsidP="005D352B">
            <w:pPr>
              <w:spacing w:after="120"/>
              <w:jc w:val="both"/>
              <w:rPr>
                <w:rFonts w:eastAsia="Calibri"/>
                <w:sz w:val="28"/>
                <w:szCs w:val="28"/>
              </w:rPr>
            </w:pPr>
            <w:r>
              <w:rPr>
                <w:rFonts w:eastAsia="Calibri"/>
                <w:sz w:val="28"/>
                <w:szCs w:val="28"/>
              </w:rPr>
              <w:t>Tiešie</w:t>
            </w:r>
            <w:r w:rsidR="00D05748" w:rsidRPr="00D05748">
              <w:rPr>
                <w:rFonts w:eastAsia="Calibri"/>
                <w:sz w:val="28"/>
                <w:szCs w:val="28"/>
              </w:rPr>
              <w:t xml:space="preserve"> izdevumi, kas radīs papildus finansiālos izdevumus </w:t>
            </w:r>
            <w:r w:rsidR="00123DE6">
              <w:rPr>
                <w:rFonts w:eastAsia="Calibri"/>
                <w:sz w:val="28"/>
                <w:szCs w:val="28"/>
              </w:rPr>
              <w:t>līdzekļu pārvaldītajiem</w:t>
            </w:r>
            <w:r w:rsidR="00D05748" w:rsidRPr="00D05748">
              <w:rPr>
                <w:rFonts w:eastAsia="Calibri"/>
                <w:sz w:val="28"/>
                <w:szCs w:val="28"/>
              </w:rPr>
              <w:t>, būs EUR 45 000 apmērā un, galvenokārt,</w:t>
            </w:r>
            <w:r w:rsidR="00123DE6">
              <w:rPr>
                <w:rFonts w:eastAsia="Calibri"/>
                <w:sz w:val="28"/>
                <w:szCs w:val="28"/>
              </w:rPr>
              <w:t xml:space="preserve"> ir</w:t>
            </w:r>
            <w:r w:rsidR="00D05748" w:rsidRPr="00D05748">
              <w:rPr>
                <w:rFonts w:eastAsia="Calibri"/>
                <w:sz w:val="28"/>
                <w:szCs w:val="28"/>
              </w:rPr>
              <w:t xml:space="preserve"> saistīti ar juridisko izmaiņu veikšanu </w:t>
            </w:r>
            <w:r>
              <w:rPr>
                <w:rFonts w:eastAsia="Calibri"/>
                <w:sz w:val="28"/>
                <w:szCs w:val="28"/>
              </w:rPr>
              <w:t xml:space="preserve">un </w:t>
            </w:r>
            <w:r w:rsidR="00D05748" w:rsidRPr="00D05748">
              <w:rPr>
                <w:rFonts w:eastAsia="Calibri"/>
                <w:sz w:val="28"/>
                <w:szCs w:val="28"/>
              </w:rPr>
              <w:t xml:space="preserve">IT </w:t>
            </w:r>
            <w:r>
              <w:rPr>
                <w:rFonts w:eastAsia="Calibri"/>
                <w:sz w:val="28"/>
                <w:szCs w:val="28"/>
              </w:rPr>
              <w:t>nodrošinājumu.</w:t>
            </w:r>
          </w:p>
          <w:p w:rsidR="00D05748" w:rsidRPr="0041326B" w:rsidRDefault="005D352B" w:rsidP="005D352B">
            <w:pPr>
              <w:spacing w:after="120"/>
              <w:jc w:val="both"/>
              <w:rPr>
                <w:rFonts w:eastAsia="Calibri"/>
                <w:sz w:val="28"/>
                <w:szCs w:val="28"/>
              </w:rPr>
            </w:pPr>
            <w:r>
              <w:rPr>
                <w:rFonts w:eastAsia="Calibri"/>
                <w:sz w:val="28"/>
                <w:szCs w:val="28"/>
              </w:rPr>
              <w:t>S</w:t>
            </w:r>
            <w:r w:rsidRPr="0041326B">
              <w:rPr>
                <w:rFonts w:eastAsia="Calibri"/>
                <w:sz w:val="28"/>
                <w:szCs w:val="28"/>
              </w:rPr>
              <w:t xml:space="preserve">avukārt </w:t>
            </w:r>
            <w:r>
              <w:rPr>
                <w:rFonts w:eastAsia="Calibri"/>
                <w:sz w:val="28"/>
                <w:szCs w:val="28"/>
              </w:rPr>
              <w:t>netiešie izdevumi</w:t>
            </w:r>
            <w:r w:rsidR="00D05748" w:rsidRPr="0041326B">
              <w:rPr>
                <w:rFonts w:eastAsia="Calibri"/>
                <w:sz w:val="28"/>
                <w:szCs w:val="28"/>
              </w:rPr>
              <w:t xml:space="preserve"> </w:t>
            </w:r>
            <w:r>
              <w:rPr>
                <w:rFonts w:eastAsia="Calibri"/>
                <w:sz w:val="28"/>
                <w:szCs w:val="28"/>
              </w:rPr>
              <w:t xml:space="preserve">būs </w:t>
            </w:r>
            <w:r w:rsidRPr="00D05748">
              <w:rPr>
                <w:rFonts w:eastAsia="Calibri"/>
                <w:sz w:val="28"/>
                <w:szCs w:val="28"/>
              </w:rPr>
              <w:t>EUR 200 000 apmērā</w:t>
            </w:r>
            <w:r>
              <w:rPr>
                <w:rFonts w:eastAsia="Calibri"/>
                <w:sz w:val="28"/>
                <w:szCs w:val="28"/>
              </w:rPr>
              <w:t xml:space="preserve"> un</w:t>
            </w:r>
            <w:r w:rsidRPr="0041326B">
              <w:rPr>
                <w:rFonts w:eastAsia="Calibri"/>
                <w:sz w:val="28"/>
                <w:szCs w:val="28"/>
              </w:rPr>
              <w:t xml:space="preserve"> </w:t>
            </w:r>
            <w:r w:rsidR="00D05748" w:rsidRPr="0041326B">
              <w:rPr>
                <w:rFonts w:eastAsia="Calibri"/>
                <w:sz w:val="28"/>
                <w:szCs w:val="28"/>
              </w:rPr>
              <w:t xml:space="preserve">ir saistīti ar </w:t>
            </w:r>
            <w:r>
              <w:rPr>
                <w:rFonts w:eastAsia="Calibri"/>
                <w:sz w:val="28"/>
                <w:szCs w:val="28"/>
              </w:rPr>
              <w:t>līdzekļu pārvaldītāju</w:t>
            </w:r>
            <w:r w:rsidR="00D05748" w:rsidRPr="0041326B">
              <w:rPr>
                <w:rFonts w:eastAsia="Calibri"/>
                <w:sz w:val="28"/>
                <w:szCs w:val="28"/>
              </w:rPr>
              <w:t xml:space="preserve"> darbinieku patērēto laiku </w:t>
            </w:r>
            <w:r w:rsidR="00D05748" w:rsidRPr="0041326B">
              <w:rPr>
                <w:rFonts w:eastAsia="Calibri"/>
                <w:sz w:val="28"/>
                <w:szCs w:val="28"/>
                <w:lang w:eastAsia="en-US"/>
              </w:rPr>
              <w:t>maksājuma mainīgās daļas un maksājuma pastāvīgās daļas</w:t>
            </w:r>
            <w:r w:rsidR="00D05748" w:rsidRPr="0041326B">
              <w:rPr>
                <w:rFonts w:eastAsia="Calibri"/>
                <w:sz w:val="28"/>
                <w:szCs w:val="28"/>
              </w:rPr>
              <w:t xml:space="preserve"> ieviešanā</w:t>
            </w:r>
            <w:r>
              <w:rPr>
                <w:rFonts w:eastAsia="Calibri"/>
                <w:sz w:val="28"/>
                <w:szCs w:val="28"/>
              </w:rPr>
              <w:t xml:space="preserve"> (</w:t>
            </w:r>
            <w:r w:rsidR="0041326B" w:rsidRPr="0041326B">
              <w:rPr>
                <w:rFonts w:eastAsiaTheme="minorHAnsi"/>
                <w:color w:val="000000"/>
                <w:sz w:val="28"/>
                <w:szCs w:val="28"/>
                <w:lang w:eastAsia="en-US"/>
              </w:rPr>
              <w:t>reizinot sagaidāmo patērējamo darba stundu skaitu ar vidējo stundas likmi</w:t>
            </w:r>
            <w:r>
              <w:rPr>
                <w:rFonts w:eastAsiaTheme="minorHAnsi"/>
                <w:color w:val="000000"/>
                <w:sz w:val="28"/>
                <w:szCs w:val="28"/>
                <w:lang w:eastAsia="en-US"/>
              </w:rPr>
              <w:t>)</w:t>
            </w:r>
            <w:r w:rsidR="0041326B" w:rsidRPr="0041326B">
              <w:rPr>
                <w:rFonts w:eastAsiaTheme="minorHAnsi"/>
                <w:color w:val="000000"/>
                <w:sz w:val="28"/>
                <w:szCs w:val="28"/>
                <w:lang w:eastAsia="en-US"/>
              </w:rPr>
              <w:t>.</w:t>
            </w:r>
            <w:r w:rsidR="0041326B">
              <w:rPr>
                <w:rFonts w:eastAsia="Calibri"/>
                <w:sz w:val="28"/>
                <w:szCs w:val="28"/>
              </w:rPr>
              <w:t xml:space="preserve"> Aprēķins veikts, balstoties uz </w:t>
            </w:r>
            <w:r>
              <w:rPr>
                <w:rFonts w:eastAsia="Calibri"/>
                <w:sz w:val="28"/>
                <w:szCs w:val="28"/>
              </w:rPr>
              <w:t>līdzekļu pārvaldītāju</w:t>
            </w:r>
            <w:r w:rsidR="0041326B">
              <w:rPr>
                <w:rFonts w:eastAsia="Calibri"/>
                <w:sz w:val="28"/>
                <w:szCs w:val="28"/>
              </w:rPr>
              <w:t xml:space="preserve"> iekšējās aptaujas rezultātiem</w:t>
            </w:r>
            <w:r w:rsidR="00EC1E83">
              <w:rPr>
                <w:rFonts w:eastAsia="Calibri"/>
                <w:sz w:val="28"/>
                <w:szCs w:val="28"/>
              </w:rPr>
              <w:t>.</w:t>
            </w:r>
          </w:p>
        </w:tc>
      </w:tr>
      <w:tr w:rsidR="004A3F5C" w:rsidRPr="00D05748" w:rsidTr="004A3F5C">
        <w:tc>
          <w:tcPr>
            <w:tcW w:w="426" w:type="dxa"/>
          </w:tcPr>
          <w:p w:rsidR="004A3F5C" w:rsidRPr="00D05748" w:rsidRDefault="004A3F5C" w:rsidP="00D721B2">
            <w:pPr>
              <w:rPr>
                <w:sz w:val="28"/>
                <w:szCs w:val="28"/>
              </w:rPr>
            </w:pPr>
            <w:r w:rsidRPr="00D05748">
              <w:rPr>
                <w:sz w:val="28"/>
                <w:szCs w:val="28"/>
              </w:rPr>
              <w:lastRenderedPageBreak/>
              <w:t xml:space="preserve">4. </w:t>
            </w:r>
          </w:p>
        </w:tc>
        <w:tc>
          <w:tcPr>
            <w:tcW w:w="3066" w:type="dxa"/>
          </w:tcPr>
          <w:p w:rsidR="004A3F5C" w:rsidRPr="00D05748" w:rsidRDefault="004A3F5C" w:rsidP="00D721B2">
            <w:pPr>
              <w:rPr>
                <w:sz w:val="28"/>
                <w:szCs w:val="28"/>
              </w:rPr>
            </w:pPr>
            <w:r w:rsidRPr="00D05748">
              <w:rPr>
                <w:sz w:val="28"/>
                <w:szCs w:val="28"/>
              </w:rPr>
              <w:t>Cita informācija</w:t>
            </w:r>
          </w:p>
        </w:tc>
        <w:tc>
          <w:tcPr>
            <w:tcW w:w="5795" w:type="dxa"/>
          </w:tcPr>
          <w:p w:rsidR="004A3F5C" w:rsidRPr="00D05748" w:rsidRDefault="004A3F5C" w:rsidP="00D721B2">
            <w:pPr>
              <w:jc w:val="both"/>
              <w:rPr>
                <w:sz w:val="28"/>
                <w:szCs w:val="28"/>
              </w:rPr>
            </w:pPr>
            <w:r w:rsidRPr="00D05748">
              <w:rPr>
                <w:sz w:val="28"/>
                <w:szCs w:val="28"/>
              </w:rPr>
              <w:t>Nav.</w:t>
            </w:r>
          </w:p>
        </w:tc>
      </w:tr>
    </w:tbl>
    <w:p w:rsidR="004A3F5C" w:rsidRPr="00D05748" w:rsidRDefault="004A3F5C" w:rsidP="004A3F5C">
      <w:pPr>
        <w:jc w:val="center"/>
        <w:rPr>
          <w:i/>
          <w:sz w:val="28"/>
          <w:szCs w:val="28"/>
        </w:rPr>
      </w:pPr>
    </w:p>
    <w:p w:rsidR="004A3F5C" w:rsidRPr="00D05748" w:rsidRDefault="004A3F5C" w:rsidP="004A3F5C">
      <w:pPr>
        <w:jc w:val="center"/>
        <w:rPr>
          <w:i/>
          <w:sz w:val="28"/>
          <w:szCs w:val="28"/>
        </w:rPr>
      </w:pPr>
      <w:r w:rsidRPr="00D05748">
        <w:rPr>
          <w:i/>
          <w:sz w:val="28"/>
          <w:szCs w:val="28"/>
        </w:rPr>
        <w:t>Anotācijas III, IV un V sadaļa - projekts šīs jomas neskar.</w:t>
      </w:r>
    </w:p>
    <w:p w:rsidR="004A3F5C" w:rsidRPr="00D05748" w:rsidRDefault="004A3F5C" w:rsidP="004A3F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066"/>
        <w:gridCol w:w="5795"/>
      </w:tblGrid>
      <w:tr w:rsidR="004A3F5C" w:rsidRPr="00D05748" w:rsidTr="00D721B2">
        <w:tc>
          <w:tcPr>
            <w:tcW w:w="9287" w:type="dxa"/>
            <w:gridSpan w:val="3"/>
          </w:tcPr>
          <w:p w:rsidR="004A3F5C" w:rsidRPr="00D05748" w:rsidRDefault="004A3F5C" w:rsidP="00D721B2">
            <w:pPr>
              <w:jc w:val="center"/>
              <w:rPr>
                <w:b/>
                <w:sz w:val="28"/>
                <w:szCs w:val="28"/>
              </w:rPr>
            </w:pPr>
            <w:r w:rsidRPr="00D05748">
              <w:rPr>
                <w:b/>
                <w:sz w:val="28"/>
                <w:szCs w:val="28"/>
              </w:rPr>
              <w:t>VI. Sabiedrības līdzdalība un komunikācijas aktivitātes</w:t>
            </w:r>
          </w:p>
        </w:tc>
      </w:tr>
      <w:tr w:rsidR="004A3F5C" w:rsidRPr="00D05748" w:rsidTr="00D721B2">
        <w:tc>
          <w:tcPr>
            <w:tcW w:w="396" w:type="dxa"/>
          </w:tcPr>
          <w:p w:rsidR="004A3F5C" w:rsidRPr="00D05748" w:rsidRDefault="004A3F5C" w:rsidP="00D721B2">
            <w:pPr>
              <w:rPr>
                <w:sz w:val="28"/>
                <w:szCs w:val="28"/>
              </w:rPr>
            </w:pPr>
            <w:r w:rsidRPr="00D05748">
              <w:rPr>
                <w:sz w:val="28"/>
                <w:szCs w:val="28"/>
              </w:rPr>
              <w:t xml:space="preserve">1. </w:t>
            </w:r>
          </w:p>
        </w:tc>
        <w:tc>
          <w:tcPr>
            <w:tcW w:w="3072" w:type="dxa"/>
          </w:tcPr>
          <w:p w:rsidR="004A3F5C" w:rsidRPr="00D05748" w:rsidRDefault="004A3F5C" w:rsidP="00D721B2">
            <w:pPr>
              <w:pStyle w:val="naiskr"/>
              <w:spacing w:before="0" w:after="0"/>
              <w:ind w:left="57" w:right="57"/>
              <w:rPr>
                <w:sz w:val="28"/>
                <w:szCs w:val="28"/>
              </w:rPr>
            </w:pPr>
            <w:r w:rsidRPr="00D05748">
              <w:rPr>
                <w:sz w:val="28"/>
                <w:szCs w:val="28"/>
              </w:rPr>
              <w:t>Plānotās sabiedrības līdzdalības un komunikācijas aktivitātes saistībā ar projektu</w:t>
            </w:r>
          </w:p>
        </w:tc>
        <w:tc>
          <w:tcPr>
            <w:tcW w:w="5819" w:type="dxa"/>
          </w:tcPr>
          <w:p w:rsidR="00770077" w:rsidRPr="00EC1E83" w:rsidRDefault="00145AF1" w:rsidP="001E5D44">
            <w:pPr>
              <w:jc w:val="both"/>
              <w:rPr>
                <w:sz w:val="28"/>
                <w:szCs w:val="28"/>
              </w:rPr>
            </w:pPr>
            <w:r w:rsidRPr="00EC1E83">
              <w:rPr>
                <w:sz w:val="28"/>
                <w:szCs w:val="28"/>
              </w:rPr>
              <w:t>S</w:t>
            </w:r>
            <w:r w:rsidR="001E5D44" w:rsidRPr="00EC1E83">
              <w:rPr>
                <w:sz w:val="28"/>
                <w:szCs w:val="28"/>
              </w:rPr>
              <w:t xml:space="preserve">abiedrības informēšanas pasākumi netika īstenoti, jo noteikumu projekts maina nosacījumus attiecībā uz līdzekļu pārvaldītāju rīcību, bet neattiecas uz ieguldījumu plānu dalībniekiem. </w:t>
            </w:r>
          </w:p>
          <w:p w:rsidR="001E5D44" w:rsidRPr="00EC1E83" w:rsidRDefault="00332ABA" w:rsidP="0041326B">
            <w:pPr>
              <w:jc w:val="both"/>
              <w:rPr>
                <w:i/>
                <w:sz w:val="28"/>
                <w:szCs w:val="28"/>
              </w:rPr>
            </w:pPr>
            <w:r w:rsidRPr="00EC1E83">
              <w:rPr>
                <w:sz w:val="28"/>
                <w:szCs w:val="28"/>
              </w:rPr>
              <w:t>L</w:t>
            </w:r>
            <w:r w:rsidR="001E5D44" w:rsidRPr="00EC1E83">
              <w:rPr>
                <w:sz w:val="28"/>
                <w:szCs w:val="28"/>
              </w:rPr>
              <w:t>īdzekļu pārvaldītāju viedoklis par noteikumu projekta nosacījumiem</w:t>
            </w:r>
            <w:r w:rsidR="0041326B" w:rsidRPr="00EC1E83">
              <w:rPr>
                <w:sz w:val="28"/>
                <w:szCs w:val="28"/>
              </w:rPr>
              <w:t xml:space="preserve"> tik</w:t>
            </w:r>
            <w:r w:rsidR="005D352B">
              <w:rPr>
                <w:sz w:val="28"/>
                <w:szCs w:val="28"/>
              </w:rPr>
              <w:t>a ņemts vērā</w:t>
            </w:r>
            <w:r w:rsidR="0041326B" w:rsidRPr="00EC1E83">
              <w:rPr>
                <w:sz w:val="28"/>
                <w:szCs w:val="28"/>
              </w:rPr>
              <w:t xml:space="preserve"> noteikumu projekta izstrādes laikā, konsultējoties un saskaņojot nosacījumus par maksājumu aprēķina, uzskaites un ieturēšanas kārtību.</w:t>
            </w:r>
          </w:p>
        </w:tc>
      </w:tr>
      <w:tr w:rsidR="004A3F5C" w:rsidRPr="00D05748" w:rsidTr="00D721B2">
        <w:tc>
          <w:tcPr>
            <w:tcW w:w="396" w:type="dxa"/>
          </w:tcPr>
          <w:p w:rsidR="004A3F5C" w:rsidRPr="00D05748" w:rsidRDefault="004A3F5C" w:rsidP="00D721B2">
            <w:pPr>
              <w:rPr>
                <w:sz w:val="28"/>
                <w:szCs w:val="28"/>
              </w:rPr>
            </w:pPr>
            <w:r w:rsidRPr="00D05748">
              <w:rPr>
                <w:sz w:val="28"/>
                <w:szCs w:val="28"/>
              </w:rPr>
              <w:t xml:space="preserve">2. </w:t>
            </w:r>
          </w:p>
        </w:tc>
        <w:tc>
          <w:tcPr>
            <w:tcW w:w="3072" w:type="dxa"/>
          </w:tcPr>
          <w:p w:rsidR="004A3F5C" w:rsidRPr="00D05748" w:rsidRDefault="004A3F5C" w:rsidP="00D721B2">
            <w:pPr>
              <w:pStyle w:val="naiskr"/>
              <w:spacing w:before="0" w:after="0"/>
              <w:ind w:left="57" w:right="57"/>
              <w:rPr>
                <w:sz w:val="28"/>
                <w:szCs w:val="28"/>
              </w:rPr>
            </w:pPr>
            <w:r w:rsidRPr="00D05748">
              <w:rPr>
                <w:sz w:val="28"/>
                <w:szCs w:val="28"/>
              </w:rPr>
              <w:t xml:space="preserve">Sabiedrības līdzdalība projekta izstrādē </w:t>
            </w:r>
          </w:p>
        </w:tc>
        <w:tc>
          <w:tcPr>
            <w:tcW w:w="5819" w:type="dxa"/>
          </w:tcPr>
          <w:p w:rsidR="004A3F5C" w:rsidRPr="00D05748" w:rsidRDefault="004A3F5C" w:rsidP="00D721B2">
            <w:pPr>
              <w:jc w:val="both"/>
              <w:rPr>
                <w:i/>
                <w:color w:val="FF0000"/>
                <w:sz w:val="28"/>
                <w:szCs w:val="28"/>
              </w:rPr>
            </w:pPr>
            <w:r w:rsidRPr="00D05748">
              <w:rPr>
                <w:rFonts w:eastAsia="Calibri"/>
                <w:sz w:val="28"/>
                <w:szCs w:val="28"/>
                <w:lang w:eastAsia="en-US"/>
              </w:rPr>
              <w:t>Projekts šo jomu neskar.</w:t>
            </w:r>
          </w:p>
        </w:tc>
      </w:tr>
      <w:tr w:rsidR="004A3F5C" w:rsidRPr="00D05748" w:rsidTr="00D721B2">
        <w:tc>
          <w:tcPr>
            <w:tcW w:w="396" w:type="dxa"/>
          </w:tcPr>
          <w:p w:rsidR="004A3F5C" w:rsidRPr="00D05748" w:rsidRDefault="004A3F5C" w:rsidP="00D721B2">
            <w:pPr>
              <w:rPr>
                <w:sz w:val="28"/>
                <w:szCs w:val="28"/>
              </w:rPr>
            </w:pPr>
            <w:r w:rsidRPr="00D05748">
              <w:rPr>
                <w:sz w:val="28"/>
                <w:szCs w:val="28"/>
              </w:rPr>
              <w:t>3.</w:t>
            </w:r>
          </w:p>
        </w:tc>
        <w:tc>
          <w:tcPr>
            <w:tcW w:w="3072" w:type="dxa"/>
          </w:tcPr>
          <w:p w:rsidR="004A3F5C" w:rsidRPr="00D05748" w:rsidRDefault="004A3F5C" w:rsidP="00D721B2">
            <w:pPr>
              <w:pStyle w:val="naiskr"/>
              <w:spacing w:before="0" w:after="0"/>
              <w:ind w:left="57" w:right="57"/>
              <w:rPr>
                <w:sz w:val="28"/>
                <w:szCs w:val="28"/>
              </w:rPr>
            </w:pPr>
            <w:r w:rsidRPr="00D05748">
              <w:rPr>
                <w:sz w:val="28"/>
                <w:szCs w:val="28"/>
              </w:rPr>
              <w:t xml:space="preserve">Sabiedrības līdzdalības rezultāti </w:t>
            </w:r>
          </w:p>
        </w:tc>
        <w:tc>
          <w:tcPr>
            <w:tcW w:w="5819" w:type="dxa"/>
          </w:tcPr>
          <w:p w:rsidR="00D05748" w:rsidRPr="00D05748" w:rsidRDefault="00332ABA" w:rsidP="004C72FD">
            <w:pPr>
              <w:jc w:val="both"/>
              <w:rPr>
                <w:sz w:val="28"/>
                <w:szCs w:val="28"/>
              </w:rPr>
            </w:pPr>
            <w:r w:rsidRPr="00D05748">
              <w:rPr>
                <w:rFonts w:eastAsia="Calibri"/>
                <w:sz w:val="28"/>
                <w:szCs w:val="28"/>
                <w:lang w:eastAsia="en-US"/>
              </w:rPr>
              <w:t>Projekts šo jomu neskar.</w:t>
            </w:r>
          </w:p>
        </w:tc>
      </w:tr>
      <w:tr w:rsidR="004A3F5C" w:rsidRPr="00D05748" w:rsidTr="00D721B2">
        <w:tc>
          <w:tcPr>
            <w:tcW w:w="396" w:type="dxa"/>
          </w:tcPr>
          <w:p w:rsidR="004A3F5C" w:rsidRPr="00D05748" w:rsidRDefault="004A3F5C" w:rsidP="00D721B2">
            <w:pPr>
              <w:rPr>
                <w:sz w:val="28"/>
                <w:szCs w:val="28"/>
              </w:rPr>
            </w:pPr>
            <w:r w:rsidRPr="00D05748">
              <w:rPr>
                <w:sz w:val="28"/>
                <w:szCs w:val="28"/>
              </w:rPr>
              <w:t>4.</w:t>
            </w:r>
          </w:p>
        </w:tc>
        <w:tc>
          <w:tcPr>
            <w:tcW w:w="3072" w:type="dxa"/>
          </w:tcPr>
          <w:p w:rsidR="004A3F5C" w:rsidRPr="00D05748" w:rsidRDefault="004A3F5C" w:rsidP="00D721B2">
            <w:pPr>
              <w:pStyle w:val="naiskr"/>
              <w:spacing w:before="0" w:after="0"/>
              <w:ind w:left="57" w:right="57"/>
              <w:rPr>
                <w:sz w:val="28"/>
                <w:szCs w:val="28"/>
              </w:rPr>
            </w:pPr>
            <w:r w:rsidRPr="00D05748">
              <w:rPr>
                <w:sz w:val="28"/>
                <w:szCs w:val="28"/>
              </w:rPr>
              <w:t>Cita informācija</w:t>
            </w:r>
          </w:p>
        </w:tc>
        <w:tc>
          <w:tcPr>
            <w:tcW w:w="5819" w:type="dxa"/>
          </w:tcPr>
          <w:p w:rsidR="004A3F5C" w:rsidRPr="00D05748" w:rsidRDefault="004A3F5C" w:rsidP="00D721B2">
            <w:pPr>
              <w:jc w:val="both"/>
              <w:rPr>
                <w:sz w:val="28"/>
                <w:szCs w:val="28"/>
              </w:rPr>
            </w:pPr>
            <w:r w:rsidRPr="00D05748">
              <w:rPr>
                <w:sz w:val="28"/>
                <w:szCs w:val="28"/>
              </w:rPr>
              <w:t>Nav.</w:t>
            </w:r>
          </w:p>
        </w:tc>
      </w:tr>
    </w:tbl>
    <w:p w:rsidR="004A3F5C" w:rsidRPr="00D05748" w:rsidRDefault="004A3F5C" w:rsidP="004A3F5C">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066"/>
        <w:gridCol w:w="5795"/>
      </w:tblGrid>
      <w:tr w:rsidR="004A3F5C" w:rsidRPr="00D05748" w:rsidTr="00D721B2">
        <w:tc>
          <w:tcPr>
            <w:tcW w:w="9287" w:type="dxa"/>
            <w:gridSpan w:val="3"/>
          </w:tcPr>
          <w:p w:rsidR="004A3F5C" w:rsidRPr="00D05748" w:rsidRDefault="004A3F5C" w:rsidP="00D721B2">
            <w:pPr>
              <w:jc w:val="center"/>
              <w:rPr>
                <w:b/>
                <w:sz w:val="28"/>
                <w:szCs w:val="28"/>
              </w:rPr>
            </w:pPr>
            <w:r w:rsidRPr="00D05748">
              <w:rPr>
                <w:b/>
                <w:sz w:val="28"/>
                <w:szCs w:val="28"/>
              </w:rPr>
              <w:t>VII. Tiesību akta projekta izpildes nodrošināšana un tās ietekme uz institūcijām</w:t>
            </w:r>
          </w:p>
        </w:tc>
      </w:tr>
      <w:tr w:rsidR="004A3F5C" w:rsidRPr="00D05748" w:rsidTr="00D721B2">
        <w:tc>
          <w:tcPr>
            <w:tcW w:w="396" w:type="dxa"/>
          </w:tcPr>
          <w:p w:rsidR="004A3F5C" w:rsidRPr="00D05748" w:rsidRDefault="004A3F5C" w:rsidP="00D721B2">
            <w:pPr>
              <w:rPr>
                <w:sz w:val="28"/>
                <w:szCs w:val="28"/>
              </w:rPr>
            </w:pPr>
            <w:r w:rsidRPr="00D05748">
              <w:rPr>
                <w:sz w:val="28"/>
                <w:szCs w:val="28"/>
              </w:rPr>
              <w:t xml:space="preserve">1. </w:t>
            </w:r>
          </w:p>
        </w:tc>
        <w:tc>
          <w:tcPr>
            <w:tcW w:w="3072" w:type="dxa"/>
          </w:tcPr>
          <w:p w:rsidR="004A3F5C" w:rsidRPr="00D05748" w:rsidRDefault="004A3F5C" w:rsidP="00D721B2">
            <w:pPr>
              <w:rPr>
                <w:sz w:val="28"/>
                <w:szCs w:val="28"/>
              </w:rPr>
            </w:pPr>
            <w:r w:rsidRPr="00D05748">
              <w:rPr>
                <w:sz w:val="28"/>
                <w:szCs w:val="28"/>
              </w:rPr>
              <w:t xml:space="preserve">Projekta izpildē </w:t>
            </w:r>
            <w:r w:rsidRPr="00D05748">
              <w:rPr>
                <w:sz w:val="28"/>
                <w:szCs w:val="28"/>
              </w:rPr>
              <w:lastRenderedPageBreak/>
              <w:t>iesaistītās institūcijas</w:t>
            </w:r>
          </w:p>
        </w:tc>
        <w:tc>
          <w:tcPr>
            <w:tcW w:w="5819" w:type="dxa"/>
          </w:tcPr>
          <w:p w:rsidR="004A3F5C" w:rsidRPr="00D05748" w:rsidRDefault="004A3F5C" w:rsidP="00D721B2">
            <w:pPr>
              <w:jc w:val="both"/>
              <w:rPr>
                <w:color w:val="FF0000"/>
                <w:sz w:val="28"/>
                <w:szCs w:val="28"/>
              </w:rPr>
            </w:pPr>
            <w:r w:rsidRPr="00D05748">
              <w:rPr>
                <w:iCs/>
                <w:sz w:val="28"/>
                <w:szCs w:val="28"/>
              </w:rPr>
              <w:lastRenderedPageBreak/>
              <w:t xml:space="preserve">MK noteikumu projekta izpildi nodrošinās valsts </w:t>
            </w:r>
            <w:r w:rsidRPr="00D05748">
              <w:rPr>
                <w:iCs/>
                <w:sz w:val="28"/>
                <w:szCs w:val="28"/>
              </w:rPr>
              <w:lastRenderedPageBreak/>
              <w:t>fondēto pensiju shēmas līdzekļu pārvaldītāji.</w:t>
            </w:r>
          </w:p>
        </w:tc>
      </w:tr>
      <w:tr w:rsidR="004A3F5C" w:rsidRPr="00D05748" w:rsidTr="00D721B2">
        <w:tc>
          <w:tcPr>
            <w:tcW w:w="396" w:type="dxa"/>
          </w:tcPr>
          <w:p w:rsidR="004A3F5C" w:rsidRPr="00D05748" w:rsidRDefault="004A3F5C" w:rsidP="00D721B2">
            <w:pPr>
              <w:rPr>
                <w:sz w:val="28"/>
                <w:szCs w:val="28"/>
              </w:rPr>
            </w:pPr>
            <w:r w:rsidRPr="00D05748">
              <w:rPr>
                <w:sz w:val="28"/>
                <w:szCs w:val="28"/>
              </w:rPr>
              <w:lastRenderedPageBreak/>
              <w:t xml:space="preserve">2. </w:t>
            </w:r>
          </w:p>
        </w:tc>
        <w:tc>
          <w:tcPr>
            <w:tcW w:w="3072" w:type="dxa"/>
          </w:tcPr>
          <w:p w:rsidR="004A3F5C" w:rsidRPr="00D05748" w:rsidRDefault="004A3F5C" w:rsidP="00D721B2">
            <w:pPr>
              <w:rPr>
                <w:sz w:val="28"/>
                <w:szCs w:val="28"/>
              </w:rPr>
            </w:pPr>
            <w:r w:rsidRPr="00D05748">
              <w:rPr>
                <w:sz w:val="28"/>
                <w:szCs w:val="28"/>
              </w:rPr>
              <w:t>Projekta izpildes ietekme uz pār</w:t>
            </w:r>
            <w:r w:rsidRPr="00D05748">
              <w:rPr>
                <w:sz w:val="28"/>
                <w:szCs w:val="28"/>
              </w:rPr>
              <w:softHyphen/>
              <w:t>valdes funkcijām un institucionālo struktūru.</w:t>
            </w:r>
          </w:p>
          <w:p w:rsidR="004A3F5C" w:rsidRPr="00D05748" w:rsidRDefault="004A3F5C" w:rsidP="00D721B2">
            <w:pPr>
              <w:rPr>
                <w:sz w:val="28"/>
                <w:szCs w:val="28"/>
              </w:rPr>
            </w:pPr>
            <w:r w:rsidRPr="00D05748">
              <w:rPr>
                <w:sz w:val="28"/>
                <w:szCs w:val="28"/>
              </w:rPr>
              <w:t>Jaunu institūciju izveide, esošu institūciju likvidācija vai reorga</w:t>
            </w:r>
            <w:r w:rsidRPr="00D05748">
              <w:rPr>
                <w:sz w:val="28"/>
                <w:szCs w:val="28"/>
              </w:rPr>
              <w:softHyphen/>
              <w:t>nizācija, to ietekme uz institūcijas cilvēkresursiem</w:t>
            </w:r>
          </w:p>
        </w:tc>
        <w:tc>
          <w:tcPr>
            <w:tcW w:w="5819" w:type="dxa"/>
          </w:tcPr>
          <w:p w:rsidR="004A3F5C" w:rsidRPr="00D05748" w:rsidRDefault="004A3F5C" w:rsidP="00D721B2">
            <w:pPr>
              <w:jc w:val="both"/>
              <w:rPr>
                <w:color w:val="FF0000"/>
                <w:sz w:val="28"/>
                <w:szCs w:val="28"/>
              </w:rPr>
            </w:pPr>
            <w:r w:rsidRPr="00D05748">
              <w:rPr>
                <w:sz w:val="28"/>
                <w:szCs w:val="28"/>
              </w:rPr>
              <w:t>Projekta izpilde neietekmēs pārvaldes funkcijas vai institucionālo struktūru.</w:t>
            </w:r>
          </w:p>
        </w:tc>
      </w:tr>
      <w:tr w:rsidR="004A3F5C" w:rsidRPr="00D05748" w:rsidTr="00D721B2">
        <w:tc>
          <w:tcPr>
            <w:tcW w:w="396" w:type="dxa"/>
          </w:tcPr>
          <w:p w:rsidR="004A3F5C" w:rsidRPr="00D05748" w:rsidRDefault="004A3F5C" w:rsidP="00D721B2">
            <w:pPr>
              <w:rPr>
                <w:sz w:val="28"/>
                <w:szCs w:val="28"/>
              </w:rPr>
            </w:pPr>
            <w:r w:rsidRPr="00D05748">
              <w:rPr>
                <w:sz w:val="28"/>
                <w:szCs w:val="28"/>
              </w:rPr>
              <w:t xml:space="preserve">3. </w:t>
            </w:r>
          </w:p>
        </w:tc>
        <w:tc>
          <w:tcPr>
            <w:tcW w:w="3072" w:type="dxa"/>
          </w:tcPr>
          <w:p w:rsidR="004A3F5C" w:rsidRPr="00D05748" w:rsidRDefault="004A3F5C" w:rsidP="00D721B2">
            <w:pPr>
              <w:rPr>
                <w:sz w:val="28"/>
                <w:szCs w:val="28"/>
              </w:rPr>
            </w:pPr>
            <w:r w:rsidRPr="00D05748">
              <w:rPr>
                <w:sz w:val="28"/>
                <w:szCs w:val="28"/>
              </w:rPr>
              <w:t>Cita informācija</w:t>
            </w:r>
          </w:p>
        </w:tc>
        <w:tc>
          <w:tcPr>
            <w:tcW w:w="5819" w:type="dxa"/>
          </w:tcPr>
          <w:p w:rsidR="004A3F5C" w:rsidRPr="00D05748" w:rsidRDefault="004A3F5C" w:rsidP="00D721B2">
            <w:pPr>
              <w:jc w:val="both"/>
              <w:rPr>
                <w:color w:val="FF0000"/>
                <w:sz w:val="28"/>
                <w:szCs w:val="28"/>
              </w:rPr>
            </w:pPr>
            <w:r w:rsidRPr="00D05748">
              <w:rPr>
                <w:sz w:val="28"/>
                <w:szCs w:val="28"/>
              </w:rPr>
              <w:t>Nav.</w:t>
            </w:r>
          </w:p>
        </w:tc>
      </w:tr>
    </w:tbl>
    <w:p w:rsidR="004A3F5C" w:rsidRPr="00D05748" w:rsidRDefault="004A3F5C" w:rsidP="004A3F5C">
      <w:pPr>
        <w:jc w:val="center"/>
        <w:rPr>
          <w:sz w:val="28"/>
          <w:szCs w:val="28"/>
        </w:rPr>
      </w:pPr>
    </w:p>
    <w:p w:rsidR="004A3F5C" w:rsidRPr="00D05748" w:rsidRDefault="004A3F5C" w:rsidP="004A3F5C">
      <w:pPr>
        <w:rPr>
          <w:sz w:val="28"/>
          <w:szCs w:val="28"/>
        </w:rPr>
      </w:pPr>
    </w:p>
    <w:p w:rsidR="004A3F5C" w:rsidRPr="00D05748" w:rsidRDefault="004A3F5C" w:rsidP="004A3F5C">
      <w:pPr>
        <w:rPr>
          <w:sz w:val="28"/>
          <w:szCs w:val="28"/>
        </w:rPr>
      </w:pPr>
      <w:r w:rsidRPr="00D05748">
        <w:rPr>
          <w:sz w:val="28"/>
          <w:szCs w:val="28"/>
        </w:rPr>
        <w:t xml:space="preserve">     Labklājības ministrs</w:t>
      </w:r>
      <w:r w:rsidRPr="00D05748">
        <w:rPr>
          <w:sz w:val="28"/>
          <w:szCs w:val="28"/>
        </w:rPr>
        <w:tab/>
      </w:r>
      <w:r w:rsidRPr="00D05748">
        <w:rPr>
          <w:sz w:val="28"/>
          <w:szCs w:val="28"/>
        </w:rPr>
        <w:tab/>
      </w:r>
      <w:r w:rsidRPr="00D05748">
        <w:rPr>
          <w:sz w:val="28"/>
          <w:szCs w:val="28"/>
        </w:rPr>
        <w:tab/>
      </w:r>
      <w:r w:rsidRPr="00D05748">
        <w:rPr>
          <w:sz w:val="28"/>
          <w:szCs w:val="28"/>
        </w:rPr>
        <w:tab/>
        <w:t xml:space="preserve">       </w:t>
      </w:r>
      <w:r w:rsidRPr="00D05748">
        <w:rPr>
          <w:sz w:val="28"/>
          <w:szCs w:val="28"/>
        </w:rPr>
        <w:tab/>
      </w:r>
      <w:r w:rsidRPr="00D05748">
        <w:rPr>
          <w:sz w:val="28"/>
          <w:szCs w:val="28"/>
        </w:rPr>
        <w:tab/>
        <w:t xml:space="preserve">        U.Augulis</w:t>
      </w:r>
    </w:p>
    <w:p w:rsidR="004A3F5C" w:rsidRDefault="004A3F5C" w:rsidP="004A3F5C">
      <w:pPr>
        <w:pStyle w:val="Footer"/>
        <w:tabs>
          <w:tab w:val="clear" w:pos="4153"/>
          <w:tab w:val="clear" w:pos="8306"/>
        </w:tabs>
        <w:rPr>
          <w:sz w:val="28"/>
          <w:szCs w:val="28"/>
        </w:rPr>
      </w:pPr>
    </w:p>
    <w:p w:rsidR="00BD6184" w:rsidRPr="00D05748" w:rsidRDefault="00BD6184" w:rsidP="004A3F5C">
      <w:pPr>
        <w:pStyle w:val="Footer"/>
        <w:tabs>
          <w:tab w:val="clear" w:pos="4153"/>
          <w:tab w:val="clear" w:pos="8306"/>
        </w:tabs>
        <w:rPr>
          <w:sz w:val="28"/>
          <w:szCs w:val="28"/>
        </w:rPr>
      </w:pPr>
    </w:p>
    <w:p w:rsidR="005D352B" w:rsidRDefault="005D352B" w:rsidP="004A3F5C">
      <w:pPr>
        <w:pStyle w:val="Footer"/>
        <w:tabs>
          <w:tab w:val="clear" w:pos="4153"/>
          <w:tab w:val="clear" w:pos="8306"/>
        </w:tabs>
      </w:pPr>
      <w:r>
        <w:t>10.09.2014 10:45</w:t>
      </w:r>
    </w:p>
    <w:p w:rsidR="004A3F5C" w:rsidRPr="00D05748" w:rsidRDefault="00BD6184" w:rsidP="004A3F5C">
      <w:pPr>
        <w:pStyle w:val="Footer"/>
        <w:tabs>
          <w:tab w:val="clear" w:pos="4153"/>
          <w:tab w:val="clear" w:pos="8306"/>
        </w:tabs>
      </w:pPr>
      <w:r>
        <w:t xml:space="preserve">1 </w:t>
      </w:r>
      <w:r w:rsidR="005D352B">
        <w:t>389</w:t>
      </w:r>
      <w:bookmarkStart w:id="2" w:name="_GoBack"/>
      <w:bookmarkEnd w:id="2"/>
    </w:p>
    <w:p w:rsidR="004A3F5C" w:rsidRPr="00D05748" w:rsidRDefault="009569AA" w:rsidP="004A3F5C">
      <w:pPr>
        <w:pStyle w:val="Footer"/>
        <w:tabs>
          <w:tab w:val="clear" w:pos="4153"/>
          <w:tab w:val="clear" w:pos="8306"/>
        </w:tabs>
      </w:pPr>
      <w:r>
        <w:t>I.Upīte</w:t>
      </w:r>
    </w:p>
    <w:p w:rsidR="004A3F5C" w:rsidRPr="00D05748" w:rsidRDefault="004A3F5C" w:rsidP="004A3F5C">
      <w:pPr>
        <w:pStyle w:val="Footer"/>
        <w:tabs>
          <w:tab w:val="clear" w:pos="4153"/>
          <w:tab w:val="clear" w:pos="8306"/>
        </w:tabs>
      </w:pPr>
      <w:r w:rsidRPr="00D05748">
        <w:t>Tālrunis 6702155</w:t>
      </w:r>
      <w:r w:rsidR="009569AA">
        <w:t>6</w:t>
      </w:r>
    </w:p>
    <w:p w:rsidR="004A3F5C" w:rsidRPr="00D05748" w:rsidRDefault="004A3F5C" w:rsidP="004A3F5C">
      <w:r w:rsidRPr="00D05748">
        <w:t>Fakss 67021560</w:t>
      </w:r>
    </w:p>
    <w:p w:rsidR="004A3F5C" w:rsidRPr="00D05748" w:rsidRDefault="00E3503F" w:rsidP="004A3F5C">
      <w:hyperlink r:id="rId9" w:history="1">
        <w:r w:rsidR="009569AA" w:rsidRPr="0084653A">
          <w:rPr>
            <w:rStyle w:val="Hyperlink"/>
          </w:rPr>
          <w:t>Inese.Upite@lm.gov.lv</w:t>
        </w:r>
      </w:hyperlink>
    </w:p>
    <w:p w:rsidR="00A60E4A" w:rsidRPr="00D05748" w:rsidRDefault="00A60E4A">
      <w:pPr>
        <w:rPr>
          <w:sz w:val="28"/>
          <w:szCs w:val="28"/>
        </w:rPr>
      </w:pPr>
    </w:p>
    <w:sectPr w:rsidR="00A60E4A" w:rsidRPr="00D05748" w:rsidSect="00D05748">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03F" w:rsidRDefault="00E3503F" w:rsidP="004A3F5C">
      <w:r>
        <w:separator/>
      </w:r>
    </w:p>
  </w:endnote>
  <w:endnote w:type="continuationSeparator" w:id="0">
    <w:p w:rsidR="00E3503F" w:rsidRDefault="00E3503F" w:rsidP="004A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48" w:rsidRPr="005D352B" w:rsidRDefault="00D05748" w:rsidP="00D05748">
    <w:pPr>
      <w:pStyle w:val="Footer"/>
      <w:rPr>
        <w:sz w:val="20"/>
        <w:szCs w:val="20"/>
      </w:rPr>
    </w:pPr>
    <w:r w:rsidRPr="005D352B">
      <w:rPr>
        <w:sz w:val="20"/>
        <w:szCs w:val="20"/>
      </w:rPr>
      <w:t>LManot_</w:t>
    </w:r>
    <w:r w:rsidR="005D352B" w:rsidRPr="005D352B">
      <w:rPr>
        <w:sz w:val="20"/>
        <w:szCs w:val="20"/>
      </w:rPr>
      <w:t>10</w:t>
    </w:r>
    <w:r w:rsidR="008B5995" w:rsidRPr="005D352B">
      <w:rPr>
        <w:sz w:val="20"/>
        <w:szCs w:val="20"/>
      </w:rPr>
      <w:t>09</w:t>
    </w:r>
    <w:r w:rsidRPr="005D352B">
      <w:rPr>
        <w:sz w:val="20"/>
        <w:szCs w:val="20"/>
      </w:rPr>
      <w:t>14; Kārtība, kādā valsts fondēto pensiju shēmas līdzekļu pārvaldītājs aprēķina maksājumu par ieguldījumu plāna pārvaldi un tiek veikta maksājuma uzskaite un ieturēšana</w:t>
    </w:r>
  </w:p>
  <w:p w:rsidR="001E3B5D" w:rsidRPr="00D05748" w:rsidRDefault="00E3503F" w:rsidP="00D057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5D" w:rsidRPr="005D352B" w:rsidRDefault="004A3F5C" w:rsidP="004A3F5C">
    <w:pPr>
      <w:pStyle w:val="Footer"/>
      <w:rPr>
        <w:sz w:val="20"/>
        <w:szCs w:val="20"/>
      </w:rPr>
    </w:pPr>
    <w:r w:rsidRPr="005D352B">
      <w:rPr>
        <w:sz w:val="20"/>
        <w:szCs w:val="20"/>
      </w:rPr>
      <w:t>LManot_</w:t>
    </w:r>
    <w:r w:rsidR="005D352B">
      <w:rPr>
        <w:sz w:val="20"/>
        <w:szCs w:val="20"/>
      </w:rPr>
      <w:t>10</w:t>
    </w:r>
    <w:r w:rsidR="008B5995" w:rsidRPr="005D352B">
      <w:rPr>
        <w:sz w:val="20"/>
        <w:szCs w:val="20"/>
      </w:rPr>
      <w:t>09</w:t>
    </w:r>
    <w:r w:rsidRPr="005D352B">
      <w:rPr>
        <w:sz w:val="20"/>
        <w:szCs w:val="20"/>
      </w:rPr>
      <w:t xml:space="preserve">14; </w:t>
    </w:r>
    <w:r w:rsidR="00D05748" w:rsidRPr="005D352B">
      <w:rPr>
        <w:sz w:val="20"/>
        <w:szCs w:val="20"/>
      </w:rPr>
      <w:t>Kārtība, kādā valsts fondēto pensiju shēmas līdzekļu pārvaldītājs aprēķina maksājumu par ieguldījumu plāna pārvaldi un tiek veikta maksājuma uzskaite un ieturēšana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03F" w:rsidRDefault="00E3503F" w:rsidP="004A3F5C">
      <w:r>
        <w:separator/>
      </w:r>
    </w:p>
  </w:footnote>
  <w:footnote w:type="continuationSeparator" w:id="0">
    <w:p w:rsidR="00E3503F" w:rsidRDefault="00E3503F" w:rsidP="004A3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5D" w:rsidRDefault="00F031F4"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3B5D" w:rsidRDefault="00E35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5D" w:rsidRDefault="00F031F4"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352B">
      <w:rPr>
        <w:rStyle w:val="PageNumber"/>
        <w:noProof/>
      </w:rPr>
      <w:t>7</w:t>
    </w:r>
    <w:r>
      <w:rPr>
        <w:rStyle w:val="PageNumber"/>
      </w:rPr>
      <w:fldChar w:fldCharType="end"/>
    </w:r>
  </w:p>
  <w:p w:rsidR="001E3B5D" w:rsidRDefault="00E350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2535B"/>
    <w:multiLevelType w:val="hybridMultilevel"/>
    <w:tmpl w:val="219E32DE"/>
    <w:lvl w:ilvl="0" w:tplc="98766FD8">
      <w:start w:val="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F5C"/>
    <w:rsid w:val="00123DE6"/>
    <w:rsid w:val="00145AF1"/>
    <w:rsid w:val="001E5D44"/>
    <w:rsid w:val="0032153B"/>
    <w:rsid w:val="00332ABA"/>
    <w:rsid w:val="003D070D"/>
    <w:rsid w:val="003E30AC"/>
    <w:rsid w:val="0041326B"/>
    <w:rsid w:val="004A2CB7"/>
    <w:rsid w:val="004A3F5C"/>
    <w:rsid w:val="004C72FD"/>
    <w:rsid w:val="00595128"/>
    <w:rsid w:val="005D352B"/>
    <w:rsid w:val="005E107A"/>
    <w:rsid w:val="00633150"/>
    <w:rsid w:val="00707CA6"/>
    <w:rsid w:val="00747B99"/>
    <w:rsid w:val="00770077"/>
    <w:rsid w:val="00781113"/>
    <w:rsid w:val="007D4A81"/>
    <w:rsid w:val="008B5995"/>
    <w:rsid w:val="008C4CEE"/>
    <w:rsid w:val="008D6984"/>
    <w:rsid w:val="009569AA"/>
    <w:rsid w:val="00A60E4A"/>
    <w:rsid w:val="00BD6184"/>
    <w:rsid w:val="00CF184D"/>
    <w:rsid w:val="00D05748"/>
    <w:rsid w:val="00D22FA4"/>
    <w:rsid w:val="00D5301F"/>
    <w:rsid w:val="00E3503F"/>
    <w:rsid w:val="00EC1E83"/>
    <w:rsid w:val="00F031F4"/>
    <w:rsid w:val="00F042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5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4A3F5C"/>
    <w:pPr>
      <w:spacing w:before="75" w:after="75"/>
    </w:pPr>
  </w:style>
  <w:style w:type="paragraph" w:styleId="Header">
    <w:name w:val="header"/>
    <w:basedOn w:val="Normal"/>
    <w:link w:val="HeaderChar"/>
    <w:uiPriority w:val="99"/>
    <w:rsid w:val="004A3F5C"/>
    <w:pPr>
      <w:tabs>
        <w:tab w:val="center" w:pos="4153"/>
        <w:tab w:val="right" w:pos="8306"/>
      </w:tabs>
    </w:pPr>
  </w:style>
  <w:style w:type="character" w:customStyle="1" w:styleId="HeaderChar">
    <w:name w:val="Header Char"/>
    <w:basedOn w:val="DefaultParagraphFont"/>
    <w:link w:val="Header"/>
    <w:uiPriority w:val="99"/>
    <w:rsid w:val="004A3F5C"/>
    <w:rPr>
      <w:rFonts w:ascii="Times New Roman" w:eastAsia="Times New Roman" w:hAnsi="Times New Roman" w:cs="Times New Roman"/>
      <w:sz w:val="24"/>
      <w:szCs w:val="24"/>
      <w:lang w:eastAsia="lv-LV"/>
    </w:rPr>
  </w:style>
  <w:style w:type="character" w:styleId="PageNumber">
    <w:name w:val="page number"/>
    <w:uiPriority w:val="99"/>
    <w:rsid w:val="004A3F5C"/>
    <w:rPr>
      <w:rFonts w:cs="Times New Roman"/>
    </w:rPr>
  </w:style>
  <w:style w:type="paragraph" w:styleId="Footer">
    <w:name w:val="footer"/>
    <w:basedOn w:val="Normal"/>
    <w:link w:val="FooterChar"/>
    <w:uiPriority w:val="99"/>
    <w:rsid w:val="004A3F5C"/>
    <w:pPr>
      <w:tabs>
        <w:tab w:val="center" w:pos="4153"/>
        <w:tab w:val="right" w:pos="8306"/>
      </w:tabs>
    </w:pPr>
  </w:style>
  <w:style w:type="character" w:customStyle="1" w:styleId="FooterChar">
    <w:name w:val="Footer Char"/>
    <w:basedOn w:val="DefaultParagraphFont"/>
    <w:link w:val="Footer"/>
    <w:uiPriority w:val="99"/>
    <w:rsid w:val="004A3F5C"/>
    <w:rPr>
      <w:rFonts w:ascii="Times New Roman" w:eastAsia="Times New Roman" w:hAnsi="Times New Roman" w:cs="Times New Roman"/>
      <w:sz w:val="24"/>
      <w:szCs w:val="24"/>
      <w:lang w:eastAsia="lv-LV"/>
    </w:rPr>
  </w:style>
  <w:style w:type="paragraph" w:customStyle="1" w:styleId="naisnod">
    <w:name w:val="naisnod"/>
    <w:basedOn w:val="Normal"/>
    <w:uiPriority w:val="99"/>
    <w:rsid w:val="004A3F5C"/>
    <w:pPr>
      <w:spacing w:before="150" w:after="150"/>
      <w:jc w:val="center"/>
    </w:pPr>
    <w:rPr>
      <w:b/>
      <w:bCs/>
    </w:rPr>
  </w:style>
  <w:style w:type="character" w:styleId="Hyperlink">
    <w:name w:val="Hyperlink"/>
    <w:uiPriority w:val="99"/>
    <w:rsid w:val="004A3F5C"/>
    <w:rPr>
      <w:rFonts w:cs="Times New Roman"/>
      <w:color w:val="0000FF"/>
      <w:u w:val="single"/>
    </w:rPr>
  </w:style>
  <w:style w:type="paragraph" w:customStyle="1" w:styleId="naisf">
    <w:name w:val="naisf"/>
    <w:basedOn w:val="Normal"/>
    <w:uiPriority w:val="99"/>
    <w:rsid w:val="004A3F5C"/>
    <w:pPr>
      <w:spacing w:before="50" w:after="50"/>
      <w:ind w:firstLine="250"/>
      <w:jc w:val="both"/>
    </w:pPr>
  </w:style>
  <w:style w:type="paragraph" w:styleId="BalloonText">
    <w:name w:val="Balloon Text"/>
    <w:basedOn w:val="Normal"/>
    <w:link w:val="BalloonTextChar"/>
    <w:uiPriority w:val="99"/>
    <w:semiHidden/>
    <w:unhideWhenUsed/>
    <w:rsid w:val="001E5D44"/>
    <w:rPr>
      <w:rFonts w:ascii="Tahoma" w:hAnsi="Tahoma" w:cs="Tahoma"/>
      <w:sz w:val="16"/>
      <w:szCs w:val="16"/>
    </w:rPr>
  </w:style>
  <w:style w:type="character" w:customStyle="1" w:styleId="BalloonTextChar">
    <w:name w:val="Balloon Text Char"/>
    <w:basedOn w:val="DefaultParagraphFont"/>
    <w:link w:val="BalloonText"/>
    <w:uiPriority w:val="99"/>
    <w:semiHidden/>
    <w:rsid w:val="001E5D44"/>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5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4A3F5C"/>
    <w:pPr>
      <w:spacing w:before="75" w:after="75"/>
    </w:pPr>
  </w:style>
  <w:style w:type="paragraph" w:styleId="Header">
    <w:name w:val="header"/>
    <w:basedOn w:val="Normal"/>
    <w:link w:val="HeaderChar"/>
    <w:uiPriority w:val="99"/>
    <w:rsid w:val="004A3F5C"/>
    <w:pPr>
      <w:tabs>
        <w:tab w:val="center" w:pos="4153"/>
        <w:tab w:val="right" w:pos="8306"/>
      </w:tabs>
    </w:pPr>
  </w:style>
  <w:style w:type="character" w:customStyle="1" w:styleId="HeaderChar">
    <w:name w:val="Header Char"/>
    <w:basedOn w:val="DefaultParagraphFont"/>
    <w:link w:val="Header"/>
    <w:uiPriority w:val="99"/>
    <w:rsid w:val="004A3F5C"/>
    <w:rPr>
      <w:rFonts w:ascii="Times New Roman" w:eastAsia="Times New Roman" w:hAnsi="Times New Roman" w:cs="Times New Roman"/>
      <w:sz w:val="24"/>
      <w:szCs w:val="24"/>
      <w:lang w:eastAsia="lv-LV"/>
    </w:rPr>
  </w:style>
  <w:style w:type="character" w:styleId="PageNumber">
    <w:name w:val="page number"/>
    <w:uiPriority w:val="99"/>
    <w:rsid w:val="004A3F5C"/>
    <w:rPr>
      <w:rFonts w:cs="Times New Roman"/>
    </w:rPr>
  </w:style>
  <w:style w:type="paragraph" w:styleId="Footer">
    <w:name w:val="footer"/>
    <w:basedOn w:val="Normal"/>
    <w:link w:val="FooterChar"/>
    <w:uiPriority w:val="99"/>
    <w:rsid w:val="004A3F5C"/>
    <w:pPr>
      <w:tabs>
        <w:tab w:val="center" w:pos="4153"/>
        <w:tab w:val="right" w:pos="8306"/>
      </w:tabs>
    </w:pPr>
  </w:style>
  <w:style w:type="character" w:customStyle="1" w:styleId="FooterChar">
    <w:name w:val="Footer Char"/>
    <w:basedOn w:val="DefaultParagraphFont"/>
    <w:link w:val="Footer"/>
    <w:uiPriority w:val="99"/>
    <w:rsid w:val="004A3F5C"/>
    <w:rPr>
      <w:rFonts w:ascii="Times New Roman" w:eastAsia="Times New Roman" w:hAnsi="Times New Roman" w:cs="Times New Roman"/>
      <w:sz w:val="24"/>
      <w:szCs w:val="24"/>
      <w:lang w:eastAsia="lv-LV"/>
    </w:rPr>
  </w:style>
  <w:style w:type="paragraph" w:customStyle="1" w:styleId="naisnod">
    <w:name w:val="naisnod"/>
    <w:basedOn w:val="Normal"/>
    <w:uiPriority w:val="99"/>
    <w:rsid w:val="004A3F5C"/>
    <w:pPr>
      <w:spacing w:before="150" w:after="150"/>
      <w:jc w:val="center"/>
    </w:pPr>
    <w:rPr>
      <w:b/>
      <w:bCs/>
    </w:rPr>
  </w:style>
  <w:style w:type="character" w:styleId="Hyperlink">
    <w:name w:val="Hyperlink"/>
    <w:uiPriority w:val="99"/>
    <w:rsid w:val="004A3F5C"/>
    <w:rPr>
      <w:rFonts w:cs="Times New Roman"/>
      <w:color w:val="0000FF"/>
      <w:u w:val="single"/>
    </w:rPr>
  </w:style>
  <w:style w:type="paragraph" w:customStyle="1" w:styleId="naisf">
    <w:name w:val="naisf"/>
    <w:basedOn w:val="Normal"/>
    <w:uiPriority w:val="99"/>
    <w:rsid w:val="004A3F5C"/>
    <w:pPr>
      <w:spacing w:before="50" w:after="50"/>
      <w:ind w:firstLine="250"/>
      <w:jc w:val="both"/>
    </w:pPr>
  </w:style>
  <w:style w:type="paragraph" w:styleId="BalloonText">
    <w:name w:val="Balloon Text"/>
    <w:basedOn w:val="Normal"/>
    <w:link w:val="BalloonTextChar"/>
    <w:uiPriority w:val="99"/>
    <w:semiHidden/>
    <w:unhideWhenUsed/>
    <w:rsid w:val="001E5D44"/>
    <w:rPr>
      <w:rFonts w:ascii="Tahoma" w:hAnsi="Tahoma" w:cs="Tahoma"/>
      <w:sz w:val="16"/>
      <w:szCs w:val="16"/>
    </w:rPr>
  </w:style>
  <w:style w:type="character" w:customStyle="1" w:styleId="BalloonTextChar">
    <w:name w:val="Balloon Text Char"/>
    <w:basedOn w:val="DefaultParagraphFont"/>
    <w:link w:val="BalloonText"/>
    <w:uiPriority w:val="99"/>
    <w:semiHidden/>
    <w:rsid w:val="001E5D44"/>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ibor-ebf.e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se.Upit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1410</Words>
  <Characters>9665</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Kārtība, kādā valsts fondēto pensiju shēmas līdzekļu pārvaldītājs aprēķina maksājumu par ieguldījumu plāna pārvaldi un tiek veikta maksājuma uzskaite un ieturēšana</vt:lpstr>
    </vt:vector>
  </TitlesOfParts>
  <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valsts fondēto pensiju shēmas līdzekļu pārvaldītājs aprēķina maksājumu par ieguldījumu plāna pārvaldi un tiek veikta maksājuma uzskaite un ieturēšana</dc:title>
  <dc:subject>Anotācija</dc:subject>
  <dc:creator>Inese Upite</dc:creator>
  <dc:description>I.Upīte_x000d_
tālr.67021556, fakss 67021560_x000d_
inese.upite@lm.gov.lv</dc:description>
  <cp:lastModifiedBy>Inese Upite</cp:lastModifiedBy>
  <cp:revision>2</cp:revision>
  <cp:lastPrinted>2014-08-26T07:39:00Z</cp:lastPrinted>
  <dcterms:created xsi:type="dcterms:W3CDTF">2014-09-10T07:46:00Z</dcterms:created>
  <dcterms:modified xsi:type="dcterms:W3CDTF">2014-09-10T07:46:00Z</dcterms:modified>
</cp:coreProperties>
</file>