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86" w:rsidRPr="006F5CFA" w:rsidRDefault="00F10286" w:rsidP="00F10286">
      <w:pPr>
        <w:jc w:val="center"/>
        <w:rPr>
          <w:rFonts w:ascii="Times New Roman" w:hAnsi="Times New Roman"/>
          <w:b/>
          <w:sz w:val="26"/>
          <w:szCs w:val="26"/>
        </w:rPr>
      </w:pPr>
    </w:p>
    <w:p w:rsidR="00190392" w:rsidRPr="006F5CFA" w:rsidRDefault="00F10286" w:rsidP="00F10286">
      <w:pPr>
        <w:jc w:val="center"/>
        <w:rPr>
          <w:rFonts w:ascii="Times New Roman" w:hAnsi="Times New Roman"/>
          <w:b/>
          <w:sz w:val="26"/>
          <w:szCs w:val="26"/>
        </w:rPr>
      </w:pPr>
      <w:r w:rsidRPr="006F5CFA">
        <w:rPr>
          <w:rFonts w:ascii="Times New Roman" w:hAnsi="Times New Roman"/>
          <w:b/>
          <w:sz w:val="26"/>
          <w:szCs w:val="26"/>
        </w:rPr>
        <w:t>Informatīvais ziņojums</w:t>
      </w:r>
    </w:p>
    <w:p w:rsidR="00F10286" w:rsidRPr="006F5CFA" w:rsidRDefault="00190392" w:rsidP="00F10286">
      <w:pPr>
        <w:jc w:val="center"/>
        <w:rPr>
          <w:rFonts w:ascii="Times New Roman" w:hAnsi="Times New Roman"/>
          <w:b/>
          <w:sz w:val="26"/>
          <w:szCs w:val="26"/>
        </w:rPr>
      </w:pPr>
      <w:r w:rsidRPr="006F5CFA">
        <w:rPr>
          <w:rFonts w:ascii="Times New Roman" w:hAnsi="Times New Roman"/>
          <w:b/>
          <w:sz w:val="26"/>
          <w:szCs w:val="26"/>
        </w:rPr>
        <w:t xml:space="preserve"> „P</w:t>
      </w:r>
      <w:r w:rsidR="00F10286" w:rsidRPr="006F5CFA">
        <w:rPr>
          <w:rFonts w:ascii="Times New Roman" w:hAnsi="Times New Roman"/>
          <w:b/>
          <w:sz w:val="26"/>
          <w:szCs w:val="26"/>
        </w:rPr>
        <w:t>ar valsts atbalsta ar celiakiju slimiem bērniem</w:t>
      </w:r>
      <w:r w:rsidR="00121DA4" w:rsidRPr="006F5CFA">
        <w:rPr>
          <w:rFonts w:ascii="Times New Roman" w:hAnsi="Times New Roman"/>
          <w:b/>
          <w:sz w:val="26"/>
          <w:szCs w:val="26"/>
        </w:rPr>
        <w:t xml:space="preserve"> saņēmēju</w:t>
      </w:r>
      <w:r w:rsidR="00F10286" w:rsidRPr="006F5CFA">
        <w:rPr>
          <w:rFonts w:ascii="Times New Roman" w:hAnsi="Times New Roman"/>
          <w:b/>
          <w:sz w:val="26"/>
          <w:szCs w:val="26"/>
        </w:rPr>
        <w:t xml:space="preserve"> loka pārskatīšanu</w:t>
      </w:r>
      <w:r w:rsidRPr="006F5CFA">
        <w:rPr>
          <w:rFonts w:ascii="Times New Roman" w:hAnsi="Times New Roman"/>
          <w:b/>
          <w:sz w:val="26"/>
          <w:szCs w:val="26"/>
        </w:rPr>
        <w:t>”</w:t>
      </w:r>
    </w:p>
    <w:p w:rsidR="00F10286" w:rsidRPr="006F5CFA" w:rsidRDefault="00F10286" w:rsidP="00F10286">
      <w:pPr>
        <w:jc w:val="center"/>
        <w:rPr>
          <w:rFonts w:ascii="Times New Roman" w:hAnsi="Times New Roman"/>
          <w:b/>
          <w:sz w:val="26"/>
          <w:szCs w:val="26"/>
        </w:rPr>
      </w:pPr>
    </w:p>
    <w:p w:rsidR="00DD3299" w:rsidRPr="006F5CFA" w:rsidRDefault="00F10286" w:rsidP="00DD3299">
      <w:pPr>
        <w:jc w:val="both"/>
        <w:rPr>
          <w:rFonts w:ascii="Times New Roman" w:hAnsi="Times New Roman"/>
          <w:sz w:val="26"/>
          <w:szCs w:val="26"/>
        </w:rPr>
      </w:pPr>
      <w:r w:rsidRPr="006F5CFA">
        <w:rPr>
          <w:rFonts w:ascii="Times New Roman" w:hAnsi="Times New Roman"/>
          <w:sz w:val="26"/>
          <w:szCs w:val="26"/>
        </w:rPr>
        <w:tab/>
      </w:r>
    </w:p>
    <w:p w:rsidR="00F10286" w:rsidRPr="006F5CFA" w:rsidRDefault="00F10286" w:rsidP="00DD3299">
      <w:pPr>
        <w:jc w:val="both"/>
        <w:rPr>
          <w:rFonts w:ascii="Times New Roman" w:hAnsi="Times New Roman"/>
          <w:b/>
          <w:color w:val="000000"/>
          <w:sz w:val="26"/>
          <w:szCs w:val="26"/>
        </w:rPr>
      </w:pPr>
      <w:r w:rsidRPr="006F5CFA">
        <w:rPr>
          <w:rFonts w:ascii="Times New Roman" w:hAnsi="Times New Roman"/>
          <w:b/>
          <w:color w:val="000000"/>
          <w:sz w:val="26"/>
          <w:szCs w:val="26"/>
        </w:rPr>
        <w:t>1. Esošā situācija</w:t>
      </w:r>
    </w:p>
    <w:p w:rsidR="00F10286" w:rsidRPr="006F5CFA" w:rsidRDefault="00F10286" w:rsidP="00F10286">
      <w:pPr>
        <w:autoSpaceDE w:val="0"/>
        <w:autoSpaceDN w:val="0"/>
        <w:adjustRightInd w:val="0"/>
        <w:ind w:firstLine="720"/>
        <w:jc w:val="both"/>
        <w:rPr>
          <w:rFonts w:ascii="Times New Roman" w:hAnsi="Times New Roman"/>
          <w:color w:val="000000"/>
          <w:sz w:val="26"/>
          <w:szCs w:val="26"/>
        </w:rPr>
      </w:pPr>
    </w:p>
    <w:p w:rsidR="00C668FA" w:rsidRPr="006F5CFA" w:rsidRDefault="00C668FA" w:rsidP="00F10286">
      <w:pPr>
        <w:autoSpaceDE w:val="0"/>
        <w:autoSpaceDN w:val="0"/>
        <w:adjustRightInd w:val="0"/>
        <w:ind w:firstLine="720"/>
        <w:jc w:val="both"/>
        <w:rPr>
          <w:rFonts w:ascii="Times New Roman" w:hAnsi="Times New Roman"/>
          <w:color w:val="000000"/>
          <w:sz w:val="26"/>
          <w:szCs w:val="26"/>
        </w:rPr>
      </w:pPr>
      <w:r w:rsidRPr="006F5CFA">
        <w:rPr>
          <w:rFonts w:ascii="Times New Roman" w:hAnsi="Times New Roman"/>
          <w:color w:val="000000"/>
          <w:sz w:val="26"/>
          <w:szCs w:val="26"/>
        </w:rPr>
        <w:t xml:space="preserve">Celiakija ir </w:t>
      </w:r>
      <w:proofErr w:type="spellStart"/>
      <w:r w:rsidRPr="006F5CFA">
        <w:rPr>
          <w:rFonts w:ascii="Times New Roman" w:hAnsi="Times New Roman"/>
          <w:color w:val="000000"/>
          <w:sz w:val="26"/>
          <w:szCs w:val="26"/>
        </w:rPr>
        <w:t>glutēna</w:t>
      </w:r>
      <w:proofErr w:type="spellEnd"/>
      <w:r w:rsidRPr="006F5CFA">
        <w:rPr>
          <w:rFonts w:ascii="Times New Roman" w:hAnsi="Times New Roman"/>
          <w:color w:val="000000"/>
          <w:sz w:val="26"/>
          <w:szCs w:val="26"/>
        </w:rPr>
        <w:t xml:space="preserve"> nepanesamības izraisīta autoimūna slimība. </w:t>
      </w:r>
      <w:proofErr w:type="spellStart"/>
      <w:r w:rsidRPr="006F5CFA">
        <w:rPr>
          <w:rFonts w:ascii="Times New Roman" w:hAnsi="Times New Roman"/>
          <w:color w:val="000000"/>
          <w:sz w:val="26"/>
          <w:szCs w:val="26"/>
        </w:rPr>
        <w:t>Glutēns</w:t>
      </w:r>
      <w:proofErr w:type="spellEnd"/>
      <w:r w:rsidRPr="006F5CFA">
        <w:rPr>
          <w:rFonts w:ascii="Times New Roman" w:hAnsi="Times New Roman"/>
          <w:color w:val="000000"/>
          <w:sz w:val="26"/>
          <w:szCs w:val="26"/>
        </w:rPr>
        <w:t xml:space="preserve"> jeb lipeklis ir olbaltumvi</w:t>
      </w:r>
      <w:r w:rsidR="00C8655D" w:rsidRPr="006F5CFA">
        <w:rPr>
          <w:rFonts w:ascii="Times New Roman" w:hAnsi="Times New Roman"/>
          <w:color w:val="000000"/>
          <w:sz w:val="26"/>
          <w:szCs w:val="26"/>
        </w:rPr>
        <w:t>ela, kas sastopama kviešos, rudz</w:t>
      </w:r>
      <w:r w:rsidRPr="006F5CFA">
        <w:rPr>
          <w:rFonts w:ascii="Times New Roman" w:hAnsi="Times New Roman"/>
          <w:color w:val="000000"/>
          <w:sz w:val="26"/>
          <w:szCs w:val="26"/>
        </w:rPr>
        <w:t xml:space="preserve">os un miežos un pat nelielā daudzumā izraisa slimnieka imūnās sistēmas uzbrukumu paša organismam. Rezultātā tievo zarnu gļotādas bārkstiņas tiek bojātas un tādējādi tiek traucēta uzturvielu uzsūkšanās organismā. </w:t>
      </w:r>
      <w:proofErr w:type="spellStart"/>
      <w:r w:rsidR="00C619BC" w:rsidRPr="006F5CFA">
        <w:rPr>
          <w:rFonts w:ascii="Times New Roman" w:hAnsi="Times New Roman"/>
          <w:color w:val="000000"/>
          <w:sz w:val="26"/>
          <w:szCs w:val="26"/>
        </w:rPr>
        <w:t>Glutēns</w:t>
      </w:r>
      <w:proofErr w:type="spellEnd"/>
      <w:r w:rsidR="00C619BC" w:rsidRPr="006F5CFA">
        <w:rPr>
          <w:rFonts w:ascii="Times New Roman" w:hAnsi="Times New Roman"/>
          <w:color w:val="000000"/>
          <w:sz w:val="26"/>
          <w:szCs w:val="26"/>
        </w:rPr>
        <w:t xml:space="preserve"> ir sastopams daudzos rūpnieciski ražotajos pārtikas produktos un pusfabrikātos, piemēram, maizē, makaronos, gaļas un piena izstrādājumos, konditorejas izstrādājumos, saldumos, dz</w:t>
      </w:r>
      <w:r w:rsidR="00BA7CC2" w:rsidRPr="006F5CFA">
        <w:rPr>
          <w:rFonts w:ascii="Times New Roman" w:hAnsi="Times New Roman"/>
          <w:color w:val="000000"/>
          <w:sz w:val="26"/>
          <w:szCs w:val="26"/>
        </w:rPr>
        <w:t>ēr</w:t>
      </w:r>
      <w:r w:rsidR="00C619BC" w:rsidRPr="006F5CFA">
        <w:rPr>
          <w:rFonts w:ascii="Times New Roman" w:hAnsi="Times New Roman"/>
          <w:color w:val="000000"/>
          <w:sz w:val="26"/>
          <w:szCs w:val="26"/>
        </w:rPr>
        <w:t>ienos, mērcēs un marinādēs, kā arī sabiedriskajā ēdināšanā piedāvāto ēdienu sastāvā.</w:t>
      </w:r>
      <w:r w:rsidR="00BA7CC2" w:rsidRPr="006F5CFA">
        <w:rPr>
          <w:rFonts w:ascii="Times New Roman" w:hAnsi="Times New Roman"/>
          <w:color w:val="000000"/>
          <w:sz w:val="26"/>
          <w:szCs w:val="26"/>
        </w:rPr>
        <w:t xml:space="preserve"> Celiakija var izpausties jebkurā vecumā, un Latvijā, līdzīgi kā citās valstīs, ar celiakiju slimo ap 1% cilvēku no visas populācijas</w:t>
      </w:r>
      <w:r w:rsidR="009F300D" w:rsidRPr="006F5CFA">
        <w:rPr>
          <w:rStyle w:val="FootnoteReference"/>
          <w:rFonts w:ascii="Times New Roman" w:hAnsi="Times New Roman"/>
          <w:color w:val="000000"/>
          <w:sz w:val="26"/>
          <w:szCs w:val="26"/>
        </w:rPr>
        <w:footnoteReference w:id="1"/>
      </w:r>
      <w:r w:rsidR="00BA7CC2" w:rsidRPr="006F5CFA">
        <w:rPr>
          <w:rFonts w:ascii="Times New Roman" w:hAnsi="Times New Roman"/>
          <w:color w:val="000000"/>
          <w:sz w:val="26"/>
          <w:szCs w:val="26"/>
        </w:rPr>
        <w:t>.</w:t>
      </w:r>
    </w:p>
    <w:p w:rsidR="00F10286" w:rsidRPr="006F5CFA" w:rsidRDefault="00F10286" w:rsidP="00F10286">
      <w:pPr>
        <w:autoSpaceDE w:val="0"/>
        <w:autoSpaceDN w:val="0"/>
        <w:adjustRightInd w:val="0"/>
        <w:ind w:firstLine="720"/>
        <w:jc w:val="both"/>
        <w:rPr>
          <w:rFonts w:ascii="Times New Roman" w:hAnsi="Times New Roman"/>
          <w:color w:val="000000"/>
          <w:sz w:val="26"/>
          <w:szCs w:val="26"/>
        </w:rPr>
      </w:pPr>
      <w:r w:rsidRPr="006F5CFA">
        <w:rPr>
          <w:rFonts w:ascii="Times New Roman" w:hAnsi="Times New Roman"/>
          <w:i/>
          <w:color w:val="000000"/>
          <w:sz w:val="26"/>
          <w:szCs w:val="26"/>
        </w:rPr>
        <w:t>Šobrīd celiakija nav izārstējama slimība</w:t>
      </w:r>
      <w:r w:rsidRPr="006F5CFA">
        <w:rPr>
          <w:rFonts w:ascii="Times New Roman" w:hAnsi="Times New Roman"/>
          <w:color w:val="000000"/>
          <w:sz w:val="26"/>
          <w:szCs w:val="26"/>
        </w:rPr>
        <w:t xml:space="preserve">, tomēr savlaicīga diagnozes noteikšana un stingra </w:t>
      </w:r>
      <w:proofErr w:type="spellStart"/>
      <w:r w:rsidRPr="006F5CFA">
        <w:rPr>
          <w:rFonts w:ascii="Times New Roman" w:hAnsi="Times New Roman"/>
          <w:color w:val="000000"/>
          <w:sz w:val="26"/>
          <w:szCs w:val="26"/>
        </w:rPr>
        <w:t>bezglutēna</w:t>
      </w:r>
      <w:proofErr w:type="spellEnd"/>
      <w:r w:rsidRPr="006F5CFA">
        <w:rPr>
          <w:rFonts w:ascii="Times New Roman" w:hAnsi="Times New Roman"/>
          <w:color w:val="000000"/>
          <w:sz w:val="26"/>
          <w:szCs w:val="26"/>
        </w:rPr>
        <w:t xml:space="preserve"> diēta samazina turpmāko komplikāciju un mirstības risku, kā arī uzlabo pacientu dzīves kvalitāti. </w:t>
      </w:r>
      <w:r w:rsidR="00C668FA" w:rsidRPr="006F5CFA">
        <w:rPr>
          <w:rFonts w:ascii="Times New Roman" w:hAnsi="Times New Roman"/>
          <w:color w:val="000000"/>
          <w:sz w:val="26"/>
          <w:szCs w:val="26"/>
        </w:rPr>
        <w:t xml:space="preserve">Līdz ar to vienīgais celiakijas ārstēšanas veids ir stingras </w:t>
      </w:r>
      <w:proofErr w:type="spellStart"/>
      <w:r w:rsidR="00C668FA" w:rsidRPr="006F5CFA">
        <w:rPr>
          <w:rFonts w:ascii="Times New Roman" w:hAnsi="Times New Roman"/>
          <w:color w:val="000000"/>
          <w:sz w:val="26"/>
          <w:szCs w:val="26"/>
        </w:rPr>
        <w:t>bezglutēna</w:t>
      </w:r>
      <w:proofErr w:type="spellEnd"/>
      <w:r w:rsidR="00C668FA" w:rsidRPr="006F5CFA">
        <w:rPr>
          <w:rFonts w:ascii="Times New Roman" w:hAnsi="Times New Roman"/>
          <w:color w:val="000000"/>
          <w:sz w:val="26"/>
          <w:szCs w:val="26"/>
        </w:rPr>
        <w:t xml:space="preserve"> diētas ievērošana mūža garumā. </w:t>
      </w:r>
      <w:r w:rsidRPr="006F5CFA">
        <w:rPr>
          <w:rFonts w:ascii="Times New Roman" w:hAnsi="Times New Roman"/>
          <w:color w:val="000000"/>
          <w:sz w:val="26"/>
          <w:szCs w:val="26"/>
        </w:rPr>
        <w:t xml:space="preserve">Tādējādi, bērni, kuriem noteikta celiakijas diagnoze, uzskatāmi par hroniski slimiem pacientiem, kam nepieciešamas regulāras konsultācijas pie bērnu </w:t>
      </w:r>
      <w:proofErr w:type="spellStart"/>
      <w:r w:rsidRPr="006F5CFA">
        <w:rPr>
          <w:rFonts w:ascii="Times New Roman" w:hAnsi="Times New Roman"/>
          <w:color w:val="000000"/>
          <w:sz w:val="26"/>
          <w:szCs w:val="26"/>
        </w:rPr>
        <w:t>gastroenterologa</w:t>
      </w:r>
      <w:proofErr w:type="spellEnd"/>
      <w:r w:rsidRPr="006F5CFA">
        <w:rPr>
          <w:rFonts w:ascii="Times New Roman" w:hAnsi="Times New Roman"/>
          <w:color w:val="000000"/>
          <w:sz w:val="26"/>
          <w:szCs w:val="26"/>
        </w:rPr>
        <w:t xml:space="preserve"> un uztura speciālista. </w:t>
      </w:r>
      <w:r w:rsidR="00C619BC" w:rsidRPr="006F5CFA">
        <w:rPr>
          <w:rFonts w:ascii="Times New Roman" w:hAnsi="Times New Roman"/>
          <w:color w:val="000000"/>
          <w:sz w:val="26"/>
          <w:szCs w:val="26"/>
        </w:rPr>
        <w:t>Pacientiem ar neārstētu celiakiju ir lielāks onkoloģisku slimību, reproduktīvās disfunkcijas, dažādu mikroelementu deficīta risks</w:t>
      </w:r>
      <w:r w:rsidR="00BD360A" w:rsidRPr="006F5CFA">
        <w:rPr>
          <w:rFonts w:ascii="Times New Roman" w:hAnsi="Times New Roman"/>
          <w:color w:val="000000"/>
          <w:sz w:val="26"/>
          <w:szCs w:val="26"/>
        </w:rPr>
        <w:t>.</w:t>
      </w:r>
      <w:r w:rsidR="00C619BC" w:rsidRPr="006F5CFA">
        <w:rPr>
          <w:rFonts w:ascii="Times New Roman" w:hAnsi="Times New Roman"/>
          <w:color w:val="000000"/>
          <w:sz w:val="26"/>
          <w:szCs w:val="26"/>
        </w:rPr>
        <w:t xml:space="preserve"> </w:t>
      </w:r>
      <w:r w:rsidRPr="006F5CFA">
        <w:rPr>
          <w:rFonts w:ascii="Times New Roman" w:hAnsi="Times New Roman"/>
          <w:color w:val="000000"/>
          <w:sz w:val="26"/>
          <w:szCs w:val="26"/>
        </w:rPr>
        <w:t xml:space="preserve">Pacienta </w:t>
      </w:r>
      <w:proofErr w:type="spellStart"/>
      <w:r w:rsidRPr="006F5CFA">
        <w:rPr>
          <w:rFonts w:ascii="Times New Roman" w:hAnsi="Times New Roman"/>
          <w:color w:val="000000"/>
          <w:sz w:val="26"/>
          <w:szCs w:val="26"/>
        </w:rPr>
        <w:t>nelīdzestība</w:t>
      </w:r>
      <w:proofErr w:type="spellEnd"/>
      <w:r w:rsidRPr="006F5CFA">
        <w:rPr>
          <w:rFonts w:ascii="Times New Roman" w:hAnsi="Times New Roman"/>
          <w:color w:val="000000"/>
          <w:sz w:val="26"/>
          <w:szCs w:val="26"/>
        </w:rPr>
        <w:t xml:space="preserve"> </w:t>
      </w:r>
      <w:proofErr w:type="spellStart"/>
      <w:r w:rsidRPr="006F5CFA">
        <w:rPr>
          <w:rFonts w:ascii="Times New Roman" w:hAnsi="Times New Roman"/>
          <w:color w:val="000000"/>
          <w:sz w:val="26"/>
          <w:szCs w:val="26"/>
        </w:rPr>
        <w:t>bezglutēna</w:t>
      </w:r>
      <w:proofErr w:type="spellEnd"/>
      <w:r w:rsidRPr="006F5CFA">
        <w:rPr>
          <w:rFonts w:ascii="Times New Roman" w:hAnsi="Times New Roman"/>
          <w:color w:val="000000"/>
          <w:sz w:val="26"/>
          <w:szCs w:val="26"/>
        </w:rPr>
        <w:t xml:space="preserve"> diētai un </w:t>
      </w:r>
      <w:proofErr w:type="spellStart"/>
      <w:r w:rsidRPr="006F5CFA">
        <w:rPr>
          <w:rFonts w:ascii="Times New Roman" w:hAnsi="Times New Roman"/>
          <w:color w:val="000000"/>
          <w:sz w:val="26"/>
          <w:szCs w:val="26"/>
        </w:rPr>
        <w:t>glutēna</w:t>
      </w:r>
      <w:proofErr w:type="spellEnd"/>
      <w:r w:rsidRPr="006F5CFA">
        <w:rPr>
          <w:rFonts w:ascii="Times New Roman" w:hAnsi="Times New Roman"/>
          <w:color w:val="000000"/>
          <w:sz w:val="26"/>
          <w:szCs w:val="26"/>
        </w:rPr>
        <w:t xml:space="preserve"> uzņemšana ir viens no nozīmīgākajiem faktoriem komplikāciju attīstībā. </w:t>
      </w:r>
      <w:r w:rsidR="00BD360A" w:rsidRPr="006F5CFA">
        <w:rPr>
          <w:rFonts w:ascii="Times New Roman" w:hAnsi="Times New Roman"/>
          <w:color w:val="000000"/>
          <w:sz w:val="26"/>
          <w:szCs w:val="26"/>
        </w:rPr>
        <w:t xml:space="preserve">Celiakijas izraisītie simptomi ir ļoti dažādi un netipiski, kas apgrūtina savlaicīgas diagnostikas iespējas. </w:t>
      </w:r>
    </w:p>
    <w:p w:rsidR="00F10286" w:rsidRPr="006F5CFA" w:rsidRDefault="00F10286" w:rsidP="00F10286">
      <w:pPr>
        <w:jc w:val="center"/>
        <w:rPr>
          <w:rFonts w:ascii="Times New Roman" w:hAnsi="Times New Roman"/>
          <w:b/>
          <w:sz w:val="26"/>
          <w:szCs w:val="26"/>
        </w:rPr>
      </w:pPr>
    </w:p>
    <w:p w:rsidR="00F10286" w:rsidRPr="006F5CFA" w:rsidRDefault="00F10286" w:rsidP="00F10286">
      <w:pPr>
        <w:jc w:val="both"/>
        <w:rPr>
          <w:rFonts w:ascii="Times New Roman" w:hAnsi="Times New Roman"/>
          <w:sz w:val="26"/>
          <w:szCs w:val="26"/>
        </w:rPr>
      </w:pPr>
      <w:r w:rsidRPr="006F5CFA">
        <w:rPr>
          <w:rFonts w:ascii="Times New Roman" w:hAnsi="Times New Roman"/>
          <w:b/>
          <w:color w:val="000000" w:themeColor="text1"/>
          <w:sz w:val="26"/>
          <w:szCs w:val="26"/>
        </w:rPr>
        <w:tab/>
      </w:r>
      <w:r w:rsidRPr="006F5CFA">
        <w:rPr>
          <w:rFonts w:ascii="Times New Roman" w:hAnsi="Times New Roman"/>
          <w:color w:val="000000" w:themeColor="text1"/>
          <w:sz w:val="26"/>
          <w:szCs w:val="26"/>
        </w:rPr>
        <w:t>Pamatojoties uz 2004.gada 17.jūnijā Saeimā pieņemtajiem grozījumiem Sociālo pakalpojumu un sociālās palīdzības likumā (13.panta pirmās daļas 8.punkts), tika noteikts, ka valsts nodrošina at</w:t>
      </w:r>
      <w:r w:rsidRPr="006F5CFA">
        <w:rPr>
          <w:rFonts w:ascii="Times New Roman" w:hAnsi="Times New Roman"/>
          <w:color w:val="000000" w:themeColor="text1"/>
          <w:sz w:val="26"/>
          <w:szCs w:val="26"/>
          <w:shd w:val="clear" w:color="auto" w:fill="FFFFFF"/>
        </w:rPr>
        <w:t>balsta programmu ar celiakiju slimajiem bērniem, kuriem nav noteikta invaliditāte. Lai</w:t>
      </w:r>
      <w:r w:rsidRPr="006F5CFA">
        <w:rPr>
          <w:rFonts w:ascii="Times New Roman" w:hAnsi="Times New Roman"/>
          <w:color w:val="000000" w:themeColor="text1"/>
          <w:sz w:val="26"/>
          <w:szCs w:val="26"/>
        </w:rPr>
        <w:t xml:space="preserve"> no 2005.gada 1.janvāra ieviestu valsts atbalstu, 2004.gadā tika izstrādāti un 2004.gada 16.novembrī Ministru kabinetā pieņemti noteikumi Nr.928 „Noteikumi par valsts atbalstu ar celiakiju slimiem bērniem, kuriem nav noteikta invaliditāte”. Savukārt no 2013.gada 24.maija iepriekš minētos noteikumus aizstāj un valsts atbalsta izmaksu regulē</w:t>
      </w:r>
      <w:r w:rsidRPr="006F5CFA">
        <w:rPr>
          <w:rFonts w:ascii="Times New Roman" w:hAnsi="Times New Roman"/>
          <w:sz w:val="26"/>
          <w:szCs w:val="26"/>
        </w:rPr>
        <w:t xml:space="preserve"> Ministru kabineta 2013.gada 21.maija noteikumi Nr.261 „Noteikumi par valsts atbalstu ar celiakiju slimiem bērniem, kuriem nav noteikta invaliditāte”. </w:t>
      </w:r>
    </w:p>
    <w:p w:rsidR="00F10286" w:rsidRPr="006F5CFA" w:rsidRDefault="00F10286" w:rsidP="00F10286">
      <w:pPr>
        <w:ind w:firstLine="720"/>
        <w:jc w:val="both"/>
        <w:rPr>
          <w:rFonts w:ascii="Times New Roman" w:hAnsi="Times New Roman"/>
          <w:sz w:val="26"/>
          <w:szCs w:val="26"/>
        </w:rPr>
      </w:pPr>
      <w:r w:rsidRPr="006F5CFA">
        <w:rPr>
          <w:rFonts w:ascii="Times New Roman" w:hAnsi="Times New Roman"/>
          <w:sz w:val="26"/>
          <w:szCs w:val="26"/>
        </w:rPr>
        <w:t xml:space="preserve">Atbilstoši </w:t>
      </w:r>
      <w:r w:rsidR="004B4D6E" w:rsidRPr="006F5CFA">
        <w:rPr>
          <w:rFonts w:ascii="Times New Roman" w:hAnsi="Times New Roman"/>
          <w:sz w:val="26"/>
          <w:szCs w:val="26"/>
        </w:rPr>
        <w:t>M</w:t>
      </w:r>
      <w:r w:rsidRPr="006F5CFA">
        <w:rPr>
          <w:rFonts w:ascii="Times New Roman" w:hAnsi="Times New Roman"/>
          <w:sz w:val="26"/>
          <w:szCs w:val="26"/>
        </w:rPr>
        <w:t>inistru kabineta noteiktajam atbalsts ir no valsts budžeta izmaksājama naudas summa, kuras ikmēneša apmērs atbilst piemaksas pie ģimenes valsts pabalsta par bērnu invalīdu apmēram, proti, 106,72 EUR</w:t>
      </w:r>
      <w:r w:rsidRPr="006F5CFA">
        <w:rPr>
          <w:rStyle w:val="FootnoteReference"/>
          <w:rFonts w:ascii="Times New Roman" w:hAnsi="Times New Roman"/>
          <w:sz w:val="26"/>
          <w:szCs w:val="26"/>
        </w:rPr>
        <w:footnoteReference w:id="2"/>
      </w:r>
      <w:r w:rsidRPr="006F5CFA">
        <w:rPr>
          <w:rFonts w:ascii="Times New Roman" w:hAnsi="Times New Roman"/>
          <w:sz w:val="26"/>
          <w:szCs w:val="26"/>
        </w:rPr>
        <w:t>.</w:t>
      </w:r>
    </w:p>
    <w:p w:rsidR="00F10286" w:rsidRPr="006F5CFA" w:rsidRDefault="00F10286" w:rsidP="000A1EAE">
      <w:pPr>
        <w:ind w:firstLine="720"/>
        <w:jc w:val="both"/>
        <w:rPr>
          <w:rFonts w:ascii="Times New Roman" w:hAnsi="Times New Roman"/>
          <w:sz w:val="26"/>
          <w:szCs w:val="26"/>
          <w:u w:val="single"/>
        </w:rPr>
      </w:pPr>
      <w:r w:rsidRPr="006F5CFA">
        <w:rPr>
          <w:rFonts w:ascii="Times New Roman" w:hAnsi="Times New Roman"/>
          <w:sz w:val="26"/>
          <w:szCs w:val="26"/>
        </w:rPr>
        <w:t xml:space="preserve">Valsts atbalsta ieviešanas mērķis bija saistīts ar to, ka ar 2004.gada 1.janvāri tika mainīta kārtība, kādā piešķirams bērna invalīda statuss. Iepriekšējā kārtība paredzēja, ka </w:t>
      </w:r>
      <w:r w:rsidRPr="006F5CFA">
        <w:rPr>
          <w:rFonts w:ascii="Times New Roman" w:hAnsi="Times New Roman"/>
          <w:sz w:val="26"/>
          <w:szCs w:val="26"/>
        </w:rPr>
        <w:lastRenderedPageBreak/>
        <w:t>invaliditātes ekspertīzi bērniem vecumā līdz 16 gadiem veica ārstējošais ārsts un bērna invalīda statuss tika piešķirts, pamatojoties uz</w:t>
      </w:r>
      <w:r w:rsidR="000A1EAE" w:rsidRPr="006F5CFA">
        <w:rPr>
          <w:rFonts w:ascii="Times New Roman" w:eastAsiaTheme="minorHAnsi" w:hAnsi="Times New Roman"/>
          <w:sz w:val="26"/>
          <w:szCs w:val="26"/>
        </w:rPr>
        <w:t xml:space="preserve"> slimību un patoloģisko stāvokļu sarakstu</w:t>
      </w:r>
      <w:r w:rsidRPr="006F5CFA">
        <w:rPr>
          <w:rFonts w:ascii="Times New Roman" w:hAnsi="Times New Roman"/>
          <w:sz w:val="26"/>
          <w:szCs w:val="26"/>
        </w:rPr>
        <w:t xml:space="preserve">. Savukārt ar 2004.gada 1.janvāri bērniem vecumā līdz 16 gadiem (ar 2011.gada 1.janvāri – vecumā līdz 18 gadiem) invaliditāti nosaka Veselības un darbspēju ekspertīzes ārstu valsts komisija, pamatojoties uz </w:t>
      </w:r>
      <w:r w:rsidR="000A1EAE" w:rsidRPr="006F5CFA">
        <w:rPr>
          <w:rFonts w:ascii="Times New Roman" w:eastAsiaTheme="minorHAnsi" w:hAnsi="Times New Roman"/>
          <w:sz w:val="26"/>
          <w:szCs w:val="26"/>
        </w:rPr>
        <w:t xml:space="preserve">klīniskā un funkcionālā stāvokļa raksturojumu, kas celiakijas gadījumā paredz invaliditātes noteikšanu pie izteikta malabsorbcijas un </w:t>
      </w:r>
      <w:proofErr w:type="spellStart"/>
      <w:r w:rsidR="000A1EAE" w:rsidRPr="006F5CFA">
        <w:rPr>
          <w:rFonts w:ascii="Times New Roman" w:eastAsiaTheme="minorHAnsi" w:hAnsi="Times New Roman"/>
          <w:sz w:val="26"/>
          <w:szCs w:val="26"/>
        </w:rPr>
        <w:t>malnutricijas</w:t>
      </w:r>
      <w:proofErr w:type="spellEnd"/>
      <w:r w:rsidR="000A1EAE" w:rsidRPr="006F5CFA">
        <w:rPr>
          <w:rFonts w:ascii="Times New Roman" w:eastAsiaTheme="minorHAnsi" w:hAnsi="Times New Roman"/>
          <w:sz w:val="26"/>
          <w:szCs w:val="26"/>
        </w:rPr>
        <w:t xml:space="preserve"> sindroma, kuru pamatojis sertificēts </w:t>
      </w:r>
      <w:proofErr w:type="spellStart"/>
      <w:r w:rsidR="000A1EAE" w:rsidRPr="006F5CFA">
        <w:rPr>
          <w:rFonts w:ascii="Times New Roman" w:eastAsiaTheme="minorHAnsi" w:hAnsi="Times New Roman"/>
          <w:sz w:val="26"/>
          <w:szCs w:val="26"/>
        </w:rPr>
        <w:t>gastroenterologs</w:t>
      </w:r>
      <w:proofErr w:type="spellEnd"/>
      <w:r w:rsidR="000A1EAE" w:rsidRPr="006F5CFA">
        <w:rPr>
          <w:rFonts w:ascii="Times New Roman" w:eastAsiaTheme="minorHAnsi" w:hAnsi="Times New Roman"/>
          <w:sz w:val="26"/>
          <w:szCs w:val="26"/>
        </w:rPr>
        <w:t xml:space="preserve">. </w:t>
      </w:r>
      <w:r w:rsidRPr="006F5CFA">
        <w:rPr>
          <w:rFonts w:ascii="Times New Roman" w:hAnsi="Times New Roman"/>
          <w:sz w:val="26"/>
          <w:szCs w:val="26"/>
        </w:rPr>
        <w:t xml:space="preserve">Līdz ar to </w:t>
      </w:r>
      <w:r w:rsidRPr="006F5CFA">
        <w:rPr>
          <w:rFonts w:ascii="Times New Roman" w:hAnsi="Times New Roman"/>
          <w:sz w:val="26"/>
          <w:szCs w:val="26"/>
          <w:u w:val="single"/>
        </w:rPr>
        <w:t>diagnozes „celiakija” noteikšana bērnam automātiski nenozīmē, ka bērnam būtu nosakāma invaliditāte</w:t>
      </w:r>
      <w:r w:rsidRPr="006F5CFA">
        <w:rPr>
          <w:rFonts w:ascii="Times New Roman" w:hAnsi="Times New Roman"/>
          <w:sz w:val="26"/>
          <w:szCs w:val="26"/>
        </w:rPr>
        <w:t xml:space="preserve">. Savukārt, </w:t>
      </w:r>
      <w:r w:rsidRPr="006F5CFA">
        <w:rPr>
          <w:rFonts w:ascii="Times New Roman" w:hAnsi="Times New Roman"/>
          <w:sz w:val="26"/>
          <w:szCs w:val="26"/>
          <w:u w:val="single"/>
        </w:rPr>
        <w:t>lai kompensētu speciālas pārtikas iegādi ar celiakiju slimiem bērniem, kuriem nav noteikta invaliditāte un nav piešķirta piemaksa pie ģimenes valsts pabalsta par bērnu invalīdu, par šiem bērniem</w:t>
      </w:r>
      <w:r w:rsidR="00D352BC" w:rsidRPr="006F5CFA">
        <w:rPr>
          <w:rFonts w:ascii="Times New Roman" w:hAnsi="Times New Roman"/>
          <w:sz w:val="26"/>
          <w:szCs w:val="26"/>
          <w:u w:val="single"/>
        </w:rPr>
        <w:t xml:space="preserve"> kopš 2005.gada</w:t>
      </w:r>
      <w:r w:rsidRPr="006F5CFA">
        <w:rPr>
          <w:rFonts w:ascii="Times New Roman" w:hAnsi="Times New Roman"/>
          <w:sz w:val="26"/>
          <w:szCs w:val="26"/>
          <w:u w:val="single"/>
        </w:rPr>
        <w:t xml:space="preserve"> tiek piešķirts valsts atbalsts.</w:t>
      </w:r>
    </w:p>
    <w:p w:rsidR="00F10286" w:rsidRPr="006F5CFA" w:rsidRDefault="00F10286" w:rsidP="007566B9">
      <w:pPr>
        <w:ind w:firstLine="720"/>
        <w:jc w:val="both"/>
        <w:rPr>
          <w:rFonts w:ascii="Times New Roman" w:hAnsi="Times New Roman"/>
          <w:color w:val="000000"/>
          <w:sz w:val="26"/>
          <w:szCs w:val="26"/>
          <w:lang w:eastAsia="lv-LV"/>
        </w:rPr>
      </w:pPr>
      <w:r w:rsidRPr="006F5CFA">
        <w:rPr>
          <w:rFonts w:ascii="Times New Roman" w:hAnsi="Times New Roman"/>
          <w:sz w:val="26"/>
          <w:szCs w:val="26"/>
        </w:rPr>
        <w:t xml:space="preserve">Atbalsta izmaksu veic Valsts sociālās apdrošināšanas aģentūra (turpmāk VSAA) no Labklājības ministrijas valsts pamatbudžeta programmas 20.01.00 „Valsts sociālie pabalsti” līdzekļiem. Informāciju par 2005.-2013.gadā izmaksāto valsts atbalstu ar celiakiju slimiem bērniem skatīt attēlā. </w:t>
      </w:r>
    </w:p>
    <w:p w:rsidR="00F10286" w:rsidRPr="00D1178B" w:rsidRDefault="00F10286" w:rsidP="00F10286">
      <w:pPr>
        <w:jc w:val="both"/>
        <w:rPr>
          <w:rFonts w:ascii="Times New Roman" w:hAnsi="Times New Roman"/>
          <w:sz w:val="24"/>
          <w:szCs w:val="24"/>
        </w:rPr>
      </w:pPr>
    </w:p>
    <w:p w:rsidR="00F10286" w:rsidRPr="00D1178B" w:rsidRDefault="00F10286" w:rsidP="00F10286">
      <w:pPr>
        <w:jc w:val="both"/>
        <w:rPr>
          <w:rFonts w:ascii="Times New Roman" w:hAnsi="Times New Roman"/>
          <w:sz w:val="24"/>
          <w:szCs w:val="24"/>
        </w:rPr>
      </w:pPr>
      <w:r w:rsidRPr="00D1178B">
        <w:rPr>
          <w:noProof/>
          <w:lang w:eastAsia="lv-LV"/>
        </w:rPr>
        <w:drawing>
          <wp:inline distT="0" distB="0" distL="0" distR="0" wp14:anchorId="4B15DFED" wp14:editId="213C67AF">
            <wp:extent cx="5486400" cy="3647440"/>
            <wp:effectExtent l="0" t="0" r="19050" b="1016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3A42" w:rsidRDefault="00F10286" w:rsidP="00F10286">
      <w:pPr>
        <w:jc w:val="both"/>
        <w:rPr>
          <w:rFonts w:ascii="Times New Roman" w:hAnsi="Times New Roman"/>
          <w:i/>
          <w:sz w:val="24"/>
          <w:szCs w:val="24"/>
        </w:rPr>
      </w:pPr>
      <w:r w:rsidRPr="00153A42">
        <w:rPr>
          <w:rFonts w:ascii="Times New Roman" w:hAnsi="Times New Roman"/>
          <w:i/>
          <w:sz w:val="24"/>
          <w:szCs w:val="24"/>
        </w:rPr>
        <w:tab/>
      </w:r>
      <w:r w:rsidR="00153A42" w:rsidRPr="00153A42">
        <w:rPr>
          <w:rFonts w:ascii="Times New Roman" w:hAnsi="Times New Roman"/>
          <w:i/>
          <w:sz w:val="24"/>
          <w:szCs w:val="24"/>
        </w:rPr>
        <w:t>Informācijas avots: VSAA</w:t>
      </w:r>
      <w:r w:rsidR="00A961BB">
        <w:rPr>
          <w:rFonts w:ascii="Times New Roman" w:hAnsi="Times New Roman"/>
          <w:i/>
          <w:sz w:val="24"/>
          <w:szCs w:val="24"/>
        </w:rPr>
        <w:t>. 2005.gadā vidējais saņēmēju skaits aprēķināts par 11 mēnešiem, neskaitot janvāri</w:t>
      </w:r>
      <w:r w:rsidR="000C5E9A">
        <w:rPr>
          <w:rFonts w:ascii="Times New Roman" w:hAnsi="Times New Roman"/>
          <w:i/>
          <w:sz w:val="24"/>
          <w:szCs w:val="24"/>
        </w:rPr>
        <w:t xml:space="preserve">, kad </w:t>
      </w:r>
      <w:r w:rsidR="0086658F">
        <w:rPr>
          <w:rFonts w:ascii="Times New Roman" w:hAnsi="Times New Roman"/>
          <w:i/>
          <w:sz w:val="24"/>
          <w:szCs w:val="24"/>
        </w:rPr>
        <w:t>atbalstu saņēma 1 persona.</w:t>
      </w:r>
    </w:p>
    <w:p w:rsidR="0086658F" w:rsidRPr="00D1178B" w:rsidRDefault="0086658F" w:rsidP="00F10286">
      <w:pPr>
        <w:jc w:val="both"/>
        <w:rPr>
          <w:rFonts w:ascii="Times New Roman" w:hAnsi="Times New Roman"/>
          <w:sz w:val="24"/>
          <w:szCs w:val="24"/>
        </w:rPr>
      </w:pPr>
    </w:p>
    <w:p w:rsidR="00A344BC" w:rsidRPr="006F5CFA" w:rsidRDefault="00A344BC" w:rsidP="00A344BC">
      <w:pPr>
        <w:ind w:firstLine="720"/>
        <w:jc w:val="both"/>
        <w:rPr>
          <w:rFonts w:ascii="Times New Roman" w:hAnsi="Times New Roman"/>
          <w:color w:val="000000"/>
          <w:sz w:val="26"/>
          <w:szCs w:val="26"/>
          <w:lang w:eastAsia="lv-LV"/>
        </w:rPr>
      </w:pPr>
      <w:r w:rsidRPr="006F5CFA">
        <w:rPr>
          <w:rFonts w:ascii="Times New Roman" w:hAnsi="Times New Roman"/>
          <w:sz w:val="26"/>
          <w:szCs w:val="26"/>
        </w:rPr>
        <w:t>Izdevumi atbalsta izmaksai ik gadu ir auguši, ko ietekmēja gan atbalsta saņēmēju skaita palielināšanās, gan arī atbalsta apmēra palielināšana ar 2009.gadu no 50 Ls (71,14 EUR) līdz 75 Ls (106,72 EUR) mēnesī. Atbalsta saņēmēju skaita pieauguma iemesli varētu būt slimības</w:t>
      </w:r>
      <w:r w:rsidRPr="006F5CFA">
        <w:rPr>
          <w:rFonts w:ascii="Times New Roman" w:hAnsi="Times New Roman"/>
          <w:color w:val="000000"/>
          <w:sz w:val="26"/>
          <w:szCs w:val="26"/>
          <w:lang w:eastAsia="lv-LV"/>
        </w:rPr>
        <w:t xml:space="preserve"> labākas diagnostikas iespējas Latvijā, pārtikas kvalitātes ietekme (e-vielas, ģenētiski modificēta pārtika) u.c.</w:t>
      </w:r>
    </w:p>
    <w:p w:rsidR="00F10286" w:rsidRPr="006F5CFA" w:rsidRDefault="00F10286" w:rsidP="00F10286">
      <w:pPr>
        <w:ind w:firstLine="720"/>
        <w:jc w:val="both"/>
        <w:rPr>
          <w:rFonts w:ascii="Times New Roman" w:hAnsi="Times New Roman"/>
          <w:bCs/>
          <w:sz w:val="26"/>
          <w:szCs w:val="26"/>
        </w:rPr>
      </w:pPr>
      <w:r w:rsidRPr="006F5CFA">
        <w:rPr>
          <w:rFonts w:ascii="Times New Roman" w:hAnsi="Times New Roman"/>
          <w:bCs/>
          <w:sz w:val="26"/>
          <w:szCs w:val="26"/>
        </w:rPr>
        <w:lastRenderedPageBreak/>
        <w:t>Saskaņā ar L</w:t>
      </w:r>
      <w:r w:rsidR="009A051C" w:rsidRPr="006F5CFA">
        <w:rPr>
          <w:rFonts w:ascii="Times New Roman" w:hAnsi="Times New Roman"/>
          <w:bCs/>
          <w:sz w:val="26"/>
          <w:szCs w:val="26"/>
        </w:rPr>
        <w:t>abklājības ministrijas</w:t>
      </w:r>
      <w:r w:rsidRPr="006F5CFA">
        <w:rPr>
          <w:rFonts w:ascii="Times New Roman" w:hAnsi="Times New Roman"/>
          <w:bCs/>
          <w:sz w:val="26"/>
          <w:szCs w:val="26"/>
        </w:rPr>
        <w:t xml:space="preserve"> pamatbudžeta programmas 20.01.00 „Valsts sociālie pabalsti” budžetu 2014.gadam un projektu 2015.-2016.gadam, arī turpmākajos gados ir plānots atbalsta saņēmēju skaita pieaugums par apmēram 8% gadā:</w:t>
      </w:r>
    </w:p>
    <w:tbl>
      <w:tblPr>
        <w:tblStyle w:val="TableGrid"/>
        <w:tblW w:w="7338" w:type="dxa"/>
        <w:tblLook w:val="04A0" w:firstRow="1" w:lastRow="0" w:firstColumn="1" w:lastColumn="0" w:noHBand="0" w:noVBand="1"/>
      </w:tblPr>
      <w:tblGrid>
        <w:gridCol w:w="3369"/>
        <w:gridCol w:w="1275"/>
        <w:gridCol w:w="1418"/>
        <w:gridCol w:w="1276"/>
      </w:tblGrid>
      <w:tr w:rsidR="00F10286" w:rsidRPr="006F5CFA" w:rsidTr="0040072A">
        <w:trPr>
          <w:trHeight w:val="264"/>
        </w:trPr>
        <w:tc>
          <w:tcPr>
            <w:tcW w:w="3369" w:type="dxa"/>
            <w:noWrap/>
            <w:hideMark/>
          </w:tcPr>
          <w:p w:rsidR="00F10286" w:rsidRPr="006F5CFA" w:rsidRDefault="00F10286" w:rsidP="00CD7F33">
            <w:pPr>
              <w:ind w:left="1440"/>
              <w:jc w:val="center"/>
              <w:rPr>
                <w:rFonts w:ascii="Times New Roman" w:eastAsia="Times New Roman" w:hAnsi="Times New Roman"/>
                <w:b/>
                <w:sz w:val="26"/>
                <w:szCs w:val="26"/>
              </w:rPr>
            </w:pPr>
          </w:p>
        </w:tc>
        <w:tc>
          <w:tcPr>
            <w:tcW w:w="1275" w:type="dxa"/>
            <w:noWrap/>
            <w:hideMark/>
          </w:tcPr>
          <w:p w:rsidR="00F10286" w:rsidRPr="006F5CFA" w:rsidRDefault="00F10286" w:rsidP="0040072A">
            <w:pPr>
              <w:jc w:val="center"/>
              <w:rPr>
                <w:rFonts w:ascii="Times New Roman" w:eastAsia="Times New Roman" w:hAnsi="Times New Roman"/>
                <w:b/>
                <w:sz w:val="26"/>
                <w:szCs w:val="26"/>
              </w:rPr>
            </w:pPr>
            <w:r w:rsidRPr="006F5CFA">
              <w:rPr>
                <w:rFonts w:ascii="Times New Roman" w:eastAsia="Times New Roman" w:hAnsi="Times New Roman"/>
                <w:b/>
                <w:sz w:val="26"/>
                <w:szCs w:val="26"/>
              </w:rPr>
              <w:t>2014</w:t>
            </w:r>
          </w:p>
        </w:tc>
        <w:tc>
          <w:tcPr>
            <w:tcW w:w="1418" w:type="dxa"/>
            <w:noWrap/>
            <w:hideMark/>
          </w:tcPr>
          <w:p w:rsidR="00F10286" w:rsidRPr="006F5CFA" w:rsidRDefault="00F10286" w:rsidP="0040072A">
            <w:pPr>
              <w:jc w:val="center"/>
              <w:rPr>
                <w:rFonts w:ascii="Times New Roman" w:eastAsia="Times New Roman" w:hAnsi="Times New Roman"/>
                <w:b/>
                <w:sz w:val="26"/>
                <w:szCs w:val="26"/>
              </w:rPr>
            </w:pPr>
            <w:r w:rsidRPr="006F5CFA">
              <w:rPr>
                <w:rFonts w:ascii="Times New Roman" w:eastAsia="Times New Roman" w:hAnsi="Times New Roman"/>
                <w:b/>
                <w:sz w:val="26"/>
                <w:szCs w:val="26"/>
              </w:rPr>
              <w:t>2015</w:t>
            </w:r>
          </w:p>
        </w:tc>
        <w:tc>
          <w:tcPr>
            <w:tcW w:w="1276" w:type="dxa"/>
            <w:noWrap/>
            <w:hideMark/>
          </w:tcPr>
          <w:p w:rsidR="00F10286" w:rsidRPr="006F5CFA" w:rsidRDefault="00F10286" w:rsidP="0040072A">
            <w:pPr>
              <w:jc w:val="center"/>
              <w:rPr>
                <w:rFonts w:ascii="Times New Roman" w:eastAsia="Times New Roman" w:hAnsi="Times New Roman"/>
                <w:b/>
                <w:sz w:val="26"/>
                <w:szCs w:val="26"/>
              </w:rPr>
            </w:pPr>
            <w:r w:rsidRPr="006F5CFA">
              <w:rPr>
                <w:rFonts w:ascii="Times New Roman" w:eastAsia="Times New Roman" w:hAnsi="Times New Roman"/>
                <w:b/>
                <w:sz w:val="26"/>
                <w:szCs w:val="26"/>
              </w:rPr>
              <w:t>2016</w:t>
            </w:r>
          </w:p>
        </w:tc>
      </w:tr>
      <w:tr w:rsidR="00F10286" w:rsidRPr="006F5CFA" w:rsidTr="0040072A">
        <w:trPr>
          <w:trHeight w:val="264"/>
        </w:trPr>
        <w:tc>
          <w:tcPr>
            <w:tcW w:w="3369" w:type="dxa"/>
            <w:noWrap/>
            <w:hideMark/>
          </w:tcPr>
          <w:p w:rsidR="00F10286" w:rsidRPr="006F5CFA" w:rsidRDefault="00F10286" w:rsidP="0040072A">
            <w:pPr>
              <w:rPr>
                <w:rFonts w:ascii="Times New Roman" w:eastAsia="Times New Roman" w:hAnsi="Times New Roman"/>
                <w:sz w:val="26"/>
                <w:szCs w:val="26"/>
              </w:rPr>
            </w:pPr>
            <w:r w:rsidRPr="006F5CFA">
              <w:rPr>
                <w:rFonts w:ascii="Times New Roman" w:eastAsia="Times New Roman" w:hAnsi="Times New Roman"/>
                <w:sz w:val="26"/>
                <w:szCs w:val="26"/>
              </w:rPr>
              <w:t>saņēmēju skaits, vidēji mēnesī</w:t>
            </w:r>
          </w:p>
        </w:tc>
        <w:tc>
          <w:tcPr>
            <w:tcW w:w="1275" w:type="dxa"/>
            <w:noWrap/>
            <w:hideMark/>
          </w:tcPr>
          <w:p w:rsidR="00F10286" w:rsidRPr="006F5CFA" w:rsidRDefault="00F10286" w:rsidP="0040072A">
            <w:pPr>
              <w:jc w:val="right"/>
              <w:rPr>
                <w:rFonts w:ascii="Times New Roman" w:eastAsia="Times New Roman" w:hAnsi="Times New Roman"/>
                <w:sz w:val="26"/>
                <w:szCs w:val="26"/>
              </w:rPr>
            </w:pPr>
            <w:r w:rsidRPr="006F5CFA">
              <w:rPr>
                <w:rFonts w:ascii="Times New Roman" w:eastAsia="Times New Roman" w:hAnsi="Times New Roman"/>
                <w:sz w:val="26"/>
                <w:szCs w:val="26"/>
              </w:rPr>
              <w:t>1 559</w:t>
            </w:r>
          </w:p>
        </w:tc>
        <w:tc>
          <w:tcPr>
            <w:tcW w:w="1418" w:type="dxa"/>
            <w:noWrap/>
            <w:hideMark/>
          </w:tcPr>
          <w:p w:rsidR="00F10286" w:rsidRPr="006F5CFA" w:rsidRDefault="00F10286" w:rsidP="0040072A">
            <w:pPr>
              <w:jc w:val="right"/>
              <w:rPr>
                <w:rFonts w:ascii="Times New Roman" w:eastAsia="Times New Roman" w:hAnsi="Times New Roman"/>
                <w:sz w:val="26"/>
                <w:szCs w:val="26"/>
              </w:rPr>
            </w:pPr>
            <w:r w:rsidRPr="006F5CFA">
              <w:rPr>
                <w:rFonts w:ascii="Times New Roman" w:eastAsia="Times New Roman" w:hAnsi="Times New Roman"/>
                <w:sz w:val="26"/>
                <w:szCs w:val="26"/>
              </w:rPr>
              <w:t>1 695</w:t>
            </w:r>
          </w:p>
        </w:tc>
        <w:tc>
          <w:tcPr>
            <w:tcW w:w="1276" w:type="dxa"/>
            <w:noWrap/>
            <w:hideMark/>
          </w:tcPr>
          <w:p w:rsidR="00F10286" w:rsidRPr="006F5CFA" w:rsidRDefault="00F10286" w:rsidP="0040072A">
            <w:pPr>
              <w:jc w:val="right"/>
              <w:rPr>
                <w:rFonts w:ascii="Times New Roman" w:eastAsia="Times New Roman" w:hAnsi="Times New Roman"/>
                <w:sz w:val="26"/>
                <w:szCs w:val="26"/>
              </w:rPr>
            </w:pPr>
            <w:r w:rsidRPr="006F5CFA">
              <w:rPr>
                <w:rFonts w:ascii="Times New Roman" w:eastAsia="Times New Roman" w:hAnsi="Times New Roman"/>
                <w:sz w:val="26"/>
                <w:szCs w:val="26"/>
              </w:rPr>
              <w:t>1 832</w:t>
            </w:r>
          </w:p>
        </w:tc>
      </w:tr>
      <w:tr w:rsidR="00F10286" w:rsidRPr="006F5CFA" w:rsidTr="0040072A">
        <w:trPr>
          <w:trHeight w:val="264"/>
        </w:trPr>
        <w:tc>
          <w:tcPr>
            <w:tcW w:w="3369" w:type="dxa"/>
            <w:noWrap/>
            <w:hideMark/>
          </w:tcPr>
          <w:p w:rsidR="00F10286" w:rsidRPr="006F5CFA" w:rsidRDefault="00F10286" w:rsidP="0040072A">
            <w:pPr>
              <w:rPr>
                <w:rFonts w:ascii="Times New Roman" w:eastAsia="Times New Roman" w:hAnsi="Times New Roman"/>
                <w:sz w:val="26"/>
                <w:szCs w:val="26"/>
              </w:rPr>
            </w:pPr>
            <w:r w:rsidRPr="006F5CFA">
              <w:rPr>
                <w:rFonts w:ascii="Times New Roman" w:eastAsia="Times New Roman" w:hAnsi="Times New Roman"/>
                <w:sz w:val="26"/>
                <w:szCs w:val="26"/>
              </w:rPr>
              <w:t>izdevumi, EUR gadā</w:t>
            </w:r>
          </w:p>
        </w:tc>
        <w:tc>
          <w:tcPr>
            <w:tcW w:w="1275" w:type="dxa"/>
            <w:noWrap/>
            <w:hideMark/>
          </w:tcPr>
          <w:p w:rsidR="00F10286" w:rsidRPr="006F5CFA" w:rsidRDefault="00F10286" w:rsidP="0040072A">
            <w:pPr>
              <w:jc w:val="right"/>
              <w:rPr>
                <w:rFonts w:ascii="Times New Roman" w:eastAsia="Times New Roman" w:hAnsi="Times New Roman"/>
                <w:sz w:val="26"/>
                <w:szCs w:val="26"/>
              </w:rPr>
            </w:pPr>
            <w:r w:rsidRPr="006F5CFA">
              <w:rPr>
                <w:rFonts w:ascii="Times New Roman" w:eastAsia="Times New Roman" w:hAnsi="Times New Roman"/>
                <w:sz w:val="26"/>
                <w:szCs w:val="26"/>
              </w:rPr>
              <w:t>2 023 051</w:t>
            </w:r>
          </w:p>
        </w:tc>
        <w:tc>
          <w:tcPr>
            <w:tcW w:w="1418" w:type="dxa"/>
            <w:noWrap/>
            <w:hideMark/>
          </w:tcPr>
          <w:p w:rsidR="00F10286" w:rsidRPr="006F5CFA" w:rsidRDefault="00F10286" w:rsidP="0040072A">
            <w:pPr>
              <w:jc w:val="right"/>
              <w:rPr>
                <w:rFonts w:ascii="Times New Roman" w:eastAsia="Times New Roman" w:hAnsi="Times New Roman"/>
                <w:sz w:val="26"/>
                <w:szCs w:val="26"/>
              </w:rPr>
            </w:pPr>
            <w:r w:rsidRPr="006F5CFA">
              <w:rPr>
                <w:rFonts w:ascii="Times New Roman" w:eastAsia="Times New Roman" w:hAnsi="Times New Roman"/>
                <w:sz w:val="26"/>
                <w:szCs w:val="26"/>
              </w:rPr>
              <w:t>2 199 532</w:t>
            </w:r>
          </w:p>
        </w:tc>
        <w:tc>
          <w:tcPr>
            <w:tcW w:w="1276" w:type="dxa"/>
            <w:noWrap/>
            <w:hideMark/>
          </w:tcPr>
          <w:p w:rsidR="00F10286" w:rsidRPr="006F5CFA" w:rsidRDefault="00F10286" w:rsidP="0040072A">
            <w:pPr>
              <w:jc w:val="right"/>
              <w:rPr>
                <w:rFonts w:ascii="Times New Roman" w:eastAsia="Times New Roman" w:hAnsi="Times New Roman"/>
                <w:sz w:val="26"/>
                <w:szCs w:val="26"/>
              </w:rPr>
            </w:pPr>
            <w:r w:rsidRPr="006F5CFA">
              <w:rPr>
                <w:rFonts w:ascii="Times New Roman" w:eastAsia="Times New Roman" w:hAnsi="Times New Roman"/>
                <w:sz w:val="26"/>
                <w:szCs w:val="26"/>
              </w:rPr>
              <w:t>2 377 310</w:t>
            </w:r>
          </w:p>
        </w:tc>
      </w:tr>
    </w:tbl>
    <w:p w:rsidR="00F10286" w:rsidRPr="006F5CFA" w:rsidRDefault="00F10286" w:rsidP="00F10286">
      <w:pPr>
        <w:jc w:val="both"/>
        <w:rPr>
          <w:rFonts w:ascii="Times New Roman" w:hAnsi="Times New Roman"/>
          <w:b/>
          <w:sz w:val="26"/>
          <w:szCs w:val="26"/>
        </w:rPr>
      </w:pPr>
    </w:p>
    <w:p w:rsidR="005B2541" w:rsidRPr="006F5CFA" w:rsidRDefault="00F10286" w:rsidP="00F10286">
      <w:pPr>
        <w:jc w:val="both"/>
        <w:rPr>
          <w:rFonts w:ascii="Times New Roman" w:hAnsi="Times New Roman"/>
          <w:sz w:val="26"/>
          <w:szCs w:val="26"/>
        </w:rPr>
      </w:pPr>
      <w:r w:rsidRPr="006F5CFA">
        <w:rPr>
          <w:rFonts w:ascii="Times New Roman" w:hAnsi="Times New Roman"/>
          <w:sz w:val="26"/>
          <w:szCs w:val="26"/>
        </w:rPr>
        <w:tab/>
        <w:t>Somijas Celiakijas sabiedrības apkopotā informācija</w:t>
      </w:r>
      <w:r w:rsidR="00021E65" w:rsidRPr="006F5CFA">
        <w:rPr>
          <w:rFonts w:ascii="Times New Roman" w:hAnsi="Times New Roman"/>
          <w:sz w:val="26"/>
          <w:szCs w:val="26"/>
        </w:rPr>
        <w:t xml:space="preserve"> </w:t>
      </w:r>
      <w:r w:rsidR="00AE06D3" w:rsidRPr="006F5CFA">
        <w:rPr>
          <w:rFonts w:ascii="Times New Roman" w:hAnsi="Times New Roman"/>
          <w:sz w:val="26"/>
          <w:szCs w:val="26"/>
        </w:rPr>
        <w:t xml:space="preserve">(kas pieejama Latvijas Celiakijas pacientu biedrībai „Dzīve bez </w:t>
      </w:r>
      <w:proofErr w:type="spellStart"/>
      <w:r w:rsidR="00AE06D3" w:rsidRPr="006F5CFA">
        <w:rPr>
          <w:rFonts w:ascii="Times New Roman" w:hAnsi="Times New Roman"/>
          <w:sz w:val="26"/>
          <w:szCs w:val="26"/>
        </w:rPr>
        <w:t>glutēna</w:t>
      </w:r>
      <w:proofErr w:type="spellEnd"/>
      <w:r w:rsidR="00AE06D3" w:rsidRPr="006F5CFA">
        <w:rPr>
          <w:rFonts w:ascii="Times New Roman" w:hAnsi="Times New Roman"/>
          <w:sz w:val="26"/>
          <w:szCs w:val="26"/>
        </w:rPr>
        <w:t>”)</w:t>
      </w:r>
      <w:r w:rsidR="00AE06D3">
        <w:rPr>
          <w:rFonts w:ascii="Times New Roman" w:hAnsi="Times New Roman"/>
          <w:sz w:val="26"/>
          <w:szCs w:val="26"/>
        </w:rPr>
        <w:t xml:space="preserve"> </w:t>
      </w:r>
      <w:r w:rsidR="00021E65" w:rsidRPr="006F5CFA">
        <w:rPr>
          <w:rFonts w:ascii="Times New Roman" w:hAnsi="Times New Roman"/>
          <w:sz w:val="26"/>
          <w:szCs w:val="26"/>
        </w:rPr>
        <w:t>par 28 pasaules valstīs</w:t>
      </w:r>
      <w:proofErr w:type="gramStart"/>
      <w:r w:rsidR="00021E65" w:rsidRPr="006F5CFA">
        <w:rPr>
          <w:rFonts w:ascii="Times New Roman" w:hAnsi="Times New Roman"/>
          <w:sz w:val="26"/>
          <w:szCs w:val="26"/>
        </w:rPr>
        <w:t xml:space="preserve">  </w:t>
      </w:r>
      <w:proofErr w:type="gramEnd"/>
      <w:r w:rsidR="00021E65" w:rsidRPr="006F5CFA">
        <w:rPr>
          <w:rFonts w:ascii="Times New Roman" w:hAnsi="Times New Roman"/>
          <w:sz w:val="26"/>
          <w:szCs w:val="26"/>
        </w:rPr>
        <w:t>esošo</w:t>
      </w:r>
      <w:r w:rsidRPr="006F5CFA">
        <w:rPr>
          <w:rFonts w:ascii="Times New Roman" w:hAnsi="Times New Roman"/>
          <w:sz w:val="26"/>
          <w:szCs w:val="26"/>
        </w:rPr>
        <w:t xml:space="preserve"> atbalst</w:t>
      </w:r>
      <w:r w:rsidR="00C345F0" w:rsidRPr="006F5CFA">
        <w:rPr>
          <w:rFonts w:ascii="Times New Roman" w:hAnsi="Times New Roman"/>
          <w:sz w:val="26"/>
          <w:szCs w:val="26"/>
        </w:rPr>
        <w:t>u</w:t>
      </w:r>
      <w:r w:rsidRPr="006F5CFA">
        <w:rPr>
          <w:rFonts w:ascii="Times New Roman" w:hAnsi="Times New Roman"/>
          <w:sz w:val="26"/>
          <w:szCs w:val="26"/>
        </w:rPr>
        <w:t xml:space="preserve"> ar celiakiju slimiem bērniem </w:t>
      </w:r>
      <w:r w:rsidR="00C345F0" w:rsidRPr="006F5CFA">
        <w:rPr>
          <w:rFonts w:ascii="Times New Roman" w:hAnsi="Times New Roman"/>
          <w:sz w:val="26"/>
          <w:szCs w:val="26"/>
        </w:rPr>
        <w:t xml:space="preserve">2013.gadā </w:t>
      </w:r>
      <w:r w:rsidR="00021E65" w:rsidRPr="006F5CFA">
        <w:rPr>
          <w:rFonts w:ascii="Times New Roman" w:hAnsi="Times New Roman"/>
          <w:sz w:val="26"/>
          <w:szCs w:val="26"/>
        </w:rPr>
        <w:t>liecina</w:t>
      </w:r>
      <w:r w:rsidRPr="006F5CFA">
        <w:rPr>
          <w:rFonts w:ascii="Times New Roman" w:hAnsi="Times New Roman"/>
          <w:sz w:val="26"/>
          <w:szCs w:val="26"/>
        </w:rPr>
        <w:t xml:space="preserve">, ka </w:t>
      </w:r>
      <w:r w:rsidR="00353E2C" w:rsidRPr="006F5CFA">
        <w:rPr>
          <w:rFonts w:ascii="Times New Roman" w:hAnsi="Times New Roman"/>
          <w:sz w:val="26"/>
          <w:szCs w:val="26"/>
        </w:rPr>
        <w:t>finansi</w:t>
      </w:r>
      <w:r w:rsidR="00256E07" w:rsidRPr="006F5CFA">
        <w:rPr>
          <w:rFonts w:ascii="Times New Roman" w:hAnsi="Times New Roman"/>
          <w:sz w:val="26"/>
          <w:szCs w:val="26"/>
        </w:rPr>
        <w:t>āl</w:t>
      </w:r>
      <w:r w:rsidR="00353E2C" w:rsidRPr="006F5CFA">
        <w:rPr>
          <w:rFonts w:ascii="Times New Roman" w:hAnsi="Times New Roman"/>
          <w:sz w:val="26"/>
          <w:szCs w:val="26"/>
        </w:rPr>
        <w:t xml:space="preserve">s </w:t>
      </w:r>
      <w:r w:rsidR="00FC32F7" w:rsidRPr="006F5CFA">
        <w:rPr>
          <w:rFonts w:ascii="Times New Roman" w:hAnsi="Times New Roman"/>
          <w:sz w:val="26"/>
          <w:szCs w:val="26"/>
        </w:rPr>
        <w:t>at</w:t>
      </w:r>
      <w:r w:rsidR="00353E2C" w:rsidRPr="006F5CFA">
        <w:rPr>
          <w:rFonts w:ascii="Times New Roman" w:hAnsi="Times New Roman"/>
          <w:sz w:val="26"/>
          <w:szCs w:val="26"/>
        </w:rPr>
        <w:t>balsts ar celiakiju slimiem bērniem tiek izmaksāts 1</w:t>
      </w:r>
      <w:r w:rsidR="0054075F" w:rsidRPr="006F5CFA">
        <w:rPr>
          <w:rFonts w:ascii="Times New Roman" w:hAnsi="Times New Roman"/>
          <w:sz w:val="26"/>
          <w:szCs w:val="26"/>
        </w:rPr>
        <w:t>6</w:t>
      </w:r>
      <w:r w:rsidR="00353E2C" w:rsidRPr="006F5CFA">
        <w:rPr>
          <w:rFonts w:ascii="Times New Roman" w:hAnsi="Times New Roman"/>
          <w:sz w:val="26"/>
          <w:szCs w:val="26"/>
        </w:rPr>
        <w:t xml:space="preserve"> valstīs</w:t>
      </w:r>
      <w:r w:rsidR="00017349" w:rsidRPr="006F5CFA">
        <w:rPr>
          <w:rFonts w:ascii="Times New Roman" w:hAnsi="Times New Roman"/>
          <w:sz w:val="26"/>
          <w:szCs w:val="26"/>
        </w:rPr>
        <w:t xml:space="preserve"> (Beļģija, Čehija, Dānija, Grieķija, Somija, Francija, Ungārija, </w:t>
      </w:r>
      <w:r w:rsidR="0054075F" w:rsidRPr="006F5CFA">
        <w:rPr>
          <w:rFonts w:ascii="Times New Roman" w:hAnsi="Times New Roman"/>
          <w:sz w:val="26"/>
          <w:szCs w:val="26"/>
        </w:rPr>
        <w:t xml:space="preserve">Vācija, </w:t>
      </w:r>
      <w:r w:rsidR="00017349" w:rsidRPr="006F5CFA">
        <w:rPr>
          <w:rFonts w:ascii="Times New Roman" w:hAnsi="Times New Roman"/>
          <w:sz w:val="26"/>
          <w:szCs w:val="26"/>
        </w:rPr>
        <w:t>Itālija, Latvija, Luksemburga, Norvēģija, Zviedrija, Šveice, Lielbritānija, Jaunzēlande). F</w:t>
      </w:r>
      <w:r w:rsidR="00353E2C" w:rsidRPr="006F5CFA">
        <w:rPr>
          <w:rFonts w:ascii="Times New Roman" w:hAnsi="Times New Roman"/>
          <w:sz w:val="26"/>
          <w:szCs w:val="26"/>
        </w:rPr>
        <w:t xml:space="preserve">inansiāls </w:t>
      </w:r>
      <w:r w:rsidR="00FC32F7" w:rsidRPr="006F5CFA">
        <w:rPr>
          <w:rFonts w:ascii="Times New Roman" w:hAnsi="Times New Roman"/>
          <w:sz w:val="26"/>
          <w:szCs w:val="26"/>
        </w:rPr>
        <w:t>at</w:t>
      </w:r>
      <w:r w:rsidR="00353E2C" w:rsidRPr="006F5CFA">
        <w:rPr>
          <w:rFonts w:ascii="Times New Roman" w:hAnsi="Times New Roman"/>
          <w:sz w:val="26"/>
          <w:szCs w:val="26"/>
        </w:rPr>
        <w:t xml:space="preserve">balsts </w:t>
      </w:r>
      <w:r w:rsidR="00017349" w:rsidRPr="006F5CFA">
        <w:rPr>
          <w:rFonts w:ascii="Times New Roman" w:hAnsi="Times New Roman"/>
          <w:sz w:val="26"/>
          <w:szCs w:val="26"/>
        </w:rPr>
        <w:t xml:space="preserve">ar celiakiju slimiem bērniem netiek izmaksāts </w:t>
      </w:r>
      <w:r w:rsidRPr="006F5CFA">
        <w:rPr>
          <w:rFonts w:ascii="Times New Roman" w:hAnsi="Times New Roman"/>
          <w:sz w:val="26"/>
          <w:szCs w:val="26"/>
        </w:rPr>
        <w:t>1</w:t>
      </w:r>
      <w:r w:rsidR="0054075F" w:rsidRPr="006F5CFA">
        <w:rPr>
          <w:rFonts w:ascii="Times New Roman" w:hAnsi="Times New Roman"/>
          <w:sz w:val="26"/>
          <w:szCs w:val="26"/>
        </w:rPr>
        <w:t>2</w:t>
      </w:r>
      <w:r w:rsidRPr="006F5CFA">
        <w:rPr>
          <w:rFonts w:ascii="Times New Roman" w:hAnsi="Times New Roman"/>
          <w:sz w:val="26"/>
          <w:szCs w:val="26"/>
        </w:rPr>
        <w:t xml:space="preserve"> valstīs</w:t>
      </w:r>
      <w:r w:rsidR="00017349" w:rsidRPr="006F5CFA">
        <w:rPr>
          <w:rFonts w:ascii="Times New Roman" w:hAnsi="Times New Roman"/>
          <w:sz w:val="26"/>
          <w:szCs w:val="26"/>
        </w:rPr>
        <w:t xml:space="preserve"> (Andora, Horvātija, Īrija, Nīderlande, Polija, Spānija,</w:t>
      </w:r>
      <w:r w:rsidR="0054075F" w:rsidRPr="006F5CFA">
        <w:rPr>
          <w:rFonts w:ascii="Times New Roman" w:hAnsi="Times New Roman"/>
          <w:sz w:val="26"/>
          <w:szCs w:val="26"/>
        </w:rPr>
        <w:t xml:space="preserve"> Kipra,</w:t>
      </w:r>
      <w:r w:rsidR="00017349" w:rsidRPr="006F5CFA">
        <w:rPr>
          <w:rFonts w:ascii="Times New Roman" w:hAnsi="Times New Roman"/>
          <w:sz w:val="26"/>
          <w:szCs w:val="26"/>
        </w:rPr>
        <w:t xml:space="preserve"> Austrālija, Kanāda, Čīle, Pakistāna, ASV)</w:t>
      </w:r>
      <w:r w:rsidR="00532536" w:rsidRPr="006F5CFA">
        <w:rPr>
          <w:rFonts w:ascii="Times New Roman" w:hAnsi="Times New Roman"/>
          <w:sz w:val="26"/>
          <w:szCs w:val="26"/>
        </w:rPr>
        <w:t xml:space="preserve">. </w:t>
      </w:r>
      <w:r w:rsidR="00AE06D3">
        <w:rPr>
          <w:rFonts w:ascii="Times New Roman" w:hAnsi="Times New Roman"/>
          <w:sz w:val="26"/>
          <w:szCs w:val="26"/>
        </w:rPr>
        <w:t>D</w:t>
      </w:r>
      <w:r w:rsidR="00532536" w:rsidRPr="006F5CFA">
        <w:rPr>
          <w:rFonts w:ascii="Times New Roman" w:hAnsi="Times New Roman"/>
          <w:sz w:val="26"/>
          <w:szCs w:val="26"/>
        </w:rPr>
        <w:t xml:space="preserve">aļā valstu – gan tādās, kur tiek maksāts finansiāls pabalsts, gan tādās, kurās šāda pabalsta nav - pastāv citi atbalsta sniegšanas veidi, piemēram, noteikta daudzuma </w:t>
      </w:r>
      <w:proofErr w:type="spellStart"/>
      <w:r w:rsidR="00532536" w:rsidRPr="006F5CFA">
        <w:rPr>
          <w:rFonts w:ascii="Times New Roman" w:hAnsi="Times New Roman"/>
          <w:sz w:val="26"/>
          <w:szCs w:val="26"/>
        </w:rPr>
        <w:t>bezglutēna</w:t>
      </w:r>
      <w:proofErr w:type="spellEnd"/>
      <w:r w:rsidR="00532536" w:rsidRPr="006F5CFA">
        <w:rPr>
          <w:rFonts w:ascii="Times New Roman" w:hAnsi="Times New Roman"/>
          <w:sz w:val="26"/>
          <w:szCs w:val="26"/>
        </w:rPr>
        <w:t xml:space="preserve"> miltu izsniegšana, bezmaksas sabiedriskais transports, </w:t>
      </w:r>
      <w:r w:rsidR="00375A1B" w:rsidRPr="006F5CFA">
        <w:rPr>
          <w:rFonts w:ascii="Times New Roman" w:hAnsi="Times New Roman"/>
          <w:sz w:val="26"/>
          <w:szCs w:val="26"/>
        </w:rPr>
        <w:t xml:space="preserve">ēdiena gatavošanas kursi, </w:t>
      </w:r>
      <w:r w:rsidR="00532536" w:rsidRPr="006F5CFA">
        <w:rPr>
          <w:rFonts w:ascii="Times New Roman" w:hAnsi="Times New Roman"/>
          <w:sz w:val="26"/>
          <w:szCs w:val="26"/>
        </w:rPr>
        <w:t>nodokļu atlaides speciālajai</w:t>
      </w:r>
      <w:r w:rsidR="005B2541" w:rsidRPr="006F5CFA">
        <w:rPr>
          <w:rFonts w:ascii="Times New Roman" w:hAnsi="Times New Roman"/>
          <w:sz w:val="26"/>
          <w:szCs w:val="26"/>
        </w:rPr>
        <w:t xml:space="preserve"> pārtikai</w:t>
      </w:r>
      <w:r w:rsidR="00C345F0" w:rsidRPr="006F5CFA">
        <w:rPr>
          <w:rFonts w:ascii="Times New Roman" w:hAnsi="Times New Roman"/>
          <w:sz w:val="26"/>
          <w:szCs w:val="26"/>
        </w:rPr>
        <w:t xml:space="preserve"> u.c.</w:t>
      </w:r>
      <w:r w:rsidR="00532536" w:rsidRPr="006F5CFA">
        <w:rPr>
          <w:rFonts w:ascii="Times New Roman" w:hAnsi="Times New Roman"/>
          <w:sz w:val="26"/>
          <w:szCs w:val="26"/>
        </w:rPr>
        <w:t xml:space="preserve"> </w:t>
      </w:r>
      <w:r w:rsidR="00AE06D3">
        <w:rPr>
          <w:rFonts w:ascii="Times New Roman" w:hAnsi="Times New Roman"/>
          <w:sz w:val="26"/>
          <w:szCs w:val="26"/>
        </w:rPr>
        <w:t xml:space="preserve">Jāatzīmē, ka </w:t>
      </w:r>
      <w:r w:rsidRPr="006F5CFA">
        <w:rPr>
          <w:rFonts w:ascii="Times New Roman" w:hAnsi="Times New Roman"/>
          <w:sz w:val="26"/>
          <w:szCs w:val="26"/>
        </w:rPr>
        <w:t xml:space="preserve">Latvijā noteiktais </w:t>
      </w:r>
      <w:r w:rsidR="00AE06D3">
        <w:rPr>
          <w:rFonts w:ascii="Times New Roman" w:hAnsi="Times New Roman"/>
          <w:sz w:val="26"/>
          <w:szCs w:val="26"/>
        </w:rPr>
        <w:t xml:space="preserve">finansiālā </w:t>
      </w:r>
      <w:r w:rsidRPr="006F5CFA">
        <w:rPr>
          <w:rFonts w:ascii="Times New Roman" w:hAnsi="Times New Roman"/>
          <w:sz w:val="26"/>
          <w:szCs w:val="26"/>
        </w:rPr>
        <w:t xml:space="preserve">atbalsta apmērs </w:t>
      </w:r>
      <w:r w:rsidR="007F2D27" w:rsidRPr="006F5CFA">
        <w:rPr>
          <w:rFonts w:ascii="Times New Roman" w:hAnsi="Times New Roman"/>
          <w:sz w:val="26"/>
          <w:szCs w:val="26"/>
        </w:rPr>
        <w:t>ir viens no lielākaji</w:t>
      </w:r>
      <w:r w:rsidR="004D7D4B" w:rsidRPr="006F5CFA">
        <w:rPr>
          <w:rFonts w:ascii="Times New Roman" w:hAnsi="Times New Roman"/>
          <w:sz w:val="26"/>
          <w:szCs w:val="26"/>
        </w:rPr>
        <w:t>e</w:t>
      </w:r>
      <w:r w:rsidR="007F2D27" w:rsidRPr="006F5CFA">
        <w:rPr>
          <w:rFonts w:ascii="Times New Roman" w:hAnsi="Times New Roman"/>
          <w:sz w:val="26"/>
          <w:szCs w:val="26"/>
        </w:rPr>
        <w:t>m</w:t>
      </w:r>
      <w:r w:rsidRPr="006F5CFA">
        <w:rPr>
          <w:rFonts w:ascii="Times New Roman" w:hAnsi="Times New Roman"/>
          <w:sz w:val="26"/>
          <w:szCs w:val="26"/>
        </w:rPr>
        <w:t xml:space="preserve"> – vēl lielāks atbalsta apmērs ir tikai Dānijā</w:t>
      </w:r>
      <w:r w:rsidR="00C345F0" w:rsidRPr="006F5CFA">
        <w:rPr>
          <w:rFonts w:ascii="Times New Roman" w:hAnsi="Times New Roman"/>
          <w:sz w:val="26"/>
          <w:szCs w:val="26"/>
        </w:rPr>
        <w:t xml:space="preserve"> (65-137 EUR)</w:t>
      </w:r>
      <w:r w:rsidRPr="006F5CFA">
        <w:rPr>
          <w:rFonts w:ascii="Times New Roman" w:hAnsi="Times New Roman"/>
          <w:sz w:val="26"/>
          <w:szCs w:val="26"/>
        </w:rPr>
        <w:t xml:space="preserve">, Grieķijā </w:t>
      </w:r>
      <w:r w:rsidR="00C345F0" w:rsidRPr="006F5CFA">
        <w:rPr>
          <w:rFonts w:ascii="Times New Roman" w:hAnsi="Times New Roman"/>
          <w:sz w:val="26"/>
          <w:szCs w:val="26"/>
        </w:rPr>
        <w:t xml:space="preserve">(150 EUR) </w:t>
      </w:r>
      <w:r w:rsidRPr="006F5CFA">
        <w:rPr>
          <w:rFonts w:ascii="Times New Roman" w:hAnsi="Times New Roman"/>
          <w:sz w:val="26"/>
          <w:szCs w:val="26"/>
        </w:rPr>
        <w:t>un Norvēģijā (</w:t>
      </w:r>
      <w:r w:rsidR="005B2541" w:rsidRPr="006F5CFA">
        <w:rPr>
          <w:rFonts w:ascii="Times New Roman" w:hAnsi="Times New Roman"/>
          <w:sz w:val="26"/>
          <w:szCs w:val="26"/>
        </w:rPr>
        <w:t>126-243 EUR)</w:t>
      </w:r>
      <w:r w:rsidRPr="006F5CFA">
        <w:rPr>
          <w:rFonts w:ascii="Times New Roman" w:hAnsi="Times New Roman"/>
          <w:sz w:val="26"/>
          <w:szCs w:val="26"/>
        </w:rPr>
        <w:t>.</w:t>
      </w:r>
    </w:p>
    <w:p w:rsidR="00F10286" w:rsidRPr="006F5CFA" w:rsidRDefault="00B30566" w:rsidP="00B30566">
      <w:pPr>
        <w:ind w:firstLine="720"/>
        <w:jc w:val="both"/>
        <w:rPr>
          <w:rFonts w:ascii="Times New Roman" w:hAnsi="Times New Roman"/>
          <w:sz w:val="26"/>
          <w:szCs w:val="26"/>
        </w:rPr>
      </w:pPr>
      <w:r w:rsidRPr="006F5CFA">
        <w:rPr>
          <w:rFonts w:ascii="Times New Roman" w:hAnsi="Times New Roman"/>
          <w:sz w:val="26"/>
          <w:szCs w:val="26"/>
        </w:rPr>
        <w:t xml:space="preserve">Savukārt attiecībā uz atbalsta sniegšanu ar celiakiju slimajiem pieaugušajiem Somijas Celiakijas sabiedrības apkopotā informācija liecina, ka </w:t>
      </w:r>
      <w:r w:rsidR="00F10286" w:rsidRPr="006F5CFA">
        <w:rPr>
          <w:rFonts w:ascii="Times New Roman" w:hAnsi="Times New Roman"/>
          <w:sz w:val="26"/>
          <w:szCs w:val="26"/>
        </w:rPr>
        <w:t>11 valstīs ar celiakiju slimiem pieaugušajiem arī t</w:t>
      </w:r>
      <w:r w:rsidRPr="006F5CFA">
        <w:rPr>
          <w:rFonts w:ascii="Times New Roman" w:hAnsi="Times New Roman"/>
          <w:sz w:val="26"/>
          <w:szCs w:val="26"/>
        </w:rPr>
        <w:t xml:space="preserve">iek sniegts finansiāls atbalsts (Beļģija, Dānija, Grieķija, Somija, Francija, </w:t>
      </w:r>
      <w:r w:rsidR="0054075F" w:rsidRPr="006F5CFA">
        <w:rPr>
          <w:rFonts w:ascii="Times New Roman" w:hAnsi="Times New Roman"/>
          <w:sz w:val="26"/>
          <w:szCs w:val="26"/>
        </w:rPr>
        <w:t xml:space="preserve">Vācija, Itālija, </w:t>
      </w:r>
      <w:r w:rsidR="00FC32F7" w:rsidRPr="006F5CFA">
        <w:rPr>
          <w:rFonts w:ascii="Times New Roman" w:hAnsi="Times New Roman"/>
          <w:sz w:val="26"/>
          <w:szCs w:val="26"/>
        </w:rPr>
        <w:t>Luks</w:t>
      </w:r>
      <w:r w:rsidR="0008044E" w:rsidRPr="006F5CFA">
        <w:rPr>
          <w:rFonts w:ascii="Times New Roman" w:hAnsi="Times New Roman"/>
          <w:sz w:val="26"/>
          <w:szCs w:val="26"/>
        </w:rPr>
        <w:t>e</w:t>
      </w:r>
      <w:r w:rsidR="00FC32F7" w:rsidRPr="006F5CFA">
        <w:rPr>
          <w:rFonts w:ascii="Times New Roman" w:hAnsi="Times New Roman"/>
          <w:sz w:val="26"/>
          <w:szCs w:val="26"/>
        </w:rPr>
        <w:t xml:space="preserve">mburga, Norvēģija, Lielbritānija, Jaunzēlande). </w:t>
      </w:r>
    </w:p>
    <w:p w:rsidR="00F10286" w:rsidRPr="006F5CFA" w:rsidRDefault="00F10286" w:rsidP="00F10286">
      <w:pPr>
        <w:jc w:val="both"/>
        <w:rPr>
          <w:rFonts w:ascii="Times New Roman" w:hAnsi="Times New Roman"/>
          <w:b/>
          <w:sz w:val="26"/>
          <w:szCs w:val="26"/>
        </w:rPr>
      </w:pPr>
    </w:p>
    <w:p w:rsidR="00F10286" w:rsidRPr="006F5CFA" w:rsidRDefault="00F10286" w:rsidP="00F10286">
      <w:pPr>
        <w:jc w:val="both"/>
        <w:rPr>
          <w:rFonts w:ascii="Times New Roman" w:hAnsi="Times New Roman"/>
          <w:b/>
          <w:sz w:val="26"/>
          <w:szCs w:val="26"/>
        </w:rPr>
      </w:pPr>
      <w:r w:rsidRPr="006F5CFA">
        <w:rPr>
          <w:rFonts w:ascii="Times New Roman" w:hAnsi="Times New Roman"/>
          <w:b/>
          <w:sz w:val="26"/>
          <w:szCs w:val="26"/>
        </w:rPr>
        <w:t xml:space="preserve">2. </w:t>
      </w:r>
      <w:r w:rsidR="0031499E" w:rsidRPr="006F5CFA">
        <w:rPr>
          <w:rFonts w:ascii="Times New Roman" w:hAnsi="Times New Roman"/>
          <w:b/>
          <w:sz w:val="26"/>
          <w:szCs w:val="26"/>
        </w:rPr>
        <w:t>Priekšlikumu apraksts</w:t>
      </w:r>
    </w:p>
    <w:p w:rsidR="00F10286" w:rsidRPr="006F5CFA" w:rsidRDefault="00F10286" w:rsidP="00F10286">
      <w:pPr>
        <w:ind w:firstLine="720"/>
        <w:jc w:val="both"/>
        <w:rPr>
          <w:rFonts w:ascii="Times New Roman" w:hAnsi="Times New Roman"/>
          <w:sz w:val="26"/>
          <w:szCs w:val="26"/>
        </w:rPr>
      </w:pPr>
    </w:p>
    <w:p w:rsidR="00902A96" w:rsidRPr="006F5CFA" w:rsidRDefault="00902A96" w:rsidP="00902A96">
      <w:pPr>
        <w:jc w:val="both"/>
        <w:rPr>
          <w:rFonts w:ascii="Times New Roman" w:hAnsi="Times New Roman"/>
          <w:i/>
          <w:sz w:val="26"/>
          <w:szCs w:val="26"/>
          <w:u w:val="single"/>
        </w:rPr>
      </w:pPr>
      <w:r w:rsidRPr="006F5CFA">
        <w:rPr>
          <w:rFonts w:ascii="Times New Roman" w:hAnsi="Times New Roman"/>
          <w:i/>
          <w:sz w:val="26"/>
          <w:szCs w:val="26"/>
          <w:u w:val="single"/>
        </w:rPr>
        <w:t>1. Atbalsta izmaksas perioda pagarināšana līdz personas 24 gadu vecumam, ja mācās</w:t>
      </w:r>
    </w:p>
    <w:p w:rsidR="00902A96" w:rsidRPr="006F5CFA" w:rsidRDefault="00902A96" w:rsidP="00902A96">
      <w:pPr>
        <w:jc w:val="both"/>
        <w:rPr>
          <w:rFonts w:ascii="Times New Roman" w:hAnsi="Times New Roman"/>
          <w:sz w:val="26"/>
          <w:szCs w:val="26"/>
        </w:rPr>
      </w:pPr>
    </w:p>
    <w:p w:rsidR="00902A96" w:rsidRPr="006F5CFA" w:rsidRDefault="00902A96" w:rsidP="00902A96">
      <w:pPr>
        <w:ind w:firstLine="720"/>
        <w:jc w:val="both"/>
        <w:rPr>
          <w:rFonts w:ascii="Times New Roman" w:hAnsi="Times New Roman"/>
          <w:sz w:val="26"/>
          <w:szCs w:val="26"/>
        </w:rPr>
      </w:pPr>
      <w:r w:rsidRPr="006F5CFA">
        <w:rPr>
          <w:rFonts w:ascii="Times New Roman" w:hAnsi="Times New Roman"/>
          <w:sz w:val="26"/>
          <w:szCs w:val="26"/>
        </w:rPr>
        <w:t xml:space="preserve">Atbilstoši Ministru kabineta 2013.gada 21.maija noteikumu Nr.261 „Noteikumi par valsts atbalstu ar celiakiju slimiem bērniem, kuriem nav noteikta invaliditāte” 3.punktu tiesības uz atbalsta saņemšanu ir ar celiakiju slimam bērnam vecumā </w:t>
      </w:r>
      <w:r w:rsidRPr="006F5CFA">
        <w:rPr>
          <w:rFonts w:ascii="Times New Roman" w:hAnsi="Times New Roman"/>
          <w:sz w:val="26"/>
          <w:szCs w:val="26"/>
          <w:u w:val="single"/>
        </w:rPr>
        <w:t>līdz 18 gadiem</w:t>
      </w:r>
      <w:r w:rsidRPr="006F5CFA">
        <w:rPr>
          <w:rFonts w:ascii="Times New Roman" w:hAnsi="Times New Roman"/>
          <w:sz w:val="26"/>
          <w:szCs w:val="26"/>
        </w:rPr>
        <w:t xml:space="preserve">. Lai saņemtu atbalstu, ne retāk kā reizi divos gados bērnam ir jāapmeklē </w:t>
      </w:r>
      <w:proofErr w:type="spellStart"/>
      <w:r w:rsidRPr="006F5CFA">
        <w:rPr>
          <w:rFonts w:ascii="Times New Roman" w:hAnsi="Times New Roman"/>
          <w:sz w:val="26"/>
          <w:szCs w:val="26"/>
        </w:rPr>
        <w:t>gastroenterologs</w:t>
      </w:r>
      <w:proofErr w:type="spellEnd"/>
      <w:r w:rsidRPr="006F5CFA">
        <w:rPr>
          <w:rFonts w:ascii="Times New Roman" w:hAnsi="Times New Roman"/>
          <w:sz w:val="26"/>
          <w:szCs w:val="26"/>
        </w:rPr>
        <w:t>.</w:t>
      </w:r>
    </w:p>
    <w:p w:rsidR="00902A96" w:rsidRPr="006F5CFA" w:rsidRDefault="00902A96" w:rsidP="00902A96">
      <w:pPr>
        <w:ind w:firstLine="720"/>
        <w:jc w:val="both"/>
        <w:rPr>
          <w:rFonts w:ascii="Times New Roman" w:hAnsi="Times New Roman"/>
          <w:sz w:val="26"/>
          <w:szCs w:val="26"/>
        </w:rPr>
      </w:pPr>
      <w:r w:rsidRPr="006F5CFA">
        <w:rPr>
          <w:rFonts w:ascii="Times New Roman" w:hAnsi="Times New Roman"/>
          <w:sz w:val="26"/>
          <w:szCs w:val="26"/>
        </w:rPr>
        <w:t xml:space="preserve">2013.gada 23.janvārī Saeimas Sociālo un darba lietu komisija </w:t>
      </w:r>
      <w:r w:rsidR="002B31A4" w:rsidRPr="006F5CFA">
        <w:rPr>
          <w:rFonts w:ascii="Times New Roman" w:hAnsi="Times New Roman"/>
          <w:sz w:val="26"/>
          <w:szCs w:val="26"/>
        </w:rPr>
        <w:t>(turpmāk – S</w:t>
      </w:r>
      <w:r w:rsidR="00FB3A69" w:rsidRPr="006F5CFA">
        <w:rPr>
          <w:rFonts w:ascii="Times New Roman" w:hAnsi="Times New Roman"/>
          <w:sz w:val="26"/>
          <w:szCs w:val="26"/>
        </w:rPr>
        <w:t>S</w:t>
      </w:r>
      <w:r w:rsidR="002B31A4" w:rsidRPr="006F5CFA">
        <w:rPr>
          <w:rFonts w:ascii="Times New Roman" w:hAnsi="Times New Roman"/>
          <w:sz w:val="26"/>
          <w:szCs w:val="26"/>
        </w:rPr>
        <w:t xml:space="preserve">DLK) </w:t>
      </w:r>
      <w:r w:rsidRPr="006F5CFA">
        <w:rPr>
          <w:rFonts w:ascii="Times New Roman" w:hAnsi="Times New Roman"/>
          <w:sz w:val="26"/>
          <w:szCs w:val="26"/>
        </w:rPr>
        <w:t xml:space="preserve">izskatīja jautājumu par valsts atbalsta sistēmu un plānotajiem pasākumiem ar celiakiju sirgstošiem pacientiem, piedaloties Labklājības ministrijas, Veselības ministrijas, Latvijas Celiakijas pacientu biedrības „Dzīve bez </w:t>
      </w:r>
      <w:proofErr w:type="spellStart"/>
      <w:r w:rsidRPr="006F5CFA">
        <w:rPr>
          <w:rFonts w:ascii="Times New Roman" w:hAnsi="Times New Roman"/>
          <w:sz w:val="26"/>
          <w:szCs w:val="26"/>
        </w:rPr>
        <w:t>glutēna</w:t>
      </w:r>
      <w:proofErr w:type="spellEnd"/>
      <w:r w:rsidRPr="006F5CFA">
        <w:rPr>
          <w:rFonts w:ascii="Times New Roman" w:hAnsi="Times New Roman"/>
          <w:sz w:val="26"/>
          <w:szCs w:val="26"/>
        </w:rPr>
        <w:t xml:space="preserve">” pārstāvjiem, Bērnu klīniskās universitātes slimnīcas ārstiem u.c. </w:t>
      </w:r>
      <w:r w:rsidR="00AE06D3">
        <w:rPr>
          <w:rFonts w:ascii="Times New Roman" w:hAnsi="Times New Roman"/>
          <w:sz w:val="26"/>
          <w:szCs w:val="26"/>
        </w:rPr>
        <w:t>S</w:t>
      </w:r>
      <w:r w:rsidRPr="006F5CFA">
        <w:rPr>
          <w:rFonts w:ascii="Times New Roman" w:hAnsi="Times New Roman"/>
          <w:sz w:val="26"/>
          <w:szCs w:val="26"/>
        </w:rPr>
        <w:t>S</w:t>
      </w:r>
      <w:r w:rsidR="002B31A4" w:rsidRPr="006F5CFA">
        <w:rPr>
          <w:rFonts w:ascii="Times New Roman" w:hAnsi="Times New Roman"/>
          <w:sz w:val="26"/>
          <w:szCs w:val="26"/>
        </w:rPr>
        <w:t>DLK s</w:t>
      </w:r>
      <w:r w:rsidRPr="006F5CFA">
        <w:rPr>
          <w:rFonts w:ascii="Times New Roman" w:hAnsi="Times New Roman"/>
          <w:sz w:val="26"/>
          <w:szCs w:val="26"/>
        </w:rPr>
        <w:t xml:space="preserve">ēdē tika diskutēts par aktuāliem problēmjautājumiem, ar ko celiakijas slimnieki saskaras. Kopumā </w:t>
      </w:r>
      <w:r w:rsidR="001750B3" w:rsidRPr="006F5CFA">
        <w:rPr>
          <w:rFonts w:ascii="Times New Roman" w:hAnsi="Times New Roman"/>
          <w:sz w:val="26"/>
          <w:szCs w:val="26"/>
        </w:rPr>
        <w:t>esošais valsts atbalsts</w:t>
      </w:r>
      <w:r w:rsidRPr="006F5CFA">
        <w:rPr>
          <w:rFonts w:ascii="Times New Roman" w:hAnsi="Times New Roman"/>
          <w:sz w:val="26"/>
          <w:szCs w:val="26"/>
        </w:rPr>
        <w:t xml:space="preserve"> ar celiakiju slimiem bērniem</w:t>
      </w:r>
      <w:r w:rsidR="001750B3" w:rsidRPr="006F5CFA">
        <w:rPr>
          <w:rFonts w:ascii="Times New Roman" w:hAnsi="Times New Roman"/>
          <w:sz w:val="26"/>
          <w:szCs w:val="26"/>
        </w:rPr>
        <w:t xml:space="preserve"> tiek vērtēts pozitīvi</w:t>
      </w:r>
      <w:r w:rsidRPr="006F5CFA">
        <w:rPr>
          <w:rFonts w:ascii="Times New Roman" w:hAnsi="Times New Roman"/>
          <w:sz w:val="26"/>
          <w:szCs w:val="26"/>
        </w:rPr>
        <w:t xml:space="preserve">. </w:t>
      </w:r>
    </w:p>
    <w:p w:rsidR="00902A96" w:rsidRPr="006F5CFA" w:rsidRDefault="00902A96" w:rsidP="00902A96">
      <w:pPr>
        <w:ind w:firstLine="720"/>
        <w:jc w:val="both"/>
        <w:rPr>
          <w:rFonts w:ascii="Times New Roman" w:hAnsi="Times New Roman"/>
          <w:sz w:val="26"/>
          <w:szCs w:val="26"/>
        </w:rPr>
      </w:pPr>
      <w:r w:rsidRPr="006F5CFA">
        <w:rPr>
          <w:rFonts w:ascii="Times New Roman" w:hAnsi="Times New Roman"/>
          <w:sz w:val="26"/>
          <w:szCs w:val="26"/>
        </w:rPr>
        <w:t xml:space="preserve">Taču Latvijas Celiakijas pacientu biedrības „Dzīve bez </w:t>
      </w:r>
      <w:proofErr w:type="spellStart"/>
      <w:r w:rsidRPr="006F5CFA">
        <w:rPr>
          <w:rFonts w:ascii="Times New Roman" w:hAnsi="Times New Roman"/>
          <w:sz w:val="26"/>
          <w:szCs w:val="26"/>
        </w:rPr>
        <w:t>glutēna</w:t>
      </w:r>
      <w:proofErr w:type="spellEnd"/>
      <w:r w:rsidRPr="006F5CFA">
        <w:rPr>
          <w:rFonts w:ascii="Times New Roman" w:hAnsi="Times New Roman"/>
          <w:sz w:val="26"/>
          <w:szCs w:val="26"/>
        </w:rPr>
        <w:t xml:space="preserve">” pārstāve aicināja pagarināt valsts atbalsta ar celiakiju slimiem bērniem izmaksu, norādot, ka „personai sasniedzot 18 gadu vecumu, atbalsts vairs netiek izmaksāts un jaunais cilvēks pārtrauc </w:t>
      </w:r>
      <w:proofErr w:type="spellStart"/>
      <w:r w:rsidRPr="006F5CFA">
        <w:rPr>
          <w:rFonts w:ascii="Times New Roman" w:hAnsi="Times New Roman"/>
          <w:sz w:val="26"/>
          <w:szCs w:val="26"/>
        </w:rPr>
        <w:lastRenderedPageBreak/>
        <w:t>bezglutēna</w:t>
      </w:r>
      <w:proofErr w:type="spellEnd"/>
      <w:r w:rsidRPr="006F5CFA">
        <w:rPr>
          <w:rFonts w:ascii="Times New Roman" w:hAnsi="Times New Roman"/>
          <w:sz w:val="26"/>
          <w:szCs w:val="26"/>
        </w:rPr>
        <w:t xml:space="preserve"> diētu</w:t>
      </w:r>
      <w:r w:rsidR="00DC5360">
        <w:rPr>
          <w:rFonts w:ascii="Times New Roman" w:hAnsi="Times New Roman"/>
          <w:sz w:val="26"/>
          <w:szCs w:val="26"/>
        </w:rPr>
        <w:t>,</w:t>
      </w:r>
      <w:r w:rsidRPr="006F5CFA">
        <w:rPr>
          <w:rFonts w:ascii="Times New Roman" w:hAnsi="Times New Roman"/>
          <w:sz w:val="26"/>
          <w:szCs w:val="26"/>
        </w:rPr>
        <w:t xml:space="preserve"> kā rezultātā attīstās daudzas citas slimības, kas par 30% paaugstina valsts izdevumus veselības aprūpē”. Līdz ar to </w:t>
      </w:r>
      <w:r w:rsidR="00FB3A69" w:rsidRPr="006F5CFA">
        <w:rPr>
          <w:rFonts w:ascii="Times New Roman" w:hAnsi="Times New Roman"/>
          <w:sz w:val="26"/>
          <w:szCs w:val="26"/>
        </w:rPr>
        <w:t>S</w:t>
      </w:r>
      <w:r w:rsidR="002B31A4" w:rsidRPr="006F5CFA">
        <w:rPr>
          <w:rFonts w:ascii="Times New Roman" w:hAnsi="Times New Roman"/>
          <w:sz w:val="26"/>
          <w:szCs w:val="26"/>
        </w:rPr>
        <w:t>SDLK</w:t>
      </w:r>
      <w:r w:rsidRPr="006F5CFA">
        <w:rPr>
          <w:rFonts w:ascii="Times New Roman" w:hAnsi="Times New Roman"/>
          <w:sz w:val="26"/>
          <w:szCs w:val="26"/>
        </w:rPr>
        <w:t xml:space="preserve"> priekšsēdētāja A.Barča ierosināja Labklājības ministrijai at</w:t>
      </w:r>
      <w:r w:rsidR="00BC23A1" w:rsidRPr="006F5CFA">
        <w:rPr>
          <w:rFonts w:ascii="Times New Roman" w:hAnsi="Times New Roman"/>
          <w:sz w:val="26"/>
          <w:szCs w:val="26"/>
        </w:rPr>
        <w:t>balsta</w:t>
      </w:r>
      <w:r w:rsidRPr="006F5CFA">
        <w:rPr>
          <w:rFonts w:ascii="Times New Roman" w:hAnsi="Times New Roman"/>
          <w:sz w:val="26"/>
          <w:szCs w:val="26"/>
        </w:rPr>
        <w:t xml:space="preserve"> personai ar celiakiju </w:t>
      </w:r>
      <w:r w:rsidR="00BC23A1" w:rsidRPr="006F5CFA">
        <w:rPr>
          <w:rFonts w:ascii="Times New Roman" w:hAnsi="Times New Roman"/>
          <w:sz w:val="26"/>
          <w:szCs w:val="26"/>
        </w:rPr>
        <w:t>izmaksu turpināt</w:t>
      </w:r>
      <w:r w:rsidRPr="006F5CFA">
        <w:rPr>
          <w:rFonts w:ascii="Times New Roman" w:hAnsi="Times New Roman"/>
          <w:sz w:val="26"/>
          <w:szCs w:val="26"/>
        </w:rPr>
        <w:t xml:space="preserve"> līdz 24 gadu vecumam, ja persona mācās.</w:t>
      </w:r>
    </w:p>
    <w:p w:rsidR="00902A96" w:rsidRPr="006F5CFA" w:rsidRDefault="00902A96" w:rsidP="00902A96">
      <w:pPr>
        <w:ind w:firstLine="720"/>
        <w:jc w:val="both"/>
        <w:rPr>
          <w:rFonts w:ascii="Times New Roman" w:hAnsi="Times New Roman"/>
          <w:sz w:val="26"/>
          <w:szCs w:val="26"/>
        </w:rPr>
      </w:pPr>
      <w:r w:rsidRPr="006F5CFA">
        <w:rPr>
          <w:rFonts w:ascii="Times New Roman" w:hAnsi="Times New Roman"/>
          <w:color w:val="000000"/>
          <w:sz w:val="26"/>
          <w:szCs w:val="26"/>
        </w:rPr>
        <w:t xml:space="preserve">Veselības ministrijai pieejamā informācija liecina, ka </w:t>
      </w:r>
      <w:proofErr w:type="spellStart"/>
      <w:r w:rsidRPr="006F5CFA">
        <w:rPr>
          <w:rFonts w:ascii="Times New Roman" w:hAnsi="Times New Roman"/>
          <w:color w:val="000000"/>
          <w:sz w:val="26"/>
          <w:szCs w:val="26"/>
        </w:rPr>
        <w:t>gastroenterologu</w:t>
      </w:r>
      <w:proofErr w:type="spellEnd"/>
      <w:r w:rsidRPr="006F5CFA">
        <w:rPr>
          <w:rFonts w:ascii="Times New Roman" w:hAnsi="Times New Roman"/>
          <w:color w:val="000000"/>
          <w:sz w:val="26"/>
          <w:szCs w:val="26"/>
        </w:rPr>
        <w:t xml:space="preserve"> apmeklējumu skaits ievērojami pazeminās pacientiem pēc 18 gadu vecuma sasniegšanas, ko Veselības ministrija skaidro ar atbalsta izmaksas pārtraukšanu, ar celiakiju slimam bērnam sasniedzot 18 gadu vecumu.</w:t>
      </w:r>
    </w:p>
    <w:p w:rsidR="00902A96" w:rsidRPr="006F5CFA" w:rsidRDefault="003D3B19" w:rsidP="00902A96">
      <w:pPr>
        <w:ind w:firstLine="720"/>
        <w:jc w:val="both"/>
        <w:rPr>
          <w:rFonts w:ascii="Times New Roman" w:hAnsi="Times New Roman"/>
          <w:color w:val="000000" w:themeColor="text1"/>
          <w:sz w:val="26"/>
          <w:szCs w:val="26"/>
        </w:rPr>
      </w:pPr>
      <w:r w:rsidRPr="006F5CFA">
        <w:rPr>
          <w:rFonts w:ascii="Times New Roman" w:hAnsi="Times New Roman"/>
          <w:sz w:val="26"/>
          <w:szCs w:val="26"/>
        </w:rPr>
        <w:t>Lai spriestu par celiakijas slimniekiem pieejamo pakalpojumu sistēmas uzlabošanu,</w:t>
      </w:r>
      <w:r w:rsidR="00902A96" w:rsidRPr="006F5CFA">
        <w:rPr>
          <w:rFonts w:ascii="Times New Roman" w:hAnsi="Times New Roman"/>
          <w:sz w:val="26"/>
          <w:szCs w:val="26"/>
        </w:rPr>
        <w:t xml:space="preserve"> 2013.gada 26.februārī notika atkārtota </w:t>
      </w:r>
      <w:r w:rsidR="002B31A4" w:rsidRPr="006F5CFA">
        <w:rPr>
          <w:rFonts w:ascii="Times New Roman" w:hAnsi="Times New Roman"/>
          <w:sz w:val="26"/>
          <w:szCs w:val="26"/>
        </w:rPr>
        <w:t>S</w:t>
      </w:r>
      <w:r w:rsidR="00FB3A69" w:rsidRPr="006F5CFA">
        <w:rPr>
          <w:rFonts w:ascii="Times New Roman" w:hAnsi="Times New Roman"/>
          <w:sz w:val="26"/>
          <w:szCs w:val="26"/>
        </w:rPr>
        <w:t>S</w:t>
      </w:r>
      <w:r w:rsidR="002B31A4" w:rsidRPr="006F5CFA">
        <w:rPr>
          <w:rFonts w:ascii="Times New Roman" w:hAnsi="Times New Roman"/>
          <w:sz w:val="26"/>
          <w:szCs w:val="26"/>
        </w:rPr>
        <w:t>DLK sēde</w:t>
      </w:r>
      <w:r w:rsidR="00902A96" w:rsidRPr="006F5CFA">
        <w:rPr>
          <w:rFonts w:ascii="Times New Roman" w:hAnsi="Times New Roman"/>
          <w:sz w:val="26"/>
          <w:szCs w:val="26"/>
        </w:rPr>
        <w:t xml:space="preserve">, kurā piedalījās Veselības ministrijas, Finanšu ministrijas, Labklājības ministrijas, Zemkopības ministrijas, Latvijas Celiakijas pacientu biedrības „Dzīve bez </w:t>
      </w:r>
      <w:proofErr w:type="spellStart"/>
      <w:r w:rsidR="00902A96" w:rsidRPr="006F5CFA">
        <w:rPr>
          <w:rFonts w:ascii="Times New Roman" w:hAnsi="Times New Roman"/>
          <w:sz w:val="26"/>
          <w:szCs w:val="26"/>
        </w:rPr>
        <w:t>glutēna</w:t>
      </w:r>
      <w:proofErr w:type="spellEnd"/>
      <w:r w:rsidR="00902A96" w:rsidRPr="006F5CFA">
        <w:rPr>
          <w:rFonts w:ascii="Times New Roman" w:hAnsi="Times New Roman"/>
          <w:sz w:val="26"/>
          <w:szCs w:val="26"/>
        </w:rPr>
        <w:t xml:space="preserve">”, Latvijas Bērnu un jauniešu diabēta biedrības, Latvijas Endokrinologu asociācijas, Latvijas Diētas un uztura speciālistu asociācijas pārstāvji. </w:t>
      </w:r>
      <w:r w:rsidR="00FB3A69" w:rsidRPr="006F5CFA">
        <w:rPr>
          <w:rFonts w:ascii="Times New Roman" w:hAnsi="Times New Roman"/>
          <w:sz w:val="26"/>
          <w:szCs w:val="26"/>
        </w:rPr>
        <w:t>S</w:t>
      </w:r>
      <w:r w:rsidR="00902A96" w:rsidRPr="006F5CFA">
        <w:rPr>
          <w:rFonts w:ascii="Times New Roman" w:hAnsi="Times New Roman"/>
          <w:sz w:val="26"/>
          <w:szCs w:val="26"/>
        </w:rPr>
        <w:t>S</w:t>
      </w:r>
      <w:r w:rsidR="00D45454" w:rsidRPr="006F5CFA">
        <w:rPr>
          <w:rFonts w:ascii="Times New Roman" w:hAnsi="Times New Roman"/>
          <w:sz w:val="26"/>
          <w:szCs w:val="26"/>
        </w:rPr>
        <w:t>DLK s</w:t>
      </w:r>
      <w:r w:rsidR="00902A96" w:rsidRPr="006F5CFA">
        <w:rPr>
          <w:rFonts w:ascii="Times New Roman" w:hAnsi="Times New Roman"/>
          <w:sz w:val="26"/>
          <w:szCs w:val="26"/>
        </w:rPr>
        <w:t xml:space="preserve">ēdē tika diskutēts par Latvijas Celiakijas pacientu biedrības „Dzīve bez </w:t>
      </w:r>
      <w:proofErr w:type="spellStart"/>
      <w:r w:rsidR="00902A96" w:rsidRPr="006F5CFA">
        <w:rPr>
          <w:rFonts w:ascii="Times New Roman" w:hAnsi="Times New Roman"/>
          <w:sz w:val="26"/>
          <w:szCs w:val="26"/>
        </w:rPr>
        <w:t>glutēna</w:t>
      </w:r>
      <w:proofErr w:type="spellEnd"/>
      <w:r w:rsidR="00902A96" w:rsidRPr="006F5CFA">
        <w:rPr>
          <w:rFonts w:ascii="Times New Roman" w:hAnsi="Times New Roman"/>
          <w:sz w:val="26"/>
          <w:szCs w:val="26"/>
        </w:rPr>
        <w:t xml:space="preserve">” priekšlikumiem attiecībā uz atbalsta izmaksas termiņa pagarināšanu, nepieciešamību sakārtot </w:t>
      </w:r>
      <w:proofErr w:type="spellStart"/>
      <w:r w:rsidR="00902A96" w:rsidRPr="006F5CFA">
        <w:rPr>
          <w:rFonts w:ascii="Times New Roman" w:hAnsi="Times New Roman"/>
          <w:sz w:val="26"/>
          <w:szCs w:val="26"/>
        </w:rPr>
        <w:t>bezglutēna</w:t>
      </w:r>
      <w:proofErr w:type="spellEnd"/>
      <w:r w:rsidR="00902A96" w:rsidRPr="006F5CFA">
        <w:rPr>
          <w:rFonts w:ascii="Times New Roman" w:hAnsi="Times New Roman"/>
          <w:sz w:val="26"/>
          <w:szCs w:val="26"/>
        </w:rPr>
        <w:t xml:space="preserve"> ēdināšanu izglītības iestādēs, samazināt PVN sertificētiem </w:t>
      </w:r>
      <w:proofErr w:type="spellStart"/>
      <w:r w:rsidR="00902A96" w:rsidRPr="006F5CFA">
        <w:rPr>
          <w:rFonts w:ascii="Times New Roman" w:hAnsi="Times New Roman"/>
          <w:sz w:val="26"/>
          <w:szCs w:val="26"/>
        </w:rPr>
        <w:t>bezglutēna</w:t>
      </w:r>
      <w:proofErr w:type="spellEnd"/>
      <w:r w:rsidR="00902A96" w:rsidRPr="006F5CFA">
        <w:rPr>
          <w:rFonts w:ascii="Times New Roman" w:hAnsi="Times New Roman"/>
          <w:sz w:val="26"/>
          <w:szCs w:val="26"/>
        </w:rPr>
        <w:t xml:space="preserve"> pārtikas produktiem no 21% uz 12%, ieviest skaidrāku pārtikas produktu marķējumu, atsevišķi norādot visus pārtikas alergēnus un to iespējamo klātbūtni produktā. </w:t>
      </w:r>
      <w:r w:rsidR="002F0638" w:rsidRPr="006F5CFA">
        <w:rPr>
          <w:rFonts w:ascii="Times New Roman" w:hAnsi="Times New Roman"/>
          <w:sz w:val="26"/>
          <w:szCs w:val="26"/>
        </w:rPr>
        <w:t>SSDLK sēdē tika nolemts detalizēti vērtēt jautājumu Sabiedrības veselības apakškomisijā, un pēc apakškomisijas sagatavota ziņojuma nolemts jautājumu atkārtoti skatīt SSDLK.</w:t>
      </w:r>
    </w:p>
    <w:p w:rsidR="00902A96" w:rsidRPr="006F5CFA" w:rsidRDefault="00902A96" w:rsidP="00902A96">
      <w:pPr>
        <w:autoSpaceDE w:val="0"/>
        <w:autoSpaceDN w:val="0"/>
        <w:adjustRightInd w:val="0"/>
        <w:ind w:firstLine="720"/>
        <w:jc w:val="both"/>
        <w:rPr>
          <w:rFonts w:ascii="Times New Roman" w:hAnsi="Times New Roman"/>
          <w:color w:val="000000"/>
          <w:sz w:val="26"/>
          <w:szCs w:val="26"/>
          <w:lang w:eastAsia="lv-LV"/>
        </w:rPr>
      </w:pPr>
      <w:r w:rsidRPr="006F5CFA">
        <w:rPr>
          <w:rFonts w:ascii="Times New Roman" w:hAnsi="Times New Roman"/>
          <w:color w:val="000000" w:themeColor="text1"/>
          <w:sz w:val="26"/>
          <w:szCs w:val="26"/>
          <w:shd w:val="clear" w:color="auto" w:fill="FFFFFF"/>
        </w:rPr>
        <w:t xml:space="preserve">Tā kā valsts </w:t>
      </w:r>
      <w:r w:rsidRPr="006F5CFA">
        <w:rPr>
          <w:rFonts w:ascii="Times New Roman" w:hAnsi="Times New Roman"/>
          <w:color w:val="000000"/>
          <w:sz w:val="26"/>
          <w:szCs w:val="26"/>
          <w:lang w:eastAsia="lv-LV"/>
        </w:rPr>
        <w:t xml:space="preserve">atbalsts </w:t>
      </w:r>
      <w:r w:rsidR="00D63786" w:rsidRPr="006F5CFA">
        <w:rPr>
          <w:rFonts w:ascii="Times New Roman" w:hAnsi="Times New Roman"/>
          <w:color w:val="000000"/>
          <w:sz w:val="26"/>
          <w:szCs w:val="26"/>
          <w:lang w:eastAsia="lv-LV"/>
        </w:rPr>
        <w:t xml:space="preserve">ar celiakiju slimiem bērniem </w:t>
      </w:r>
      <w:r w:rsidRPr="006F5CFA">
        <w:rPr>
          <w:rFonts w:ascii="Times New Roman" w:hAnsi="Times New Roman"/>
          <w:color w:val="000000"/>
          <w:sz w:val="26"/>
          <w:szCs w:val="26"/>
          <w:lang w:eastAsia="lv-LV"/>
        </w:rPr>
        <w:t xml:space="preserve">tiek </w:t>
      </w:r>
      <w:proofErr w:type="gramStart"/>
      <w:r w:rsidRPr="006F5CFA">
        <w:rPr>
          <w:rFonts w:ascii="Times New Roman" w:hAnsi="Times New Roman"/>
          <w:color w:val="000000"/>
          <w:sz w:val="26"/>
          <w:szCs w:val="26"/>
          <w:lang w:eastAsia="lv-LV"/>
        </w:rPr>
        <w:t>finansēts no valsts pamatbudžeta programmas „Valsts sociālie pabalsti”</w:t>
      </w:r>
      <w:proofErr w:type="gramEnd"/>
      <w:r w:rsidRPr="006F5CFA">
        <w:rPr>
          <w:rFonts w:ascii="Times New Roman" w:hAnsi="Times New Roman"/>
          <w:color w:val="000000"/>
          <w:sz w:val="26"/>
          <w:szCs w:val="26"/>
          <w:lang w:eastAsia="lv-LV"/>
        </w:rPr>
        <w:t xml:space="preserve">, atbalsta ar celiakiju slimai personai </w:t>
      </w:r>
      <w:r w:rsidR="00D63786" w:rsidRPr="006F5CFA">
        <w:rPr>
          <w:rFonts w:ascii="Times New Roman" w:hAnsi="Times New Roman"/>
          <w:color w:val="000000"/>
          <w:sz w:val="26"/>
          <w:szCs w:val="26"/>
          <w:lang w:eastAsia="lv-LV"/>
        </w:rPr>
        <w:t>izmaksai</w:t>
      </w:r>
      <w:r w:rsidR="00343433" w:rsidRPr="006F5CFA">
        <w:rPr>
          <w:rFonts w:ascii="Times New Roman" w:hAnsi="Times New Roman"/>
          <w:color w:val="000000"/>
          <w:sz w:val="26"/>
          <w:szCs w:val="26"/>
          <w:lang w:eastAsia="lv-LV"/>
        </w:rPr>
        <w:t xml:space="preserve"> analoģiski</w:t>
      </w:r>
      <w:r w:rsidR="00D63786" w:rsidRPr="006F5CFA">
        <w:rPr>
          <w:rFonts w:ascii="Times New Roman" w:hAnsi="Times New Roman"/>
          <w:color w:val="000000"/>
          <w:sz w:val="26"/>
          <w:szCs w:val="26"/>
          <w:lang w:eastAsia="lv-LV"/>
        </w:rPr>
        <w:t xml:space="preserve"> </w:t>
      </w:r>
      <w:r w:rsidR="00AE06D3">
        <w:rPr>
          <w:rFonts w:ascii="Times New Roman" w:hAnsi="Times New Roman"/>
          <w:color w:val="000000"/>
          <w:sz w:val="26"/>
          <w:szCs w:val="26"/>
          <w:lang w:eastAsia="lv-LV"/>
        </w:rPr>
        <w:t xml:space="preserve">būtu </w:t>
      </w:r>
      <w:r w:rsidR="00303B43" w:rsidRPr="006F5CFA">
        <w:rPr>
          <w:rFonts w:ascii="Times New Roman" w:hAnsi="Times New Roman"/>
          <w:color w:val="000000"/>
          <w:sz w:val="26"/>
          <w:szCs w:val="26"/>
          <w:lang w:eastAsia="lv-LV"/>
        </w:rPr>
        <w:t>iespējams</w:t>
      </w:r>
      <w:r w:rsidRPr="006F5CFA">
        <w:rPr>
          <w:rFonts w:ascii="Times New Roman" w:hAnsi="Times New Roman"/>
          <w:color w:val="000000"/>
          <w:sz w:val="26"/>
          <w:szCs w:val="26"/>
          <w:lang w:eastAsia="lv-LV"/>
        </w:rPr>
        <w:t xml:space="preserve"> </w:t>
      </w:r>
      <w:r w:rsidR="00EA779B" w:rsidRPr="006F5CFA">
        <w:rPr>
          <w:rFonts w:ascii="Times New Roman" w:hAnsi="Times New Roman"/>
          <w:color w:val="000000"/>
          <w:sz w:val="26"/>
          <w:szCs w:val="26"/>
          <w:lang w:eastAsia="lv-LV"/>
        </w:rPr>
        <w:t>piemērot</w:t>
      </w:r>
      <w:r w:rsidRPr="006F5CFA">
        <w:rPr>
          <w:rFonts w:ascii="Times New Roman" w:hAnsi="Times New Roman"/>
          <w:color w:val="000000"/>
          <w:sz w:val="26"/>
          <w:szCs w:val="26"/>
          <w:lang w:eastAsia="lv-LV"/>
        </w:rPr>
        <w:t xml:space="preserve"> </w:t>
      </w:r>
      <w:r w:rsidR="00AE06D3">
        <w:rPr>
          <w:rFonts w:ascii="Times New Roman" w:hAnsi="Times New Roman"/>
          <w:color w:val="000000"/>
          <w:sz w:val="26"/>
          <w:szCs w:val="26"/>
          <w:lang w:eastAsia="lv-LV"/>
        </w:rPr>
        <w:t xml:space="preserve">arī no šās budžeta programmas izmaksājamā </w:t>
      </w:r>
      <w:r w:rsidRPr="006F5CFA">
        <w:rPr>
          <w:rFonts w:ascii="Times New Roman" w:hAnsi="Times New Roman"/>
          <w:color w:val="000000"/>
          <w:sz w:val="26"/>
          <w:szCs w:val="26"/>
          <w:lang w:eastAsia="lv-LV"/>
        </w:rPr>
        <w:t>valsts sociālā nodrošinājuma pabalsta apgādnieka zaudējuma gadījumā izmaksas kārtību (Valsts sociālo pabalstu likuma 13.panta 1.daļas 3.punkts), proti, atbalsta izmaksu turpina, ja persona pēc pilngadības sasniegšanas mācās vispārējās izglītības vai profesionālās izglītības iestādē un nav vecāka par 20 gadiem vai studē augstskolā dienas nodaļā (pilna laika klātien</w:t>
      </w:r>
      <w:r w:rsidR="009B2ECD">
        <w:rPr>
          <w:rFonts w:ascii="Times New Roman" w:hAnsi="Times New Roman"/>
          <w:color w:val="000000"/>
          <w:sz w:val="26"/>
          <w:szCs w:val="26"/>
          <w:lang w:eastAsia="lv-LV"/>
        </w:rPr>
        <w:t>ē) un nav vecāka par 24 gadiem</w:t>
      </w:r>
      <w:r w:rsidR="003625CA">
        <w:rPr>
          <w:rFonts w:ascii="Times New Roman" w:hAnsi="Times New Roman"/>
          <w:color w:val="000000"/>
          <w:sz w:val="26"/>
          <w:szCs w:val="26"/>
          <w:lang w:eastAsia="lv-LV"/>
        </w:rPr>
        <w:t xml:space="preserve"> (ar celiakiju slimais izglītojamais šobrīd izziņu</w:t>
      </w:r>
      <w:r w:rsidR="009B2ECD">
        <w:rPr>
          <w:rFonts w:ascii="Times New Roman" w:hAnsi="Times New Roman"/>
          <w:color w:val="000000"/>
          <w:sz w:val="26"/>
          <w:szCs w:val="26"/>
          <w:lang w:eastAsia="lv-LV"/>
        </w:rPr>
        <w:t xml:space="preserve"> </w:t>
      </w:r>
      <w:r w:rsidR="003625CA">
        <w:rPr>
          <w:rFonts w:ascii="Times New Roman" w:hAnsi="Times New Roman"/>
          <w:color w:val="000000"/>
          <w:sz w:val="26"/>
          <w:szCs w:val="26"/>
          <w:lang w:eastAsia="lv-LV"/>
        </w:rPr>
        <w:t>par mācībām vispārējās izglītības vai profesionālās izglītības iestādē var saņemt izglītības iestādē, kurā mācās)</w:t>
      </w:r>
      <w:r w:rsidR="009B2ECD">
        <w:rPr>
          <w:rFonts w:ascii="Times New Roman" w:hAnsi="Times New Roman"/>
          <w:color w:val="000000"/>
          <w:sz w:val="26"/>
          <w:szCs w:val="26"/>
          <w:lang w:eastAsia="lv-LV"/>
        </w:rPr>
        <w:t>.</w:t>
      </w:r>
    </w:p>
    <w:p w:rsidR="00902A96" w:rsidRPr="006F5CFA" w:rsidRDefault="00902A96" w:rsidP="00F10286">
      <w:pPr>
        <w:ind w:firstLine="720"/>
        <w:jc w:val="both"/>
        <w:rPr>
          <w:rFonts w:ascii="Times New Roman" w:hAnsi="Times New Roman"/>
          <w:sz w:val="26"/>
          <w:szCs w:val="26"/>
        </w:rPr>
      </w:pPr>
    </w:p>
    <w:p w:rsidR="00F10286" w:rsidRPr="006F5CFA" w:rsidRDefault="00902A96" w:rsidP="00F10286">
      <w:pPr>
        <w:jc w:val="both"/>
        <w:rPr>
          <w:rFonts w:ascii="Times New Roman" w:hAnsi="Times New Roman"/>
          <w:i/>
          <w:sz w:val="26"/>
          <w:szCs w:val="26"/>
          <w:u w:val="single"/>
        </w:rPr>
      </w:pPr>
      <w:r w:rsidRPr="006F5CFA">
        <w:rPr>
          <w:rFonts w:ascii="Times New Roman" w:hAnsi="Times New Roman"/>
          <w:i/>
          <w:sz w:val="26"/>
          <w:szCs w:val="26"/>
          <w:u w:val="single"/>
        </w:rPr>
        <w:t>2</w:t>
      </w:r>
      <w:r w:rsidR="00F10286" w:rsidRPr="006F5CFA">
        <w:rPr>
          <w:rFonts w:ascii="Times New Roman" w:hAnsi="Times New Roman"/>
          <w:i/>
          <w:sz w:val="26"/>
          <w:szCs w:val="26"/>
          <w:u w:val="single"/>
        </w:rPr>
        <w:t xml:space="preserve">. Atbalsta izmaksa, ja bērnam </w:t>
      </w:r>
      <w:r w:rsidR="00000D26" w:rsidRPr="006F5CFA">
        <w:rPr>
          <w:rFonts w:ascii="Times New Roman" w:hAnsi="Times New Roman"/>
          <w:i/>
          <w:sz w:val="26"/>
          <w:szCs w:val="26"/>
          <w:u w:val="single"/>
        </w:rPr>
        <w:t>ir noteikta invaliditāte</w:t>
      </w:r>
      <w:r w:rsidR="00F10286" w:rsidRPr="006F5CFA">
        <w:rPr>
          <w:rFonts w:ascii="Times New Roman" w:hAnsi="Times New Roman"/>
          <w:i/>
          <w:sz w:val="26"/>
          <w:szCs w:val="26"/>
          <w:u w:val="single"/>
        </w:rPr>
        <w:t xml:space="preserve"> </w:t>
      </w:r>
    </w:p>
    <w:p w:rsidR="00F10286" w:rsidRPr="006F5CFA" w:rsidRDefault="00F10286" w:rsidP="00F10286">
      <w:pPr>
        <w:jc w:val="both"/>
        <w:rPr>
          <w:rFonts w:ascii="Times New Roman" w:hAnsi="Times New Roman"/>
          <w:sz w:val="26"/>
          <w:szCs w:val="26"/>
        </w:rPr>
      </w:pPr>
    </w:p>
    <w:p w:rsidR="00F10286" w:rsidRPr="006F5CFA" w:rsidRDefault="00F10286" w:rsidP="00F10286">
      <w:pPr>
        <w:ind w:firstLine="720"/>
        <w:jc w:val="both"/>
        <w:rPr>
          <w:rFonts w:ascii="Times New Roman" w:hAnsi="Times New Roman"/>
          <w:sz w:val="26"/>
          <w:szCs w:val="26"/>
        </w:rPr>
      </w:pPr>
      <w:r w:rsidRPr="006F5CFA">
        <w:rPr>
          <w:rFonts w:ascii="Times New Roman" w:hAnsi="Times New Roman"/>
          <w:sz w:val="26"/>
          <w:szCs w:val="26"/>
        </w:rPr>
        <w:t xml:space="preserve">2013.gadā Labklājības ministrija saņēma </w:t>
      </w:r>
      <w:r w:rsidR="002761B0" w:rsidRPr="006F5CFA">
        <w:rPr>
          <w:rFonts w:ascii="Times New Roman" w:hAnsi="Times New Roman"/>
          <w:sz w:val="26"/>
          <w:szCs w:val="26"/>
        </w:rPr>
        <w:t>Tiesībsarga vēstuli</w:t>
      </w:r>
      <w:r w:rsidRPr="006F5CFA">
        <w:rPr>
          <w:rFonts w:ascii="Times New Roman" w:hAnsi="Times New Roman"/>
          <w:sz w:val="26"/>
          <w:szCs w:val="26"/>
        </w:rPr>
        <w:t xml:space="preserve"> attiecībā uz valsts sniedzamo atbalstu ar celiakiju slimiem bērniem, kuriem noteikta invaliditāte citu slimību vai funkcionālu traucējumu dēļ, kā rezultātā tiek pārtraukta valsts atbalsta izmaksa ar celiakiju slimiem bērniem un tā vietā piešķirta piemaksa pie ģimenes valsts pabalsta. Labklājības ministrija sniedza atbildi, ka izvērtēs valsts atbalsta piešķiršanas kārtības pilnveidošanas iespējas, ņemot vērā ar celiakiju slimo bērnu, kuriem invaliditāte cēloniski nav saistīta </w:t>
      </w:r>
      <w:r w:rsidR="002761B0" w:rsidRPr="006F5CFA">
        <w:rPr>
          <w:rFonts w:ascii="Times New Roman" w:hAnsi="Times New Roman"/>
          <w:sz w:val="26"/>
          <w:szCs w:val="26"/>
        </w:rPr>
        <w:t>ar diagnozi „celiakija”, īpašā</w:t>
      </w:r>
      <w:r w:rsidRPr="006F5CFA">
        <w:rPr>
          <w:rFonts w:ascii="Times New Roman" w:hAnsi="Times New Roman"/>
          <w:sz w:val="26"/>
          <w:szCs w:val="26"/>
        </w:rPr>
        <w:t>s vajadzības.</w:t>
      </w:r>
    </w:p>
    <w:p w:rsidR="00F10286" w:rsidRPr="006F5CFA" w:rsidRDefault="00F10286" w:rsidP="00F10286">
      <w:pPr>
        <w:jc w:val="both"/>
        <w:rPr>
          <w:rFonts w:ascii="Times New Roman" w:hAnsi="Times New Roman"/>
          <w:sz w:val="26"/>
          <w:szCs w:val="26"/>
        </w:rPr>
      </w:pPr>
      <w:r w:rsidRPr="006F5CFA">
        <w:rPr>
          <w:rFonts w:ascii="Times New Roman" w:hAnsi="Times New Roman"/>
          <w:sz w:val="26"/>
          <w:szCs w:val="26"/>
        </w:rPr>
        <w:tab/>
        <w:t xml:space="preserve">Valsts sociālo pabalstu sistēma neparedz sniedzamā atbalsta palielināšanu par bērnu invalīdu gadījumos, kad bērnam noteiktā </w:t>
      </w:r>
      <w:proofErr w:type="spellStart"/>
      <w:r w:rsidRPr="006F5CFA">
        <w:rPr>
          <w:rFonts w:ascii="Times New Roman" w:hAnsi="Times New Roman"/>
          <w:sz w:val="26"/>
          <w:szCs w:val="26"/>
        </w:rPr>
        <w:t>pamatdiagnoze</w:t>
      </w:r>
      <w:proofErr w:type="spellEnd"/>
      <w:r w:rsidRPr="006F5CFA">
        <w:rPr>
          <w:rFonts w:ascii="Times New Roman" w:hAnsi="Times New Roman"/>
          <w:sz w:val="26"/>
          <w:szCs w:val="26"/>
        </w:rPr>
        <w:t xml:space="preserve"> apvienojas ar citām slimībām un funkcionāliem traucējumiem, t.sk. atbalsts ar celiakiju slimiem bērniem netiek izmaksāts vienlaikus ar piemaksu pie ģimenes valsts pabalsta par bērnu invalīdu, </w:t>
      </w:r>
      <w:r w:rsidRPr="006F5CFA">
        <w:rPr>
          <w:rFonts w:ascii="Times New Roman" w:hAnsi="Times New Roman"/>
          <w:sz w:val="26"/>
          <w:szCs w:val="26"/>
        </w:rPr>
        <w:lastRenderedPageBreak/>
        <w:t xml:space="preserve">kā arī piemaksas apmērs </w:t>
      </w:r>
      <w:r w:rsidR="00895EA9" w:rsidRPr="006F5CFA">
        <w:rPr>
          <w:rFonts w:ascii="Times New Roman" w:hAnsi="Times New Roman"/>
          <w:sz w:val="26"/>
          <w:szCs w:val="26"/>
        </w:rPr>
        <w:t>nemainās</w:t>
      </w:r>
      <w:r w:rsidRPr="006F5CFA">
        <w:rPr>
          <w:rFonts w:ascii="Times New Roman" w:hAnsi="Times New Roman"/>
          <w:sz w:val="26"/>
          <w:szCs w:val="26"/>
        </w:rPr>
        <w:t>, ja bērnam invaliditāte ir noteikta, pamatojoties uz divām vai</w:t>
      </w:r>
      <w:r w:rsidR="00D06465" w:rsidRPr="006F5CFA">
        <w:rPr>
          <w:rFonts w:ascii="Times New Roman" w:hAnsi="Times New Roman"/>
          <w:sz w:val="26"/>
          <w:szCs w:val="26"/>
        </w:rPr>
        <w:t xml:space="preserve"> vairākām savstarpēji nesaistīt</w:t>
      </w:r>
      <w:r w:rsidRPr="006F5CFA">
        <w:rPr>
          <w:rFonts w:ascii="Times New Roman" w:hAnsi="Times New Roman"/>
          <w:sz w:val="26"/>
          <w:szCs w:val="26"/>
        </w:rPr>
        <w:t>ām slimībām un funkcionālajiem traucējumiem.</w:t>
      </w:r>
    </w:p>
    <w:p w:rsidR="00F10286" w:rsidRPr="006F5CFA" w:rsidRDefault="00F10286" w:rsidP="00F10286">
      <w:pPr>
        <w:ind w:firstLine="720"/>
        <w:jc w:val="both"/>
        <w:rPr>
          <w:rFonts w:ascii="Times New Roman" w:hAnsi="Times New Roman"/>
          <w:sz w:val="26"/>
          <w:szCs w:val="26"/>
        </w:rPr>
      </w:pPr>
      <w:r w:rsidRPr="006F5CFA">
        <w:rPr>
          <w:rFonts w:ascii="Times New Roman" w:hAnsi="Times New Roman"/>
          <w:sz w:val="26"/>
          <w:szCs w:val="26"/>
        </w:rPr>
        <w:t xml:space="preserve">Tādējādi gadījumā, ja ar celiakiju slimam bērnam tiek noteikta invaliditāte, kā rezultātā tiek piešķirta piemaksa pie ģimenes valsts pabalsta par bērnu invalīdu (saskaņā ar Valsts sociālo pabalstu likuma 6.panta trešo daļu), valsts atbalsta izmaksu par viņu pārtrauc. Un, lai gan naudas izteiksmē par bērnu izmaksājamā summa </w:t>
      </w:r>
      <w:r w:rsidR="00193EBA" w:rsidRPr="006F5CFA">
        <w:rPr>
          <w:rFonts w:ascii="Times New Roman" w:hAnsi="Times New Roman"/>
          <w:sz w:val="26"/>
          <w:szCs w:val="26"/>
        </w:rPr>
        <w:t>nemainās</w:t>
      </w:r>
      <w:r w:rsidRPr="006F5CFA">
        <w:rPr>
          <w:rFonts w:ascii="Times New Roman" w:hAnsi="Times New Roman"/>
          <w:sz w:val="26"/>
          <w:szCs w:val="26"/>
        </w:rPr>
        <w:t>, tomēr bērnam, kuram invaliditāte noteikta citu iemeslu dēļ, arī turpmāk saglabājas nepieciešamība pēc speciālas pārtika</w:t>
      </w:r>
      <w:r w:rsidR="00ED38B0" w:rsidRPr="006F5CFA">
        <w:rPr>
          <w:rFonts w:ascii="Times New Roman" w:hAnsi="Times New Roman"/>
          <w:sz w:val="26"/>
          <w:szCs w:val="26"/>
        </w:rPr>
        <w:t>s</w:t>
      </w:r>
      <w:r w:rsidRPr="006F5CFA">
        <w:rPr>
          <w:rFonts w:ascii="Times New Roman" w:hAnsi="Times New Roman"/>
          <w:sz w:val="26"/>
          <w:szCs w:val="26"/>
        </w:rPr>
        <w:t xml:space="preserve"> iegādes.</w:t>
      </w:r>
    </w:p>
    <w:p w:rsidR="00F10286" w:rsidRPr="006F5CFA" w:rsidRDefault="00AE6AC1" w:rsidP="00AE6AC1">
      <w:pPr>
        <w:ind w:firstLine="720"/>
        <w:jc w:val="both"/>
        <w:rPr>
          <w:rFonts w:ascii="Times New Roman" w:hAnsi="Times New Roman"/>
          <w:color w:val="FF0000"/>
          <w:sz w:val="26"/>
          <w:szCs w:val="26"/>
        </w:rPr>
      </w:pPr>
      <w:r w:rsidRPr="006F5CFA">
        <w:rPr>
          <w:rFonts w:ascii="Times New Roman" w:hAnsi="Times New Roman"/>
          <w:color w:val="000000" w:themeColor="text1"/>
          <w:sz w:val="26"/>
          <w:szCs w:val="26"/>
        </w:rPr>
        <w:t xml:space="preserve">VSAA valsts atbalsta saņēmēju datu </w:t>
      </w:r>
      <w:r w:rsidR="00ED38B0" w:rsidRPr="006F5CFA">
        <w:rPr>
          <w:rFonts w:ascii="Times New Roman" w:hAnsi="Times New Roman"/>
          <w:color w:val="000000" w:themeColor="text1"/>
          <w:sz w:val="26"/>
          <w:szCs w:val="26"/>
        </w:rPr>
        <w:t>analīze</w:t>
      </w:r>
      <w:r w:rsidRPr="006F5CFA">
        <w:rPr>
          <w:rFonts w:ascii="Times New Roman" w:hAnsi="Times New Roman"/>
          <w:color w:val="000000" w:themeColor="text1"/>
          <w:sz w:val="26"/>
          <w:szCs w:val="26"/>
        </w:rPr>
        <w:t xml:space="preserve"> liecina, ka katru gadu aptuveni 1% ar celiakiju slimiem bērniem, par kuriem piešķirts valsts atbalsts, tiek noteikta invaliditāte, pārtraukta valsts atbalsta izmaksa un uzsākta piemaksas pie ģimenes valsts pabalsta par bērnu invalīdu izmaksa.</w:t>
      </w:r>
    </w:p>
    <w:p w:rsidR="00CA434A" w:rsidRPr="006F5CFA" w:rsidRDefault="00CA434A" w:rsidP="00CA434A">
      <w:pPr>
        <w:ind w:firstLine="720"/>
        <w:jc w:val="both"/>
        <w:rPr>
          <w:rFonts w:ascii="Times New Roman" w:hAnsi="Times New Roman"/>
          <w:color w:val="000000" w:themeColor="text1"/>
          <w:sz w:val="26"/>
          <w:szCs w:val="26"/>
        </w:rPr>
      </w:pPr>
    </w:p>
    <w:p w:rsidR="00CA434A" w:rsidRPr="006F5CFA" w:rsidRDefault="002931C8" w:rsidP="000C5E9A">
      <w:pPr>
        <w:autoSpaceDE w:val="0"/>
        <w:autoSpaceDN w:val="0"/>
        <w:adjustRightInd w:val="0"/>
        <w:ind w:firstLine="720"/>
        <w:jc w:val="both"/>
        <w:rPr>
          <w:rFonts w:ascii="Times New Roman" w:hAnsi="Times New Roman"/>
          <w:color w:val="000000" w:themeColor="text1"/>
          <w:sz w:val="26"/>
          <w:szCs w:val="26"/>
        </w:rPr>
      </w:pPr>
      <w:r w:rsidRPr="006F5CFA">
        <w:rPr>
          <w:rFonts w:ascii="Times New Roman" w:hAnsi="Times New Roman"/>
          <w:color w:val="000000" w:themeColor="text1"/>
          <w:sz w:val="26"/>
          <w:szCs w:val="26"/>
        </w:rPr>
        <w:t xml:space="preserve">Ņemot vērā Tiesībsarga ierosinājumu un SSDLK priekšlikumu </w:t>
      </w:r>
      <w:r w:rsidR="009F1CAC" w:rsidRPr="006F5CFA">
        <w:rPr>
          <w:rFonts w:ascii="Times New Roman" w:eastAsiaTheme="minorHAnsi" w:hAnsi="Times New Roman"/>
          <w:color w:val="000000"/>
          <w:sz w:val="26"/>
          <w:szCs w:val="26"/>
        </w:rPr>
        <w:t>valsts atbalsta ar celiakiju slimo bērnu loka pārskatīšanai</w:t>
      </w:r>
      <w:r w:rsidRPr="006F5CFA">
        <w:rPr>
          <w:rFonts w:ascii="Times New Roman" w:hAnsi="Times New Roman"/>
          <w:color w:val="000000" w:themeColor="text1"/>
          <w:sz w:val="26"/>
          <w:szCs w:val="26"/>
        </w:rPr>
        <w:t xml:space="preserve">, Labklājības ministrija </w:t>
      </w:r>
      <w:r w:rsidR="00AE06D3">
        <w:rPr>
          <w:rFonts w:ascii="Times New Roman" w:hAnsi="Times New Roman"/>
          <w:color w:val="000000" w:themeColor="text1"/>
          <w:sz w:val="26"/>
          <w:szCs w:val="26"/>
        </w:rPr>
        <w:t xml:space="preserve">vēlas </w:t>
      </w:r>
      <w:r w:rsidR="009F1CAC" w:rsidRPr="006F5CFA">
        <w:rPr>
          <w:rFonts w:ascii="Times New Roman" w:hAnsi="Times New Roman"/>
          <w:color w:val="000000" w:themeColor="text1"/>
          <w:sz w:val="26"/>
          <w:szCs w:val="26"/>
        </w:rPr>
        <w:t>rosinā</w:t>
      </w:r>
      <w:r w:rsidR="00AE06D3">
        <w:rPr>
          <w:rFonts w:ascii="Times New Roman" w:hAnsi="Times New Roman"/>
          <w:color w:val="000000" w:themeColor="text1"/>
          <w:sz w:val="26"/>
          <w:szCs w:val="26"/>
        </w:rPr>
        <w:t>t</w:t>
      </w:r>
      <w:r w:rsidR="009F1CAC" w:rsidRPr="006F5CFA">
        <w:rPr>
          <w:rFonts w:ascii="Times New Roman" w:hAnsi="Times New Roman"/>
          <w:color w:val="000000" w:themeColor="text1"/>
          <w:sz w:val="26"/>
          <w:szCs w:val="26"/>
        </w:rPr>
        <w:t xml:space="preserve"> j</w:t>
      </w:r>
      <w:r w:rsidR="005F0978" w:rsidRPr="006F5CFA">
        <w:rPr>
          <w:rFonts w:ascii="Times New Roman" w:eastAsiaTheme="minorHAnsi" w:hAnsi="Times New Roman"/>
          <w:color w:val="000000"/>
          <w:sz w:val="26"/>
          <w:szCs w:val="26"/>
        </w:rPr>
        <w:t>autājum</w:t>
      </w:r>
      <w:r w:rsidR="009F1CAC" w:rsidRPr="006F5CFA">
        <w:rPr>
          <w:rFonts w:ascii="Times New Roman" w:eastAsiaTheme="minorHAnsi" w:hAnsi="Times New Roman"/>
          <w:color w:val="000000"/>
          <w:sz w:val="26"/>
          <w:szCs w:val="26"/>
        </w:rPr>
        <w:t>u</w:t>
      </w:r>
      <w:r w:rsidR="005F0978" w:rsidRPr="006F5CFA">
        <w:rPr>
          <w:rFonts w:ascii="Times New Roman" w:eastAsiaTheme="minorHAnsi" w:hAnsi="Times New Roman"/>
          <w:color w:val="000000"/>
          <w:sz w:val="26"/>
          <w:szCs w:val="26"/>
        </w:rPr>
        <w:t xml:space="preserve"> par papildu līdzekļu piešķiršanu skat</w:t>
      </w:r>
      <w:r w:rsidR="009F1CAC" w:rsidRPr="006F5CFA">
        <w:rPr>
          <w:rFonts w:ascii="Times New Roman" w:eastAsiaTheme="minorHAnsi" w:hAnsi="Times New Roman"/>
          <w:color w:val="000000"/>
          <w:sz w:val="26"/>
          <w:szCs w:val="26"/>
        </w:rPr>
        <w:t>īt</w:t>
      </w:r>
      <w:r w:rsidR="005F0978" w:rsidRPr="006F5CFA">
        <w:rPr>
          <w:rFonts w:ascii="Times New Roman" w:eastAsiaTheme="minorHAnsi" w:hAnsi="Times New Roman"/>
          <w:color w:val="000000"/>
          <w:sz w:val="26"/>
          <w:szCs w:val="26"/>
        </w:rPr>
        <w:t xml:space="preserve"> </w:t>
      </w:r>
      <w:r w:rsidR="00FA2B72" w:rsidRPr="006F5CFA">
        <w:rPr>
          <w:rFonts w:ascii="Times New Roman" w:hAnsi="Times New Roman"/>
          <w:color w:val="000000"/>
          <w:sz w:val="26"/>
          <w:szCs w:val="26"/>
        </w:rPr>
        <w:t xml:space="preserve">Ministru kabinetā kopā ar visu ministriju un centrālo valsts iestāžu priekšlikumiem </w:t>
      </w:r>
      <w:r w:rsidR="00FA2B72" w:rsidRPr="006F5CFA">
        <w:rPr>
          <w:rFonts w:ascii="Times New Roman" w:hAnsi="Times New Roman"/>
          <w:bCs/>
          <w:color w:val="000000"/>
          <w:sz w:val="26"/>
          <w:szCs w:val="26"/>
        </w:rPr>
        <w:t>jaunajām politikas iniciatīvā</w:t>
      </w:r>
      <w:r w:rsidR="00FA2B72" w:rsidRPr="006F5CFA">
        <w:rPr>
          <w:rFonts w:ascii="Times New Roman" w:hAnsi="Times New Roman"/>
          <w:color w:val="000000"/>
          <w:sz w:val="26"/>
          <w:szCs w:val="26"/>
        </w:rPr>
        <w:t>m un iesniegtajiem papildu finansējuma pieprasījumiem likumprojekta „Par valsts budžetu 2015.gadam” un likumprojekta „Par vidēja termiņa budžeta ietvaru 2015., 2016. un 2017.gadam” sagatavošanas un izskatīšanas procesā atbilstoši valsts budžeta finansiālajām iespējām</w:t>
      </w:r>
      <w:r w:rsidR="009F1CAC" w:rsidRPr="006F5CFA">
        <w:rPr>
          <w:rFonts w:ascii="Times New Roman" w:eastAsiaTheme="minorHAnsi" w:hAnsi="Times New Roman"/>
          <w:color w:val="000000"/>
          <w:sz w:val="26"/>
          <w:szCs w:val="26"/>
        </w:rPr>
        <w:t xml:space="preserve">, </w:t>
      </w:r>
      <w:r w:rsidR="00AE06D3">
        <w:rPr>
          <w:rFonts w:ascii="Times New Roman" w:eastAsiaTheme="minorHAnsi" w:hAnsi="Times New Roman"/>
          <w:color w:val="000000"/>
          <w:sz w:val="26"/>
          <w:szCs w:val="26"/>
        </w:rPr>
        <w:t xml:space="preserve">piedāvājot </w:t>
      </w:r>
      <w:r w:rsidR="009F1CAC" w:rsidRPr="006F5CFA">
        <w:rPr>
          <w:rFonts w:ascii="Times New Roman" w:eastAsiaTheme="minorHAnsi" w:hAnsi="Times New Roman"/>
          <w:color w:val="000000"/>
          <w:sz w:val="26"/>
          <w:szCs w:val="26"/>
        </w:rPr>
        <w:t>izmaksāt valsts</w:t>
      </w:r>
      <w:r w:rsidR="00CA434A" w:rsidRPr="006F5CFA">
        <w:rPr>
          <w:rFonts w:ascii="Times New Roman" w:hAnsi="Times New Roman"/>
          <w:color w:val="000000" w:themeColor="text1"/>
          <w:sz w:val="26"/>
          <w:szCs w:val="26"/>
        </w:rPr>
        <w:t xml:space="preserve"> atbalstu ar celiakiju slimajiem bērniem un klientiem, </w:t>
      </w:r>
      <w:r w:rsidR="009F1CAC" w:rsidRPr="006F5CFA">
        <w:rPr>
          <w:rFonts w:ascii="Times New Roman" w:hAnsi="Times New Roman"/>
          <w:color w:val="000000" w:themeColor="text1"/>
          <w:sz w:val="26"/>
          <w:szCs w:val="26"/>
        </w:rPr>
        <w:t>kas pēc 18 gadu vecuma sasniegšanas</w:t>
      </w:r>
      <w:r w:rsidR="00CA434A" w:rsidRPr="006F5CFA">
        <w:rPr>
          <w:rFonts w:ascii="Times New Roman" w:hAnsi="Times New Roman"/>
          <w:color w:val="000000" w:themeColor="text1"/>
          <w:sz w:val="26"/>
          <w:szCs w:val="26"/>
        </w:rPr>
        <w:t xml:space="preserve"> mācās (</w:t>
      </w:r>
      <w:r w:rsidR="00CA434A" w:rsidRPr="006F5CFA">
        <w:rPr>
          <w:rFonts w:ascii="Times New Roman" w:hAnsi="Times New Roman"/>
          <w:color w:val="000000"/>
          <w:sz w:val="26"/>
          <w:szCs w:val="26"/>
          <w:lang w:eastAsia="lv-LV"/>
        </w:rPr>
        <w:t>vispārējās izglītības vai profesionālās izglītības iestādē un nav vecāk</w:t>
      </w:r>
      <w:r w:rsidR="009F1CAC" w:rsidRPr="006F5CFA">
        <w:rPr>
          <w:rFonts w:ascii="Times New Roman" w:hAnsi="Times New Roman"/>
          <w:color w:val="000000"/>
          <w:sz w:val="26"/>
          <w:szCs w:val="26"/>
          <w:lang w:eastAsia="lv-LV"/>
        </w:rPr>
        <w:t>i</w:t>
      </w:r>
      <w:r w:rsidR="00CA434A" w:rsidRPr="006F5CFA">
        <w:rPr>
          <w:rFonts w:ascii="Times New Roman" w:hAnsi="Times New Roman"/>
          <w:color w:val="000000"/>
          <w:sz w:val="26"/>
          <w:szCs w:val="26"/>
          <w:lang w:eastAsia="lv-LV"/>
        </w:rPr>
        <w:t xml:space="preserve"> par 20 gadiem vai studē augstskolā dienas nodaļā (pilna laika klātienē) un nav vecāk</w:t>
      </w:r>
      <w:r w:rsidR="009F1CAC" w:rsidRPr="006F5CFA">
        <w:rPr>
          <w:rFonts w:ascii="Times New Roman" w:hAnsi="Times New Roman"/>
          <w:color w:val="000000"/>
          <w:sz w:val="26"/>
          <w:szCs w:val="26"/>
          <w:lang w:eastAsia="lv-LV"/>
        </w:rPr>
        <w:t>i</w:t>
      </w:r>
      <w:r w:rsidR="00CA434A" w:rsidRPr="006F5CFA">
        <w:rPr>
          <w:rFonts w:ascii="Times New Roman" w:hAnsi="Times New Roman"/>
          <w:color w:val="000000"/>
          <w:sz w:val="26"/>
          <w:szCs w:val="26"/>
          <w:lang w:eastAsia="lv-LV"/>
        </w:rPr>
        <w:t xml:space="preserve"> par 24 gadiem)</w:t>
      </w:r>
      <w:r w:rsidR="00CA434A" w:rsidRPr="006F5CFA">
        <w:rPr>
          <w:rFonts w:ascii="Times New Roman" w:hAnsi="Times New Roman"/>
          <w:color w:val="000000" w:themeColor="text1"/>
          <w:sz w:val="26"/>
          <w:szCs w:val="26"/>
        </w:rPr>
        <w:t>, neatkarīgi no tā, vai ir noteikta invaliditāte un kādu iemeslu dēļ</w:t>
      </w:r>
      <w:r w:rsidR="009F1CAC" w:rsidRPr="006F5CFA">
        <w:rPr>
          <w:rFonts w:ascii="Times New Roman" w:hAnsi="Times New Roman"/>
          <w:color w:val="000000" w:themeColor="text1"/>
          <w:sz w:val="26"/>
          <w:szCs w:val="26"/>
        </w:rPr>
        <w:t xml:space="preserve"> tā noteikta</w:t>
      </w:r>
      <w:r w:rsidR="00CA434A" w:rsidRPr="006F5CFA">
        <w:rPr>
          <w:rFonts w:ascii="Times New Roman" w:hAnsi="Times New Roman"/>
          <w:color w:val="000000" w:themeColor="text1"/>
          <w:sz w:val="26"/>
          <w:szCs w:val="26"/>
        </w:rPr>
        <w:t>.</w:t>
      </w:r>
    </w:p>
    <w:p w:rsidR="00A75438" w:rsidRPr="006F5CFA" w:rsidRDefault="00A75438" w:rsidP="000C5E9A">
      <w:pPr>
        <w:autoSpaceDE w:val="0"/>
        <w:autoSpaceDN w:val="0"/>
        <w:adjustRightInd w:val="0"/>
        <w:ind w:firstLine="720"/>
        <w:jc w:val="both"/>
        <w:rPr>
          <w:rFonts w:ascii="Times New Roman" w:hAnsi="Times New Roman"/>
          <w:color w:val="000000" w:themeColor="text1"/>
          <w:sz w:val="26"/>
          <w:szCs w:val="26"/>
        </w:rPr>
      </w:pPr>
      <w:r w:rsidRPr="006F5CFA">
        <w:rPr>
          <w:rFonts w:ascii="Times New Roman" w:hAnsi="Times New Roman"/>
          <w:color w:val="000000" w:themeColor="text1"/>
          <w:sz w:val="26"/>
          <w:szCs w:val="26"/>
        </w:rPr>
        <w:t xml:space="preserve">Informatīvā ziņojuma izstrādes procesā notika konsultēšanās ar </w:t>
      </w:r>
      <w:r w:rsidR="00FF6A2E" w:rsidRPr="006F5CFA">
        <w:rPr>
          <w:rFonts w:ascii="Times New Roman" w:eastAsiaTheme="minorHAnsi" w:hAnsi="Times New Roman"/>
          <w:color w:val="000000"/>
          <w:sz w:val="26"/>
          <w:szCs w:val="26"/>
        </w:rPr>
        <w:t xml:space="preserve">Latvijas </w:t>
      </w:r>
      <w:r w:rsidR="00993321" w:rsidRPr="006F5CFA">
        <w:rPr>
          <w:rFonts w:ascii="Times New Roman" w:eastAsiaTheme="minorHAnsi" w:hAnsi="Times New Roman"/>
          <w:color w:val="000000"/>
          <w:sz w:val="26"/>
          <w:szCs w:val="26"/>
        </w:rPr>
        <w:t>C</w:t>
      </w:r>
      <w:r w:rsidR="00FF6A2E" w:rsidRPr="006F5CFA">
        <w:rPr>
          <w:rFonts w:ascii="Times New Roman" w:eastAsiaTheme="minorHAnsi" w:hAnsi="Times New Roman"/>
          <w:color w:val="000000"/>
          <w:sz w:val="26"/>
          <w:szCs w:val="26"/>
        </w:rPr>
        <w:t xml:space="preserve">eliakijas pacientu </w:t>
      </w:r>
      <w:r w:rsidRPr="006F5CFA">
        <w:rPr>
          <w:rFonts w:ascii="Times New Roman" w:hAnsi="Times New Roman"/>
          <w:color w:val="000000" w:themeColor="text1"/>
          <w:sz w:val="26"/>
          <w:szCs w:val="26"/>
        </w:rPr>
        <w:t xml:space="preserve">biedrību „Dzīve bez </w:t>
      </w:r>
      <w:proofErr w:type="spellStart"/>
      <w:r w:rsidRPr="006F5CFA">
        <w:rPr>
          <w:rFonts w:ascii="Times New Roman" w:hAnsi="Times New Roman"/>
          <w:color w:val="000000" w:themeColor="text1"/>
          <w:sz w:val="26"/>
          <w:szCs w:val="26"/>
        </w:rPr>
        <w:t>glutēna</w:t>
      </w:r>
      <w:proofErr w:type="spellEnd"/>
      <w:r w:rsidRPr="006F5CFA">
        <w:rPr>
          <w:rFonts w:ascii="Times New Roman" w:hAnsi="Times New Roman"/>
          <w:color w:val="000000" w:themeColor="text1"/>
          <w:sz w:val="26"/>
          <w:szCs w:val="26"/>
        </w:rPr>
        <w:t>”, kas atbalsta informatīv</w:t>
      </w:r>
      <w:r w:rsidR="00993321" w:rsidRPr="006F5CFA">
        <w:rPr>
          <w:rFonts w:ascii="Times New Roman" w:hAnsi="Times New Roman"/>
          <w:color w:val="000000" w:themeColor="text1"/>
          <w:sz w:val="26"/>
          <w:szCs w:val="26"/>
        </w:rPr>
        <w:t>aj</w:t>
      </w:r>
      <w:r w:rsidRPr="006F5CFA">
        <w:rPr>
          <w:rFonts w:ascii="Times New Roman" w:hAnsi="Times New Roman"/>
          <w:color w:val="000000" w:themeColor="text1"/>
          <w:sz w:val="26"/>
          <w:szCs w:val="26"/>
        </w:rPr>
        <w:t>ā ziņojumā ietvertos priekšlikumus.</w:t>
      </w:r>
    </w:p>
    <w:p w:rsidR="00591021" w:rsidRPr="006F5CFA" w:rsidRDefault="00591021" w:rsidP="00F10286">
      <w:pPr>
        <w:jc w:val="both"/>
        <w:rPr>
          <w:rFonts w:ascii="Times New Roman" w:hAnsi="Times New Roman"/>
          <w:b/>
          <w:sz w:val="26"/>
          <w:szCs w:val="26"/>
        </w:rPr>
      </w:pPr>
    </w:p>
    <w:p w:rsidR="00F10286" w:rsidRPr="006F5CFA" w:rsidRDefault="00F10286" w:rsidP="00F10286">
      <w:pPr>
        <w:jc w:val="both"/>
        <w:rPr>
          <w:rFonts w:ascii="Times New Roman" w:hAnsi="Times New Roman"/>
          <w:b/>
          <w:sz w:val="26"/>
          <w:szCs w:val="26"/>
        </w:rPr>
      </w:pPr>
      <w:r w:rsidRPr="006F5CFA">
        <w:rPr>
          <w:rFonts w:ascii="Times New Roman" w:hAnsi="Times New Roman"/>
          <w:b/>
          <w:sz w:val="26"/>
          <w:szCs w:val="26"/>
        </w:rPr>
        <w:t>3. Nepieciešamais finansējums</w:t>
      </w:r>
    </w:p>
    <w:p w:rsidR="00A076A7" w:rsidRPr="006F5CFA" w:rsidRDefault="00A076A7" w:rsidP="00F10286">
      <w:pPr>
        <w:jc w:val="both"/>
        <w:rPr>
          <w:rFonts w:ascii="Times New Roman" w:hAnsi="Times New Roman"/>
          <w:b/>
          <w:sz w:val="26"/>
          <w:szCs w:val="26"/>
        </w:rPr>
      </w:pPr>
    </w:p>
    <w:p w:rsidR="00A076A7" w:rsidRPr="006F5CFA" w:rsidRDefault="00A076A7" w:rsidP="00537F1E">
      <w:pPr>
        <w:ind w:firstLine="720"/>
        <w:jc w:val="both"/>
        <w:rPr>
          <w:rFonts w:ascii="Times New Roman" w:hAnsi="Times New Roman"/>
          <w:color w:val="000000" w:themeColor="text1"/>
          <w:sz w:val="26"/>
          <w:szCs w:val="26"/>
        </w:rPr>
      </w:pPr>
      <w:r w:rsidRPr="006F5CFA">
        <w:rPr>
          <w:rFonts w:ascii="Times New Roman" w:hAnsi="Times New Roman"/>
          <w:color w:val="000000" w:themeColor="text1"/>
          <w:sz w:val="26"/>
          <w:szCs w:val="26"/>
        </w:rPr>
        <w:t>Atbilstoši Veselības ministrijas sniegtajai informācijai pacientu skaits ar diagnozi „celiakija” 2013.gadā vecumā no 18 (ieskaitot) līdz 23 gadiem (ieskaitot) bija 139 personas, tai skaitā vecumā no 18-19 gadiem – 92 personas, bet vecumā no 20-23 gadiem - 47 personas.</w:t>
      </w:r>
    </w:p>
    <w:p w:rsidR="00A076A7" w:rsidRPr="006F5CFA" w:rsidRDefault="00A076A7" w:rsidP="00A076A7">
      <w:pPr>
        <w:ind w:firstLine="720"/>
        <w:jc w:val="both"/>
        <w:rPr>
          <w:rFonts w:ascii="Times New Roman" w:hAnsi="Times New Roman"/>
          <w:color w:val="000000" w:themeColor="text1"/>
          <w:sz w:val="26"/>
          <w:szCs w:val="26"/>
        </w:rPr>
      </w:pPr>
      <w:r w:rsidRPr="006F5CFA">
        <w:rPr>
          <w:rFonts w:ascii="Times New Roman" w:hAnsi="Times New Roman"/>
          <w:color w:val="000000" w:themeColor="text1"/>
          <w:sz w:val="26"/>
          <w:szCs w:val="26"/>
        </w:rPr>
        <w:t xml:space="preserve">Atbilstoši Centrālās statistikas pārvaldes datiem par vidusskolu beigušo turpmāko izglītību 2012.gadā no visiem vidusskolu beigušajiem mācības turpināja 69,2% (augstskolās un koledžās - 62,8%, profesionālajās izglītības iestādēs - 6,4%), bet mācības neturpināja - 30,8%. </w:t>
      </w:r>
    </w:p>
    <w:p w:rsidR="00A076A7" w:rsidRPr="006F5CFA" w:rsidRDefault="00A076A7" w:rsidP="00A076A7">
      <w:pPr>
        <w:ind w:firstLine="720"/>
        <w:jc w:val="both"/>
        <w:rPr>
          <w:rFonts w:ascii="Times New Roman" w:hAnsi="Times New Roman"/>
          <w:color w:val="000000"/>
          <w:sz w:val="26"/>
          <w:szCs w:val="26"/>
          <w:shd w:val="clear" w:color="auto" w:fill="FFFFFF"/>
        </w:rPr>
      </w:pPr>
      <w:r w:rsidRPr="006F5CFA">
        <w:rPr>
          <w:rFonts w:ascii="Times New Roman" w:hAnsi="Times New Roman"/>
          <w:color w:val="000000" w:themeColor="text1"/>
          <w:sz w:val="26"/>
          <w:szCs w:val="26"/>
        </w:rPr>
        <w:t xml:space="preserve">Turpmākiem aprēķiniem tiek pieņemts, ka </w:t>
      </w:r>
      <w:r w:rsidRPr="006F5CFA">
        <w:rPr>
          <w:rFonts w:ascii="Times New Roman" w:hAnsi="Times New Roman"/>
          <w:color w:val="000000"/>
          <w:sz w:val="26"/>
          <w:szCs w:val="26"/>
        </w:rPr>
        <w:t xml:space="preserve">no visiem vidusskolu beigušajiem mācības </w:t>
      </w:r>
      <w:r w:rsidRPr="006F5CFA">
        <w:rPr>
          <w:rFonts w:ascii="Times New Roman" w:hAnsi="Times New Roman"/>
          <w:color w:val="000000"/>
          <w:sz w:val="26"/>
          <w:szCs w:val="26"/>
          <w:lang w:eastAsia="lv-LV"/>
        </w:rPr>
        <w:t>profesionālās izglītības iestādē turpina 5%, bet studijas augstskolā dienas nodaļā (pilna laika klātienē)</w:t>
      </w:r>
      <w:r w:rsidRPr="006F5CFA">
        <w:rPr>
          <w:rFonts w:ascii="Times New Roman" w:hAnsi="Times New Roman"/>
          <w:color w:val="000000"/>
          <w:sz w:val="26"/>
          <w:szCs w:val="26"/>
          <w:shd w:val="clear" w:color="auto" w:fill="FFFFFF"/>
        </w:rPr>
        <w:t xml:space="preserve"> turpina 50% vidusskolu beigušie. Līdz ar to</w:t>
      </w:r>
      <w:r w:rsidRPr="006F5CFA">
        <w:rPr>
          <w:rFonts w:ascii="Times New Roman" w:hAnsi="Times New Roman"/>
          <w:color w:val="000000" w:themeColor="text1"/>
          <w:sz w:val="26"/>
          <w:szCs w:val="26"/>
        </w:rPr>
        <w:t xml:space="preserve"> saņēmēju skaits, maksājot valsts atbalstu ar celiakiju slimām personām </w:t>
      </w:r>
      <w:r w:rsidRPr="006F5CFA">
        <w:rPr>
          <w:rFonts w:ascii="Times New Roman" w:hAnsi="Times New Roman"/>
          <w:color w:val="000000" w:themeColor="text1"/>
          <w:sz w:val="26"/>
          <w:szCs w:val="26"/>
          <w:shd w:val="clear" w:color="auto" w:fill="FFFFFF"/>
        </w:rPr>
        <w:t>pēc 18 gadu vecuma sasniegšanas, ja saņēmējs mācās līdz 24 gadu vecuma sasniegšanai, varētu būt 75 personas vidēji mēnesī (50% un 5% no</w:t>
      </w:r>
      <w:r w:rsidRPr="006F5CFA">
        <w:rPr>
          <w:rFonts w:ascii="Times New Roman" w:hAnsi="Times New Roman"/>
          <w:color w:val="000000"/>
          <w:sz w:val="26"/>
          <w:szCs w:val="26"/>
          <w:shd w:val="clear" w:color="auto" w:fill="FFFFFF"/>
        </w:rPr>
        <w:t xml:space="preserve"> Veselības ministrijas datiem par celiakijas slimniekiem attiecīgajā vecumā: attiecīgi 70 un 5 personas).</w:t>
      </w:r>
    </w:p>
    <w:p w:rsidR="00263212" w:rsidRPr="006F5CFA" w:rsidRDefault="00263212" w:rsidP="00263212">
      <w:pPr>
        <w:ind w:firstLine="720"/>
        <w:jc w:val="both"/>
        <w:rPr>
          <w:rFonts w:ascii="Times New Roman" w:hAnsi="Times New Roman"/>
          <w:color w:val="000000" w:themeColor="text1"/>
          <w:sz w:val="26"/>
          <w:szCs w:val="26"/>
        </w:rPr>
      </w:pPr>
      <w:r w:rsidRPr="006F5CFA">
        <w:rPr>
          <w:rFonts w:ascii="Times New Roman" w:hAnsi="Times New Roman"/>
          <w:color w:val="000000" w:themeColor="text1"/>
          <w:sz w:val="26"/>
          <w:szCs w:val="26"/>
        </w:rPr>
        <w:lastRenderedPageBreak/>
        <w:t>Tiek pieņemts, ka arī turpmāk saglabājas līdzšinējā tendence, ka katru gadu aptuveni 1% ar celiakiju slimiem bērniem, par kuriem piešķirts valsts atbalsts, tiek noteikta invaliditāte un pārtraukta valsts atbalsta izmaksa. Ņemot vērā 2015.gadā plānoto valsts atbalsta ar celiakiju slimiem bērniem skaitu (1695 personas vidēji mēnesī), kā arī saņēmēju skaita palielinājumu sakarā ar atbalsta izmaksas perioda pagarināšanu līdz 24 gadiem, ja mācās (</w:t>
      </w:r>
      <w:r w:rsidRPr="006F5CFA">
        <w:rPr>
          <w:rFonts w:ascii="Times New Roman" w:hAnsi="Times New Roman"/>
          <w:color w:val="000000" w:themeColor="text1"/>
          <w:sz w:val="26"/>
          <w:szCs w:val="26"/>
          <w:shd w:val="clear" w:color="auto" w:fill="FFFFFF"/>
        </w:rPr>
        <w:t xml:space="preserve">75 personas vidēji mēnesī), </w:t>
      </w:r>
      <w:r w:rsidRPr="006F5CFA">
        <w:rPr>
          <w:rFonts w:ascii="Times New Roman" w:hAnsi="Times New Roman"/>
          <w:color w:val="000000" w:themeColor="text1"/>
          <w:sz w:val="26"/>
          <w:szCs w:val="26"/>
        </w:rPr>
        <w:t xml:space="preserve">varam pieņemt, ka, </w:t>
      </w:r>
      <w:r w:rsidRPr="006F5CFA">
        <w:rPr>
          <w:rFonts w:ascii="Times New Roman" w:hAnsi="Times New Roman"/>
          <w:sz w:val="26"/>
          <w:szCs w:val="26"/>
        </w:rPr>
        <w:t xml:space="preserve">ja bērnam invaliditāte ir noteikta, pamatojoties uz divām vai vairākām slimībām un funkcionālajiem traucējumiem, </w:t>
      </w:r>
      <w:r w:rsidRPr="006F5CFA">
        <w:rPr>
          <w:rFonts w:ascii="Times New Roman" w:hAnsi="Times New Roman"/>
          <w:color w:val="000000" w:themeColor="text1"/>
          <w:sz w:val="26"/>
          <w:szCs w:val="26"/>
        </w:rPr>
        <w:t>atbalsta saņēmēju skaits palielinātos par 1% jeb 18 personām vidēji mēnesī.</w:t>
      </w:r>
    </w:p>
    <w:p w:rsidR="00A076A7" w:rsidRPr="00D1178B" w:rsidRDefault="00A076A7" w:rsidP="00F10286">
      <w:pPr>
        <w:jc w:val="both"/>
        <w:rPr>
          <w:rFonts w:ascii="Times New Roman" w:hAnsi="Times New Roman"/>
          <w:b/>
          <w:sz w:val="28"/>
          <w:szCs w:val="28"/>
        </w:rPr>
      </w:pPr>
    </w:p>
    <w:p w:rsidR="00F10286" w:rsidRPr="00D1178B" w:rsidRDefault="00F10286" w:rsidP="00F10286">
      <w:pPr>
        <w:ind w:firstLine="720"/>
        <w:jc w:val="both"/>
        <w:rPr>
          <w:bCs/>
          <w:sz w:val="24"/>
          <w:szCs w:val="24"/>
        </w:rPr>
      </w:pPr>
    </w:p>
    <w:p w:rsidR="00F10286" w:rsidRPr="00D1178B" w:rsidRDefault="002B255C" w:rsidP="00F10286">
      <w:pPr>
        <w:spacing w:after="160"/>
        <w:ind w:firstLine="720"/>
        <w:jc w:val="center"/>
        <w:rPr>
          <w:rFonts w:ascii="Times New Roman" w:hAnsi="Times New Roman"/>
          <w:bCs/>
          <w:sz w:val="24"/>
          <w:szCs w:val="24"/>
          <w:u w:val="single"/>
        </w:rPr>
      </w:pPr>
      <w:r>
        <w:rPr>
          <w:rFonts w:ascii="Times New Roman" w:hAnsi="Times New Roman"/>
          <w:bCs/>
          <w:sz w:val="24"/>
          <w:szCs w:val="24"/>
          <w:u w:val="single"/>
        </w:rPr>
        <w:t>Iz</w:t>
      </w:r>
      <w:r w:rsidR="00F10286" w:rsidRPr="00D1178B">
        <w:rPr>
          <w:rFonts w:ascii="Times New Roman" w:hAnsi="Times New Roman"/>
          <w:bCs/>
          <w:sz w:val="24"/>
          <w:szCs w:val="24"/>
          <w:u w:val="single"/>
        </w:rPr>
        <w:t>devumi 2015.gadā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078"/>
        <w:gridCol w:w="992"/>
        <w:gridCol w:w="1559"/>
        <w:gridCol w:w="1134"/>
        <w:gridCol w:w="1276"/>
        <w:gridCol w:w="1134"/>
        <w:gridCol w:w="1276"/>
      </w:tblGrid>
      <w:tr w:rsidR="00F10286" w:rsidRPr="00D1178B" w:rsidTr="0040072A">
        <w:tc>
          <w:tcPr>
            <w:tcW w:w="1157"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c>
          <w:tcPr>
            <w:tcW w:w="1078"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 xml:space="preserve">Plānotais saņēmēju skaits (vid. </w:t>
            </w:r>
            <w:proofErr w:type="spellStart"/>
            <w:r w:rsidRPr="00D1178B">
              <w:rPr>
                <w:rFonts w:ascii="Times New Roman" w:hAnsi="Times New Roman"/>
                <w:b/>
                <w:bCs/>
                <w:sz w:val="20"/>
                <w:szCs w:val="20"/>
              </w:rPr>
              <w:t>mēn</w:t>
            </w:r>
            <w:proofErr w:type="spellEnd"/>
            <w:r w:rsidRPr="00D1178B">
              <w:rPr>
                <w:rFonts w:ascii="Times New Roman" w:hAnsi="Times New Roman"/>
                <w:b/>
                <w:bCs/>
                <w:sz w:val="20"/>
                <w:szCs w:val="20"/>
              </w:rPr>
              <w:t>.)</w:t>
            </w:r>
          </w:p>
        </w:tc>
        <w:tc>
          <w:tcPr>
            <w:tcW w:w="992"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Apmērs</w:t>
            </w:r>
          </w:p>
        </w:tc>
        <w:tc>
          <w:tcPr>
            <w:tcW w:w="1559"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Papildus nepieciešamais finansējums (gadā)</w:t>
            </w:r>
          </w:p>
        </w:tc>
        <w:tc>
          <w:tcPr>
            <w:tcW w:w="2410" w:type="dxa"/>
            <w:gridSpan w:val="2"/>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2015.gada projekts*</w:t>
            </w:r>
          </w:p>
        </w:tc>
        <w:tc>
          <w:tcPr>
            <w:tcW w:w="1134" w:type="dxa"/>
            <w:vMerge w:val="restart"/>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 xml:space="preserve">Plānotais saņēmēju skaits KOPĀ (vid. </w:t>
            </w:r>
            <w:proofErr w:type="spellStart"/>
            <w:r w:rsidRPr="00D1178B">
              <w:rPr>
                <w:rFonts w:ascii="Times New Roman" w:hAnsi="Times New Roman"/>
                <w:b/>
                <w:bCs/>
                <w:sz w:val="20"/>
                <w:szCs w:val="20"/>
              </w:rPr>
              <w:t>mēn</w:t>
            </w:r>
            <w:proofErr w:type="spellEnd"/>
            <w:r w:rsidRPr="00D1178B">
              <w:rPr>
                <w:rFonts w:ascii="Times New Roman" w:hAnsi="Times New Roman"/>
                <w:b/>
                <w:bCs/>
                <w:sz w:val="20"/>
                <w:szCs w:val="20"/>
              </w:rPr>
              <w:t>.)</w:t>
            </w:r>
          </w:p>
        </w:tc>
        <w:tc>
          <w:tcPr>
            <w:tcW w:w="1276"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Izdevumi KOPĀ (gadā)</w:t>
            </w:r>
          </w:p>
        </w:tc>
      </w:tr>
      <w:tr w:rsidR="00F10286" w:rsidRPr="00D1178B" w:rsidTr="0040072A">
        <w:tc>
          <w:tcPr>
            <w:tcW w:w="1157" w:type="dxa"/>
            <w:vMerge/>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c>
          <w:tcPr>
            <w:tcW w:w="1078" w:type="dxa"/>
            <w:vMerge/>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c>
          <w:tcPr>
            <w:tcW w:w="992" w:type="dxa"/>
            <w:vMerge/>
            <w:shd w:val="clear" w:color="auto" w:fill="auto"/>
            <w:vAlign w:val="center"/>
          </w:tcPr>
          <w:p w:rsidR="00F10286" w:rsidRPr="00D1178B" w:rsidRDefault="00F10286" w:rsidP="0040072A">
            <w:pPr>
              <w:spacing w:after="120"/>
              <w:jc w:val="center"/>
              <w:rPr>
                <w:rFonts w:ascii="Times New Roman" w:hAnsi="Times New Roman"/>
                <w:bCs/>
                <w:sz w:val="20"/>
                <w:szCs w:val="20"/>
              </w:rPr>
            </w:pPr>
          </w:p>
        </w:tc>
        <w:tc>
          <w:tcPr>
            <w:tcW w:w="1559" w:type="dxa"/>
            <w:vMerge/>
            <w:shd w:val="clear" w:color="auto" w:fill="auto"/>
          </w:tcPr>
          <w:p w:rsidR="00F10286" w:rsidRPr="00D1178B" w:rsidRDefault="00F10286" w:rsidP="0040072A">
            <w:pPr>
              <w:spacing w:after="120"/>
              <w:jc w:val="center"/>
              <w:rPr>
                <w:rFonts w:ascii="Times New Roman" w:hAnsi="Times New Roman"/>
                <w:b/>
                <w:bCs/>
                <w:sz w:val="20"/>
                <w:szCs w:val="20"/>
              </w:rPr>
            </w:pPr>
          </w:p>
        </w:tc>
        <w:tc>
          <w:tcPr>
            <w:tcW w:w="1134" w:type="dxa"/>
            <w:shd w:val="clear" w:color="auto" w:fill="auto"/>
            <w:vAlign w:val="center"/>
          </w:tcPr>
          <w:p w:rsidR="00F10286" w:rsidRPr="00D1178B" w:rsidRDefault="00F10286" w:rsidP="0040072A">
            <w:pPr>
              <w:spacing w:after="120"/>
              <w:jc w:val="center"/>
              <w:rPr>
                <w:rFonts w:ascii="Times New Roman" w:hAnsi="Times New Roman"/>
                <w:bCs/>
                <w:sz w:val="20"/>
                <w:szCs w:val="20"/>
              </w:rPr>
            </w:pPr>
            <w:r w:rsidRPr="00D1178B">
              <w:rPr>
                <w:rFonts w:ascii="Times New Roman" w:hAnsi="Times New Roman"/>
                <w:b/>
                <w:bCs/>
                <w:sz w:val="20"/>
                <w:szCs w:val="20"/>
              </w:rPr>
              <w:t xml:space="preserve">Saņēmēju skaits (vid. </w:t>
            </w:r>
            <w:proofErr w:type="spellStart"/>
            <w:r w:rsidRPr="00D1178B">
              <w:rPr>
                <w:rFonts w:ascii="Times New Roman" w:hAnsi="Times New Roman"/>
                <w:b/>
                <w:bCs/>
                <w:sz w:val="20"/>
                <w:szCs w:val="20"/>
              </w:rPr>
              <w:t>mēn</w:t>
            </w:r>
            <w:proofErr w:type="spellEnd"/>
            <w:r w:rsidRPr="00D1178B">
              <w:rPr>
                <w:rFonts w:ascii="Times New Roman" w:hAnsi="Times New Roman"/>
                <w:b/>
                <w:bCs/>
                <w:sz w:val="20"/>
                <w:szCs w:val="20"/>
              </w:rPr>
              <w:t>.)</w:t>
            </w:r>
          </w:p>
        </w:tc>
        <w:tc>
          <w:tcPr>
            <w:tcW w:w="1276" w:type="dxa"/>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Izdevumi (gadā)</w:t>
            </w:r>
          </w:p>
        </w:tc>
        <w:tc>
          <w:tcPr>
            <w:tcW w:w="1134" w:type="dxa"/>
            <w:vMerge/>
          </w:tcPr>
          <w:p w:rsidR="00F10286" w:rsidRPr="00D1178B" w:rsidRDefault="00F10286" w:rsidP="0040072A">
            <w:pPr>
              <w:spacing w:after="120"/>
              <w:jc w:val="center"/>
              <w:rPr>
                <w:rFonts w:ascii="Times New Roman" w:hAnsi="Times New Roman"/>
                <w:b/>
                <w:bCs/>
                <w:sz w:val="20"/>
                <w:szCs w:val="20"/>
              </w:rPr>
            </w:pPr>
          </w:p>
        </w:tc>
        <w:tc>
          <w:tcPr>
            <w:tcW w:w="1276" w:type="dxa"/>
            <w:vMerge/>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r>
      <w:tr w:rsidR="00F10286" w:rsidRPr="00D1178B" w:rsidTr="0040072A">
        <w:tc>
          <w:tcPr>
            <w:tcW w:w="1157" w:type="dxa"/>
            <w:vMerge/>
            <w:shd w:val="clear" w:color="auto" w:fill="auto"/>
          </w:tcPr>
          <w:p w:rsidR="00F10286" w:rsidRPr="00D1178B" w:rsidRDefault="00F10286" w:rsidP="0040072A">
            <w:pPr>
              <w:spacing w:after="60"/>
              <w:jc w:val="both"/>
              <w:rPr>
                <w:rFonts w:ascii="Times New Roman" w:hAnsi="Times New Roman"/>
                <w:bCs/>
                <w:i/>
                <w:sz w:val="20"/>
                <w:szCs w:val="20"/>
              </w:rPr>
            </w:pPr>
          </w:p>
        </w:tc>
        <w:tc>
          <w:tcPr>
            <w:tcW w:w="1078"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(1)</w:t>
            </w:r>
          </w:p>
        </w:tc>
        <w:tc>
          <w:tcPr>
            <w:tcW w:w="992"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(2)</w:t>
            </w:r>
          </w:p>
        </w:tc>
        <w:tc>
          <w:tcPr>
            <w:tcW w:w="1559"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(3) = ((1) x (2) x 12 </w:t>
            </w:r>
            <w:proofErr w:type="spellStart"/>
            <w:r w:rsidRPr="00D1178B">
              <w:rPr>
                <w:rFonts w:ascii="Times New Roman" w:hAnsi="Times New Roman"/>
                <w:bCs/>
                <w:i/>
                <w:sz w:val="16"/>
                <w:szCs w:val="16"/>
              </w:rPr>
              <w:t>mēn</w:t>
            </w:r>
            <w:proofErr w:type="spellEnd"/>
            <w:r w:rsidRPr="00D1178B">
              <w:rPr>
                <w:rFonts w:ascii="Times New Roman" w:hAnsi="Times New Roman"/>
                <w:bCs/>
                <w:i/>
                <w:sz w:val="16"/>
                <w:szCs w:val="16"/>
              </w:rPr>
              <w:t>.)</w:t>
            </w:r>
          </w:p>
        </w:tc>
        <w:tc>
          <w:tcPr>
            <w:tcW w:w="1134"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(4)</w:t>
            </w:r>
          </w:p>
        </w:tc>
        <w:tc>
          <w:tcPr>
            <w:tcW w:w="1276"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(5)</w:t>
            </w:r>
          </w:p>
        </w:tc>
        <w:tc>
          <w:tcPr>
            <w:tcW w:w="1134" w:type="dxa"/>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(6) = (1) + (4)</w:t>
            </w:r>
          </w:p>
        </w:tc>
        <w:tc>
          <w:tcPr>
            <w:tcW w:w="1276"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(7) = (3) + (5)</w:t>
            </w:r>
          </w:p>
        </w:tc>
      </w:tr>
      <w:tr w:rsidR="00F10286" w:rsidRPr="00D1178B" w:rsidTr="0040072A">
        <w:tc>
          <w:tcPr>
            <w:tcW w:w="1157" w:type="dxa"/>
            <w:shd w:val="clear" w:color="auto" w:fill="auto"/>
          </w:tcPr>
          <w:p w:rsidR="00F10286" w:rsidRPr="00D1178B" w:rsidRDefault="00F10286" w:rsidP="0040072A">
            <w:pPr>
              <w:spacing w:before="80" w:after="60"/>
              <w:jc w:val="both"/>
              <w:rPr>
                <w:rFonts w:ascii="Times New Roman" w:hAnsi="Times New Roman"/>
                <w:bCs/>
                <w:sz w:val="20"/>
                <w:szCs w:val="20"/>
              </w:rPr>
            </w:pPr>
            <w:r w:rsidRPr="00D1178B">
              <w:rPr>
                <w:rFonts w:ascii="Times New Roman" w:hAnsi="Times New Roman"/>
                <w:bCs/>
                <w:sz w:val="20"/>
                <w:szCs w:val="20"/>
              </w:rPr>
              <w:t>1.pasākums</w:t>
            </w:r>
          </w:p>
        </w:tc>
        <w:tc>
          <w:tcPr>
            <w:tcW w:w="1078" w:type="dxa"/>
            <w:shd w:val="clear" w:color="auto" w:fill="auto"/>
          </w:tcPr>
          <w:p w:rsidR="00F10286" w:rsidRPr="00D1178B" w:rsidRDefault="00AC7FD6" w:rsidP="00AC7FD6">
            <w:pPr>
              <w:spacing w:before="80" w:after="60"/>
              <w:jc w:val="center"/>
              <w:rPr>
                <w:rFonts w:ascii="Times New Roman" w:hAnsi="Times New Roman"/>
                <w:bCs/>
                <w:sz w:val="20"/>
                <w:szCs w:val="20"/>
              </w:rPr>
            </w:pPr>
            <w:r>
              <w:rPr>
                <w:rFonts w:ascii="Times New Roman" w:hAnsi="Times New Roman"/>
                <w:bCs/>
                <w:sz w:val="20"/>
                <w:szCs w:val="20"/>
              </w:rPr>
              <w:t>75</w:t>
            </w:r>
          </w:p>
        </w:tc>
        <w:tc>
          <w:tcPr>
            <w:tcW w:w="992" w:type="dxa"/>
            <w:shd w:val="clear" w:color="auto" w:fill="auto"/>
            <w:vAlign w:val="center"/>
          </w:tcPr>
          <w:p w:rsidR="00F10286" w:rsidRPr="00D1178B" w:rsidRDefault="00F10286" w:rsidP="0040072A">
            <w:pPr>
              <w:spacing w:before="80" w:after="60"/>
              <w:jc w:val="center"/>
              <w:rPr>
                <w:rFonts w:ascii="Times New Roman" w:hAnsi="Times New Roman"/>
                <w:bCs/>
                <w:sz w:val="20"/>
                <w:szCs w:val="20"/>
              </w:rPr>
            </w:pPr>
            <w:r w:rsidRPr="00D1178B">
              <w:rPr>
                <w:rFonts w:ascii="Times New Roman" w:hAnsi="Times New Roman"/>
                <w:bCs/>
                <w:sz w:val="20"/>
                <w:szCs w:val="20"/>
              </w:rPr>
              <w:t>106,72 €</w:t>
            </w:r>
          </w:p>
        </w:tc>
        <w:tc>
          <w:tcPr>
            <w:tcW w:w="1559" w:type="dxa"/>
            <w:shd w:val="clear" w:color="auto" w:fill="auto"/>
          </w:tcPr>
          <w:p w:rsidR="00F10286" w:rsidRPr="00D1178B" w:rsidRDefault="00AC7FD6" w:rsidP="0040072A">
            <w:pPr>
              <w:spacing w:before="80" w:after="60"/>
              <w:jc w:val="center"/>
              <w:rPr>
                <w:rFonts w:ascii="Times New Roman" w:hAnsi="Times New Roman"/>
                <w:bCs/>
                <w:sz w:val="20"/>
                <w:szCs w:val="20"/>
              </w:rPr>
            </w:pPr>
            <w:r>
              <w:rPr>
                <w:rFonts w:ascii="Times New Roman" w:hAnsi="Times New Roman"/>
                <w:bCs/>
                <w:sz w:val="20"/>
                <w:szCs w:val="20"/>
              </w:rPr>
              <w:t>96 048</w:t>
            </w:r>
            <w:r w:rsidR="00F10286" w:rsidRPr="00D1178B">
              <w:rPr>
                <w:rFonts w:ascii="Times New Roman" w:hAnsi="Times New Roman"/>
                <w:bCs/>
                <w:sz w:val="20"/>
                <w:szCs w:val="20"/>
              </w:rPr>
              <w:t xml:space="preserve"> €</w:t>
            </w:r>
          </w:p>
        </w:tc>
        <w:tc>
          <w:tcPr>
            <w:tcW w:w="1134" w:type="dxa"/>
            <w:vMerge w:val="restart"/>
            <w:shd w:val="clear" w:color="auto" w:fill="auto"/>
            <w:vAlign w:val="center"/>
          </w:tcPr>
          <w:p w:rsidR="00F10286" w:rsidRPr="00D1178B" w:rsidRDefault="00F10286" w:rsidP="0040072A">
            <w:pPr>
              <w:spacing w:before="80" w:after="60"/>
              <w:jc w:val="center"/>
              <w:rPr>
                <w:rFonts w:ascii="Times New Roman" w:hAnsi="Times New Roman"/>
                <w:bCs/>
                <w:sz w:val="20"/>
                <w:szCs w:val="20"/>
              </w:rPr>
            </w:pPr>
            <w:r w:rsidRPr="00D1178B">
              <w:rPr>
                <w:rFonts w:ascii="Times New Roman" w:hAnsi="Times New Roman"/>
                <w:bCs/>
                <w:sz w:val="20"/>
                <w:szCs w:val="20"/>
              </w:rPr>
              <w:t>1695</w:t>
            </w:r>
          </w:p>
        </w:tc>
        <w:tc>
          <w:tcPr>
            <w:tcW w:w="1276" w:type="dxa"/>
            <w:vMerge w:val="restart"/>
            <w:shd w:val="clear" w:color="auto" w:fill="auto"/>
            <w:vAlign w:val="center"/>
          </w:tcPr>
          <w:p w:rsidR="00F10286" w:rsidRPr="00D1178B" w:rsidRDefault="00F10286" w:rsidP="0040072A">
            <w:pPr>
              <w:spacing w:before="80" w:after="60"/>
              <w:jc w:val="center"/>
              <w:rPr>
                <w:rFonts w:ascii="Times New Roman" w:hAnsi="Times New Roman"/>
                <w:bCs/>
                <w:sz w:val="20"/>
                <w:szCs w:val="20"/>
              </w:rPr>
            </w:pPr>
            <w:r w:rsidRPr="00D1178B">
              <w:rPr>
                <w:rFonts w:ascii="Times New Roman" w:hAnsi="Times New Roman"/>
                <w:bCs/>
                <w:sz w:val="20"/>
                <w:szCs w:val="20"/>
              </w:rPr>
              <w:t>2 199 532 €</w:t>
            </w:r>
          </w:p>
        </w:tc>
        <w:tc>
          <w:tcPr>
            <w:tcW w:w="1134" w:type="dxa"/>
          </w:tcPr>
          <w:p w:rsidR="00F10286" w:rsidRPr="00D1178B" w:rsidRDefault="00AC7FD6" w:rsidP="0040072A">
            <w:pPr>
              <w:spacing w:before="80" w:after="60"/>
              <w:jc w:val="center"/>
              <w:rPr>
                <w:rFonts w:ascii="Times New Roman" w:hAnsi="Times New Roman"/>
                <w:bCs/>
                <w:sz w:val="20"/>
                <w:szCs w:val="20"/>
              </w:rPr>
            </w:pPr>
            <w:r>
              <w:rPr>
                <w:rFonts w:ascii="Times New Roman" w:hAnsi="Times New Roman"/>
                <w:bCs/>
                <w:sz w:val="20"/>
                <w:szCs w:val="20"/>
              </w:rPr>
              <w:t>1770</w:t>
            </w:r>
          </w:p>
        </w:tc>
        <w:tc>
          <w:tcPr>
            <w:tcW w:w="1276" w:type="dxa"/>
            <w:shd w:val="clear" w:color="auto" w:fill="auto"/>
          </w:tcPr>
          <w:p w:rsidR="00F10286" w:rsidRPr="00D1178B" w:rsidRDefault="00F10286" w:rsidP="00AC7FD6">
            <w:pPr>
              <w:spacing w:before="80" w:after="60"/>
              <w:jc w:val="center"/>
              <w:rPr>
                <w:rFonts w:ascii="Times New Roman" w:hAnsi="Times New Roman"/>
                <w:bCs/>
                <w:sz w:val="20"/>
                <w:szCs w:val="20"/>
              </w:rPr>
            </w:pPr>
            <w:r w:rsidRPr="00D1178B">
              <w:rPr>
                <w:rFonts w:ascii="Times New Roman" w:hAnsi="Times New Roman"/>
                <w:bCs/>
                <w:sz w:val="20"/>
                <w:szCs w:val="20"/>
              </w:rPr>
              <w:t>2</w:t>
            </w:r>
            <w:r w:rsidR="00AC7FD6">
              <w:rPr>
                <w:rFonts w:ascii="Times New Roman" w:hAnsi="Times New Roman"/>
                <w:bCs/>
                <w:sz w:val="20"/>
                <w:szCs w:val="20"/>
              </w:rPr>
              <w:t> 295 580</w:t>
            </w:r>
            <w:r w:rsidRPr="00D1178B">
              <w:rPr>
                <w:rFonts w:ascii="Times New Roman" w:hAnsi="Times New Roman"/>
                <w:bCs/>
                <w:sz w:val="20"/>
                <w:szCs w:val="20"/>
              </w:rPr>
              <w:t xml:space="preserve"> €</w:t>
            </w:r>
          </w:p>
        </w:tc>
      </w:tr>
      <w:tr w:rsidR="00F10286" w:rsidRPr="00D1178B" w:rsidTr="0040072A">
        <w:tc>
          <w:tcPr>
            <w:tcW w:w="1157" w:type="dxa"/>
            <w:shd w:val="clear" w:color="auto" w:fill="auto"/>
          </w:tcPr>
          <w:p w:rsidR="00F10286" w:rsidRPr="00D1178B" w:rsidRDefault="00F10286" w:rsidP="0040072A">
            <w:pPr>
              <w:spacing w:after="60"/>
              <w:jc w:val="both"/>
              <w:rPr>
                <w:rFonts w:ascii="Times New Roman" w:hAnsi="Times New Roman"/>
                <w:bCs/>
                <w:sz w:val="20"/>
                <w:szCs w:val="20"/>
              </w:rPr>
            </w:pPr>
            <w:r w:rsidRPr="00D1178B">
              <w:rPr>
                <w:rFonts w:ascii="Times New Roman" w:hAnsi="Times New Roman"/>
                <w:bCs/>
                <w:sz w:val="20"/>
                <w:szCs w:val="20"/>
              </w:rPr>
              <w:t>2.pasākums</w:t>
            </w:r>
          </w:p>
        </w:tc>
        <w:tc>
          <w:tcPr>
            <w:tcW w:w="1078" w:type="dxa"/>
            <w:shd w:val="clear" w:color="auto" w:fill="auto"/>
          </w:tcPr>
          <w:p w:rsidR="00F10286" w:rsidRPr="00D1178B" w:rsidRDefault="00AC7FD6" w:rsidP="0040072A">
            <w:pPr>
              <w:spacing w:after="60"/>
              <w:jc w:val="center"/>
              <w:rPr>
                <w:rFonts w:ascii="Times New Roman" w:hAnsi="Times New Roman"/>
                <w:bCs/>
                <w:sz w:val="20"/>
                <w:szCs w:val="20"/>
              </w:rPr>
            </w:pPr>
            <w:r>
              <w:rPr>
                <w:rFonts w:ascii="Times New Roman" w:hAnsi="Times New Roman"/>
                <w:bCs/>
                <w:sz w:val="20"/>
                <w:szCs w:val="20"/>
              </w:rPr>
              <w:t>18</w:t>
            </w:r>
          </w:p>
        </w:tc>
        <w:tc>
          <w:tcPr>
            <w:tcW w:w="992" w:type="dxa"/>
            <w:shd w:val="clear" w:color="auto" w:fill="auto"/>
          </w:tcPr>
          <w:p w:rsidR="00F10286" w:rsidRPr="00D1178B" w:rsidRDefault="00F10286" w:rsidP="0040072A">
            <w:pPr>
              <w:spacing w:after="60"/>
              <w:jc w:val="center"/>
              <w:rPr>
                <w:rFonts w:ascii="Times New Roman" w:hAnsi="Times New Roman"/>
                <w:bCs/>
                <w:sz w:val="20"/>
                <w:szCs w:val="20"/>
              </w:rPr>
            </w:pPr>
            <w:r w:rsidRPr="00D1178B">
              <w:rPr>
                <w:rFonts w:ascii="Times New Roman" w:hAnsi="Times New Roman"/>
                <w:bCs/>
                <w:sz w:val="20"/>
                <w:szCs w:val="20"/>
              </w:rPr>
              <w:t>106,72 €</w:t>
            </w:r>
          </w:p>
        </w:tc>
        <w:tc>
          <w:tcPr>
            <w:tcW w:w="1559" w:type="dxa"/>
            <w:shd w:val="clear" w:color="auto" w:fill="auto"/>
          </w:tcPr>
          <w:p w:rsidR="00F10286" w:rsidRPr="00D1178B" w:rsidRDefault="00F10286" w:rsidP="00AC7FD6">
            <w:pPr>
              <w:spacing w:after="60"/>
              <w:jc w:val="center"/>
              <w:rPr>
                <w:rFonts w:ascii="Times New Roman" w:hAnsi="Times New Roman"/>
                <w:bCs/>
                <w:sz w:val="20"/>
                <w:szCs w:val="20"/>
              </w:rPr>
            </w:pPr>
            <w:r w:rsidRPr="00D1178B">
              <w:rPr>
                <w:rFonts w:ascii="Times New Roman" w:hAnsi="Times New Roman"/>
                <w:bCs/>
                <w:sz w:val="20"/>
                <w:szCs w:val="20"/>
              </w:rPr>
              <w:t xml:space="preserve"> </w:t>
            </w:r>
            <w:r w:rsidR="00AC7FD6">
              <w:rPr>
                <w:rFonts w:ascii="Times New Roman" w:hAnsi="Times New Roman"/>
                <w:bCs/>
                <w:sz w:val="20"/>
                <w:szCs w:val="20"/>
              </w:rPr>
              <w:t>23 052</w:t>
            </w:r>
            <w:r w:rsidRPr="00D1178B">
              <w:rPr>
                <w:rFonts w:ascii="Times New Roman" w:hAnsi="Times New Roman"/>
                <w:bCs/>
                <w:sz w:val="20"/>
                <w:szCs w:val="20"/>
              </w:rPr>
              <w:t xml:space="preserve"> €</w:t>
            </w:r>
          </w:p>
        </w:tc>
        <w:tc>
          <w:tcPr>
            <w:tcW w:w="1134" w:type="dxa"/>
            <w:vMerge/>
            <w:shd w:val="clear" w:color="auto" w:fill="auto"/>
          </w:tcPr>
          <w:p w:rsidR="00F10286" w:rsidRPr="00D1178B" w:rsidRDefault="00F10286" w:rsidP="0040072A">
            <w:pPr>
              <w:spacing w:after="60"/>
              <w:jc w:val="both"/>
              <w:rPr>
                <w:rFonts w:ascii="Times New Roman" w:hAnsi="Times New Roman"/>
                <w:bCs/>
                <w:sz w:val="20"/>
                <w:szCs w:val="20"/>
              </w:rPr>
            </w:pPr>
          </w:p>
        </w:tc>
        <w:tc>
          <w:tcPr>
            <w:tcW w:w="1276" w:type="dxa"/>
            <w:vMerge/>
            <w:shd w:val="clear" w:color="auto" w:fill="auto"/>
          </w:tcPr>
          <w:p w:rsidR="00F10286" w:rsidRPr="00D1178B" w:rsidRDefault="00F10286" w:rsidP="0040072A">
            <w:pPr>
              <w:spacing w:after="60"/>
              <w:jc w:val="both"/>
              <w:rPr>
                <w:rFonts w:ascii="Times New Roman" w:hAnsi="Times New Roman"/>
                <w:bCs/>
                <w:sz w:val="20"/>
                <w:szCs w:val="20"/>
              </w:rPr>
            </w:pPr>
          </w:p>
        </w:tc>
        <w:tc>
          <w:tcPr>
            <w:tcW w:w="1134" w:type="dxa"/>
          </w:tcPr>
          <w:p w:rsidR="00F10286" w:rsidRPr="00D1178B" w:rsidRDefault="00AC7FD6" w:rsidP="0040072A">
            <w:pPr>
              <w:spacing w:after="60"/>
              <w:jc w:val="center"/>
              <w:rPr>
                <w:rFonts w:ascii="Times New Roman" w:hAnsi="Times New Roman"/>
                <w:bCs/>
                <w:sz w:val="20"/>
                <w:szCs w:val="20"/>
              </w:rPr>
            </w:pPr>
            <w:r>
              <w:rPr>
                <w:rFonts w:ascii="Times New Roman" w:hAnsi="Times New Roman"/>
                <w:bCs/>
                <w:sz w:val="20"/>
                <w:szCs w:val="20"/>
              </w:rPr>
              <w:t>1713</w:t>
            </w:r>
          </w:p>
        </w:tc>
        <w:tc>
          <w:tcPr>
            <w:tcW w:w="1276" w:type="dxa"/>
            <w:shd w:val="clear" w:color="auto" w:fill="auto"/>
          </w:tcPr>
          <w:p w:rsidR="00F10286" w:rsidRPr="00D1178B" w:rsidRDefault="00AC7FD6" w:rsidP="0040072A">
            <w:pPr>
              <w:spacing w:after="60"/>
              <w:jc w:val="center"/>
              <w:rPr>
                <w:rFonts w:ascii="Times New Roman" w:hAnsi="Times New Roman"/>
                <w:bCs/>
                <w:sz w:val="20"/>
                <w:szCs w:val="20"/>
              </w:rPr>
            </w:pPr>
            <w:r>
              <w:rPr>
                <w:rFonts w:ascii="Times New Roman" w:hAnsi="Times New Roman"/>
                <w:bCs/>
                <w:sz w:val="20"/>
                <w:szCs w:val="20"/>
              </w:rPr>
              <w:t>2 222 584</w:t>
            </w:r>
            <w:r w:rsidR="00F10286" w:rsidRPr="00D1178B">
              <w:rPr>
                <w:rFonts w:ascii="Times New Roman" w:hAnsi="Times New Roman"/>
                <w:bCs/>
                <w:sz w:val="20"/>
                <w:szCs w:val="20"/>
              </w:rPr>
              <w:t xml:space="preserve"> €</w:t>
            </w:r>
          </w:p>
        </w:tc>
      </w:tr>
      <w:tr w:rsidR="00F10286" w:rsidRPr="00D1178B" w:rsidTr="0040072A">
        <w:tc>
          <w:tcPr>
            <w:tcW w:w="1157" w:type="dxa"/>
            <w:shd w:val="clear" w:color="auto" w:fill="auto"/>
          </w:tcPr>
          <w:p w:rsidR="00F10286" w:rsidRPr="00D1178B" w:rsidRDefault="00F10286" w:rsidP="0040072A">
            <w:pPr>
              <w:spacing w:after="60"/>
              <w:jc w:val="both"/>
              <w:rPr>
                <w:rFonts w:ascii="Times New Roman" w:hAnsi="Times New Roman"/>
                <w:b/>
                <w:bCs/>
                <w:sz w:val="20"/>
                <w:szCs w:val="20"/>
              </w:rPr>
            </w:pPr>
            <w:r w:rsidRPr="00D1178B">
              <w:rPr>
                <w:rFonts w:ascii="Times New Roman" w:hAnsi="Times New Roman"/>
                <w:b/>
                <w:bCs/>
                <w:sz w:val="20"/>
                <w:szCs w:val="20"/>
              </w:rPr>
              <w:t>KOPĀ</w:t>
            </w:r>
          </w:p>
        </w:tc>
        <w:tc>
          <w:tcPr>
            <w:tcW w:w="1078" w:type="dxa"/>
            <w:shd w:val="clear" w:color="auto" w:fill="auto"/>
          </w:tcPr>
          <w:p w:rsidR="00F10286" w:rsidRPr="00D1178B" w:rsidRDefault="00AC7FD6" w:rsidP="0040072A">
            <w:pPr>
              <w:spacing w:after="60"/>
              <w:jc w:val="center"/>
              <w:rPr>
                <w:rFonts w:ascii="Times New Roman" w:hAnsi="Times New Roman"/>
                <w:b/>
                <w:bCs/>
                <w:sz w:val="20"/>
                <w:szCs w:val="20"/>
              </w:rPr>
            </w:pPr>
            <w:r>
              <w:rPr>
                <w:rFonts w:ascii="Times New Roman" w:hAnsi="Times New Roman"/>
                <w:b/>
                <w:bCs/>
                <w:sz w:val="20"/>
                <w:szCs w:val="20"/>
              </w:rPr>
              <w:t>93</w:t>
            </w:r>
          </w:p>
        </w:tc>
        <w:tc>
          <w:tcPr>
            <w:tcW w:w="992" w:type="dxa"/>
            <w:shd w:val="clear" w:color="auto" w:fill="auto"/>
          </w:tcPr>
          <w:p w:rsidR="00F10286" w:rsidRPr="00D1178B" w:rsidRDefault="00F10286" w:rsidP="0040072A">
            <w:pPr>
              <w:spacing w:after="60"/>
              <w:jc w:val="both"/>
              <w:rPr>
                <w:rFonts w:ascii="Times New Roman" w:hAnsi="Times New Roman"/>
                <w:b/>
                <w:bCs/>
                <w:sz w:val="20"/>
                <w:szCs w:val="20"/>
              </w:rPr>
            </w:pPr>
          </w:p>
        </w:tc>
        <w:tc>
          <w:tcPr>
            <w:tcW w:w="1559" w:type="dxa"/>
            <w:shd w:val="clear" w:color="auto" w:fill="auto"/>
          </w:tcPr>
          <w:p w:rsidR="00F10286" w:rsidRPr="00D1178B" w:rsidRDefault="00AC7FD6" w:rsidP="0040072A">
            <w:pPr>
              <w:spacing w:after="60"/>
              <w:jc w:val="center"/>
              <w:rPr>
                <w:rFonts w:ascii="Times New Roman" w:hAnsi="Times New Roman"/>
                <w:b/>
                <w:bCs/>
                <w:sz w:val="20"/>
                <w:szCs w:val="20"/>
              </w:rPr>
            </w:pPr>
            <w:r>
              <w:rPr>
                <w:rFonts w:ascii="Times New Roman" w:hAnsi="Times New Roman"/>
                <w:b/>
                <w:bCs/>
                <w:sz w:val="20"/>
                <w:szCs w:val="20"/>
              </w:rPr>
              <w:t>119 100</w:t>
            </w:r>
            <w:r w:rsidR="00F10286" w:rsidRPr="00D1178B">
              <w:rPr>
                <w:rFonts w:ascii="Times New Roman" w:hAnsi="Times New Roman"/>
                <w:b/>
                <w:bCs/>
                <w:sz w:val="20"/>
                <w:szCs w:val="20"/>
              </w:rPr>
              <w:t xml:space="preserve"> €</w:t>
            </w:r>
          </w:p>
        </w:tc>
        <w:tc>
          <w:tcPr>
            <w:tcW w:w="1134" w:type="dxa"/>
            <w:vMerge/>
            <w:shd w:val="clear" w:color="auto" w:fill="auto"/>
          </w:tcPr>
          <w:p w:rsidR="00F10286" w:rsidRPr="00D1178B" w:rsidRDefault="00F10286" w:rsidP="0040072A">
            <w:pPr>
              <w:spacing w:after="60"/>
              <w:jc w:val="both"/>
              <w:rPr>
                <w:rFonts w:ascii="Times New Roman" w:hAnsi="Times New Roman"/>
                <w:b/>
                <w:bCs/>
                <w:sz w:val="20"/>
                <w:szCs w:val="20"/>
              </w:rPr>
            </w:pPr>
          </w:p>
        </w:tc>
        <w:tc>
          <w:tcPr>
            <w:tcW w:w="1276" w:type="dxa"/>
            <w:vMerge/>
            <w:shd w:val="clear" w:color="auto" w:fill="auto"/>
          </w:tcPr>
          <w:p w:rsidR="00F10286" w:rsidRPr="00D1178B" w:rsidRDefault="00F10286" w:rsidP="0040072A">
            <w:pPr>
              <w:spacing w:after="60"/>
              <w:jc w:val="both"/>
              <w:rPr>
                <w:rFonts w:ascii="Times New Roman" w:hAnsi="Times New Roman"/>
                <w:b/>
                <w:bCs/>
                <w:sz w:val="20"/>
                <w:szCs w:val="20"/>
              </w:rPr>
            </w:pPr>
          </w:p>
        </w:tc>
        <w:tc>
          <w:tcPr>
            <w:tcW w:w="1134" w:type="dxa"/>
          </w:tcPr>
          <w:p w:rsidR="00F10286" w:rsidRPr="00D1178B" w:rsidRDefault="00AC7FD6" w:rsidP="0040072A">
            <w:pPr>
              <w:spacing w:after="60"/>
              <w:jc w:val="center"/>
              <w:rPr>
                <w:rFonts w:ascii="Times New Roman" w:hAnsi="Times New Roman"/>
                <w:b/>
                <w:bCs/>
                <w:sz w:val="20"/>
                <w:szCs w:val="20"/>
              </w:rPr>
            </w:pPr>
            <w:r>
              <w:rPr>
                <w:rFonts w:ascii="Times New Roman" w:hAnsi="Times New Roman"/>
                <w:b/>
                <w:bCs/>
                <w:sz w:val="20"/>
                <w:szCs w:val="20"/>
              </w:rPr>
              <w:t>1788</w:t>
            </w:r>
          </w:p>
        </w:tc>
        <w:tc>
          <w:tcPr>
            <w:tcW w:w="1276" w:type="dxa"/>
            <w:shd w:val="clear" w:color="auto" w:fill="auto"/>
          </w:tcPr>
          <w:p w:rsidR="00F10286" w:rsidRPr="00D1178B" w:rsidRDefault="00CE26F6" w:rsidP="0040072A">
            <w:pPr>
              <w:spacing w:after="60"/>
              <w:jc w:val="center"/>
              <w:rPr>
                <w:rFonts w:ascii="Times New Roman" w:hAnsi="Times New Roman"/>
                <w:b/>
                <w:bCs/>
                <w:sz w:val="20"/>
                <w:szCs w:val="20"/>
              </w:rPr>
            </w:pPr>
            <w:r>
              <w:rPr>
                <w:rFonts w:ascii="Times New Roman" w:hAnsi="Times New Roman"/>
                <w:b/>
                <w:bCs/>
                <w:sz w:val="20"/>
                <w:szCs w:val="20"/>
              </w:rPr>
              <w:t xml:space="preserve"> 2 318 632</w:t>
            </w:r>
            <w:r w:rsidR="00F10286" w:rsidRPr="00D1178B">
              <w:rPr>
                <w:rFonts w:ascii="Times New Roman" w:hAnsi="Times New Roman"/>
                <w:b/>
                <w:bCs/>
                <w:sz w:val="20"/>
                <w:szCs w:val="20"/>
              </w:rPr>
              <w:t xml:space="preserve"> €</w:t>
            </w:r>
          </w:p>
        </w:tc>
      </w:tr>
    </w:tbl>
    <w:p w:rsidR="00F10286" w:rsidRPr="00D1178B" w:rsidRDefault="00F10286" w:rsidP="00F10286">
      <w:pPr>
        <w:jc w:val="both"/>
        <w:rPr>
          <w:rFonts w:ascii="Times New Roman" w:hAnsi="Times New Roman"/>
          <w:bCs/>
          <w:i/>
          <w:sz w:val="20"/>
          <w:szCs w:val="20"/>
        </w:rPr>
      </w:pPr>
      <w:r w:rsidRPr="00D1178B">
        <w:rPr>
          <w:rFonts w:ascii="Times New Roman" w:hAnsi="Times New Roman"/>
          <w:bCs/>
          <w:i/>
          <w:sz w:val="20"/>
          <w:szCs w:val="20"/>
        </w:rPr>
        <w:t>* Saskaņā ar L</w:t>
      </w:r>
      <w:r w:rsidR="003C0DE2" w:rsidRPr="00D1178B">
        <w:rPr>
          <w:rFonts w:ascii="Times New Roman" w:hAnsi="Times New Roman"/>
          <w:bCs/>
          <w:i/>
          <w:sz w:val="20"/>
          <w:szCs w:val="20"/>
        </w:rPr>
        <w:t>abklājības ministrijas</w:t>
      </w:r>
      <w:r w:rsidRPr="00D1178B">
        <w:rPr>
          <w:rFonts w:ascii="Times New Roman" w:hAnsi="Times New Roman"/>
          <w:bCs/>
          <w:i/>
          <w:sz w:val="20"/>
          <w:szCs w:val="20"/>
        </w:rPr>
        <w:t xml:space="preserve"> pamatbudžeta programmas 20.01.00 „Valsts sociālie pabalsti” projektu 2015.gadam.</w:t>
      </w:r>
    </w:p>
    <w:p w:rsidR="00F10286" w:rsidRPr="00D1178B" w:rsidRDefault="00F10286" w:rsidP="00F10286">
      <w:pPr>
        <w:jc w:val="both"/>
        <w:rPr>
          <w:rFonts w:ascii="Times New Roman" w:hAnsi="Times New Roman"/>
          <w:color w:val="000000" w:themeColor="text1"/>
          <w:sz w:val="28"/>
          <w:szCs w:val="28"/>
        </w:rPr>
      </w:pPr>
    </w:p>
    <w:p w:rsidR="00F10286" w:rsidRPr="00D1178B" w:rsidRDefault="002B255C" w:rsidP="00F10286">
      <w:pPr>
        <w:spacing w:after="160"/>
        <w:ind w:firstLine="720"/>
        <w:jc w:val="center"/>
        <w:rPr>
          <w:rFonts w:ascii="Times New Roman" w:hAnsi="Times New Roman"/>
          <w:bCs/>
          <w:sz w:val="24"/>
          <w:szCs w:val="24"/>
          <w:u w:val="single"/>
        </w:rPr>
      </w:pPr>
      <w:r>
        <w:rPr>
          <w:rFonts w:ascii="Times New Roman" w:hAnsi="Times New Roman"/>
          <w:bCs/>
          <w:sz w:val="24"/>
          <w:szCs w:val="24"/>
          <w:u w:val="single"/>
        </w:rPr>
        <w:t>I</w:t>
      </w:r>
      <w:r w:rsidR="00F10286" w:rsidRPr="00D1178B">
        <w:rPr>
          <w:rFonts w:ascii="Times New Roman" w:hAnsi="Times New Roman"/>
          <w:bCs/>
          <w:sz w:val="24"/>
          <w:szCs w:val="24"/>
          <w:u w:val="single"/>
        </w:rPr>
        <w:t>zdevumi 2016.gadā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078"/>
        <w:gridCol w:w="992"/>
        <w:gridCol w:w="1559"/>
        <w:gridCol w:w="1134"/>
        <w:gridCol w:w="1276"/>
        <w:gridCol w:w="1134"/>
        <w:gridCol w:w="1276"/>
      </w:tblGrid>
      <w:tr w:rsidR="00F10286" w:rsidRPr="00D1178B" w:rsidTr="0040072A">
        <w:tc>
          <w:tcPr>
            <w:tcW w:w="1157"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c>
          <w:tcPr>
            <w:tcW w:w="1078"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 xml:space="preserve">Plānotais saņēmēju skaits (vid. </w:t>
            </w:r>
            <w:proofErr w:type="spellStart"/>
            <w:r w:rsidRPr="00D1178B">
              <w:rPr>
                <w:rFonts w:ascii="Times New Roman" w:hAnsi="Times New Roman"/>
                <w:b/>
                <w:bCs/>
                <w:sz w:val="20"/>
                <w:szCs w:val="20"/>
              </w:rPr>
              <w:t>mēn</w:t>
            </w:r>
            <w:proofErr w:type="spellEnd"/>
            <w:r w:rsidRPr="00D1178B">
              <w:rPr>
                <w:rFonts w:ascii="Times New Roman" w:hAnsi="Times New Roman"/>
                <w:b/>
                <w:bCs/>
                <w:sz w:val="20"/>
                <w:szCs w:val="20"/>
              </w:rPr>
              <w:t>.)</w:t>
            </w:r>
          </w:p>
        </w:tc>
        <w:tc>
          <w:tcPr>
            <w:tcW w:w="992"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Apmērs</w:t>
            </w:r>
          </w:p>
        </w:tc>
        <w:tc>
          <w:tcPr>
            <w:tcW w:w="1559"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Papildus nepieciešamais finansējums (gadā)</w:t>
            </w:r>
          </w:p>
        </w:tc>
        <w:tc>
          <w:tcPr>
            <w:tcW w:w="2410" w:type="dxa"/>
            <w:gridSpan w:val="2"/>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2016.gada projekts*</w:t>
            </w:r>
          </w:p>
        </w:tc>
        <w:tc>
          <w:tcPr>
            <w:tcW w:w="1134" w:type="dxa"/>
            <w:vMerge w:val="restart"/>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 xml:space="preserve">Plānotais saņēmēju skaits KOPĀ (vid. </w:t>
            </w:r>
            <w:proofErr w:type="spellStart"/>
            <w:r w:rsidRPr="00D1178B">
              <w:rPr>
                <w:rFonts w:ascii="Times New Roman" w:hAnsi="Times New Roman"/>
                <w:b/>
                <w:bCs/>
                <w:sz w:val="20"/>
                <w:szCs w:val="20"/>
              </w:rPr>
              <w:t>mēn</w:t>
            </w:r>
            <w:proofErr w:type="spellEnd"/>
            <w:r w:rsidRPr="00D1178B">
              <w:rPr>
                <w:rFonts w:ascii="Times New Roman" w:hAnsi="Times New Roman"/>
                <w:b/>
                <w:bCs/>
                <w:sz w:val="20"/>
                <w:szCs w:val="20"/>
              </w:rPr>
              <w:t>.)</w:t>
            </w:r>
          </w:p>
        </w:tc>
        <w:tc>
          <w:tcPr>
            <w:tcW w:w="1276"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Izdevumi KOPĀ (gadā)</w:t>
            </w:r>
          </w:p>
        </w:tc>
      </w:tr>
      <w:tr w:rsidR="00F10286" w:rsidRPr="00D1178B" w:rsidTr="0040072A">
        <w:tc>
          <w:tcPr>
            <w:tcW w:w="1157" w:type="dxa"/>
            <w:vMerge/>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c>
          <w:tcPr>
            <w:tcW w:w="1078" w:type="dxa"/>
            <w:vMerge/>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c>
          <w:tcPr>
            <w:tcW w:w="992" w:type="dxa"/>
            <w:vMerge/>
            <w:shd w:val="clear" w:color="auto" w:fill="auto"/>
            <w:vAlign w:val="center"/>
          </w:tcPr>
          <w:p w:rsidR="00F10286" w:rsidRPr="00D1178B" w:rsidRDefault="00F10286" w:rsidP="0040072A">
            <w:pPr>
              <w:spacing w:after="120"/>
              <w:jc w:val="center"/>
              <w:rPr>
                <w:rFonts w:ascii="Times New Roman" w:hAnsi="Times New Roman"/>
                <w:bCs/>
                <w:sz w:val="20"/>
                <w:szCs w:val="20"/>
              </w:rPr>
            </w:pPr>
          </w:p>
        </w:tc>
        <w:tc>
          <w:tcPr>
            <w:tcW w:w="1559" w:type="dxa"/>
            <w:vMerge/>
            <w:shd w:val="clear" w:color="auto" w:fill="auto"/>
          </w:tcPr>
          <w:p w:rsidR="00F10286" w:rsidRPr="00D1178B" w:rsidRDefault="00F10286" w:rsidP="0040072A">
            <w:pPr>
              <w:spacing w:after="120"/>
              <w:jc w:val="center"/>
              <w:rPr>
                <w:rFonts w:ascii="Times New Roman" w:hAnsi="Times New Roman"/>
                <w:b/>
                <w:bCs/>
                <w:sz w:val="20"/>
                <w:szCs w:val="20"/>
              </w:rPr>
            </w:pPr>
          </w:p>
        </w:tc>
        <w:tc>
          <w:tcPr>
            <w:tcW w:w="1134" w:type="dxa"/>
            <w:shd w:val="clear" w:color="auto" w:fill="auto"/>
            <w:vAlign w:val="center"/>
          </w:tcPr>
          <w:p w:rsidR="00F10286" w:rsidRPr="00D1178B" w:rsidRDefault="00F10286" w:rsidP="0040072A">
            <w:pPr>
              <w:spacing w:after="120"/>
              <w:jc w:val="center"/>
              <w:rPr>
                <w:rFonts w:ascii="Times New Roman" w:hAnsi="Times New Roman"/>
                <w:bCs/>
                <w:sz w:val="20"/>
                <w:szCs w:val="20"/>
              </w:rPr>
            </w:pPr>
            <w:r w:rsidRPr="00D1178B">
              <w:rPr>
                <w:rFonts w:ascii="Times New Roman" w:hAnsi="Times New Roman"/>
                <w:b/>
                <w:bCs/>
                <w:sz w:val="20"/>
                <w:szCs w:val="20"/>
              </w:rPr>
              <w:t xml:space="preserve">Saņēmēju skaits (vid. </w:t>
            </w:r>
            <w:proofErr w:type="spellStart"/>
            <w:r w:rsidRPr="00D1178B">
              <w:rPr>
                <w:rFonts w:ascii="Times New Roman" w:hAnsi="Times New Roman"/>
                <w:b/>
                <w:bCs/>
                <w:sz w:val="20"/>
                <w:szCs w:val="20"/>
              </w:rPr>
              <w:t>mēn</w:t>
            </w:r>
            <w:proofErr w:type="spellEnd"/>
            <w:r w:rsidRPr="00D1178B">
              <w:rPr>
                <w:rFonts w:ascii="Times New Roman" w:hAnsi="Times New Roman"/>
                <w:b/>
                <w:bCs/>
                <w:sz w:val="20"/>
                <w:szCs w:val="20"/>
              </w:rPr>
              <w:t>.)</w:t>
            </w:r>
          </w:p>
        </w:tc>
        <w:tc>
          <w:tcPr>
            <w:tcW w:w="1276" w:type="dxa"/>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Izdevumi (gadā)</w:t>
            </w:r>
          </w:p>
        </w:tc>
        <w:tc>
          <w:tcPr>
            <w:tcW w:w="1134" w:type="dxa"/>
            <w:vMerge/>
          </w:tcPr>
          <w:p w:rsidR="00F10286" w:rsidRPr="00D1178B" w:rsidRDefault="00F10286" w:rsidP="0040072A">
            <w:pPr>
              <w:spacing w:after="120"/>
              <w:jc w:val="center"/>
              <w:rPr>
                <w:rFonts w:ascii="Times New Roman" w:hAnsi="Times New Roman"/>
                <w:b/>
                <w:bCs/>
                <w:sz w:val="20"/>
                <w:szCs w:val="20"/>
              </w:rPr>
            </w:pPr>
          </w:p>
        </w:tc>
        <w:tc>
          <w:tcPr>
            <w:tcW w:w="1276" w:type="dxa"/>
            <w:vMerge/>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r>
      <w:tr w:rsidR="00F10286" w:rsidRPr="00D1178B" w:rsidTr="0040072A">
        <w:tc>
          <w:tcPr>
            <w:tcW w:w="1157" w:type="dxa"/>
            <w:vMerge/>
            <w:shd w:val="clear" w:color="auto" w:fill="auto"/>
          </w:tcPr>
          <w:p w:rsidR="00F10286" w:rsidRPr="00D1178B" w:rsidRDefault="00F10286" w:rsidP="0040072A">
            <w:pPr>
              <w:spacing w:after="60"/>
              <w:jc w:val="both"/>
              <w:rPr>
                <w:rFonts w:ascii="Times New Roman" w:hAnsi="Times New Roman"/>
                <w:bCs/>
                <w:i/>
                <w:sz w:val="20"/>
                <w:szCs w:val="20"/>
              </w:rPr>
            </w:pPr>
          </w:p>
        </w:tc>
        <w:tc>
          <w:tcPr>
            <w:tcW w:w="1078"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(1)</w:t>
            </w:r>
          </w:p>
        </w:tc>
        <w:tc>
          <w:tcPr>
            <w:tcW w:w="992"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(2)</w:t>
            </w:r>
          </w:p>
        </w:tc>
        <w:tc>
          <w:tcPr>
            <w:tcW w:w="1559"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(3) = ((1) x (2) x 12 </w:t>
            </w:r>
            <w:proofErr w:type="spellStart"/>
            <w:r w:rsidRPr="00D1178B">
              <w:rPr>
                <w:rFonts w:ascii="Times New Roman" w:hAnsi="Times New Roman"/>
                <w:bCs/>
                <w:i/>
                <w:sz w:val="16"/>
                <w:szCs w:val="16"/>
              </w:rPr>
              <w:t>mēn</w:t>
            </w:r>
            <w:proofErr w:type="spellEnd"/>
            <w:r w:rsidRPr="00D1178B">
              <w:rPr>
                <w:rFonts w:ascii="Times New Roman" w:hAnsi="Times New Roman"/>
                <w:bCs/>
                <w:i/>
                <w:sz w:val="16"/>
                <w:szCs w:val="16"/>
              </w:rPr>
              <w:t>.)</w:t>
            </w:r>
          </w:p>
        </w:tc>
        <w:tc>
          <w:tcPr>
            <w:tcW w:w="1134"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(4)</w:t>
            </w:r>
          </w:p>
        </w:tc>
        <w:tc>
          <w:tcPr>
            <w:tcW w:w="1276"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(5)</w:t>
            </w:r>
          </w:p>
        </w:tc>
        <w:tc>
          <w:tcPr>
            <w:tcW w:w="1134" w:type="dxa"/>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(6) = (1) + (4)</w:t>
            </w:r>
          </w:p>
        </w:tc>
        <w:tc>
          <w:tcPr>
            <w:tcW w:w="1276"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(7) = (3) + (5)</w:t>
            </w:r>
          </w:p>
        </w:tc>
      </w:tr>
      <w:tr w:rsidR="00454A8F" w:rsidRPr="00D1178B" w:rsidTr="0040072A">
        <w:tc>
          <w:tcPr>
            <w:tcW w:w="1157" w:type="dxa"/>
            <w:shd w:val="clear" w:color="auto" w:fill="auto"/>
          </w:tcPr>
          <w:p w:rsidR="00454A8F" w:rsidRPr="00D1178B" w:rsidRDefault="00454A8F" w:rsidP="0040072A">
            <w:pPr>
              <w:spacing w:before="80" w:after="60"/>
              <w:jc w:val="both"/>
              <w:rPr>
                <w:rFonts w:ascii="Times New Roman" w:hAnsi="Times New Roman"/>
                <w:bCs/>
                <w:sz w:val="20"/>
                <w:szCs w:val="20"/>
              </w:rPr>
            </w:pPr>
            <w:r w:rsidRPr="00D1178B">
              <w:rPr>
                <w:rFonts w:ascii="Times New Roman" w:hAnsi="Times New Roman"/>
                <w:bCs/>
                <w:sz w:val="20"/>
                <w:szCs w:val="20"/>
              </w:rPr>
              <w:t>1.pasākums</w:t>
            </w:r>
          </w:p>
        </w:tc>
        <w:tc>
          <w:tcPr>
            <w:tcW w:w="1078" w:type="dxa"/>
            <w:shd w:val="clear" w:color="auto" w:fill="auto"/>
          </w:tcPr>
          <w:p w:rsidR="00454A8F" w:rsidRPr="00D1178B" w:rsidRDefault="00454A8F" w:rsidP="00454A8F">
            <w:pPr>
              <w:spacing w:before="80" w:after="60"/>
              <w:jc w:val="center"/>
              <w:rPr>
                <w:rFonts w:ascii="Times New Roman" w:hAnsi="Times New Roman"/>
                <w:bCs/>
                <w:sz w:val="20"/>
                <w:szCs w:val="20"/>
              </w:rPr>
            </w:pPr>
            <w:r w:rsidRPr="00D1178B">
              <w:rPr>
                <w:rFonts w:ascii="Times New Roman" w:hAnsi="Times New Roman"/>
                <w:bCs/>
                <w:sz w:val="20"/>
                <w:szCs w:val="20"/>
              </w:rPr>
              <w:t>81*</w:t>
            </w:r>
            <w:r w:rsidR="002E4D84">
              <w:rPr>
                <w:rFonts w:ascii="Times New Roman" w:hAnsi="Times New Roman"/>
                <w:bCs/>
                <w:sz w:val="20"/>
                <w:szCs w:val="20"/>
              </w:rPr>
              <w:t>*</w:t>
            </w:r>
          </w:p>
        </w:tc>
        <w:tc>
          <w:tcPr>
            <w:tcW w:w="992" w:type="dxa"/>
            <w:shd w:val="clear" w:color="auto" w:fill="auto"/>
            <w:vAlign w:val="center"/>
          </w:tcPr>
          <w:p w:rsidR="00454A8F" w:rsidRPr="00D1178B" w:rsidRDefault="00454A8F" w:rsidP="0040072A">
            <w:pPr>
              <w:spacing w:before="80" w:after="60"/>
              <w:jc w:val="center"/>
              <w:rPr>
                <w:rFonts w:ascii="Times New Roman" w:hAnsi="Times New Roman"/>
                <w:bCs/>
                <w:sz w:val="20"/>
                <w:szCs w:val="20"/>
              </w:rPr>
            </w:pPr>
            <w:r w:rsidRPr="00D1178B">
              <w:rPr>
                <w:rFonts w:ascii="Times New Roman" w:hAnsi="Times New Roman"/>
                <w:bCs/>
                <w:sz w:val="20"/>
                <w:szCs w:val="20"/>
              </w:rPr>
              <w:t>106,72 €</w:t>
            </w:r>
          </w:p>
        </w:tc>
        <w:tc>
          <w:tcPr>
            <w:tcW w:w="1559" w:type="dxa"/>
            <w:shd w:val="clear" w:color="auto" w:fill="auto"/>
          </w:tcPr>
          <w:p w:rsidR="00454A8F" w:rsidRPr="00D1178B" w:rsidRDefault="00454A8F" w:rsidP="0040072A">
            <w:pPr>
              <w:spacing w:before="80" w:after="60"/>
              <w:jc w:val="center"/>
              <w:rPr>
                <w:rFonts w:ascii="Times New Roman" w:hAnsi="Times New Roman"/>
                <w:bCs/>
                <w:sz w:val="20"/>
                <w:szCs w:val="20"/>
              </w:rPr>
            </w:pPr>
            <w:r w:rsidRPr="00D1178B">
              <w:rPr>
                <w:rFonts w:ascii="Times New Roman" w:hAnsi="Times New Roman"/>
                <w:bCs/>
                <w:sz w:val="20"/>
                <w:szCs w:val="20"/>
              </w:rPr>
              <w:t>103 732 €</w:t>
            </w:r>
          </w:p>
        </w:tc>
        <w:tc>
          <w:tcPr>
            <w:tcW w:w="1134" w:type="dxa"/>
            <w:vMerge w:val="restart"/>
            <w:shd w:val="clear" w:color="auto" w:fill="auto"/>
            <w:vAlign w:val="center"/>
          </w:tcPr>
          <w:p w:rsidR="00454A8F" w:rsidRPr="00D1178B" w:rsidRDefault="00454A8F" w:rsidP="0040072A">
            <w:pPr>
              <w:spacing w:before="80" w:after="60"/>
              <w:jc w:val="center"/>
              <w:rPr>
                <w:rFonts w:ascii="Times New Roman" w:hAnsi="Times New Roman"/>
                <w:bCs/>
                <w:sz w:val="20"/>
                <w:szCs w:val="20"/>
              </w:rPr>
            </w:pPr>
            <w:r w:rsidRPr="00D1178B">
              <w:rPr>
                <w:rFonts w:ascii="Times New Roman" w:hAnsi="Times New Roman"/>
                <w:bCs/>
                <w:sz w:val="20"/>
                <w:szCs w:val="20"/>
              </w:rPr>
              <w:t>1832</w:t>
            </w:r>
          </w:p>
        </w:tc>
        <w:tc>
          <w:tcPr>
            <w:tcW w:w="1276" w:type="dxa"/>
            <w:vMerge w:val="restart"/>
            <w:shd w:val="clear" w:color="auto" w:fill="auto"/>
            <w:vAlign w:val="center"/>
          </w:tcPr>
          <w:p w:rsidR="00454A8F" w:rsidRPr="00D1178B" w:rsidRDefault="00454A8F" w:rsidP="0040072A">
            <w:pPr>
              <w:spacing w:before="80" w:after="60"/>
              <w:jc w:val="center"/>
              <w:rPr>
                <w:rFonts w:ascii="Times New Roman" w:hAnsi="Times New Roman"/>
                <w:bCs/>
                <w:sz w:val="20"/>
                <w:szCs w:val="20"/>
              </w:rPr>
            </w:pPr>
            <w:r w:rsidRPr="00D1178B">
              <w:rPr>
                <w:rFonts w:ascii="Times New Roman" w:hAnsi="Times New Roman"/>
                <w:bCs/>
                <w:sz w:val="20"/>
                <w:szCs w:val="20"/>
              </w:rPr>
              <w:t>2 377 310 €</w:t>
            </w:r>
          </w:p>
        </w:tc>
        <w:tc>
          <w:tcPr>
            <w:tcW w:w="1134" w:type="dxa"/>
          </w:tcPr>
          <w:p w:rsidR="00454A8F" w:rsidRPr="00D1178B" w:rsidRDefault="00454A8F" w:rsidP="00454A8F">
            <w:pPr>
              <w:spacing w:before="80" w:after="60"/>
              <w:jc w:val="center"/>
              <w:rPr>
                <w:rFonts w:ascii="Times New Roman" w:hAnsi="Times New Roman"/>
                <w:bCs/>
                <w:sz w:val="20"/>
                <w:szCs w:val="20"/>
              </w:rPr>
            </w:pPr>
            <w:r w:rsidRPr="00D1178B">
              <w:rPr>
                <w:rFonts w:ascii="Times New Roman" w:hAnsi="Times New Roman"/>
                <w:bCs/>
                <w:sz w:val="20"/>
                <w:szCs w:val="20"/>
              </w:rPr>
              <w:t>1</w:t>
            </w:r>
            <w:r>
              <w:rPr>
                <w:rFonts w:ascii="Times New Roman" w:hAnsi="Times New Roman"/>
                <w:bCs/>
                <w:sz w:val="20"/>
                <w:szCs w:val="20"/>
              </w:rPr>
              <w:t>913</w:t>
            </w:r>
          </w:p>
        </w:tc>
        <w:tc>
          <w:tcPr>
            <w:tcW w:w="1276" w:type="dxa"/>
            <w:shd w:val="clear" w:color="auto" w:fill="auto"/>
          </w:tcPr>
          <w:p w:rsidR="00454A8F" w:rsidRPr="00D1178B" w:rsidRDefault="00454A8F" w:rsidP="0079481B">
            <w:pPr>
              <w:spacing w:after="60"/>
              <w:jc w:val="center"/>
              <w:rPr>
                <w:rFonts w:ascii="Times New Roman" w:hAnsi="Times New Roman"/>
                <w:bCs/>
                <w:sz w:val="20"/>
                <w:szCs w:val="20"/>
              </w:rPr>
            </w:pPr>
            <w:r w:rsidRPr="00D1178B">
              <w:rPr>
                <w:rFonts w:ascii="Times New Roman" w:hAnsi="Times New Roman"/>
                <w:bCs/>
                <w:sz w:val="20"/>
                <w:szCs w:val="20"/>
              </w:rPr>
              <w:t>2 481 042 €</w:t>
            </w:r>
          </w:p>
        </w:tc>
      </w:tr>
      <w:tr w:rsidR="00454A8F" w:rsidRPr="00D1178B" w:rsidTr="0040072A">
        <w:tc>
          <w:tcPr>
            <w:tcW w:w="1157" w:type="dxa"/>
            <w:shd w:val="clear" w:color="auto" w:fill="auto"/>
          </w:tcPr>
          <w:p w:rsidR="00454A8F" w:rsidRPr="00D1178B" w:rsidRDefault="00454A8F" w:rsidP="0040072A">
            <w:pPr>
              <w:spacing w:after="60"/>
              <w:jc w:val="both"/>
              <w:rPr>
                <w:rFonts w:ascii="Times New Roman" w:hAnsi="Times New Roman"/>
                <w:bCs/>
                <w:sz w:val="20"/>
                <w:szCs w:val="20"/>
              </w:rPr>
            </w:pPr>
            <w:r w:rsidRPr="00D1178B">
              <w:rPr>
                <w:rFonts w:ascii="Times New Roman" w:hAnsi="Times New Roman"/>
                <w:bCs/>
                <w:sz w:val="20"/>
                <w:szCs w:val="20"/>
              </w:rPr>
              <w:t>2.pasākums</w:t>
            </w:r>
          </w:p>
        </w:tc>
        <w:tc>
          <w:tcPr>
            <w:tcW w:w="1078" w:type="dxa"/>
            <w:shd w:val="clear" w:color="auto" w:fill="auto"/>
          </w:tcPr>
          <w:p w:rsidR="00454A8F" w:rsidRPr="00D1178B" w:rsidRDefault="00CC735A" w:rsidP="0040072A">
            <w:pPr>
              <w:spacing w:after="60"/>
              <w:jc w:val="center"/>
              <w:rPr>
                <w:rFonts w:ascii="Times New Roman" w:hAnsi="Times New Roman"/>
                <w:bCs/>
                <w:sz w:val="20"/>
                <w:szCs w:val="20"/>
              </w:rPr>
            </w:pPr>
            <w:r>
              <w:rPr>
                <w:rFonts w:ascii="Times New Roman" w:hAnsi="Times New Roman"/>
                <w:bCs/>
                <w:sz w:val="20"/>
                <w:szCs w:val="20"/>
              </w:rPr>
              <w:t>19</w:t>
            </w:r>
            <w:r w:rsidR="002E4D84">
              <w:rPr>
                <w:rFonts w:ascii="Times New Roman" w:hAnsi="Times New Roman"/>
                <w:bCs/>
                <w:sz w:val="20"/>
                <w:szCs w:val="20"/>
              </w:rPr>
              <w:t>**</w:t>
            </w:r>
          </w:p>
        </w:tc>
        <w:tc>
          <w:tcPr>
            <w:tcW w:w="992" w:type="dxa"/>
            <w:shd w:val="clear" w:color="auto" w:fill="auto"/>
          </w:tcPr>
          <w:p w:rsidR="00454A8F" w:rsidRPr="00D1178B" w:rsidRDefault="00454A8F" w:rsidP="0040072A">
            <w:pPr>
              <w:spacing w:after="60"/>
              <w:jc w:val="center"/>
              <w:rPr>
                <w:rFonts w:ascii="Times New Roman" w:hAnsi="Times New Roman"/>
                <w:bCs/>
                <w:sz w:val="20"/>
                <w:szCs w:val="20"/>
              </w:rPr>
            </w:pPr>
            <w:r w:rsidRPr="00D1178B">
              <w:rPr>
                <w:rFonts w:ascii="Times New Roman" w:hAnsi="Times New Roman"/>
                <w:bCs/>
                <w:sz w:val="20"/>
                <w:szCs w:val="20"/>
              </w:rPr>
              <w:t>106,72 €</w:t>
            </w:r>
          </w:p>
        </w:tc>
        <w:tc>
          <w:tcPr>
            <w:tcW w:w="1559" w:type="dxa"/>
            <w:shd w:val="clear" w:color="auto" w:fill="auto"/>
          </w:tcPr>
          <w:p w:rsidR="00454A8F" w:rsidRPr="00D1178B" w:rsidRDefault="00CC735A" w:rsidP="0040072A">
            <w:pPr>
              <w:spacing w:after="60"/>
              <w:jc w:val="center"/>
              <w:rPr>
                <w:rFonts w:ascii="Times New Roman" w:hAnsi="Times New Roman"/>
                <w:bCs/>
                <w:sz w:val="20"/>
                <w:szCs w:val="20"/>
              </w:rPr>
            </w:pPr>
            <w:r>
              <w:rPr>
                <w:rFonts w:ascii="Times New Roman" w:hAnsi="Times New Roman"/>
                <w:bCs/>
                <w:sz w:val="20"/>
                <w:szCs w:val="20"/>
              </w:rPr>
              <w:t>24 332</w:t>
            </w:r>
            <w:r w:rsidR="00454A8F" w:rsidRPr="00D1178B">
              <w:rPr>
                <w:rFonts w:ascii="Times New Roman" w:hAnsi="Times New Roman"/>
                <w:bCs/>
                <w:sz w:val="20"/>
                <w:szCs w:val="20"/>
              </w:rPr>
              <w:t xml:space="preserve"> €</w:t>
            </w:r>
          </w:p>
        </w:tc>
        <w:tc>
          <w:tcPr>
            <w:tcW w:w="1134" w:type="dxa"/>
            <w:vMerge/>
            <w:shd w:val="clear" w:color="auto" w:fill="auto"/>
          </w:tcPr>
          <w:p w:rsidR="00454A8F" w:rsidRPr="00D1178B" w:rsidRDefault="00454A8F" w:rsidP="0040072A">
            <w:pPr>
              <w:spacing w:after="60"/>
              <w:jc w:val="both"/>
              <w:rPr>
                <w:rFonts w:ascii="Times New Roman" w:hAnsi="Times New Roman"/>
                <w:bCs/>
                <w:sz w:val="20"/>
                <w:szCs w:val="20"/>
              </w:rPr>
            </w:pPr>
          </w:p>
        </w:tc>
        <w:tc>
          <w:tcPr>
            <w:tcW w:w="1276" w:type="dxa"/>
            <w:vMerge/>
            <w:shd w:val="clear" w:color="auto" w:fill="auto"/>
          </w:tcPr>
          <w:p w:rsidR="00454A8F" w:rsidRPr="00D1178B" w:rsidRDefault="00454A8F" w:rsidP="0040072A">
            <w:pPr>
              <w:spacing w:after="60"/>
              <w:jc w:val="both"/>
              <w:rPr>
                <w:rFonts w:ascii="Times New Roman" w:hAnsi="Times New Roman"/>
                <w:bCs/>
                <w:sz w:val="20"/>
                <w:szCs w:val="20"/>
              </w:rPr>
            </w:pPr>
          </w:p>
        </w:tc>
        <w:tc>
          <w:tcPr>
            <w:tcW w:w="1134" w:type="dxa"/>
          </w:tcPr>
          <w:p w:rsidR="00454A8F" w:rsidRPr="00D1178B" w:rsidRDefault="00CC735A" w:rsidP="0040072A">
            <w:pPr>
              <w:spacing w:after="60"/>
              <w:jc w:val="center"/>
              <w:rPr>
                <w:rFonts w:ascii="Times New Roman" w:hAnsi="Times New Roman"/>
                <w:bCs/>
                <w:sz w:val="20"/>
                <w:szCs w:val="20"/>
              </w:rPr>
            </w:pPr>
            <w:r>
              <w:rPr>
                <w:rFonts w:ascii="Times New Roman" w:hAnsi="Times New Roman"/>
                <w:bCs/>
                <w:sz w:val="20"/>
                <w:szCs w:val="20"/>
              </w:rPr>
              <w:t>1851</w:t>
            </w:r>
          </w:p>
        </w:tc>
        <w:tc>
          <w:tcPr>
            <w:tcW w:w="1276" w:type="dxa"/>
            <w:shd w:val="clear" w:color="auto" w:fill="auto"/>
          </w:tcPr>
          <w:p w:rsidR="00454A8F" w:rsidRPr="00D1178B" w:rsidRDefault="00454A8F" w:rsidP="00B03B20">
            <w:pPr>
              <w:spacing w:after="60"/>
              <w:jc w:val="center"/>
              <w:rPr>
                <w:rFonts w:ascii="Times New Roman" w:hAnsi="Times New Roman"/>
                <w:bCs/>
                <w:sz w:val="20"/>
                <w:szCs w:val="20"/>
              </w:rPr>
            </w:pPr>
            <w:r w:rsidRPr="00D1178B">
              <w:rPr>
                <w:rFonts w:ascii="Times New Roman" w:hAnsi="Times New Roman"/>
                <w:bCs/>
                <w:sz w:val="20"/>
                <w:szCs w:val="20"/>
              </w:rPr>
              <w:t>2</w:t>
            </w:r>
            <w:r w:rsidR="00B03B20">
              <w:rPr>
                <w:rFonts w:ascii="Times New Roman" w:hAnsi="Times New Roman"/>
                <w:bCs/>
                <w:sz w:val="20"/>
                <w:szCs w:val="20"/>
              </w:rPr>
              <w:t> </w:t>
            </w:r>
            <w:r w:rsidRPr="00D1178B">
              <w:rPr>
                <w:rFonts w:ascii="Times New Roman" w:hAnsi="Times New Roman"/>
                <w:bCs/>
                <w:sz w:val="20"/>
                <w:szCs w:val="20"/>
              </w:rPr>
              <w:t>4</w:t>
            </w:r>
            <w:r w:rsidR="00B03B20">
              <w:rPr>
                <w:rFonts w:ascii="Times New Roman" w:hAnsi="Times New Roman"/>
                <w:bCs/>
                <w:sz w:val="20"/>
                <w:szCs w:val="20"/>
              </w:rPr>
              <w:t>01 642</w:t>
            </w:r>
            <w:r w:rsidRPr="00D1178B">
              <w:rPr>
                <w:rFonts w:ascii="Times New Roman" w:hAnsi="Times New Roman"/>
                <w:bCs/>
                <w:sz w:val="20"/>
                <w:szCs w:val="20"/>
              </w:rPr>
              <w:t xml:space="preserve"> €</w:t>
            </w:r>
          </w:p>
        </w:tc>
      </w:tr>
      <w:tr w:rsidR="00454A8F" w:rsidRPr="00D1178B" w:rsidTr="0040072A">
        <w:tc>
          <w:tcPr>
            <w:tcW w:w="1157" w:type="dxa"/>
            <w:shd w:val="clear" w:color="auto" w:fill="auto"/>
          </w:tcPr>
          <w:p w:rsidR="00454A8F" w:rsidRPr="00D1178B" w:rsidRDefault="00454A8F" w:rsidP="0040072A">
            <w:pPr>
              <w:spacing w:after="60"/>
              <w:jc w:val="both"/>
              <w:rPr>
                <w:rFonts w:ascii="Times New Roman" w:hAnsi="Times New Roman"/>
                <w:b/>
                <w:bCs/>
                <w:sz w:val="20"/>
                <w:szCs w:val="20"/>
              </w:rPr>
            </w:pPr>
            <w:r w:rsidRPr="00D1178B">
              <w:rPr>
                <w:rFonts w:ascii="Times New Roman" w:hAnsi="Times New Roman"/>
                <w:b/>
                <w:bCs/>
                <w:sz w:val="20"/>
                <w:szCs w:val="20"/>
              </w:rPr>
              <w:t>KOPĀ</w:t>
            </w:r>
          </w:p>
        </w:tc>
        <w:tc>
          <w:tcPr>
            <w:tcW w:w="1078" w:type="dxa"/>
            <w:shd w:val="clear" w:color="auto" w:fill="auto"/>
          </w:tcPr>
          <w:p w:rsidR="00454A8F" w:rsidRPr="00D1178B" w:rsidRDefault="00267BE1" w:rsidP="0040072A">
            <w:pPr>
              <w:spacing w:after="60"/>
              <w:jc w:val="center"/>
              <w:rPr>
                <w:rFonts w:ascii="Times New Roman" w:hAnsi="Times New Roman"/>
                <w:b/>
                <w:bCs/>
                <w:sz w:val="20"/>
                <w:szCs w:val="20"/>
              </w:rPr>
            </w:pPr>
            <w:r>
              <w:rPr>
                <w:rFonts w:ascii="Times New Roman" w:hAnsi="Times New Roman"/>
                <w:b/>
                <w:bCs/>
                <w:sz w:val="20"/>
                <w:szCs w:val="20"/>
              </w:rPr>
              <w:t>100</w:t>
            </w:r>
          </w:p>
        </w:tc>
        <w:tc>
          <w:tcPr>
            <w:tcW w:w="992" w:type="dxa"/>
            <w:shd w:val="clear" w:color="auto" w:fill="auto"/>
          </w:tcPr>
          <w:p w:rsidR="00454A8F" w:rsidRPr="00D1178B" w:rsidRDefault="00454A8F" w:rsidP="0040072A">
            <w:pPr>
              <w:spacing w:after="60"/>
              <w:jc w:val="both"/>
              <w:rPr>
                <w:rFonts w:ascii="Times New Roman" w:hAnsi="Times New Roman"/>
                <w:b/>
                <w:bCs/>
                <w:sz w:val="20"/>
                <w:szCs w:val="20"/>
              </w:rPr>
            </w:pPr>
          </w:p>
        </w:tc>
        <w:tc>
          <w:tcPr>
            <w:tcW w:w="1559" w:type="dxa"/>
            <w:shd w:val="clear" w:color="auto" w:fill="auto"/>
          </w:tcPr>
          <w:p w:rsidR="00454A8F" w:rsidRPr="00D1178B" w:rsidRDefault="00454A8F" w:rsidP="00CC735A">
            <w:pPr>
              <w:spacing w:after="60"/>
              <w:jc w:val="center"/>
              <w:rPr>
                <w:rFonts w:ascii="Times New Roman" w:hAnsi="Times New Roman"/>
                <w:b/>
                <w:bCs/>
                <w:sz w:val="20"/>
                <w:szCs w:val="20"/>
              </w:rPr>
            </w:pPr>
            <w:r w:rsidRPr="00D1178B">
              <w:rPr>
                <w:rFonts w:ascii="Times New Roman" w:hAnsi="Times New Roman"/>
                <w:b/>
                <w:bCs/>
                <w:sz w:val="20"/>
                <w:szCs w:val="20"/>
              </w:rPr>
              <w:t>12</w:t>
            </w:r>
            <w:r w:rsidR="00CC735A">
              <w:rPr>
                <w:rFonts w:ascii="Times New Roman" w:hAnsi="Times New Roman"/>
                <w:b/>
                <w:bCs/>
                <w:sz w:val="20"/>
                <w:szCs w:val="20"/>
              </w:rPr>
              <w:t>8 064</w:t>
            </w:r>
            <w:r w:rsidRPr="00D1178B">
              <w:rPr>
                <w:rFonts w:ascii="Times New Roman" w:hAnsi="Times New Roman"/>
                <w:b/>
                <w:bCs/>
                <w:sz w:val="20"/>
                <w:szCs w:val="20"/>
              </w:rPr>
              <w:t xml:space="preserve"> €</w:t>
            </w:r>
          </w:p>
        </w:tc>
        <w:tc>
          <w:tcPr>
            <w:tcW w:w="1134" w:type="dxa"/>
            <w:vMerge/>
            <w:shd w:val="clear" w:color="auto" w:fill="auto"/>
          </w:tcPr>
          <w:p w:rsidR="00454A8F" w:rsidRPr="00D1178B" w:rsidRDefault="00454A8F" w:rsidP="0040072A">
            <w:pPr>
              <w:spacing w:after="60"/>
              <w:jc w:val="both"/>
              <w:rPr>
                <w:rFonts w:ascii="Times New Roman" w:hAnsi="Times New Roman"/>
                <w:b/>
                <w:bCs/>
                <w:sz w:val="20"/>
                <w:szCs w:val="20"/>
              </w:rPr>
            </w:pPr>
          </w:p>
        </w:tc>
        <w:tc>
          <w:tcPr>
            <w:tcW w:w="1276" w:type="dxa"/>
            <w:vMerge/>
            <w:shd w:val="clear" w:color="auto" w:fill="auto"/>
          </w:tcPr>
          <w:p w:rsidR="00454A8F" w:rsidRPr="00D1178B" w:rsidRDefault="00454A8F" w:rsidP="0040072A">
            <w:pPr>
              <w:spacing w:after="60"/>
              <w:jc w:val="both"/>
              <w:rPr>
                <w:rFonts w:ascii="Times New Roman" w:hAnsi="Times New Roman"/>
                <w:b/>
                <w:bCs/>
                <w:sz w:val="20"/>
                <w:szCs w:val="20"/>
              </w:rPr>
            </w:pPr>
          </w:p>
        </w:tc>
        <w:tc>
          <w:tcPr>
            <w:tcW w:w="1134" w:type="dxa"/>
          </w:tcPr>
          <w:p w:rsidR="00454A8F" w:rsidRPr="00D1178B" w:rsidRDefault="00CC735A" w:rsidP="0040072A">
            <w:pPr>
              <w:spacing w:after="60"/>
              <w:jc w:val="center"/>
              <w:rPr>
                <w:rFonts w:ascii="Times New Roman" w:hAnsi="Times New Roman"/>
                <w:b/>
                <w:bCs/>
                <w:sz w:val="20"/>
                <w:szCs w:val="20"/>
              </w:rPr>
            </w:pPr>
            <w:r>
              <w:rPr>
                <w:rFonts w:ascii="Times New Roman" w:hAnsi="Times New Roman"/>
                <w:b/>
                <w:bCs/>
                <w:sz w:val="20"/>
                <w:szCs w:val="20"/>
              </w:rPr>
              <w:t>1932</w:t>
            </w:r>
          </w:p>
        </w:tc>
        <w:tc>
          <w:tcPr>
            <w:tcW w:w="1276" w:type="dxa"/>
            <w:shd w:val="clear" w:color="auto" w:fill="auto"/>
          </w:tcPr>
          <w:p w:rsidR="00454A8F" w:rsidRPr="00D1178B" w:rsidRDefault="00454A8F" w:rsidP="00734022">
            <w:pPr>
              <w:spacing w:after="60"/>
              <w:jc w:val="center"/>
              <w:rPr>
                <w:rFonts w:ascii="Times New Roman" w:hAnsi="Times New Roman"/>
                <w:b/>
                <w:bCs/>
                <w:sz w:val="20"/>
                <w:szCs w:val="20"/>
              </w:rPr>
            </w:pPr>
            <w:r w:rsidRPr="00D1178B">
              <w:rPr>
                <w:rFonts w:ascii="Times New Roman" w:hAnsi="Times New Roman"/>
                <w:b/>
                <w:bCs/>
                <w:sz w:val="20"/>
                <w:szCs w:val="20"/>
              </w:rPr>
              <w:t>2</w:t>
            </w:r>
            <w:r w:rsidR="00734022">
              <w:rPr>
                <w:rFonts w:ascii="Times New Roman" w:hAnsi="Times New Roman"/>
                <w:b/>
                <w:bCs/>
                <w:sz w:val="20"/>
                <w:szCs w:val="20"/>
              </w:rPr>
              <w:t> </w:t>
            </w:r>
            <w:r w:rsidRPr="00D1178B">
              <w:rPr>
                <w:rFonts w:ascii="Times New Roman" w:hAnsi="Times New Roman"/>
                <w:b/>
                <w:bCs/>
                <w:sz w:val="20"/>
                <w:szCs w:val="20"/>
              </w:rPr>
              <w:t>50</w:t>
            </w:r>
            <w:r w:rsidR="00734022">
              <w:rPr>
                <w:rFonts w:ascii="Times New Roman" w:hAnsi="Times New Roman"/>
                <w:b/>
                <w:bCs/>
                <w:sz w:val="20"/>
                <w:szCs w:val="20"/>
              </w:rPr>
              <w:t>5 374</w:t>
            </w:r>
            <w:r w:rsidRPr="00D1178B">
              <w:rPr>
                <w:rFonts w:ascii="Times New Roman" w:hAnsi="Times New Roman"/>
                <w:b/>
                <w:bCs/>
                <w:sz w:val="20"/>
                <w:szCs w:val="20"/>
              </w:rPr>
              <w:t xml:space="preserve"> €</w:t>
            </w:r>
          </w:p>
        </w:tc>
      </w:tr>
    </w:tbl>
    <w:p w:rsidR="00F10286" w:rsidRPr="00D1178B" w:rsidRDefault="00F10286" w:rsidP="00F10286">
      <w:pPr>
        <w:jc w:val="both"/>
        <w:rPr>
          <w:rFonts w:ascii="Times New Roman" w:hAnsi="Times New Roman"/>
          <w:bCs/>
          <w:i/>
          <w:sz w:val="20"/>
          <w:szCs w:val="20"/>
        </w:rPr>
      </w:pPr>
      <w:r w:rsidRPr="00D1178B">
        <w:rPr>
          <w:rFonts w:ascii="Times New Roman" w:hAnsi="Times New Roman"/>
          <w:bCs/>
          <w:i/>
          <w:sz w:val="20"/>
          <w:szCs w:val="20"/>
        </w:rPr>
        <w:t>* Saskaņā ar L</w:t>
      </w:r>
      <w:r w:rsidR="003C0DE2" w:rsidRPr="00D1178B">
        <w:rPr>
          <w:rFonts w:ascii="Times New Roman" w:hAnsi="Times New Roman"/>
          <w:bCs/>
          <w:i/>
          <w:sz w:val="20"/>
          <w:szCs w:val="20"/>
        </w:rPr>
        <w:t>abklājības ministrijas</w:t>
      </w:r>
      <w:r w:rsidRPr="00D1178B">
        <w:rPr>
          <w:rFonts w:ascii="Times New Roman" w:hAnsi="Times New Roman"/>
          <w:bCs/>
          <w:i/>
          <w:sz w:val="20"/>
          <w:szCs w:val="20"/>
        </w:rPr>
        <w:t xml:space="preserve"> pamatbudžeta programmas 20.01.00 „Valsts sociālie pabalsti” projektu 2016.gadam.</w:t>
      </w:r>
    </w:p>
    <w:p w:rsidR="00F10286" w:rsidRPr="00D1178B" w:rsidRDefault="00F10286" w:rsidP="00F10286">
      <w:pPr>
        <w:jc w:val="both"/>
        <w:rPr>
          <w:rFonts w:ascii="Times New Roman" w:hAnsi="Times New Roman"/>
          <w:bCs/>
          <w:i/>
          <w:sz w:val="20"/>
          <w:szCs w:val="20"/>
        </w:rPr>
      </w:pPr>
      <w:r w:rsidRPr="00D1178B">
        <w:rPr>
          <w:rFonts w:ascii="Times New Roman" w:hAnsi="Times New Roman"/>
          <w:bCs/>
          <w:i/>
          <w:sz w:val="20"/>
          <w:szCs w:val="20"/>
        </w:rPr>
        <w:t>** Plānojot 8% saņēmēju skaita pieaugumu, salīdzinot ar iepriekšējo gadu.</w:t>
      </w:r>
    </w:p>
    <w:p w:rsidR="00F10286" w:rsidRPr="00D1178B" w:rsidRDefault="00F10286" w:rsidP="00F10286">
      <w:pPr>
        <w:jc w:val="both"/>
        <w:rPr>
          <w:rFonts w:ascii="Times New Roman" w:hAnsi="Times New Roman"/>
          <w:color w:val="000000" w:themeColor="text1"/>
          <w:sz w:val="28"/>
          <w:szCs w:val="28"/>
        </w:rPr>
      </w:pPr>
    </w:p>
    <w:p w:rsidR="00F10286" w:rsidRPr="00D1178B" w:rsidRDefault="002B255C" w:rsidP="00F10286">
      <w:pPr>
        <w:spacing w:after="160"/>
        <w:ind w:firstLine="720"/>
        <w:jc w:val="center"/>
        <w:rPr>
          <w:rFonts w:ascii="Times New Roman" w:hAnsi="Times New Roman"/>
          <w:bCs/>
          <w:sz w:val="24"/>
          <w:szCs w:val="24"/>
          <w:u w:val="single"/>
        </w:rPr>
      </w:pPr>
      <w:r>
        <w:rPr>
          <w:rFonts w:ascii="Times New Roman" w:hAnsi="Times New Roman"/>
          <w:bCs/>
          <w:sz w:val="24"/>
          <w:szCs w:val="24"/>
          <w:u w:val="single"/>
        </w:rPr>
        <w:t>I</w:t>
      </w:r>
      <w:r w:rsidR="00F10286" w:rsidRPr="00D1178B">
        <w:rPr>
          <w:rFonts w:ascii="Times New Roman" w:hAnsi="Times New Roman"/>
          <w:bCs/>
          <w:sz w:val="24"/>
          <w:szCs w:val="24"/>
          <w:u w:val="single"/>
        </w:rPr>
        <w:t>zdevumi 2017.gadā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078"/>
        <w:gridCol w:w="992"/>
        <w:gridCol w:w="1559"/>
        <w:gridCol w:w="1134"/>
        <w:gridCol w:w="1276"/>
        <w:gridCol w:w="1134"/>
        <w:gridCol w:w="1276"/>
      </w:tblGrid>
      <w:tr w:rsidR="00F10286" w:rsidRPr="00D1178B" w:rsidTr="0040072A">
        <w:tc>
          <w:tcPr>
            <w:tcW w:w="1157"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c>
          <w:tcPr>
            <w:tcW w:w="1078"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 xml:space="preserve">Plānotais saņēmēju skaits (vid. </w:t>
            </w:r>
            <w:proofErr w:type="spellStart"/>
            <w:r w:rsidRPr="00D1178B">
              <w:rPr>
                <w:rFonts w:ascii="Times New Roman" w:hAnsi="Times New Roman"/>
                <w:b/>
                <w:bCs/>
                <w:sz w:val="20"/>
                <w:szCs w:val="20"/>
              </w:rPr>
              <w:t>mēn</w:t>
            </w:r>
            <w:proofErr w:type="spellEnd"/>
            <w:r w:rsidRPr="00D1178B">
              <w:rPr>
                <w:rFonts w:ascii="Times New Roman" w:hAnsi="Times New Roman"/>
                <w:b/>
                <w:bCs/>
                <w:sz w:val="20"/>
                <w:szCs w:val="20"/>
              </w:rPr>
              <w:t>.)</w:t>
            </w:r>
          </w:p>
        </w:tc>
        <w:tc>
          <w:tcPr>
            <w:tcW w:w="992"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Apmērs</w:t>
            </w:r>
          </w:p>
        </w:tc>
        <w:tc>
          <w:tcPr>
            <w:tcW w:w="1559"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Papildus nepieciešamais finansējums (gadā)</w:t>
            </w:r>
          </w:p>
        </w:tc>
        <w:tc>
          <w:tcPr>
            <w:tcW w:w="2410" w:type="dxa"/>
            <w:gridSpan w:val="2"/>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2016.gada projekts*</w:t>
            </w:r>
          </w:p>
        </w:tc>
        <w:tc>
          <w:tcPr>
            <w:tcW w:w="1134" w:type="dxa"/>
            <w:vMerge w:val="restart"/>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 xml:space="preserve">Plānotais saņēmēju skaits KOPĀ (vid. </w:t>
            </w:r>
            <w:proofErr w:type="spellStart"/>
            <w:r w:rsidRPr="00D1178B">
              <w:rPr>
                <w:rFonts w:ascii="Times New Roman" w:hAnsi="Times New Roman"/>
                <w:b/>
                <w:bCs/>
                <w:sz w:val="20"/>
                <w:szCs w:val="20"/>
              </w:rPr>
              <w:t>mēn</w:t>
            </w:r>
            <w:proofErr w:type="spellEnd"/>
            <w:r w:rsidRPr="00D1178B">
              <w:rPr>
                <w:rFonts w:ascii="Times New Roman" w:hAnsi="Times New Roman"/>
                <w:b/>
                <w:bCs/>
                <w:sz w:val="20"/>
                <w:szCs w:val="20"/>
              </w:rPr>
              <w:t>.)</w:t>
            </w:r>
          </w:p>
        </w:tc>
        <w:tc>
          <w:tcPr>
            <w:tcW w:w="1276" w:type="dxa"/>
            <w:vMerge w:val="restart"/>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Izdevumi KOPĀ (gadā)</w:t>
            </w:r>
          </w:p>
        </w:tc>
      </w:tr>
      <w:tr w:rsidR="00F10286" w:rsidRPr="00D1178B" w:rsidTr="0040072A">
        <w:tc>
          <w:tcPr>
            <w:tcW w:w="1157" w:type="dxa"/>
            <w:vMerge/>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c>
          <w:tcPr>
            <w:tcW w:w="1078" w:type="dxa"/>
            <w:vMerge/>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c>
          <w:tcPr>
            <w:tcW w:w="992" w:type="dxa"/>
            <w:vMerge/>
            <w:shd w:val="clear" w:color="auto" w:fill="auto"/>
            <w:vAlign w:val="center"/>
          </w:tcPr>
          <w:p w:rsidR="00F10286" w:rsidRPr="00D1178B" w:rsidRDefault="00F10286" w:rsidP="0040072A">
            <w:pPr>
              <w:spacing w:after="120"/>
              <w:jc w:val="center"/>
              <w:rPr>
                <w:rFonts w:ascii="Times New Roman" w:hAnsi="Times New Roman"/>
                <w:bCs/>
                <w:sz w:val="20"/>
                <w:szCs w:val="20"/>
              </w:rPr>
            </w:pPr>
          </w:p>
        </w:tc>
        <w:tc>
          <w:tcPr>
            <w:tcW w:w="1559" w:type="dxa"/>
            <w:vMerge/>
            <w:shd w:val="clear" w:color="auto" w:fill="auto"/>
          </w:tcPr>
          <w:p w:rsidR="00F10286" w:rsidRPr="00D1178B" w:rsidRDefault="00F10286" w:rsidP="0040072A">
            <w:pPr>
              <w:spacing w:after="120"/>
              <w:jc w:val="center"/>
              <w:rPr>
                <w:rFonts w:ascii="Times New Roman" w:hAnsi="Times New Roman"/>
                <w:b/>
                <w:bCs/>
                <w:sz w:val="20"/>
                <w:szCs w:val="20"/>
              </w:rPr>
            </w:pPr>
          </w:p>
        </w:tc>
        <w:tc>
          <w:tcPr>
            <w:tcW w:w="1134" w:type="dxa"/>
            <w:shd w:val="clear" w:color="auto" w:fill="auto"/>
            <w:vAlign w:val="center"/>
          </w:tcPr>
          <w:p w:rsidR="00F10286" w:rsidRPr="00D1178B" w:rsidRDefault="00F10286" w:rsidP="0040072A">
            <w:pPr>
              <w:spacing w:after="120"/>
              <w:jc w:val="center"/>
              <w:rPr>
                <w:rFonts w:ascii="Times New Roman" w:hAnsi="Times New Roman"/>
                <w:bCs/>
                <w:sz w:val="20"/>
                <w:szCs w:val="20"/>
              </w:rPr>
            </w:pPr>
            <w:r w:rsidRPr="00D1178B">
              <w:rPr>
                <w:rFonts w:ascii="Times New Roman" w:hAnsi="Times New Roman"/>
                <w:b/>
                <w:bCs/>
                <w:sz w:val="20"/>
                <w:szCs w:val="20"/>
              </w:rPr>
              <w:t xml:space="preserve">Saņēmēju skaits (vid. </w:t>
            </w:r>
            <w:proofErr w:type="spellStart"/>
            <w:r w:rsidRPr="00D1178B">
              <w:rPr>
                <w:rFonts w:ascii="Times New Roman" w:hAnsi="Times New Roman"/>
                <w:b/>
                <w:bCs/>
                <w:sz w:val="20"/>
                <w:szCs w:val="20"/>
              </w:rPr>
              <w:t>mēn</w:t>
            </w:r>
            <w:proofErr w:type="spellEnd"/>
            <w:r w:rsidRPr="00D1178B">
              <w:rPr>
                <w:rFonts w:ascii="Times New Roman" w:hAnsi="Times New Roman"/>
                <w:b/>
                <w:bCs/>
                <w:sz w:val="20"/>
                <w:szCs w:val="20"/>
              </w:rPr>
              <w:t>.)</w:t>
            </w:r>
          </w:p>
        </w:tc>
        <w:tc>
          <w:tcPr>
            <w:tcW w:w="1276" w:type="dxa"/>
            <w:shd w:val="clear" w:color="auto" w:fill="auto"/>
            <w:vAlign w:val="center"/>
          </w:tcPr>
          <w:p w:rsidR="00F10286" w:rsidRPr="00D1178B" w:rsidRDefault="00F10286" w:rsidP="0040072A">
            <w:pPr>
              <w:spacing w:after="120"/>
              <w:jc w:val="center"/>
              <w:rPr>
                <w:rFonts w:ascii="Times New Roman" w:hAnsi="Times New Roman"/>
                <w:b/>
                <w:bCs/>
                <w:sz w:val="20"/>
                <w:szCs w:val="20"/>
              </w:rPr>
            </w:pPr>
            <w:r w:rsidRPr="00D1178B">
              <w:rPr>
                <w:rFonts w:ascii="Times New Roman" w:hAnsi="Times New Roman"/>
                <w:b/>
                <w:bCs/>
                <w:sz w:val="20"/>
                <w:szCs w:val="20"/>
              </w:rPr>
              <w:t>Izdevumi (gadā)</w:t>
            </w:r>
          </w:p>
        </w:tc>
        <w:tc>
          <w:tcPr>
            <w:tcW w:w="1134" w:type="dxa"/>
            <w:vMerge/>
          </w:tcPr>
          <w:p w:rsidR="00F10286" w:rsidRPr="00D1178B" w:rsidRDefault="00F10286" w:rsidP="0040072A">
            <w:pPr>
              <w:spacing w:after="120"/>
              <w:jc w:val="center"/>
              <w:rPr>
                <w:rFonts w:ascii="Times New Roman" w:hAnsi="Times New Roman"/>
                <w:b/>
                <w:bCs/>
                <w:sz w:val="20"/>
                <w:szCs w:val="20"/>
              </w:rPr>
            </w:pPr>
          </w:p>
        </w:tc>
        <w:tc>
          <w:tcPr>
            <w:tcW w:w="1276" w:type="dxa"/>
            <w:vMerge/>
            <w:shd w:val="clear" w:color="auto" w:fill="auto"/>
            <w:vAlign w:val="center"/>
          </w:tcPr>
          <w:p w:rsidR="00F10286" w:rsidRPr="00D1178B" w:rsidRDefault="00F10286" w:rsidP="0040072A">
            <w:pPr>
              <w:spacing w:after="120"/>
              <w:jc w:val="center"/>
              <w:rPr>
                <w:rFonts w:ascii="Times New Roman" w:hAnsi="Times New Roman"/>
                <w:b/>
                <w:bCs/>
                <w:sz w:val="20"/>
                <w:szCs w:val="20"/>
              </w:rPr>
            </w:pPr>
          </w:p>
        </w:tc>
      </w:tr>
      <w:tr w:rsidR="00F10286" w:rsidRPr="00D1178B" w:rsidTr="0040072A">
        <w:tc>
          <w:tcPr>
            <w:tcW w:w="1157" w:type="dxa"/>
            <w:vMerge/>
            <w:shd w:val="clear" w:color="auto" w:fill="auto"/>
          </w:tcPr>
          <w:p w:rsidR="00F10286" w:rsidRPr="00D1178B" w:rsidRDefault="00F10286" w:rsidP="0040072A">
            <w:pPr>
              <w:spacing w:after="60"/>
              <w:jc w:val="both"/>
              <w:rPr>
                <w:rFonts w:ascii="Times New Roman" w:hAnsi="Times New Roman"/>
                <w:bCs/>
                <w:i/>
                <w:sz w:val="20"/>
                <w:szCs w:val="20"/>
              </w:rPr>
            </w:pPr>
          </w:p>
        </w:tc>
        <w:tc>
          <w:tcPr>
            <w:tcW w:w="1078"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(1)</w:t>
            </w:r>
          </w:p>
        </w:tc>
        <w:tc>
          <w:tcPr>
            <w:tcW w:w="992"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(2)</w:t>
            </w:r>
          </w:p>
        </w:tc>
        <w:tc>
          <w:tcPr>
            <w:tcW w:w="1559"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(3) = ((1) x (2) x 12 </w:t>
            </w:r>
            <w:proofErr w:type="spellStart"/>
            <w:r w:rsidRPr="00D1178B">
              <w:rPr>
                <w:rFonts w:ascii="Times New Roman" w:hAnsi="Times New Roman"/>
                <w:bCs/>
                <w:i/>
                <w:sz w:val="16"/>
                <w:szCs w:val="16"/>
              </w:rPr>
              <w:t>mēn</w:t>
            </w:r>
            <w:proofErr w:type="spellEnd"/>
            <w:r w:rsidRPr="00D1178B">
              <w:rPr>
                <w:rFonts w:ascii="Times New Roman" w:hAnsi="Times New Roman"/>
                <w:bCs/>
                <w:i/>
                <w:sz w:val="16"/>
                <w:szCs w:val="16"/>
              </w:rPr>
              <w:t>.)</w:t>
            </w:r>
          </w:p>
        </w:tc>
        <w:tc>
          <w:tcPr>
            <w:tcW w:w="1134"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(4)</w:t>
            </w:r>
          </w:p>
        </w:tc>
        <w:tc>
          <w:tcPr>
            <w:tcW w:w="1276"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(5)</w:t>
            </w:r>
          </w:p>
        </w:tc>
        <w:tc>
          <w:tcPr>
            <w:tcW w:w="1134" w:type="dxa"/>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(6) = (1) + (4)</w:t>
            </w:r>
          </w:p>
        </w:tc>
        <w:tc>
          <w:tcPr>
            <w:tcW w:w="1276" w:type="dxa"/>
            <w:shd w:val="clear" w:color="auto" w:fill="auto"/>
            <w:vAlign w:val="center"/>
          </w:tcPr>
          <w:p w:rsidR="00F10286" w:rsidRPr="00D1178B" w:rsidRDefault="00F10286" w:rsidP="0040072A">
            <w:pPr>
              <w:spacing w:after="60"/>
              <w:jc w:val="center"/>
              <w:rPr>
                <w:rFonts w:ascii="Times New Roman" w:hAnsi="Times New Roman"/>
                <w:bCs/>
                <w:i/>
                <w:sz w:val="16"/>
                <w:szCs w:val="16"/>
              </w:rPr>
            </w:pPr>
            <w:r w:rsidRPr="00D1178B">
              <w:rPr>
                <w:rFonts w:ascii="Times New Roman" w:hAnsi="Times New Roman"/>
                <w:bCs/>
                <w:i/>
                <w:sz w:val="16"/>
                <w:szCs w:val="16"/>
              </w:rPr>
              <w:t>(7) = (3) + (5)</w:t>
            </w:r>
          </w:p>
        </w:tc>
      </w:tr>
      <w:tr w:rsidR="00F10286" w:rsidRPr="00D1178B" w:rsidTr="0040072A">
        <w:tc>
          <w:tcPr>
            <w:tcW w:w="1157" w:type="dxa"/>
            <w:shd w:val="clear" w:color="auto" w:fill="auto"/>
          </w:tcPr>
          <w:p w:rsidR="00F10286" w:rsidRPr="00D1178B" w:rsidRDefault="00F10286" w:rsidP="0040072A">
            <w:pPr>
              <w:spacing w:before="80" w:after="60"/>
              <w:jc w:val="both"/>
              <w:rPr>
                <w:rFonts w:ascii="Times New Roman" w:hAnsi="Times New Roman"/>
                <w:bCs/>
                <w:sz w:val="20"/>
                <w:szCs w:val="20"/>
              </w:rPr>
            </w:pPr>
            <w:r w:rsidRPr="00D1178B">
              <w:rPr>
                <w:rFonts w:ascii="Times New Roman" w:hAnsi="Times New Roman"/>
                <w:bCs/>
                <w:sz w:val="20"/>
                <w:szCs w:val="20"/>
              </w:rPr>
              <w:lastRenderedPageBreak/>
              <w:t>1.pasākums</w:t>
            </w:r>
          </w:p>
        </w:tc>
        <w:tc>
          <w:tcPr>
            <w:tcW w:w="1078" w:type="dxa"/>
            <w:shd w:val="clear" w:color="auto" w:fill="auto"/>
          </w:tcPr>
          <w:p w:rsidR="00F10286" w:rsidRPr="00D1178B" w:rsidRDefault="00267BE1" w:rsidP="0040072A">
            <w:pPr>
              <w:spacing w:before="80" w:after="60"/>
              <w:jc w:val="center"/>
              <w:rPr>
                <w:rFonts w:ascii="Times New Roman" w:hAnsi="Times New Roman"/>
                <w:bCs/>
                <w:sz w:val="20"/>
                <w:szCs w:val="20"/>
              </w:rPr>
            </w:pPr>
            <w:r w:rsidRPr="00D1178B">
              <w:rPr>
                <w:rFonts w:ascii="Times New Roman" w:hAnsi="Times New Roman"/>
                <w:bCs/>
                <w:sz w:val="20"/>
                <w:szCs w:val="20"/>
              </w:rPr>
              <w:t>87**</w:t>
            </w:r>
          </w:p>
        </w:tc>
        <w:tc>
          <w:tcPr>
            <w:tcW w:w="992" w:type="dxa"/>
            <w:shd w:val="clear" w:color="auto" w:fill="auto"/>
            <w:vAlign w:val="center"/>
          </w:tcPr>
          <w:p w:rsidR="00F10286" w:rsidRPr="00D1178B" w:rsidRDefault="00F10286" w:rsidP="0040072A">
            <w:pPr>
              <w:spacing w:before="80" w:after="60"/>
              <w:jc w:val="center"/>
              <w:rPr>
                <w:rFonts w:ascii="Times New Roman" w:hAnsi="Times New Roman"/>
                <w:bCs/>
                <w:sz w:val="20"/>
                <w:szCs w:val="20"/>
              </w:rPr>
            </w:pPr>
            <w:r w:rsidRPr="00D1178B">
              <w:rPr>
                <w:rFonts w:ascii="Times New Roman" w:hAnsi="Times New Roman"/>
                <w:bCs/>
                <w:sz w:val="20"/>
                <w:szCs w:val="20"/>
              </w:rPr>
              <w:t>106,72 €</w:t>
            </w:r>
          </w:p>
        </w:tc>
        <w:tc>
          <w:tcPr>
            <w:tcW w:w="1559" w:type="dxa"/>
            <w:shd w:val="clear" w:color="auto" w:fill="auto"/>
          </w:tcPr>
          <w:p w:rsidR="00F10286" w:rsidRPr="00D1178B" w:rsidRDefault="00D40EE6" w:rsidP="00D40EE6">
            <w:pPr>
              <w:spacing w:before="80" w:after="60"/>
              <w:jc w:val="center"/>
              <w:rPr>
                <w:rFonts w:ascii="Times New Roman" w:hAnsi="Times New Roman"/>
                <w:bCs/>
                <w:sz w:val="20"/>
                <w:szCs w:val="20"/>
              </w:rPr>
            </w:pPr>
            <w:r w:rsidRPr="00D1178B">
              <w:rPr>
                <w:rFonts w:ascii="Times New Roman" w:hAnsi="Times New Roman"/>
                <w:bCs/>
                <w:sz w:val="20"/>
                <w:szCs w:val="20"/>
              </w:rPr>
              <w:t>111 416 €</w:t>
            </w:r>
          </w:p>
        </w:tc>
        <w:tc>
          <w:tcPr>
            <w:tcW w:w="1134" w:type="dxa"/>
            <w:vMerge w:val="restart"/>
            <w:shd w:val="clear" w:color="auto" w:fill="auto"/>
            <w:vAlign w:val="center"/>
          </w:tcPr>
          <w:p w:rsidR="00F10286" w:rsidRPr="00D1178B" w:rsidRDefault="00F10286" w:rsidP="0040072A">
            <w:pPr>
              <w:spacing w:before="80" w:after="60"/>
              <w:jc w:val="center"/>
              <w:rPr>
                <w:rFonts w:ascii="Times New Roman" w:hAnsi="Times New Roman"/>
                <w:bCs/>
                <w:sz w:val="20"/>
                <w:szCs w:val="20"/>
              </w:rPr>
            </w:pPr>
            <w:r w:rsidRPr="00D1178B">
              <w:rPr>
                <w:rFonts w:ascii="Times New Roman" w:hAnsi="Times New Roman"/>
                <w:bCs/>
                <w:sz w:val="20"/>
                <w:szCs w:val="20"/>
              </w:rPr>
              <w:t>1832</w:t>
            </w:r>
          </w:p>
        </w:tc>
        <w:tc>
          <w:tcPr>
            <w:tcW w:w="1276" w:type="dxa"/>
            <w:vMerge w:val="restart"/>
            <w:shd w:val="clear" w:color="auto" w:fill="auto"/>
            <w:vAlign w:val="center"/>
          </w:tcPr>
          <w:p w:rsidR="00F10286" w:rsidRPr="00D1178B" w:rsidRDefault="00F10286" w:rsidP="0040072A">
            <w:pPr>
              <w:spacing w:before="80" w:after="60"/>
              <w:jc w:val="center"/>
              <w:rPr>
                <w:rFonts w:ascii="Times New Roman" w:hAnsi="Times New Roman"/>
                <w:bCs/>
                <w:sz w:val="20"/>
                <w:szCs w:val="20"/>
              </w:rPr>
            </w:pPr>
            <w:r w:rsidRPr="00D1178B">
              <w:rPr>
                <w:rFonts w:ascii="Times New Roman" w:hAnsi="Times New Roman"/>
                <w:bCs/>
                <w:sz w:val="20"/>
                <w:szCs w:val="20"/>
              </w:rPr>
              <w:t>2 377 310 €</w:t>
            </w:r>
          </w:p>
        </w:tc>
        <w:tc>
          <w:tcPr>
            <w:tcW w:w="1134" w:type="dxa"/>
          </w:tcPr>
          <w:p w:rsidR="00F10286" w:rsidRPr="00D1178B" w:rsidRDefault="00D16C86" w:rsidP="00D16C86">
            <w:pPr>
              <w:spacing w:before="80" w:after="60"/>
              <w:jc w:val="center"/>
              <w:rPr>
                <w:rFonts w:ascii="Times New Roman" w:hAnsi="Times New Roman"/>
                <w:bCs/>
                <w:sz w:val="20"/>
                <w:szCs w:val="20"/>
              </w:rPr>
            </w:pPr>
            <w:r w:rsidRPr="00D1178B">
              <w:rPr>
                <w:rFonts w:ascii="Times New Roman" w:hAnsi="Times New Roman"/>
                <w:bCs/>
                <w:sz w:val="20"/>
                <w:szCs w:val="20"/>
              </w:rPr>
              <w:t>1919</w:t>
            </w:r>
          </w:p>
        </w:tc>
        <w:tc>
          <w:tcPr>
            <w:tcW w:w="1276" w:type="dxa"/>
            <w:shd w:val="clear" w:color="auto" w:fill="auto"/>
          </w:tcPr>
          <w:p w:rsidR="00F10286" w:rsidRPr="00D1178B" w:rsidRDefault="004C7FB9" w:rsidP="004C7FB9">
            <w:pPr>
              <w:spacing w:before="80" w:after="60"/>
              <w:jc w:val="center"/>
              <w:rPr>
                <w:rFonts w:ascii="Times New Roman" w:hAnsi="Times New Roman"/>
                <w:bCs/>
                <w:sz w:val="20"/>
                <w:szCs w:val="20"/>
              </w:rPr>
            </w:pPr>
            <w:r w:rsidRPr="00D1178B">
              <w:rPr>
                <w:rFonts w:ascii="Times New Roman" w:hAnsi="Times New Roman"/>
                <w:bCs/>
                <w:sz w:val="20"/>
                <w:szCs w:val="20"/>
              </w:rPr>
              <w:t>2 488 726 €</w:t>
            </w:r>
          </w:p>
        </w:tc>
      </w:tr>
      <w:tr w:rsidR="00F10286" w:rsidRPr="00D1178B" w:rsidTr="0040072A">
        <w:tc>
          <w:tcPr>
            <w:tcW w:w="1157" w:type="dxa"/>
            <w:shd w:val="clear" w:color="auto" w:fill="auto"/>
          </w:tcPr>
          <w:p w:rsidR="00F10286" w:rsidRPr="00D1178B" w:rsidRDefault="00F10286" w:rsidP="0040072A">
            <w:pPr>
              <w:spacing w:after="60"/>
              <w:jc w:val="both"/>
              <w:rPr>
                <w:rFonts w:ascii="Times New Roman" w:hAnsi="Times New Roman"/>
                <w:bCs/>
                <w:sz w:val="20"/>
                <w:szCs w:val="20"/>
              </w:rPr>
            </w:pPr>
            <w:r w:rsidRPr="00D1178B">
              <w:rPr>
                <w:rFonts w:ascii="Times New Roman" w:hAnsi="Times New Roman"/>
                <w:bCs/>
                <w:sz w:val="20"/>
                <w:szCs w:val="20"/>
              </w:rPr>
              <w:t>2.pasākums</w:t>
            </w:r>
          </w:p>
        </w:tc>
        <w:tc>
          <w:tcPr>
            <w:tcW w:w="1078" w:type="dxa"/>
            <w:shd w:val="clear" w:color="auto" w:fill="auto"/>
          </w:tcPr>
          <w:p w:rsidR="00F10286" w:rsidRPr="00D1178B" w:rsidRDefault="00267BE1" w:rsidP="00D16C86">
            <w:pPr>
              <w:spacing w:after="60"/>
              <w:jc w:val="center"/>
              <w:rPr>
                <w:rFonts w:ascii="Times New Roman" w:hAnsi="Times New Roman"/>
                <w:bCs/>
                <w:sz w:val="20"/>
                <w:szCs w:val="20"/>
              </w:rPr>
            </w:pPr>
            <w:r w:rsidRPr="00D1178B">
              <w:rPr>
                <w:rFonts w:ascii="Times New Roman" w:hAnsi="Times New Roman"/>
                <w:bCs/>
                <w:sz w:val="20"/>
                <w:szCs w:val="20"/>
              </w:rPr>
              <w:t>2</w:t>
            </w:r>
            <w:r w:rsidR="00D16C86">
              <w:rPr>
                <w:rFonts w:ascii="Times New Roman" w:hAnsi="Times New Roman"/>
                <w:bCs/>
                <w:sz w:val="20"/>
                <w:szCs w:val="20"/>
              </w:rPr>
              <w:t>1</w:t>
            </w:r>
            <w:r w:rsidRPr="00D1178B">
              <w:rPr>
                <w:rFonts w:ascii="Times New Roman" w:hAnsi="Times New Roman"/>
                <w:bCs/>
                <w:sz w:val="20"/>
                <w:szCs w:val="20"/>
              </w:rPr>
              <w:t>**</w:t>
            </w:r>
          </w:p>
        </w:tc>
        <w:tc>
          <w:tcPr>
            <w:tcW w:w="992" w:type="dxa"/>
            <w:shd w:val="clear" w:color="auto" w:fill="auto"/>
          </w:tcPr>
          <w:p w:rsidR="00F10286" w:rsidRPr="00D1178B" w:rsidRDefault="00F10286" w:rsidP="0040072A">
            <w:pPr>
              <w:spacing w:after="60"/>
              <w:jc w:val="center"/>
              <w:rPr>
                <w:rFonts w:ascii="Times New Roman" w:hAnsi="Times New Roman"/>
                <w:bCs/>
                <w:sz w:val="20"/>
                <w:szCs w:val="20"/>
              </w:rPr>
            </w:pPr>
            <w:r w:rsidRPr="00D1178B">
              <w:rPr>
                <w:rFonts w:ascii="Times New Roman" w:hAnsi="Times New Roman"/>
                <w:bCs/>
                <w:sz w:val="20"/>
                <w:szCs w:val="20"/>
              </w:rPr>
              <w:t>106,72 €</w:t>
            </w:r>
          </w:p>
        </w:tc>
        <w:tc>
          <w:tcPr>
            <w:tcW w:w="1559" w:type="dxa"/>
            <w:shd w:val="clear" w:color="auto" w:fill="auto"/>
          </w:tcPr>
          <w:p w:rsidR="00F10286" w:rsidRPr="00D1178B" w:rsidRDefault="00D40EE6" w:rsidP="00D40EE6">
            <w:pPr>
              <w:spacing w:after="60"/>
              <w:jc w:val="center"/>
              <w:rPr>
                <w:rFonts w:ascii="Times New Roman" w:hAnsi="Times New Roman"/>
                <w:bCs/>
                <w:sz w:val="20"/>
                <w:szCs w:val="20"/>
              </w:rPr>
            </w:pPr>
            <w:r w:rsidRPr="00D1178B">
              <w:rPr>
                <w:rFonts w:ascii="Times New Roman" w:hAnsi="Times New Roman"/>
                <w:bCs/>
                <w:sz w:val="20"/>
                <w:szCs w:val="20"/>
              </w:rPr>
              <w:t>2</w:t>
            </w:r>
            <w:r>
              <w:rPr>
                <w:rFonts w:ascii="Times New Roman" w:hAnsi="Times New Roman"/>
                <w:bCs/>
                <w:sz w:val="20"/>
                <w:szCs w:val="20"/>
              </w:rPr>
              <w:t>6 893</w:t>
            </w:r>
            <w:r w:rsidRPr="00D1178B">
              <w:rPr>
                <w:rFonts w:ascii="Times New Roman" w:hAnsi="Times New Roman"/>
                <w:bCs/>
                <w:sz w:val="20"/>
                <w:szCs w:val="20"/>
              </w:rPr>
              <w:t xml:space="preserve"> €</w:t>
            </w:r>
            <w:r w:rsidR="00F10286" w:rsidRPr="00D1178B">
              <w:rPr>
                <w:rFonts w:ascii="Times New Roman" w:hAnsi="Times New Roman"/>
                <w:bCs/>
                <w:sz w:val="20"/>
                <w:szCs w:val="20"/>
              </w:rPr>
              <w:t xml:space="preserve"> </w:t>
            </w:r>
          </w:p>
        </w:tc>
        <w:tc>
          <w:tcPr>
            <w:tcW w:w="1134" w:type="dxa"/>
            <w:vMerge/>
            <w:shd w:val="clear" w:color="auto" w:fill="auto"/>
          </w:tcPr>
          <w:p w:rsidR="00F10286" w:rsidRPr="00D1178B" w:rsidRDefault="00F10286" w:rsidP="0040072A">
            <w:pPr>
              <w:spacing w:after="60"/>
              <w:jc w:val="both"/>
              <w:rPr>
                <w:rFonts w:ascii="Times New Roman" w:hAnsi="Times New Roman"/>
                <w:bCs/>
                <w:sz w:val="20"/>
                <w:szCs w:val="20"/>
              </w:rPr>
            </w:pPr>
          </w:p>
        </w:tc>
        <w:tc>
          <w:tcPr>
            <w:tcW w:w="1276" w:type="dxa"/>
            <w:vMerge/>
            <w:shd w:val="clear" w:color="auto" w:fill="auto"/>
          </w:tcPr>
          <w:p w:rsidR="00F10286" w:rsidRPr="00D1178B" w:rsidRDefault="00F10286" w:rsidP="0040072A">
            <w:pPr>
              <w:spacing w:after="60"/>
              <w:jc w:val="both"/>
              <w:rPr>
                <w:rFonts w:ascii="Times New Roman" w:hAnsi="Times New Roman"/>
                <w:bCs/>
                <w:sz w:val="20"/>
                <w:szCs w:val="20"/>
              </w:rPr>
            </w:pPr>
          </w:p>
        </w:tc>
        <w:tc>
          <w:tcPr>
            <w:tcW w:w="1134" w:type="dxa"/>
          </w:tcPr>
          <w:p w:rsidR="00F10286" w:rsidRPr="00D1178B" w:rsidRDefault="00D16C86" w:rsidP="0040072A">
            <w:pPr>
              <w:spacing w:after="60"/>
              <w:jc w:val="center"/>
              <w:rPr>
                <w:rFonts w:ascii="Times New Roman" w:hAnsi="Times New Roman"/>
                <w:bCs/>
                <w:sz w:val="20"/>
                <w:szCs w:val="20"/>
              </w:rPr>
            </w:pPr>
            <w:r>
              <w:rPr>
                <w:rFonts w:ascii="Times New Roman" w:hAnsi="Times New Roman"/>
                <w:bCs/>
                <w:sz w:val="20"/>
                <w:szCs w:val="20"/>
              </w:rPr>
              <w:t>1853</w:t>
            </w:r>
          </w:p>
        </w:tc>
        <w:tc>
          <w:tcPr>
            <w:tcW w:w="1276" w:type="dxa"/>
            <w:shd w:val="clear" w:color="auto" w:fill="auto"/>
          </w:tcPr>
          <w:p w:rsidR="00F10286" w:rsidRPr="00D1178B" w:rsidRDefault="004C7FB9" w:rsidP="004C7FB9">
            <w:pPr>
              <w:spacing w:after="60"/>
              <w:jc w:val="center"/>
              <w:rPr>
                <w:rFonts w:ascii="Times New Roman" w:hAnsi="Times New Roman"/>
                <w:bCs/>
                <w:sz w:val="20"/>
                <w:szCs w:val="20"/>
              </w:rPr>
            </w:pPr>
            <w:r w:rsidRPr="00D1178B">
              <w:rPr>
                <w:rFonts w:ascii="Times New Roman" w:hAnsi="Times New Roman"/>
                <w:bCs/>
                <w:sz w:val="20"/>
                <w:szCs w:val="20"/>
              </w:rPr>
              <w:t>2</w:t>
            </w:r>
            <w:r>
              <w:rPr>
                <w:rFonts w:ascii="Times New Roman" w:hAnsi="Times New Roman"/>
                <w:bCs/>
                <w:sz w:val="20"/>
                <w:szCs w:val="20"/>
              </w:rPr>
              <w:t> </w:t>
            </w:r>
            <w:r w:rsidRPr="00D1178B">
              <w:rPr>
                <w:rFonts w:ascii="Times New Roman" w:hAnsi="Times New Roman"/>
                <w:bCs/>
                <w:sz w:val="20"/>
                <w:szCs w:val="20"/>
              </w:rPr>
              <w:t>40</w:t>
            </w:r>
            <w:r>
              <w:rPr>
                <w:rFonts w:ascii="Times New Roman" w:hAnsi="Times New Roman"/>
                <w:bCs/>
                <w:sz w:val="20"/>
                <w:szCs w:val="20"/>
              </w:rPr>
              <w:t>4 203</w:t>
            </w:r>
            <w:r w:rsidRPr="00D1178B">
              <w:rPr>
                <w:rFonts w:ascii="Times New Roman" w:hAnsi="Times New Roman"/>
                <w:bCs/>
                <w:sz w:val="20"/>
                <w:szCs w:val="20"/>
              </w:rPr>
              <w:t xml:space="preserve"> €</w:t>
            </w:r>
          </w:p>
        </w:tc>
      </w:tr>
      <w:tr w:rsidR="00F10286" w:rsidRPr="00D1178B" w:rsidTr="0040072A">
        <w:tc>
          <w:tcPr>
            <w:tcW w:w="1157" w:type="dxa"/>
            <w:shd w:val="clear" w:color="auto" w:fill="auto"/>
          </w:tcPr>
          <w:p w:rsidR="00F10286" w:rsidRPr="00D1178B" w:rsidRDefault="00F10286" w:rsidP="0040072A">
            <w:pPr>
              <w:spacing w:after="60"/>
              <w:jc w:val="both"/>
              <w:rPr>
                <w:rFonts w:ascii="Times New Roman" w:hAnsi="Times New Roman"/>
                <w:b/>
                <w:bCs/>
                <w:sz w:val="20"/>
                <w:szCs w:val="20"/>
              </w:rPr>
            </w:pPr>
            <w:r w:rsidRPr="00D1178B">
              <w:rPr>
                <w:rFonts w:ascii="Times New Roman" w:hAnsi="Times New Roman"/>
                <w:b/>
                <w:bCs/>
                <w:sz w:val="20"/>
                <w:szCs w:val="20"/>
              </w:rPr>
              <w:t>KOPĀ</w:t>
            </w:r>
          </w:p>
        </w:tc>
        <w:tc>
          <w:tcPr>
            <w:tcW w:w="1078" w:type="dxa"/>
            <w:shd w:val="clear" w:color="auto" w:fill="auto"/>
          </w:tcPr>
          <w:p w:rsidR="00F10286" w:rsidRPr="00D1178B" w:rsidRDefault="00F10286" w:rsidP="00267BE1">
            <w:pPr>
              <w:spacing w:after="60"/>
              <w:jc w:val="center"/>
              <w:rPr>
                <w:rFonts w:ascii="Times New Roman" w:hAnsi="Times New Roman"/>
                <w:b/>
                <w:bCs/>
                <w:sz w:val="20"/>
                <w:szCs w:val="20"/>
              </w:rPr>
            </w:pPr>
            <w:r w:rsidRPr="00D1178B">
              <w:rPr>
                <w:rFonts w:ascii="Times New Roman" w:hAnsi="Times New Roman"/>
                <w:b/>
                <w:bCs/>
                <w:sz w:val="20"/>
                <w:szCs w:val="20"/>
              </w:rPr>
              <w:t>10</w:t>
            </w:r>
            <w:r w:rsidR="00267BE1">
              <w:rPr>
                <w:rFonts w:ascii="Times New Roman" w:hAnsi="Times New Roman"/>
                <w:b/>
                <w:bCs/>
                <w:sz w:val="20"/>
                <w:szCs w:val="20"/>
              </w:rPr>
              <w:t>8</w:t>
            </w:r>
          </w:p>
        </w:tc>
        <w:tc>
          <w:tcPr>
            <w:tcW w:w="992" w:type="dxa"/>
            <w:shd w:val="clear" w:color="auto" w:fill="auto"/>
          </w:tcPr>
          <w:p w:rsidR="00F10286" w:rsidRPr="00D1178B" w:rsidRDefault="00F10286" w:rsidP="0040072A">
            <w:pPr>
              <w:spacing w:after="60"/>
              <w:jc w:val="both"/>
              <w:rPr>
                <w:rFonts w:ascii="Times New Roman" w:hAnsi="Times New Roman"/>
                <w:b/>
                <w:bCs/>
                <w:sz w:val="20"/>
                <w:szCs w:val="20"/>
              </w:rPr>
            </w:pPr>
          </w:p>
        </w:tc>
        <w:tc>
          <w:tcPr>
            <w:tcW w:w="1559" w:type="dxa"/>
            <w:shd w:val="clear" w:color="auto" w:fill="auto"/>
          </w:tcPr>
          <w:p w:rsidR="00F10286" w:rsidRPr="00D1178B" w:rsidRDefault="00F10286" w:rsidP="00D40EE6">
            <w:pPr>
              <w:spacing w:after="60"/>
              <w:jc w:val="center"/>
              <w:rPr>
                <w:rFonts w:ascii="Times New Roman" w:hAnsi="Times New Roman"/>
                <w:b/>
                <w:bCs/>
                <w:sz w:val="20"/>
                <w:szCs w:val="20"/>
              </w:rPr>
            </w:pPr>
            <w:r w:rsidRPr="00D1178B">
              <w:rPr>
                <w:rFonts w:ascii="Times New Roman" w:hAnsi="Times New Roman"/>
                <w:b/>
                <w:bCs/>
                <w:sz w:val="20"/>
                <w:szCs w:val="20"/>
              </w:rPr>
              <w:t>13</w:t>
            </w:r>
            <w:r w:rsidR="00D40EE6">
              <w:rPr>
                <w:rFonts w:ascii="Times New Roman" w:hAnsi="Times New Roman"/>
                <w:b/>
                <w:bCs/>
                <w:sz w:val="20"/>
                <w:szCs w:val="20"/>
              </w:rPr>
              <w:t>8 309</w:t>
            </w:r>
            <w:r w:rsidRPr="00D1178B">
              <w:rPr>
                <w:rFonts w:ascii="Times New Roman" w:hAnsi="Times New Roman"/>
                <w:b/>
                <w:bCs/>
                <w:sz w:val="20"/>
                <w:szCs w:val="20"/>
              </w:rPr>
              <w:t xml:space="preserve"> €</w:t>
            </w:r>
          </w:p>
        </w:tc>
        <w:tc>
          <w:tcPr>
            <w:tcW w:w="1134" w:type="dxa"/>
            <w:vMerge/>
            <w:shd w:val="clear" w:color="auto" w:fill="auto"/>
          </w:tcPr>
          <w:p w:rsidR="00F10286" w:rsidRPr="00D1178B" w:rsidRDefault="00F10286" w:rsidP="0040072A">
            <w:pPr>
              <w:spacing w:after="60"/>
              <w:jc w:val="both"/>
              <w:rPr>
                <w:rFonts w:ascii="Times New Roman" w:hAnsi="Times New Roman"/>
                <w:b/>
                <w:bCs/>
                <w:sz w:val="20"/>
                <w:szCs w:val="20"/>
              </w:rPr>
            </w:pPr>
          </w:p>
        </w:tc>
        <w:tc>
          <w:tcPr>
            <w:tcW w:w="1276" w:type="dxa"/>
            <w:vMerge/>
            <w:shd w:val="clear" w:color="auto" w:fill="auto"/>
          </w:tcPr>
          <w:p w:rsidR="00F10286" w:rsidRPr="00D1178B" w:rsidRDefault="00F10286" w:rsidP="0040072A">
            <w:pPr>
              <w:spacing w:after="60"/>
              <w:jc w:val="both"/>
              <w:rPr>
                <w:rFonts w:ascii="Times New Roman" w:hAnsi="Times New Roman"/>
                <w:b/>
                <w:bCs/>
                <w:sz w:val="20"/>
                <w:szCs w:val="20"/>
              </w:rPr>
            </w:pPr>
          </w:p>
        </w:tc>
        <w:tc>
          <w:tcPr>
            <w:tcW w:w="1134" w:type="dxa"/>
          </w:tcPr>
          <w:p w:rsidR="00F10286" w:rsidRPr="00D1178B" w:rsidRDefault="004C7FB9" w:rsidP="0040072A">
            <w:pPr>
              <w:spacing w:after="60"/>
              <w:jc w:val="center"/>
              <w:rPr>
                <w:rFonts w:ascii="Times New Roman" w:hAnsi="Times New Roman"/>
                <w:b/>
                <w:bCs/>
                <w:sz w:val="20"/>
                <w:szCs w:val="20"/>
              </w:rPr>
            </w:pPr>
            <w:r>
              <w:rPr>
                <w:rFonts w:ascii="Times New Roman" w:hAnsi="Times New Roman"/>
                <w:b/>
                <w:bCs/>
                <w:sz w:val="20"/>
                <w:szCs w:val="20"/>
              </w:rPr>
              <w:t>1940</w:t>
            </w:r>
          </w:p>
        </w:tc>
        <w:tc>
          <w:tcPr>
            <w:tcW w:w="1276" w:type="dxa"/>
            <w:shd w:val="clear" w:color="auto" w:fill="auto"/>
          </w:tcPr>
          <w:p w:rsidR="00F10286" w:rsidRPr="00D1178B" w:rsidRDefault="00F10286" w:rsidP="004C7FB9">
            <w:pPr>
              <w:spacing w:after="60"/>
              <w:jc w:val="center"/>
              <w:rPr>
                <w:rFonts w:ascii="Times New Roman" w:hAnsi="Times New Roman"/>
                <w:b/>
                <w:bCs/>
                <w:sz w:val="20"/>
                <w:szCs w:val="20"/>
              </w:rPr>
            </w:pPr>
            <w:r w:rsidRPr="00D1178B">
              <w:rPr>
                <w:rFonts w:ascii="Times New Roman" w:hAnsi="Times New Roman"/>
                <w:b/>
                <w:bCs/>
                <w:sz w:val="20"/>
                <w:szCs w:val="20"/>
              </w:rPr>
              <w:t>2</w:t>
            </w:r>
            <w:r w:rsidR="004C7FB9">
              <w:rPr>
                <w:rFonts w:ascii="Times New Roman" w:hAnsi="Times New Roman"/>
                <w:b/>
                <w:bCs/>
                <w:sz w:val="20"/>
                <w:szCs w:val="20"/>
              </w:rPr>
              <w:t> </w:t>
            </w:r>
            <w:r w:rsidRPr="00D1178B">
              <w:rPr>
                <w:rFonts w:ascii="Times New Roman" w:hAnsi="Times New Roman"/>
                <w:b/>
                <w:bCs/>
                <w:sz w:val="20"/>
                <w:szCs w:val="20"/>
              </w:rPr>
              <w:t>51</w:t>
            </w:r>
            <w:r w:rsidR="004C7FB9">
              <w:rPr>
                <w:rFonts w:ascii="Times New Roman" w:hAnsi="Times New Roman"/>
                <w:b/>
                <w:bCs/>
                <w:sz w:val="20"/>
                <w:szCs w:val="20"/>
              </w:rPr>
              <w:t>5 619</w:t>
            </w:r>
            <w:r w:rsidRPr="00D1178B">
              <w:rPr>
                <w:rFonts w:ascii="Times New Roman" w:hAnsi="Times New Roman"/>
                <w:b/>
                <w:bCs/>
                <w:sz w:val="20"/>
                <w:szCs w:val="20"/>
              </w:rPr>
              <w:t xml:space="preserve"> €</w:t>
            </w:r>
          </w:p>
        </w:tc>
      </w:tr>
    </w:tbl>
    <w:p w:rsidR="00F10286" w:rsidRPr="00D1178B" w:rsidRDefault="00F10286" w:rsidP="00F10286">
      <w:pPr>
        <w:jc w:val="both"/>
        <w:rPr>
          <w:rFonts w:ascii="Times New Roman" w:hAnsi="Times New Roman"/>
          <w:bCs/>
          <w:i/>
          <w:sz w:val="20"/>
          <w:szCs w:val="20"/>
        </w:rPr>
      </w:pPr>
      <w:r w:rsidRPr="00D1178B">
        <w:rPr>
          <w:rFonts w:ascii="Times New Roman" w:hAnsi="Times New Roman"/>
          <w:bCs/>
          <w:i/>
          <w:sz w:val="20"/>
          <w:szCs w:val="20"/>
        </w:rPr>
        <w:t>* Saskaņā ar L</w:t>
      </w:r>
      <w:r w:rsidR="003C0DE2" w:rsidRPr="00D1178B">
        <w:rPr>
          <w:rFonts w:ascii="Times New Roman" w:hAnsi="Times New Roman"/>
          <w:bCs/>
          <w:i/>
          <w:sz w:val="20"/>
          <w:szCs w:val="20"/>
        </w:rPr>
        <w:t>abklājības ministrijas</w:t>
      </w:r>
      <w:r w:rsidRPr="00D1178B">
        <w:rPr>
          <w:rFonts w:ascii="Times New Roman" w:hAnsi="Times New Roman"/>
          <w:bCs/>
          <w:i/>
          <w:sz w:val="20"/>
          <w:szCs w:val="20"/>
        </w:rPr>
        <w:t xml:space="preserve"> pamatbudžeta programmas 20.01.00 „Valsts sociālie pabalsti” projektu 2016.gadam.</w:t>
      </w:r>
    </w:p>
    <w:p w:rsidR="00F10286" w:rsidRPr="00D1178B" w:rsidRDefault="00F10286" w:rsidP="00F10286">
      <w:pPr>
        <w:jc w:val="both"/>
        <w:rPr>
          <w:rFonts w:ascii="Times New Roman" w:hAnsi="Times New Roman"/>
          <w:bCs/>
          <w:i/>
          <w:sz w:val="20"/>
          <w:szCs w:val="20"/>
        </w:rPr>
      </w:pPr>
      <w:r w:rsidRPr="00D1178B">
        <w:rPr>
          <w:rFonts w:ascii="Times New Roman" w:hAnsi="Times New Roman"/>
          <w:bCs/>
          <w:i/>
          <w:sz w:val="20"/>
          <w:szCs w:val="20"/>
        </w:rPr>
        <w:t>** Plānojot 8% saņēmēju skaita pieaugumu, salīdzinot ar iepriekšējo gadu.</w:t>
      </w:r>
    </w:p>
    <w:p w:rsidR="00F10286" w:rsidRPr="00D1178B" w:rsidRDefault="00F10286" w:rsidP="00F10286">
      <w:pPr>
        <w:jc w:val="both"/>
        <w:rPr>
          <w:rFonts w:ascii="Times New Roman" w:hAnsi="Times New Roman"/>
          <w:color w:val="000000" w:themeColor="text1"/>
          <w:sz w:val="28"/>
          <w:szCs w:val="28"/>
        </w:rPr>
      </w:pPr>
    </w:p>
    <w:p w:rsidR="00F10286" w:rsidRPr="006F5CFA" w:rsidRDefault="00F10286" w:rsidP="00F10286">
      <w:pPr>
        <w:jc w:val="both"/>
        <w:rPr>
          <w:rFonts w:ascii="Times New Roman" w:hAnsi="Times New Roman"/>
          <w:b/>
          <w:bCs/>
          <w:color w:val="000000" w:themeColor="text1"/>
          <w:sz w:val="26"/>
          <w:szCs w:val="26"/>
        </w:rPr>
      </w:pPr>
      <w:r w:rsidRPr="006F5CFA">
        <w:rPr>
          <w:rFonts w:ascii="Times New Roman" w:hAnsi="Times New Roman"/>
          <w:b/>
          <w:bCs/>
          <w:color w:val="000000" w:themeColor="text1"/>
          <w:sz w:val="26"/>
          <w:szCs w:val="26"/>
        </w:rPr>
        <w:t>4. Nepieciešamās izmaiņas normatīvajos aktos</w:t>
      </w:r>
    </w:p>
    <w:p w:rsidR="00B0186B" w:rsidRPr="006F5CFA" w:rsidRDefault="00B0186B" w:rsidP="00F10286">
      <w:pPr>
        <w:jc w:val="both"/>
        <w:rPr>
          <w:rFonts w:ascii="Times New Roman" w:hAnsi="Times New Roman"/>
          <w:b/>
          <w:bCs/>
          <w:color w:val="000000" w:themeColor="text1"/>
          <w:sz w:val="26"/>
          <w:szCs w:val="26"/>
        </w:rPr>
      </w:pPr>
    </w:p>
    <w:p w:rsidR="00F10286" w:rsidRPr="006F5CFA" w:rsidRDefault="00F10286" w:rsidP="00576173">
      <w:pPr>
        <w:ind w:firstLine="720"/>
        <w:jc w:val="both"/>
        <w:rPr>
          <w:rFonts w:ascii="Times New Roman" w:hAnsi="Times New Roman"/>
          <w:color w:val="000000" w:themeColor="text1"/>
          <w:sz w:val="26"/>
          <w:szCs w:val="26"/>
        </w:rPr>
      </w:pPr>
      <w:r w:rsidRPr="006F5CFA">
        <w:rPr>
          <w:rFonts w:ascii="Times New Roman" w:hAnsi="Times New Roman"/>
          <w:color w:val="000000" w:themeColor="text1"/>
          <w:sz w:val="26"/>
          <w:szCs w:val="26"/>
        </w:rPr>
        <w:t>Tā kā deleģējums valsts atbalsta nodrošināšanai ar celiakiju slimajiem bērniem noteikts Sociālo pakalpojumu un sociālās palīdzības likumā kā sociālais pakalpojums tikai bērniem, kuriem nav noteikta invaliditāte (13.panta pirmās daļas 8.punkts), gadījumā, ja tiek paplašināts tā saņēmējs loks, nepieciešami grozījumi šajā likumā. Pamatojoties uz minētajiem likuma grozījumiem, nepieciešami grozījumi arī Ministru kabineta 2013.gada 21.maija noteikumos Nr.261 „Noteikumi par valsts atbalstu ar celiakiju slimiem bērniem, kuriem nav noteikta invaliditāte”.</w:t>
      </w:r>
    </w:p>
    <w:p w:rsidR="00F10286" w:rsidRPr="006F5CFA" w:rsidRDefault="00F10286" w:rsidP="00F10286">
      <w:pPr>
        <w:jc w:val="both"/>
        <w:rPr>
          <w:rFonts w:ascii="Times New Roman" w:hAnsi="Times New Roman"/>
          <w:color w:val="000000" w:themeColor="text1"/>
          <w:sz w:val="26"/>
          <w:szCs w:val="26"/>
        </w:rPr>
      </w:pPr>
    </w:p>
    <w:p w:rsidR="005D004C" w:rsidRDefault="005D004C" w:rsidP="00F10286">
      <w:pPr>
        <w:jc w:val="both"/>
        <w:rPr>
          <w:rFonts w:ascii="Times New Roman" w:hAnsi="Times New Roman"/>
          <w:color w:val="000000" w:themeColor="text1"/>
          <w:sz w:val="26"/>
          <w:szCs w:val="26"/>
        </w:rPr>
      </w:pPr>
    </w:p>
    <w:p w:rsidR="00BC155E" w:rsidRDefault="00BC155E" w:rsidP="00F10286">
      <w:pPr>
        <w:jc w:val="both"/>
        <w:rPr>
          <w:rFonts w:ascii="Times New Roman" w:hAnsi="Times New Roman"/>
          <w:color w:val="000000" w:themeColor="text1"/>
          <w:sz w:val="26"/>
          <w:szCs w:val="26"/>
        </w:rPr>
      </w:pPr>
    </w:p>
    <w:p w:rsidR="00BC155E" w:rsidRPr="006F5CFA" w:rsidRDefault="00BC155E" w:rsidP="00F10286">
      <w:pPr>
        <w:jc w:val="both"/>
        <w:rPr>
          <w:rFonts w:ascii="Times New Roman" w:hAnsi="Times New Roman"/>
          <w:color w:val="000000" w:themeColor="text1"/>
          <w:sz w:val="26"/>
          <w:szCs w:val="26"/>
        </w:rPr>
      </w:pPr>
    </w:p>
    <w:p w:rsidR="003B0691" w:rsidRPr="006F5CFA" w:rsidRDefault="006E28E0" w:rsidP="006E28E0">
      <w:pPr>
        <w:tabs>
          <w:tab w:val="left" w:pos="7230"/>
          <w:tab w:val="right" w:pos="9072"/>
        </w:tabs>
        <w:jc w:val="both"/>
        <w:rPr>
          <w:rFonts w:ascii="Times New Roman" w:hAnsi="Times New Roman"/>
          <w:sz w:val="26"/>
          <w:szCs w:val="26"/>
          <w:highlight w:val="yellow"/>
        </w:rPr>
      </w:pPr>
      <w:r w:rsidRPr="006F5CFA">
        <w:rPr>
          <w:rFonts w:ascii="Times New Roman" w:hAnsi="Times New Roman"/>
          <w:sz w:val="26"/>
          <w:szCs w:val="26"/>
        </w:rPr>
        <w:t xml:space="preserve">Labklājības ministrs </w:t>
      </w:r>
      <w:r w:rsidRPr="006F5CFA">
        <w:rPr>
          <w:rFonts w:ascii="Times New Roman" w:hAnsi="Times New Roman"/>
          <w:sz w:val="26"/>
          <w:szCs w:val="26"/>
        </w:rPr>
        <w:tab/>
        <w:t>U.Augulis</w:t>
      </w:r>
      <w:r w:rsidRPr="006F5CFA">
        <w:rPr>
          <w:rFonts w:ascii="Times New Roman" w:hAnsi="Times New Roman"/>
          <w:sz w:val="26"/>
          <w:szCs w:val="26"/>
        </w:rPr>
        <w:tab/>
      </w:r>
      <w:r w:rsidRPr="006F5CFA">
        <w:rPr>
          <w:rFonts w:ascii="Times New Roman" w:hAnsi="Times New Roman"/>
          <w:sz w:val="26"/>
          <w:szCs w:val="26"/>
        </w:rPr>
        <w:tab/>
      </w:r>
      <w:r w:rsidR="003B0691" w:rsidRPr="006F5CFA">
        <w:rPr>
          <w:rFonts w:ascii="Times New Roman" w:hAnsi="Times New Roman"/>
          <w:sz w:val="26"/>
          <w:szCs w:val="26"/>
        </w:rPr>
        <w:tab/>
      </w:r>
    </w:p>
    <w:p w:rsidR="003B0691" w:rsidRDefault="003B0691" w:rsidP="003B0691">
      <w:pPr>
        <w:ind w:firstLine="720"/>
        <w:rPr>
          <w:sz w:val="28"/>
          <w:szCs w:val="28"/>
        </w:rPr>
      </w:pPr>
    </w:p>
    <w:p w:rsidR="00BC155E" w:rsidRDefault="00BC155E" w:rsidP="003B0691">
      <w:pPr>
        <w:ind w:firstLine="720"/>
        <w:rPr>
          <w:sz w:val="28"/>
          <w:szCs w:val="28"/>
        </w:rPr>
      </w:pPr>
    </w:p>
    <w:p w:rsidR="00BC155E" w:rsidRPr="00D1178B" w:rsidRDefault="00BC155E" w:rsidP="003B0691">
      <w:pPr>
        <w:ind w:firstLine="720"/>
        <w:rPr>
          <w:sz w:val="28"/>
          <w:szCs w:val="28"/>
        </w:rPr>
      </w:pPr>
    </w:p>
    <w:p w:rsidR="000E5BA4" w:rsidRPr="000E5BA4" w:rsidRDefault="00D2244D" w:rsidP="000E5BA4">
      <w:pPr>
        <w:pStyle w:val="Header"/>
        <w:spacing w:before="120"/>
        <w:rPr>
          <w:rFonts w:ascii="Times New Roman" w:hAnsi="Times New Roman"/>
          <w:sz w:val="20"/>
        </w:rPr>
      </w:pPr>
      <w:r>
        <w:rPr>
          <w:rFonts w:ascii="Times New Roman" w:hAnsi="Times New Roman"/>
          <w:sz w:val="20"/>
        </w:rPr>
        <w:t>0</w:t>
      </w:r>
      <w:r w:rsidR="00695764">
        <w:rPr>
          <w:rFonts w:ascii="Times New Roman" w:hAnsi="Times New Roman"/>
          <w:sz w:val="20"/>
        </w:rPr>
        <w:t>6</w:t>
      </w:r>
      <w:r w:rsidR="000E5BA4" w:rsidRPr="000E5BA4">
        <w:rPr>
          <w:rFonts w:ascii="Times New Roman" w:hAnsi="Times New Roman"/>
          <w:sz w:val="20"/>
        </w:rPr>
        <w:t>.0</w:t>
      </w:r>
      <w:r>
        <w:rPr>
          <w:rFonts w:ascii="Times New Roman" w:hAnsi="Times New Roman"/>
          <w:sz w:val="20"/>
        </w:rPr>
        <w:t>5</w:t>
      </w:r>
      <w:r w:rsidR="000E5BA4" w:rsidRPr="000E5BA4">
        <w:rPr>
          <w:rFonts w:ascii="Times New Roman" w:hAnsi="Times New Roman"/>
          <w:sz w:val="20"/>
        </w:rPr>
        <w:t>.201</w:t>
      </w:r>
      <w:r w:rsidR="000E5BA4">
        <w:rPr>
          <w:rFonts w:ascii="Times New Roman" w:hAnsi="Times New Roman"/>
          <w:sz w:val="20"/>
        </w:rPr>
        <w:t>4</w:t>
      </w:r>
      <w:r w:rsidR="00FF72AC">
        <w:rPr>
          <w:rFonts w:ascii="Times New Roman" w:hAnsi="Times New Roman"/>
          <w:sz w:val="20"/>
        </w:rPr>
        <w:t>. 14:48</w:t>
      </w:r>
      <w:bookmarkStart w:id="0" w:name="_GoBack"/>
      <w:bookmarkEnd w:id="0"/>
    </w:p>
    <w:p w:rsidR="000E5BA4" w:rsidRPr="000E5BA4" w:rsidRDefault="00B22C00" w:rsidP="000E5BA4">
      <w:pPr>
        <w:rPr>
          <w:rFonts w:ascii="Times New Roman" w:hAnsi="Times New Roman"/>
          <w:sz w:val="20"/>
          <w:szCs w:val="20"/>
        </w:rPr>
      </w:pPr>
      <w:r>
        <w:rPr>
          <w:rFonts w:ascii="Times New Roman" w:hAnsi="Times New Roman"/>
          <w:sz w:val="20"/>
          <w:szCs w:val="20"/>
        </w:rPr>
        <w:t>2341</w:t>
      </w:r>
    </w:p>
    <w:p w:rsidR="000E5BA4" w:rsidRPr="000E5BA4" w:rsidRDefault="000E5BA4" w:rsidP="000E5BA4">
      <w:pPr>
        <w:rPr>
          <w:rFonts w:ascii="Times New Roman" w:hAnsi="Times New Roman"/>
          <w:sz w:val="20"/>
          <w:szCs w:val="20"/>
        </w:rPr>
      </w:pPr>
      <w:r w:rsidRPr="000E5BA4">
        <w:rPr>
          <w:rFonts w:ascii="Times New Roman" w:hAnsi="Times New Roman"/>
          <w:sz w:val="20"/>
          <w:szCs w:val="20"/>
        </w:rPr>
        <w:t>L.Liepa</w:t>
      </w:r>
    </w:p>
    <w:p w:rsidR="000E5BA4" w:rsidRPr="000E5BA4" w:rsidRDefault="000E5BA4" w:rsidP="000E5BA4">
      <w:pPr>
        <w:rPr>
          <w:rFonts w:ascii="Times New Roman" w:hAnsi="Times New Roman"/>
          <w:sz w:val="20"/>
          <w:szCs w:val="20"/>
        </w:rPr>
      </w:pPr>
      <w:r w:rsidRPr="000E5BA4">
        <w:rPr>
          <w:rFonts w:ascii="Times New Roman" w:hAnsi="Times New Roman"/>
          <w:sz w:val="20"/>
          <w:szCs w:val="20"/>
        </w:rPr>
        <w:t>67021632, Linda.Liepa@lm.gov.lv</w:t>
      </w:r>
    </w:p>
    <w:p w:rsidR="00F10286" w:rsidRPr="00D1178B" w:rsidRDefault="00F10286" w:rsidP="00F10286">
      <w:pPr>
        <w:jc w:val="both"/>
        <w:rPr>
          <w:rFonts w:ascii="Times New Roman" w:hAnsi="Times New Roman"/>
          <w:color w:val="000000" w:themeColor="text1"/>
          <w:sz w:val="26"/>
          <w:szCs w:val="26"/>
        </w:rPr>
      </w:pPr>
    </w:p>
    <w:p w:rsidR="006670E0" w:rsidRPr="00D1178B" w:rsidRDefault="006670E0"/>
    <w:sectPr w:rsidR="006670E0" w:rsidRPr="00D1178B" w:rsidSect="004A55C7">
      <w:headerReference w:type="default" r:id="rId9"/>
      <w:footerReference w:type="default" r:id="rId10"/>
      <w:footerReference w:type="first" r:id="rId11"/>
      <w:pgSz w:w="11906" w:h="16838"/>
      <w:pgMar w:top="907" w:right="1021" w:bottom="851"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86" w:rsidRDefault="00F10286" w:rsidP="00F10286">
      <w:r>
        <w:separator/>
      </w:r>
    </w:p>
  </w:endnote>
  <w:endnote w:type="continuationSeparator" w:id="0">
    <w:p w:rsidR="00F10286" w:rsidRDefault="00F10286" w:rsidP="00F1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AA" w:rsidRPr="00C60CAA" w:rsidRDefault="005F7074" w:rsidP="00C60CAA">
    <w:pPr>
      <w:rPr>
        <w:rFonts w:ascii="Times New Roman" w:hAnsi="Times New Roman"/>
        <w:sz w:val="20"/>
        <w:szCs w:val="20"/>
      </w:rPr>
    </w:pPr>
    <w:r>
      <w:rPr>
        <w:rFonts w:ascii="Times New Roman" w:hAnsi="Times New Roman"/>
        <w:sz w:val="20"/>
        <w:szCs w:val="20"/>
      </w:rPr>
      <w:t>LMinf_</w:t>
    </w:r>
    <w:r w:rsidR="00695764">
      <w:rPr>
        <w:rFonts w:ascii="Times New Roman" w:hAnsi="Times New Roman"/>
        <w:sz w:val="20"/>
        <w:szCs w:val="20"/>
      </w:rPr>
      <w:t>06</w:t>
    </w:r>
    <w:r>
      <w:rPr>
        <w:rFonts w:ascii="Times New Roman" w:hAnsi="Times New Roman"/>
        <w:sz w:val="20"/>
        <w:szCs w:val="20"/>
      </w:rPr>
      <w:t>0</w:t>
    </w:r>
    <w:r w:rsidR="00695764">
      <w:rPr>
        <w:rFonts w:ascii="Times New Roman" w:hAnsi="Times New Roman"/>
        <w:sz w:val="20"/>
        <w:szCs w:val="20"/>
      </w:rPr>
      <w:t>5</w:t>
    </w:r>
    <w:r w:rsidR="00C60CAA" w:rsidRPr="00C60CAA">
      <w:rPr>
        <w:rFonts w:ascii="Times New Roman" w:hAnsi="Times New Roman"/>
        <w:sz w:val="20"/>
        <w:szCs w:val="20"/>
      </w:rPr>
      <w:t xml:space="preserve">14_celiakija; Informatīvais ziņojums „Par valsts atbalsta ar celiakiju slimiem bērniem </w:t>
    </w:r>
    <w:r w:rsidR="00121DA4">
      <w:rPr>
        <w:rFonts w:ascii="Times New Roman" w:hAnsi="Times New Roman"/>
        <w:sz w:val="20"/>
        <w:szCs w:val="20"/>
      </w:rPr>
      <w:t xml:space="preserve">saņēmēju </w:t>
    </w:r>
    <w:r w:rsidR="00C60CAA" w:rsidRPr="00C60CAA">
      <w:rPr>
        <w:rFonts w:ascii="Times New Roman" w:hAnsi="Times New Roman"/>
        <w:sz w:val="20"/>
        <w:szCs w:val="20"/>
      </w:rPr>
      <w:t>loka pārskatīšanu”</w:t>
    </w:r>
  </w:p>
  <w:p w:rsidR="00867075" w:rsidRDefault="00867075">
    <w:pPr>
      <w:pStyle w:val="Footer"/>
    </w:pPr>
  </w:p>
  <w:p w:rsidR="006C5D1B" w:rsidRDefault="006C5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2F" w:rsidRPr="00C60CAA" w:rsidRDefault="000F2B2F" w:rsidP="000F2B2F">
    <w:pPr>
      <w:rPr>
        <w:rFonts w:ascii="Times New Roman" w:hAnsi="Times New Roman"/>
        <w:sz w:val="20"/>
        <w:szCs w:val="20"/>
      </w:rPr>
    </w:pPr>
    <w:r w:rsidRPr="00C60CAA">
      <w:rPr>
        <w:rFonts w:ascii="Times New Roman" w:hAnsi="Times New Roman"/>
        <w:sz w:val="20"/>
        <w:szCs w:val="20"/>
      </w:rPr>
      <w:t>LMinf_</w:t>
    </w:r>
    <w:r w:rsidR="00695764">
      <w:rPr>
        <w:rFonts w:ascii="Times New Roman" w:hAnsi="Times New Roman"/>
        <w:sz w:val="20"/>
        <w:szCs w:val="20"/>
      </w:rPr>
      <w:t>06</w:t>
    </w:r>
    <w:r w:rsidRPr="00C60CAA">
      <w:rPr>
        <w:rFonts w:ascii="Times New Roman" w:hAnsi="Times New Roman"/>
        <w:sz w:val="20"/>
        <w:szCs w:val="20"/>
      </w:rPr>
      <w:t>0</w:t>
    </w:r>
    <w:r w:rsidR="00695764">
      <w:rPr>
        <w:rFonts w:ascii="Times New Roman" w:hAnsi="Times New Roman"/>
        <w:sz w:val="20"/>
        <w:szCs w:val="20"/>
      </w:rPr>
      <w:t>5</w:t>
    </w:r>
    <w:r w:rsidRPr="00C60CAA">
      <w:rPr>
        <w:rFonts w:ascii="Times New Roman" w:hAnsi="Times New Roman"/>
        <w:sz w:val="20"/>
        <w:szCs w:val="20"/>
      </w:rPr>
      <w:t>14_celiakija; Informatīvais ziņojums „Par valsts atbalsta ar celiakiju slimiem bērniem</w:t>
    </w:r>
    <w:r w:rsidR="00121DA4">
      <w:rPr>
        <w:rFonts w:ascii="Times New Roman" w:hAnsi="Times New Roman"/>
        <w:sz w:val="20"/>
        <w:szCs w:val="20"/>
      </w:rPr>
      <w:t xml:space="preserve"> saņēmēju</w:t>
    </w:r>
    <w:r w:rsidRPr="00C60CAA">
      <w:rPr>
        <w:rFonts w:ascii="Times New Roman" w:hAnsi="Times New Roman"/>
        <w:sz w:val="20"/>
        <w:szCs w:val="20"/>
      </w:rPr>
      <w:t xml:space="preserve"> loka pārskatīšanu”</w:t>
    </w:r>
  </w:p>
  <w:p w:rsidR="00C60CAA" w:rsidRDefault="00C60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86" w:rsidRDefault="00F10286" w:rsidP="00F10286">
      <w:r>
        <w:separator/>
      </w:r>
    </w:p>
  </w:footnote>
  <w:footnote w:type="continuationSeparator" w:id="0">
    <w:p w:rsidR="00F10286" w:rsidRDefault="00F10286" w:rsidP="00F10286">
      <w:r>
        <w:continuationSeparator/>
      </w:r>
    </w:p>
  </w:footnote>
  <w:footnote w:id="1">
    <w:p w:rsidR="009F300D" w:rsidRPr="000C5E9A" w:rsidRDefault="009F300D" w:rsidP="000C5E9A">
      <w:pPr>
        <w:pStyle w:val="FootnoteText"/>
        <w:jc w:val="both"/>
        <w:rPr>
          <w:rFonts w:ascii="Times New Roman" w:hAnsi="Times New Roman"/>
        </w:rPr>
      </w:pPr>
      <w:r>
        <w:rPr>
          <w:rStyle w:val="FootnoteReference"/>
        </w:rPr>
        <w:footnoteRef/>
      </w:r>
      <w:r>
        <w:t xml:space="preserve">  </w:t>
      </w:r>
      <w:r w:rsidRPr="000C5E9A">
        <w:rPr>
          <w:rFonts w:ascii="Times New Roman" w:hAnsi="Times New Roman"/>
        </w:rPr>
        <w:t xml:space="preserve">Veselības ministrijas sadarbībā ar biedrību „Dzīve bez </w:t>
      </w:r>
      <w:proofErr w:type="spellStart"/>
      <w:r w:rsidRPr="000C5E9A">
        <w:rPr>
          <w:rFonts w:ascii="Times New Roman" w:hAnsi="Times New Roman"/>
        </w:rPr>
        <w:t>glutēna</w:t>
      </w:r>
      <w:proofErr w:type="spellEnd"/>
      <w:r w:rsidRPr="000C5E9A">
        <w:rPr>
          <w:rFonts w:ascii="Times New Roman" w:hAnsi="Times New Roman"/>
        </w:rPr>
        <w:t>” 2012.gada informatīvais materiāls „Ieteikumi ar celiakiju slimu bērnu ēdināšanai pirmsskolas un vispārējās izglītības iestādēs” (http://www.spkc.gov.lv/informativie-izdevumi//).</w:t>
      </w:r>
    </w:p>
  </w:footnote>
  <w:footnote w:id="2">
    <w:p w:rsidR="00F10286" w:rsidRDefault="00F10286" w:rsidP="00F10286">
      <w:pPr>
        <w:pStyle w:val="FootnoteText"/>
      </w:pPr>
      <w:r w:rsidRPr="00DF34C5">
        <w:rPr>
          <w:rStyle w:val="FootnoteReference"/>
          <w:rFonts w:ascii="Times New Roman" w:hAnsi="Times New Roman"/>
        </w:rPr>
        <w:footnoteRef/>
      </w:r>
      <w:r w:rsidRPr="00DF34C5">
        <w:rPr>
          <w:rFonts w:ascii="Times New Roman" w:hAnsi="Times New Roman"/>
        </w:rPr>
        <w:t xml:space="preserve"> 2005.-2008.gadā – 50 Ls jeb 71,14 EUR, bet kopš 2009.gada 1.janvāra – 75 Ls jeb 106,72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2A" w:rsidRDefault="00021E65">
    <w:pPr>
      <w:pStyle w:val="Header"/>
      <w:jc w:val="center"/>
    </w:pPr>
    <w:r>
      <w:fldChar w:fldCharType="begin"/>
    </w:r>
    <w:r>
      <w:instrText xml:space="preserve"> PAGE   \* MERGEFORMAT </w:instrText>
    </w:r>
    <w:r>
      <w:fldChar w:fldCharType="separate"/>
    </w:r>
    <w:r w:rsidR="00FF72AC">
      <w:rPr>
        <w:noProof/>
      </w:rPr>
      <w:t>7</w:t>
    </w:r>
    <w:r>
      <w:rPr>
        <w:noProof/>
      </w:rPr>
      <w:fldChar w:fldCharType="end"/>
    </w:r>
  </w:p>
  <w:p w:rsidR="00F4042A" w:rsidRDefault="00FF7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86"/>
    <w:rsid w:val="00000D26"/>
    <w:rsid w:val="000129C7"/>
    <w:rsid w:val="00016E97"/>
    <w:rsid w:val="00017349"/>
    <w:rsid w:val="000211C1"/>
    <w:rsid w:val="00021E65"/>
    <w:rsid w:val="00026B32"/>
    <w:rsid w:val="0003324D"/>
    <w:rsid w:val="00063855"/>
    <w:rsid w:val="00066E1F"/>
    <w:rsid w:val="0008044E"/>
    <w:rsid w:val="00082935"/>
    <w:rsid w:val="000A1EAE"/>
    <w:rsid w:val="000A61E5"/>
    <w:rsid w:val="000C0A50"/>
    <w:rsid w:val="000C5E9A"/>
    <w:rsid w:val="000C7156"/>
    <w:rsid w:val="000E5BA4"/>
    <w:rsid w:val="000F2B2F"/>
    <w:rsid w:val="00107B29"/>
    <w:rsid w:val="001104A4"/>
    <w:rsid w:val="00111C38"/>
    <w:rsid w:val="00121DA4"/>
    <w:rsid w:val="00131354"/>
    <w:rsid w:val="001331B4"/>
    <w:rsid w:val="00135CE2"/>
    <w:rsid w:val="00153A42"/>
    <w:rsid w:val="00163E2E"/>
    <w:rsid w:val="001665E3"/>
    <w:rsid w:val="001679E7"/>
    <w:rsid w:val="001750B3"/>
    <w:rsid w:val="00181141"/>
    <w:rsid w:val="00187797"/>
    <w:rsid w:val="00190392"/>
    <w:rsid w:val="00192F69"/>
    <w:rsid w:val="00193EBA"/>
    <w:rsid w:val="001B00BA"/>
    <w:rsid w:val="001B18B9"/>
    <w:rsid w:val="001B4439"/>
    <w:rsid w:val="001B57B9"/>
    <w:rsid w:val="001C220B"/>
    <w:rsid w:val="00200BD4"/>
    <w:rsid w:val="0020137E"/>
    <w:rsid w:val="00211B3D"/>
    <w:rsid w:val="0024690B"/>
    <w:rsid w:val="0025206A"/>
    <w:rsid w:val="00256E07"/>
    <w:rsid w:val="00263212"/>
    <w:rsid w:val="00267BE1"/>
    <w:rsid w:val="002761B0"/>
    <w:rsid w:val="00284FA5"/>
    <w:rsid w:val="0029216E"/>
    <w:rsid w:val="002931C8"/>
    <w:rsid w:val="0029778B"/>
    <w:rsid w:val="002A4021"/>
    <w:rsid w:val="002B255C"/>
    <w:rsid w:val="002B31A4"/>
    <w:rsid w:val="002C38A6"/>
    <w:rsid w:val="002C5F09"/>
    <w:rsid w:val="002E4D84"/>
    <w:rsid w:val="002F0638"/>
    <w:rsid w:val="00303B43"/>
    <w:rsid w:val="00304C1B"/>
    <w:rsid w:val="0031499E"/>
    <w:rsid w:val="003236B4"/>
    <w:rsid w:val="0034065B"/>
    <w:rsid w:val="00343433"/>
    <w:rsid w:val="00353E2C"/>
    <w:rsid w:val="003625CA"/>
    <w:rsid w:val="003737F7"/>
    <w:rsid w:val="00375A1B"/>
    <w:rsid w:val="00391D9F"/>
    <w:rsid w:val="003A22DD"/>
    <w:rsid w:val="003B0691"/>
    <w:rsid w:val="003C0DE2"/>
    <w:rsid w:val="003D0000"/>
    <w:rsid w:val="003D3B19"/>
    <w:rsid w:val="00405C98"/>
    <w:rsid w:val="00412281"/>
    <w:rsid w:val="00416F58"/>
    <w:rsid w:val="004355B8"/>
    <w:rsid w:val="00435CAC"/>
    <w:rsid w:val="00444718"/>
    <w:rsid w:val="00454A8F"/>
    <w:rsid w:val="004731DD"/>
    <w:rsid w:val="00484FDB"/>
    <w:rsid w:val="004A6615"/>
    <w:rsid w:val="004B4D6E"/>
    <w:rsid w:val="004C704D"/>
    <w:rsid w:val="004C7FB9"/>
    <w:rsid w:val="004D0B9A"/>
    <w:rsid w:val="004D4BF5"/>
    <w:rsid w:val="004D7D4B"/>
    <w:rsid w:val="004E68F7"/>
    <w:rsid w:val="0050044B"/>
    <w:rsid w:val="00507C14"/>
    <w:rsid w:val="00510DF9"/>
    <w:rsid w:val="00513288"/>
    <w:rsid w:val="00513BAE"/>
    <w:rsid w:val="0051712C"/>
    <w:rsid w:val="005261F7"/>
    <w:rsid w:val="00532536"/>
    <w:rsid w:val="00537F1E"/>
    <w:rsid w:val="0054075F"/>
    <w:rsid w:val="00542C91"/>
    <w:rsid w:val="005545A8"/>
    <w:rsid w:val="00561F6A"/>
    <w:rsid w:val="005738D4"/>
    <w:rsid w:val="00576173"/>
    <w:rsid w:val="005870BD"/>
    <w:rsid w:val="00591021"/>
    <w:rsid w:val="005A784B"/>
    <w:rsid w:val="005B2541"/>
    <w:rsid w:val="005B38F4"/>
    <w:rsid w:val="005B5359"/>
    <w:rsid w:val="005D004C"/>
    <w:rsid w:val="005D1EC0"/>
    <w:rsid w:val="005F0978"/>
    <w:rsid w:val="005F7074"/>
    <w:rsid w:val="0060083E"/>
    <w:rsid w:val="00604429"/>
    <w:rsid w:val="00641684"/>
    <w:rsid w:val="0064201D"/>
    <w:rsid w:val="00650379"/>
    <w:rsid w:val="00661398"/>
    <w:rsid w:val="00661608"/>
    <w:rsid w:val="00663D3C"/>
    <w:rsid w:val="006670E0"/>
    <w:rsid w:val="00674C91"/>
    <w:rsid w:val="00695764"/>
    <w:rsid w:val="006A3420"/>
    <w:rsid w:val="006C2451"/>
    <w:rsid w:val="006C5D1B"/>
    <w:rsid w:val="006D195A"/>
    <w:rsid w:val="006D285B"/>
    <w:rsid w:val="006D5A61"/>
    <w:rsid w:val="006E28E0"/>
    <w:rsid w:val="006F5CFA"/>
    <w:rsid w:val="00703654"/>
    <w:rsid w:val="007126FB"/>
    <w:rsid w:val="00734022"/>
    <w:rsid w:val="007531D9"/>
    <w:rsid w:val="007566B9"/>
    <w:rsid w:val="00766F67"/>
    <w:rsid w:val="00775D05"/>
    <w:rsid w:val="00777C0D"/>
    <w:rsid w:val="00780EEC"/>
    <w:rsid w:val="007810FE"/>
    <w:rsid w:val="00781DE3"/>
    <w:rsid w:val="007863B2"/>
    <w:rsid w:val="007972EB"/>
    <w:rsid w:val="007A7840"/>
    <w:rsid w:val="007C7610"/>
    <w:rsid w:val="007E6E78"/>
    <w:rsid w:val="007F2D27"/>
    <w:rsid w:val="007F7372"/>
    <w:rsid w:val="00804624"/>
    <w:rsid w:val="00811E8D"/>
    <w:rsid w:val="00832045"/>
    <w:rsid w:val="00840E3B"/>
    <w:rsid w:val="0084701C"/>
    <w:rsid w:val="00855EA3"/>
    <w:rsid w:val="00864F28"/>
    <w:rsid w:val="0086658F"/>
    <w:rsid w:val="00867075"/>
    <w:rsid w:val="008952EE"/>
    <w:rsid w:val="00895EA9"/>
    <w:rsid w:val="008E5AE7"/>
    <w:rsid w:val="00900424"/>
    <w:rsid w:val="00902A96"/>
    <w:rsid w:val="00910FBE"/>
    <w:rsid w:val="00911529"/>
    <w:rsid w:val="0091418C"/>
    <w:rsid w:val="009439E8"/>
    <w:rsid w:val="009600FF"/>
    <w:rsid w:val="00975F68"/>
    <w:rsid w:val="00986FC2"/>
    <w:rsid w:val="00993321"/>
    <w:rsid w:val="0099726E"/>
    <w:rsid w:val="009A051C"/>
    <w:rsid w:val="009B2ECD"/>
    <w:rsid w:val="009C1425"/>
    <w:rsid w:val="009D158E"/>
    <w:rsid w:val="009F1CAC"/>
    <w:rsid w:val="009F300D"/>
    <w:rsid w:val="00A076A7"/>
    <w:rsid w:val="00A2632A"/>
    <w:rsid w:val="00A344BC"/>
    <w:rsid w:val="00A739B3"/>
    <w:rsid w:val="00A75438"/>
    <w:rsid w:val="00A954DB"/>
    <w:rsid w:val="00A961BB"/>
    <w:rsid w:val="00AA211F"/>
    <w:rsid w:val="00AA27A1"/>
    <w:rsid w:val="00AB14E6"/>
    <w:rsid w:val="00AC1C4B"/>
    <w:rsid w:val="00AC7FD6"/>
    <w:rsid w:val="00AD4123"/>
    <w:rsid w:val="00AE06D3"/>
    <w:rsid w:val="00AE6AC1"/>
    <w:rsid w:val="00AF5F71"/>
    <w:rsid w:val="00B0186B"/>
    <w:rsid w:val="00B03B20"/>
    <w:rsid w:val="00B15C42"/>
    <w:rsid w:val="00B22C00"/>
    <w:rsid w:val="00B30566"/>
    <w:rsid w:val="00B35162"/>
    <w:rsid w:val="00B85A89"/>
    <w:rsid w:val="00BA7CC2"/>
    <w:rsid w:val="00BB6E76"/>
    <w:rsid w:val="00BB764D"/>
    <w:rsid w:val="00BC155E"/>
    <w:rsid w:val="00BC23A1"/>
    <w:rsid w:val="00BD360A"/>
    <w:rsid w:val="00BD3FA0"/>
    <w:rsid w:val="00BE32D4"/>
    <w:rsid w:val="00C345F0"/>
    <w:rsid w:val="00C60CAA"/>
    <w:rsid w:val="00C619BC"/>
    <w:rsid w:val="00C668FA"/>
    <w:rsid w:val="00C8655D"/>
    <w:rsid w:val="00CA434A"/>
    <w:rsid w:val="00CA4810"/>
    <w:rsid w:val="00CC735A"/>
    <w:rsid w:val="00CD7F33"/>
    <w:rsid w:val="00CE26F6"/>
    <w:rsid w:val="00CE51D8"/>
    <w:rsid w:val="00D06465"/>
    <w:rsid w:val="00D1178B"/>
    <w:rsid w:val="00D16A4B"/>
    <w:rsid w:val="00D16C86"/>
    <w:rsid w:val="00D17EF4"/>
    <w:rsid w:val="00D2244D"/>
    <w:rsid w:val="00D27D7C"/>
    <w:rsid w:val="00D34CDE"/>
    <w:rsid w:val="00D352BC"/>
    <w:rsid w:val="00D372A5"/>
    <w:rsid w:val="00D40EE6"/>
    <w:rsid w:val="00D45454"/>
    <w:rsid w:val="00D56643"/>
    <w:rsid w:val="00D63786"/>
    <w:rsid w:val="00D77F99"/>
    <w:rsid w:val="00D83AFE"/>
    <w:rsid w:val="00D87FC7"/>
    <w:rsid w:val="00D95B65"/>
    <w:rsid w:val="00DB7E73"/>
    <w:rsid w:val="00DC4BEC"/>
    <w:rsid w:val="00DC52DF"/>
    <w:rsid w:val="00DC5360"/>
    <w:rsid w:val="00DC747F"/>
    <w:rsid w:val="00DD3299"/>
    <w:rsid w:val="00DF7431"/>
    <w:rsid w:val="00E10A19"/>
    <w:rsid w:val="00E205FF"/>
    <w:rsid w:val="00E23992"/>
    <w:rsid w:val="00E447BC"/>
    <w:rsid w:val="00E5486E"/>
    <w:rsid w:val="00E81C96"/>
    <w:rsid w:val="00E93B81"/>
    <w:rsid w:val="00EA779B"/>
    <w:rsid w:val="00EB555D"/>
    <w:rsid w:val="00ED38B0"/>
    <w:rsid w:val="00ED6FD9"/>
    <w:rsid w:val="00EE03F2"/>
    <w:rsid w:val="00EE4B87"/>
    <w:rsid w:val="00F10286"/>
    <w:rsid w:val="00F320B7"/>
    <w:rsid w:val="00F33645"/>
    <w:rsid w:val="00F336FA"/>
    <w:rsid w:val="00F340E8"/>
    <w:rsid w:val="00F36950"/>
    <w:rsid w:val="00F8098D"/>
    <w:rsid w:val="00F80D16"/>
    <w:rsid w:val="00FA2B72"/>
    <w:rsid w:val="00FB0686"/>
    <w:rsid w:val="00FB3A69"/>
    <w:rsid w:val="00FC32F7"/>
    <w:rsid w:val="00FC521B"/>
    <w:rsid w:val="00FD4CD8"/>
    <w:rsid w:val="00FF01D9"/>
    <w:rsid w:val="00FF615F"/>
    <w:rsid w:val="00FF6A2E"/>
    <w:rsid w:val="00FF7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10286"/>
    <w:rPr>
      <w:sz w:val="20"/>
      <w:szCs w:val="20"/>
    </w:rPr>
  </w:style>
  <w:style w:type="character" w:customStyle="1" w:styleId="FootnoteTextChar">
    <w:name w:val="Footnote Text Char"/>
    <w:basedOn w:val="DefaultParagraphFont"/>
    <w:link w:val="FootnoteText"/>
    <w:uiPriority w:val="99"/>
    <w:semiHidden/>
    <w:rsid w:val="00F10286"/>
    <w:rPr>
      <w:rFonts w:ascii="Calibri" w:eastAsia="Calibri" w:hAnsi="Calibri" w:cs="Times New Roman"/>
      <w:sz w:val="20"/>
      <w:szCs w:val="20"/>
      <w:lang w:val="en-GB"/>
    </w:rPr>
  </w:style>
  <w:style w:type="character" w:styleId="FootnoteReference">
    <w:name w:val="footnote reference"/>
    <w:uiPriority w:val="99"/>
    <w:semiHidden/>
    <w:rsid w:val="00F10286"/>
    <w:rPr>
      <w:rFonts w:cs="Times New Roman"/>
      <w:vertAlign w:val="superscript"/>
    </w:rPr>
  </w:style>
  <w:style w:type="table" w:styleId="TableGrid">
    <w:name w:val="Table Grid"/>
    <w:basedOn w:val="TableNormal"/>
    <w:uiPriority w:val="99"/>
    <w:rsid w:val="00F10286"/>
    <w:rPr>
      <w:rFonts w:ascii="Times New Roman" w:eastAsia="Calibri"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0286"/>
    <w:pPr>
      <w:tabs>
        <w:tab w:val="center" w:pos="4153"/>
        <w:tab w:val="right" w:pos="8306"/>
      </w:tabs>
    </w:pPr>
  </w:style>
  <w:style w:type="character" w:customStyle="1" w:styleId="HeaderChar">
    <w:name w:val="Header Char"/>
    <w:basedOn w:val="DefaultParagraphFont"/>
    <w:link w:val="Header"/>
    <w:uiPriority w:val="99"/>
    <w:rsid w:val="00F10286"/>
    <w:rPr>
      <w:rFonts w:ascii="Calibri" w:eastAsia="Calibri" w:hAnsi="Calibri" w:cs="Times New Roman"/>
      <w:lang w:val="en-GB"/>
    </w:rPr>
  </w:style>
  <w:style w:type="paragraph" w:styleId="BalloonText">
    <w:name w:val="Balloon Text"/>
    <w:basedOn w:val="Normal"/>
    <w:link w:val="BalloonTextChar"/>
    <w:uiPriority w:val="99"/>
    <w:semiHidden/>
    <w:unhideWhenUsed/>
    <w:rsid w:val="00F10286"/>
    <w:rPr>
      <w:rFonts w:ascii="Tahoma" w:hAnsi="Tahoma" w:cs="Tahoma"/>
      <w:sz w:val="16"/>
      <w:szCs w:val="16"/>
    </w:rPr>
  </w:style>
  <w:style w:type="character" w:customStyle="1" w:styleId="BalloonTextChar">
    <w:name w:val="Balloon Text Char"/>
    <w:basedOn w:val="DefaultParagraphFont"/>
    <w:link w:val="BalloonText"/>
    <w:uiPriority w:val="99"/>
    <w:semiHidden/>
    <w:rsid w:val="00F10286"/>
    <w:rPr>
      <w:rFonts w:ascii="Tahoma" w:eastAsia="Calibri" w:hAnsi="Tahoma" w:cs="Tahoma"/>
      <w:sz w:val="16"/>
      <w:szCs w:val="16"/>
      <w:lang w:val="en-GB"/>
    </w:rPr>
  </w:style>
  <w:style w:type="paragraph" w:styleId="EnvelopeReturn">
    <w:name w:val="envelope return"/>
    <w:basedOn w:val="Normal"/>
    <w:semiHidden/>
    <w:unhideWhenUsed/>
    <w:rsid w:val="003B0691"/>
    <w:pPr>
      <w:keepLines/>
      <w:widowControl w:val="0"/>
      <w:spacing w:before="600"/>
    </w:pPr>
    <w:rPr>
      <w:rFonts w:ascii="Times New Roman" w:eastAsia="Times New Roman" w:hAnsi="Times New Roman"/>
      <w:sz w:val="26"/>
      <w:szCs w:val="20"/>
      <w:lang w:val="en-AU"/>
    </w:rPr>
  </w:style>
  <w:style w:type="paragraph" w:styleId="Footer">
    <w:name w:val="footer"/>
    <w:basedOn w:val="Normal"/>
    <w:link w:val="FooterChar"/>
    <w:uiPriority w:val="99"/>
    <w:unhideWhenUsed/>
    <w:rsid w:val="006C5D1B"/>
    <w:pPr>
      <w:tabs>
        <w:tab w:val="center" w:pos="4153"/>
        <w:tab w:val="right" w:pos="8306"/>
      </w:tabs>
    </w:pPr>
  </w:style>
  <w:style w:type="character" w:customStyle="1" w:styleId="FooterChar">
    <w:name w:val="Footer Char"/>
    <w:basedOn w:val="DefaultParagraphFont"/>
    <w:link w:val="Footer"/>
    <w:uiPriority w:val="99"/>
    <w:rsid w:val="006C5D1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10286"/>
    <w:rPr>
      <w:sz w:val="20"/>
      <w:szCs w:val="20"/>
    </w:rPr>
  </w:style>
  <w:style w:type="character" w:customStyle="1" w:styleId="FootnoteTextChar">
    <w:name w:val="Footnote Text Char"/>
    <w:basedOn w:val="DefaultParagraphFont"/>
    <w:link w:val="FootnoteText"/>
    <w:uiPriority w:val="99"/>
    <w:semiHidden/>
    <w:rsid w:val="00F10286"/>
    <w:rPr>
      <w:rFonts w:ascii="Calibri" w:eastAsia="Calibri" w:hAnsi="Calibri" w:cs="Times New Roman"/>
      <w:sz w:val="20"/>
      <w:szCs w:val="20"/>
      <w:lang w:val="en-GB"/>
    </w:rPr>
  </w:style>
  <w:style w:type="character" w:styleId="FootnoteReference">
    <w:name w:val="footnote reference"/>
    <w:uiPriority w:val="99"/>
    <w:semiHidden/>
    <w:rsid w:val="00F10286"/>
    <w:rPr>
      <w:rFonts w:cs="Times New Roman"/>
      <w:vertAlign w:val="superscript"/>
    </w:rPr>
  </w:style>
  <w:style w:type="table" w:styleId="TableGrid">
    <w:name w:val="Table Grid"/>
    <w:basedOn w:val="TableNormal"/>
    <w:uiPriority w:val="99"/>
    <w:rsid w:val="00F10286"/>
    <w:rPr>
      <w:rFonts w:ascii="Times New Roman" w:eastAsia="Calibri"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0286"/>
    <w:pPr>
      <w:tabs>
        <w:tab w:val="center" w:pos="4153"/>
        <w:tab w:val="right" w:pos="8306"/>
      </w:tabs>
    </w:pPr>
  </w:style>
  <w:style w:type="character" w:customStyle="1" w:styleId="HeaderChar">
    <w:name w:val="Header Char"/>
    <w:basedOn w:val="DefaultParagraphFont"/>
    <w:link w:val="Header"/>
    <w:uiPriority w:val="99"/>
    <w:rsid w:val="00F10286"/>
    <w:rPr>
      <w:rFonts w:ascii="Calibri" w:eastAsia="Calibri" w:hAnsi="Calibri" w:cs="Times New Roman"/>
      <w:lang w:val="en-GB"/>
    </w:rPr>
  </w:style>
  <w:style w:type="paragraph" w:styleId="BalloonText">
    <w:name w:val="Balloon Text"/>
    <w:basedOn w:val="Normal"/>
    <w:link w:val="BalloonTextChar"/>
    <w:uiPriority w:val="99"/>
    <w:semiHidden/>
    <w:unhideWhenUsed/>
    <w:rsid w:val="00F10286"/>
    <w:rPr>
      <w:rFonts w:ascii="Tahoma" w:hAnsi="Tahoma" w:cs="Tahoma"/>
      <w:sz w:val="16"/>
      <w:szCs w:val="16"/>
    </w:rPr>
  </w:style>
  <w:style w:type="character" w:customStyle="1" w:styleId="BalloonTextChar">
    <w:name w:val="Balloon Text Char"/>
    <w:basedOn w:val="DefaultParagraphFont"/>
    <w:link w:val="BalloonText"/>
    <w:uiPriority w:val="99"/>
    <w:semiHidden/>
    <w:rsid w:val="00F10286"/>
    <w:rPr>
      <w:rFonts w:ascii="Tahoma" w:eastAsia="Calibri" w:hAnsi="Tahoma" w:cs="Tahoma"/>
      <w:sz w:val="16"/>
      <w:szCs w:val="16"/>
      <w:lang w:val="en-GB"/>
    </w:rPr>
  </w:style>
  <w:style w:type="paragraph" w:styleId="EnvelopeReturn">
    <w:name w:val="envelope return"/>
    <w:basedOn w:val="Normal"/>
    <w:semiHidden/>
    <w:unhideWhenUsed/>
    <w:rsid w:val="003B0691"/>
    <w:pPr>
      <w:keepLines/>
      <w:widowControl w:val="0"/>
      <w:spacing w:before="600"/>
    </w:pPr>
    <w:rPr>
      <w:rFonts w:ascii="Times New Roman" w:eastAsia="Times New Roman" w:hAnsi="Times New Roman"/>
      <w:sz w:val="26"/>
      <w:szCs w:val="20"/>
      <w:lang w:val="en-AU"/>
    </w:rPr>
  </w:style>
  <w:style w:type="paragraph" w:styleId="Footer">
    <w:name w:val="footer"/>
    <w:basedOn w:val="Normal"/>
    <w:link w:val="FooterChar"/>
    <w:uiPriority w:val="99"/>
    <w:unhideWhenUsed/>
    <w:rsid w:val="006C5D1B"/>
    <w:pPr>
      <w:tabs>
        <w:tab w:val="center" w:pos="4153"/>
        <w:tab w:val="right" w:pos="8306"/>
      </w:tabs>
    </w:pPr>
  </w:style>
  <w:style w:type="character" w:customStyle="1" w:styleId="FooterChar">
    <w:name w:val="Footer Char"/>
    <w:basedOn w:val="DefaultParagraphFont"/>
    <w:link w:val="Footer"/>
    <w:uiPriority w:val="99"/>
    <w:rsid w:val="006C5D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storage\redirect$\LindaL\My%20Documents\B_DEP\Celiakija\info_zinojums_2014\Linda_celiakij.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lv-LV"/>
              <a:t>Valsts atbalsta ar celiakiju slimiem bērniem izmaksa 2005.-2013.gadā (izpilde)</a:t>
            </a:r>
          </a:p>
        </c:rich>
      </c:tx>
      <c:layout>
        <c:manualLayout>
          <c:xMode val="edge"/>
          <c:yMode val="edge"/>
          <c:x val="0.12062290851775823"/>
          <c:y val="3.3268101761252444E-2"/>
        </c:manualLayout>
      </c:layout>
      <c:overlay val="0"/>
      <c:spPr>
        <a:noFill/>
        <a:ln w="25400">
          <a:noFill/>
        </a:ln>
      </c:spPr>
    </c:title>
    <c:autoTitleDeleted val="0"/>
    <c:plotArea>
      <c:layout>
        <c:manualLayout>
          <c:layoutTarget val="inner"/>
          <c:xMode val="edge"/>
          <c:yMode val="edge"/>
          <c:x val="9.8573499948860194E-2"/>
          <c:y val="0.23091998581976389"/>
          <c:w val="0.8793793811227264"/>
          <c:h val="0.56947216841992609"/>
        </c:manualLayout>
      </c:layout>
      <c:barChart>
        <c:barDir val="col"/>
        <c:grouping val="clustered"/>
        <c:varyColors val="0"/>
        <c:ser>
          <c:idx val="1"/>
          <c:order val="0"/>
          <c:tx>
            <c:strRef>
              <c:f>Sheet1!$B$4</c:f>
              <c:strCache>
                <c:ptCount val="1"/>
                <c:pt idx="0">
                  <c:v>saņēmēju skaits, vid. mēn.</c:v>
                </c:pt>
              </c:strCache>
            </c:strRef>
          </c:tx>
          <c:spPr>
            <a:solidFill>
              <a:srgbClr val="993366"/>
            </a:solidFill>
            <a:ln w="12700">
              <a:solidFill>
                <a:srgbClr val="000000"/>
              </a:solidFill>
              <a:prstDash val="solid"/>
            </a:ln>
          </c:spPr>
          <c:invertIfNegative val="0"/>
          <c:dLbls>
            <c:dLbl>
              <c:idx val="0"/>
              <c:layout>
                <c:manualLayout>
                  <c:x val="-1.2968466490326841E-3"/>
                  <c:y val="0.12350108633681064"/>
                </c:manualLayout>
              </c:layout>
              <c:dLblPos val="outEnd"/>
              <c:showLegendKey val="0"/>
              <c:showVal val="1"/>
              <c:showCatName val="0"/>
              <c:showSerName val="0"/>
              <c:showPercent val="0"/>
              <c:showBubbleSize val="0"/>
            </c:dLbl>
            <c:dLbl>
              <c:idx val="1"/>
              <c:layout>
                <c:manualLayout>
                  <c:x val="-3.8910983532643531E-3"/>
                  <c:y val="0.21599418453266175"/>
                </c:manualLayout>
              </c:layout>
              <c:dLblPos val="outEnd"/>
              <c:showLegendKey val="0"/>
              <c:showVal val="1"/>
              <c:showCatName val="0"/>
              <c:showSerName val="0"/>
              <c:showPercent val="0"/>
              <c:showBubbleSize val="0"/>
            </c:dLbl>
            <c:dLbl>
              <c:idx val="2"/>
              <c:layout>
                <c:manualLayout>
                  <c:x val="-4.3233895373973193E-4"/>
                  <c:y val="0.24432279869125947"/>
                </c:manualLayout>
              </c:layout>
              <c:dLblPos val="outEnd"/>
              <c:showLegendKey val="0"/>
              <c:showVal val="1"/>
              <c:showCatName val="0"/>
              <c:showSerName val="0"/>
              <c:showPercent val="0"/>
              <c:showBubbleSize val="0"/>
            </c:dLbl>
            <c:dLbl>
              <c:idx val="3"/>
              <c:layout>
                <c:manualLayout>
                  <c:x val="1.2970168612191958E-3"/>
                  <c:y val="0.23763399438083938"/>
                </c:manualLayout>
              </c:layout>
              <c:dLblPos val="outEnd"/>
              <c:showLegendKey val="0"/>
              <c:showVal val="1"/>
              <c:showCatName val="0"/>
              <c:showSerName val="0"/>
              <c:showPercent val="0"/>
              <c:showBubbleSize val="0"/>
            </c:dLbl>
            <c:dLbl>
              <c:idx val="4"/>
              <c:layout>
                <c:manualLayout>
                  <c:x val="1.702121865117055E-7"/>
                  <c:y val="0.22340221170983765"/>
                </c:manualLayout>
              </c:layout>
              <c:dLblPos val="outEnd"/>
              <c:showLegendKey val="0"/>
              <c:showVal val="1"/>
              <c:showCatName val="0"/>
              <c:showSerName val="0"/>
              <c:showPercent val="0"/>
              <c:showBubbleSize val="0"/>
            </c:dLbl>
            <c:dLbl>
              <c:idx val="5"/>
              <c:layout>
                <c:manualLayout>
                  <c:x val="-9.1335859282181168E-4"/>
                  <c:y val="0.23351284856516222"/>
                </c:manualLayout>
              </c:layout>
              <c:dLblPos val="outEnd"/>
              <c:showLegendKey val="0"/>
              <c:showVal val="1"/>
              <c:showCatName val="0"/>
              <c:showSerName val="0"/>
              <c:showPercent val="0"/>
              <c:showBubbleSize val="0"/>
            </c:dLbl>
            <c:dLbl>
              <c:idx val="6"/>
              <c:layout>
                <c:manualLayout>
                  <c:x val="4.3234216005280162E-3"/>
                  <c:y val="0.23306168490041954"/>
                </c:manualLayout>
              </c:layout>
              <c:dLblPos val="outEnd"/>
              <c:showLegendKey val="0"/>
              <c:showVal val="1"/>
              <c:showCatName val="0"/>
              <c:showSerName val="0"/>
              <c:showPercent val="0"/>
              <c:showBubbleSize val="0"/>
            </c:dLbl>
            <c:dLbl>
              <c:idx val="7"/>
              <c:layout>
                <c:manualLayout>
                  <c:x val="1.2970885835146757E-3"/>
                  <c:y val="0.25833582605554278"/>
                </c:manualLayout>
              </c:layout>
              <c:dLblPos val="outEnd"/>
              <c:showLegendKey val="0"/>
              <c:showVal val="1"/>
              <c:showCatName val="0"/>
              <c:showSerName val="0"/>
              <c:showPercent val="0"/>
              <c:showBubbleSize val="0"/>
            </c:dLbl>
            <c:dLbl>
              <c:idx val="8"/>
              <c:layout>
                <c:manualLayout>
                  <c:x val="-4.3222469732941837E-4"/>
                  <c:y val="0.24805387902959261"/>
                </c:manualLayout>
              </c:layout>
              <c:dLblPos val="outEnd"/>
              <c:showLegendKey val="0"/>
              <c:showVal val="1"/>
              <c:showCatName val="0"/>
              <c:showSerName val="0"/>
              <c:showPercent val="0"/>
              <c:showBubbleSize val="0"/>
            </c:dLbl>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numRef>
              <c:f>Sheet1!$C$3:$K$3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Sheet1!$C$4:$K$4</c:f>
              <c:numCache>
                <c:formatCode>General</c:formatCode>
                <c:ptCount val="9"/>
                <c:pt idx="0">
                  <c:v>478</c:v>
                </c:pt>
                <c:pt idx="1">
                  <c:v>933</c:v>
                </c:pt>
                <c:pt idx="2">
                  <c:v>1059</c:v>
                </c:pt>
                <c:pt idx="3">
                  <c:v>1082</c:v>
                </c:pt>
                <c:pt idx="4">
                  <c:v>1082</c:v>
                </c:pt>
                <c:pt idx="5">
                  <c:v>1143</c:v>
                </c:pt>
                <c:pt idx="6">
                  <c:v>1206</c:v>
                </c:pt>
                <c:pt idx="7">
                  <c:v>1372</c:v>
                </c:pt>
                <c:pt idx="8">
                  <c:v>1421</c:v>
                </c:pt>
              </c:numCache>
            </c:numRef>
          </c:val>
        </c:ser>
        <c:dLbls>
          <c:showLegendKey val="0"/>
          <c:showVal val="0"/>
          <c:showCatName val="0"/>
          <c:showSerName val="0"/>
          <c:showPercent val="0"/>
          <c:showBubbleSize val="0"/>
        </c:dLbls>
        <c:gapWidth val="150"/>
        <c:axId val="28521984"/>
        <c:axId val="28523904"/>
      </c:barChart>
      <c:lineChart>
        <c:grouping val="standard"/>
        <c:varyColors val="0"/>
        <c:ser>
          <c:idx val="0"/>
          <c:order val="1"/>
          <c:tx>
            <c:strRef>
              <c:f>Sheet1!$B$5</c:f>
              <c:strCache>
                <c:ptCount val="1"/>
                <c:pt idx="0">
                  <c:v>izdevumi, tūkst. EUR gadā</c:v>
                </c:pt>
              </c:strCache>
            </c:strRef>
          </c:tx>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4.7773454388240377E-2"/>
                  <c:y val="-6.9225079741744605E-2"/>
                </c:manualLayout>
              </c:layout>
              <c:dLblPos val="r"/>
              <c:showLegendKey val="0"/>
              <c:showVal val="1"/>
              <c:showCatName val="0"/>
              <c:showSerName val="0"/>
              <c:showPercent val="0"/>
              <c:showBubbleSize val="0"/>
            </c:dLbl>
            <c:dLbl>
              <c:idx val="1"/>
              <c:layout>
                <c:manualLayout>
                  <c:x val="-4.7773454388240377E-2"/>
                  <c:y val="-6.7023899409833984E-2"/>
                </c:manualLayout>
              </c:layout>
              <c:dLblPos val="r"/>
              <c:showLegendKey val="0"/>
              <c:showVal val="1"/>
              <c:showCatName val="0"/>
              <c:showSerName val="0"/>
              <c:showPercent val="0"/>
              <c:showBubbleSize val="0"/>
            </c:dLbl>
            <c:dLbl>
              <c:idx val="2"/>
              <c:layout>
                <c:manualLayout>
                  <c:x val="-3.4803115563861869E-2"/>
                  <c:y val="-7.7433471500993889E-2"/>
                </c:manualLayout>
              </c:layout>
              <c:dLblPos val="r"/>
              <c:showLegendKey val="0"/>
              <c:showVal val="1"/>
              <c:showCatName val="0"/>
              <c:showSerName val="0"/>
              <c:showPercent val="0"/>
              <c:showBubbleSize val="0"/>
            </c:dLbl>
            <c:dLbl>
              <c:idx val="3"/>
              <c:layout>
                <c:manualLayout>
                  <c:x val="-2.8750370211505664E-2"/>
                  <c:y val="-8.2854882865669194E-2"/>
                </c:manualLayout>
              </c:layout>
              <c:dLblPos val="r"/>
              <c:showLegendKey val="0"/>
              <c:showVal val="1"/>
              <c:showCatName val="0"/>
              <c:showSerName val="0"/>
              <c:showPercent val="0"/>
              <c:showBubbleSize val="0"/>
            </c:dLbl>
            <c:dLbl>
              <c:idx val="4"/>
              <c:layout>
                <c:manualLayout>
                  <c:x val="-5.3826281495195714E-2"/>
                  <c:y val="-7.47345463863021E-2"/>
                </c:manualLayout>
              </c:layout>
              <c:dLblPos val="r"/>
              <c:showLegendKey val="0"/>
              <c:showVal val="1"/>
              <c:showCatName val="0"/>
              <c:showSerName val="0"/>
              <c:showPercent val="0"/>
              <c:showBubbleSize val="0"/>
            </c:dLbl>
            <c:dLbl>
              <c:idx val="5"/>
              <c:layout>
                <c:manualLayout>
                  <c:x val="-5.166453556753229E-2"/>
                  <c:y val="-6.1519257463691003E-2"/>
                </c:manualLayout>
              </c:layout>
              <c:dLblPos val="r"/>
              <c:showLegendKey val="0"/>
              <c:showVal val="1"/>
              <c:showCatName val="0"/>
              <c:showSerName val="0"/>
              <c:showPercent val="0"/>
              <c:showBubbleSize val="0"/>
            </c:dLbl>
            <c:dLbl>
              <c:idx val="6"/>
              <c:layout>
                <c:manualLayout>
                  <c:x val="-4.8205769903699396E-2"/>
                  <c:y val="-6.6994632232131354E-2"/>
                </c:manualLayout>
              </c:layout>
              <c:dLblPos val="r"/>
              <c:showLegendKey val="0"/>
              <c:showVal val="1"/>
              <c:showCatName val="0"/>
              <c:showSerName val="0"/>
              <c:showPercent val="0"/>
              <c:showBubbleSize val="0"/>
            </c:dLbl>
            <c:dLbl>
              <c:idx val="7"/>
              <c:layout>
                <c:manualLayout>
                  <c:x val="-5.1232102920712848E-2"/>
                  <c:y val="-6.0737841222444092E-2"/>
                </c:manualLayout>
              </c:layout>
              <c:dLblPos val="r"/>
              <c:showLegendKey val="0"/>
              <c:showVal val="1"/>
              <c:showCatName val="0"/>
              <c:showSerName val="0"/>
              <c:showPercent val="0"/>
              <c:showBubbleSize val="0"/>
            </c:dLbl>
            <c:dLbl>
              <c:idx val="8"/>
              <c:layout>
                <c:manualLayout>
                  <c:x val="-1.0374142549391679E-2"/>
                  <c:y val="-5.5947956473941227E-2"/>
                </c:manualLayout>
              </c:layout>
              <c:dLblPos val="r"/>
              <c:showLegendKey val="0"/>
              <c:showVal val="1"/>
              <c:showCatName val="0"/>
              <c:showSerName val="0"/>
              <c:showPercent val="0"/>
              <c:showBubbleSize val="0"/>
            </c:dLbl>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numRef>
              <c:f>Sheet1!$C$3:$K$3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Sheet1!$C$5:$K$5</c:f>
              <c:numCache>
                <c:formatCode>#,##0.0</c:formatCode>
                <c:ptCount val="9"/>
                <c:pt idx="0">
                  <c:v>407.51048656524432</c:v>
                </c:pt>
                <c:pt idx="1">
                  <c:v>861.9757428813723</c:v>
                </c:pt>
                <c:pt idx="2">
                  <c:v>914.76428705585056</c:v>
                </c:pt>
                <c:pt idx="3">
                  <c:v>936.96108730172284</c:v>
                </c:pt>
                <c:pt idx="4">
                  <c:v>1387.015441004889</c:v>
                </c:pt>
                <c:pt idx="5">
                  <c:v>1474.6643445398718</c:v>
                </c:pt>
                <c:pt idx="6">
                  <c:v>1572.2733507492844</c:v>
                </c:pt>
                <c:pt idx="7">
                  <c:v>1766.0684913574767</c:v>
                </c:pt>
                <c:pt idx="8">
                  <c:v>1831.0012464357062</c:v>
                </c:pt>
              </c:numCache>
            </c:numRef>
          </c:val>
          <c:smooth val="0"/>
        </c:ser>
        <c:dLbls>
          <c:showLegendKey val="0"/>
          <c:showVal val="0"/>
          <c:showCatName val="0"/>
          <c:showSerName val="0"/>
          <c:showPercent val="0"/>
          <c:showBubbleSize val="0"/>
        </c:dLbls>
        <c:marker val="1"/>
        <c:smooth val="0"/>
        <c:axId val="29317376"/>
        <c:axId val="33218560"/>
      </c:lineChart>
      <c:catAx>
        <c:axId val="28521984"/>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lv-LV"/>
          </a:p>
        </c:txPr>
        <c:crossAx val="28523904"/>
        <c:crosses val="autoZero"/>
        <c:auto val="0"/>
        <c:lblAlgn val="ctr"/>
        <c:lblOffset val="100"/>
        <c:tickLblSkip val="1"/>
        <c:tickMarkSkip val="1"/>
        <c:noMultiLvlLbl val="0"/>
      </c:catAx>
      <c:valAx>
        <c:axId val="28523904"/>
        <c:scaling>
          <c:orientation val="minMax"/>
        </c:scaling>
        <c:delete val="0"/>
        <c:axPos val="l"/>
        <c:numFmt formatCode="General" sourceLinked="1"/>
        <c:majorTickMark val="cross"/>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lv-LV"/>
          </a:p>
        </c:txPr>
        <c:crossAx val="28521984"/>
        <c:crosses val="autoZero"/>
        <c:crossBetween val="between"/>
      </c:valAx>
      <c:catAx>
        <c:axId val="29317376"/>
        <c:scaling>
          <c:orientation val="minMax"/>
        </c:scaling>
        <c:delete val="1"/>
        <c:axPos val="b"/>
        <c:numFmt formatCode="General" sourceLinked="1"/>
        <c:majorTickMark val="out"/>
        <c:minorTickMark val="none"/>
        <c:tickLblPos val="nextTo"/>
        <c:crossAx val="33218560"/>
        <c:crosses val="autoZero"/>
        <c:auto val="0"/>
        <c:lblAlgn val="ctr"/>
        <c:lblOffset val="100"/>
        <c:noMultiLvlLbl val="0"/>
      </c:catAx>
      <c:valAx>
        <c:axId val="33218560"/>
        <c:scaling>
          <c:orientation val="minMax"/>
        </c:scaling>
        <c:delete val="1"/>
        <c:axPos val="l"/>
        <c:numFmt formatCode="#,##0.0" sourceLinked="1"/>
        <c:majorTickMark val="out"/>
        <c:minorTickMark val="none"/>
        <c:tickLblPos val="nextTo"/>
        <c:crossAx val="29317376"/>
        <c:crosses val="autoZero"/>
        <c:crossBetween val="between"/>
      </c:valAx>
      <c:spPr>
        <a:noFill/>
        <a:ln w="25400">
          <a:noFill/>
        </a:ln>
      </c:spPr>
    </c:plotArea>
    <c:legend>
      <c:legendPos val="b"/>
      <c:layout>
        <c:manualLayout>
          <c:xMode val="edge"/>
          <c:yMode val="edge"/>
          <c:x val="0.1971470735418773"/>
          <c:y val="0.91976593679214758"/>
          <c:w val="0.68223240091097559"/>
          <c:h val="6.262230919765166E-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lv-LV"/>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1633-7B7A-459A-8511-FDA239BC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7</Pages>
  <Words>11257</Words>
  <Characters>6417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Informatīvais ziņojums „Par valsts atbalsta ar celiakiju slimiem bērniem saņēmēju loka pārskatīšanu”</vt:lpstr>
    </vt:vector>
  </TitlesOfParts>
  <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atbalsta ar celiakiju slimiem bērniem saņēmēju loka pārskatīšanu”</dc:title>
  <dc:creator>Linda Liepa</dc:creator>
  <dc:description>Linda.Liepa@lm.gov.lv; 67021632</dc:description>
  <cp:lastModifiedBy>Linda Liepa</cp:lastModifiedBy>
  <cp:revision>323</cp:revision>
  <cp:lastPrinted>2014-05-06T11:20:00Z</cp:lastPrinted>
  <dcterms:created xsi:type="dcterms:W3CDTF">2014-03-14T07:19:00Z</dcterms:created>
  <dcterms:modified xsi:type="dcterms:W3CDTF">2014-05-06T11:48:00Z</dcterms:modified>
</cp:coreProperties>
</file>