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9C" w:rsidRPr="00031DE8" w:rsidRDefault="008C689C" w:rsidP="008C689C">
      <w:pPr>
        <w:ind w:firstLine="5040"/>
        <w:jc w:val="right"/>
        <w:rPr>
          <w:szCs w:val="28"/>
        </w:rPr>
      </w:pPr>
      <w:r w:rsidRPr="00031DE8">
        <w:rPr>
          <w:szCs w:val="28"/>
        </w:rPr>
        <w:t>PROJEKTS</w:t>
      </w:r>
    </w:p>
    <w:p w:rsidR="008C689C" w:rsidRPr="00031DE8" w:rsidRDefault="008C689C" w:rsidP="008C689C">
      <w:pPr>
        <w:ind w:firstLine="5040"/>
        <w:jc w:val="right"/>
        <w:rPr>
          <w:b/>
          <w:i/>
          <w:szCs w:val="28"/>
        </w:rPr>
      </w:pPr>
    </w:p>
    <w:p w:rsidR="008C689C" w:rsidRPr="00031DE8" w:rsidRDefault="008C689C" w:rsidP="008C689C">
      <w:pPr>
        <w:ind w:firstLine="5040"/>
        <w:jc w:val="right"/>
        <w:rPr>
          <w:b/>
          <w:szCs w:val="28"/>
        </w:rPr>
      </w:pPr>
      <w:r w:rsidRPr="00031DE8">
        <w:rPr>
          <w:b/>
          <w:i/>
          <w:szCs w:val="28"/>
        </w:rPr>
        <w:t xml:space="preserve">                                                                                          </w:t>
      </w:r>
      <w:r w:rsidRPr="00031DE8">
        <w:rPr>
          <w:b/>
          <w:szCs w:val="28"/>
        </w:rPr>
        <w:t>Latvijas Republikas</w:t>
      </w:r>
    </w:p>
    <w:p w:rsidR="008C689C" w:rsidRPr="00031DE8" w:rsidRDefault="008C689C" w:rsidP="008C689C">
      <w:pPr>
        <w:ind w:firstLine="5040"/>
        <w:jc w:val="right"/>
        <w:rPr>
          <w:szCs w:val="28"/>
        </w:rPr>
      </w:pPr>
      <w:r w:rsidRPr="00031DE8">
        <w:rPr>
          <w:b/>
          <w:szCs w:val="28"/>
        </w:rPr>
        <w:t>Tiesībsargam</w:t>
      </w:r>
    </w:p>
    <w:p w:rsidR="008C689C" w:rsidRPr="00031DE8" w:rsidRDefault="008C689C" w:rsidP="008C689C">
      <w:pPr>
        <w:ind w:firstLine="5040"/>
        <w:jc w:val="right"/>
        <w:rPr>
          <w:szCs w:val="28"/>
        </w:rPr>
      </w:pPr>
    </w:p>
    <w:p w:rsidR="008C689C" w:rsidRPr="00031DE8" w:rsidRDefault="008C689C" w:rsidP="008C689C">
      <w:pPr>
        <w:jc w:val="right"/>
        <w:rPr>
          <w:szCs w:val="28"/>
        </w:rPr>
      </w:pPr>
    </w:p>
    <w:p w:rsidR="008C689C" w:rsidRPr="00031DE8" w:rsidRDefault="008C689C" w:rsidP="008C689C">
      <w:pPr>
        <w:jc w:val="both"/>
        <w:rPr>
          <w:i/>
          <w:szCs w:val="28"/>
        </w:rPr>
      </w:pPr>
      <w:r w:rsidRPr="00031DE8">
        <w:rPr>
          <w:i/>
          <w:szCs w:val="28"/>
        </w:rPr>
        <w:t>Par apdrošināšanas iemaksu algas indeksu</w:t>
      </w:r>
    </w:p>
    <w:p w:rsidR="008C689C" w:rsidRPr="00031DE8" w:rsidRDefault="008C689C" w:rsidP="008C689C">
      <w:pPr>
        <w:jc w:val="both"/>
        <w:rPr>
          <w:i/>
          <w:szCs w:val="28"/>
        </w:rPr>
      </w:pPr>
    </w:p>
    <w:p w:rsidR="008C689C" w:rsidRPr="00031DE8" w:rsidRDefault="008C689C" w:rsidP="008C689C">
      <w:pPr>
        <w:rPr>
          <w:szCs w:val="28"/>
        </w:rPr>
      </w:pPr>
      <w:r w:rsidRPr="00031DE8">
        <w:rPr>
          <w:szCs w:val="28"/>
        </w:rPr>
        <w:tab/>
        <w:t>God. Jansona kungs!</w:t>
      </w:r>
    </w:p>
    <w:p w:rsidR="008C689C" w:rsidRPr="00031DE8" w:rsidRDefault="008C689C" w:rsidP="008C689C">
      <w:pPr>
        <w:jc w:val="both"/>
        <w:rPr>
          <w:i/>
          <w:szCs w:val="28"/>
        </w:rPr>
      </w:pPr>
    </w:p>
    <w:p w:rsidR="006835B7" w:rsidRPr="00031DE8" w:rsidRDefault="008C689C" w:rsidP="006835B7">
      <w:pPr>
        <w:autoSpaceDE w:val="0"/>
        <w:autoSpaceDN w:val="0"/>
        <w:adjustRightInd w:val="0"/>
        <w:spacing w:line="240" w:lineRule="atLeast"/>
        <w:jc w:val="both"/>
        <w:rPr>
          <w:szCs w:val="28"/>
        </w:rPr>
      </w:pPr>
      <w:r w:rsidRPr="00031DE8">
        <w:rPr>
          <w:szCs w:val="28"/>
        </w:rPr>
        <w:tab/>
      </w:r>
      <w:r w:rsidR="006835B7" w:rsidRPr="00031DE8">
        <w:rPr>
          <w:szCs w:val="28"/>
        </w:rPr>
        <w:tab/>
        <w:t>Ministru kabineta 2014.gada 13.maija sēdē izskatīja Jūsu 2014.gada 2.aprīļa atzinumu Nr.6–6/35 pārbaudes lietā Nr.2011-276-17AA saistībā ar apdrošināšanas iemaksu algas indeksu (turpmāk – pensijas kapitāla indeksi) piemērošanu vecuma pensijas aprēķināšanā (turpmāk – atzinums), un sniedz šādu atbildi.</w:t>
      </w:r>
    </w:p>
    <w:p w:rsidR="006835B7" w:rsidRPr="00031DE8" w:rsidRDefault="006835B7" w:rsidP="006835B7">
      <w:pPr>
        <w:pStyle w:val="BodyText"/>
        <w:spacing w:after="0"/>
        <w:ind w:firstLine="720"/>
        <w:jc w:val="both"/>
        <w:rPr>
          <w:sz w:val="28"/>
          <w:szCs w:val="28"/>
          <w:lang w:val="lv-LV" w:eastAsia="lv-LV"/>
        </w:rPr>
      </w:pPr>
      <w:r w:rsidRPr="00031DE8">
        <w:rPr>
          <w:sz w:val="28"/>
          <w:szCs w:val="28"/>
          <w:lang w:val="lv-LV" w:eastAsia="lv-LV"/>
        </w:rPr>
        <w:t>Tiesībsargs atzinumā norāda uz tiesiskā regulējuma par vecuma pensijas apmēra noteikšanu, konkrēti, pensijas kapitāla indeksa piemērošanu, sekām attiecībā uz Latvijas Republikas Satversmes 109.pantā paredzētajām tiesībām uz sociālo nodrošinājumu, 105.pantā paredzētajām tiesībām uz īpašumu, 91.pantā nostiprināto tiesiskās vienlīdzības principu un tiesiskās paļāvības principu. Tiesībsargs atzinumā pauž nostāju, ka tiesiskais regulējuma par pensijas kapitāla indeksa piemērošanu pensijām neatbilst minētajām tiesībām un principiem. Tiesībsargs atzinumā sniedz rekomendācijas veikt konkrētus grozījumus likumā „Par valsts pensijām”</w:t>
      </w:r>
      <w:r w:rsidRPr="00031DE8">
        <w:rPr>
          <w:sz w:val="28"/>
          <w:szCs w:val="28"/>
          <w:lang w:val="lv-LV"/>
        </w:rPr>
        <w:t xml:space="preserve"> (turpmāk – likums)</w:t>
      </w:r>
      <w:r w:rsidRPr="00031DE8">
        <w:rPr>
          <w:sz w:val="28"/>
          <w:szCs w:val="28"/>
          <w:lang w:val="lv-LV" w:eastAsia="lv-LV"/>
        </w:rPr>
        <w:t xml:space="preserve"> un izstrādāt kompensējošu mehānismu aizskarto radīto negatīvo seku novēršanai.</w:t>
      </w:r>
    </w:p>
    <w:p w:rsidR="006835B7" w:rsidRPr="00031DE8" w:rsidRDefault="006835B7" w:rsidP="006835B7">
      <w:pPr>
        <w:pStyle w:val="BodyText"/>
        <w:spacing w:after="0"/>
        <w:jc w:val="both"/>
        <w:rPr>
          <w:sz w:val="28"/>
          <w:szCs w:val="28"/>
          <w:lang w:val="lv-LV" w:eastAsia="lv-LV"/>
        </w:rPr>
      </w:pPr>
      <w:r w:rsidRPr="00031DE8">
        <w:rPr>
          <w:sz w:val="28"/>
          <w:szCs w:val="28"/>
          <w:lang w:val="lv-LV" w:eastAsia="lv-LV"/>
        </w:rPr>
        <w:tab/>
        <w:t>Tiesībsarga atzinumā minētie fakti norāda, ka 2009., 2010. un 2011.gada pensijas kapitāla indeksi, kas bija mazāki par skaitli „1”, radīja negatīvas sekas uz vecuma pensijas apmēru. Attiecīgā indeksa piemērošanas rezultātā vecuma pensijas apmērs būtiski samazinājās salīdzinājumā ar vecuma pensijām, kuru piešķiršanā netika piemēroti šie pensijas kapitāla indeksi.</w:t>
      </w:r>
    </w:p>
    <w:p w:rsidR="006835B7" w:rsidRPr="00031DE8" w:rsidRDefault="006835B7" w:rsidP="006835B7">
      <w:pPr>
        <w:pStyle w:val="BodyText"/>
        <w:spacing w:after="0"/>
        <w:jc w:val="both"/>
        <w:rPr>
          <w:i/>
          <w:sz w:val="28"/>
          <w:szCs w:val="28"/>
          <w:lang w:val="lv-LV"/>
        </w:rPr>
      </w:pPr>
      <w:r w:rsidRPr="00031DE8">
        <w:rPr>
          <w:sz w:val="28"/>
          <w:szCs w:val="28"/>
          <w:lang w:val="lv-LV" w:eastAsia="lv-LV"/>
        </w:rPr>
        <w:tab/>
      </w:r>
      <w:r w:rsidRPr="00031DE8">
        <w:rPr>
          <w:sz w:val="28"/>
          <w:szCs w:val="28"/>
          <w:lang w:val="lv-LV"/>
        </w:rPr>
        <w:t xml:space="preserve">Ar 1996.gada 1.janvāri, stājoties spēkā likumam, mūsu valstī tika ieviesta jauna, uz sociālās apdrošināšanas iemaksām balstīta valsts pensiju apdrošināšanas sistēma. Vienlaikus tika ieviesta arī apdrošināšanas iemaksu personificētā uzskaite, tādejādi stimulējot personas tiešu ieinteresētību savu vecumdienu nodrošināšanā. Pensiju piešķir un aprēķina katram individuāli, par pamatu ņemot </w:t>
      </w:r>
      <w:r w:rsidRPr="00031DE8">
        <w:rPr>
          <w:i/>
          <w:sz w:val="28"/>
          <w:szCs w:val="28"/>
          <w:lang w:val="lv-LV"/>
        </w:rPr>
        <w:t>pensijas sākuma kapitālu</w:t>
      </w:r>
      <w:r w:rsidRPr="00031DE8">
        <w:rPr>
          <w:sz w:val="28"/>
          <w:szCs w:val="28"/>
          <w:lang w:val="lv-LV"/>
        </w:rPr>
        <w:t xml:space="preserve"> (aprēķināts, ņemot vērā personas apdrošināšanas stāžu līdz 1996.gadam), </w:t>
      </w:r>
      <w:r w:rsidRPr="00031DE8">
        <w:rPr>
          <w:i/>
          <w:sz w:val="28"/>
          <w:szCs w:val="28"/>
          <w:lang w:val="lv-LV"/>
        </w:rPr>
        <w:t>pensijas kapitālu</w:t>
      </w:r>
      <w:r w:rsidRPr="00031DE8">
        <w:rPr>
          <w:sz w:val="28"/>
          <w:szCs w:val="28"/>
          <w:lang w:val="lv-LV"/>
        </w:rPr>
        <w:t xml:space="preserve"> (no 1996.gada 1.janvāra personificētajā kontā reģistrētās sociālās apdrošināšanas iemaksas), kā arī </w:t>
      </w:r>
      <w:r w:rsidRPr="00031DE8">
        <w:rPr>
          <w:i/>
          <w:sz w:val="28"/>
          <w:szCs w:val="28"/>
          <w:lang w:val="lv-LV"/>
        </w:rPr>
        <w:t xml:space="preserve">pensionēšanās vecumu </w:t>
      </w:r>
      <w:r w:rsidRPr="00031DE8">
        <w:rPr>
          <w:sz w:val="28"/>
          <w:szCs w:val="28"/>
          <w:lang w:val="lv-LV"/>
        </w:rPr>
        <w:t xml:space="preserve">(likuma pārejas noteikumu 13.punkts). </w:t>
      </w:r>
    </w:p>
    <w:p w:rsidR="006835B7" w:rsidRPr="00031DE8" w:rsidRDefault="006835B7" w:rsidP="006835B7">
      <w:pPr>
        <w:ind w:firstLine="720"/>
        <w:jc w:val="both"/>
        <w:rPr>
          <w:bCs/>
          <w:szCs w:val="28"/>
        </w:rPr>
      </w:pPr>
      <w:r w:rsidRPr="00031DE8">
        <w:rPr>
          <w:szCs w:val="28"/>
        </w:rPr>
        <w:t xml:space="preserve">Pensijas kapitāla aktualizēšanas un pensijas kapitāla indeksu aprēķināšanas kārtību nosaka Ministru kabinets, </w:t>
      </w:r>
      <w:proofErr w:type="gramStart"/>
      <w:r w:rsidRPr="00031DE8">
        <w:rPr>
          <w:szCs w:val="28"/>
        </w:rPr>
        <w:t>t.i.</w:t>
      </w:r>
      <w:proofErr w:type="gramEnd"/>
      <w:r w:rsidRPr="00031DE8">
        <w:rPr>
          <w:szCs w:val="28"/>
        </w:rPr>
        <w:t xml:space="preserve"> saskaņā ar Ministru kabineta 2007.gada 23.marta noteikumiem Nr.205 „</w:t>
      </w:r>
      <w:r w:rsidRPr="00031DE8">
        <w:rPr>
          <w:bCs/>
          <w:szCs w:val="28"/>
        </w:rPr>
        <w:t xml:space="preserve">Apdrošināšanas iemaksu algas indeksa aprēķināšanas un vecuma pensijas kapitāla aktualizācijas kārtība”. </w:t>
      </w:r>
      <w:r w:rsidRPr="00031DE8">
        <w:rPr>
          <w:bCs/>
          <w:szCs w:val="28"/>
        </w:rPr>
        <w:lastRenderedPageBreak/>
        <w:t>Vecuma pensijas kapitāla aktualizācijas mērķis ir ilgtermiņā pasargāt to no inflācijas ietekmes, kā arī nodrošināt tā reālu pieaugumu, vienlaikus sekmējot pensiju sistēmas ilgtspēju.</w:t>
      </w:r>
    </w:p>
    <w:p w:rsidR="006835B7" w:rsidRPr="00031DE8" w:rsidRDefault="006835B7" w:rsidP="006835B7">
      <w:pPr>
        <w:ind w:firstLine="720"/>
        <w:jc w:val="both"/>
        <w:rPr>
          <w:szCs w:val="28"/>
        </w:rPr>
      </w:pPr>
      <w:r w:rsidRPr="00031DE8">
        <w:rPr>
          <w:szCs w:val="28"/>
        </w:rPr>
        <w:t xml:space="preserve">Jau veidojot jauno pensiju sistēmu un ņemot vērā valsts pensiju sistēmas ilgtspēju, tika nolemts pensijas kapitāla aktualizācijai piemērot faktiskās apdrošināšanas iemaksu algu summas izmaiņas valstī, </w:t>
      </w:r>
      <w:proofErr w:type="gramStart"/>
      <w:r w:rsidRPr="00031DE8">
        <w:rPr>
          <w:szCs w:val="28"/>
        </w:rPr>
        <w:t>t.i.</w:t>
      </w:r>
      <w:proofErr w:type="gramEnd"/>
      <w:r w:rsidRPr="00031DE8">
        <w:rPr>
          <w:szCs w:val="28"/>
        </w:rPr>
        <w:t xml:space="preserve"> ieņēmumu, no kuriem veiktas sociālās apdrošināšanas iemaksas, izmaiņas. Šāds pensijas kapitāla indekss, atspoguļojot gan valsts demogrāfiskās, gan ekonomiskās attīstības tendences (sociālo iemaksu veicēju skaita un algu izmaiņu tendences), darbojas kā sistēmas finanšu attīstības </w:t>
      </w:r>
      <w:r w:rsidRPr="00031DE8">
        <w:rPr>
          <w:b/>
          <w:szCs w:val="28"/>
        </w:rPr>
        <w:t>automātisks stabilizators</w:t>
      </w:r>
      <w:r w:rsidRPr="00031DE8">
        <w:rPr>
          <w:szCs w:val="28"/>
        </w:rPr>
        <w:t xml:space="preserve">. Palielinoties ieņēmumiem, no kuriem veiktas sociālās apdrošināšanas iemaksas, attiecīgi lielāks ir ikgadējais piemērojamais pensijas kapitāla indekss un līdz ar to arī valsts uzkrātās saistības pret nākotnes pensionāriem, savukārt šiem ieņēmumiem samazinoties – ikgadējais indekss ir mazāks par nulli, kas attiecīgi samazina šobrīd valsts uzkrātās saistības pret nākotnes pensionāriem. </w:t>
      </w:r>
    </w:p>
    <w:p w:rsidR="006835B7" w:rsidRPr="00031DE8" w:rsidRDefault="006835B7" w:rsidP="006835B7">
      <w:pPr>
        <w:autoSpaceDE w:val="0"/>
        <w:autoSpaceDN w:val="0"/>
        <w:adjustRightInd w:val="0"/>
        <w:ind w:firstLine="720"/>
        <w:jc w:val="both"/>
        <w:rPr>
          <w:szCs w:val="28"/>
        </w:rPr>
      </w:pPr>
      <w:r w:rsidRPr="00031DE8">
        <w:rPr>
          <w:szCs w:val="28"/>
        </w:rPr>
        <w:t xml:space="preserve">Valsts ekonomiskās izaugsmes gados, pieaugot sociālās apdrošināšanas iemaksu veicēju skaitam un darba algai, atbilstoši augsti bija arī attiecīgajos gados aprēķinātie, pensijas kapitālam piemērojamie ikgadējie apdrošināšanas iemaksu algu indeksi. Savukārt valsts ekonomiskās un finanšu krīzes izraisītais sociālās apdrošināšanas iemaksu veicēju skaita un algu samazinājums šos indeksus dažus gadus ir ietekmējis negatīvi. </w:t>
      </w:r>
    </w:p>
    <w:p w:rsidR="006835B7" w:rsidRPr="00031DE8" w:rsidRDefault="006835B7" w:rsidP="006835B7">
      <w:pPr>
        <w:autoSpaceDE w:val="0"/>
        <w:autoSpaceDN w:val="0"/>
        <w:adjustRightInd w:val="0"/>
        <w:ind w:firstLine="720"/>
        <w:jc w:val="both"/>
        <w:rPr>
          <w:szCs w:val="28"/>
        </w:rPr>
      </w:pPr>
      <w:r w:rsidRPr="00031DE8">
        <w:rPr>
          <w:szCs w:val="28"/>
        </w:rPr>
        <w:t>Krīzes perioda negatīvie indeksi lielākā vai mazākā mērā ietekmējuši visu shēmas dalībnieku nākotnes pensiju apmērus, bet jāpiekrīt, ka jūtamāka šī ietekme ir personām, kurām tiesības uz vecuma pensiju bija, sākot ar 2011., 2012., kā arī turpmākajos gados, taču jāņem vērā, ka minētajā periodā piešķirtajām vecuma pensijām tika piemēroti arī pirms krīzes salīdzinoši augstie algas indeksi. Šādi apdrošināšanas iemaksu algas indeksa piemērošanas nosacījumi pensijas kapitāla aktualizācijai nav mainījušies no likuma spēkā stāšanās dienas. Ja pensijas kapitāla aktualizācija (piemērojot iemaksu algu indeksus) netiktu veikta, piešķirtās vecuma pensijas apmērs personām būtu ievērojami mazāks. Jāatzīmē, ka pēdējos divus gadus kapitāla indekss ir noteikts pozitīvs, kas attiecīgi palielina cilvēka pensijas kapitālu.</w:t>
      </w:r>
    </w:p>
    <w:p w:rsidR="006835B7" w:rsidRPr="00031DE8" w:rsidRDefault="006835B7" w:rsidP="006835B7">
      <w:pPr>
        <w:pStyle w:val="BodyText"/>
        <w:spacing w:after="0"/>
        <w:ind w:firstLine="720"/>
        <w:jc w:val="both"/>
        <w:rPr>
          <w:sz w:val="28"/>
          <w:szCs w:val="28"/>
          <w:lang w:val="lv-LV"/>
        </w:rPr>
      </w:pPr>
      <w:r w:rsidRPr="00031DE8">
        <w:rPr>
          <w:sz w:val="28"/>
          <w:szCs w:val="28"/>
          <w:lang w:val="lv-LV" w:eastAsia="lv-LV"/>
        </w:rPr>
        <w:t>Šajā sakarā v</w:t>
      </w:r>
      <w:r w:rsidRPr="00031DE8">
        <w:rPr>
          <w:sz w:val="28"/>
          <w:szCs w:val="28"/>
          <w:lang w:val="lv-LV"/>
        </w:rPr>
        <w:t>ēršam uzmanību, ka likums jau šobrīd nosaka virkni atvieglojumu gan pensijas pieprasīšanā, gan vecuma pensijas aprēķināšanā. Jāatzīmē, ka pēc VSAA datiem par 2014.gada martu 67 tūkst. personu, jeb 14,2% no visiem uzskaitē esošiem vecuma pensijas saņēmējiem</w:t>
      </w:r>
      <w:r w:rsidRPr="00031DE8" w:rsidDel="00CD1D17">
        <w:rPr>
          <w:sz w:val="28"/>
          <w:szCs w:val="28"/>
          <w:lang w:val="lv-LV"/>
        </w:rPr>
        <w:t xml:space="preserve"> </w:t>
      </w:r>
      <w:r w:rsidRPr="00031DE8">
        <w:rPr>
          <w:sz w:val="28"/>
          <w:szCs w:val="28"/>
          <w:lang w:val="lv-LV"/>
        </w:rPr>
        <w:t>vecuma pensiju jebkad pieprasījuši no ātrākā vecuma. Visvairāk šo iespēju izmantojušas personas, kas strādājušas kaitīgos un smagos darba apstākļos, daudzbērnu vai bērna invalīda vecāki, invalīdi uz mūžu u.c. (skat. pielikuma 1.tab.). Tāpat likums paredz vairākus atvieglojumus gan nosakot vecuma pensijas sākuma kapitālu, gan ieskaitot apdrošināšanas stāžā tam pielīdzinātos periodus, gan nosakot vecuma pensiju invaliditātes pensijas vietā u.c. (skat. pielikuma 2.tab.).</w:t>
      </w:r>
    </w:p>
    <w:p w:rsidR="006835B7" w:rsidRPr="00031DE8" w:rsidRDefault="006835B7" w:rsidP="006835B7">
      <w:pPr>
        <w:ind w:firstLine="720"/>
        <w:jc w:val="both"/>
        <w:rPr>
          <w:szCs w:val="28"/>
        </w:rPr>
      </w:pPr>
      <w:r w:rsidRPr="00031DE8">
        <w:rPr>
          <w:szCs w:val="28"/>
        </w:rPr>
        <w:t xml:space="preserve">Jāņem vērā arī fakts, ka 2013.gadā apmēram 34% no darba ņēmējiem alga nepārsniedza minimālo darba algu un līdz ar to viņu veiktās sociālās </w:t>
      </w:r>
      <w:r w:rsidRPr="00031DE8">
        <w:rPr>
          <w:szCs w:val="28"/>
        </w:rPr>
        <w:lastRenderedPageBreak/>
        <w:t>apdrošināšanas iemaksas bija nelielas. Šādas tendences attīstība neveicina pietiekamu pensijas kapitālu, lai nodrošinātu vecuma pensiju vismaz minimālā apmērā, kā to nosaka likuma 12.panta otrā daļa. Pārejas periodā finansiāli papildus tiek atbalstītas tās personas, kuru apdrošināšanas stāžs nav mazāks par 30 gadiem, bet kuru ienākumi ir bijuši zemāki nekā vidēji valstī, t.i., pensijas sākuma kapitāla aprēķināšanai nozīmīgajos gados (</w:t>
      </w:r>
      <w:r w:rsidRPr="00031DE8">
        <w:rPr>
          <w:i/>
          <w:iCs/>
          <w:szCs w:val="28"/>
        </w:rPr>
        <w:t>1996.-1999</w:t>
      </w:r>
      <w:r w:rsidRPr="00031DE8">
        <w:rPr>
          <w:szCs w:val="28"/>
        </w:rPr>
        <w:t>.) tiek izmantota, nevis individuālā apdrošināšanas iemaksu alga, bet gan vidējā alga valstī.  2014.gadā vidējā aktualizētā apdrošināšanas iemaksu alga valstī laikā no 1996. -1999.gadam ir 691,90 EUR, kas ir pieaugusi vairāk kā četras reizes (ikgadējo pensijas kapitāla indeksu piemērošanas rezultāts). Uz 2014.gada 1.februārī to uzskaitē esošo vecuma pensiju saņēmēju skaits, kuru pensiju aprēķinā piemēroti negatīvie pensijas kapitāla indeksi bija 80,6 tūkst., no kurām vairāk kā pusei jeb 41,5 tūkst., aprēķinot vecuma pensijas apmēru, ir piemērots atvieglojums pensijas sākuma kapitāla aprēķināšanā. Jāatzīmē, ja šāda atvieglojuma nebūtu, tad pensijas apmērs būtu stipri zemāks nekā piešķirtais (skat. pielikuma 3.tab.).</w:t>
      </w:r>
    </w:p>
    <w:p w:rsidR="006835B7" w:rsidRPr="003931EF" w:rsidRDefault="006835B7" w:rsidP="006835B7">
      <w:pPr>
        <w:ind w:firstLine="720"/>
        <w:jc w:val="both"/>
        <w:rPr>
          <w:szCs w:val="28"/>
        </w:rPr>
      </w:pPr>
      <w:r w:rsidRPr="00031DE8">
        <w:rPr>
          <w:noProof/>
          <w:szCs w:val="28"/>
        </w:rPr>
        <w:t xml:space="preserve">Jebkurām papildus garantijām, kas </w:t>
      </w:r>
      <w:r w:rsidRPr="003931EF">
        <w:rPr>
          <w:noProof/>
          <w:szCs w:val="28"/>
        </w:rPr>
        <w:t>tiek piemērotas pensiju aprēķinā, lai palielinātu piešķirtās pensijas apmēru, nav reālu sociālās apdrošināšanas iemaksu seguma, un līdz ar to tas ir papildus finanšu slogs visiem pensiju sistēmas dalībniekiem.</w:t>
      </w:r>
    </w:p>
    <w:p w:rsidR="00D85F46" w:rsidRPr="003931EF" w:rsidRDefault="00D85F46" w:rsidP="00D85F46">
      <w:pPr>
        <w:ind w:firstLine="720"/>
        <w:jc w:val="both"/>
      </w:pPr>
      <w:r w:rsidRPr="003931EF">
        <w:rPr>
          <w:rFonts w:eastAsiaTheme="minorHAnsi"/>
          <w:szCs w:val="28"/>
        </w:rPr>
        <w:t>Saskaņā ar</w:t>
      </w:r>
      <w:r w:rsidRPr="003931EF">
        <w:t xml:space="preserve"> Fiskālās disciplīnas likumu (turpmāk – FDL) noteikts, ka Vidēja termiņa budžeta ietvara likumos turpmākajiem trim gadiem tiek noteikti koriģētie maksimāli pieļaujamie valsts budžeta izdevumi, kurus var pārsniegt tikai FDL 5.panta pirmajā daļā minētajos gadījumos. Likuma „Par vidēja termiņa budžeta ietvaru 2014., 2015. un 2016.gadam” 10.pantā koriģētie maksimāli pieļaujamie valsts budžeta izdevumi ir noteikti 2014., 2015. un 2016.gadam. Likumā „Par valsts budžetu 2014.gadam” ir paredzēti izdevumi apjomā, kas sasniedz koriģētos maksimāli pieļaujamos valsts budžeta izdevumus 2014.gadam. Analoga situācija ir 2015.gadā, kur likuma „Par vidēja termiņa budžeta ietvaru 2014., 2015. un 2016.gadam” 1.pielikumā jau ir paredzēti izdevumi apjomā, kas sasniedz koriģētos maksimāli pieļaujamos valsts budžeta izdevumus 2015.gadam. Līdz ar to jebkāds izdevumu palielinājums bez kompensējošiem pasākumiem nozīmētu, ka koriģētie maksimāli pieļaujamie valsts budžeta izdevumi tiktu pārsniegti.</w:t>
      </w:r>
    </w:p>
    <w:p w:rsidR="00D85F46" w:rsidRPr="003931EF" w:rsidRDefault="00D85F46" w:rsidP="00D85F46">
      <w:pPr>
        <w:ind w:firstLine="720"/>
        <w:jc w:val="both"/>
        <w:rPr>
          <w:szCs w:val="28"/>
        </w:rPr>
      </w:pPr>
      <w:r w:rsidRPr="003931EF">
        <w:rPr>
          <w:szCs w:val="28"/>
        </w:rPr>
        <w:t>Pastāv vairākas rīcības iespējas, lai nodrošinātu, ka netiek pārkāpti FDL nosacījumi un likuma „Par vidēja termiņa budžeta ietvaru 2014., 2015. un 2016.gadam” 10.pantā noteiktie koriģētie maksimāli pieļaujamie valsts budžeta izdevumi:</w:t>
      </w:r>
    </w:p>
    <w:p w:rsidR="00D85F46" w:rsidRPr="003931EF" w:rsidRDefault="00D85F46" w:rsidP="00D85F46">
      <w:pPr>
        <w:pStyle w:val="ListParagraph"/>
        <w:numPr>
          <w:ilvl w:val="0"/>
          <w:numId w:val="2"/>
        </w:numPr>
        <w:rPr>
          <w:sz w:val="28"/>
          <w:szCs w:val="28"/>
        </w:rPr>
      </w:pPr>
      <w:r w:rsidRPr="003931EF">
        <w:rPr>
          <w:sz w:val="28"/>
          <w:szCs w:val="28"/>
        </w:rPr>
        <w:t>vienlaikus ir jāsagatavo likumprojekts vai likumprojekti, kas paredz valsts budžeta izdevumu pieauguma kompensēšanu;</w:t>
      </w:r>
    </w:p>
    <w:p w:rsidR="00D85F46" w:rsidRPr="003931EF" w:rsidRDefault="00D85F46" w:rsidP="00D85F46">
      <w:pPr>
        <w:pStyle w:val="ListParagraph"/>
        <w:numPr>
          <w:ilvl w:val="0"/>
          <w:numId w:val="2"/>
        </w:numPr>
        <w:rPr>
          <w:sz w:val="28"/>
          <w:szCs w:val="28"/>
        </w:rPr>
      </w:pPr>
      <w:r w:rsidRPr="003931EF">
        <w:rPr>
          <w:sz w:val="28"/>
          <w:szCs w:val="28"/>
        </w:rPr>
        <w:t>jāatliek šī jautājuma izskatīšana līdz laikam, kad tiek izstrādāts 2015.gada valsts budžeta likumprojekts un likumprojekts „Par vidēja termiņa budžeta ietvaru 2015., 2016. un 2017.gadam”, izvērtējot to kontekstā ar pieejamajiem finanšu resursiem;</w:t>
      </w:r>
    </w:p>
    <w:p w:rsidR="00D85F46" w:rsidRPr="003931EF" w:rsidRDefault="00D85F46" w:rsidP="00D85F46">
      <w:pPr>
        <w:pStyle w:val="ListParagraph"/>
        <w:numPr>
          <w:ilvl w:val="0"/>
          <w:numId w:val="2"/>
        </w:numPr>
        <w:rPr>
          <w:sz w:val="28"/>
          <w:szCs w:val="28"/>
        </w:rPr>
      </w:pPr>
      <w:r w:rsidRPr="003931EF">
        <w:rPr>
          <w:sz w:val="28"/>
          <w:szCs w:val="28"/>
        </w:rPr>
        <w:lastRenderedPageBreak/>
        <w:t xml:space="preserve">jālemj par šo jautājumu tajā brīdī, </w:t>
      </w:r>
      <w:proofErr w:type="gramStart"/>
      <w:r w:rsidRPr="003931EF">
        <w:rPr>
          <w:sz w:val="28"/>
          <w:szCs w:val="28"/>
        </w:rPr>
        <w:t>kad valsts makroekonomiskā situācija ir labāka</w:t>
      </w:r>
      <w:proofErr w:type="gramEnd"/>
      <w:r w:rsidRPr="003931EF">
        <w:rPr>
          <w:sz w:val="28"/>
          <w:szCs w:val="28"/>
        </w:rPr>
        <w:t xml:space="preserve"> nekā plānots un koriģētos maksimāli pieļaujamos valsts budžeta izdevumus var palielināt saskaņā ar Fiskālās disciplīnas likuma 5.panta otro daļu.</w:t>
      </w:r>
    </w:p>
    <w:p w:rsidR="00D85F46" w:rsidRPr="003931EF" w:rsidRDefault="00D85F46" w:rsidP="00D85F46">
      <w:pPr>
        <w:ind w:firstLine="720"/>
        <w:jc w:val="both"/>
        <w:rPr>
          <w:szCs w:val="28"/>
        </w:rPr>
      </w:pPr>
      <w:r w:rsidRPr="003931EF">
        <w:rPr>
          <w:szCs w:val="28"/>
        </w:rPr>
        <w:t xml:space="preserve">Jāatzīmē arī, ka šie FDL nosacījumi ir paredzēti, lai nodrošinātu, ka vispārējās valdības budžeta strukturālais deficīts nepārsniedz Līguma par stabilitāti, koordināciju un pārvaldību ekonomiskajā un monetārajā savienībā (turpmāk - Līgums) 3.pantā noteiktos ierobežojumus un Saeima šo Līgumu apstiprināja ar kvalificēto balsu vairākumu, saskaņā ar Satversmes 68.panta otro daļu. Šīs uzņemtās saistības ir būtiski ievērot ne tikai lai nodrošinātu valsts finanšu ilgtspēju, bet arī tāpēc, lai izvairītos no jautājuma nonākšanas Eiropas Savienības Tiesā un Līguma 8.pantā paredzētajām soda sankcijām. </w:t>
      </w:r>
    </w:p>
    <w:p w:rsidR="006835B7" w:rsidRPr="00031DE8" w:rsidRDefault="006835B7" w:rsidP="006835B7">
      <w:pPr>
        <w:pStyle w:val="BodyText"/>
        <w:spacing w:after="0"/>
        <w:ind w:firstLine="720"/>
        <w:jc w:val="both"/>
        <w:rPr>
          <w:sz w:val="28"/>
          <w:szCs w:val="28"/>
          <w:lang w:val="lv-LV" w:eastAsia="lv-LV"/>
        </w:rPr>
      </w:pPr>
      <w:r w:rsidRPr="003931EF">
        <w:rPr>
          <w:sz w:val="28"/>
          <w:szCs w:val="28"/>
          <w:lang w:val="lv-LV" w:eastAsia="lv-LV"/>
        </w:rPr>
        <w:t xml:space="preserve">Lai izvērtētu atzinumā minētā normatīvā regulējuma atbilstību Satversmes 109.pantam, nepietiek konstatēt iespējamu personas tiesību uz sociālo nodrošinājumu </w:t>
      </w:r>
      <w:r w:rsidRPr="00031DE8">
        <w:rPr>
          <w:sz w:val="28"/>
          <w:szCs w:val="28"/>
          <w:lang w:val="lv-LV" w:eastAsia="lv-LV"/>
        </w:rPr>
        <w:t xml:space="preserve">ierobežojumu, bet ir nepieciešams vispusīgi izvērtēt arī šāda ierobežojuma mērķi un veikt tā samērīguma izvērtējumu. </w:t>
      </w:r>
    </w:p>
    <w:p w:rsidR="006835B7" w:rsidRPr="00031DE8" w:rsidRDefault="006835B7" w:rsidP="006835B7">
      <w:pPr>
        <w:pStyle w:val="BodyText"/>
        <w:spacing w:after="0"/>
        <w:ind w:firstLine="720"/>
        <w:jc w:val="both"/>
        <w:rPr>
          <w:sz w:val="28"/>
          <w:szCs w:val="28"/>
          <w:lang w:val="lv-LV" w:eastAsia="lv-LV"/>
        </w:rPr>
      </w:pPr>
      <w:r w:rsidRPr="00031DE8">
        <w:rPr>
          <w:sz w:val="28"/>
          <w:szCs w:val="28"/>
          <w:lang w:val="lv-LV" w:eastAsia="lv-LV"/>
        </w:rPr>
        <w:t xml:space="preserve">Pensijas kapitāla indeksu mērķis – panākt līdzsvaru starp valsts finanšu iespējām un valsts uzņemtajām saistībām pret sociāli apdrošinātām personām un tādējādi nodrošināt finansiāli stabilu un ekonomiski pamatotu pensiju sistēmu – Satversmes tiesas spriedumos ir atzīts par leģitīmu. Satversmes tiesa ir atzinusi, ka sociālo tiesību īstenošanas kontekstā likumdevējam ir ne vien tiesības, bet arī pienākums rīkoties un gādāt par sociālās apdrošināšanas sistēmas ilgtspēju, pretējā gadījumā varētu tikt apgrūtināta citu valsts pienākumu izpilde, tostarp citu sociālo tiesību īstenošana. Likumdevējam ir pienākums nodrošināt pensiju sistēmas ilgtspēju, garantējot, ka tiesības uz sociālo nodrošinājumu būs īstenojamas arī nākamajās paaudzēs </w:t>
      </w:r>
      <w:proofErr w:type="gramStart"/>
      <w:r w:rsidRPr="00031DE8">
        <w:rPr>
          <w:sz w:val="28"/>
          <w:szCs w:val="28"/>
          <w:lang w:val="lv-LV" w:eastAsia="lv-LV"/>
        </w:rPr>
        <w:t>(</w:t>
      </w:r>
      <w:proofErr w:type="gramEnd"/>
      <w:r w:rsidRPr="00031DE8">
        <w:rPr>
          <w:i/>
          <w:sz w:val="28"/>
          <w:szCs w:val="28"/>
          <w:lang w:val="lv-LV" w:eastAsia="lv-LV"/>
        </w:rPr>
        <w:t>sk. Satversmes tiesas 2009.gada 26.novem</w:t>
      </w:r>
      <w:bookmarkStart w:id="0" w:name="_GoBack"/>
      <w:bookmarkEnd w:id="0"/>
      <w:r w:rsidRPr="00031DE8">
        <w:rPr>
          <w:i/>
          <w:sz w:val="28"/>
          <w:szCs w:val="28"/>
          <w:lang w:val="lv-LV" w:eastAsia="lv-LV"/>
        </w:rPr>
        <w:t>bra sprieduma lietā Nr.2009-08-01 22.3.apakšpunktu, 2013.gada 13.janvāra sprieduma lietā Nr.2012-12-01 13.apakšpunktu 14.2.3.apakšpunkts</w:t>
      </w:r>
      <w:r w:rsidRPr="00031DE8">
        <w:rPr>
          <w:sz w:val="28"/>
          <w:szCs w:val="28"/>
          <w:lang w:val="lv-LV" w:eastAsia="lv-LV"/>
        </w:rPr>
        <w:t>). Arī atzinumā tiesībsargs atzīst šo mērķi par leģitīmu un atbilstošu pensiju reformas mērķiem (</w:t>
      </w:r>
      <w:r w:rsidRPr="00031DE8">
        <w:rPr>
          <w:i/>
          <w:sz w:val="28"/>
          <w:szCs w:val="28"/>
          <w:lang w:val="lv-LV" w:eastAsia="lv-LV"/>
        </w:rPr>
        <w:t>sk. atzinuma 4.3.apakšpunktu</w:t>
      </w:r>
      <w:r w:rsidRPr="00031DE8">
        <w:rPr>
          <w:sz w:val="28"/>
          <w:szCs w:val="28"/>
          <w:lang w:val="lv-LV" w:eastAsia="lv-LV"/>
        </w:rPr>
        <w:t xml:space="preserve">). </w:t>
      </w:r>
    </w:p>
    <w:p w:rsidR="006835B7" w:rsidRPr="00031DE8" w:rsidRDefault="006835B7" w:rsidP="006835B7">
      <w:pPr>
        <w:ind w:firstLine="720"/>
        <w:jc w:val="both"/>
        <w:rPr>
          <w:szCs w:val="28"/>
        </w:rPr>
      </w:pPr>
      <w:r w:rsidRPr="00031DE8">
        <w:rPr>
          <w:szCs w:val="28"/>
          <w:lang w:eastAsia="lv-LV"/>
        </w:rPr>
        <w:t xml:space="preserve">Savukārt </w:t>
      </w:r>
      <w:r w:rsidRPr="00031DE8">
        <w:rPr>
          <w:rFonts w:eastAsia="Arial Unicode MS"/>
          <w:szCs w:val="28"/>
          <w:lang w:eastAsia="lv-LV"/>
        </w:rPr>
        <w:t xml:space="preserve">samērīguma princips noteic, ka gadījumos, kad publiskā vara ierobežo personas tiesības un likumiskās intereses, ir jāievēro saprātīgs līdzsvars </w:t>
      </w:r>
      <w:proofErr w:type="gramStart"/>
      <w:r w:rsidRPr="00031DE8">
        <w:rPr>
          <w:rFonts w:eastAsia="Arial Unicode MS"/>
          <w:szCs w:val="28"/>
          <w:lang w:eastAsia="lv-LV"/>
        </w:rPr>
        <w:t>starp personas un valsts</w:t>
      </w:r>
      <w:proofErr w:type="gramEnd"/>
      <w:r w:rsidRPr="00031DE8">
        <w:rPr>
          <w:rFonts w:eastAsia="Arial Unicode MS"/>
          <w:szCs w:val="28"/>
          <w:lang w:eastAsia="lv-LV"/>
        </w:rPr>
        <w:t xml:space="preserve"> vai sabiedrības interesēm. Lai izvērtētu, vai likumdevēja pieņemtā tiesību norma atbilst samērīguma principam, cita starpā ir jānoskaidro, vai šāda rīcība ir nepieciešama, proti, vai mērķi nevar sasniegt ar citiem, indivīda tiesības mazāk ierobežojošiem līdzekļiem un vai labums, ko iegūst sabiedrība, ir lielāks par indivīda tiesībām nodarīto kaitējumu. Atzinumā nav vērtētas alternatīvas iespējas nodrošināt pensiju sistēmas efektīvu reaģēšanu uz valstī notiekošajiem ekonomiskajiem, demogrāfiskajiem un citiem procesiem, kuru dēļ pensiju reformas ietvaros tika ieviests pensiju kapitāla indeksu mehānisms. Arī sabiedrības ieguvums no ekonomiski pamatotas, finansiāli stabilas un ilgtspējīgas pensiju sistēmas pretstatā personām iespējami esošam tiesību ierobežojumam ir vērtēts virspusēji un neņemot vērā virkni pensiju sistēmā iestrādāto kompensējošo mehānismu un to faktisko ietekmi uz pensiju </w:t>
      </w:r>
      <w:r w:rsidRPr="00031DE8">
        <w:rPr>
          <w:rFonts w:eastAsia="Arial Unicode MS"/>
          <w:szCs w:val="28"/>
          <w:lang w:eastAsia="lv-LV"/>
        </w:rPr>
        <w:lastRenderedPageBreak/>
        <w:t xml:space="preserve">saņēmējiem. </w:t>
      </w:r>
      <w:r w:rsidRPr="00031DE8">
        <w:rPr>
          <w:szCs w:val="28"/>
        </w:rPr>
        <w:t xml:space="preserve">Neskatoties uz vecuma pensijas kapitāla aktualizāciju ar ikgadējiem indeksiem, jebkurā gadījumā netiek skartas personas tiesības uz sociālo nodrošinājumu vismaz minimālā apmērā, kas tiek nodrošināts atbilstoši likuma 12.panta otrajai daļai un Ministru kabineta 2011.gada 5.decembra noteikumiem Nr.924 „Noteikumi par vecuma pensijas minimālo apmēru”.   </w:t>
      </w:r>
    </w:p>
    <w:p w:rsidR="006835B7" w:rsidRPr="00031DE8" w:rsidRDefault="006835B7" w:rsidP="006835B7">
      <w:pPr>
        <w:pStyle w:val="BodyText"/>
        <w:spacing w:after="0"/>
        <w:ind w:firstLine="720"/>
        <w:jc w:val="both"/>
        <w:rPr>
          <w:sz w:val="28"/>
          <w:szCs w:val="28"/>
          <w:lang w:val="lv-LV" w:eastAsia="lv-LV"/>
        </w:rPr>
      </w:pPr>
      <w:r w:rsidRPr="00031DE8">
        <w:rPr>
          <w:rFonts w:eastAsia="Arial Unicode MS"/>
          <w:sz w:val="28"/>
          <w:szCs w:val="28"/>
          <w:lang w:val="lv-LV" w:eastAsia="lv-LV"/>
        </w:rPr>
        <w:t>Pastāvot šādiem apstākļiem, nav pamata secinājumam, ka pensiju kapitāla indeksa normatīvais regulējums nav atbilstošs Satversmes 109.pantam. Attiecībā par normatīvā regulējuma atbilstību Satversmes 105.pantam Satv</w:t>
      </w:r>
      <w:r w:rsidRPr="00031DE8">
        <w:rPr>
          <w:sz w:val="28"/>
          <w:szCs w:val="28"/>
          <w:lang w:val="lv-LV" w:eastAsia="lv-LV"/>
        </w:rPr>
        <w:t>ersmes tiesa ir atzinusi, ka Satversmes 109.pants sociālo tiesību jomā personai nodrošina lielāku tiesību aizsardzības apjomu nekā Satversmes 105.pants. Līdz ar to nav nepieciešams atsevišķi izvērtēt sociālo tiesību jomā izdotas tiesību normas atbilstību Satversmes 105. pantam, ja tā atbilst Satversmes 109.pantam (</w:t>
      </w:r>
      <w:r w:rsidRPr="00031DE8">
        <w:rPr>
          <w:i/>
          <w:sz w:val="28"/>
          <w:szCs w:val="28"/>
          <w:lang w:val="lv-LV" w:eastAsia="lv-LV"/>
        </w:rPr>
        <w:t>Satversmes tiesas 2010.gada 1.decembra sprieduma 13.1.apakšpunkts</w:t>
      </w:r>
      <w:r w:rsidRPr="00031DE8">
        <w:rPr>
          <w:sz w:val="28"/>
          <w:szCs w:val="28"/>
          <w:lang w:val="lv-LV" w:eastAsia="lv-LV"/>
        </w:rPr>
        <w:t>).</w:t>
      </w:r>
    </w:p>
    <w:p w:rsidR="006835B7" w:rsidRPr="00031DE8" w:rsidRDefault="006835B7" w:rsidP="006835B7">
      <w:pPr>
        <w:pStyle w:val="BodyText"/>
        <w:spacing w:after="0"/>
        <w:ind w:firstLine="720"/>
        <w:jc w:val="both"/>
        <w:rPr>
          <w:sz w:val="28"/>
          <w:szCs w:val="28"/>
          <w:lang w:val="lv-LV" w:eastAsia="lv-LV"/>
        </w:rPr>
      </w:pPr>
      <w:r w:rsidRPr="00031DE8">
        <w:rPr>
          <w:sz w:val="28"/>
          <w:szCs w:val="28"/>
          <w:lang w:val="lv-LV" w:eastAsia="lv-LV"/>
        </w:rPr>
        <w:t xml:space="preserve">Vērtējot valsts pozitīvo pienākumu izpildi sociālo tiesību jomā, Satversmes tiesa vairākkārt norādījusi, ka jāpārbauda, vai: 1) likumdevējs veicis pasākumus, lai nodrošinātu personām iespēju īstenot sociālās tiesības; 2) šie pasākumi veikti pienācīgi, proti, vai personām ir nodrošināta iespēja īstenot savas sociālās tiesības vismaz minimālā apmērā; 3) ir ievēroti no Satversmes izrietošie vispārējie tiesību </w:t>
      </w:r>
      <w:proofErr w:type="spellStart"/>
      <w:r w:rsidRPr="00031DE8">
        <w:rPr>
          <w:sz w:val="28"/>
          <w:szCs w:val="28"/>
          <w:lang w:val="lv-LV" w:eastAsia="lv-LV"/>
        </w:rPr>
        <w:t>principi</w:t>
      </w:r>
      <w:proofErr w:type="gramStart"/>
      <w:r w:rsidRPr="00031DE8">
        <w:rPr>
          <w:sz w:val="28"/>
          <w:szCs w:val="28"/>
          <w:lang w:val="lv-LV" w:eastAsia="lv-LV"/>
        </w:rPr>
        <w:t>(</w:t>
      </w:r>
      <w:proofErr w:type="gramEnd"/>
      <w:r w:rsidRPr="00031DE8">
        <w:rPr>
          <w:i/>
          <w:sz w:val="28"/>
          <w:szCs w:val="28"/>
          <w:lang w:val="lv-LV" w:eastAsia="lv-LV"/>
        </w:rPr>
        <w:t>sk</w:t>
      </w:r>
      <w:proofErr w:type="spellEnd"/>
      <w:r w:rsidRPr="00031DE8">
        <w:rPr>
          <w:i/>
          <w:sz w:val="28"/>
          <w:szCs w:val="28"/>
          <w:lang w:val="lv-LV" w:eastAsia="lv-LV"/>
        </w:rPr>
        <w:t>. Satversmes tiesas 2006.gada 11.decembra sprieduma lietā Nr.2006-10-03 16.1.apakšpunktu, 2013.gada 13.janvāra sprieduma lietā Nr.2012-12-01 11.punktu</w:t>
      </w:r>
      <w:r w:rsidRPr="00031DE8">
        <w:rPr>
          <w:sz w:val="28"/>
          <w:szCs w:val="28"/>
          <w:lang w:val="lv-LV" w:eastAsia="lv-LV"/>
        </w:rPr>
        <w:t xml:space="preserve">). </w:t>
      </w:r>
    </w:p>
    <w:p w:rsidR="006835B7" w:rsidRPr="00031DE8" w:rsidRDefault="006835B7" w:rsidP="006835B7">
      <w:pPr>
        <w:autoSpaceDE w:val="0"/>
        <w:autoSpaceDN w:val="0"/>
        <w:adjustRightInd w:val="0"/>
        <w:ind w:firstLine="720"/>
        <w:jc w:val="both"/>
        <w:rPr>
          <w:rFonts w:eastAsia="Calibri"/>
          <w:szCs w:val="28"/>
          <w:lang w:eastAsia="lv-LV"/>
        </w:rPr>
      </w:pPr>
      <w:r w:rsidRPr="00031DE8">
        <w:rPr>
          <w:szCs w:val="28"/>
          <w:lang w:eastAsia="lv-LV"/>
        </w:rPr>
        <w:t xml:space="preserve">Ievērojot valsts sociālās apdrošināšanas sistēmas pastāvēšanu un minimālās vecuma pensijas garantiju likumā, nav apšaubāms, ka pirmie divi minētie valsts uzdevumi tiek izpildīti. </w:t>
      </w:r>
      <w:r w:rsidRPr="00031DE8">
        <w:rPr>
          <w:szCs w:val="28"/>
        </w:rPr>
        <w:t xml:space="preserve">Analizējot pensiju sistēmas atbilstību taisnīguma principam, Satversmes tiesa ir secinājusi, ka pensiju sistēma, it sevišķi tās pirmais līmenis, balstās uz solidaritātes, taisnīguma un individuālā ieguldījuma principiem un ka „Taisnīguma princips paredz to, ka pensijas apmērs ir proporcionāls sociālās apdrošināšanas iemaksu lielumam un darba ņēmēja darba stāžam.” </w:t>
      </w:r>
      <w:proofErr w:type="gramStart"/>
      <w:r w:rsidRPr="00031DE8">
        <w:rPr>
          <w:szCs w:val="28"/>
        </w:rPr>
        <w:t>(</w:t>
      </w:r>
      <w:proofErr w:type="gramEnd"/>
      <w:r w:rsidRPr="00031DE8">
        <w:rPr>
          <w:i/>
          <w:iCs/>
          <w:szCs w:val="28"/>
        </w:rPr>
        <w:t>sk. Satversmes tiesas 2011.gada 20.decembra sprieduma lietā Nr.2011-03-01 16.1.punktu).</w:t>
      </w:r>
      <w:r w:rsidRPr="00031DE8">
        <w:rPr>
          <w:iCs/>
          <w:szCs w:val="28"/>
        </w:rPr>
        <w:t xml:space="preserve"> Valsts sociālās apdrošināšanas sistēmā, tai skaitā pensiju sistēmā, šie principi ir pilnā mērā ievēroti, nodrošinot personu veikto iemaksu sasaisti ar tām piešķirtajiem valsts sociālās apdrošināšanas pakalpojumiem.</w:t>
      </w:r>
      <w:r w:rsidRPr="00031DE8">
        <w:rPr>
          <w:rFonts w:eastAsia="Calibri"/>
          <w:szCs w:val="28"/>
          <w:lang w:eastAsia="lv-LV"/>
        </w:rPr>
        <w:t xml:space="preserve"> Būtiski ir ņemt vērā arī pensiju sistēmas uzbūvi trīs pensiju līmeņos, kuru finansēšanas mehānismi un līdz ar to personu sagaidāmās vai iegūtās tiesības atšķiras. Pensiju pirmā līmeņa kontekstā, kuram tiek piemēroti pensiju kapitāla indeksi, privātpersonai nav piešķirtas tiesības prasīt identificējamu daļu, bet tā var cerēt, ka saņems tādu materiālo atbalstu, kas būs atkarīgs no apstākļiem, kādi pastāvēs laikā, kad būs jāsaņem pensija. Šīs sistēmas pensijas ir pamatotas uz tā saukto kolektīvā nodrošinājuma principu, un tās nevar piešķirt, izvērtējot individuālo ieguldījumu. Šajā gadījumā neveidojas tiesības uz noteiktu summu, jo tā ir pakļauta svārstībām, tajā skaitā tiesiskajam regulējumam </w:t>
      </w:r>
      <w:proofErr w:type="gramStart"/>
      <w:r w:rsidRPr="00031DE8">
        <w:rPr>
          <w:rFonts w:eastAsia="Calibri"/>
          <w:szCs w:val="28"/>
          <w:lang w:eastAsia="lv-LV"/>
        </w:rPr>
        <w:t>(</w:t>
      </w:r>
      <w:proofErr w:type="gramEnd"/>
      <w:r w:rsidRPr="00031DE8">
        <w:rPr>
          <w:rFonts w:eastAsia="Calibri"/>
          <w:i/>
          <w:szCs w:val="28"/>
          <w:lang w:eastAsia="lv-LV"/>
        </w:rPr>
        <w:t>sk. Satversmes tiesas 2001. gada 26. jūnija sprieduma lietā 2001-02-0106 secinājumu daļas 2. punktu</w:t>
      </w:r>
      <w:r w:rsidRPr="00031DE8">
        <w:rPr>
          <w:rFonts w:eastAsia="Calibri"/>
          <w:szCs w:val="28"/>
          <w:lang w:eastAsia="lv-LV"/>
        </w:rPr>
        <w:t>).</w:t>
      </w:r>
    </w:p>
    <w:p w:rsidR="006835B7" w:rsidRPr="00031DE8" w:rsidRDefault="006835B7" w:rsidP="006835B7">
      <w:pPr>
        <w:autoSpaceDE w:val="0"/>
        <w:autoSpaceDN w:val="0"/>
        <w:adjustRightInd w:val="0"/>
        <w:ind w:firstLine="720"/>
        <w:jc w:val="both"/>
        <w:rPr>
          <w:rFonts w:eastAsia="Calibri"/>
          <w:szCs w:val="28"/>
          <w:lang w:eastAsia="lv-LV"/>
        </w:rPr>
      </w:pPr>
      <w:r w:rsidRPr="00031DE8">
        <w:rPr>
          <w:rFonts w:eastAsia="Calibri"/>
          <w:szCs w:val="28"/>
          <w:lang w:eastAsia="lv-LV"/>
        </w:rPr>
        <w:lastRenderedPageBreak/>
        <w:t>Pensiju kapitāla indeksu normatīvais regulējums ir bijis savā būtībā nemainīgs kopš pensiju sistēmas izveidošanas brīža 1996.gadā, un likumdevējs nav veicis tajā izmaiņas arī finanšu un ekonomiskās krīzes laikā. Līdz ar to nav ietekmētas personu jau iegūtās vai sagaidāmās tiesības un nav pamata uzskatīt, ka jel kādā veidā ir ietekmēta personu tiesiskā paļāvība uz šo normatīvo regulējumu.</w:t>
      </w:r>
    </w:p>
    <w:p w:rsidR="006835B7" w:rsidRPr="00031DE8" w:rsidRDefault="006835B7" w:rsidP="006835B7">
      <w:pPr>
        <w:ind w:firstLine="720"/>
        <w:jc w:val="both"/>
        <w:rPr>
          <w:szCs w:val="28"/>
        </w:rPr>
      </w:pPr>
      <w:r w:rsidRPr="00031DE8">
        <w:rPr>
          <w:rFonts w:eastAsia="Calibri"/>
          <w:szCs w:val="28"/>
          <w:lang w:eastAsia="lv-LV"/>
        </w:rPr>
        <w:t xml:space="preserve">Vērtējot pensiju kapitāla indeksa normatīvā regulējuma atbilstību Satversmes 91.pantā nostiprinātajam tiesiskās vienlīdzības principam, tiesībsarga atzinumā ir pausts viedoklis, ka atšķirīga attieksme rodas dēļ personu pensionēšanās atšķirīgos laika periodos, proti, ekonomiskās izaugsmes vai ekonomiskās lejupslīdes laikā. Tāpēc ir piesardzīgi vērtējams, vai ir pamats nešaubīgi uzskatīt, ka personas atrodas vienādos vai salīdzināmies apstākļos. Jebkurā gadījumā šāda situācija tirgus ekonomikas apstākļos ir nenovēršama, tāpēc tā ir paredzēta un iestrādāta arī pensiju sistēmā, kura paredz gan koriģējošus mehānismus sistēmas ilgtspējas nodrošināšanai, gan kompensējošus pasākumus pensiju saņēmējiem. Tā </w:t>
      </w:r>
      <w:r w:rsidRPr="00031DE8">
        <w:rPr>
          <w:szCs w:val="28"/>
        </w:rPr>
        <w:t>inflācijas ietekmes uz jau piešķirtās pensijas apmēru kompensēšanai no likuma spēkā stāšanās līdz 2009.gadam tika nodrošināta regulāra pensiju indeksācija, ņemot vērā inflācijas pieaugumu, bet no 2002.gada, indeksējot zemās pensijas, ņemta vērā arī daļa no apdrošināšanas iemaksu algas reālā pieauguma. Laika periodā no 2009. līdz 2012.gadam pensiju indeksācija ir iesaldēta. 2013.gada 1.septembrī tika veikta pensiju ārkārtas indeksācija pensijām, kuru apmērs nepārsniedza 200 latus, piemērojot indeksu 1,04. Indeksācijas rezultātā vecuma pensijas vidēji pieauga par 5,55 Ls, invaliditātes pensijas – par 3,79 Ls.</w:t>
      </w:r>
    </w:p>
    <w:p w:rsidR="006835B7" w:rsidRPr="00031DE8" w:rsidRDefault="006835B7" w:rsidP="006835B7">
      <w:pPr>
        <w:ind w:firstLine="720"/>
        <w:jc w:val="both"/>
        <w:rPr>
          <w:szCs w:val="28"/>
        </w:rPr>
      </w:pPr>
      <w:r w:rsidRPr="00031DE8">
        <w:rPr>
          <w:szCs w:val="28"/>
        </w:rPr>
        <w:t xml:space="preserve">Attiecībā uz indeksāciju turpmākajos gados š.g. 3.aprīlī Saeima pieņēma grozījumus likumā „Par valsts pensijām”, kas paredz pensijas vai tās daļas apmēru, kas nepārsniedz 50% no iepriekšējā kalendārā gada vidējās apdrošināšanas iemaksu algas valstī (2014.gadā – 285 </w:t>
      </w:r>
      <w:r w:rsidRPr="00031DE8">
        <w:rPr>
          <w:i/>
          <w:szCs w:val="28"/>
        </w:rPr>
        <w:t>EUR</w:t>
      </w:r>
      <w:r w:rsidRPr="00031DE8">
        <w:rPr>
          <w:szCs w:val="28"/>
        </w:rPr>
        <w:t>), pārskatīt 1.oktobrī, ņemot vērā faktisko patēriņa cenu indeksu un 25% no apdrošināšanas iemaksu algas reālā pieauguma procentiem. Politiski represētajām personām, personām ar I grupas invaliditāti un Černobiļas atomelektrostacijas avārijas seku likvidēšanas dalībniekiem pensijas pārskatīs neatkarīgi no to apmēra. Jāatzīmē, ka minētā indeksācija atkal nosaka atvieglotu indeksācijas kārtību atsevišķām personu kategorijām, kas prasīs papildus budžeta līdzekļus.</w:t>
      </w:r>
    </w:p>
    <w:p w:rsidR="006835B7" w:rsidRPr="00031DE8" w:rsidRDefault="006835B7" w:rsidP="006835B7">
      <w:pPr>
        <w:autoSpaceDE w:val="0"/>
        <w:autoSpaceDN w:val="0"/>
        <w:adjustRightInd w:val="0"/>
        <w:ind w:firstLine="720"/>
        <w:jc w:val="both"/>
        <w:rPr>
          <w:rFonts w:eastAsiaTheme="minorHAnsi"/>
          <w:szCs w:val="28"/>
        </w:rPr>
      </w:pPr>
      <w:r w:rsidRPr="00031DE8">
        <w:rPr>
          <w:szCs w:val="28"/>
        </w:rPr>
        <w:t>Tomēr piekrītam tiesībsarga uzskatam, ka jādomā par mehānismu, kas ierobežotu straujus šo indeksu „lēcienus” vai „kritienus”. Kā viens no risinājumiem varētu būt, ja pensijas kapitāla aktualizācijai aprēķinātais ikgadējais pensijas kapitāla indekss ir mazāks par koeficientu 1, pensijas kapitāla aktualizācijai piemērojams koeficients 1. Nākamo gadu, kas seko pēc gadiem, kuros pensijas kapitāla indeksācijai aprēķinātais indekss bijis mazāks par 1, pensijas kapitāla aktualizācijai aprēķinātie indeksi tiek aizstāti ar koeficientu 1 līdz brīdim, kamēr iepriekšējo negatīvo un tiem sekojošo pozitīvo indeksu reizinājums ir vienāds ar 1. Pēc</w:t>
      </w:r>
      <w:r w:rsidRPr="00031DE8">
        <w:rPr>
          <w:rFonts w:eastAsiaTheme="minorHAnsi"/>
          <w:szCs w:val="28"/>
        </w:rPr>
        <w:t xml:space="preserve"> Valsts sociālās apdrošināšanas aģentūras sniegtās informācijas izlīdzinoša kapitāla indeksa ieviešanu nākotnē </w:t>
      </w:r>
      <w:r w:rsidRPr="00031DE8">
        <w:rPr>
          <w:rFonts w:eastAsiaTheme="minorHAnsi"/>
          <w:szCs w:val="28"/>
        </w:rPr>
        <w:lastRenderedPageBreak/>
        <w:t>piešķiramajām pensijām, lai pensiju aprēķinos kapitāla indeksu reizinājums nebūtu mazāks par 1, iespējams realizēt četru mēnešu laikā pēc normatīvo aktu pieņemšanas.</w:t>
      </w:r>
    </w:p>
    <w:p w:rsidR="006835B7" w:rsidRPr="00031DE8" w:rsidRDefault="006835B7" w:rsidP="006835B7">
      <w:pPr>
        <w:autoSpaceDE w:val="0"/>
        <w:autoSpaceDN w:val="0"/>
        <w:adjustRightInd w:val="0"/>
        <w:ind w:firstLine="720"/>
        <w:jc w:val="both"/>
        <w:rPr>
          <w:rFonts w:eastAsiaTheme="minorHAnsi"/>
          <w:szCs w:val="28"/>
        </w:rPr>
      </w:pPr>
      <w:r w:rsidRPr="00031DE8">
        <w:rPr>
          <w:rFonts w:eastAsiaTheme="minorHAnsi"/>
          <w:szCs w:val="28"/>
        </w:rPr>
        <w:t xml:space="preserve">Savukārt pēc Labklājības ministrijas aprēķiniem, ja no 2009.gada noteiktie pensijas kapitāla indeksi tiktu aizstāti ar koeficientu 1 bez atpakaļejoša perioda kompensācijas, papildus nepieciešamie līdzekļi speciālajā budžetā pirmajā ieviešanas gadā būtu ap 45 milj. EUR. Vēršam uzmanību, ka papildus izmaksas būs nepieciešamas arī turpmākajos gados, </w:t>
      </w:r>
      <w:proofErr w:type="gramStart"/>
      <w:r w:rsidRPr="00031DE8">
        <w:rPr>
          <w:rFonts w:eastAsiaTheme="minorHAnsi"/>
          <w:szCs w:val="28"/>
        </w:rPr>
        <w:t>līdz kamēr</w:t>
      </w:r>
      <w:proofErr w:type="gramEnd"/>
      <w:r w:rsidRPr="00031DE8">
        <w:rPr>
          <w:rFonts w:eastAsiaTheme="minorHAnsi"/>
          <w:szCs w:val="28"/>
        </w:rPr>
        <w:t xml:space="preserve"> pensiju saņems pensionāri, kuriem pensijas kapitālu ietekmēja 2009.-2011.gada indeksi. </w:t>
      </w:r>
    </w:p>
    <w:p w:rsidR="006835B7" w:rsidRPr="00031DE8" w:rsidRDefault="006835B7" w:rsidP="006835B7">
      <w:pPr>
        <w:autoSpaceDE w:val="0"/>
        <w:autoSpaceDN w:val="0"/>
        <w:adjustRightInd w:val="0"/>
        <w:ind w:firstLine="720"/>
        <w:jc w:val="both"/>
        <w:rPr>
          <w:rFonts w:eastAsiaTheme="minorHAnsi"/>
          <w:szCs w:val="28"/>
        </w:rPr>
      </w:pPr>
      <w:r w:rsidRPr="00031DE8">
        <w:rPr>
          <w:rFonts w:eastAsiaTheme="minorHAnsi"/>
          <w:szCs w:val="28"/>
        </w:rPr>
        <w:t xml:space="preserve">Vienlaikus vēršam uzmanību, ka ar šāda priekšlikuma ieviešanu tiktu pretnostatīti sliktākā situācijā tie pensionāri, kuri attiecīgajā periodā būs izvēlējušies pieprasīt priekšlaicīgo pensiju, t.i. samazinātā pensiju kapitāla vietā izvēloties divus gadus saņemt pensiju 50% no piešķirtā pensijas apmēra. </w:t>
      </w:r>
    </w:p>
    <w:p w:rsidR="006835B7" w:rsidRPr="00031DE8" w:rsidRDefault="006835B7" w:rsidP="006835B7">
      <w:pPr>
        <w:autoSpaceDE w:val="0"/>
        <w:autoSpaceDN w:val="0"/>
        <w:adjustRightInd w:val="0"/>
        <w:ind w:firstLine="720"/>
        <w:jc w:val="both"/>
        <w:rPr>
          <w:rFonts w:eastAsiaTheme="minorHAnsi"/>
          <w:szCs w:val="28"/>
        </w:rPr>
      </w:pPr>
      <w:r w:rsidRPr="00031DE8">
        <w:rPr>
          <w:rFonts w:eastAsiaTheme="minorHAnsi"/>
          <w:szCs w:val="28"/>
        </w:rPr>
        <w:t>Attiecībā uz priekšlikuma ieviešanu nepieciešami 10 mēneši un pārrēķinu iespējams veikt ne ātrāk kā 2016.gada 1.janvārī. Pārrēķinot pensijas apmēru, būs jāņem vērā arī iepriekšējo divu gadu indeksācijas, t.i., vairums gadījumos kompensējamais apmērs būs jāsamazina ar pensijas apmēra pieaugumu indeksācijas rezultātā. Aptuvenās izmaksas izmaiņu realizēšanai informācijas sistēmā ir 67,5 tūkstoši EUR (225c/d * 300 EUR).</w:t>
      </w:r>
    </w:p>
    <w:p w:rsidR="006835B7" w:rsidRPr="00031DE8" w:rsidRDefault="006835B7" w:rsidP="006835B7">
      <w:pPr>
        <w:autoSpaceDE w:val="0"/>
        <w:autoSpaceDN w:val="0"/>
        <w:adjustRightInd w:val="0"/>
        <w:jc w:val="both"/>
        <w:rPr>
          <w:rFonts w:eastAsiaTheme="minorHAnsi"/>
          <w:szCs w:val="28"/>
        </w:rPr>
      </w:pPr>
    </w:p>
    <w:p w:rsidR="006835B7" w:rsidRPr="00031DE8" w:rsidRDefault="006835B7" w:rsidP="006835B7">
      <w:pPr>
        <w:autoSpaceDE w:val="0"/>
        <w:autoSpaceDN w:val="0"/>
        <w:adjustRightInd w:val="0"/>
        <w:jc w:val="both"/>
        <w:rPr>
          <w:rFonts w:eastAsiaTheme="minorHAnsi"/>
          <w:szCs w:val="28"/>
        </w:rPr>
      </w:pPr>
      <w:r w:rsidRPr="00031DE8">
        <w:rPr>
          <w:rFonts w:eastAsiaTheme="minorHAnsi"/>
          <w:szCs w:val="28"/>
        </w:rPr>
        <w:t>Pielikumā: tabulas uz 4 lp.</w:t>
      </w:r>
    </w:p>
    <w:p w:rsidR="000175E7" w:rsidRPr="00031DE8" w:rsidRDefault="000175E7" w:rsidP="006835B7">
      <w:pPr>
        <w:autoSpaceDE w:val="0"/>
        <w:autoSpaceDN w:val="0"/>
        <w:adjustRightInd w:val="0"/>
        <w:spacing w:line="240" w:lineRule="atLeast"/>
        <w:jc w:val="both"/>
        <w:rPr>
          <w:szCs w:val="28"/>
        </w:rPr>
      </w:pPr>
    </w:p>
    <w:p w:rsidR="000175E7" w:rsidRPr="00031DE8" w:rsidRDefault="000175E7" w:rsidP="000175E7">
      <w:pPr>
        <w:ind w:firstLine="720"/>
        <w:jc w:val="both"/>
        <w:rPr>
          <w:rFonts w:eastAsiaTheme="minorHAnsi"/>
          <w:szCs w:val="28"/>
        </w:rPr>
      </w:pPr>
    </w:p>
    <w:p w:rsidR="000175E7" w:rsidRPr="00031DE8" w:rsidRDefault="000175E7" w:rsidP="000175E7">
      <w:pPr>
        <w:ind w:firstLine="720"/>
        <w:jc w:val="both"/>
        <w:rPr>
          <w:rFonts w:eastAsiaTheme="minorHAnsi"/>
          <w:sz w:val="24"/>
          <w:szCs w:val="24"/>
        </w:rPr>
      </w:pPr>
    </w:p>
    <w:p w:rsidR="000175E7" w:rsidRPr="00031DE8" w:rsidRDefault="000175E7" w:rsidP="000175E7">
      <w:pPr>
        <w:ind w:firstLine="720"/>
        <w:jc w:val="both"/>
        <w:rPr>
          <w:szCs w:val="28"/>
        </w:rPr>
      </w:pPr>
      <w:r w:rsidRPr="00031DE8">
        <w:rPr>
          <w:szCs w:val="28"/>
        </w:rPr>
        <w:t>Ministru prezidente</w:t>
      </w:r>
      <w:r w:rsidRPr="00031DE8">
        <w:rPr>
          <w:szCs w:val="28"/>
        </w:rPr>
        <w:tab/>
      </w:r>
      <w:r w:rsidRPr="00031DE8">
        <w:rPr>
          <w:szCs w:val="28"/>
        </w:rPr>
        <w:tab/>
      </w:r>
      <w:r w:rsidRPr="00031DE8">
        <w:rPr>
          <w:szCs w:val="28"/>
        </w:rPr>
        <w:tab/>
      </w:r>
      <w:r w:rsidRPr="00031DE8">
        <w:rPr>
          <w:szCs w:val="28"/>
        </w:rPr>
        <w:tab/>
      </w:r>
      <w:r w:rsidRPr="00031DE8">
        <w:rPr>
          <w:szCs w:val="28"/>
        </w:rPr>
        <w:tab/>
      </w:r>
      <w:r w:rsidRPr="00031DE8">
        <w:rPr>
          <w:szCs w:val="28"/>
        </w:rPr>
        <w:tab/>
        <w:t>L.Straujuma</w:t>
      </w:r>
    </w:p>
    <w:p w:rsidR="000175E7" w:rsidRPr="00031DE8" w:rsidRDefault="000175E7" w:rsidP="000175E7">
      <w:pPr>
        <w:ind w:firstLine="720"/>
        <w:jc w:val="both"/>
        <w:rPr>
          <w:szCs w:val="28"/>
        </w:rPr>
      </w:pPr>
    </w:p>
    <w:p w:rsidR="000175E7" w:rsidRPr="00031DE8" w:rsidRDefault="000175E7" w:rsidP="000175E7">
      <w:pPr>
        <w:ind w:firstLine="720"/>
        <w:jc w:val="both"/>
        <w:rPr>
          <w:szCs w:val="28"/>
        </w:rPr>
      </w:pPr>
    </w:p>
    <w:p w:rsidR="008C689C" w:rsidRPr="00031DE8" w:rsidRDefault="000175E7" w:rsidP="000175E7">
      <w:pPr>
        <w:ind w:firstLine="720"/>
        <w:jc w:val="both"/>
        <w:rPr>
          <w:szCs w:val="28"/>
        </w:rPr>
      </w:pPr>
      <w:r w:rsidRPr="00031DE8">
        <w:rPr>
          <w:szCs w:val="28"/>
        </w:rPr>
        <w:t>Iesniedzējs: labklājības ministrs</w:t>
      </w:r>
      <w:r w:rsidRPr="00031DE8">
        <w:rPr>
          <w:szCs w:val="28"/>
        </w:rPr>
        <w:tab/>
      </w:r>
      <w:r w:rsidRPr="00031DE8">
        <w:rPr>
          <w:szCs w:val="28"/>
        </w:rPr>
        <w:tab/>
      </w:r>
      <w:r w:rsidR="00B073B3" w:rsidRPr="00031DE8">
        <w:rPr>
          <w:szCs w:val="28"/>
        </w:rPr>
        <w:tab/>
      </w:r>
      <w:r w:rsidR="00B073B3" w:rsidRPr="00031DE8">
        <w:rPr>
          <w:szCs w:val="28"/>
        </w:rPr>
        <w:tab/>
      </w:r>
      <w:r w:rsidR="00B073B3" w:rsidRPr="00031DE8">
        <w:rPr>
          <w:szCs w:val="28"/>
        </w:rPr>
        <w:tab/>
        <w:t>U.Augulis</w:t>
      </w:r>
    </w:p>
    <w:p w:rsidR="008C689C" w:rsidRPr="00031DE8" w:rsidRDefault="008C689C" w:rsidP="008C689C">
      <w:pPr>
        <w:ind w:firstLine="720"/>
        <w:jc w:val="both"/>
        <w:rPr>
          <w:szCs w:val="28"/>
        </w:rPr>
      </w:pPr>
    </w:p>
    <w:p w:rsidR="008C689C" w:rsidRPr="00031DE8" w:rsidRDefault="008C689C" w:rsidP="008C689C">
      <w:pPr>
        <w:ind w:firstLine="720"/>
        <w:jc w:val="both"/>
        <w:rPr>
          <w:szCs w:val="28"/>
        </w:rPr>
      </w:pPr>
    </w:p>
    <w:p w:rsidR="008C689C" w:rsidRPr="00031DE8" w:rsidRDefault="008C689C" w:rsidP="008C689C">
      <w:pPr>
        <w:jc w:val="both"/>
        <w:rPr>
          <w:szCs w:val="28"/>
        </w:rPr>
      </w:pPr>
    </w:p>
    <w:p w:rsidR="008C689C" w:rsidRPr="00031DE8" w:rsidRDefault="008C689C" w:rsidP="008C689C"/>
    <w:p w:rsidR="00F546E0" w:rsidRPr="00031DE8" w:rsidRDefault="00F546E0"/>
    <w:sectPr w:rsidR="00F546E0" w:rsidRPr="00031DE8" w:rsidSect="0070500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D1" w:rsidRDefault="005A0ED1">
      <w:r>
        <w:separator/>
      </w:r>
    </w:p>
  </w:endnote>
  <w:endnote w:type="continuationSeparator" w:id="0">
    <w:p w:rsidR="005A0ED1" w:rsidRDefault="005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Pr="00B073B3" w:rsidRDefault="00B073B3" w:rsidP="00B073B3">
    <w:pPr>
      <w:pStyle w:val="Footer"/>
      <w:rPr>
        <w:sz w:val="24"/>
        <w:szCs w:val="24"/>
      </w:rPr>
    </w:pPr>
    <w:r w:rsidRPr="00247881">
      <w:rPr>
        <w:sz w:val="24"/>
        <w:szCs w:val="24"/>
      </w:rPr>
      <w:t>LMinf_0</w:t>
    </w:r>
    <w:r w:rsidR="00D85F46">
      <w:rPr>
        <w:sz w:val="24"/>
        <w:szCs w:val="24"/>
      </w:rPr>
      <w:t>9</w:t>
    </w:r>
    <w:r w:rsidRPr="00247881">
      <w:rPr>
        <w:sz w:val="24"/>
        <w:szCs w:val="24"/>
      </w:rPr>
      <w:t>0514</w:t>
    </w:r>
    <w:r>
      <w:rPr>
        <w:sz w:val="24"/>
        <w:szCs w:val="24"/>
      </w:rPr>
      <w:t xml:space="preserve">_kap </w:t>
    </w:r>
    <w:proofErr w:type="spellStart"/>
    <w:r>
      <w:rPr>
        <w:sz w:val="24"/>
        <w:szCs w:val="24"/>
      </w:rPr>
      <w:t>index</w:t>
    </w:r>
    <w:proofErr w:type="spellEnd"/>
    <w:r w:rsidRPr="00247881">
      <w:rPr>
        <w:sz w:val="24"/>
        <w:szCs w:val="24"/>
      </w:rPr>
      <w:t xml:space="preserve">; </w:t>
    </w:r>
    <w:r w:rsidRPr="003F4098">
      <w:rPr>
        <w:bCs/>
        <w:sz w:val="24"/>
        <w:szCs w:val="24"/>
      </w:rPr>
      <w:t xml:space="preserve">Ministru kabineta atbildes vēstules </w:t>
    </w:r>
    <w:r w:rsidR="00797BBF">
      <w:rPr>
        <w:bCs/>
        <w:sz w:val="24"/>
        <w:szCs w:val="24"/>
      </w:rPr>
      <w:t>t</w:t>
    </w:r>
    <w:r w:rsidRPr="003F4098">
      <w:rPr>
        <w:bCs/>
        <w:sz w:val="24"/>
        <w:szCs w:val="24"/>
      </w:rPr>
      <w:t>iesībsargam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B3" w:rsidRPr="00B073B3" w:rsidRDefault="00B073B3">
    <w:pPr>
      <w:pStyle w:val="Footer"/>
      <w:rPr>
        <w:sz w:val="24"/>
        <w:szCs w:val="24"/>
      </w:rPr>
    </w:pPr>
    <w:r w:rsidRPr="00247881">
      <w:rPr>
        <w:sz w:val="24"/>
        <w:szCs w:val="24"/>
      </w:rPr>
      <w:t>LMinf_0</w:t>
    </w:r>
    <w:r w:rsidR="00D85F46">
      <w:rPr>
        <w:sz w:val="24"/>
        <w:szCs w:val="24"/>
      </w:rPr>
      <w:t>9</w:t>
    </w:r>
    <w:r w:rsidRPr="00247881">
      <w:rPr>
        <w:sz w:val="24"/>
        <w:szCs w:val="24"/>
      </w:rPr>
      <w:t>0514</w:t>
    </w:r>
    <w:r>
      <w:rPr>
        <w:sz w:val="24"/>
        <w:szCs w:val="24"/>
      </w:rPr>
      <w:t xml:space="preserve">_kap </w:t>
    </w:r>
    <w:proofErr w:type="spellStart"/>
    <w:r>
      <w:rPr>
        <w:sz w:val="24"/>
        <w:szCs w:val="24"/>
      </w:rPr>
      <w:t>index</w:t>
    </w:r>
    <w:proofErr w:type="spellEnd"/>
    <w:r w:rsidRPr="00247881">
      <w:rPr>
        <w:sz w:val="24"/>
        <w:szCs w:val="24"/>
      </w:rPr>
      <w:t xml:space="preserve">; </w:t>
    </w:r>
    <w:r w:rsidRPr="003F4098">
      <w:rPr>
        <w:bCs/>
        <w:sz w:val="24"/>
        <w:szCs w:val="24"/>
      </w:rPr>
      <w:t xml:space="preserve">Ministru kabineta atbildes vēstules </w:t>
    </w:r>
    <w:r w:rsidR="00797BBF">
      <w:rPr>
        <w:bCs/>
        <w:sz w:val="24"/>
        <w:szCs w:val="24"/>
      </w:rPr>
      <w:t>t</w:t>
    </w:r>
    <w:r w:rsidRPr="003F4098">
      <w:rPr>
        <w:bCs/>
        <w:sz w:val="24"/>
        <w:szCs w:val="24"/>
      </w:rPr>
      <w:t>iesībsargam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D1" w:rsidRDefault="005A0ED1">
      <w:r>
        <w:separator/>
      </w:r>
    </w:p>
  </w:footnote>
  <w:footnote w:type="continuationSeparator" w:id="0">
    <w:p w:rsidR="005A0ED1" w:rsidRDefault="005A0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07" w:rsidRDefault="00D96304" w:rsidP="007050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707" w:rsidRDefault="005A0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07" w:rsidRDefault="00D96304" w:rsidP="007050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1EF">
      <w:rPr>
        <w:rStyle w:val="PageNumber"/>
        <w:noProof/>
      </w:rPr>
      <w:t>4</w:t>
    </w:r>
    <w:r>
      <w:rPr>
        <w:rStyle w:val="PageNumber"/>
      </w:rPr>
      <w:fldChar w:fldCharType="end"/>
    </w:r>
  </w:p>
  <w:p w:rsidR="007F5707" w:rsidRDefault="005A0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7C14"/>
    <w:multiLevelType w:val="hybridMultilevel"/>
    <w:tmpl w:val="7EDC3B9A"/>
    <w:lvl w:ilvl="0" w:tplc="CFEE57B0">
      <w:start w:val="1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65566DF2"/>
    <w:multiLevelType w:val="hybridMultilevel"/>
    <w:tmpl w:val="1CB0FD32"/>
    <w:lvl w:ilvl="0" w:tplc="6FD49AC0">
      <w:start w:val="1"/>
      <w:numFmt w:val="decimal"/>
      <w:lvlText w:val="%1)"/>
      <w:lvlJc w:val="left"/>
      <w:pPr>
        <w:tabs>
          <w:tab w:val="num" w:pos="1852"/>
        </w:tabs>
        <w:ind w:left="1852" w:hanging="1155"/>
      </w:pPr>
      <w:rPr>
        <w:rFonts w:hint="default"/>
      </w:rPr>
    </w:lvl>
    <w:lvl w:ilvl="1" w:tplc="04260019" w:tentative="1">
      <w:start w:val="1"/>
      <w:numFmt w:val="lowerLetter"/>
      <w:lvlText w:val="%2."/>
      <w:lvlJc w:val="left"/>
      <w:pPr>
        <w:tabs>
          <w:tab w:val="num" w:pos="1777"/>
        </w:tabs>
        <w:ind w:left="1777" w:hanging="360"/>
      </w:pPr>
    </w:lvl>
    <w:lvl w:ilvl="2" w:tplc="0426001B" w:tentative="1">
      <w:start w:val="1"/>
      <w:numFmt w:val="lowerRoman"/>
      <w:lvlText w:val="%3."/>
      <w:lvlJc w:val="right"/>
      <w:pPr>
        <w:tabs>
          <w:tab w:val="num" w:pos="2497"/>
        </w:tabs>
        <w:ind w:left="2497" w:hanging="180"/>
      </w:pPr>
    </w:lvl>
    <w:lvl w:ilvl="3" w:tplc="0426000F" w:tentative="1">
      <w:start w:val="1"/>
      <w:numFmt w:val="decimal"/>
      <w:lvlText w:val="%4."/>
      <w:lvlJc w:val="left"/>
      <w:pPr>
        <w:tabs>
          <w:tab w:val="num" w:pos="3217"/>
        </w:tabs>
        <w:ind w:left="3217" w:hanging="360"/>
      </w:pPr>
    </w:lvl>
    <w:lvl w:ilvl="4" w:tplc="04260019" w:tentative="1">
      <w:start w:val="1"/>
      <w:numFmt w:val="lowerLetter"/>
      <w:lvlText w:val="%5."/>
      <w:lvlJc w:val="left"/>
      <w:pPr>
        <w:tabs>
          <w:tab w:val="num" w:pos="3937"/>
        </w:tabs>
        <w:ind w:left="3937" w:hanging="360"/>
      </w:pPr>
    </w:lvl>
    <w:lvl w:ilvl="5" w:tplc="0426001B" w:tentative="1">
      <w:start w:val="1"/>
      <w:numFmt w:val="lowerRoman"/>
      <w:lvlText w:val="%6."/>
      <w:lvlJc w:val="right"/>
      <w:pPr>
        <w:tabs>
          <w:tab w:val="num" w:pos="4657"/>
        </w:tabs>
        <w:ind w:left="4657" w:hanging="180"/>
      </w:pPr>
    </w:lvl>
    <w:lvl w:ilvl="6" w:tplc="0426000F" w:tentative="1">
      <w:start w:val="1"/>
      <w:numFmt w:val="decimal"/>
      <w:lvlText w:val="%7."/>
      <w:lvlJc w:val="left"/>
      <w:pPr>
        <w:tabs>
          <w:tab w:val="num" w:pos="5377"/>
        </w:tabs>
        <w:ind w:left="5377" w:hanging="360"/>
      </w:pPr>
    </w:lvl>
    <w:lvl w:ilvl="7" w:tplc="04260019" w:tentative="1">
      <w:start w:val="1"/>
      <w:numFmt w:val="lowerLetter"/>
      <w:lvlText w:val="%8."/>
      <w:lvlJc w:val="left"/>
      <w:pPr>
        <w:tabs>
          <w:tab w:val="num" w:pos="6097"/>
        </w:tabs>
        <w:ind w:left="6097" w:hanging="360"/>
      </w:pPr>
    </w:lvl>
    <w:lvl w:ilvl="8" w:tplc="0426001B" w:tentative="1">
      <w:start w:val="1"/>
      <w:numFmt w:val="lowerRoman"/>
      <w:lvlText w:val="%9."/>
      <w:lvlJc w:val="right"/>
      <w:pPr>
        <w:tabs>
          <w:tab w:val="num" w:pos="6817"/>
        </w:tabs>
        <w:ind w:left="68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9C"/>
    <w:rsid w:val="000175E7"/>
    <w:rsid w:val="00031DE8"/>
    <w:rsid w:val="000725A9"/>
    <w:rsid w:val="00110F2A"/>
    <w:rsid w:val="001478CF"/>
    <w:rsid w:val="00161F33"/>
    <w:rsid w:val="00267609"/>
    <w:rsid w:val="002970C7"/>
    <w:rsid w:val="002A1EA4"/>
    <w:rsid w:val="002C1DA7"/>
    <w:rsid w:val="00347729"/>
    <w:rsid w:val="003931EF"/>
    <w:rsid w:val="003A458F"/>
    <w:rsid w:val="003C23D1"/>
    <w:rsid w:val="004B4B02"/>
    <w:rsid w:val="004C0625"/>
    <w:rsid w:val="004D511A"/>
    <w:rsid w:val="00590135"/>
    <w:rsid w:val="005A0ED1"/>
    <w:rsid w:val="005C7F3F"/>
    <w:rsid w:val="00611498"/>
    <w:rsid w:val="006135AD"/>
    <w:rsid w:val="006835B7"/>
    <w:rsid w:val="006843AD"/>
    <w:rsid w:val="007328DE"/>
    <w:rsid w:val="00793E30"/>
    <w:rsid w:val="00797BBF"/>
    <w:rsid w:val="007E71D7"/>
    <w:rsid w:val="00806068"/>
    <w:rsid w:val="008C689C"/>
    <w:rsid w:val="00904582"/>
    <w:rsid w:val="009136C6"/>
    <w:rsid w:val="00945C75"/>
    <w:rsid w:val="00987F61"/>
    <w:rsid w:val="00B073B3"/>
    <w:rsid w:val="00B8687D"/>
    <w:rsid w:val="00BA1D9C"/>
    <w:rsid w:val="00BA5FDA"/>
    <w:rsid w:val="00BC65F4"/>
    <w:rsid w:val="00BE7ECF"/>
    <w:rsid w:val="00C53254"/>
    <w:rsid w:val="00CB0098"/>
    <w:rsid w:val="00CC3889"/>
    <w:rsid w:val="00CD3451"/>
    <w:rsid w:val="00CD5274"/>
    <w:rsid w:val="00D1648D"/>
    <w:rsid w:val="00D271AB"/>
    <w:rsid w:val="00D85F46"/>
    <w:rsid w:val="00D93C64"/>
    <w:rsid w:val="00D96304"/>
    <w:rsid w:val="00DA25D7"/>
    <w:rsid w:val="00DB37CD"/>
    <w:rsid w:val="00DC13A6"/>
    <w:rsid w:val="00DC406C"/>
    <w:rsid w:val="00E67647"/>
    <w:rsid w:val="00E80239"/>
    <w:rsid w:val="00EC6231"/>
    <w:rsid w:val="00ED40EC"/>
    <w:rsid w:val="00EE6857"/>
    <w:rsid w:val="00F546E0"/>
    <w:rsid w:val="00FD1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9C"/>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89C"/>
    <w:pPr>
      <w:tabs>
        <w:tab w:val="center" w:pos="4153"/>
        <w:tab w:val="right" w:pos="8306"/>
      </w:tabs>
    </w:pPr>
  </w:style>
  <w:style w:type="character" w:customStyle="1" w:styleId="HeaderChar">
    <w:name w:val="Header Char"/>
    <w:basedOn w:val="DefaultParagraphFont"/>
    <w:link w:val="Header"/>
    <w:rsid w:val="008C689C"/>
    <w:rPr>
      <w:rFonts w:ascii="Times New Roman" w:eastAsia="Times New Roman" w:hAnsi="Times New Roman" w:cs="Times New Roman"/>
      <w:sz w:val="28"/>
      <w:szCs w:val="20"/>
    </w:rPr>
  </w:style>
  <w:style w:type="character" w:styleId="PageNumber">
    <w:name w:val="page number"/>
    <w:basedOn w:val="DefaultParagraphFont"/>
    <w:rsid w:val="008C689C"/>
  </w:style>
  <w:style w:type="paragraph" w:styleId="BodyText">
    <w:name w:val="Body Text"/>
    <w:basedOn w:val="Normal"/>
    <w:link w:val="BodyTextChar"/>
    <w:uiPriority w:val="99"/>
    <w:unhideWhenUsed/>
    <w:rsid w:val="005C7F3F"/>
    <w:pPr>
      <w:spacing w:after="120"/>
    </w:pPr>
    <w:rPr>
      <w:sz w:val="24"/>
      <w:szCs w:val="24"/>
      <w:lang w:val="en-GB"/>
    </w:rPr>
  </w:style>
  <w:style w:type="character" w:customStyle="1" w:styleId="BodyTextChar">
    <w:name w:val="Body Text Char"/>
    <w:basedOn w:val="DefaultParagraphFont"/>
    <w:link w:val="BodyText"/>
    <w:uiPriority w:val="99"/>
    <w:rsid w:val="005C7F3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93C64"/>
    <w:rPr>
      <w:rFonts w:ascii="Tahoma" w:hAnsi="Tahoma" w:cs="Tahoma"/>
      <w:sz w:val="16"/>
      <w:szCs w:val="16"/>
    </w:rPr>
  </w:style>
  <w:style w:type="character" w:customStyle="1" w:styleId="BalloonTextChar">
    <w:name w:val="Balloon Text Char"/>
    <w:basedOn w:val="DefaultParagraphFont"/>
    <w:link w:val="BalloonText"/>
    <w:uiPriority w:val="99"/>
    <w:semiHidden/>
    <w:rsid w:val="00D93C64"/>
    <w:rPr>
      <w:rFonts w:ascii="Tahoma" w:eastAsia="Times New Roman" w:hAnsi="Tahoma" w:cs="Tahoma"/>
      <w:sz w:val="16"/>
      <w:szCs w:val="16"/>
    </w:rPr>
  </w:style>
  <w:style w:type="character" w:styleId="Hyperlink">
    <w:name w:val="Hyperlink"/>
    <w:basedOn w:val="DefaultParagraphFont"/>
    <w:rsid w:val="006135AD"/>
    <w:rPr>
      <w:rFonts w:cs="Times New Roman"/>
      <w:color w:val="0000FF"/>
      <w:u w:val="single"/>
    </w:rPr>
  </w:style>
  <w:style w:type="paragraph" w:styleId="Revision">
    <w:name w:val="Revision"/>
    <w:hidden/>
    <w:uiPriority w:val="99"/>
    <w:semiHidden/>
    <w:rsid w:val="00BC65F4"/>
    <w:pPr>
      <w:spacing w:after="0" w:line="240" w:lineRule="auto"/>
    </w:pPr>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B073B3"/>
    <w:pPr>
      <w:tabs>
        <w:tab w:val="center" w:pos="4153"/>
        <w:tab w:val="right" w:pos="8306"/>
      </w:tabs>
    </w:pPr>
  </w:style>
  <w:style w:type="character" w:customStyle="1" w:styleId="FooterChar">
    <w:name w:val="Footer Char"/>
    <w:basedOn w:val="DefaultParagraphFont"/>
    <w:link w:val="Footer"/>
    <w:uiPriority w:val="99"/>
    <w:rsid w:val="00B073B3"/>
    <w:rPr>
      <w:rFonts w:ascii="Times New Roman" w:eastAsia="Times New Roman" w:hAnsi="Times New Roman" w:cs="Times New Roman"/>
      <w:sz w:val="28"/>
      <w:szCs w:val="20"/>
    </w:rPr>
  </w:style>
  <w:style w:type="paragraph" w:styleId="ListParagraph">
    <w:name w:val="List Paragraph"/>
    <w:basedOn w:val="Normal"/>
    <w:uiPriority w:val="34"/>
    <w:qFormat/>
    <w:rsid w:val="00B8687D"/>
    <w:pPr>
      <w:ind w:left="720"/>
      <w:contextualSpacing/>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9C"/>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89C"/>
    <w:pPr>
      <w:tabs>
        <w:tab w:val="center" w:pos="4153"/>
        <w:tab w:val="right" w:pos="8306"/>
      </w:tabs>
    </w:pPr>
  </w:style>
  <w:style w:type="character" w:customStyle="1" w:styleId="HeaderChar">
    <w:name w:val="Header Char"/>
    <w:basedOn w:val="DefaultParagraphFont"/>
    <w:link w:val="Header"/>
    <w:rsid w:val="008C689C"/>
    <w:rPr>
      <w:rFonts w:ascii="Times New Roman" w:eastAsia="Times New Roman" w:hAnsi="Times New Roman" w:cs="Times New Roman"/>
      <w:sz w:val="28"/>
      <w:szCs w:val="20"/>
    </w:rPr>
  </w:style>
  <w:style w:type="character" w:styleId="PageNumber">
    <w:name w:val="page number"/>
    <w:basedOn w:val="DefaultParagraphFont"/>
    <w:rsid w:val="008C689C"/>
  </w:style>
  <w:style w:type="paragraph" w:styleId="BodyText">
    <w:name w:val="Body Text"/>
    <w:basedOn w:val="Normal"/>
    <w:link w:val="BodyTextChar"/>
    <w:uiPriority w:val="99"/>
    <w:unhideWhenUsed/>
    <w:rsid w:val="005C7F3F"/>
    <w:pPr>
      <w:spacing w:after="120"/>
    </w:pPr>
    <w:rPr>
      <w:sz w:val="24"/>
      <w:szCs w:val="24"/>
      <w:lang w:val="en-GB"/>
    </w:rPr>
  </w:style>
  <w:style w:type="character" w:customStyle="1" w:styleId="BodyTextChar">
    <w:name w:val="Body Text Char"/>
    <w:basedOn w:val="DefaultParagraphFont"/>
    <w:link w:val="BodyText"/>
    <w:uiPriority w:val="99"/>
    <w:rsid w:val="005C7F3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93C64"/>
    <w:rPr>
      <w:rFonts w:ascii="Tahoma" w:hAnsi="Tahoma" w:cs="Tahoma"/>
      <w:sz w:val="16"/>
      <w:szCs w:val="16"/>
    </w:rPr>
  </w:style>
  <w:style w:type="character" w:customStyle="1" w:styleId="BalloonTextChar">
    <w:name w:val="Balloon Text Char"/>
    <w:basedOn w:val="DefaultParagraphFont"/>
    <w:link w:val="BalloonText"/>
    <w:uiPriority w:val="99"/>
    <w:semiHidden/>
    <w:rsid w:val="00D93C64"/>
    <w:rPr>
      <w:rFonts w:ascii="Tahoma" w:eastAsia="Times New Roman" w:hAnsi="Tahoma" w:cs="Tahoma"/>
      <w:sz w:val="16"/>
      <w:szCs w:val="16"/>
    </w:rPr>
  </w:style>
  <w:style w:type="character" w:styleId="Hyperlink">
    <w:name w:val="Hyperlink"/>
    <w:basedOn w:val="DefaultParagraphFont"/>
    <w:rsid w:val="006135AD"/>
    <w:rPr>
      <w:rFonts w:cs="Times New Roman"/>
      <w:color w:val="0000FF"/>
      <w:u w:val="single"/>
    </w:rPr>
  </w:style>
  <w:style w:type="paragraph" w:styleId="Revision">
    <w:name w:val="Revision"/>
    <w:hidden/>
    <w:uiPriority w:val="99"/>
    <w:semiHidden/>
    <w:rsid w:val="00BC65F4"/>
    <w:pPr>
      <w:spacing w:after="0" w:line="240" w:lineRule="auto"/>
    </w:pPr>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B073B3"/>
    <w:pPr>
      <w:tabs>
        <w:tab w:val="center" w:pos="4153"/>
        <w:tab w:val="right" w:pos="8306"/>
      </w:tabs>
    </w:pPr>
  </w:style>
  <w:style w:type="character" w:customStyle="1" w:styleId="FooterChar">
    <w:name w:val="Footer Char"/>
    <w:basedOn w:val="DefaultParagraphFont"/>
    <w:link w:val="Footer"/>
    <w:uiPriority w:val="99"/>
    <w:rsid w:val="00B073B3"/>
    <w:rPr>
      <w:rFonts w:ascii="Times New Roman" w:eastAsia="Times New Roman" w:hAnsi="Times New Roman" w:cs="Times New Roman"/>
      <w:sz w:val="28"/>
      <w:szCs w:val="20"/>
    </w:rPr>
  </w:style>
  <w:style w:type="paragraph" w:styleId="ListParagraph">
    <w:name w:val="List Paragraph"/>
    <w:basedOn w:val="Normal"/>
    <w:uiPriority w:val="34"/>
    <w:qFormat/>
    <w:rsid w:val="00B8687D"/>
    <w:pPr>
      <w:ind w:left="720"/>
      <w:contextualSpacing/>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F392-98EA-4F85-A62B-68423E3F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12636</Words>
  <Characters>7203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tiesībsargam projekts</dc:title>
  <dc:subject>atbildes projekts</dc:subject>
  <dc:creator>Dace Trusinska</dc:creator>
  <dc:description>D.Trušinska, 67021553
Dace.Trusinska@lm.gov.lv</dc:description>
  <cp:lastModifiedBy>Dace Trusinska</cp:lastModifiedBy>
  <cp:revision>46</cp:revision>
  <dcterms:created xsi:type="dcterms:W3CDTF">2014-05-08T06:22:00Z</dcterms:created>
  <dcterms:modified xsi:type="dcterms:W3CDTF">2014-05-09T05:57:00Z</dcterms:modified>
</cp:coreProperties>
</file>