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E7" w:rsidRPr="009229EA" w:rsidRDefault="00661F4E" w:rsidP="001E4AE7">
      <w:pPr>
        <w:ind w:right="57" w:firstLine="720"/>
        <w:jc w:val="right"/>
      </w:pPr>
      <w:r>
        <w:t xml:space="preserve"> </w:t>
      </w:r>
      <w:r w:rsidR="001E4AE7">
        <w:t xml:space="preserve"> </w:t>
      </w:r>
      <w:r w:rsidR="001E4AE7" w:rsidRPr="009229EA">
        <w:t>(</w:t>
      </w:r>
      <w:r w:rsidR="001E4AE7">
        <w:t>apstiprināta</w:t>
      </w:r>
      <w:r w:rsidR="001E4AE7" w:rsidRPr="009229EA">
        <w:t xml:space="preserve"> </w:t>
      </w:r>
    </w:p>
    <w:p w:rsidR="001E4AE7" w:rsidRPr="009229EA" w:rsidRDefault="001E4AE7" w:rsidP="001E4AE7">
      <w:pPr>
        <w:ind w:right="57" w:firstLine="720"/>
        <w:jc w:val="right"/>
      </w:pPr>
      <w:r w:rsidRPr="009229EA">
        <w:t xml:space="preserve">ar Ministru kabineta </w:t>
      </w:r>
    </w:p>
    <w:p w:rsidR="001E4AE7" w:rsidRPr="009229EA" w:rsidRDefault="001E4AE7" w:rsidP="001E4AE7">
      <w:pPr>
        <w:ind w:right="57" w:firstLine="720"/>
        <w:jc w:val="right"/>
      </w:pPr>
      <w:r w:rsidRPr="009229EA">
        <w:t>201</w:t>
      </w:r>
      <w:r>
        <w:t>4</w:t>
      </w:r>
      <w:r w:rsidRPr="009229EA">
        <w:t>.gada                        </w:t>
      </w:r>
    </w:p>
    <w:p w:rsidR="001E4AE7" w:rsidRPr="009229EA" w:rsidRDefault="001E4AE7" w:rsidP="001E4AE7">
      <w:pPr>
        <w:ind w:right="57" w:firstLine="720"/>
        <w:jc w:val="right"/>
      </w:pPr>
      <w:r w:rsidRPr="009229EA">
        <w:t>rīkojumu Nr.</w:t>
      </w:r>
      <w:proofErr w:type="gramStart"/>
      <w:r w:rsidRPr="009229EA">
        <w:t>                )</w:t>
      </w:r>
      <w:proofErr w:type="gramEnd"/>
    </w:p>
    <w:p w:rsidR="005A601C" w:rsidRPr="009229EA" w:rsidRDefault="005A601C" w:rsidP="001E4AE7">
      <w:pPr>
        <w:ind w:right="57" w:firstLine="720"/>
        <w:jc w:val="right"/>
      </w:pPr>
    </w:p>
    <w:p w:rsidR="005A601C" w:rsidRPr="009229EA" w:rsidRDefault="005A601C" w:rsidP="005A601C">
      <w:pPr>
        <w:ind w:right="57"/>
        <w:jc w:val="center"/>
      </w:pPr>
    </w:p>
    <w:p w:rsidR="005A601C" w:rsidRPr="009229EA" w:rsidRDefault="005A601C" w:rsidP="005A601C">
      <w:pPr>
        <w:ind w:right="57"/>
        <w:jc w:val="center"/>
      </w:pPr>
    </w:p>
    <w:p w:rsidR="005A601C" w:rsidRPr="009229EA" w:rsidRDefault="005A601C" w:rsidP="005A601C">
      <w:pPr>
        <w:pStyle w:val="Heading1"/>
        <w:spacing w:before="0" w:after="0"/>
        <w:ind w:right="57"/>
        <w:jc w:val="center"/>
        <w:rPr>
          <w:b w:val="0"/>
          <w:bCs w:val="0"/>
          <w:szCs w:val="24"/>
        </w:rPr>
      </w:pPr>
    </w:p>
    <w:p w:rsidR="005A601C" w:rsidRPr="009229EA" w:rsidRDefault="005A601C" w:rsidP="005A601C">
      <w:pPr>
        <w:pStyle w:val="Heading1"/>
        <w:spacing w:before="0" w:after="0"/>
        <w:ind w:right="57"/>
        <w:jc w:val="center"/>
        <w:rPr>
          <w:b w:val="0"/>
          <w:bCs w:val="0"/>
          <w:szCs w:val="24"/>
        </w:rPr>
      </w:pPr>
    </w:p>
    <w:p w:rsidR="005A601C" w:rsidRPr="009229EA" w:rsidRDefault="005A601C" w:rsidP="005A601C">
      <w:pPr>
        <w:pStyle w:val="Heading1"/>
        <w:spacing w:before="0" w:after="0"/>
        <w:ind w:right="57"/>
        <w:jc w:val="center"/>
        <w:rPr>
          <w:b w:val="0"/>
          <w:bCs w:val="0"/>
          <w:szCs w:val="24"/>
        </w:rPr>
      </w:pPr>
    </w:p>
    <w:p w:rsidR="005A601C" w:rsidRPr="009229EA" w:rsidRDefault="005A601C" w:rsidP="005A601C">
      <w:pPr>
        <w:pStyle w:val="Heading1"/>
        <w:spacing w:before="0" w:after="0"/>
        <w:ind w:right="57"/>
        <w:jc w:val="center"/>
        <w:rPr>
          <w:b w:val="0"/>
          <w:bCs w:val="0"/>
          <w:szCs w:val="24"/>
        </w:rPr>
      </w:pPr>
    </w:p>
    <w:p w:rsidR="005A601C" w:rsidRPr="009229EA" w:rsidRDefault="005A601C" w:rsidP="005A601C">
      <w:pPr>
        <w:pStyle w:val="Heading1"/>
        <w:spacing w:before="0" w:after="0"/>
        <w:ind w:right="57"/>
        <w:jc w:val="center"/>
        <w:rPr>
          <w:b w:val="0"/>
          <w:bCs w:val="0"/>
          <w:szCs w:val="24"/>
        </w:rPr>
      </w:pPr>
    </w:p>
    <w:p w:rsidR="005A601C" w:rsidRPr="009229EA" w:rsidRDefault="005A601C" w:rsidP="005A601C">
      <w:pPr>
        <w:pStyle w:val="Heading1"/>
        <w:spacing w:before="0" w:after="0"/>
        <w:ind w:right="57"/>
        <w:jc w:val="center"/>
        <w:rPr>
          <w:b w:val="0"/>
          <w:bCs w:val="0"/>
          <w:szCs w:val="24"/>
        </w:rPr>
      </w:pPr>
    </w:p>
    <w:p w:rsidR="005A601C" w:rsidRPr="009229EA" w:rsidRDefault="005A601C" w:rsidP="005A601C">
      <w:pPr>
        <w:pStyle w:val="Heading1"/>
        <w:spacing w:before="0" w:after="0"/>
        <w:ind w:right="57"/>
        <w:jc w:val="center"/>
        <w:rPr>
          <w:b w:val="0"/>
          <w:bCs w:val="0"/>
          <w:szCs w:val="24"/>
        </w:rPr>
      </w:pPr>
    </w:p>
    <w:p w:rsidR="005A601C" w:rsidRPr="009229EA" w:rsidRDefault="005A601C" w:rsidP="005A601C">
      <w:pPr>
        <w:jc w:val="center"/>
        <w:rPr>
          <w:b/>
        </w:rPr>
      </w:pPr>
      <w:bookmarkStart w:id="0" w:name="_Toc151980944"/>
      <w:r w:rsidRPr="009229EA">
        <w:rPr>
          <w:b/>
        </w:rPr>
        <w:t>Koncepcija „</w:t>
      </w:r>
      <w:r w:rsidR="009B341F">
        <w:rPr>
          <w:b/>
        </w:rPr>
        <w:t>Par minimālā ienākuma līmeņa noteikšanu</w:t>
      </w:r>
      <w:r w:rsidRPr="009229EA">
        <w:rPr>
          <w:b/>
        </w:rPr>
        <w:t>”</w:t>
      </w:r>
    </w:p>
    <w:p w:rsidR="005A601C" w:rsidRPr="009229EA" w:rsidRDefault="005A601C" w:rsidP="005A601C">
      <w:pPr>
        <w:jc w:val="center"/>
        <w:rPr>
          <w:b/>
        </w:rPr>
      </w:pPr>
      <w:r w:rsidRPr="009229EA">
        <w:rPr>
          <w:b/>
        </w:rPr>
        <w:t>(informatīvā daļa)</w:t>
      </w: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rPr>
          <w:b/>
          <w:sz w:val="28"/>
          <w:szCs w:val="28"/>
        </w:rPr>
      </w:pPr>
    </w:p>
    <w:p w:rsidR="005A601C" w:rsidRPr="009229EA" w:rsidRDefault="005A601C" w:rsidP="005A601C">
      <w:pPr>
        <w:jc w:val="center"/>
        <w:rPr>
          <w:vanish/>
          <w:specVanish/>
        </w:rPr>
      </w:pPr>
      <w:r w:rsidRPr="009229EA">
        <w:rPr>
          <w:bCs/>
        </w:rPr>
        <w:t>Rīg</w:t>
      </w:r>
      <w:bookmarkEnd w:id="0"/>
      <w:r w:rsidRPr="009229EA">
        <w:rPr>
          <w:bCs/>
        </w:rPr>
        <w:t xml:space="preserve">a, </w:t>
      </w:r>
      <w:bookmarkStart w:id="1" w:name="_Toc149234139"/>
      <w:bookmarkStart w:id="2" w:name="_Toc149247185"/>
      <w:bookmarkStart w:id="3" w:name="_Toc149247772"/>
      <w:bookmarkStart w:id="4" w:name="_Toc150627434"/>
      <w:bookmarkStart w:id="5" w:name="_Toc151872009"/>
      <w:bookmarkStart w:id="6" w:name="_Toc151872830"/>
      <w:bookmarkStart w:id="7" w:name="_Toc151873227"/>
      <w:bookmarkStart w:id="8" w:name="_Toc151882359"/>
      <w:bookmarkStart w:id="9" w:name="_Toc151890256"/>
      <w:bookmarkStart w:id="10" w:name="_Toc151980069"/>
      <w:bookmarkStart w:id="11" w:name="_Toc151980945"/>
      <w:r w:rsidRPr="009229EA">
        <w:rPr>
          <w:bCs/>
        </w:rPr>
        <w:t>20</w:t>
      </w:r>
      <w:bookmarkEnd w:id="1"/>
      <w:bookmarkEnd w:id="2"/>
      <w:bookmarkEnd w:id="3"/>
      <w:bookmarkEnd w:id="4"/>
      <w:bookmarkEnd w:id="5"/>
      <w:bookmarkEnd w:id="6"/>
      <w:bookmarkEnd w:id="7"/>
      <w:bookmarkEnd w:id="8"/>
      <w:bookmarkEnd w:id="9"/>
      <w:bookmarkEnd w:id="10"/>
      <w:bookmarkEnd w:id="11"/>
      <w:r w:rsidRPr="009229EA">
        <w:rPr>
          <w:bCs/>
        </w:rPr>
        <w:t>1</w:t>
      </w:r>
      <w:r w:rsidR="009B341F">
        <w:rPr>
          <w:bCs/>
        </w:rPr>
        <w:t>4</w:t>
      </w:r>
      <w:r w:rsidRPr="009229EA">
        <w:br w:type="page"/>
      </w:r>
    </w:p>
    <w:p w:rsidR="005A601C" w:rsidRPr="009229EA" w:rsidRDefault="005A601C" w:rsidP="005A601C">
      <w:pPr>
        <w:jc w:val="center"/>
        <w:rPr>
          <w:b/>
        </w:rPr>
      </w:pPr>
      <w:r w:rsidRPr="009229EA">
        <w:rPr>
          <w:b/>
        </w:rPr>
        <w:t xml:space="preserve"> </w:t>
      </w:r>
    </w:p>
    <w:p w:rsidR="005A601C" w:rsidRPr="009229EA" w:rsidRDefault="005A601C" w:rsidP="005A601C">
      <w:pPr>
        <w:jc w:val="center"/>
        <w:rPr>
          <w:b/>
        </w:rPr>
      </w:pPr>
    </w:p>
    <w:p w:rsidR="005416A2" w:rsidRDefault="005416A2" w:rsidP="000550A1">
      <w:pPr>
        <w:jc w:val="center"/>
        <w:rPr>
          <w:b/>
          <w:szCs w:val="32"/>
        </w:rPr>
      </w:pPr>
      <w:r w:rsidRPr="009229EA">
        <w:rPr>
          <w:b/>
          <w:szCs w:val="32"/>
        </w:rPr>
        <w:t>Satura rādītājs</w:t>
      </w:r>
    </w:p>
    <w:p w:rsidR="008C70BB" w:rsidRPr="000550A1" w:rsidRDefault="008C70BB" w:rsidP="000550A1">
      <w:pPr>
        <w:jc w:val="center"/>
        <w:rPr>
          <w:b/>
          <w:szCs w:val="32"/>
        </w:rPr>
      </w:pPr>
    </w:p>
    <w:p w:rsidR="00E944E7" w:rsidRDefault="00E944E7">
      <w:pPr>
        <w:pStyle w:val="TOC1"/>
        <w:rPr>
          <w:lang w:val="lv-LV"/>
        </w:rPr>
      </w:pPr>
    </w:p>
    <w:p w:rsidR="00E04438" w:rsidRPr="00E04438" w:rsidRDefault="005416A2" w:rsidP="00E04438">
      <w:pPr>
        <w:pStyle w:val="TOC1"/>
        <w:spacing w:line="276" w:lineRule="auto"/>
        <w:rPr>
          <w:rFonts w:asciiTheme="minorHAnsi" w:eastAsiaTheme="minorEastAsia" w:hAnsiTheme="minorHAnsi" w:cstheme="minorBidi"/>
          <w:sz w:val="24"/>
          <w:szCs w:val="24"/>
          <w:lang w:val="lv-LV" w:eastAsia="lv-LV" w:bidi="ar-SA"/>
        </w:rPr>
      </w:pPr>
      <w:r w:rsidRPr="00E04438">
        <w:rPr>
          <w:sz w:val="24"/>
          <w:szCs w:val="24"/>
          <w:lang w:val="lv-LV"/>
        </w:rPr>
        <w:fldChar w:fldCharType="begin"/>
      </w:r>
      <w:r w:rsidRPr="00E04438">
        <w:rPr>
          <w:sz w:val="24"/>
          <w:szCs w:val="24"/>
          <w:lang w:val="lv-LV"/>
        </w:rPr>
        <w:instrText xml:space="preserve"> TOC \o "1-3" \h \z \u </w:instrText>
      </w:r>
      <w:r w:rsidRPr="00E04438">
        <w:rPr>
          <w:sz w:val="24"/>
          <w:szCs w:val="24"/>
          <w:lang w:val="lv-LV"/>
        </w:rPr>
        <w:fldChar w:fldCharType="separate"/>
      </w:r>
      <w:bookmarkStart w:id="12" w:name="_GoBack"/>
      <w:r w:rsidR="00E04438" w:rsidRPr="00E04438">
        <w:rPr>
          <w:rStyle w:val="Hyperlink"/>
          <w:sz w:val="24"/>
          <w:szCs w:val="24"/>
        </w:rPr>
        <w:fldChar w:fldCharType="begin"/>
      </w:r>
      <w:r w:rsidR="00E04438" w:rsidRPr="00E04438">
        <w:rPr>
          <w:rStyle w:val="Hyperlink"/>
          <w:sz w:val="24"/>
          <w:szCs w:val="24"/>
        </w:rPr>
        <w:instrText xml:space="preserve"> </w:instrText>
      </w:r>
      <w:r w:rsidR="00E04438" w:rsidRPr="00E04438">
        <w:rPr>
          <w:sz w:val="24"/>
          <w:szCs w:val="24"/>
        </w:rPr>
        <w:instrText>HYPERLINK \l "_Toc401572472"</w:instrText>
      </w:r>
      <w:r w:rsidR="00E04438" w:rsidRPr="00E04438">
        <w:rPr>
          <w:rStyle w:val="Hyperlink"/>
          <w:sz w:val="24"/>
          <w:szCs w:val="24"/>
        </w:rPr>
        <w:instrText xml:space="preserve"> </w:instrText>
      </w:r>
      <w:r w:rsidR="00E04438" w:rsidRPr="00E04438">
        <w:rPr>
          <w:rStyle w:val="Hyperlink"/>
          <w:sz w:val="24"/>
          <w:szCs w:val="24"/>
        </w:rPr>
      </w:r>
      <w:r w:rsidR="00E04438" w:rsidRPr="00E04438">
        <w:rPr>
          <w:rStyle w:val="Hyperlink"/>
          <w:sz w:val="24"/>
          <w:szCs w:val="24"/>
        </w:rPr>
        <w:fldChar w:fldCharType="separate"/>
      </w:r>
      <w:r w:rsidR="00E04438" w:rsidRPr="00E04438">
        <w:rPr>
          <w:rStyle w:val="Hyperlink"/>
          <w:sz w:val="24"/>
          <w:szCs w:val="24"/>
        </w:rPr>
        <w:t>Lietotie saīsinājumi</w:t>
      </w:r>
      <w:r w:rsidR="00E04438" w:rsidRPr="00E04438">
        <w:rPr>
          <w:webHidden/>
          <w:sz w:val="24"/>
          <w:szCs w:val="24"/>
        </w:rPr>
        <w:tab/>
      </w:r>
      <w:r w:rsidR="00E04438" w:rsidRPr="00E04438">
        <w:rPr>
          <w:webHidden/>
          <w:sz w:val="24"/>
          <w:szCs w:val="24"/>
        </w:rPr>
        <w:fldChar w:fldCharType="begin"/>
      </w:r>
      <w:r w:rsidR="00E04438" w:rsidRPr="00E04438">
        <w:rPr>
          <w:webHidden/>
          <w:sz w:val="24"/>
          <w:szCs w:val="24"/>
        </w:rPr>
        <w:instrText xml:space="preserve"> PAGEREF _Toc401572472 \h </w:instrText>
      </w:r>
      <w:r w:rsidR="00E04438" w:rsidRPr="00E04438">
        <w:rPr>
          <w:webHidden/>
          <w:sz w:val="24"/>
          <w:szCs w:val="24"/>
        </w:rPr>
      </w:r>
      <w:r w:rsidR="00E04438" w:rsidRPr="00E04438">
        <w:rPr>
          <w:webHidden/>
          <w:sz w:val="24"/>
          <w:szCs w:val="24"/>
        </w:rPr>
        <w:fldChar w:fldCharType="separate"/>
      </w:r>
      <w:r w:rsidR="00E04438" w:rsidRPr="00E04438">
        <w:rPr>
          <w:webHidden/>
          <w:sz w:val="24"/>
          <w:szCs w:val="24"/>
        </w:rPr>
        <w:t>3</w:t>
      </w:r>
      <w:r w:rsidR="00E04438" w:rsidRPr="00E04438">
        <w:rPr>
          <w:webHidden/>
          <w:sz w:val="24"/>
          <w:szCs w:val="24"/>
        </w:rPr>
        <w:fldChar w:fldCharType="end"/>
      </w:r>
      <w:r w:rsidR="00E04438" w:rsidRPr="00E04438">
        <w:rPr>
          <w:rStyle w:val="Hyperlink"/>
          <w:sz w:val="24"/>
          <w:szCs w:val="24"/>
        </w:rPr>
        <w:fldChar w:fldCharType="end"/>
      </w:r>
    </w:p>
    <w:bookmarkEnd w:id="12"/>
    <w:p w:rsidR="00E04438" w:rsidRPr="00E04438" w:rsidRDefault="00E04438" w:rsidP="00E04438">
      <w:pPr>
        <w:pStyle w:val="TOC1"/>
        <w:spacing w:line="276" w:lineRule="auto"/>
        <w:rPr>
          <w:rFonts w:asciiTheme="minorHAnsi" w:eastAsiaTheme="minorEastAsia" w:hAnsiTheme="minorHAnsi" w:cstheme="minorBidi"/>
          <w:sz w:val="24"/>
          <w:szCs w:val="24"/>
          <w:lang w:val="lv-LV" w:eastAsia="lv-LV" w:bidi="ar-SA"/>
        </w:rPr>
      </w:pPr>
      <w:r w:rsidRPr="00E04438">
        <w:rPr>
          <w:rStyle w:val="Hyperlink"/>
          <w:sz w:val="24"/>
          <w:szCs w:val="24"/>
        </w:rPr>
        <w:fldChar w:fldCharType="begin"/>
      </w:r>
      <w:r w:rsidRPr="00E04438">
        <w:rPr>
          <w:rStyle w:val="Hyperlink"/>
          <w:sz w:val="24"/>
          <w:szCs w:val="24"/>
        </w:rPr>
        <w:instrText xml:space="preserve"> </w:instrText>
      </w:r>
      <w:r w:rsidRPr="00E04438">
        <w:rPr>
          <w:sz w:val="24"/>
          <w:szCs w:val="24"/>
        </w:rPr>
        <w:instrText>HYPERLINK \l "_Toc401572473"</w:instrText>
      </w:r>
      <w:r w:rsidRPr="00E04438">
        <w:rPr>
          <w:rStyle w:val="Hyperlink"/>
          <w:sz w:val="24"/>
          <w:szCs w:val="24"/>
        </w:rPr>
        <w:instrText xml:space="preserve"> </w:instrText>
      </w:r>
      <w:r w:rsidRPr="00E04438">
        <w:rPr>
          <w:rStyle w:val="Hyperlink"/>
          <w:sz w:val="24"/>
          <w:szCs w:val="24"/>
        </w:rPr>
      </w:r>
      <w:r w:rsidRPr="00E04438">
        <w:rPr>
          <w:rStyle w:val="Hyperlink"/>
          <w:sz w:val="24"/>
          <w:szCs w:val="24"/>
        </w:rPr>
        <w:fldChar w:fldCharType="separate"/>
      </w:r>
      <w:r w:rsidRPr="00E04438">
        <w:rPr>
          <w:rStyle w:val="Hyperlink"/>
          <w:sz w:val="24"/>
          <w:szCs w:val="24"/>
        </w:rPr>
        <w:t>Ievads</w:t>
      </w:r>
      <w:r w:rsidRPr="00E04438">
        <w:rPr>
          <w:webHidden/>
          <w:sz w:val="24"/>
          <w:szCs w:val="24"/>
        </w:rPr>
        <w:tab/>
      </w:r>
      <w:r w:rsidRPr="00E04438">
        <w:rPr>
          <w:webHidden/>
          <w:sz w:val="24"/>
          <w:szCs w:val="24"/>
        </w:rPr>
        <w:fldChar w:fldCharType="begin"/>
      </w:r>
      <w:r w:rsidRPr="00E04438">
        <w:rPr>
          <w:webHidden/>
          <w:sz w:val="24"/>
          <w:szCs w:val="24"/>
        </w:rPr>
        <w:instrText xml:space="preserve"> PAGEREF _Toc401572473 \h </w:instrText>
      </w:r>
      <w:r w:rsidRPr="00E04438">
        <w:rPr>
          <w:webHidden/>
          <w:sz w:val="24"/>
          <w:szCs w:val="24"/>
        </w:rPr>
      </w:r>
      <w:r w:rsidRPr="00E04438">
        <w:rPr>
          <w:webHidden/>
          <w:sz w:val="24"/>
          <w:szCs w:val="24"/>
        </w:rPr>
        <w:fldChar w:fldCharType="separate"/>
      </w:r>
      <w:r w:rsidRPr="00E04438">
        <w:rPr>
          <w:webHidden/>
          <w:sz w:val="24"/>
          <w:szCs w:val="24"/>
        </w:rPr>
        <w:t>4</w:t>
      </w:r>
      <w:r w:rsidRPr="00E04438">
        <w:rPr>
          <w:webHidden/>
          <w:sz w:val="24"/>
          <w:szCs w:val="24"/>
        </w:rPr>
        <w:fldChar w:fldCharType="end"/>
      </w:r>
      <w:r w:rsidRPr="00E04438">
        <w:rPr>
          <w:rStyle w:val="Hyperlink"/>
          <w:sz w:val="24"/>
          <w:szCs w:val="24"/>
        </w:rPr>
        <w:fldChar w:fldCharType="end"/>
      </w:r>
    </w:p>
    <w:p w:rsidR="00E04438" w:rsidRPr="00E04438" w:rsidRDefault="00E04438" w:rsidP="00E04438">
      <w:pPr>
        <w:pStyle w:val="TOC1"/>
        <w:spacing w:line="276" w:lineRule="auto"/>
        <w:rPr>
          <w:rFonts w:asciiTheme="minorHAnsi" w:eastAsiaTheme="minorEastAsia" w:hAnsiTheme="minorHAnsi" w:cstheme="minorBidi"/>
          <w:sz w:val="24"/>
          <w:szCs w:val="24"/>
          <w:lang w:val="lv-LV" w:eastAsia="lv-LV" w:bidi="ar-SA"/>
        </w:rPr>
      </w:pPr>
      <w:hyperlink w:anchor="_Toc401572474" w:history="1">
        <w:r w:rsidRPr="00E04438">
          <w:rPr>
            <w:rStyle w:val="Hyperlink"/>
            <w:sz w:val="24"/>
            <w:szCs w:val="24"/>
          </w:rPr>
          <w:t>1.Problēmas formulējums un detalizēts izklāsts</w:t>
        </w:r>
        <w:r w:rsidRPr="00E04438">
          <w:rPr>
            <w:webHidden/>
            <w:sz w:val="24"/>
            <w:szCs w:val="24"/>
          </w:rPr>
          <w:tab/>
        </w:r>
        <w:r w:rsidRPr="00E04438">
          <w:rPr>
            <w:webHidden/>
            <w:sz w:val="24"/>
            <w:szCs w:val="24"/>
          </w:rPr>
          <w:fldChar w:fldCharType="begin"/>
        </w:r>
        <w:r w:rsidRPr="00E04438">
          <w:rPr>
            <w:webHidden/>
            <w:sz w:val="24"/>
            <w:szCs w:val="24"/>
          </w:rPr>
          <w:instrText xml:space="preserve"> PAGEREF _Toc401572474 \h </w:instrText>
        </w:r>
        <w:r w:rsidRPr="00E04438">
          <w:rPr>
            <w:webHidden/>
            <w:sz w:val="24"/>
            <w:szCs w:val="24"/>
          </w:rPr>
        </w:r>
        <w:r w:rsidRPr="00E04438">
          <w:rPr>
            <w:webHidden/>
            <w:sz w:val="24"/>
            <w:szCs w:val="24"/>
          </w:rPr>
          <w:fldChar w:fldCharType="separate"/>
        </w:r>
        <w:r w:rsidRPr="00E04438">
          <w:rPr>
            <w:webHidden/>
            <w:sz w:val="24"/>
            <w:szCs w:val="24"/>
          </w:rPr>
          <w:t>7</w:t>
        </w:r>
        <w:r w:rsidRPr="00E04438">
          <w:rPr>
            <w:webHidden/>
            <w:sz w:val="24"/>
            <w:szCs w:val="24"/>
          </w:rPr>
          <w:fldChar w:fldCharType="end"/>
        </w:r>
      </w:hyperlink>
    </w:p>
    <w:p w:rsidR="00E04438" w:rsidRPr="00E04438" w:rsidRDefault="00E04438" w:rsidP="00E04438">
      <w:pPr>
        <w:pStyle w:val="TOC2"/>
        <w:spacing w:line="276" w:lineRule="auto"/>
        <w:rPr>
          <w:rFonts w:asciiTheme="minorHAnsi" w:eastAsiaTheme="minorEastAsia" w:hAnsiTheme="minorHAnsi" w:cstheme="minorBidi"/>
          <w:noProof/>
          <w:lang w:eastAsia="lv-LV"/>
        </w:rPr>
      </w:pPr>
      <w:hyperlink w:anchor="_Toc401572475" w:history="1">
        <w:r w:rsidRPr="00E04438">
          <w:rPr>
            <w:rStyle w:val="Hyperlink"/>
            <w:noProof/>
          </w:rPr>
          <w:t>1.1.</w:t>
        </w:r>
        <w:r w:rsidRPr="00E04438">
          <w:rPr>
            <w:rFonts w:asciiTheme="minorHAnsi" w:eastAsiaTheme="minorEastAsia" w:hAnsiTheme="minorHAnsi" w:cstheme="minorBidi"/>
            <w:noProof/>
            <w:lang w:eastAsia="lv-LV"/>
          </w:rPr>
          <w:tab/>
        </w:r>
        <w:r w:rsidRPr="00E04438">
          <w:rPr>
            <w:rStyle w:val="Hyperlink"/>
            <w:noProof/>
          </w:rPr>
          <w:t>Minimālie ienākumu līmeņi / nabadzības riska sliekšņi Latvijā 1991.-2013.gadam</w:t>
        </w:r>
        <w:r w:rsidRPr="00E04438">
          <w:rPr>
            <w:noProof/>
            <w:webHidden/>
          </w:rPr>
          <w:tab/>
        </w:r>
        <w:r w:rsidRPr="00E04438">
          <w:rPr>
            <w:noProof/>
            <w:webHidden/>
          </w:rPr>
          <w:fldChar w:fldCharType="begin"/>
        </w:r>
        <w:r w:rsidRPr="00E04438">
          <w:rPr>
            <w:noProof/>
            <w:webHidden/>
          </w:rPr>
          <w:instrText xml:space="preserve"> PAGEREF _Toc401572475 \h </w:instrText>
        </w:r>
        <w:r w:rsidRPr="00E04438">
          <w:rPr>
            <w:noProof/>
            <w:webHidden/>
          </w:rPr>
        </w:r>
        <w:r w:rsidRPr="00E04438">
          <w:rPr>
            <w:noProof/>
            <w:webHidden/>
          </w:rPr>
          <w:fldChar w:fldCharType="separate"/>
        </w:r>
        <w:r w:rsidRPr="00E04438">
          <w:rPr>
            <w:noProof/>
            <w:webHidden/>
          </w:rPr>
          <w:t>7</w:t>
        </w:r>
        <w:r w:rsidRPr="00E04438">
          <w:rPr>
            <w:noProof/>
            <w:webHidden/>
          </w:rPr>
          <w:fldChar w:fldCharType="end"/>
        </w:r>
      </w:hyperlink>
    </w:p>
    <w:p w:rsidR="00E04438" w:rsidRPr="00E04438" w:rsidRDefault="00E04438" w:rsidP="00E04438">
      <w:pPr>
        <w:pStyle w:val="TOC2"/>
        <w:spacing w:line="276" w:lineRule="auto"/>
        <w:rPr>
          <w:rFonts w:asciiTheme="minorHAnsi" w:eastAsiaTheme="minorEastAsia" w:hAnsiTheme="minorHAnsi" w:cstheme="minorBidi"/>
          <w:noProof/>
          <w:lang w:eastAsia="lv-LV"/>
        </w:rPr>
      </w:pPr>
      <w:hyperlink w:anchor="_Toc401572476" w:history="1">
        <w:r w:rsidRPr="00E04438">
          <w:rPr>
            <w:rStyle w:val="Hyperlink"/>
            <w:noProof/>
          </w:rPr>
          <w:t>1.1.1.</w:t>
        </w:r>
        <w:r w:rsidRPr="00E04438">
          <w:rPr>
            <w:rFonts w:asciiTheme="minorHAnsi" w:eastAsiaTheme="minorEastAsia" w:hAnsiTheme="minorHAnsi" w:cstheme="minorBidi"/>
            <w:noProof/>
            <w:lang w:eastAsia="lv-LV"/>
          </w:rPr>
          <w:tab/>
        </w:r>
        <w:r w:rsidRPr="00E04438">
          <w:rPr>
            <w:rStyle w:val="Hyperlink"/>
            <w:noProof/>
          </w:rPr>
          <w:t>Iztikas minimums</w:t>
        </w:r>
        <w:r w:rsidRPr="00E04438">
          <w:rPr>
            <w:noProof/>
            <w:webHidden/>
          </w:rPr>
          <w:tab/>
        </w:r>
        <w:r w:rsidRPr="00E04438">
          <w:rPr>
            <w:noProof/>
            <w:webHidden/>
          </w:rPr>
          <w:fldChar w:fldCharType="begin"/>
        </w:r>
        <w:r w:rsidRPr="00E04438">
          <w:rPr>
            <w:noProof/>
            <w:webHidden/>
          </w:rPr>
          <w:instrText xml:space="preserve"> PAGEREF _Toc401572476 \h </w:instrText>
        </w:r>
        <w:r w:rsidRPr="00E04438">
          <w:rPr>
            <w:noProof/>
            <w:webHidden/>
          </w:rPr>
        </w:r>
        <w:r w:rsidRPr="00E04438">
          <w:rPr>
            <w:noProof/>
            <w:webHidden/>
          </w:rPr>
          <w:fldChar w:fldCharType="separate"/>
        </w:r>
        <w:r w:rsidRPr="00E04438">
          <w:rPr>
            <w:noProof/>
            <w:webHidden/>
          </w:rPr>
          <w:t>9</w:t>
        </w:r>
        <w:r w:rsidRPr="00E04438">
          <w:rPr>
            <w:noProof/>
            <w:webHidden/>
          </w:rPr>
          <w:fldChar w:fldCharType="end"/>
        </w:r>
      </w:hyperlink>
    </w:p>
    <w:p w:rsidR="00E04438" w:rsidRPr="00E04438" w:rsidRDefault="00E04438" w:rsidP="00E04438">
      <w:pPr>
        <w:pStyle w:val="TOC2"/>
        <w:spacing w:line="276" w:lineRule="auto"/>
        <w:rPr>
          <w:rFonts w:asciiTheme="minorHAnsi" w:eastAsiaTheme="minorEastAsia" w:hAnsiTheme="minorHAnsi" w:cstheme="minorBidi"/>
          <w:noProof/>
          <w:lang w:eastAsia="lv-LV"/>
        </w:rPr>
      </w:pPr>
      <w:hyperlink w:anchor="_Toc401572477" w:history="1">
        <w:r w:rsidRPr="00E04438">
          <w:rPr>
            <w:rStyle w:val="Hyperlink"/>
            <w:noProof/>
          </w:rPr>
          <w:t>1.1.2.</w:t>
        </w:r>
        <w:r w:rsidRPr="00E04438">
          <w:rPr>
            <w:rFonts w:asciiTheme="minorHAnsi" w:eastAsiaTheme="minorEastAsia" w:hAnsiTheme="minorHAnsi" w:cstheme="minorBidi"/>
            <w:noProof/>
            <w:lang w:eastAsia="lv-LV"/>
          </w:rPr>
          <w:tab/>
        </w:r>
        <w:r w:rsidRPr="00E04438">
          <w:rPr>
            <w:rStyle w:val="Hyperlink"/>
            <w:noProof/>
          </w:rPr>
          <w:t>Trūcīgas ģimenes (personas) statusam atbilstošs ienākumu līmenis</w:t>
        </w:r>
        <w:r w:rsidRPr="00E04438">
          <w:rPr>
            <w:noProof/>
            <w:webHidden/>
          </w:rPr>
          <w:tab/>
        </w:r>
        <w:r w:rsidRPr="00E04438">
          <w:rPr>
            <w:noProof/>
            <w:webHidden/>
          </w:rPr>
          <w:fldChar w:fldCharType="begin"/>
        </w:r>
        <w:r w:rsidRPr="00E04438">
          <w:rPr>
            <w:noProof/>
            <w:webHidden/>
          </w:rPr>
          <w:instrText xml:space="preserve"> PAGEREF _Toc401572477 \h </w:instrText>
        </w:r>
        <w:r w:rsidRPr="00E04438">
          <w:rPr>
            <w:noProof/>
            <w:webHidden/>
          </w:rPr>
        </w:r>
        <w:r w:rsidRPr="00E04438">
          <w:rPr>
            <w:noProof/>
            <w:webHidden/>
          </w:rPr>
          <w:fldChar w:fldCharType="separate"/>
        </w:r>
        <w:r w:rsidRPr="00E04438">
          <w:rPr>
            <w:noProof/>
            <w:webHidden/>
          </w:rPr>
          <w:t>12</w:t>
        </w:r>
        <w:r w:rsidRPr="00E04438">
          <w:rPr>
            <w:noProof/>
            <w:webHidden/>
          </w:rPr>
          <w:fldChar w:fldCharType="end"/>
        </w:r>
      </w:hyperlink>
    </w:p>
    <w:p w:rsidR="00E04438" w:rsidRPr="00E04438" w:rsidRDefault="00E04438" w:rsidP="00E04438">
      <w:pPr>
        <w:pStyle w:val="TOC2"/>
        <w:spacing w:line="276" w:lineRule="auto"/>
        <w:rPr>
          <w:rFonts w:asciiTheme="minorHAnsi" w:eastAsiaTheme="minorEastAsia" w:hAnsiTheme="minorHAnsi" w:cstheme="minorBidi"/>
          <w:noProof/>
          <w:lang w:eastAsia="lv-LV"/>
        </w:rPr>
      </w:pPr>
      <w:hyperlink w:anchor="_Toc401572478" w:history="1">
        <w:r w:rsidRPr="00E04438">
          <w:rPr>
            <w:rStyle w:val="Hyperlink"/>
            <w:noProof/>
          </w:rPr>
          <w:t>1.1.3.</w:t>
        </w:r>
        <w:r w:rsidRPr="00E04438">
          <w:rPr>
            <w:rFonts w:asciiTheme="minorHAnsi" w:eastAsiaTheme="minorEastAsia" w:hAnsiTheme="minorHAnsi" w:cstheme="minorBidi"/>
            <w:noProof/>
            <w:lang w:eastAsia="lv-LV"/>
          </w:rPr>
          <w:tab/>
        </w:r>
        <w:r w:rsidRPr="00E04438">
          <w:rPr>
            <w:rStyle w:val="Hyperlink"/>
            <w:noProof/>
          </w:rPr>
          <w:t>Maznodrošinātās personas statusam atbilstošs ienākumu līmenis</w:t>
        </w:r>
        <w:r w:rsidRPr="00E04438">
          <w:rPr>
            <w:noProof/>
            <w:webHidden/>
          </w:rPr>
          <w:tab/>
        </w:r>
        <w:r w:rsidRPr="00E04438">
          <w:rPr>
            <w:noProof/>
            <w:webHidden/>
          </w:rPr>
          <w:fldChar w:fldCharType="begin"/>
        </w:r>
        <w:r w:rsidRPr="00E04438">
          <w:rPr>
            <w:noProof/>
            <w:webHidden/>
          </w:rPr>
          <w:instrText xml:space="preserve"> PAGEREF _Toc401572478 \h </w:instrText>
        </w:r>
        <w:r w:rsidRPr="00E04438">
          <w:rPr>
            <w:noProof/>
            <w:webHidden/>
          </w:rPr>
        </w:r>
        <w:r w:rsidRPr="00E04438">
          <w:rPr>
            <w:noProof/>
            <w:webHidden/>
          </w:rPr>
          <w:fldChar w:fldCharType="separate"/>
        </w:r>
        <w:r w:rsidRPr="00E04438">
          <w:rPr>
            <w:noProof/>
            <w:webHidden/>
          </w:rPr>
          <w:t>13</w:t>
        </w:r>
        <w:r w:rsidRPr="00E04438">
          <w:rPr>
            <w:noProof/>
            <w:webHidden/>
          </w:rPr>
          <w:fldChar w:fldCharType="end"/>
        </w:r>
      </w:hyperlink>
    </w:p>
    <w:p w:rsidR="00E04438" w:rsidRPr="00E04438" w:rsidRDefault="00E04438" w:rsidP="00E04438">
      <w:pPr>
        <w:pStyle w:val="TOC2"/>
        <w:spacing w:line="276" w:lineRule="auto"/>
        <w:rPr>
          <w:rFonts w:asciiTheme="minorHAnsi" w:eastAsiaTheme="minorEastAsia" w:hAnsiTheme="minorHAnsi" w:cstheme="minorBidi"/>
          <w:noProof/>
          <w:lang w:eastAsia="lv-LV"/>
        </w:rPr>
      </w:pPr>
      <w:hyperlink w:anchor="_Toc401572479" w:history="1">
        <w:r w:rsidRPr="00E04438">
          <w:rPr>
            <w:rStyle w:val="Hyperlink"/>
            <w:noProof/>
          </w:rPr>
          <w:t>1.1.4.</w:t>
        </w:r>
        <w:r w:rsidRPr="00E04438">
          <w:rPr>
            <w:rFonts w:asciiTheme="minorHAnsi" w:eastAsiaTheme="minorEastAsia" w:hAnsiTheme="minorHAnsi" w:cstheme="minorBidi"/>
            <w:noProof/>
            <w:lang w:eastAsia="lv-LV"/>
          </w:rPr>
          <w:tab/>
        </w:r>
        <w:r w:rsidRPr="00E04438">
          <w:rPr>
            <w:rStyle w:val="Hyperlink"/>
            <w:noProof/>
          </w:rPr>
          <w:t>Garantētais minimālā ienākuma līmenis</w:t>
        </w:r>
        <w:r w:rsidRPr="00E04438">
          <w:rPr>
            <w:noProof/>
            <w:webHidden/>
          </w:rPr>
          <w:tab/>
        </w:r>
        <w:r w:rsidRPr="00E04438">
          <w:rPr>
            <w:noProof/>
            <w:webHidden/>
          </w:rPr>
          <w:fldChar w:fldCharType="begin"/>
        </w:r>
        <w:r w:rsidRPr="00E04438">
          <w:rPr>
            <w:noProof/>
            <w:webHidden/>
          </w:rPr>
          <w:instrText xml:space="preserve"> PAGEREF _Toc401572479 \h </w:instrText>
        </w:r>
        <w:r w:rsidRPr="00E04438">
          <w:rPr>
            <w:noProof/>
            <w:webHidden/>
          </w:rPr>
        </w:r>
        <w:r w:rsidRPr="00E04438">
          <w:rPr>
            <w:noProof/>
            <w:webHidden/>
          </w:rPr>
          <w:fldChar w:fldCharType="separate"/>
        </w:r>
        <w:r w:rsidRPr="00E04438">
          <w:rPr>
            <w:noProof/>
            <w:webHidden/>
          </w:rPr>
          <w:t>15</w:t>
        </w:r>
        <w:r w:rsidRPr="00E04438">
          <w:rPr>
            <w:noProof/>
            <w:webHidden/>
          </w:rPr>
          <w:fldChar w:fldCharType="end"/>
        </w:r>
      </w:hyperlink>
    </w:p>
    <w:p w:rsidR="00E04438" w:rsidRPr="00E04438" w:rsidRDefault="00E04438" w:rsidP="00E04438">
      <w:pPr>
        <w:pStyle w:val="TOC2"/>
        <w:spacing w:line="276" w:lineRule="auto"/>
        <w:rPr>
          <w:rFonts w:asciiTheme="minorHAnsi" w:eastAsiaTheme="minorEastAsia" w:hAnsiTheme="minorHAnsi" w:cstheme="minorBidi"/>
          <w:noProof/>
          <w:lang w:eastAsia="lv-LV"/>
        </w:rPr>
      </w:pPr>
      <w:hyperlink w:anchor="_Toc401572480" w:history="1">
        <w:r w:rsidRPr="00E04438">
          <w:rPr>
            <w:rStyle w:val="Hyperlink"/>
            <w:noProof/>
          </w:rPr>
          <w:t>1.1.5.</w:t>
        </w:r>
        <w:r w:rsidRPr="00E04438">
          <w:rPr>
            <w:rFonts w:asciiTheme="minorHAnsi" w:eastAsiaTheme="minorEastAsia" w:hAnsiTheme="minorHAnsi" w:cstheme="minorBidi"/>
            <w:noProof/>
            <w:lang w:eastAsia="lv-LV"/>
          </w:rPr>
          <w:tab/>
        </w:r>
        <w:r w:rsidRPr="00E04438">
          <w:rPr>
            <w:rStyle w:val="Hyperlink"/>
            <w:noProof/>
          </w:rPr>
          <w:t>(ES) Nabadzības riska slieksnis</w:t>
        </w:r>
        <w:r w:rsidRPr="00E04438">
          <w:rPr>
            <w:noProof/>
            <w:webHidden/>
          </w:rPr>
          <w:tab/>
        </w:r>
        <w:r w:rsidRPr="00E04438">
          <w:rPr>
            <w:noProof/>
            <w:webHidden/>
          </w:rPr>
          <w:fldChar w:fldCharType="begin"/>
        </w:r>
        <w:r w:rsidRPr="00E04438">
          <w:rPr>
            <w:noProof/>
            <w:webHidden/>
          </w:rPr>
          <w:instrText xml:space="preserve"> PAGEREF _Toc401572480 \h </w:instrText>
        </w:r>
        <w:r w:rsidRPr="00E04438">
          <w:rPr>
            <w:noProof/>
            <w:webHidden/>
          </w:rPr>
        </w:r>
        <w:r w:rsidRPr="00E04438">
          <w:rPr>
            <w:noProof/>
            <w:webHidden/>
          </w:rPr>
          <w:fldChar w:fldCharType="separate"/>
        </w:r>
        <w:r w:rsidRPr="00E04438">
          <w:rPr>
            <w:noProof/>
            <w:webHidden/>
          </w:rPr>
          <w:t>17</w:t>
        </w:r>
        <w:r w:rsidRPr="00E04438">
          <w:rPr>
            <w:noProof/>
            <w:webHidden/>
          </w:rPr>
          <w:fldChar w:fldCharType="end"/>
        </w:r>
      </w:hyperlink>
    </w:p>
    <w:p w:rsidR="00E04438" w:rsidRPr="00E04438" w:rsidRDefault="00E04438" w:rsidP="00E04438">
      <w:pPr>
        <w:pStyle w:val="TOC2"/>
        <w:spacing w:line="276" w:lineRule="auto"/>
        <w:rPr>
          <w:rFonts w:asciiTheme="minorHAnsi" w:eastAsiaTheme="minorEastAsia" w:hAnsiTheme="minorHAnsi" w:cstheme="minorBidi"/>
          <w:noProof/>
          <w:lang w:eastAsia="lv-LV"/>
        </w:rPr>
      </w:pPr>
      <w:hyperlink w:anchor="_Toc401572481" w:history="1">
        <w:r w:rsidRPr="00E04438">
          <w:rPr>
            <w:rStyle w:val="Hyperlink"/>
            <w:noProof/>
          </w:rPr>
          <w:t>1.2.</w:t>
        </w:r>
        <w:r w:rsidRPr="00E04438">
          <w:rPr>
            <w:rFonts w:asciiTheme="minorHAnsi" w:eastAsiaTheme="minorEastAsia" w:hAnsiTheme="minorHAnsi" w:cstheme="minorBidi"/>
            <w:noProof/>
            <w:lang w:eastAsia="lv-LV"/>
          </w:rPr>
          <w:tab/>
        </w:r>
        <w:r w:rsidRPr="00E04438">
          <w:rPr>
            <w:rStyle w:val="Hyperlink"/>
            <w:noProof/>
          </w:rPr>
          <w:t>Sociālo transfertu ietekme uz nabadzības samazināšanu.</w:t>
        </w:r>
        <w:r w:rsidRPr="00E04438">
          <w:rPr>
            <w:noProof/>
            <w:webHidden/>
          </w:rPr>
          <w:tab/>
        </w:r>
        <w:r w:rsidRPr="00E04438">
          <w:rPr>
            <w:noProof/>
            <w:webHidden/>
          </w:rPr>
          <w:fldChar w:fldCharType="begin"/>
        </w:r>
        <w:r w:rsidRPr="00E04438">
          <w:rPr>
            <w:noProof/>
            <w:webHidden/>
          </w:rPr>
          <w:instrText xml:space="preserve"> PAGEREF _Toc401572481 \h </w:instrText>
        </w:r>
        <w:r w:rsidRPr="00E04438">
          <w:rPr>
            <w:noProof/>
            <w:webHidden/>
          </w:rPr>
        </w:r>
        <w:r w:rsidRPr="00E04438">
          <w:rPr>
            <w:noProof/>
            <w:webHidden/>
          </w:rPr>
          <w:fldChar w:fldCharType="separate"/>
        </w:r>
        <w:r w:rsidRPr="00E04438">
          <w:rPr>
            <w:noProof/>
            <w:webHidden/>
          </w:rPr>
          <w:t>21</w:t>
        </w:r>
        <w:r w:rsidRPr="00E04438">
          <w:rPr>
            <w:noProof/>
            <w:webHidden/>
          </w:rPr>
          <w:fldChar w:fldCharType="end"/>
        </w:r>
      </w:hyperlink>
    </w:p>
    <w:p w:rsidR="00E04438" w:rsidRPr="00E04438" w:rsidRDefault="00E04438" w:rsidP="00E04438">
      <w:pPr>
        <w:pStyle w:val="TOC2"/>
        <w:spacing w:line="276" w:lineRule="auto"/>
        <w:rPr>
          <w:rFonts w:asciiTheme="minorHAnsi" w:eastAsiaTheme="minorEastAsia" w:hAnsiTheme="minorHAnsi" w:cstheme="minorBidi"/>
          <w:noProof/>
          <w:lang w:eastAsia="lv-LV"/>
        </w:rPr>
      </w:pPr>
      <w:hyperlink w:anchor="_Toc401572482" w:history="1">
        <w:r w:rsidRPr="00E04438">
          <w:rPr>
            <w:rStyle w:val="Hyperlink"/>
            <w:noProof/>
          </w:rPr>
          <w:t>1.3.</w:t>
        </w:r>
        <w:r w:rsidRPr="00E04438">
          <w:rPr>
            <w:rFonts w:asciiTheme="minorHAnsi" w:eastAsiaTheme="minorEastAsia" w:hAnsiTheme="minorHAnsi" w:cstheme="minorBidi"/>
            <w:noProof/>
            <w:lang w:eastAsia="lv-LV"/>
          </w:rPr>
          <w:tab/>
        </w:r>
        <w:r w:rsidRPr="00E04438">
          <w:rPr>
            <w:rStyle w:val="Hyperlink"/>
            <w:noProof/>
          </w:rPr>
          <w:t>Ienākumu nevienlīdzība</w:t>
        </w:r>
        <w:r w:rsidRPr="00E04438">
          <w:rPr>
            <w:noProof/>
            <w:webHidden/>
          </w:rPr>
          <w:tab/>
        </w:r>
        <w:r w:rsidRPr="00E04438">
          <w:rPr>
            <w:noProof/>
            <w:webHidden/>
          </w:rPr>
          <w:fldChar w:fldCharType="begin"/>
        </w:r>
        <w:r w:rsidRPr="00E04438">
          <w:rPr>
            <w:noProof/>
            <w:webHidden/>
          </w:rPr>
          <w:instrText xml:space="preserve"> PAGEREF _Toc401572482 \h </w:instrText>
        </w:r>
        <w:r w:rsidRPr="00E04438">
          <w:rPr>
            <w:noProof/>
            <w:webHidden/>
          </w:rPr>
        </w:r>
        <w:r w:rsidRPr="00E04438">
          <w:rPr>
            <w:noProof/>
            <w:webHidden/>
          </w:rPr>
          <w:fldChar w:fldCharType="separate"/>
        </w:r>
        <w:r w:rsidRPr="00E04438">
          <w:rPr>
            <w:noProof/>
            <w:webHidden/>
          </w:rPr>
          <w:t>26</w:t>
        </w:r>
        <w:r w:rsidRPr="00E04438">
          <w:rPr>
            <w:noProof/>
            <w:webHidden/>
          </w:rPr>
          <w:fldChar w:fldCharType="end"/>
        </w:r>
      </w:hyperlink>
    </w:p>
    <w:p w:rsidR="00E04438" w:rsidRPr="00E04438" w:rsidRDefault="00E04438" w:rsidP="00E04438">
      <w:pPr>
        <w:pStyle w:val="TOC2"/>
        <w:spacing w:line="276" w:lineRule="auto"/>
        <w:rPr>
          <w:rFonts w:asciiTheme="minorHAnsi" w:eastAsiaTheme="minorEastAsia" w:hAnsiTheme="minorHAnsi" w:cstheme="minorBidi"/>
          <w:noProof/>
          <w:lang w:eastAsia="lv-LV"/>
        </w:rPr>
      </w:pPr>
      <w:hyperlink w:anchor="_Toc401572483" w:history="1">
        <w:r w:rsidRPr="00E04438">
          <w:rPr>
            <w:rStyle w:val="Hyperlink"/>
            <w:noProof/>
          </w:rPr>
          <w:t>1.4.</w:t>
        </w:r>
        <w:r w:rsidRPr="00E04438">
          <w:rPr>
            <w:rFonts w:asciiTheme="minorHAnsi" w:eastAsiaTheme="minorEastAsia" w:hAnsiTheme="minorHAnsi" w:cstheme="minorBidi"/>
            <w:noProof/>
            <w:lang w:eastAsia="lv-LV"/>
          </w:rPr>
          <w:tab/>
        </w:r>
        <w:r w:rsidRPr="00E04438">
          <w:rPr>
            <w:rStyle w:val="Hyperlink"/>
            <w:noProof/>
          </w:rPr>
          <w:t>Minimālie ienākumu līmeņi Igaunijā un Lietuvā</w:t>
        </w:r>
        <w:r w:rsidRPr="00E04438">
          <w:rPr>
            <w:noProof/>
            <w:webHidden/>
          </w:rPr>
          <w:tab/>
        </w:r>
        <w:r w:rsidRPr="00E04438">
          <w:rPr>
            <w:noProof/>
            <w:webHidden/>
          </w:rPr>
          <w:fldChar w:fldCharType="begin"/>
        </w:r>
        <w:r w:rsidRPr="00E04438">
          <w:rPr>
            <w:noProof/>
            <w:webHidden/>
          </w:rPr>
          <w:instrText xml:space="preserve"> PAGEREF _Toc401572483 \h </w:instrText>
        </w:r>
        <w:r w:rsidRPr="00E04438">
          <w:rPr>
            <w:noProof/>
            <w:webHidden/>
          </w:rPr>
        </w:r>
        <w:r w:rsidRPr="00E04438">
          <w:rPr>
            <w:noProof/>
            <w:webHidden/>
          </w:rPr>
          <w:fldChar w:fldCharType="separate"/>
        </w:r>
        <w:r w:rsidRPr="00E04438">
          <w:rPr>
            <w:noProof/>
            <w:webHidden/>
          </w:rPr>
          <w:t>32</w:t>
        </w:r>
        <w:r w:rsidRPr="00E04438">
          <w:rPr>
            <w:noProof/>
            <w:webHidden/>
          </w:rPr>
          <w:fldChar w:fldCharType="end"/>
        </w:r>
      </w:hyperlink>
    </w:p>
    <w:p w:rsidR="00E04438" w:rsidRPr="00E04438" w:rsidRDefault="00E04438" w:rsidP="00E04438">
      <w:pPr>
        <w:pStyle w:val="TOC1"/>
        <w:spacing w:line="276" w:lineRule="auto"/>
        <w:rPr>
          <w:rFonts w:asciiTheme="minorHAnsi" w:eastAsiaTheme="minorEastAsia" w:hAnsiTheme="minorHAnsi" w:cstheme="minorBidi"/>
          <w:sz w:val="24"/>
          <w:szCs w:val="24"/>
          <w:lang w:val="lv-LV" w:eastAsia="lv-LV" w:bidi="ar-SA"/>
        </w:rPr>
      </w:pPr>
      <w:hyperlink w:anchor="_Toc401572484" w:history="1">
        <w:r w:rsidRPr="00E04438">
          <w:rPr>
            <w:rStyle w:val="Hyperlink"/>
            <w:sz w:val="24"/>
            <w:szCs w:val="24"/>
          </w:rPr>
          <w:t>2.</w:t>
        </w:r>
        <w:r w:rsidRPr="00E04438">
          <w:rPr>
            <w:rFonts w:asciiTheme="minorHAnsi" w:eastAsiaTheme="minorEastAsia" w:hAnsiTheme="minorHAnsi" w:cstheme="minorBidi"/>
            <w:sz w:val="24"/>
            <w:szCs w:val="24"/>
            <w:lang w:val="lv-LV" w:eastAsia="lv-LV" w:bidi="ar-SA"/>
          </w:rPr>
          <w:tab/>
        </w:r>
        <w:r w:rsidRPr="00E04438">
          <w:rPr>
            <w:rStyle w:val="Hyperlink"/>
            <w:sz w:val="24"/>
            <w:szCs w:val="24"/>
          </w:rPr>
          <w:t>Problēmas risinājumi.</w:t>
        </w:r>
        <w:r w:rsidRPr="00E04438">
          <w:rPr>
            <w:webHidden/>
            <w:sz w:val="24"/>
            <w:szCs w:val="24"/>
          </w:rPr>
          <w:tab/>
        </w:r>
        <w:r w:rsidRPr="00E04438">
          <w:rPr>
            <w:webHidden/>
            <w:sz w:val="24"/>
            <w:szCs w:val="24"/>
          </w:rPr>
          <w:fldChar w:fldCharType="begin"/>
        </w:r>
        <w:r w:rsidRPr="00E04438">
          <w:rPr>
            <w:webHidden/>
            <w:sz w:val="24"/>
            <w:szCs w:val="24"/>
          </w:rPr>
          <w:instrText xml:space="preserve"> PAGEREF _Toc401572484 \h </w:instrText>
        </w:r>
        <w:r w:rsidRPr="00E04438">
          <w:rPr>
            <w:webHidden/>
            <w:sz w:val="24"/>
            <w:szCs w:val="24"/>
          </w:rPr>
        </w:r>
        <w:r w:rsidRPr="00E04438">
          <w:rPr>
            <w:webHidden/>
            <w:sz w:val="24"/>
            <w:szCs w:val="24"/>
          </w:rPr>
          <w:fldChar w:fldCharType="separate"/>
        </w:r>
        <w:r w:rsidRPr="00E04438">
          <w:rPr>
            <w:webHidden/>
            <w:sz w:val="24"/>
            <w:szCs w:val="24"/>
          </w:rPr>
          <w:t>34</w:t>
        </w:r>
        <w:r w:rsidRPr="00E04438">
          <w:rPr>
            <w:webHidden/>
            <w:sz w:val="24"/>
            <w:szCs w:val="24"/>
          </w:rPr>
          <w:fldChar w:fldCharType="end"/>
        </w:r>
      </w:hyperlink>
    </w:p>
    <w:p w:rsidR="00E04438" w:rsidRPr="00E04438" w:rsidRDefault="00E04438" w:rsidP="00E04438">
      <w:pPr>
        <w:pStyle w:val="TOC1"/>
        <w:spacing w:line="276" w:lineRule="auto"/>
        <w:rPr>
          <w:rFonts w:asciiTheme="minorHAnsi" w:eastAsiaTheme="minorEastAsia" w:hAnsiTheme="minorHAnsi" w:cstheme="minorBidi"/>
          <w:sz w:val="24"/>
          <w:szCs w:val="24"/>
          <w:lang w:val="lv-LV" w:eastAsia="lv-LV" w:bidi="ar-SA"/>
        </w:rPr>
      </w:pPr>
      <w:hyperlink w:anchor="_Toc401572485" w:history="1">
        <w:r w:rsidRPr="00E04438">
          <w:rPr>
            <w:rStyle w:val="Hyperlink"/>
            <w:sz w:val="24"/>
            <w:szCs w:val="24"/>
          </w:rPr>
          <w:t>4.</w:t>
        </w:r>
        <w:r w:rsidRPr="00E04438">
          <w:rPr>
            <w:rFonts w:asciiTheme="minorHAnsi" w:eastAsiaTheme="minorEastAsia" w:hAnsiTheme="minorHAnsi" w:cstheme="minorBidi"/>
            <w:sz w:val="24"/>
            <w:szCs w:val="24"/>
            <w:lang w:val="lv-LV" w:eastAsia="lv-LV" w:bidi="ar-SA"/>
          </w:rPr>
          <w:tab/>
        </w:r>
        <w:r w:rsidRPr="00E04438">
          <w:rPr>
            <w:rStyle w:val="Hyperlink"/>
            <w:sz w:val="24"/>
            <w:szCs w:val="24"/>
          </w:rPr>
          <w:t>Risinājuma variantu ietekme uz valsts un pašvaldību budžetiem</w:t>
        </w:r>
        <w:r w:rsidRPr="00E04438">
          <w:rPr>
            <w:webHidden/>
            <w:sz w:val="24"/>
            <w:szCs w:val="24"/>
          </w:rPr>
          <w:tab/>
        </w:r>
        <w:r w:rsidRPr="00E04438">
          <w:rPr>
            <w:webHidden/>
            <w:sz w:val="24"/>
            <w:szCs w:val="24"/>
          </w:rPr>
          <w:fldChar w:fldCharType="begin"/>
        </w:r>
        <w:r w:rsidRPr="00E04438">
          <w:rPr>
            <w:webHidden/>
            <w:sz w:val="24"/>
            <w:szCs w:val="24"/>
          </w:rPr>
          <w:instrText xml:space="preserve"> PAGEREF _Toc401572485 \h </w:instrText>
        </w:r>
        <w:r w:rsidRPr="00E04438">
          <w:rPr>
            <w:webHidden/>
            <w:sz w:val="24"/>
            <w:szCs w:val="24"/>
          </w:rPr>
        </w:r>
        <w:r w:rsidRPr="00E04438">
          <w:rPr>
            <w:webHidden/>
            <w:sz w:val="24"/>
            <w:szCs w:val="24"/>
          </w:rPr>
          <w:fldChar w:fldCharType="separate"/>
        </w:r>
        <w:r w:rsidRPr="00E04438">
          <w:rPr>
            <w:webHidden/>
            <w:sz w:val="24"/>
            <w:szCs w:val="24"/>
          </w:rPr>
          <w:t>42</w:t>
        </w:r>
        <w:r w:rsidRPr="00E04438">
          <w:rPr>
            <w:webHidden/>
            <w:sz w:val="24"/>
            <w:szCs w:val="24"/>
          </w:rPr>
          <w:fldChar w:fldCharType="end"/>
        </w:r>
      </w:hyperlink>
    </w:p>
    <w:p w:rsidR="00E04438" w:rsidRPr="00E04438" w:rsidRDefault="00E04438" w:rsidP="00E04438">
      <w:pPr>
        <w:pStyle w:val="TOC1"/>
        <w:spacing w:line="276" w:lineRule="auto"/>
        <w:rPr>
          <w:rFonts w:asciiTheme="minorHAnsi" w:eastAsiaTheme="minorEastAsia" w:hAnsiTheme="minorHAnsi" w:cstheme="minorBidi"/>
          <w:sz w:val="24"/>
          <w:szCs w:val="24"/>
          <w:lang w:val="lv-LV" w:eastAsia="lv-LV" w:bidi="ar-SA"/>
        </w:rPr>
      </w:pPr>
      <w:hyperlink w:anchor="_Toc401572486" w:history="1">
        <w:r w:rsidRPr="00E04438">
          <w:rPr>
            <w:rStyle w:val="Hyperlink"/>
            <w:sz w:val="24"/>
            <w:szCs w:val="24"/>
          </w:rPr>
          <w:t>5.</w:t>
        </w:r>
        <w:r w:rsidRPr="00E04438">
          <w:rPr>
            <w:rFonts w:asciiTheme="minorHAnsi" w:eastAsiaTheme="minorEastAsia" w:hAnsiTheme="minorHAnsi" w:cstheme="minorBidi"/>
            <w:sz w:val="24"/>
            <w:szCs w:val="24"/>
            <w:lang w:val="lv-LV" w:eastAsia="lv-LV" w:bidi="ar-SA"/>
          </w:rPr>
          <w:tab/>
        </w:r>
        <w:r w:rsidRPr="00E04438">
          <w:rPr>
            <w:rStyle w:val="Hyperlink"/>
            <w:sz w:val="24"/>
            <w:szCs w:val="24"/>
          </w:rPr>
          <w:t>Turpmākā rīcība</w:t>
        </w:r>
        <w:r w:rsidRPr="00E04438">
          <w:rPr>
            <w:webHidden/>
            <w:sz w:val="24"/>
            <w:szCs w:val="24"/>
          </w:rPr>
          <w:tab/>
        </w:r>
        <w:r w:rsidRPr="00E04438">
          <w:rPr>
            <w:webHidden/>
            <w:sz w:val="24"/>
            <w:szCs w:val="24"/>
          </w:rPr>
          <w:fldChar w:fldCharType="begin"/>
        </w:r>
        <w:r w:rsidRPr="00E04438">
          <w:rPr>
            <w:webHidden/>
            <w:sz w:val="24"/>
            <w:szCs w:val="24"/>
          </w:rPr>
          <w:instrText xml:space="preserve"> PAGEREF _Toc401572486 \h </w:instrText>
        </w:r>
        <w:r w:rsidRPr="00E04438">
          <w:rPr>
            <w:webHidden/>
            <w:sz w:val="24"/>
            <w:szCs w:val="24"/>
          </w:rPr>
        </w:r>
        <w:r w:rsidRPr="00E04438">
          <w:rPr>
            <w:webHidden/>
            <w:sz w:val="24"/>
            <w:szCs w:val="24"/>
          </w:rPr>
          <w:fldChar w:fldCharType="separate"/>
        </w:r>
        <w:r w:rsidRPr="00E04438">
          <w:rPr>
            <w:webHidden/>
            <w:sz w:val="24"/>
            <w:szCs w:val="24"/>
          </w:rPr>
          <w:t>46</w:t>
        </w:r>
        <w:r w:rsidRPr="00E04438">
          <w:rPr>
            <w:webHidden/>
            <w:sz w:val="24"/>
            <w:szCs w:val="24"/>
          </w:rPr>
          <w:fldChar w:fldCharType="end"/>
        </w:r>
      </w:hyperlink>
    </w:p>
    <w:p w:rsidR="005416A2" w:rsidRPr="004562BA" w:rsidRDefault="005416A2" w:rsidP="00E04438">
      <w:pPr>
        <w:spacing w:line="276" w:lineRule="auto"/>
      </w:pPr>
      <w:r w:rsidRPr="00E04438">
        <w:rPr>
          <w:b/>
          <w:bCs/>
          <w:noProof/>
        </w:rPr>
        <w:fldChar w:fldCharType="end"/>
      </w:r>
    </w:p>
    <w:p w:rsidR="005416A2" w:rsidRPr="009229EA" w:rsidRDefault="005416A2" w:rsidP="005A601C"/>
    <w:p w:rsidR="005A601C" w:rsidRDefault="005A601C" w:rsidP="004562BA">
      <w:pPr>
        <w:pStyle w:val="Heading1"/>
      </w:pPr>
      <w:r w:rsidRPr="009229EA">
        <w:rPr>
          <w:b w:val="0"/>
        </w:rPr>
        <w:br w:type="column"/>
      </w:r>
      <w:bookmarkStart w:id="13" w:name="_Toc303334206"/>
      <w:bookmarkStart w:id="14" w:name="_Toc316382685"/>
      <w:bookmarkStart w:id="15" w:name="_Toc319050888"/>
      <w:bookmarkStart w:id="16" w:name="_Toc334711797"/>
      <w:bookmarkStart w:id="17" w:name="_Toc401572472"/>
      <w:r w:rsidR="0043246D">
        <w:lastRenderedPageBreak/>
        <w:t>Lietotie</w:t>
      </w:r>
      <w:r w:rsidRPr="009229EA">
        <w:t xml:space="preserve"> </w:t>
      </w:r>
      <w:bookmarkEnd w:id="13"/>
      <w:bookmarkEnd w:id="14"/>
      <w:bookmarkEnd w:id="15"/>
      <w:bookmarkEnd w:id="16"/>
      <w:r w:rsidR="0043246D">
        <w:t>saīsinājumi</w:t>
      </w:r>
      <w:bookmarkEnd w:id="17"/>
      <w:r w:rsidRPr="009229EA">
        <w:t xml:space="preserve"> </w:t>
      </w:r>
    </w:p>
    <w:p w:rsidR="00AB382F" w:rsidRPr="009229EA" w:rsidRDefault="00AB382F" w:rsidP="005416A2">
      <w:pPr>
        <w:pStyle w:val="Heading1"/>
      </w:pPr>
    </w:p>
    <w:tbl>
      <w:tblPr>
        <w:tblpPr w:leftFromText="180" w:rightFromText="180" w:vertAnchor="text" w:tblpY="1"/>
        <w:tblOverlap w:val="never"/>
        <w:tblW w:w="8780" w:type="dxa"/>
        <w:tblLook w:val="04A0" w:firstRow="1" w:lastRow="0" w:firstColumn="1" w:lastColumn="0" w:noHBand="0" w:noVBand="1"/>
      </w:tblPr>
      <w:tblGrid>
        <w:gridCol w:w="2068"/>
        <w:gridCol w:w="6712"/>
      </w:tblGrid>
      <w:tr w:rsidR="005A601C" w:rsidRPr="005879D1" w:rsidTr="00F07F6F">
        <w:trPr>
          <w:trHeight w:val="330"/>
        </w:trPr>
        <w:tc>
          <w:tcPr>
            <w:tcW w:w="2068" w:type="dxa"/>
            <w:vAlign w:val="center"/>
          </w:tcPr>
          <w:p w:rsidR="005A601C" w:rsidRPr="005879D1" w:rsidRDefault="00121A69" w:rsidP="00971442">
            <w:r w:rsidRPr="005879D1">
              <w:t>CSP</w:t>
            </w:r>
          </w:p>
        </w:tc>
        <w:tc>
          <w:tcPr>
            <w:tcW w:w="6712" w:type="dxa"/>
            <w:vAlign w:val="center"/>
          </w:tcPr>
          <w:p w:rsidR="005A601C" w:rsidRPr="005879D1" w:rsidRDefault="00676AF4" w:rsidP="00971442">
            <w:r w:rsidRPr="005879D1">
              <w:t>Latvijas Republikas Centrālā statistikas pārvalde</w:t>
            </w:r>
          </w:p>
        </w:tc>
      </w:tr>
      <w:tr w:rsidR="00EB5E20" w:rsidRPr="005879D1" w:rsidTr="00F07F6F">
        <w:trPr>
          <w:trHeight w:val="330"/>
        </w:trPr>
        <w:tc>
          <w:tcPr>
            <w:tcW w:w="2068" w:type="dxa"/>
            <w:vAlign w:val="center"/>
          </w:tcPr>
          <w:p w:rsidR="00EB5E20" w:rsidRPr="005879D1" w:rsidRDefault="00EB5E20" w:rsidP="00971442">
            <w:r w:rsidRPr="005879D1">
              <w:t>ES</w:t>
            </w:r>
          </w:p>
        </w:tc>
        <w:tc>
          <w:tcPr>
            <w:tcW w:w="6712" w:type="dxa"/>
            <w:vAlign w:val="center"/>
          </w:tcPr>
          <w:p w:rsidR="00EB5E20" w:rsidRPr="005879D1" w:rsidRDefault="00F8010F" w:rsidP="00971442">
            <w:r w:rsidRPr="005879D1">
              <w:t>Eiropas Savienība</w:t>
            </w:r>
          </w:p>
        </w:tc>
      </w:tr>
      <w:tr w:rsidR="00F8010F" w:rsidRPr="005879D1" w:rsidTr="00F07F6F">
        <w:trPr>
          <w:trHeight w:val="330"/>
        </w:trPr>
        <w:tc>
          <w:tcPr>
            <w:tcW w:w="2068" w:type="dxa"/>
            <w:vAlign w:val="center"/>
          </w:tcPr>
          <w:p w:rsidR="00F8010F" w:rsidRPr="005879D1" w:rsidRDefault="00F8010F" w:rsidP="00971442">
            <w:r w:rsidRPr="005879D1">
              <w:t>EK</w:t>
            </w:r>
          </w:p>
        </w:tc>
        <w:tc>
          <w:tcPr>
            <w:tcW w:w="6712" w:type="dxa"/>
            <w:vAlign w:val="center"/>
          </w:tcPr>
          <w:p w:rsidR="00F8010F" w:rsidRPr="005879D1" w:rsidRDefault="00F8010F" w:rsidP="00971442">
            <w:r w:rsidRPr="005879D1">
              <w:t>Eiropas Komisija</w:t>
            </w:r>
          </w:p>
        </w:tc>
      </w:tr>
      <w:tr w:rsidR="00DA315B" w:rsidRPr="005879D1" w:rsidTr="00F07F6F">
        <w:trPr>
          <w:trHeight w:val="330"/>
        </w:trPr>
        <w:tc>
          <w:tcPr>
            <w:tcW w:w="2068" w:type="dxa"/>
            <w:vAlign w:val="center"/>
          </w:tcPr>
          <w:p w:rsidR="00DA315B" w:rsidRPr="005879D1" w:rsidRDefault="00DA315B" w:rsidP="00971442">
            <w:r>
              <w:t>EUROSTAT</w:t>
            </w:r>
          </w:p>
        </w:tc>
        <w:tc>
          <w:tcPr>
            <w:tcW w:w="6712" w:type="dxa"/>
            <w:vAlign w:val="center"/>
          </w:tcPr>
          <w:p w:rsidR="00DA315B" w:rsidRPr="005879D1" w:rsidRDefault="00DA315B" w:rsidP="00971442">
            <w:r w:rsidRPr="005879D1">
              <w:t>Eiropas Savienība</w:t>
            </w:r>
            <w:r>
              <w:t>s Statistikas birojs</w:t>
            </w:r>
          </w:p>
        </w:tc>
      </w:tr>
      <w:tr w:rsidR="005C388B" w:rsidRPr="005879D1" w:rsidTr="00F07F6F">
        <w:trPr>
          <w:trHeight w:val="330"/>
        </w:trPr>
        <w:tc>
          <w:tcPr>
            <w:tcW w:w="2068" w:type="dxa"/>
            <w:vAlign w:val="center"/>
          </w:tcPr>
          <w:p w:rsidR="005C388B" w:rsidRPr="005879D1" w:rsidRDefault="005C388B" w:rsidP="00971442">
            <w:r>
              <w:t>GMI</w:t>
            </w:r>
          </w:p>
        </w:tc>
        <w:tc>
          <w:tcPr>
            <w:tcW w:w="6712" w:type="dxa"/>
            <w:vAlign w:val="center"/>
          </w:tcPr>
          <w:p w:rsidR="005C388B" w:rsidRPr="005879D1" w:rsidRDefault="005C388B" w:rsidP="00971442">
            <w:r>
              <w:t>Garantētais minimālais ienākums</w:t>
            </w:r>
          </w:p>
        </w:tc>
      </w:tr>
      <w:tr w:rsidR="00AB382F" w:rsidRPr="005879D1" w:rsidTr="00F07F6F">
        <w:trPr>
          <w:trHeight w:val="330"/>
        </w:trPr>
        <w:tc>
          <w:tcPr>
            <w:tcW w:w="2068" w:type="dxa"/>
            <w:vAlign w:val="center"/>
          </w:tcPr>
          <w:p w:rsidR="00AB382F" w:rsidRPr="005879D1" w:rsidRDefault="00AB382F" w:rsidP="00971442">
            <w:r w:rsidRPr="005879D1">
              <w:t>IIN</w:t>
            </w:r>
          </w:p>
        </w:tc>
        <w:tc>
          <w:tcPr>
            <w:tcW w:w="6712" w:type="dxa"/>
            <w:vAlign w:val="center"/>
          </w:tcPr>
          <w:p w:rsidR="00AB382F" w:rsidRPr="005879D1" w:rsidRDefault="00AB382F" w:rsidP="00971442">
            <w:r w:rsidRPr="005879D1">
              <w:t>Iedzīvotāja ienākuma nodoklis</w:t>
            </w:r>
          </w:p>
        </w:tc>
      </w:tr>
      <w:tr w:rsidR="00AB382F" w:rsidRPr="005879D1" w:rsidTr="00F07F6F">
        <w:trPr>
          <w:trHeight w:val="402"/>
        </w:trPr>
        <w:tc>
          <w:tcPr>
            <w:tcW w:w="2068" w:type="dxa"/>
            <w:vAlign w:val="center"/>
          </w:tcPr>
          <w:p w:rsidR="00AB382F" w:rsidRPr="005879D1" w:rsidRDefault="00AB382F" w:rsidP="00971442">
            <w:pPr>
              <w:rPr>
                <w:bCs/>
              </w:rPr>
            </w:pPr>
            <w:r w:rsidRPr="005879D1">
              <w:rPr>
                <w:bCs/>
              </w:rPr>
              <w:t>IKP</w:t>
            </w:r>
          </w:p>
        </w:tc>
        <w:tc>
          <w:tcPr>
            <w:tcW w:w="6712" w:type="dxa"/>
            <w:vAlign w:val="center"/>
          </w:tcPr>
          <w:p w:rsidR="00AB382F" w:rsidRPr="005879D1" w:rsidRDefault="00AB382F" w:rsidP="00971442">
            <w:r>
              <w:t>I</w:t>
            </w:r>
            <w:r w:rsidRPr="005879D1">
              <w:t>ekšzemes kopprodukts</w:t>
            </w:r>
          </w:p>
        </w:tc>
      </w:tr>
      <w:tr w:rsidR="00AB382F" w:rsidRPr="005879D1" w:rsidTr="00F07F6F">
        <w:trPr>
          <w:trHeight w:val="330"/>
        </w:trPr>
        <w:tc>
          <w:tcPr>
            <w:tcW w:w="2068" w:type="dxa"/>
            <w:vAlign w:val="center"/>
          </w:tcPr>
          <w:p w:rsidR="00AB382F" w:rsidRPr="005879D1" w:rsidRDefault="00AB382F" w:rsidP="00971442">
            <w:pPr>
              <w:rPr>
                <w:bCs/>
              </w:rPr>
            </w:pPr>
            <w:r>
              <w:rPr>
                <w:bCs/>
              </w:rPr>
              <w:t>LM</w:t>
            </w:r>
          </w:p>
        </w:tc>
        <w:tc>
          <w:tcPr>
            <w:tcW w:w="6712" w:type="dxa"/>
            <w:vAlign w:val="center"/>
          </w:tcPr>
          <w:p w:rsidR="00AB382F" w:rsidRPr="005879D1" w:rsidRDefault="00AB382F" w:rsidP="00971442">
            <w:r>
              <w:t>Labklājības ministrija</w:t>
            </w:r>
          </w:p>
        </w:tc>
      </w:tr>
      <w:tr w:rsidR="00AB382F" w:rsidRPr="005879D1" w:rsidTr="00F07F6F">
        <w:trPr>
          <w:trHeight w:val="402"/>
        </w:trPr>
        <w:tc>
          <w:tcPr>
            <w:tcW w:w="2068" w:type="dxa"/>
            <w:vAlign w:val="center"/>
          </w:tcPr>
          <w:p w:rsidR="00AB382F" w:rsidRPr="005879D1" w:rsidRDefault="00AB382F" w:rsidP="00971442">
            <w:r>
              <w:t>MK</w:t>
            </w:r>
          </w:p>
        </w:tc>
        <w:tc>
          <w:tcPr>
            <w:tcW w:w="6712" w:type="dxa"/>
            <w:vAlign w:val="center"/>
          </w:tcPr>
          <w:p w:rsidR="00AB382F" w:rsidRPr="005879D1" w:rsidRDefault="00AB382F" w:rsidP="00971442">
            <w:r>
              <w:t>Ministru kabinets</w:t>
            </w:r>
          </w:p>
        </w:tc>
      </w:tr>
      <w:tr w:rsidR="00AB382F" w:rsidRPr="005879D1" w:rsidTr="00F07F6F">
        <w:trPr>
          <w:trHeight w:val="402"/>
        </w:trPr>
        <w:tc>
          <w:tcPr>
            <w:tcW w:w="2068" w:type="dxa"/>
            <w:vAlign w:val="center"/>
          </w:tcPr>
          <w:p w:rsidR="00AB382F" w:rsidRPr="005879D1" w:rsidRDefault="00AB382F" w:rsidP="00971442">
            <w:r w:rsidRPr="005879D1">
              <w:t>OECD</w:t>
            </w:r>
          </w:p>
        </w:tc>
        <w:tc>
          <w:tcPr>
            <w:tcW w:w="6712" w:type="dxa"/>
            <w:vAlign w:val="center"/>
          </w:tcPr>
          <w:p w:rsidR="00AB382F" w:rsidRPr="005879D1" w:rsidRDefault="00AB382F" w:rsidP="00971442">
            <w:r w:rsidRPr="005879D1">
              <w:t>Ekonomiskās sadarbības un attīstības organizācija</w:t>
            </w:r>
          </w:p>
        </w:tc>
      </w:tr>
      <w:tr w:rsidR="00AB382F" w:rsidRPr="005879D1" w:rsidTr="00F07F6F">
        <w:trPr>
          <w:trHeight w:val="402"/>
        </w:trPr>
        <w:tc>
          <w:tcPr>
            <w:tcW w:w="2068" w:type="dxa"/>
            <w:vAlign w:val="center"/>
          </w:tcPr>
          <w:p w:rsidR="00AB382F" w:rsidRPr="005879D1" w:rsidRDefault="00AB382F" w:rsidP="00971442">
            <w:r w:rsidRPr="005879D1">
              <w:t>PB</w:t>
            </w:r>
          </w:p>
        </w:tc>
        <w:tc>
          <w:tcPr>
            <w:tcW w:w="6712" w:type="dxa"/>
            <w:vAlign w:val="center"/>
          </w:tcPr>
          <w:p w:rsidR="00AB382F" w:rsidRPr="005879D1" w:rsidRDefault="00AB382F" w:rsidP="00971442">
            <w:r w:rsidRPr="005879D1">
              <w:rPr>
                <w:rStyle w:val="hps"/>
              </w:rPr>
              <w:t>Pasaules Banka</w:t>
            </w:r>
          </w:p>
        </w:tc>
      </w:tr>
      <w:tr w:rsidR="00AB382F" w:rsidRPr="005879D1" w:rsidTr="00F07F6F">
        <w:trPr>
          <w:trHeight w:val="402"/>
        </w:trPr>
        <w:tc>
          <w:tcPr>
            <w:tcW w:w="2068" w:type="dxa"/>
            <w:vAlign w:val="center"/>
          </w:tcPr>
          <w:p w:rsidR="00AB382F" w:rsidRPr="005879D1" w:rsidRDefault="00AB382F" w:rsidP="00971442">
            <w:r w:rsidRPr="005879D1">
              <w:t>VSAOI</w:t>
            </w:r>
          </w:p>
        </w:tc>
        <w:tc>
          <w:tcPr>
            <w:tcW w:w="6712" w:type="dxa"/>
            <w:vAlign w:val="center"/>
          </w:tcPr>
          <w:p w:rsidR="00AB382F" w:rsidRPr="005879D1" w:rsidRDefault="00AB382F" w:rsidP="00971442">
            <w:r>
              <w:t>Valsts sociālās apdrošināšanas obligātās iemaksas</w:t>
            </w:r>
          </w:p>
        </w:tc>
      </w:tr>
    </w:tbl>
    <w:p w:rsidR="005A601C" w:rsidRDefault="00AB382F" w:rsidP="005416A2">
      <w:pPr>
        <w:pStyle w:val="Heading1"/>
      </w:pPr>
      <w:r>
        <w:br w:type="textWrapping" w:clear="all"/>
      </w:r>
      <w:r w:rsidR="005A601C" w:rsidRPr="009229EA">
        <w:br w:type="page"/>
      </w:r>
      <w:bookmarkStart w:id="18" w:name="_Toc394510915"/>
      <w:bookmarkStart w:id="19" w:name="_Toc394607460"/>
      <w:bookmarkStart w:id="20" w:name="_Toc401572473"/>
      <w:r w:rsidR="005A601C" w:rsidRPr="009229EA">
        <w:lastRenderedPageBreak/>
        <w:t>Ievads</w:t>
      </w:r>
      <w:bookmarkEnd w:id="18"/>
      <w:bookmarkEnd w:id="19"/>
      <w:bookmarkEnd w:id="20"/>
    </w:p>
    <w:p w:rsidR="00367863" w:rsidRPr="00E67696" w:rsidRDefault="003F7B19" w:rsidP="00E67696">
      <w:pPr>
        <w:jc w:val="both"/>
        <w:rPr>
          <w:rStyle w:val="hps"/>
          <w:iCs/>
        </w:rPr>
      </w:pPr>
      <w:r w:rsidRPr="00C6067C">
        <w:t xml:space="preserve">Nabadzības un sociālās atstumtības apkarošana ir </w:t>
      </w:r>
      <w:r w:rsidR="00451504" w:rsidRPr="00C6067C">
        <w:t xml:space="preserve">izvirzīta par vienu </w:t>
      </w:r>
      <w:r w:rsidRPr="00C6067C">
        <w:t>prioritār</w:t>
      </w:r>
      <w:r w:rsidR="00451504" w:rsidRPr="00C6067C">
        <w:t>aj</w:t>
      </w:r>
      <w:r w:rsidRPr="00C6067C">
        <w:t xml:space="preserve">iem mērķiem </w:t>
      </w:r>
      <w:r w:rsidR="00451504" w:rsidRPr="00C6067C">
        <w:t xml:space="preserve">Eiropas Savienības (ES) </w:t>
      </w:r>
      <w:r w:rsidRPr="00C6067C">
        <w:t xml:space="preserve">stratēģijā “Eiropa 2020”. Tajā </w:t>
      </w:r>
      <w:r w:rsidR="00451504" w:rsidRPr="00C6067C">
        <w:t xml:space="preserve">ir </w:t>
      </w:r>
      <w:proofErr w:type="gramStart"/>
      <w:r w:rsidR="00451504" w:rsidRPr="00C6067C">
        <w:t>noteikts</w:t>
      </w:r>
      <w:r w:rsidRPr="00C6067C">
        <w:t xml:space="preserve"> līdz 2020. gadam par vismaz</w:t>
      </w:r>
      <w:proofErr w:type="gramEnd"/>
      <w:r w:rsidRPr="00C6067C">
        <w:t xml:space="preserve"> 20 miljoniem samazināt to cilvēku skaitu</w:t>
      </w:r>
      <w:r w:rsidR="00451504" w:rsidRPr="00C6067C">
        <w:t xml:space="preserve"> ES</w:t>
      </w:r>
      <w:r w:rsidRPr="00C6067C">
        <w:t xml:space="preserve">, kurus skar nabadzība un sociālā atstumtība. </w:t>
      </w:r>
      <w:r w:rsidR="00AC65FD">
        <w:t xml:space="preserve">Pirmo reizi ES vēsturē </w:t>
      </w:r>
      <w:r w:rsidR="0088766F">
        <w:t>nabadzības mazināšana ir noteikta kvantificētā izteiksmē, kas stiprina šo apņemšanos</w:t>
      </w:r>
      <w:r w:rsidR="00F57DCC">
        <w:t xml:space="preserve">, jo </w:t>
      </w:r>
      <w:r w:rsidR="0088766F">
        <w:t xml:space="preserve">liek rūpīgāk analizēt datus, meklējot cēloņsakarības un </w:t>
      </w:r>
      <w:r w:rsidR="00FF37E6">
        <w:t>atbilstošāko</w:t>
      </w:r>
      <w:r w:rsidR="00F57DCC">
        <w:t xml:space="preserve">s </w:t>
      </w:r>
      <w:r w:rsidR="0088766F">
        <w:t xml:space="preserve">risinājumus. </w:t>
      </w:r>
      <w:r w:rsidR="00451504" w:rsidRPr="00C6067C">
        <w:t>Katra</w:t>
      </w:r>
      <w:r w:rsidR="0088766F">
        <w:t xml:space="preserve"> ES</w:t>
      </w:r>
      <w:r w:rsidR="00451504" w:rsidRPr="00C6067C">
        <w:t xml:space="preserve"> dalībvalsts </w:t>
      </w:r>
      <w:r w:rsidR="0088766F">
        <w:t xml:space="preserve">noteica savu kvantificēto mērķi, </w:t>
      </w:r>
      <w:r w:rsidR="00AC65FD">
        <w:t xml:space="preserve">balstoties uz </w:t>
      </w:r>
      <w:r w:rsidR="0088766F">
        <w:t xml:space="preserve">trīs </w:t>
      </w:r>
      <w:r w:rsidR="008A0F02">
        <w:t xml:space="preserve">ES noteiktajiem </w:t>
      </w:r>
      <w:r w:rsidR="0088766F">
        <w:t>rādītājiem</w:t>
      </w:r>
      <w:r w:rsidR="00F57DCC">
        <w:t>, kuri arī veido ES nabadzības samazināšanas mērķa indikatoru</w:t>
      </w:r>
      <w:r w:rsidR="0088766F">
        <w:t xml:space="preserve">: </w:t>
      </w:r>
      <w:r w:rsidR="0088766F" w:rsidRPr="00C6067C">
        <w:t>nabadzības</w:t>
      </w:r>
      <w:r w:rsidR="00AC65FD">
        <w:t xml:space="preserve"> riska indekss</w:t>
      </w:r>
      <w:r w:rsidR="0088766F" w:rsidRPr="00C6067C">
        <w:rPr>
          <w:vertAlign w:val="superscript"/>
        </w:rPr>
        <w:footnoteReference w:id="1"/>
      </w:r>
      <w:r w:rsidR="0088766F">
        <w:t xml:space="preserve">, </w:t>
      </w:r>
      <w:r w:rsidR="0088766F" w:rsidRPr="00C6067C">
        <w:t>personu īpatsvar</w:t>
      </w:r>
      <w:r w:rsidR="00AC65FD">
        <w:t>s</w:t>
      </w:r>
      <w:r w:rsidR="0088766F" w:rsidRPr="00C6067C">
        <w:t xml:space="preserve"> zemas darba intensitātes mājsaimniecībās</w:t>
      </w:r>
      <w:r w:rsidR="0088766F" w:rsidRPr="00C6067C">
        <w:rPr>
          <w:vertAlign w:val="superscript"/>
        </w:rPr>
        <w:footnoteReference w:id="2"/>
      </w:r>
      <w:r w:rsidR="0088766F">
        <w:t xml:space="preserve"> un </w:t>
      </w:r>
      <w:r w:rsidR="00AC65FD">
        <w:t>dziļas materiālās nenodrošinātības indekss</w:t>
      </w:r>
      <w:r w:rsidR="00AC65FD">
        <w:rPr>
          <w:rStyle w:val="FootnoteReference"/>
        </w:rPr>
        <w:footnoteReference w:id="3"/>
      </w:r>
      <w:r w:rsidR="008A0F02">
        <w:t xml:space="preserve"> vai izvēloties </w:t>
      </w:r>
      <w:r w:rsidR="00F57DCC">
        <w:t>savu</w:t>
      </w:r>
      <w:r w:rsidR="008A0F02">
        <w:t xml:space="preserve"> nacionālo indikatoru</w:t>
      </w:r>
      <w:r w:rsidR="00F57DCC">
        <w:t xml:space="preserve">. </w:t>
      </w:r>
      <w:r w:rsidRPr="00C6067C">
        <w:t>Latvija</w:t>
      </w:r>
      <w:r w:rsidR="00FF37E6">
        <w:t>s nabadzības samazināšanas</w:t>
      </w:r>
      <w:r w:rsidRPr="00C6067C">
        <w:t xml:space="preserve"> </w:t>
      </w:r>
      <w:r w:rsidR="00FF37E6">
        <w:t>mērķi</w:t>
      </w:r>
      <w:r w:rsidR="002F35B4">
        <w:t>s</w:t>
      </w:r>
      <w:r w:rsidR="00FF37E6">
        <w:t xml:space="preserve"> ir balstīts uz diviem indikatoriem</w:t>
      </w:r>
      <w:r w:rsidR="00AC65FD">
        <w:t xml:space="preserve"> - </w:t>
      </w:r>
      <w:r w:rsidR="00AC65FD" w:rsidRPr="00C6067C">
        <w:t>nabadzības riska indeks</w:t>
      </w:r>
      <w:r w:rsidR="00F01564">
        <w:t>s un/vai personu īpatsvars</w:t>
      </w:r>
      <w:r w:rsidR="00AC65FD" w:rsidRPr="00C6067C">
        <w:t xml:space="preserve"> zemas darba intensitātes mājsaimniecībās</w:t>
      </w:r>
      <w:r w:rsidR="00AC65FD">
        <w:t>, nosakot, ka</w:t>
      </w:r>
      <w:r w:rsidR="00AC65FD" w:rsidRPr="00C6067C">
        <w:t xml:space="preserve"> </w:t>
      </w:r>
      <w:r w:rsidRPr="00C6067C">
        <w:t>līdz 2020.gadam nabadzības un sociālās atstumtības risk</w:t>
      </w:r>
      <w:r w:rsidR="00AC65FD">
        <w:t>s</w:t>
      </w:r>
      <w:r w:rsidRPr="00C6067C">
        <w:t xml:space="preserve"> </w:t>
      </w:r>
      <w:r w:rsidR="00AC65FD">
        <w:t>jānovērš</w:t>
      </w:r>
      <w:r w:rsidRPr="00C6067C">
        <w:t xml:space="preserve"> 121 tūkstotim Latvijas iedzīvotāju.</w:t>
      </w:r>
      <w:r w:rsidR="0043303B">
        <w:t xml:space="preserve"> </w:t>
      </w:r>
      <w:r w:rsidR="00F57DCC" w:rsidRPr="0063727B">
        <w:rPr>
          <w:rStyle w:val="hps"/>
        </w:rPr>
        <w:t>Latvijas mērķi nabadzības mazināšanai ir iezīmēti</w:t>
      </w:r>
      <w:r w:rsidR="00F57DCC">
        <w:rPr>
          <w:rStyle w:val="hps"/>
        </w:rPr>
        <w:t xml:space="preserve"> arī</w:t>
      </w:r>
      <w:r w:rsidR="00F57DCC" w:rsidRPr="0063727B">
        <w:rPr>
          <w:rStyle w:val="hps"/>
        </w:rPr>
        <w:t xml:space="preserve"> </w:t>
      </w:r>
      <w:r w:rsidR="00F57DCC" w:rsidRPr="0063727B">
        <w:rPr>
          <w:rStyle w:val="hps"/>
          <w:i/>
          <w:iCs/>
        </w:rPr>
        <w:t>Nacionālajā attīstības plānā 2014.-2020.gadam</w:t>
      </w:r>
      <w:r w:rsidR="00DC1178">
        <w:rPr>
          <w:rStyle w:val="hps"/>
        </w:rPr>
        <w:t>, un tie ir šādi</w:t>
      </w:r>
      <w:r w:rsidR="00367863" w:rsidRPr="00E67696">
        <w:rPr>
          <w:rStyle w:val="hps"/>
          <w:iCs/>
        </w:rPr>
        <w:t xml:space="preserve">: </w:t>
      </w:r>
    </w:p>
    <w:p w:rsidR="00367863" w:rsidRPr="00E67696" w:rsidRDefault="00E67696" w:rsidP="00E67696">
      <w:pPr>
        <w:numPr>
          <w:ilvl w:val="0"/>
          <w:numId w:val="50"/>
        </w:numPr>
        <w:jc w:val="both"/>
      </w:pPr>
      <w:r>
        <w:t>v</w:t>
      </w:r>
      <w:r w:rsidR="00367863" w:rsidRPr="00E67696">
        <w:t>eikt pasākumus nodarbināto labklājības līmeņa paaugstināšanai, samazinot nabadzības riskam pakļauto nodarbināto īpatsvaru vecuma grupā no 18 līdz 64 gadiem no 9,5% 2010.gadā līdz 5% 2020.gadā</w:t>
      </w:r>
      <w:r>
        <w:rPr>
          <w:rStyle w:val="FootnoteReference"/>
        </w:rPr>
        <w:footnoteReference w:id="4"/>
      </w:r>
      <w:r w:rsidR="00367863" w:rsidRPr="00E67696">
        <w:t>;</w:t>
      </w:r>
    </w:p>
    <w:p w:rsidR="00367863" w:rsidRPr="00E67696" w:rsidRDefault="00E67696" w:rsidP="00E67696">
      <w:pPr>
        <w:numPr>
          <w:ilvl w:val="0"/>
          <w:numId w:val="50"/>
        </w:numPr>
        <w:jc w:val="both"/>
      </w:pPr>
      <w:r>
        <w:t>a</w:t>
      </w:r>
      <w:r w:rsidR="00367863" w:rsidRPr="00E67696">
        <w:t xml:space="preserve">r kompleksas ģimeņu atbalsta sistēmas palīdzību, kas veicina darba un ģimenes dzīves savienošanu, mazināt bērnu </w:t>
      </w:r>
      <w:r w:rsidR="00367863" w:rsidRPr="00E67696">
        <w:rPr>
          <w:rStyle w:val="highlight"/>
        </w:rPr>
        <w:t>nabadz</w:t>
      </w:r>
      <w:r w:rsidR="00367863" w:rsidRPr="00E67696">
        <w:t>ības risku no 25% 2010.gadā uz 20% 2020.gadā</w:t>
      </w:r>
      <w:r>
        <w:rPr>
          <w:rStyle w:val="FootnoteReference"/>
        </w:rPr>
        <w:footnoteReference w:id="5"/>
      </w:r>
      <w:r>
        <w:t>.</w:t>
      </w:r>
    </w:p>
    <w:p w:rsidR="00F57DCC" w:rsidRPr="00367863" w:rsidRDefault="00F57DCC" w:rsidP="00F01564">
      <w:pPr>
        <w:autoSpaceDE w:val="0"/>
        <w:autoSpaceDN w:val="0"/>
        <w:adjustRightInd w:val="0"/>
        <w:jc w:val="both"/>
        <w:rPr>
          <w:rStyle w:val="hps"/>
        </w:rPr>
      </w:pPr>
    </w:p>
    <w:p w:rsidR="003F7B19" w:rsidRPr="00C6067C" w:rsidRDefault="00DB6EF1" w:rsidP="007C6F3F">
      <w:pPr>
        <w:jc w:val="both"/>
      </w:pPr>
      <w:r w:rsidRPr="00C6067C">
        <w:t>Lai arī</w:t>
      </w:r>
      <w:r w:rsidR="0030185F" w:rsidRPr="00C6067C">
        <w:t xml:space="preserve"> </w:t>
      </w:r>
      <w:r w:rsidR="00A24944" w:rsidRPr="00C6067C">
        <w:t>katrā valstī pastāv minimālo ienākumu sistēmas, tomēr tās ne vienmēr ir pi</w:t>
      </w:r>
      <w:r w:rsidR="00056F85">
        <w:t>etiekamas</w:t>
      </w:r>
      <w:r w:rsidR="00FB2702" w:rsidRPr="00C6067C">
        <w:t>, lai novērstu</w:t>
      </w:r>
      <w:r w:rsidR="00A24944" w:rsidRPr="00C6067C">
        <w:t xml:space="preserve"> </w:t>
      </w:r>
      <w:r w:rsidR="00FB2702" w:rsidRPr="00C6067C">
        <w:t xml:space="preserve">tās iedzīvotājiem </w:t>
      </w:r>
      <w:r w:rsidR="00A24944" w:rsidRPr="00C6067C">
        <w:t>risku nonākt nabadzībā</w:t>
      </w:r>
      <w:r w:rsidR="00056F85">
        <w:t xml:space="preserve"> vai no tās izkļūt</w:t>
      </w:r>
      <w:r w:rsidR="002F4185">
        <w:t>. T</w:t>
      </w:r>
      <w:r w:rsidR="00FB2702" w:rsidRPr="00C6067C">
        <w:t>āpēc</w:t>
      </w:r>
      <w:r w:rsidR="00E601F7" w:rsidRPr="00C6067C">
        <w:t xml:space="preserve"> </w:t>
      </w:r>
      <w:r w:rsidR="00451504" w:rsidRPr="00C6067C">
        <w:t>Eiropas Parlaments</w:t>
      </w:r>
      <w:r w:rsidR="003F7B19" w:rsidRPr="00C6067C">
        <w:t xml:space="preserve"> 2010. gada rezolūcijā</w:t>
      </w:r>
      <w:r w:rsidR="003F7B19" w:rsidRPr="00C6067C">
        <w:rPr>
          <w:vertAlign w:val="superscript"/>
        </w:rPr>
        <w:footnoteReference w:id="6"/>
      </w:r>
      <w:r w:rsidR="003F7B19" w:rsidRPr="00C6067C">
        <w:t xml:space="preserve"> dalībvalstis </w:t>
      </w:r>
      <w:r w:rsidR="00451504" w:rsidRPr="00C6067C">
        <w:t>aicina</w:t>
      </w:r>
      <w:r w:rsidR="003F7B19" w:rsidRPr="00C6067C">
        <w:t xml:space="preserve"> ieviest atbilstošas minimālā ienākuma shē</w:t>
      </w:r>
      <w:r w:rsidR="00FB2702" w:rsidRPr="00C6067C">
        <w:t>mas un noteikt ienākumu minimālo</w:t>
      </w:r>
      <w:r w:rsidR="003F7B19" w:rsidRPr="00C6067C">
        <w:t xml:space="preserve"> slieksni, kas atbilstu vismaz 60 % </w:t>
      </w:r>
      <w:r w:rsidR="007C6F3F" w:rsidRPr="00B8710F">
        <w:t>no attiecīgās valsts mājsaimniecību rīcībā esošo ienākumu mediānas vērtības, kas tiek aprēķināta, ņemot vērā ekvivalento patērētāju skaitu mājsaim</w:t>
      </w:r>
      <w:r w:rsidR="007C6F3F">
        <w:t>niecībā</w:t>
      </w:r>
      <w:r w:rsidR="003F7B19" w:rsidRPr="00DD1CED">
        <w:t>.</w:t>
      </w:r>
      <w:r w:rsidR="00F57DCC" w:rsidRPr="00DD1CED">
        <w:t xml:space="preserve"> </w:t>
      </w:r>
      <w:r w:rsidR="004B252E" w:rsidRPr="00DD1CED">
        <w:t>2013.gada 10.decembrī Latvijas valdība apstiprināja informatīvo ziņojumu „Priekšlikumi sociālās dro</w:t>
      </w:r>
      <w:r w:rsidR="007C6F3F">
        <w:t xml:space="preserve">šības sistēmas pilnveidošanai”, </w:t>
      </w:r>
      <w:r w:rsidR="004B252E" w:rsidRPr="00DD1CED">
        <w:t>kur viens no galvenajiem nepieciešamajiem pasākumiem ir noteikta apņ</w:t>
      </w:r>
      <w:r w:rsidR="00A93C1E">
        <w:t>emšanās izstrādāt jaunu un vienotu minimālā</w:t>
      </w:r>
      <w:r w:rsidR="004B252E" w:rsidRPr="00DD1CED">
        <w:t xml:space="preserve"> ienākuma līmen</w:t>
      </w:r>
      <w:r w:rsidR="001800C1" w:rsidRPr="00DD1CED">
        <w:t>i</w:t>
      </w:r>
      <w:r w:rsidR="000F7C77">
        <w:t>. Šajā dienā</w:t>
      </w:r>
      <w:r w:rsidR="004B252E" w:rsidRPr="00DD1CED">
        <w:t xml:space="preserve"> </w:t>
      </w:r>
      <w:r w:rsidR="001800C1" w:rsidRPr="00DD1CED">
        <w:t xml:space="preserve">arī </w:t>
      </w:r>
      <w:r w:rsidR="004B252E" w:rsidRPr="00DD1CED">
        <w:t xml:space="preserve">Eiropas Ekonomikas un Sociālā komiteja </w:t>
      </w:r>
      <w:r w:rsidR="001800C1" w:rsidRPr="00DD1CED">
        <w:t>pieņēma</w:t>
      </w:r>
      <w:r w:rsidR="004B252E" w:rsidRPr="00DD1CED">
        <w:t xml:space="preserve"> viedokli</w:t>
      </w:r>
      <w:r w:rsidR="00DE22B4" w:rsidRPr="00DD1CED">
        <w:rPr>
          <w:rStyle w:val="FootnoteReference"/>
        </w:rPr>
        <w:footnoteReference w:id="7"/>
      </w:r>
      <w:r w:rsidR="004B252E" w:rsidRPr="00DD1CED">
        <w:t xml:space="preserve"> par Eiropas minimālo ienākumu un nabadzības rādītājiem</w:t>
      </w:r>
      <w:r w:rsidR="00891210">
        <w:t xml:space="preserve">, kur akcentēta nepieciešamība nodrošināt adekvātus minimālos ienākumus ES, </w:t>
      </w:r>
      <w:r w:rsidR="008A330B">
        <w:t>pārskatīt nabadzības līmeņu aprēķina metodoloģijas</w:t>
      </w:r>
      <w:r w:rsidR="008A330B" w:rsidRPr="008A330B">
        <w:t xml:space="preserve"> </w:t>
      </w:r>
      <w:r w:rsidR="008A330B">
        <w:t>dalībvalstīs, veikt nacionālajās reformu programmās un nacionālajos sociālajos ziņojumos noteikto pasākumu sociālās ietekmes novērtējumu, īstenot padziļinātu nabadzības un sociālās atstumtības situācijas pārraudzību u.c.</w:t>
      </w:r>
      <w:r w:rsidR="004B252E" w:rsidRPr="00DD1CED">
        <w:t xml:space="preserve"> </w:t>
      </w:r>
      <w:r w:rsidR="00DD1CED" w:rsidRPr="00DD1CED">
        <w:lastRenderedPageBreak/>
        <w:t>Visbeidzot</w:t>
      </w:r>
      <w:r w:rsidR="004B252E" w:rsidRPr="00DD1CED">
        <w:t xml:space="preserve"> a</w:t>
      </w:r>
      <w:r w:rsidR="00574F17" w:rsidRPr="00DD1CED">
        <w:t>rī Pasaules Bank</w:t>
      </w:r>
      <w:r w:rsidR="009941FA" w:rsidRPr="00DD1CED">
        <w:t>a</w:t>
      </w:r>
      <w:r w:rsidR="00574F17" w:rsidRPr="00DD1CED">
        <w:t xml:space="preserve"> </w:t>
      </w:r>
      <w:r w:rsidR="004B252E" w:rsidRPr="00DD1CED">
        <w:t>2013.</w:t>
      </w:r>
      <w:r w:rsidR="00574F17" w:rsidRPr="00DD1CED">
        <w:t>gada pētījumā</w:t>
      </w:r>
      <w:r w:rsidR="00574F17" w:rsidRPr="00DD1CED">
        <w:rPr>
          <w:rStyle w:val="FootnoteReference"/>
        </w:rPr>
        <w:footnoteReference w:id="8"/>
      </w:r>
      <w:r w:rsidR="00574F17" w:rsidRPr="00DD1CED">
        <w:t xml:space="preserve"> norādīja uz nepieciešamību Latvijā </w:t>
      </w:r>
      <w:r w:rsidR="005B498B" w:rsidRPr="00DD1CED">
        <w:t>īstenot plašas debates par minimālā ienākuma atbalsta adekvātumu, kā arī mehānismiem</w:t>
      </w:r>
      <w:r w:rsidR="005B498B">
        <w:t>, balstoties uz kuriem noteiktas tiesības uz atsevišķiem pabalstiem un to apmēriem</w:t>
      </w:r>
      <w:r w:rsidR="00812FA7">
        <w:t xml:space="preserve">, vienlaicīgi akcentējot nepieciešamību rūpīgi analizēt stimulus pārejai no </w:t>
      </w:r>
      <w:r w:rsidR="00474479">
        <w:t>pasīvas atbalsta saņemšanas</w:t>
      </w:r>
      <w:r w:rsidR="00812FA7">
        <w:t xml:space="preserve"> uz </w:t>
      </w:r>
      <w:r w:rsidR="00D72EDB">
        <w:t xml:space="preserve">aktīvu </w:t>
      </w:r>
      <w:r w:rsidR="00812FA7">
        <w:t>iesaistīšanos darba tirgū</w:t>
      </w:r>
      <w:r w:rsidR="00812FA7">
        <w:rPr>
          <w:rStyle w:val="FootnoteReference"/>
        </w:rPr>
        <w:t xml:space="preserve"> </w:t>
      </w:r>
      <w:r w:rsidR="005B498B">
        <w:rPr>
          <w:rStyle w:val="FootnoteReference"/>
        </w:rPr>
        <w:footnoteReference w:id="9"/>
      </w:r>
      <w:r w:rsidR="005B498B">
        <w:t>.</w:t>
      </w:r>
      <w:r w:rsidR="004B252E">
        <w:t xml:space="preserve"> </w:t>
      </w:r>
    </w:p>
    <w:p w:rsidR="005F0EB0" w:rsidRPr="00C6067C" w:rsidRDefault="005F0EB0" w:rsidP="00C6067C">
      <w:pPr>
        <w:jc w:val="both"/>
      </w:pPr>
    </w:p>
    <w:p w:rsidR="009A40FB" w:rsidRDefault="008A63C8" w:rsidP="00F01564">
      <w:pPr>
        <w:jc w:val="both"/>
      </w:pPr>
      <w:r w:rsidRPr="00C6067C">
        <w:t>Nabadzības pro</w:t>
      </w:r>
      <w:r>
        <w:t>blemātika ir daudzdimensionāla. N</w:t>
      </w:r>
      <w:r w:rsidRPr="00C6067C">
        <w:t>abadzības</w:t>
      </w:r>
      <w:r>
        <w:t xml:space="preserve"> cēlonis var būt gan</w:t>
      </w:r>
      <w:r w:rsidRPr="00C6067C">
        <w:t xml:space="preserve"> zemi un </w:t>
      </w:r>
      <w:r>
        <w:t xml:space="preserve">nepietiekami ienākumi, gan </w:t>
      </w:r>
      <w:r w:rsidRPr="00C6067C">
        <w:t xml:space="preserve">arī </w:t>
      </w:r>
      <w:r>
        <w:t>šķēršļi, kas kavē iesaistīšanos nodarbinātībā</w:t>
      </w:r>
      <w:r w:rsidR="00CD222F">
        <w:t>,</w:t>
      </w:r>
      <w:r>
        <w:t xml:space="preserve"> </w:t>
      </w:r>
      <w:r w:rsidR="00CD222F">
        <w:t>p</w:t>
      </w:r>
      <w:r>
        <w:t>iemēram, nepietiekamas un/vai neatbilstošas zināšanas un prasmes, slikts veselības stāvoklis</w:t>
      </w:r>
      <w:r w:rsidRPr="00C6067C">
        <w:t xml:space="preserve">, </w:t>
      </w:r>
      <w:r>
        <w:t xml:space="preserve">diskriminācija, stereotipi un aizspriedumi. Tāpat nabadzību var </w:t>
      </w:r>
      <w:r w:rsidRPr="00B4188B">
        <w:t>v</w:t>
      </w:r>
      <w:r w:rsidR="00F01564" w:rsidRPr="00B4188B">
        <w:t xml:space="preserve">eicināt </w:t>
      </w:r>
      <w:r w:rsidR="009C615B" w:rsidRPr="00B4188B">
        <w:t xml:space="preserve">nevienmērīga valsts reģionu ekonomiskā attīstība, augsts bezdarba līmenis ārpus lielajām pilsētām, </w:t>
      </w:r>
      <w:r w:rsidR="00F01564" w:rsidRPr="00B4188B">
        <w:t>nepietiekami progresīva</w:t>
      </w:r>
      <w:r w:rsidRPr="00B4188B">
        <w:t xml:space="preserve"> nodokļu pārdales sistēma, nepietiekama sasaiste ar pabalstu sistēmu</w:t>
      </w:r>
      <w:r w:rsidR="009C615B">
        <w:t>,</w:t>
      </w:r>
      <w:r w:rsidRPr="00C6067C">
        <w:t xml:space="preserve"> un citi objektīvi un subjektīvi </w:t>
      </w:r>
      <w:r>
        <w:t>iemesli</w:t>
      </w:r>
      <w:r w:rsidRPr="00C6067C">
        <w:t>.</w:t>
      </w:r>
      <w:r w:rsidR="007E0730">
        <w:t xml:space="preserve"> </w:t>
      </w:r>
    </w:p>
    <w:p w:rsidR="00185D46" w:rsidRDefault="00185D46" w:rsidP="00E95BFB">
      <w:pPr>
        <w:jc w:val="both"/>
      </w:pPr>
    </w:p>
    <w:p w:rsidR="00DD5984" w:rsidRDefault="000C6DE1" w:rsidP="00134A40">
      <w:pPr>
        <w:jc w:val="both"/>
      </w:pPr>
      <w:r>
        <w:t xml:space="preserve">Minimālā ienākuma līmeņa noteikšanas </w:t>
      </w:r>
      <w:r w:rsidRPr="00F96F31">
        <w:rPr>
          <w:b/>
        </w:rPr>
        <w:t>virsmērķis</w:t>
      </w:r>
      <w:r>
        <w:t xml:space="preserve"> ir uz </w:t>
      </w:r>
      <w:r w:rsidRPr="00B8710F">
        <w:t xml:space="preserve">solidaritātes principiem balstīta </w:t>
      </w:r>
      <w:r>
        <w:t xml:space="preserve">nabadzības un </w:t>
      </w:r>
      <w:r w:rsidRPr="00B8710F">
        <w:t>ienākumu nevienlīdzības mazināšana</w:t>
      </w:r>
      <w:r>
        <w:t xml:space="preserve">. Savukārt </w:t>
      </w:r>
      <w:r w:rsidRPr="00F96F31">
        <w:rPr>
          <w:b/>
        </w:rPr>
        <w:t>mērķis</w:t>
      </w:r>
      <w:r>
        <w:t xml:space="preserve"> ir definēt metodoloģiski pamatotu un sociālekonomiskajai situācijai atbilstošu minimālā ienākuma līmeni, kas kalpotu par atskaites punktu sociālās drošības sistēmas jomu</w:t>
      </w:r>
      <w:r w:rsidRPr="00C6067C">
        <w:t xml:space="preserve"> </w:t>
      </w:r>
      <w:r>
        <w:t xml:space="preserve">(valsts sociālie pabalsti, sociālā apdrošināšana, sociālā palīdzība) ietvaros noteikto atbalsta pasākumu pilnveidošanai. </w:t>
      </w:r>
      <w:r w:rsidR="00DD5984">
        <w:t xml:space="preserve">Līdztekus tam vienlīdz būtiski ir minimālā ienākuma līmeni izmantot darbaspēka nodokļu sistēmas pilnveidošanā, lai neveicinātu </w:t>
      </w:r>
      <w:r w:rsidR="002B6DC1">
        <w:t xml:space="preserve">motivāciju </w:t>
      </w:r>
      <w:r w:rsidR="00DD5984">
        <w:t>pas</w:t>
      </w:r>
      <w:r w:rsidR="002B6DC1">
        <w:t>īvi</w:t>
      </w:r>
      <w:r w:rsidR="00DD5984">
        <w:t xml:space="preserve"> </w:t>
      </w:r>
      <w:r w:rsidR="002B6DC1">
        <w:t>saņemt atbalstu</w:t>
      </w:r>
      <w:r w:rsidR="00DD5984">
        <w:t xml:space="preserve">, bet </w:t>
      </w:r>
      <w:r w:rsidR="009414D8">
        <w:t xml:space="preserve">līdztekus palīdzības saņemšanai </w:t>
      </w:r>
      <w:r w:rsidR="00DD5984">
        <w:t xml:space="preserve">stimulētu </w:t>
      </w:r>
      <w:r w:rsidR="009414D8">
        <w:t xml:space="preserve">arī </w:t>
      </w:r>
      <w:r w:rsidR="00DD5984">
        <w:t>aktīv</w:t>
      </w:r>
      <w:r w:rsidR="002B6DC1">
        <w:t>i</w:t>
      </w:r>
      <w:r w:rsidR="00DD5984">
        <w:t xml:space="preserve"> līdzdarb</w:t>
      </w:r>
      <w:r w:rsidR="002B6DC1">
        <w:t>oties</w:t>
      </w:r>
      <w:r w:rsidR="00DD5984">
        <w:t xml:space="preserve"> darba tirgū. </w:t>
      </w:r>
      <w:r w:rsidR="00463170">
        <w:t xml:space="preserve">Kā minimālā ienākuma līmeņa nodrošināšanā, tā arī nodarbinātības veicināšanas kontekstā īpaši nozīmīga ir ēnu ekonomikas </w:t>
      </w:r>
      <w:r w:rsidR="00E017AF">
        <w:t xml:space="preserve">mazināšanas </w:t>
      </w:r>
      <w:r w:rsidR="00463170">
        <w:t xml:space="preserve">politikas </w:t>
      </w:r>
      <w:r w:rsidR="00E017AF">
        <w:t>loma</w:t>
      </w:r>
      <w:r w:rsidR="00463170">
        <w:t xml:space="preserve">, jo </w:t>
      </w:r>
      <w:r w:rsidR="00E017AF">
        <w:t>ēnu ekonomikas</w:t>
      </w:r>
      <w:r w:rsidR="00463170">
        <w:t xml:space="preserve"> </w:t>
      </w:r>
      <w:r w:rsidR="00E017AF">
        <w:t>īpatsvars lielā mērā ietekmē pieejamo atbalstu iedzīvotājiem</w:t>
      </w:r>
      <w:r w:rsidR="009414D8">
        <w:t>, ko tie var vai varētu saņemt</w:t>
      </w:r>
      <w:r w:rsidR="00E017AF">
        <w:t xml:space="preserve"> no dažādām jomām un sistēmām</w:t>
      </w:r>
      <w:r w:rsidR="00134A40">
        <w:t xml:space="preserve">, </w:t>
      </w:r>
      <w:r w:rsidR="00DD5984" w:rsidRPr="00C6067C">
        <w:t xml:space="preserve">kas ir svarīgas un neatņemamas cilvēka cieņpilnai dzīvei. </w:t>
      </w:r>
    </w:p>
    <w:p w:rsidR="00DD5984" w:rsidRDefault="00DD5984" w:rsidP="00DD5984">
      <w:pPr>
        <w:jc w:val="both"/>
      </w:pPr>
    </w:p>
    <w:p w:rsidR="005F0EB0" w:rsidRPr="00C6067C" w:rsidRDefault="006E2421" w:rsidP="002C30F1">
      <w:pPr>
        <w:jc w:val="both"/>
      </w:pPr>
      <w:r w:rsidRPr="00C6067C">
        <w:t>Š</w:t>
      </w:r>
      <w:r w:rsidR="00C4730A" w:rsidRPr="00C6067C">
        <w:t xml:space="preserve">ajā </w:t>
      </w:r>
      <w:r w:rsidR="009A40FB">
        <w:t>koncepcijā</w:t>
      </w:r>
      <w:r w:rsidR="00C4730A" w:rsidRPr="00C6067C">
        <w:t xml:space="preserve"> sniegts izvērtējums par </w:t>
      </w:r>
      <w:r w:rsidR="009A40FB">
        <w:t xml:space="preserve">valstī </w:t>
      </w:r>
      <w:r w:rsidR="00EA4FDB">
        <w:t xml:space="preserve">esošajiem </w:t>
      </w:r>
      <w:r w:rsidR="003F4467">
        <w:t xml:space="preserve">nabadzības sliekšņu vai </w:t>
      </w:r>
      <w:r w:rsidR="00EA4FDB">
        <w:t>minimālo ienākumu līmeņiem</w:t>
      </w:r>
      <w:r w:rsidR="00134A40">
        <w:t xml:space="preserve"> Latvijā</w:t>
      </w:r>
      <w:r w:rsidR="00EA4FDB">
        <w:t xml:space="preserve">, </w:t>
      </w:r>
      <w:r w:rsidR="00134A40">
        <w:t xml:space="preserve">identificējot </w:t>
      </w:r>
      <w:r w:rsidR="00EA4FDB">
        <w:t>to</w:t>
      </w:r>
      <w:r w:rsidR="00C4730A" w:rsidRPr="00C6067C">
        <w:t xml:space="preserve"> trū</w:t>
      </w:r>
      <w:r w:rsidR="00134A40">
        <w:t>kumus, un sniegts Igaunijas un Lietuvas minimālo ienākumu līmeņu raksturojums. Tāpat ir veikts novērtējums par pabalstu</w:t>
      </w:r>
      <w:r w:rsidR="009414D8">
        <w:t>,</w:t>
      </w:r>
      <w:r w:rsidR="00134A40">
        <w:t xml:space="preserve"> pensiju </w:t>
      </w:r>
      <w:r w:rsidR="009414D8">
        <w:t>un citu sociālo transfertu</w:t>
      </w:r>
      <w:r w:rsidR="00614191">
        <w:rPr>
          <w:rStyle w:val="FootnoteReference"/>
        </w:rPr>
        <w:footnoteReference w:id="10"/>
      </w:r>
      <w:r w:rsidR="009414D8">
        <w:t xml:space="preserve"> </w:t>
      </w:r>
      <w:r w:rsidR="00134A40">
        <w:t>ietekmi uz iedzīvotāju ienākumiem un to nabadzības riska mazināšanu</w:t>
      </w:r>
      <w:r w:rsidR="009414D8">
        <w:t>.</w:t>
      </w:r>
      <w:r w:rsidR="00134A40">
        <w:t xml:space="preserve"> </w:t>
      </w:r>
      <w:r w:rsidR="009414D8">
        <w:t xml:space="preserve">Koncepcijā ir </w:t>
      </w:r>
      <w:r w:rsidR="00293E01">
        <w:t xml:space="preserve">analizēta </w:t>
      </w:r>
      <w:r w:rsidR="009414D8">
        <w:t xml:space="preserve">arī </w:t>
      </w:r>
      <w:r w:rsidR="00293E01">
        <w:t>ienākumu nevienlīdz</w:t>
      </w:r>
      <w:r w:rsidR="00EA2376">
        <w:t>ība</w:t>
      </w:r>
      <w:r w:rsidR="00293E01">
        <w:t>, raksturojot nodokļu un pabalstu sistēmas darbības efektivitāti</w:t>
      </w:r>
      <w:r w:rsidR="009414D8">
        <w:t>, kā arī sniegts minimālās darba algas sasaistes ar minimālā ienākuma līmeni izvērtējums</w:t>
      </w:r>
      <w:r w:rsidR="00293E01">
        <w:t xml:space="preserve">. Balstoties uz situācijas novērtējumu, </w:t>
      </w:r>
      <w:r w:rsidR="00C4730A" w:rsidRPr="00C6067C">
        <w:t xml:space="preserve">piedāvāti </w:t>
      </w:r>
      <w:r w:rsidR="00293E01">
        <w:t>risinājumi</w:t>
      </w:r>
      <w:r w:rsidR="00C4730A" w:rsidRPr="00C6067C">
        <w:t xml:space="preserve"> </w:t>
      </w:r>
      <w:r w:rsidR="00293E01">
        <w:t>adekvāta</w:t>
      </w:r>
      <w:r w:rsidR="00EA2376">
        <w:t xml:space="preserve">, </w:t>
      </w:r>
      <w:r w:rsidR="00C4730A" w:rsidRPr="00C6067C">
        <w:t xml:space="preserve">pamatota </w:t>
      </w:r>
      <w:r w:rsidR="00EA2376">
        <w:t xml:space="preserve">un vienota </w:t>
      </w:r>
      <w:r w:rsidR="00C4730A" w:rsidRPr="00C6067C">
        <w:t>minim</w:t>
      </w:r>
      <w:r w:rsidR="009A40FB">
        <w:t>ālā ienākuma līmeņa noteikšanai</w:t>
      </w:r>
      <w:r w:rsidR="00EA2376">
        <w:t xml:space="preserve"> valstī</w:t>
      </w:r>
      <w:r w:rsidR="004E129E">
        <w:t>, iezīmējot tā nepieciešamo sasaisti ar noteiktām rīcībpolitikām</w:t>
      </w:r>
      <w:r w:rsidR="009A40FB">
        <w:t xml:space="preserve">. </w:t>
      </w:r>
    </w:p>
    <w:p w:rsidR="00D37631" w:rsidRDefault="00D37631" w:rsidP="00D37631">
      <w:pPr>
        <w:jc w:val="both"/>
      </w:pPr>
    </w:p>
    <w:p w:rsidR="00810BF9" w:rsidRDefault="0013108B" w:rsidP="00D37631">
      <w:pPr>
        <w:jc w:val="both"/>
      </w:pPr>
      <w:r>
        <w:t xml:space="preserve">Koncepcijas projekts ir prezentēts </w:t>
      </w:r>
      <w:r w:rsidR="00810BF9">
        <w:t>vairākiem</w:t>
      </w:r>
      <w:r>
        <w:t xml:space="preserve"> sadarbības partneriem, </w:t>
      </w:r>
      <w:r w:rsidR="00B50DCF">
        <w:t xml:space="preserve">kopumā </w:t>
      </w:r>
      <w:r>
        <w:t xml:space="preserve">saņemot pozitīvu novērtējumu un atbalstu tā tālākai virzībai. 2014.gada maijā tika sniegta prezentācija Latvijas Pašvaldību savienības un Labklājības ministrijas </w:t>
      </w:r>
      <w:r w:rsidR="00987F2B">
        <w:t xml:space="preserve">ikgadējo </w:t>
      </w:r>
      <w:r>
        <w:t xml:space="preserve">sarunu laikā, kā arī Sociālās drošības </w:t>
      </w:r>
      <w:proofErr w:type="spellStart"/>
      <w:r>
        <w:t>apakšpadomes</w:t>
      </w:r>
      <w:proofErr w:type="spellEnd"/>
      <w:r>
        <w:t xml:space="preserve"> sēdē. 2014.gada jūnijā un jūlijā koncepcijas projekts tika prezentēts Labklājības ministrijas izveidotajās konsultatīvajās institūcijās: Sociālās iekļaušanas politikas koordinācijas komitejas</w:t>
      </w:r>
      <w:r w:rsidR="009414D8">
        <w:rPr>
          <w:rStyle w:val="FootnoteReference"/>
          <w:b/>
          <w:bCs/>
        </w:rPr>
        <w:footnoteReference w:id="11"/>
      </w:r>
      <w:r>
        <w:t xml:space="preserve"> un Sociālā darba speciālistu sadarbības padomes</w:t>
      </w:r>
      <w:r w:rsidR="009414D8">
        <w:rPr>
          <w:rStyle w:val="FootnoteReference"/>
          <w:b/>
          <w:bCs/>
        </w:rPr>
        <w:footnoteReference w:id="12"/>
      </w:r>
      <w:r>
        <w:t xml:space="preserve"> sēdēs. Sociālās iekļaušanas politikas koordinācijas komitejas locekļiem koncepcijas projekts tika nosūtīts arī </w:t>
      </w:r>
      <w:r>
        <w:lastRenderedPageBreak/>
        <w:t>rakstveida komentāru sniegšanai</w:t>
      </w:r>
      <w:r w:rsidR="00987F2B">
        <w:t>, kā rezultātā priekšlikumi</w:t>
      </w:r>
      <w:r>
        <w:t xml:space="preserve"> un labojumi tika saņemti no Kurzemes plānošanas reģiona pārstāvja</w:t>
      </w:r>
      <w:r w:rsidR="00B50DCF">
        <w:t>, tos attiecīgi iestrādājot šajā koncepcijā</w:t>
      </w:r>
      <w:r>
        <w:t>. Laika posmā no 2014.gada 4.-18.jūlijam koncepcijas projekts tika ievietots sabiedriskajai apspriedei Labklājības ministrijas mājas lapā</w:t>
      </w:r>
      <w:r w:rsidR="009414D8">
        <w:rPr>
          <w:rStyle w:val="FootnoteReference"/>
          <w:b/>
          <w:bCs/>
        </w:rPr>
        <w:footnoteReference w:id="13"/>
      </w:r>
      <w:r>
        <w:t xml:space="preserve">, uz kuru atbalstošu un pozitīvu viedokli sniedza Latvijas Samariešu apvienība. </w:t>
      </w:r>
      <w:r w:rsidR="00810BF9">
        <w:t xml:space="preserve">Diskusiju laikā divi galvenie jautājumi bija par 1) piedāvāto ekvivalences skalu bērnam, paužot viedokli, ka tā ir pārāk zema, un 2) pārāk mazo akcentu uz indivīdu aktivizēšanu un līdzdarbību savas situācijas risināšanai, lai novērstu pasīvas atbalsta saņemšanas veicināšanas iespējas. Labklājības ministrija, izvērtējot sadarbības partneru viedokļus, mainīja piedāvāto ekvivalences skalu bērnam, to attiecīgi palielinot, kā arī koncepcijā tika ietverta plašāka informācija par ekvivalences skalu mērķi, </w:t>
      </w:r>
      <w:r w:rsidR="00BA016C">
        <w:t xml:space="preserve">to </w:t>
      </w:r>
      <w:r w:rsidR="006F6CC0">
        <w:t>izplatītākajie</w:t>
      </w:r>
      <w:r w:rsidR="00810BF9">
        <w:t xml:space="preserve">m </w:t>
      </w:r>
      <w:r w:rsidR="00BA016C">
        <w:t>veidiem</w:t>
      </w:r>
      <w:r w:rsidR="00810BF9">
        <w:t xml:space="preserve"> un aplūkoti galvenie diskusiju jautājumi saistībā ar </w:t>
      </w:r>
      <w:r w:rsidR="00BA016C">
        <w:t>ekvivalences skalu aprēķināšanu</w:t>
      </w:r>
      <w:r w:rsidR="00810BF9">
        <w:t>. Savukārt, lai neveidotu priekšstatu, ka ir plānots tikai sniegt atbalstu iedzīvotājiem bez viņu aktīvas līdzdalības savas situācijas uzlabošan</w:t>
      </w:r>
      <w:r w:rsidR="00BA016C">
        <w:t>ā (</w:t>
      </w:r>
      <w:r w:rsidR="00810BF9">
        <w:t>kur tas iespējams</w:t>
      </w:r>
      <w:r w:rsidR="00BA016C">
        <w:t>)</w:t>
      </w:r>
      <w:r w:rsidR="00810BF9">
        <w:t xml:space="preserve">, koncepcija tika papildināta ar </w:t>
      </w:r>
      <w:r w:rsidR="00BA016C">
        <w:t xml:space="preserve">attiecīgo </w:t>
      </w:r>
      <w:r w:rsidR="00810BF9">
        <w:t>inform</w:t>
      </w:r>
      <w:r w:rsidR="00BA016C">
        <w:t xml:space="preserve">āciju, uzsverot, ka finansiālais atbalsts tiks vērtēts vienlaicīgi ar līdzdarbības pasākumiem, maksimāli uzlabojot to ieviešanas efektivitāti. </w:t>
      </w:r>
    </w:p>
    <w:p w:rsidR="005A601C" w:rsidRDefault="006E2421" w:rsidP="005416A2">
      <w:pPr>
        <w:pStyle w:val="Heading1"/>
      </w:pPr>
      <w:r>
        <w:br w:type="page"/>
      </w:r>
      <w:bookmarkStart w:id="21" w:name="_Toc401572474"/>
      <w:r w:rsidR="005416A2" w:rsidRPr="009229EA">
        <w:lastRenderedPageBreak/>
        <w:t>1.</w:t>
      </w:r>
      <w:r w:rsidR="005A601C" w:rsidRPr="009229EA">
        <w:t>Problēmas formulējums un detalizēts izklāsts</w:t>
      </w:r>
      <w:bookmarkEnd w:id="21"/>
    </w:p>
    <w:p w:rsidR="00D71E68" w:rsidRDefault="003E4753" w:rsidP="002E0B4D">
      <w:pPr>
        <w:autoSpaceDE w:val="0"/>
        <w:autoSpaceDN w:val="0"/>
        <w:adjustRightInd w:val="0"/>
        <w:ind w:firstLine="720"/>
        <w:jc w:val="both"/>
      </w:pPr>
      <w:r>
        <w:t>Latvijā jau vairāk kā</w:t>
      </w:r>
      <w:r w:rsidR="00AB61F3" w:rsidRPr="00D06DAE">
        <w:t xml:space="preserve"> </w:t>
      </w:r>
      <w:r>
        <w:t>desmit</w:t>
      </w:r>
      <w:r w:rsidRPr="00D06DAE">
        <w:t xml:space="preserve"> </w:t>
      </w:r>
      <w:r w:rsidR="00AB61F3" w:rsidRPr="00D06DAE">
        <w:t>gadu garumā</w:t>
      </w:r>
      <w:r w:rsidR="00AB61F3">
        <w:t xml:space="preserve"> saglabājās relatīvi augsts nabadzības risks, jo </w:t>
      </w:r>
      <w:r w:rsidR="002E0B4D">
        <w:t>iedzīvotāju</w:t>
      </w:r>
      <w:r w:rsidR="00D06DAE" w:rsidRPr="00D06DAE">
        <w:t xml:space="preserve"> </w:t>
      </w:r>
      <w:r w:rsidR="002E0B4D">
        <w:t>minimālie ienākumi gan no algota darba (nodokļi, atalgojums u.c.), gan sociālās aizsardzības sistēmas</w:t>
      </w:r>
      <w:r w:rsidR="00D06DAE" w:rsidRPr="00D06DAE">
        <w:t xml:space="preserve"> </w:t>
      </w:r>
      <w:r w:rsidR="00AB61F3">
        <w:t>(garantēt</w:t>
      </w:r>
      <w:r w:rsidR="00DF7C00">
        <w:t>ais</w:t>
      </w:r>
      <w:r w:rsidR="00AB61F3">
        <w:t xml:space="preserve"> minimālā ienākuma līmenis, valsts sociālā nodrošinājuma pabalsts</w:t>
      </w:r>
      <w:r w:rsidR="002E0B4D">
        <w:t xml:space="preserve"> u.c.</w:t>
      </w:r>
      <w:r w:rsidR="00AB61F3">
        <w:t xml:space="preserve">) </w:t>
      </w:r>
      <w:r w:rsidR="006C4CC6">
        <w:t>nav pietiekami, lai ietekmētu</w:t>
      </w:r>
      <w:r w:rsidR="00D06DAE" w:rsidRPr="00D06DAE">
        <w:t xml:space="preserve"> nabadzīb</w:t>
      </w:r>
      <w:r w:rsidR="00853945">
        <w:t>as mazinā</w:t>
      </w:r>
      <w:r w:rsidR="00914D22">
        <w:t>šanos</w:t>
      </w:r>
      <w:r w:rsidR="006C4CC6">
        <w:t xml:space="preserve"> valstī</w:t>
      </w:r>
      <w:r w:rsidR="00E601F7">
        <w:t xml:space="preserve">. </w:t>
      </w:r>
      <w:r w:rsidR="0030185F" w:rsidRPr="0030185F">
        <w:t>Nabadzības situācija Latvijā tika analizēta informatīvajā ziņojumā „Priekšlikumi sociālās drošības sistēmas pilnveidošanai”</w:t>
      </w:r>
      <w:r w:rsidR="0030185F">
        <w:rPr>
          <w:rStyle w:val="FootnoteReference"/>
        </w:rPr>
        <w:footnoteReference w:id="14"/>
      </w:r>
      <w:r w:rsidR="00DB6EF1">
        <w:t xml:space="preserve">, tāpēc šajā koncepcijā </w:t>
      </w:r>
      <w:r w:rsidR="007524D7">
        <w:t xml:space="preserve">minētā informācija netiks </w:t>
      </w:r>
      <w:r w:rsidR="00AF7953">
        <w:t>atkārtota</w:t>
      </w:r>
      <w:r w:rsidR="003E23F2">
        <w:t xml:space="preserve">. </w:t>
      </w:r>
      <w:r w:rsidR="009941FA">
        <w:t xml:space="preserve">Tomēr vēlreiz tiks akcentēti Pasaules </w:t>
      </w:r>
      <w:r w:rsidR="00D71E68">
        <w:t>B</w:t>
      </w:r>
      <w:r w:rsidR="009941FA">
        <w:t>ankas</w:t>
      </w:r>
      <w:r w:rsidR="009941FA" w:rsidRPr="0063727B">
        <w:t xml:space="preserve"> pētījuma rezultāti</w:t>
      </w:r>
      <w:r w:rsidR="009941FA">
        <w:t>, kur</w:t>
      </w:r>
      <w:r w:rsidR="009941FA" w:rsidRPr="0063727B">
        <w:t xml:space="preserve"> līdztekus kopējam sistēmas novērtējumam iezīmē</w:t>
      </w:r>
      <w:r w:rsidR="009941FA">
        <w:t>ti galvenie</w:t>
      </w:r>
      <w:r w:rsidR="009941FA" w:rsidRPr="0063727B">
        <w:t xml:space="preserve"> </w:t>
      </w:r>
      <w:r w:rsidR="009941FA">
        <w:t>sociālās drošības sistēmas</w:t>
      </w:r>
      <w:r w:rsidR="009941FA" w:rsidRPr="0063727B">
        <w:t xml:space="preserve"> trūkum</w:t>
      </w:r>
      <w:r w:rsidR="009941FA">
        <w:t>i</w:t>
      </w:r>
      <w:r w:rsidR="009941FA" w:rsidRPr="0063727B">
        <w:t xml:space="preserve"> un identificē</w:t>
      </w:r>
      <w:r w:rsidR="009941FA">
        <w:t>tas</w:t>
      </w:r>
      <w:r w:rsidR="009941FA" w:rsidRPr="0063727B">
        <w:t xml:space="preserve"> problēmas sociālās palīdzības sistēmā, darba tirgus politikā, valsts sociālo pabalstu un nodokļu politikā, </w:t>
      </w:r>
      <w:r w:rsidR="009941FA">
        <w:t>un vienlaikus izceltas</w:t>
      </w:r>
      <w:r w:rsidR="009941FA" w:rsidRPr="0063727B">
        <w:t xml:space="preserve"> galvenās iedzīvotāju riska grupas. </w:t>
      </w:r>
    </w:p>
    <w:p w:rsidR="009941FA" w:rsidRPr="0063727B" w:rsidRDefault="009941FA" w:rsidP="009941FA">
      <w:pPr>
        <w:autoSpaceDE w:val="0"/>
        <w:autoSpaceDN w:val="0"/>
        <w:adjustRightInd w:val="0"/>
        <w:ind w:firstLine="720"/>
        <w:jc w:val="both"/>
      </w:pPr>
      <w:r w:rsidRPr="0063727B">
        <w:t>Kā būtiskākās kopējās sociālās drošības si</w:t>
      </w:r>
      <w:r>
        <w:t xml:space="preserve">stēmas </w:t>
      </w:r>
      <w:proofErr w:type="spellStart"/>
      <w:r>
        <w:t>problēmjomas</w:t>
      </w:r>
      <w:proofErr w:type="spellEnd"/>
      <w:r>
        <w:t>, kas iezīmēt</w:t>
      </w:r>
      <w:r w:rsidRPr="0063727B">
        <w:t xml:space="preserve">as šī </w:t>
      </w:r>
      <w:r w:rsidR="00D71E68">
        <w:t xml:space="preserve">Pasaules Bankas </w:t>
      </w:r>
      <w:r w:rsidRPr="0063727B">
        <w:t>pētījuma i</w:t>
      </w:r>
      <w:r>
        <w:t>etvaros izdarītajos secinājumos</w:t>
      </w:r>
      <w:r w:rsidRPr="0063727B">
        <w:t xml:space="preserve">: </w:t>
      </w:r>
    </w:p>
    <w:p w:rsidR="009941FA" w:rsidRPr="0063727B" w:rsidRDefault="009941FA" w:rsidP="009941FA">
      <w:pPr>
        <w:pStyle w:val="ListParagraph"/>
        <w:numPr>
          <w:ilvl w:val="0"/>
          <w:numId w:val="30"/>
        </w:numPr>
        <w:tabs>
          <w:tab w:val="left" w:pos="993"/>
        </w:tabs>
        <w:autoSpaceDE w:val="0"/>
        <w:autoSpaceDN w:val="0"/>
        <w:adjustRightInd w:val="0"/>
        <w:contextualSpacing w:val="0"/>
        <w:jc w:val="both"/>
        <w:rPr>
          <w:rFonts w:ascii="Times New Roman" w:hAnsi="Times New Roman"/>
        </w:rPr>
      </w:pPr>
      <w:r w:rsidRPr="0063727B">
        <w:rPr>
          <w:rFonts w:ascii="Times New Roman" w:hAnsi="Times New Roman"/>
        </w:rPr>
        <w:t xml:space="preserve">valsts un pašvaldību sniegtā atbalsta mērķētības trūkums un pilnveidošanas nepieciešamība attiecībā uz trūcīgākajiem iedzīvotājiem; </w:t>
      </w:r>
    </w:p>
    <w:p w:rsidR="009941FA" w:rsidRPr="0063727B" w:rsidRDefault="009941FA" w:rsidP="009941FA">
      <w:pPr>
        <w:pStyle w:val="ListParagraph"/>
        <w:numPr>
          <w:ilvl w:val="0"/>
          <w:numId w:val="30"/>
        </w:numPr>
        <w:tabs>
          <w:tab w:val="left" w:pos="993"/>
        </w:tabs>
        <w:autoSpaceDE w:val="0"/>
        <w:autoSpaceDN w:val="0"/>
        <w:adjustRightInd w:val="0"/>
        <w:contextualSpacing w:val="0"/>
        <w:jc w:val="both"/>
        <w:rPr>
          <w:rFonts w:ascii="Times New Roman" w:hAnsi="Times New Roman"/>
        </w:rPr>
      </w:pPr>
      <w:r w:rsidRPr="0063727B">
        <w:rPr>
          <w:rFonts w:ascii="Times New Roman" w:hAnsi="Times New Roman"/>
        </w:rPr>
        <w:t>nepieciešamība īstenot pasākumus, kas ļautu vienmērīgāk pāriet no sociālās palīdzības pabalsta uz algotu darbu;</w:t>
      </w:r>
    </w:p>
    <w:p w:rsidR="009941FA" w:rsidRPr="0063727B" w:rsidRDefault="009941FA" w:rsidP="009941FA">
      <w:pPr>
        <w:pStyle w:val="ListParagraph"/>
        <w:numPr>
          <w:ilvl w:val="0"/>
          <w:numId w:val="30"/>
        </w:numPr>
        <w:tabs>
          <w:tab w:val="left" w:pos="993"/>
        </w:tabs>
        <w:autoSpaceDE w:val="0"/>
        <w:autoSpaceDN w:val="0"/>
        <w:adjustRightInd w:val="0"/>
        <w:contextualSpacing w:val="0"/>
        <w:jc w:val="both"/>
        <w:rPr>
          <w:rFonts w:ascii="Times New Roman" w:hAnsi="Times New Roman"/>
        </w:rPr>
      </w:pPr>
      <w:r w:rsidRPr="0063727B">
        <w:rPr>
          <w:rFonts w:ascii="Times New Roman" w:hAnsi="Times New Roman"/>
        </w:rPr>
        <w:t>nepieciešamība precīzāk izdalīt prioritāri atbalstāmās mērķa grupas;</w:t>
      </w:r>
    </w:p>
    <w:p w:rsidR="009941FA" w:rsidRPr="0063727B" w:rsidRDefault="009941FA" w:rsidP="009941FA">
      <w:pPr>
        <w:pStyle w:val="ListParagraph"/>
        <w:numPr>
          <w:ilvl w:val="0"/>
          <w:numId w:val="30"/>
        </w:numPr>
        <w:tabs>
          <w:tab w:val="left" w:pos="993"/>
        </w:tabs>
        <w:autoSpaceDE w:val="0"/>
        <w:autoSpaceDN w:val="0"/>
        <w:adjustRightInd w:val="0"/>
        <w:contextualSpacing w:val="0"/>
        <w:jc w:val="both"/>
        <w:rPr>
          <w:rFonts w:ascii="Times New Roman" w:hAnsi="Times New Roman"/>
        </w:rPr>
      </w:pPr>
      <w:r>
        <w:rPr>
          <w:rFonts w:ascii="Times New Roman" w:hAnsi="Times New Roman"/>
        </w:rPr>
        <w:t xml:space="preserve">nepieciešamība uzlabot </w:t>
      </w:r>
      <w:r w:rsidRPr="0063727B">
        <w:rPr>
          <w:rFonts w:ascii="Times New Roman" w:hAnsi="Times New Roman"/>
        </w:rPr>
        <w:t>atsevišķu</w:t>
      </w:r>
      <w:r w:rsidR="00AF7953">
        <w:rPr>
          <w:rFonts w:ascii="Times New Roman" w:hAnsi="Times New Roman"/>
        </w:rPr>
        <w:t>s aktīvās nodarbinātības pasākumus</w:t>
      </w:r>
      <w:r w:rsidRPr="0063727B">
        <w:rPr>
          <w:rFonts w:ascii="Times New Roman" w:hAnsi="Times New Roman"/>
        </w:rPr>
        <w:t xml:space="preserve">. </w:t>
      </w:r>
    </w:p>
    <w:p w:rsidR="009941FA" w:rsidRPr="0063727B" w:rsidRDefault="00AF7953" w:rsidP="009941FA">
      <w:pPr>
        <w:autoSpaceDE w:val="0"/>
        <w:autoSpaceDN w:val="0"/>
        <w:adjustRightInd w:val="0"/>
        <w:ind w:firstLine="720"/>
        <w:jc w:val="both"/>
      </w:pPr>
      <w:r w:rsidRPr="009941FA">
        <w:t>Galvenās mērķa grupas</w:t>
      </w:r>
      <w:r w:rsidRPr="0063727B">
        <w:t>, kuru atbalsta</w:t>
      </w:r>
      <w:r>
        <w:t xml:space="preserve"> pasākumus</w:t>
      </w:r>
      <w:proofErr w:type="gramStart"/>
      <w:r>
        <w:t xml:space="preserve"> </w:t>
      </w:r>
      <w:r w:rsidRPr="0063727B">
        <w:t xml:space="preserve"> </w:t>
      </w:r>
      <w:proofErr w:type="gramEnd"/>
      <w:r w:rsidRPr="0063727B">
        <w:t>nepieciešams pilnveidot vai attīstīt jaunas iniciatīvas</w:t>
      </w:r>
      <w:r w:rsidR="009941FA" w:rsidRPr="0063727B">
        <w:t>, ir zemu ienākumu ģimenes ar bērniem, zemas darba intensitātes mājsaimniecības, gados vecāki iedzīvotāji, īpaši ar atkarības problēmām, hroniskām saslimšanām vai invaliditāti.</w:t>
      </w:r>
    </w:p>
    <w:p w:rsidR="009941FA" w:rsidRDefault="009941FA" w:rsidP="00705548">
      <w:pPr>
        <w:ind w:firstLine="720"/>
        <w:jc w:val="both"/>
      </w:pPr>
      <w:r>
        <w:t xml:space="preserve"> </w:t>
      </w:r>
    </w:p>
    <w:p w:rsidR="0030185F" w:rsidRDefault="003E23F2" w:rsidP="002C30F1">
      <w:pPr>
        <w:ind w:firstLine="720"/>
        <w:jc w:val="both"/>
      </w:pPr>
      <w:r>
        <w:t>Šīs nodaļas apakšno</w:t>
      </w:r>
      <w:r w:rsidR="007524D7">
        <w:t xml:space="preserve">daļās </w:t>
      </w:r>
      <w:r>
        <w:t>analizēta Latvijā noteikto un</w:t>
      </w:r>
      <w:r w:rsidR="00767F97">
        <w:t>/vai</w:t>
      </w:r>
      <w:r>
        <w:t xml:space="preserve"> izmantoto minimālo ienākumu līmeņu </w:t>
      </w:r>
      <w:r w:rsidR="00167CB1">
        <w:t>/ nabadzības riska sliekšņu</w:t>
      </w:r>
      <w:r w:rsidR="00A32D69">
        <w:rPr>
          <w:rStyle w:val="FootnoteReference"/>
        </w:rPr>
        <w:footnoteReference w:id="15"/>
      </w:r>
      <w:r w:rsidR="00167CB1">
        <w:t xml:space="preserve"> </w:t>
      </w:r>
      <w:r>
        <w:t>vēsturiskā izveide un aprēķina metodoloģija, aplūkota starptautiskā</w:t>
      </w:r>
      <w:r w:rsidR="006176E8">
        <w:t xml:space="preserve"> prakse nabadzības sliekšņu aprēķināšanā, analizēta sociālo </w:t>
      </w:r>
      <w:proofErr w:type="gramStart"/>
      <w:r w:rsidR="006176E8">
        <w:t>transfertu</w:t>
      </w:r>
      <w:r w:rsidR="002C30F1">
        <w:t xml:space="preserve"> </w:t>
      </w:r>
      <w:r w:rsidR="006176E8">
        <w:t>ietekme</w:t>
      </w:r>
      <w:proofErr w:type="gramEnd"/>
      <w:r w:rsidR="006176E8">
        <w:t xml:space="preserve"> uz nabadzības mazināšanu iedzīvotājiem, vērtēta nodokļu loma ienākumu nevienlīdzības kontekstā un</w:t>
      </w:r>
      <w:r w:rsidR="009506CA">
        <w:t xml:space="preserve"> </w:t>
      </w:r>
      <w:r w:rsidR="008C13EC">
        <w:t>aplūkota</w:t>
      </w:r>
      <w:r w:rsidR="006176E8">
        <w:t xml:space="preserve"> Lietu</w:t>
      </w:r>
      <w:r w:rsidR="006F6CC0">
        <w:t>vas un Igaunijas prakse minimālā ienākuma</w:t>
      </w:r>
      <w:r w:rsidR="006176E8">
        <w:t xml:space="preserve"> līmeņa noteikšanā un piemērošanā</w:t>
      </w:r>
      <w:r w:rsidR="008F702A">
        <w:t xml:space="preserve">. </w:t>
      </w:r>
    </w:p>
    <w:p w:rsidR="00614191" w:rsidRDefault="00614191" w:rsidP="002C30F1">
      <w:pPr>
        <w:ind w:firstLine="720"/>
        <w:jc w:val="both"/>
      </w:pPr>
    </w:p>
    <w:p w:rsidR="00D93EEA" w:rsidRDefault="00E601F7" w:rsidP="005E0D82">
      <w:pPr>
        <w:pStyle w:val="Heading2"/>
        <w:numPr>
          <w:ilvl w:val="1"/>
          <w:numId w:val="1"/>
        </w:numPr>
      </w:pPr>
      <w:bookmarkStart w:id="22" w:name="_Toc401572475"/>
      <w:r>
        <w:t xml:space="preserve">Minimālie ienākumu līmeņi </w:t>
      </w:r>
      <w:r w:rsidR="00167CB1">
        <w:t xml:space="preserve">/ nabadzības riska sliekšņi </w:t>
      </w:r>
      <w:r>
        <w:t>Latvijā</w:t>
      </w:r>
      <w:r w:rsidR="005A601C" w:rsidRPr="009229EA">
        <w:t xml:space="preserve"> </w:t>
      </w:r>
      <w:r>
        <w:t>1991.-201</w:t>
      </w:r>
      <w:r w:rsidR="007B430C">
        <w:t>3</w:t>
      </w:r>
      <w:r w:rsidR="006A3E4E">
        <w:t>.gadam</w:t>
      </w:r>
      <w:bookmarkEnd w:id="22"/>
      <w:r>
        <w:t xml:space="preserve"> </w:t>
      </w:r>
    </w:p>
    <w:p w:rsidR="00C84374" w:rsidRDefault="00C84374" w:rsidP="00C84374">
      <w:pPr>
        <w:ind w:firstLine="720"/>
        <w:jc w:val="both"/>
      </w:pPr>
    </w:p>
    <w:p w:rsidR="00614191" w:rsidRDefault="00614191" w:rsidP="00C84374">
      <w:pPr>
        <w:ind w:firstLine="720"/>
        <w:jc w:val="both"/>
      </w:pPr>
    </w:p>
    <w:p w:rsidR="00C84374" w:rsidRDefault="00681D20" w:rsidP="00BC4FE3">
      <w:pPr>
        <w:ind w:firstLine="426"/>
        <w:jc w:val="both"/>
      </w:pPr>
      <w:r>
        <w:t xml:space="preserve">Līdz 2013.gadam </w:t>
      </w:r>
      <w:r w:rsidR="00C84374" w:rsidRPr="00173A24">
        <w:t xml:space="preserve">Latvijā </w:t>
      </w:r>
      <w:r>
        <w:t xml:space="preserve">tika </w:t>
      </w:r>
      <w:r w:rsidR="00DF7C00">
        <w:t>aprēķināti</w:t>
      </w:r>
      <w:r w:rsidR="00C84374" w:rsidRPr="00173A24">
        <w:t xml:space="preserve"> </w:t>
      </w:r>
      <w:r w:rsidR="00167CB1">
        <w:t xml:space="preserve">vai noteikti </w:t>
      </w:r>
      <w:r w:rsidR="00C84374" w:rsidRPr="00173A24">
        <w:t>piec</w:t>
      </w:r>
      <w:r>
        <w:t>i</w:t>
      </w:r>
      <w:r w:rsidR="00C84374" w:rsidRPr="00173A24">
        <w:t xml:space="preserve"> minimāl</w:t>
      </w:r>
      <w:r w:rsidR="005E0D82">
        <w:t>ā ienākuma</w:t>
      </w:r>
      <w:r w:rsidR="00C84374" w:rsidRPr="00173A24">
        <w:t xml:space="preserve"> </w:t>
      </w:r>
      <w:r>
        <w:t>līmeņi</w:t>
      </w:r>
      <w:r w:rsidR="00757751">
        <w:t xml:space="preserve"> </w:t>
      </w:r>
      <w:r w:rsidR="00167CB1">
        <w:t>/ nabadzības riska sliekšņi</w:t>
      </w:r>
      <w:r w:rsidR="005E0D82">
        <w:t xml:space="preserve">. </w:t>
      </w:r>
      <w:r w:rsidR="00BF2701">
        <w:t>Pirms to uzskaites ir svarīgi ņemt vērā, ka to noteikšanas un izmantošanas mērķi un kritēriji, kā arī laika ietvars, būtiski atšķiras, tāpēc, no vienas puses, to salīdzināšana un secīga uzskaite nav lietderīga. Taču, no otras puses, ir jāapzinās šo rādītāju nozīme un loma rīcībpolitikas veidošanā un saistībā ar sabiedrībā pastāvošajiem viedokļiem vairāk nekā desmit gadu garumā, vienlaikus paturot prātā arī to, ka izvērtējums par esošajiem rādītājiem</w:t>
      </w:r>
      <w:proofErr w:type="gramStart"/>
      <w:r w:rsidR="00BF2701">
        <w:t xml:space="preserve"> līdz šim nav ticis</w:t>
      </w:r>
      <w:proofErr w:type="gramEnd"/>
      <w:r w:rsidR="00BF2701">
        <w:t xml:space="preserve"> veikts. Ņemot vērā šos apsvērumus, zemāk ir sniegts minimālā ienākuma līmeņu / nabadzības riska sliekšņu uzskaitījums atbilstoši to noteikšanas un/vai pastāvēšanas gadam/-</w:t>
      </w:r>
      <w:proofErr w:type="spellStart"/>
      <w:r w:rsidR="00BF2701">
        <w:t>iem</w:t>
      </w:r>
      <w:proofErr w:type="spellEnd"/>
      <w:r w:rsidR="00EC7225">
        <w:t>:</w:t>
      </w:r>
    </w:p>
    <w:p w:rsidR="00C84374" w:rsidRPr="00B30E3F" w:rsidRDefault="00167CB1" w:rsidP="008D2C29">
      <w:pPr>
        <w:numPr>
          <w:ilvl w:val="0"/>
          <w:numId w:val="10"/>
        </w:numPr>
        <w:ind w:left="426" w:hanging="425"/>
        <w:jc w:val="both"/>
      </w:pPr>
      <w:r>
        <w:lastRenderedPageBreak/>
        <w:t xml:space="preserve">(1991-2013) </w:t>
      </w:r>
      <w:r w:rsidR="00C84374" w:rsidRPr="00B30E3F">
        <w:t>pilna iztikas minimuma patēriņa preču un pakalpojumu groza vērtība vienam iedzīvotājam (turpmāk - iztikas minimums);</w:t>
      </w:r>
    </w:p>
    <w:p w:rsidR="00C84374" w:rsidRPr="00B30E3F" w:rsidRDefault="00167CB1" w:rsidP="00167CB1">
      <w:pPr>
        <w:numPr>
          <w:ilvl w:val="0"/>
          <w:numId w:val="10"/>
        </w:numPr>
        <w:ind w:left="426" w:hanging="425"/>
        <w:jc w:val="both"/>
      </w:pPr>
      <w:r>
        <w:t xml:space="preserve">(1993) </w:t>
      </w:r>
      <w:r w:rsidR="00C84374" w:rsidRPr="00B30E3F">
        <w:t>trūcīgas personas statusam atbilstošs ienākumu līmenis (</w:t>
      </w:r>
      <w:r w:rsidR="00B30E3F" w:rsidRPr="00B30E3F">
        <w:t xml:space="preserve">turpmāk - </w:t>
      </w:r>
      <w:r w:rsidR="00C84374" w:rsidRPr="00B30E3F">
        <w:t>trūcīga persona);</w:t>
      </w:r>
    </w:p>
    <w:p w:rsidR="00C84374" w:rsidRPr="00B30E3F" w:rsidRDefault="00167CB1" w:rsidP="008D2C29">
      <w:pPr>
        <w:numPr>
          <w:ilvl w:val="0"/>
          <w:numId w:val="10"/>
        </w:numPr>
        <w:ind w:left="426" w:hanging="425"/>
        <w:jc w:val="both"/>
      </w:pPr>
      <w:r>
        <w:t xml:space="preserve">(1993) </w:t>
      </w:r>
      <w:r w:rsidR="00C84374" w:rsidRPr="00B30E3F">
        <w:t>maznodrošinātās personas statusam atbilstošs ienākumu līmenis (</w:t>
      </w:r>
      <w:r w:rsidR="00B30E3F" w:rsidRPr="00B30E3F">
        <w:t xml:space="preserve">turpmāk - </w:t>
      </w:r>
      <w:r w:rsidR="00C84374" w:rsidRPr="00B30E3F">
        <w:t>maznodrošināta persona);</w:t>
      </w:r>
      <w:r w:rsidR="00B30E3F" w:rsidRPr="00B30E3F">
        <w:t xml:space="preserve"> </w:t>
      </w:r>
    </w:p>
    <w:p w:rsidR="00C84374" w:rsidRPr="00B30E3F" w:rsidRDefault="00167CB1" w:rsidP="008D2C29">
      <w:pPr>
        <w:numPr>
          <w:ilvl w:val="0"/>
          <w:numId w:val="10"/>
        </w:numPr>
        <w:ind w:left="426" w:hanging="425"/>
        <w:jc w:val="both"/>
      </w:pPr>
      <w:r>
        <w:t xml:space="preserve">(2003) </w:t>
      </w:r>
      <w:r w:rsidR="002C30F1">
        <w:t>garantētā</w:t>
      </w:r>
      <w:r w:rsidR="00C84374" w:rsidRPr="00B30E3F">
        <w:t xml:space="preserve"> minimālā ienākuma līmenis (</w:t>
      </w:r>
      <w:r w:rsidR="00B30E3F" w:rsidRPr="00B30E3F">
        <w:t xml:space="preserve">turpmāk - </w:t>
      </w:r>
      <w:r w:rsidR="00C84374" w:rsidRPr="00B30E3F">
        <w:t>GMI līmenis);</w:t>
      </w:r>
    </w:p>
    <w:p w:rsidR="00C84374" w:rsidRDefault="00167CB1" w:rsidP="008D2C29">
      <w:pPr>
        <w:numPr>
          <w:ilvl w:val="0"/>
          <w:numId w:val="10"/>
        </w:numPr>
        <w:ind w:left="426" w:hanging="425"/>
        <w:jc w:val="both"/>
      </w:pPr>
      <w:r>
        <w:t xml:space="preserve">(2004) </w:t>
      </w:r>
      <w:r w:rsidR="00C84374" w:rsidRPr="00B30E3F">
        <w:t>ES līmenī noteiktais nabadzības riska slieksnis (</w:t>
      </w:r>
      <w:r w:rsidR="00B30E3F" w:rsidRPr="00B30E3F">
        <w:t xml:space="preserve">turpmāk - </w:t>
      </w:r>
      <w:r w:rsidR="00C84374" w:rsidRPr="00B30E3F">
        <w:t>nabadzības riska slieksnis).</w:t>
      </w:r>
    </w:p>
    <w:p w:rsidR="000F6CD1" w:rsidRDefault="000F6CD1" w:rsidP="009A1864">
      <w:pPr>
        <w:ind w:firstLine="426"/>
        <w:jc w:val="both"/>
      </w:pPr>
      <w:r>
        <w:t xml:space="preserve">Jāpiebilst, ka maznodrošinātas </w:t>
      </w:r>
      <w:r w:rsidRPr="00B30E3F">
        <w:t>personas statusam atbilstoš</w:t>
      </w:r>
      <w:r>
        <w:t>a</w:t>
      </w:r>
      <w:r w:rsidRPr="00B30E3F">
        <w:t xml:space="preserve"> ienākumu līme</w:t>
      </w:r>
      <w:r>
        <w:t xml:space="preserve">ņa apmērus pašvaldības noteikušas diferencētus (no 142 – līdz 356 </w:t>
      </w:r>
      <w:proofErr w:type="spellStart"/>
      <w:r w:rsidR="006F6CC0" w:rsidRPr="00BD0F8B">
        <w:rPr>
          <w:i/>
          <w:iCs/>
        </w:rPr>
        <w:t>euro</w:t>
      </w:r>
      <w:proofErr w:type="spellEnd"/>
      <w:r w:rsidR="006F6CC0">
        <w:t xml:space="preserve"> </w:t>
      </w:r>
      <w:r w:rsidR="0056364F">
        <w:t>mēnesī</w:t>
      </w:r>
      <w:r>
        <w:t xml:space="preserve">), tāpēc 1.grafikā </w:t>
      </w:r>
      <w:r w:rsidR="00477A9B">
        <w:t>to</w:t>
      </w:r>
      <w:r>
        <w:t xml:space="preserve"> apmēri nav </w:t>
      </w:r>
      <w:r w:rsidR="00477A9B">
        <w:t>norādīti</w:t>
      </w:r>
      <w:r>
        <w:t>.</w:t>
      </w:r>
    </w:p>
    <w:p w:rsidR="00934373" w:rsidRPr="008175AF" w:rsidRDefault="009F52D6" w:rsidP="00EB5E20">
      <w:pPr>
        <w:ind w:left="720" w:hanging="11"/>
        <w:jc w:val="right"/>
        <w:rPr>
          <w:szCs w:val="26"/>
        </w:rPr>
      </w:pPr>
      <w:r w:rsidRPr="008175AF">
        <w:rPr>
          <w:szCs w:val="26"/>
        </w:rPr>
        <w:t>1.g</w:t>
      </w:r>
      <w:r w:rsidR="00935EB7" w:rsidRPr="008175AF">
        <w:rPr>
          <w:szCs w:val="26"/>
        </w:rPr>
        <w:t xml:space="preserve">rafiks. </w:t>
      </w:r>
    </w:p>
    <w:p w:rsidR="00AF225E" w:rsidRPr="008175AF" w:rsidRDefault="00935EB7" w:rsidP="00AF225E">
      <w:pPr>
        <w:ind w:left="720" w:hanging="11"/>
        <w:jc w:val="center"/>
        <w:rPr>
          <w:szCs w:val="26"/>
        </w:rPr>
      </w:pPr>
      <w:r w:rsidRPr="008175AF">
        <w:rPr>
          <w:szCs w:val="26"/>
        </w:rPr>
        <w:t>Minimālo</w:t>
      </w:r>
      <w:r w:rsidR="001000A4" w:rsidRPr="008175AF">
        <w:rPr>
          <w:szCs w:val="26"/>
        </w:rPr>
        <w:t xml:space="preserve"> ienākumu </w:t>
      </w:r>
      <w:r w:rsidR="00A32D69" w:rsidRPr="008175AF">
        <w:rPr>
          <w:szCs w:val="26"/>
        </w:rPr>
        <w:t xml:space="preserve">līmeņu / nabadzības riska sliekšņu </w:t>
      </w:r>
      <w:r w:rsidRPr="008175AF">
        <w:rPr>
          <w:szCs w:val="26"/>
        </w:rPr>
        <w:t>apmēri</w:t>
      </w:r>
      <w:r w:rsidR="00D007E9" w:rsidRPr="008175AF">
        <w:rPr>
          <w:szCs w:val="26"/>
        </w:rPr>
        <w:t xml:space="preserve"> 2012.gadā</w:t>
      </w:r>
      <w:r w:rsidR="001000A4" w:rsidRPr="008175AF">
        <w:rPr>
          <w:szCs w:val="26"/>
        </w:rPr>
        <w:t>,</w:t>
      </w:r>
    </w:p>
    <w:p w:rsidR="00C84374" w:rsidRPr="008175AF" w:rsidRDefault="00084A51" w:rsidP="00AF225E">
      <w:pPr>
        <w:ind w:left="720" w:hanging="11"/>
        <w:jc w:val="center"/>
        <w:rPr>
          <w:szCs w:val="26"/>
        </w:rPr>
      </w:pPr>
      <w:proofErr w:type="spellStart"/>
      <w:r w:rsidRPr="00BD0F8B">
        <w:rPr>
          <w:i/>
          <w:iCs/>
          <w:szCs w:val="26"/>
        </w:rPr>
        <w:t>euro</w:t>
      </w:r>
      <w:proofErr w:type="spellEnd"/>
      <w:r w:rsidRPr="008175AF">
        <w:rPr>
          <w:szCs w:val="26"/>
        </w:rPr>
        <w:t xml:space="preserve"> </w:t>
      </w:r>
      <w:r w:rsidR="0056364F" w:rsidRPr="008175AF">
        <w:rPr>
          <w:szCs w:val="26"/>
        </w:rPr>
        <w:t>mēnesī</w:t>
      </w:r>
      <w:r w:rsidR="00AF225E" w:rsidRPr="008175AF">
        <w:rPr>
          <w:szCs w:val="26"/>
        </w:rPr>
        <w:t xml:space="preserve"> vienai personai</w:t>
      </w:r>
      <w:r w:rsidR="001951C3" w:rsidRPr="008175AF">
        <w:rPr>
          <w:rStyle w:val="FootnoteReference"/>
          <w:szCs w:val="26"/>
        </w:rPr>
        <w:footnoteReference w:id="16"/>
      </w:r>
    </w:p>
    <w:p w:rsidR="00084D22" w:rsidRDefault="001C7D5F" w:rsidP="00084D22">
      <w:pPr>
        <w:ind w:left="720" w:hanging="11"/>
        <w:jc w:val="center"/>
        <w:rPr>
          <w:noProof/>
          <w:lang w:eastAsia="lv-LV"/>
        </w:rPr>
      </w:pPr>
      <w:r>
        <w:rPr>
          <w:noProof/>
          <w:lang w:eastAsia="lv-LV"/>
        </w:rPr>
        <w:drawing>
          <wp:inline distT="0" distB="0" distL="0" distR="0">
            <wp:extent cx="3299460" cy="2028825"/>
            <wp:effectExtent l="0" t="0" r="15240"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5E20" w:rsidRDefault="00EB5E20" w:rsidP="00EB5E20">
      <w:pPr>
        <w:ind w:left="1440" w:firstLine="720"/>
        <w:jc w:val="both"/>
        <w:rPr>
          <w:sz w:val="20"/>
        </w:rPr>
      </w:pPr>
      <w:r>
        <w:rPr>
          <w:sz w:val="20"/>
        </w:rPr>
        <w:t>Datu avots: CSP</w:t>
      </w:r>
      <w:r w:rsidR="000F309C">
        <w:rPr>
          <w:sz w:val="20"/>
        </w:rPr>
        <w:t xml:space="preserve"> un LM</w:t>
      </w:r>
    </w:p>
    <w:p w:rsidR="009F52D6" w:rsidRPr="00173A24" w:rsidRDefault="009F52D6" w:rsidP="002C30F1">
      <w:pPr>
        <w:ind w:left="1440" w:firstLine="720"/>
        <w:jc w:val="both"/>
        <w:rPr>
          <w:sz w:val="20"/>
        </w:rPr>
      </w:pPr>
      <w:r w:rsidRPr="00173A24">
        <w:rPr>
          <w:sz w:val="20"/>
        </w:rPr>
        <w:t xml:space="preserve">* </w:t>
      </w:r>
      <w:r w:rsidR="00084D22">
        <w:rPr>
          <w:sz w:val="20"/>
        </w:rPr>
        <w:t>64</w:t>
      </w:r>
      <w:r w:rsidRPr="00173A24">
        <w:rPr>
          <w:sz w:val="20"/>
        </w:rPr>
        <w:t xml:space="preserve"> </w:t>
      </w:r>
      <w:proofErr w:type="spellStart"/>
      <w:r w:rsidR="002C30F1" w:rsidRPr="00BD0F8B">
        <w:rPr>
          <w:i/>
          <w:iCs/>
        </w:rPr>
        <w:t>euro</w:t>
      </w:r>
      <w:proofErr w:type="spellEnd"/>
      <w:r w:rsidR="002C30F1">
        <w:t xml:space="preserve"> </w:t>
      </w:r>
      <w:r w:rsidR="00477A9B" w:rsidRPr="00173A24">
        <w:rPr>
          <w:sz w:val="20"/>
        </w:rPr>
        <w:t>bērnam</w:t>
      </w:r>
      <w:r w:rsidR="00084D22">
        <w:rPr>
          <w:sz w:val="20"/>
        </w:rPr>
        <w:t>, 57</w:t>
      </w:r>
      <w:r w:rsidRPr="00173A24">
        <w:rPr>
          <w:sz w:val="20"/>
        </w:rPr>
        <w:t xml:space="preserve"> </w:t>
      </w:r>
      <w:proofErr w:type="spellStart"/>
      <w:r w:rsidR="002C30F1" w:rsidRPr="00BD0F8B">
        <w:rPr>
          <w:i/>
          <w:iCs/>
        </w:rPr>
        <w:t>euro</w:t>
      </w:r>
      <w:proofErr w:type="spellEnd"/>
      <w:r w:rsidR="002C30F1">
        <w:t xml:space="preserve"> </w:t>
      </w:r>
      <w:r w:rsidR="00477A9B">
        <w:rPr>
          <w:sz w:val="20"/>
        </w:rPr>
        <w:t>pilngadīgai personai</w:t>
      </w:r>
    </w:p>
    <w:p w:rsidR="00483FA8" w:rsidRDefault="00483FA8" w:rsidP="00C84374">
      <w:pPr>
        <w:jc w:val="both"/>
      </w:pPr>
    </w:p>
    <w:p w:rsidR="00BD3B83" w:rsidRPr="0063727B" w:rsidRDefault="00BD3B83" w:rsidP="00A94498">
      <w:pPr>
        <w:ind w:firstLine="720"/>
        <w:jc w:val="both"/>
      </w:pPr>
      <w:r>
        <w:t xml:space="preserve">Kā redzams 1.grafikā 2012.gadā </w:t>
      </w:r>
      <w:r w:rsidRPr="00D007E9">
        <w:t xml:space="preserve">zemākais </w:t>
      </w:r>
      <w:r>
        <w:t>bija</w:t>
      </w:r>
      <w:r w:rsidRPr="00D007E9">
        <w:t xml:space="preserve"> GMI</w:t>
      </w:r>
      <w:r>
        <w:t xml:space="preserve"> līmenis</w:t>
      </w:r>
      <w:r w:rsidRPr="00D007E9">
        <w:t xml:space="preserve">, kam seko trūcīgas personas </w:t>
      </w:r>
      <w:r w:rsidR="00532338">
        <w:t>ienākumu līmenis</w:t>
      </w:r>
      <w:r>
        <w:t>. S</w:t>
      </w:r>
      <w:r w:rsidRPr="00D007E9">
        <w:t>avukārt</w:t>
      </w:r>
      <w:r>
        <w:t>,</w:t>
      </w:r>
      <w:r w:rsidRPr="00D007E9">
        <w:t xml:space="preserve"> ievērojami augstākus </w:t>
      </w:r>
      <w:r w:rsidR="00532338">
        <w:t>sliekšņus</w:t>
      </w:r>
      <w:r w:rsidRPr="00D007E9">
        <w:t xml:space="preserve"> veidoja iztikas minimums un nabadzības riska slieksnis.</w:t>
      </w:r>
      <w:r w:rsidR="00A94498">
        <w:t xml:space="preserve"> </w:t>
      </w:r>
      <w:r w:rsidR="00AB59EC">
        <w:t>Papildus minimāl</w:t>
      </w:r>
      <w:r w:rsidR="0024521D">
        <w:t>o</w:t>
      </w:r>
      <w:r w:rsidR="00AB59EC">
        <w:t xml:space="preserve"> ienākum</w:t>
      </w:r>
      <w:r w:rsidR="0024521D">
        <w:t>u</w:t>
      </w:r>
      <w:r>
        <w:t xml:space="preserve"> </w:t>
      </w:r>
      <w:r w:rsidR="00532338">
        <w:t xml:space="preserve">/nabadzības sliekšņu </w:t>
      </w:r>
      <w:r>
        <w:t>dažādajiem apmēriem ir svarīgi noskaidrot, vai tie ir noteikti tiesību aktos, tādējādi ietekmējot indivīda tiesības pretendēt uz noteiktu atbalstu (skat. 1</w:t>
      </w:r>
      <w:r w:rsidRPr="0063727B">
        <w:t>.tabulu).</w:t>
      </w:r>
    </w:p>
    <w:p w:rsidR="0054415B" w:rsidRPr="0063727B" w:rsidRDefault="00BD3B83" w:rsidP="0054415B">
      <w:pPr>
        <w:jc w:val="right"/>
      </w:pPr>
      <w:r>
        <w:t>1</w:t>
      </w:r>
      <w:r w:rsidR="0054415B" w:rsidRPr="0063727B">
        <w:t>.tabula</w:t>
      </w:r>
      <w:r w:rsidR="006F6CC0">
        <w:t>.</w:t>
      </w:r>
      <w:r w:rsidR="0054415B" w:rsidRPr="0063727B">
        <w:t xml:space="preserve"> </w:t>
      </w:r>
    </w:p>
    <w:p w:rsidR="0054415B" w:rsidRPr="008175AF" w:rsidRDefault="003F4ABF" w:rsidP="003F4ABF">
      <w:pPr>
        <w:autoSpaceDE w:val="0"/>
        <w:autoSpaceDN w:val="0"/>
        <w:adjustRightInd w:val="0"/>
        <w:spacing w:after="120"/>
        <w:ind w:left="357" w:firstLine="357"/>
        <w:jc w:val="center"/>
      </w:pPr>
      <w:r w:rsidRPr="008175AF">
        <w:t>Minimālie</w:t>
      </w:r>
      <w:r w:rsidR="0054415B" w:rsidRPr="008175AF">
        <w:t xml:space="preserve"> ienākumu </w:t>
      </w:r>
      <w:r w:rsidRPr="008175AF">
        <w:t>līmeņi</w:t>
      </w:r>
      <w:r w:rsidR="0054415B" w:rsidRPr="008175AF">
        <w:t xml:space="preserve"> </w:t>
      </w:r>
      <w:r w:rsidR="009A1864" w:rsidRPr="008175AF">
        <w:t xml:space="preserve">/ nabadzības riska sliekšņi </w:t>
      </w:r>
      <w:r w:rsidR="0054415B" w:rsidRPr="008175AF">
        <w:t>Latvijā</w:t>
      </w:r>
      <w:r w:rsidR="00076FDB" w:rsidRPr="008175AF">
        <w:t xml:space="preserve"> 2013.gadā</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6"/>
        <w:gridCol w:w="1960"/>
        <w:gridCol w:w="1654"/>
      </w:tblGrid>
      <w:tr w:rsidR="0054415B" w:rsidRPr="006A5F4D" w:rsidTr="009A1FBD">
        <w:trPr>
          <w:trHeight w:val="548"/>
        </w:trPr>
        <w:tc>
          <w:tcPr>
            <w:tcW w:w="5566" w:type="dxa"/>
            <w:shd w:val="clear" w:color="auto" w:fill="D9D9D9"/>
            <w:vAlign w:val="center"/>
          </w:tcPr>
          <w:p w:rsidR="0054415B" w:rsidRPr="006A5F4D" w:rsidRDefault="00532338" w:rsidP="00EA3037">
            <w:pPr>
              <w:jc w:val="center"/>
              <w:rPr>
                <w:rFonts w:ascii="Arial" w:hAnsi="Arial" w:cs="Arial"/>
                <w:bCs/>
                <w:sz w:val="22"/>
                <w:szCs w:val="22"/>
                <w:lang w:eastAsia="lv-LV"/>
              </w:rPr>
            </w:pPr>
            <w:r w:rsidRPr="006A5F4D">
              <w:rPr>
                <w:bCs/>
                <w:kern w:val="24"/>
                <w:sz w:val="22"/>
                <w:szCs w:val="22"/>
                <w:lang w:eastAsia="lv-LV"/>
              </w:rPr>
              <w:t>Līmeņi/sliekšņi</w:t>
            </w:r>
            <w:r w:rsidR="003F4ABF" w:rsidRPr="006A5F4D">
              <w:rPr>
                <w:bCs/>
                <w:kern w:val="24"/>
                <w:sz w:val="22"/>
                <w:szCs w:val="22"/>
                <w:lang w:eastAsia="lv-LV"/>
              </w:rPr>
              <w:t xml:space="preserve"> </w:t>
            </w:r>
          </w:p>
        </w:tc>
        <w:tc>
          <w:tcPr>
            <w:tcW w:w="1960" w:type="dxa"/>
            <w:shd w:val="clear" w:color="auto" w:fill="D9D9D9"/>
            <w:vAlign w:val="center"/>
          </w:tcPr>
          <w:p w:rsidR="0054415B" w:rsidRPr="006A5F4D" w:rsidRDefault="00A86FD4" w:rsidP="00A86FD4">
            <w:pPr>
              <w:jc w:val="center"/>
              <w:rPr>
                <w:rFonts w:ascii="Arial" w:hAnsi="Arial" w:cs="Arial"/>
                <w:bCs/>
                <w:sz w:val="22"/>
                <w:szCs w:val="22"/>
                <w:lang w:eastAsia="lv-LV"/>
              </w:rPr>
            </w:pPr>
            <w:r w:rsidRPr="006A5F4D">
              <w:rPr>
                <w:bCs/>
                <w:kern w:val="24"/>
                <w:sz w:val="22"/>
                <w:szCs w:val="22"/>
                <w:lang w:eastAsia="lv-LV"/>
              </w:rPr>
              <w:t xml:space="preserve">Nacionālajos </w:t>
            </w:r>
            <w:r w:rsidR="0054415B" w:rsidRPr="006A5F4D">
              <w:rPr>
                <w:bCs/>
                <w:kern w:val="24"/>
                <w:sz w:val="22"/>
                <w:szCs w:val="22"/>
                <w:lang w:eastAsia="lv-LV"/>
              </w:rPr>
              <w:t>normatīvajos aktos</w:t>
            </w:r>
          </w:p>
        </w:tc>
        <w:tc>
          <w:tcPr>
            <w:tcW w:w="1654" w:type="dxa"/>
            <w:shd w:val="clear" w:color="auto" w:fill="D9D9D9"/>
            <w:vAlign w:val="center"/>
          </w:tcPr>
          <w:p w:rsidR="0054415B" w:rsidRPr="006A5F4D" w:rsidRDefault="00A86FD4" w:rsidP="00EA3037">
            <w:pPr>
              <w:jc w:val="center"/>
              <w:rPr>
                <w:rFonts w:ascii="Arial" w:hAnsi="Arial" w:cs="Arial"/>
                <w:bCs/>
                <w:sz w:val="22"/>
                <w:szCs w:val="22"/>
                <w:lang w:eastAsia="lv-LV"/>
              </w:rPr>
            </w:pPr>
            <w:r w:rsidRPr="006A5F4D">
              <w:rPr>
                <w:bCs/>
                <w:kern w:val="24"/>
                <w:sz w:val="22"/>
                <w:szCs w:val="22"/>
                <w:lang w:eastAsia="lv-LV"/>
              </w:rPr>
              <w:t>A</w:t>
            </w:r>
            <w:r w:rsidR="0054415B" w:rsidRPr="006A5F4D">
              <w:rPr>
                <w:bCs/>
                <w:kern w:val="24"/>
                <w:sz w:val="22"/>
                <w:szCs w:val="22"/>
                <w:lang w:eastAsia="lv-LV"/>
              </w:rPr>
              <w:t>prēķina metodoloģija</w:t>
            </w:r>
          </w:p>
        </w:tc>
      </w:tr>
      <w:tr w:rsidR="00BD3B83" w:rsidRPr="006A5F4D" w:rsidTr="009A1FBD">
        <w:trPr>
          <w:trHeight w:val="169"/>
        </w:trPr>
        <w:tc>
          <w:tcPr>
            <w:tcW w:w="5566" w:type="dxa"/>
            <w:shd w:val="clear" w:color="auto" w:fill="FFFFFF"/>
            <w:vAlign w:val="center"/>
          </w:tcPr>
          <w:p w:rsidR="00BD3B83" w:rsidRPr="006A5F4D" w:rsidRDefault="00BD3B83" w:rsidP="006A0572">
            <w:pPr>
              <w:spacing w:after="120"/>
              <w:rPr>
                <w:rFonts w:ascii="Arial" w:hAnsi="Arial" w:cs="Arial"/>
                <w:bCs/>
                <w:sz w:val="22"/>
                <w:szCs w:val="22"/>
                <w:lang w:eastAsia="lv-LV"/>
              </w:rPr>
            </w:pPr>
            <w:r w:rsidRPr="006A5F4D">
              <w:rPr>
                <w:bCs/>
                <w:kern w:val="24"/>
                <w:sz w:val="22"/>
                <w:szCs w:val="22"/>
                <w:lang w:eastAsia="lv-LV"/>
              </w:rPr>
              <w:t>Iztikas minimums</w:t>
            </w:r>
          </w:p>
        </w:tc>
        <w:tc>
          <w:tcPr>
            <w:tcW w:w="1960" w:type="dxa"/>
            <w:vAlign w:val="center"/>
          </w:tcPr>
          <w:p w:rsidR="00BD3B83" w:rsidRPr="006A5F4D" w:rsidRDefault="00BD3B83" w:rsidP="006A0572">
            <w:pPr>
              <w:jc w:val="center"/>
              <w:rPr>
                <w:rFonts w:ascii="Arial" w:hAnsi="Arial" w:cs="Arial"/>
                <w:sz w:val="22"/>
                <w:szCs w:val="22"/>
                <w:lang w:eastAsia="lv-LV"/>
              </w:rPr>
            </w:pPr>
            <w:r w:rsidRPr="006A5F4D">
              <w:rPr>
                <w:kern w:val="24"/>
                <w:sz w:val="22"/>
                <w:szCs w:val="22"/>
                <w:lang w:eastAsia="lv-LV"/>
              </w:rPr>
              <w:t>Nav noteikts</w:t>
            </w:r>
          </w:p>
        </w:tc>
        <w:tc>
          <w:tcPr>
            <w:tcW w:w="1654" w:type="dxa"/>
            <w:vAlign w:val="center"/>
          </w:tcPr>
          <w:p w:rsidR="00BD3B83" w:rsidRPr="006A5F4D" w:rsidRDefault="00BD3B83" w:rsidP="006A0572">
            <w:pPr>
              <w:jc w:val="center"/>
              <w:rPr>
                <w:rFonts w:ascii="Arial" w:hAnsi="Arial" w:cs="Arial"/>
                <w:sz w:val="22"/>
                <w:szCs w:val="22"/>
                <w:lang w:eastAsia="lv-LV"/>
              </w:rPr>
            </w:pPr>
            <w:r w:rsidRPr="006A5F4D">
              <w:rPr>
                <w:kern w:val="24"/>
                <w:sz w:val="22"/>
                <w:szCs w:val="22"/>
                <w:lang w:eastAsia="lv-LV"/>
              </w:rPr>
              <w:t>Ir</w:t>
            </w:r>
          </w:p>
        </w:tc>
      </w:tr>
      <w:tr w:rsidR="00BD3B83" w:rsidRPr="006A5F4D" w:rsidTr="009A1FBD">
        <w:trPr>
          <w:trHeight w:val="169"/>
        </w:trPr>
        <w:tc>
          <w:tcPr>
            <w:tcW w:w="5566" w:type="dxa"/>
            <w:shd w:val="clear" w:color="auto" w:fill="FFFFFF"/>
            <w:vAlign w:val="center"/>
          </w:tcPr>
          <w:p w:rsidR="00BD3B83" w:rsidRPr="006A5F4D" w:rsidRDefault="00BD3B83" w:rsidP="006A0572">
            <w:pPr>
              <w:spacing w:after="120"/>
              <w:rPr>
                <w:rFonts w:ascii="Arial" w:hAnsi="Arial" w:cs="Arial"/>
                <w:bCs/>
                <w:sz w:val="22"/>
                <w:szCs w:val="22"/>
                <w:lang w:eastAsia="lv-LV"/>
              </w:rPr>
            </w:pPr>
            <w:r w:rsidRPr="006A5F4D">
              <w:rPr>
                <w:bCs/>
                <w:kern w:val="24"/>
                <w:sz w:val="22"/>
                <w:szCs w:val="22"/>
                <w:lang w:eastAsia="lv-LV"/>
              </w:rPr>
              <w:t>Trūcīgas personas ienākumu līmenis</w:t>
            </w:r>
          </w:p>
        </w:tc>
        <w:tc>
          <w:tcPr>
            <w:tcW w:w="1960" w:type="dxa"/>
            <w:vAlign w:val="center"/>
          </w:tcPr>
          <w:p w:rsidR="00BD3B83" w:rsidRPr="006A5F4D" w:rsidRDefault="00BD3B83" w:rsidP="006A0572">
            <w:pPr>
              <w:jc w:val="center"/>
              <w:rPr>
                <w:rFonts w:ascii="Arial" w:hAnsi="Arial" w:cs="Arial"/>
                <w:sz w:val="22"/>
                <w:szCs w:val="22"/>
                <w:lang w:eastAsia="lv-LV"/>
              </w:rPr>
            </w:pPr>
            <w:r w:rsidRPr="006A5F4D">
              <w:rPr>
                <w:kern w:val="24"/>
                <w:sz w:val="22"/>
                <w:szCs w:val="22"/>
                <w:lang w:eastAsia="lv-LV"/>
              </w:rPr>
              <w:t>Noteikts</w:t>
            </w:r>
          </w:p>
        </w:tc>
        <w:tc>
          <w:tcPr>
            <w:tcW w:w="1654" w:type="dxa"/>
            <w:vAlign w:val="center"/>
          </w:tcPr>
          <w:p w:rsidR="00BD3B83" w:rsidRPr="006A5F4D" w:rsidRDefault="00BD3B83" w:rsidP="006A0572">
            <w:pPr>
              <w:jc w:val="center"/>
              <w:rPr>
                <w:rFonts w:ascii="Arial" w:hAnsi="Arial" w:cs="Arial"/>
                <w:sz w:val="22"/>
                <w:szCs w:val="22"/>
                <w:lang w:eastAsia="lv-LV"/>
              </w:rPr>
            </w:pPr>
            <w:r w:rsidRPr="006A5F4D">
              <w:rPr>
                <w:kern w:val="24"/>
                <w:sz w:val="22"/>
                <w:szCs w:val="22"/>
                <w:lang w:eastAsia="lv-LV"/>
              </w:rPr>
              <w:t>Nav</w:t>
            </w:r>
          </w:p>
        </w:tc>
      </w:tr>
      <w:tr w:rsidR="00BD3B83" w:rsidRPr="006A5F4D" w:rsidTr="009A1FBD">
        <w:trPr>
          <w:trHeight w:val="531"/>
        </w:trPr>
        <w:tc>
          <w:tcPr>
            <w:tcW w:w="5566" w:type="dxa"/>
            <w:shd w:val="clear" w:color="auto" w:fill="FFFFFF"/>
            <w:vAlign w:val="center"/>
          </w:tcPr>
          <w:p w:rsidR="00BD3B83" w:rsidRPr="006A5F4D" w:rsidRDefault="00BD3B83" w:rsidP="00EA3037">
            <w:pPr>
              <w:spacing w:after="120"/>
              <w:rPr>
                <w:bCs/>
                <w:kern w:val="24"/>
                <w:sz w:val="22"/>
                <w:szCs w:val="22"/>
                <w:lang w:eastAsia="lv-LV"/>
              </w:rPr>
            </w:pPr>
            <w:r w:rsidRPr="006A5F4D">
              <w:rPr>
                <w:bCs/>
                <w:kern w:val="24"/>
                <w:sz w:val="22"/>
                <w:szCs w:val="22"/>
                <w:lang w:eastAsia="lv-LV"/>
              </w:rPr>
              <w:t>Maznodrošinātas personas ienākumu līmenis (diferencēti)</w:t>
            </w:r>
          </w:p>
        </w:tc>
        <w:tc>
          <w:tcPr>
            <w:tcW w:w="1960" w:type="dxa"/>
            <w:vAlign w:val="center"/>
          </w:tcPr>
          <w:p w:rsidR="00BD3B83" w:rsidRPr="006A5F4D" w:rsidRDefault="00BD3B83" w:rsidP="00EA3037">
            <w:pPr>
              <w:jc w:val="center"/>
              <w:rPr>
                <w:rFonts w:ascii="Arial" w:hAnsi="Arial" w:cs="Arial"/>
                <w:sz w:val="22"/>
                <w:szCs w:val="22"/>
                <w:lang w:eastAsia="lv-LV"/>
              </w:rPr>
            </w:pPr>
            <w:r w:rsidRPr="006A5F4D">
              <w:rPr>
                <w:kern w:val="24"/>
                <w:sz w:val="22"/>
                <w:szCs w:val="22"/>
                <w:lang w:eastAsia="lv-LV"/>
              </w:rPr>
              <w:t>Noteikts</w:t>
            </w:r>
          </w:p>
        </w:tc>
        <w:tc>
          <w:tcPr>
            <w:tcW w:w="1654" w:type="dxa"/>
            <w:vAlign w:val="center"/>
          </w:tcPr>
          <w:p w:rsidR="00BD3B83" w:rsidRPr="006A5F4D" w:rsidRDefault="00BD3B83" w:rsidP="00EA3037">
            <w:pPr>
              <w:jc w:val="center"/>
              <w:rPr>
                <w:rFonts w:ascii="Arial" w:hAnsi="Arial" w:cs="Arial"/>
                <w:sz w:val="22"/>
                <w:szCs w:val="22"/>
                <w:lang w:eastAsia="lv-LV"/>
              </w:rPr>
            </w:pPr>
            <w:r w:rsidRPr="006A5F4D">
              <w:rPr>
                <w:kern w:val="24"/>
                <w:sz w:val="22"/>
                <w:szCs w:val="22"/>
                <w:lang w:eastAsia="lv-LV"/>
              </w:rPr>
              <w:t>Nav</w:t>
            </w:r>
          </w:p>
        </w:tc>
      </w:tr>
      <w:tr w:rsidR="00BD3B83" w:rsidRPr="006A5F4D" w:rsidTr="009A1FBD">
        <w:trPr>
          <w:trHeight w:val="556"/>
        </w:trPr>
        <w:tc>
          <w:tcPr>
            <w:tcW w:w="5566" w:type="dxa"/>
            <w:shd w:val="clear" w:color="auto" w:fill="FFFFFF"/>
            <w:vAlign w:val="center"/>
          </w:tcPr>
          <w:p w:rsidR="00BD3B83" w:rsidRPr="006A5F4D" w:rsidRDefault="00BD3B83" w:rsidP="00EA3037">
            <w:pPr>
              <w:spacing w:after="120"/>
              <w:rPr>
                <w:bCs/>
                <w:kern w:val="24"/>
                <w:sz w:val="22"/>
                <w:szCs w:val="22"/>
                <w:lang w:eastAsia="lv-LV"/>
              </w:rPr>
            </w:pPr>
            <w:r w:rsidRPr="006A5F4D">
              <w:rPr>
                <w:bCs/>
                <w:kern w:val="24"/>
                <w:sz w:val="22"/>
                <w:szCs w:val="22"/>
                <w:lang w:eastAsia="lv-LV"/>
              </w:rPr>
              <w:t>Garantētā minimālā ienākuma (GMI) līmenis</w:t>
            </w:r>
          </w:p>
        </w:tc>
        <w:tc>
          <w:tcPr>
            <w:tcW w:w="1960" w:type="dxa"/>
            <w:vAlign w:val="center"/>
          </w:tcPr>
          <w:p w:rsidR="00BD3B83" w:rsidRPr="006A5F4D" w:rsidRDefault="00BD3B83" w:rsidP="00EA3037">
            <w:pPr>
              <w:jc w:val="center"/>
              <w:rPr>
                <w:rFonts w:ascii="Arial" w:hAnsi="Arial" w:cs="Arial"/>
                <w:sz w:val="22"/>
                <w:szCs w:val="22"/>
                <w:lang w:eastAsia="lv-LV"/>
              </w:rPr>
            </w:pPr>
            <w:r w:rsidRPr="006A5F4D">
              <w:rPr>
                <w:kern w:val="24"/>
                <w:sz w:val="22"/>
                <w:szCs w:val="22"/>
                <w:lang w:eastAsia="lv-LV"/>
              </w:rPr>
              <w:t>Noteikts</w:t>
            </w:r>
          </w:p>
        </w:tc>
        <w:tc>
          <w:tcPr>
            <w:tcW w:w="1654" w:type="dxa"/>
            <w:vAlign w:val="center"/>
          </w:tcPr>
          <w:p w:rsidR="00BD3B83" w:rsidRPr="006A5F4D" w:rsidRDefault="00BD3B83" w:rsidP="00EA3037">
            <w:pPr>
              <w:jc w:val="center"/>
              <w:rPr>
                <w:rFonts w:ascii="Arial" w:hAnsi="Arial" w:cs="Arial"/>
                <w:sz w:val="22"/>
                <w:szCs w:val="22"/>
                <w:lang w:eastAsia="lv-LV"/>
              </w:rPr>
            </w:pPr>
            <w:r w:rsidRPr="006A5F4D">
              <w:rPr>
                <w:kern w:val="24"/>
                <w:sz w:val="22"/>
                <w:szCs w:val="22"/>
                <w:lang w:eastAsia="lv-LV"/>
              </w:rPr>
              <w:t>Nav</w:t>
            </w:r>
          </w:p>
        </w:tc>
      </w:tr>
      <w:tr w:rsidR="00BD3B83" w:rsidRPr="006A5F4D" w:rsidTr="009A1FBD">
        <w:trPr>
          <w:trHeight w:val="296"/>
        </w:trPr>
        <w:tc>
          <w:tcPr>
            <w:tcW w:w="5566" w:type="dxa"/>
            <w:shd w:val="clear" w:color="auto" w:fill="FFFFFF"/>
            <w:vAlign w:val="center"/>
          </w:tcPr>
          <w:p w:rsidR="00BD3B83" w:rsidRPr="006A5F4D" w:rsidRDefault="00BD3B83" w:rsidP="00EA3037">
            <w:pPr>
              <w:spacing w:after="120"/>
              <w:rPr>
                <w:rFonts w:ascii="Arial" w:hAnsi="Arial" w:cs="Arial"/>
                <w:bCs/>
                <w:sz w:val="22"/>
                <w:szCs w:val="22"/>
                <w:lang w:eastAsia="lv-LV"/>
              </w:rPr>
            </w:pPr>
            <w:r w:rsidRPr="006A5F4D">
              <w:rPr>
                <w:bCs/>
                <w:kern w:val="24"/>
                <w:sz w:val="22"/>
                <w:szCs w:val="22"/>
                <w:lang w:eastAsia="lv-LV"/>
              </w:rPr>
              <w:t>Nabadzības riska slieksnis</w:t>
            </w:r>
          </w:p>
        </w:tc>
        <w:tc>
          <w:tcPr>
            <w:tcW w:w="1960" w:type="dxa"/>
            <w:vAlign w:val="center"/>
          </w:tcPr>
          <w:p w:rsidR="00BD3B83" w:rsidRPr="006A5F4D" w:rsidRDefault="00BD3B83" w:rsidP="00EA3037">
            <w:pPr>
              <w:jc w:val="center"/>
              <w:rPr>
                <w:rFonts w:ascii="Arial" w:hAnsi="Arial" w:cs="Arial"/>
                <w:sz w:val="22"/>
                <w:szCs w:val="22"/>
                <w:lang w:eastAsia="lv-LV"/>
              </w:rPr>
            </w:pPr>
            <w:r w:rsidRPr="006A5F4D">
              <w:rPr>
                <w:kern w:val="24"/>
                <w:sz w:val="22"/>
                <w:szCs w:val="22"/>
                <w:lang w:eastAsia="lv-LV"/>
              </w:rPr>
              <w:t>Nav noteikts</w:t>
            </w:r>
          </w:p>
        </w:tc>
        <w:tc>
          <w:tcPr>
            <w:tcW w:w="1654" w:type="dxa"/>
            <w:vAlign w:val="center"/>
          </w:tcPr>
          <w:p w:rsidR="00BD3B83" w:rsidRPr="006A5F4D" w:rsidRDefault="00BD3B83" w:rsidP="00EA3037">
            <w:pPr>
              <w:jc w:val="center"/>
              <w:rPr>
                <w:rFonts w:ascii="Arial" w:hAnsi="Arial" w:cs="Arial"/>
                <w:sz w:val="22"/>
                <w:szCs w:val="22"/>
                <w:lang w:eastAsia="lv-LV"/>
              </w:rPr>
            </w:pPr>
            <w:r w:rsidRPr="006A5F4D">
              <w:rPr>
                <w:kern w:val="24"/>
                <w:sz w:val="22"/>
                <w:szCs w:val="22"/>
                <w:lang w:eastAsia="lv-LV"/>
              </w:rPr>
              <w:t>Ir</w:t>
            </w:r>
          </w:p>
        </w:tc>
      </w:tr>
    </w:tbl>
    <w:p w:rsidR="0054415B" w:rsidRPr="009A1FBD" w:rsidRDefault="0054415B" w:rsidP="009A1FBD">
      <w:pPr>
        <w:jc w:val="both"/>
        <w:rPr>
          <w:sz w:val="20"/>
          <w:szCs w:val="20"/>
        </w:rPr>
      </w:pPr>
      <w:r w:rsidRPr="009A1FBD">
        <w:rPr>
          <w:sz w:val="20"/>
          <w:szCs w:val="20"/>
        </w:rPr>
        <w:t xml:space="preserve">Avots: </w:t>
      </w:r>
      <w:r w:rsidR="00B5216C" w:rsidRPr="009A1FBD">
        <w:rPr>
          <w:sz w:val="20"/>
          <w:szCs w:val="20"/>
        </w:rPr>
        <w:t>LM</w:t>
      </w:r>
      <w:r w:rsidRPr="009A1FBD">
        <w:rPr>
          <w:sz w:val="20"/>
          <w:szCs w:val="20"/>
        </w:rPr>
        <w:t xml:space="preserve"> </w:t>
      </w:r>
    </w:p>
    <w:p w:rsidR="00DE38D1" w:rsidRPr="0063727B" w:rsidRDefault="00A319F2" w:rsidP="000827A6">
      <w:pPr>
        <w:autoSpaceDE w:val="0"/>
        <w:autoSpaceDN w:val="0"/>
        <w:adjustRightInd w:val="0"/>
        <w:ind w:firstLine="720"/>
        <w:jc w:val="both"/>
      </w:pPr>
      <w:r w:rsidRPr="00B8710F">
        <w:lastRenderedPageBreak/>
        <w:t>Nacionālā līmenī normatīvajos aktos definētie minimālie ienākumu līmeņi/nabadzības riska sliekšņi netiek noteikti, pamatojoties uz konkrētu aprēķina metodoloģiju. Tie tiek noteikti atkarībā no valsts un pašvaldību finansiālās iespējas konkrētajā brīdī.</w:t>
      </w:r>
      <w:r w:rsidR="00DE38D1" w:rsidRPr="0063727B">
        <w:t xml:space="preserve"> </w:t>
      </w:r>
      <w:r w:rsidR="00DE38D1">
        <w:t xml:space="preserve">Turklāt nepastāv arī skaidra šo </w:t>
      </w:r>
      <w:r w:rsidR="00A32D69">
        <w:t xml:space="preserve">līmeņu </w:t>
      </w:r>
      <w:r w:rsidR="00DE38D1">
        <w:t xml:space="preserve">indeksācijas kārtība. Tomēr </w:t>
      </w:r>
      <w:r w:rsidR="00A32D69">
        <w:t>tie</w:t>
      </w:r>
      <w:r w:rsidR="00532338">
        <w:t xml:space="preserve"> </w:t>
      </w:r>
      <w:r w:rsidR="00DE38D1" w:rsidRPr="0063727B">
        <w:t xml:space="preserve">dod iespēju personām kvalificēties dažādu pakalpojumu </w:t>
      </w:r>
      <w:r w:rsidR="00BA2E27">
        <w:t>un pabalstu saņemšanai, p</w:t>
      </w:r>
      <w:r w:rsidR="00934373">
        <w:t>iemēram,</w:t>
      </w:r>
      <w:r w:rsidR="00DE38D1">
        <w:t xml:space="preserve"> pabalsta</w:t>
      </w:r>
      <w:r w:rsidR="00DE38D1" w:rsidRPr="0063727B">
        <w:t xml:space="preserve"> GMI līmeņa nodrošināšanai, atvieglojumi</w:t>
      </w:r>
      <w:r w:rsidR="00DE38D1">
        <w:t>em</w:t>
      </w:r>
      <w:r w:rsidR="00DE38D1" w:rsidRPr="0063727B">
        <w:t xml:space="preserve"> trūcīgajām personām dažādu pakalpojumu pieejamībai u.tml.</w:t>
      </w:r>
      <w:r w:rsidR="00DE38D1">
        <w:t xml:space="preserve"> </w:t>
      </w:r>
      <w:r w:rsidR="00DE38D1" w:rsidRPr="0063727B">
        <w:t>Savukārt</w:t>
      </w:r>
      <w:r w:rsidR="00DE38D1">
        <w:t>,</w:t>
      </w:r>
      <w:r w:rsidR="00DE38D1" w:rsidRPr="0063727B">
        <w:t xml:space="preserve"> iztikas minimums un nabadzības riska slieksnis, kuri nav </w:t>
      </w:r>
      <w:r w:rsidR="00DE38D1">
        <w:t>normatīvajos aktos</w:t>
      </w:r>
      <w:r w:rsidR="00DE38D1" w:rsidRPr="0063727B">
        <w:t xml:space="preserve"> definēti, tiek aprēķināti, pamatojoties uz konkrētu metodoloģiju</w:t>
      </w:r>
      <w:r w:rsidR="000827A6">
        <w:t xml:space="preserve">, un </w:t>
      </w:r>
      <w:r w:rsidR="00DE38D1">
        <w:t xml:space="preserve">tos </w:t>
      </w:r>
      <w:r w:rsidR="00DE38D1" w:rsidRPr="0063727B">
        <w:t xml:space="preserve">pārsvarā </w:t>
      </w:r>
      <w:r w:rsidR="00DE38D1">
        <w:t>izmanto</w:t>
      </w:r>
      <w:r w:rsidR="00DE38D1" w:rsidRPr="0063727B">
        <w:t xml:space="preserve"> statistiskiem nolūkiem</w:t>
      </w:r>
      <w:r w:rsidR="00DE38D1">
        <w:t>, nevis palīdzības un atbalsta sniegšanai</w:t>
      </w:r>
      <w:r w:rsidR="00A32D69">
        <w:t xml:space="preserve"> iedzīvotājiem</w:t>
      </w:r>
      <w:r w:rsidR="00DE38D1" w:rsidRPr="0063727B">
        <w:t>.</w:t>
      </w:r>
    </w:p>
    <w:p w:rsidR="00C14C30" w:rsidRDefault="00A86FD4" w:rsidP="00A32D69">
      <w:pPr>
        <w:autoSpaceDE w:val="0"/>
        <w:autoSpaceDN w:val="0"/>
        <w:adjustRightInd w:val="0"/>
        <w:ind w:firstLine="720"/>
        <w:jc w:val="both"/>
      </w:pPr>
      <w:r w:rsidRPr="0063727B">
        <w:t xml:space="preserve">Būtiskākās problēmas, pastāvot šiem dažādajiem </w:t>
      </w:r>
      <w:r w:rsidR="00C14C30">
        <w:t xml:space="preserve">minimālo </w:t>
      </w:r>
      <w:r w:rsidRPr="0063727B">
        <w:t xml:space="preserve">ienākumu </w:t>
      </w:r>
      <w:r w:rsidR="00C14C30">
        <w:t>līmeņiem</w:t>
      </w:r>
      <w:r w:rsidR="00A32D69">
        <w:t xml:space="preserve"> / nabadzības riska sliekšņiem (turpmāk tekstā visi tiks apzīmēti kā minimālo ienākumu līmeņi)</w:t>
      </w:r>
      <w:r w:rsidRPr="0063727B">
        <w:t xml:space="preserve">, </w:t>
      </w:r>
      <w:r w:rsidR="00C14C30">
        <w:t>ir vairākas:</w:t>
      </w:r>
    </w:p>
    <w:p w:rsidR="00C14C30" w:rsidRDefault="00A86FD4" w:rsidP="00C76FB2">
      <w:pPr>
        <w:numPr>
          <w:ilvl w:val="0"/>
          <w:numId w:val="34"/>
        </w:numPr>
        <w:autoSpaceDE w:val="0"/>
        <w:autoSpaceDN w:val="0"/>
        <w:adjustRightInd w:val="0"/>
        <w:ind w:left="1134"/>
        <w:jc w:val="both"/>
        <w:rPr>
          <w:rStyle w:val="CommentReference"/>
          <w:sz w:val="24"/>
          <w:szCs w:val="24"/>
        </w:rPr>
      </w:pPr>
      <w:r w:rsidRPr="0063727B">
        <w:t xml:space="preserve">nav </w:t>
      </w:r>
      <w:r w:rsidRPr="0054415B">
        <w:t xml:space="preserve">iespējams izstrādāt </w:t>
      </w:r>
      <w:r w:rsidRPr="00616FDC">
        <w:rPr>
          <w:rStyle w:val="CommentReference"/>
          <w:sz w:val="24"/>
          <w:szCs w:val="24"/>
        </w:rPr>
        <w:t>mērķtiecīgu un izmērāmu politiku, jo</w:t>
      </w:r>
      <w:r w:rsidRPr="0054415B">
        <w:rPr>
          <w:rStyle w:val="CommentReference"/>
          <w:sz w:val="24"/>
          <w:szCs w:val="24"/>
        </w:rPr>
        <w:t xml:space="preserve"> resursi netiek</w:t>
      </w:r>
      <w:r w:rsidR="00C14C30">
        <w:rPr>
          <w:rStyle w:val="CommentReference"/>
          <w:sz w:val="24"/>
          <w:szCs w:val="24"/>
        </w:rPr>
        <w:t xml:space="preserve"> koncentrēti mērķa sasniegšanai. Proti, minimālā ienākuma mērķis ir nodrošināt</w:t>
      </w:r>
      <w:r w:rsidR="00C14C30" w:rsidRPr="00844B68">
        <w:t xml:space="preserve"> no iemaksām neatkarīg</w:t>
      </w:r>
      <w:r w:rsidR="00C14C30">
        <w:t>u</w:t>
      </w:r>
      <w:r w:rsidR="004B7982">
        <w:t>s</w:t>
      </w:r>
      <w:r w:rsidR="00C14C30" w:rsidRPr="00844B68">
        <w:t xml:space="preserve"> ienākumu</w:t>
      </w:r>
      <w:r w:rsidR="00800BA1">
        <w:t>s</w:t>
      </w:r>
      <w:r w:rsidR="00C14C30" w:rsidRPr="00844B68">
        <w:t>, kas veido drošības tīklu tiem cilvēkiem, kam nav pieejami sociālās apdrošināšanas pabalsti</w:t>
      </w:r>
      <w:r w:rsidR="004B7982">
        <w:t xml:space="preserve"> un/vai valsts universālie sociālie pabalsti</w:t>
      </w:r>
      <w:r w:rsidR="00C14C30">
        <w:rPr>
          <w:rStyle w:val="FootnoteReference"/>
        </w:rPr>
        <w:footnoteReference w:id="17"/>
      </w:r>
      <w:r w:rsidR="00616FDC">
        <w:t xml:space="preserve">. </w:t>
      </w:r>
      <w:r w:rsidR="006B48AC">
        <w:t>P</w:t>
      </w:r>
      <w:r w:rsidR="00616FDC">
        <w:t xml:space="preserve">astāvot dažādiem minimālo ienākumu līmeņiem ar atšķirīgu sasaisti ar normatīvajiem aktiem, </w:t>
      </w:r>
      <w:r w:rsidR="00836E56">
        <w:t>nav skaidra to loma un mērķis</w:t>
      </w:r>
      <w:r w:rsidR="006A5F4D">
        <w:t>, kā arī to sniegtais atbalsts ir nelīdzsvarots</w:t>
      </w:r>
      <w:r w:rsidR="00C76FB2">
        <w:t>, un</w:t>
      </w:r>
      <w:r w:rsidR="006A5F4D">
        <w:t xml:space="preserve"> ieguldījums neatbilstošs nabadzības problēmas risināšanai</w:t>
      </w:r>
      <w:r w:rsidR="00836E56">
        <w:t>;</w:t>
      </w:r>
    </w:p>
    <w:p w:rsidR="006F07C1" w:rsidRDefault="00C14C30" w:rsidP="00C76FB2">
      <w:pPr>
        <w:numPr>
          <w:ilvl w:val="0"/>
          <w:numId w:val="34"/>
        </w:numPr>
        <w:autoSpaceDE w:val="0"/>
        <w:autoSpaceDN w:val="0"/>
        <w:adjustRightInd w:val="0"/>
        <w:ind w:left="1134"/>
        <w:jc w:val="both"/>
      </w:pPr>
      <w:r>
        <w:t xml:space="preserve">dažādas </w:t>
      </w:r>
      <w:r w:rsidR="00A86FD4" w:rsidRPr="0054415B">
        <w:t>interpretācij</w:t>
      </w:r>
      <w:r>
        <w:t>as</w:t>
      </w:r>
      <w:r w:rsidR="00A86FD4" w:rsidRPr="0063727B">
        <w:t xml:space="preserve"> </w:t>
      </w:r>
      <w:r>
        <w:t>iespējas</w:t>
      </w:r>
      <w:r w:rsidR="00836E56">
        <w:t>.</w:t>
      </w:r>
      <w:r>
        <w:t xml:space="preserve"> </w:t>
      </w:r>
      <w:r w:rsidR="00836E56">
        <w:t>P</w:t>
      </w:r>
      <w:r w:rsidR="00616FDC">
        <w:t xml:space="preserve">astāvot dažādiem minimālo ienākumu līmeņiem ar atšķirīgu to izmantošanas nolūku, </w:t>
      </w:r>
      <w:r w:rsidR="00A86FD4">
        <w:t xml:space="preserve">nabadzības </w:t>
      </w:r>
      <w:r w:rsidR="00A86FD4" w:rsidRPr="0063727B">
        <w:t>problēmas atspoguļošanai tiek izmantoti dažādi rādītāji</w:t>
      </w:r>
      <w:r w:rsidR="006B48AC">
        <w:t>. T</w:t>
      </w:r>
      <w:r w:rsidR="00836E56">
        <w:t>ā rezultātā</w:t>
      </w:r>
      <w:r w:rsidR="00616FDC">
        <w:t xml:space="preserve"> katra </w:t>
      </w:r>
      <w:r w:rsidR="00836E56">
        <w:t>ieinteresētā</w:t>
      </w:r>
      <w:r w:rsidR="00616FDC">
        <w:t xml:space="preserve"> puse </w:t>
      </w:r>
      <w:r w:rsidR="00836E56">
        <w:t>(mediji, iedzīvotāji, valsts un pašvaldību institūcijas, NVO u.c.) izmanto</w:t>
      </w:r>
      <w:r w:rsidR="00616FDC">
        <w:t xml:space="preserve"> to rādītāju, </w:t>
      </w:r>
      <w:r w:rsidR="00836E56">
        <w:t xml:space="preserve">ko tā uzskata par piemērotu konkrētajam gadījumam, atbilstošu esošajai sociālekonomiskajai situācijai, kā arī </w:t>
      </w:r>
      <w:r w:rsidR="008B2E90">
        <w:t xml:space="preserve">saskaņā ar izpratni par noteiktā rādītāja aprēķināšanas </w:t>
      </w:r>
      <w:r w:rsidR="00807E8A">
        <w:t xml:space="preserve">metodi </w:t>
      </w:r>
      <w:r w:rsidR="008B2E90">
        <w:t xml:space="preserve">un noteikšanas </w:t>
      </w:r>
      <w:r w:rsidR="00807E8A">
        <w:t xml:space="preserve">vai piemērošanas </w:t>
      </w:r>
      <w:r w:rsidR="008B2E90">
        <w:t>mēr</w:t>
      </w:r>
      <w:r w:rsidR="00807E8A">
        <w:t>ķi</w:t>
      </w:r>
      <w:r w:rsidR="00616FDC">
        <w:t>. P</w:t>
      </w:r>
      <w:r w:rsidR="00A86FD4" w:rsidRPr="0063727B">
        <w:t xml:space="preserve">iemēram, </w:t>
      </w:r>
      <w:r w:rsidR="00A86FD4">
        <w:t>iztikas minimums normatīvajos aktos nacionālajā līmenī</w:t>
      </w:r>
      <w:r w:rsidR="00616FDC">
        <w:t xml:space="preserve"> netika </w:t>
      </w:r>
      <w:r w:rsidR="006F07C1">
        <w:t>noteikts</w:t>
      </w:r>
      <w:r w:rsidR="00A86FD4">
        <w:t xml:space="preserve">, </w:t>
      </w:r>
      <w:r w:rsidR="00EC1CB9">
        <w:t>tādējādi</w:t>
      </w:r>
      <w:r w:rsidR="006F07C1">
        <w:t xml:space="preserve"> valsts atbalsts iedzīvotājiem ar ienākumiem līdz iztikas m</w:t>
      </w:r>
      <w:r w:rsidR="00B01AA6">
        <w:t>inimuma apmēram netika sniegts. T</w:t>
      </w:r>
      <w:r w:rsidR="00A86FD4">
        <w:t>aču</w:t>
      </w:r>
      <w:r w:rsidR="00A86FD4" w:rsidRPr="0063727B">
        <w:t xml:space="preserve"> </w:t>
      </w:r>
      <w:r w:rsidR="00776FD2">
        <w:t>dažādas ietekmes puses</w:t>
      </w:r>
      <w:r w:rsidR="00BF2701">
        <w:t xml:space="preserve"> </w:t>
      </w:r>
      <w:r w:rsidR="00A86FD4" w:rsidRPr="0063727B">
        <w:t>regulāri izmanto</w:t>
      </w:r>
      <w:r w:rsidR="006F07C1">
        <w:t>ja</w:t>
      </w:r>
      <w:r w:rsidR="00A86FD4">
        <w:t xml:space="preserve"> tieši iztikas minimuma datus</w:t>
      </w:r>
      <w:r w:rsidR="006F07C1">
        <w:t>, raksturojot sociālo situāciju</w:t>
      </w:r>
      <w:r w:rsidR="00B01AA6">
        <w:t xml:space="preserve"> valstī</w:t>
      </w:r>
      <w:r w:rsidR="006B48AC">
        <w:t xml:space="preserve"> un nepieciešamo atbalstu indivīdam</w:t>
      </w:r>
      <w:r w:rsidR="00EC1CB9">
        <w:rPr>
          <w:rStyle w:val="FootnoteReference"/>
        </w:rPr>
        <w:footnoteReference w:id="18"/>
      </w:r>
      <w:r w:rsidR="006F07C1">
        <w:t>;</w:t>
      </w:r>
    </w:p>
    <w:p w:rsidR="00C14C30" w:rsidRDefault="006F07C1" w:rsidP="00C76FB2">
      <w:pPr>
        <w:numPr>
          <w:ilvl w:val="0"/>
          <w:numId w:val="34"/>
        </w:numPr>
        <w:autoSpaceDE w:val="0"/>
        <w:autoSpaceDN w:val="0"/>
        <w:adjustRightInd w:val="0"/>
        <w:ind w:left="1134"/>
        <w:jc w:val="both"/>
      </w:pPr>
      <w:r>
        <w:t xml:space="preserve">minimālo ienākumu </w:t>
      </w:r>
      <w:r w:rsidR="00807E8A">
        <w:t>līmeņu not</w:t>
      </w:r>
      <w:r w:rsidR="00B01AA6">
        <w:t xml:space="preserve">eikšanas </w:t>
      </w:r>
      <w:r w:rsidR="00463AB0">
        <w:t>metodoloģijas</w:t>
      </w:r>
      <w:r w:rsidR="00B01AA6">
        <w:t xml:space="preserve"> trūkuma dēļ</w:t>
      </w:r>
      <w:r>
        <w:t xml:space="preserve"> nevar sniegt argumentus par to pamatotību</w:t>
      </w:r>
      <w:r w:rsidR="00807E8A">
        <w:t xml:space="preserve"> un adekvātumu</w:t>
      </w:r>
      <w:r>
        <w:t xml:space="preserve">.      </w:t>
      </w:r>
      <w:r w:rsidR="00A86FD4" w:rsidRPr="0063727B">
        <w:t xml:space="preserve"> </w:t>
      </w:r>
    </w:p>
    <w:p w:rsidR="00C76FB2" w:rsidRDefault="00C76FB2" w:rsidP="00A32D69">
      <w:pPr>
        <w:ind w:firstLine="720"/>
        <w:jc w:val="both"/>
      </w:pPr>
    </w:p>
    <w:p w:rsidR="00D007E9" w:rsidRDefault="0054415B" w:rsidP="00A32D69">
      <w:pPr>
        <w:ind w:firstLine="720"/>
        <w:jc w:val="both"/>
      </w:pPr>
      <w:r>
        <w:t>Tālāk</w:t>
      </w:r>
      <w:r w:rsidR="00B01AA6">
        <w:t>ajās apakšnodaļā</w:t>
      </w:r>
      <w:r w:rsidR="00C14C30">
        <w:t>s ir</w:t>
      </w:r>
      <w:r>
        <w:t xml:space="preserve"> sniegts izvērstāks noteikto minimālo ienākumu līmeņu raksturojums.</w:t>
      </w:r>
    </w:p>
    <w:p w:rsidR="00C76FB2" w:rsidRDefault="00C76FB2" w:rsidP="00C84374">
      <w:pPr>
        <w:jc w:val="both"/>
        <w:rPr>
          <w:sz w:val="20"/>
        </w:rPr>
      </w:pPr>
    </w:p>
    <w:p w:rsidR="00614191" w:rsidRPr="00173A24" w:rsidRDefault="00614191" w:rsidP="00C84374">
      <w:pPr>
        <w:jc w:val="both"/>
        <w:rPr>
          <w:sz w:val="20"/>
        </w:rPr>
      </w:pPr>
    </w:p>
    <w:p w:rsidR="00C84374" w:rsidRPr="00B30E3F" w:rsidRDefault="00C84374" w:rsidP="008D2C29">
      <w:pPr>
        <w:pStyle w:val="Heading2"/>
        <w:keepLines/>
        <w:numPr>
          <w:ilvl w:val="2"/>
          <w:numId w:val="16"/>
        </w:numPr>
        <w:spacing w:before="0" w:after="0"/>
        <w:rPr>
          <w:szCs w:val="24"/>
        </w:rPr>
      </w:pPr>
      <w:bookmarkStart w:id="23" w:name="_Toc357431422"/>
      <w:bookmarkStart w:id="24" w:name="_Toc401572476"/>
      <w:r w:rsidRPr="00B30E3F">
        <w:rPr>
          <w:szCs w:val="24"/>
        </w:rPr>
        <w:t>Iztikas minimums</w:t>
      </w:r>
      <w:bookmarkEnd w:id="23"/>
      <w:bookmarkEnd w:id="24"/>
    </w:p>
    <w:p w:rsidR="00C84374" w:rsidRPr="00173A24" w:rsidRDefault="00C84374" w:rsidP="00C84374"/>
    <w:p w:rsidR="00042B04" w:rsidRDefault="00C84374" w:rsidP="00D11F9D">
      <w:pPr>
        <w:pStyle w:val="BodyText"/>
        <w:spacing w:after="0"/>
        <w:ind w:firstLine="720"/>
        <w:jc w:val="both"/>
      </w:pPr>
      <w:r w:rsidRPr="00173A24">
        <w:t xml:space="preserve">Pilna iztikas minimuma patēriņa preču un pakalpojumu groza </w:t>
      </w:r>
      <w:r w:rsidR="000C2643" w:rsidRPr="00173A24">
        <w:t xml:space="preserve">(iztikas minimums) </w:t>
      </w:r>
      <w:r w:rsidRPr="00173A24">
        <w:t xml:space="preserve">lietiskais saturs un patēriņa normatīvi </w:t>
      </w:r>
      <w:r w:rsidR="006208C2">
        <w:t xml:space="preserve">tika </w:t>
      </w:r>
      <w:r w:rsidRPr="00173A24">
        <w:t>noteikti Ministru Padomes 1991. gada 8. aprīļa lēmuma Nr. 95 pielikumā</w:t>
      </w:r>
      <w:r w:rsidR="00C750FD">
        <w:t xml:space="preserve"> Nr. 3. </w:t>
      </w:r>
      <w:r w:rsidR="00042B04">
        <w:t>Iztika</w:t>
      </w:r>
      <w:r w:rsidR="000C2643">
        <w:t>s minimums ir pirmais minimālā</w:t>
      </w:r>
      <w:r w:rsidR="00042B04">
        <w:t xml:space="preserve"> </w:t>
      </w:r>
      <w:r w:rsidR="00D11F9D">
        <w:t xml:space="preserve">patēriņa </w:t>
      </w:r>
      <w:r w:rsidR="00042B04">
        <w:t>līmenis, kas tika noteikts pēc neatkarības atjaunošanas 1991.</w:t>
      </w:r>
      <w:r w:rsidR="0084615B">
        <w:t>gadā, un tas pastāvēja 23 gadus,</w:t>
      </w:r>
      <w:r w:rsidR="00042B04">
        <w:t xml:space="preserve"> jo kopš</w:t>
      </w:r>
      <w:r w:rsidR="00042B04" w:rsidRPr="00AF5471">
        <w:rPr>
          <w:szCs w:val="16"/>
        </w:rPr>
        <w:t xml:space="preserve"> 01.01.2014</w:t>
      </w:r>
      <w:r w:rsidR="00042B04">
        <w:t xml:space="preserve">. iztikas </w:t>
      </w:r>
      <w:r w:rsidR="00042B04" w:rsidRPr="00AF5471">
        <w:rPr>
          <w:szCs w:val="16"/>
        </w:rPr>
        <w:t>minimuma aprēķināšana ir pārtraukta</w:t>
      </w:r>
      <w:r w:rsidR="00042B04">
        <w:rPr>
          <w:szCs w:val="16"/>
        </w:rPr>
        <w:t xml:space="preserve">. Tomēr, </w:t>
      </w:r>
      <w:r w:rsidR="00042B04" w:rsidRPr="00AF5471">
        <w:rPr>
          <w:szCs w:val="16"/>
        </w:rPr>
        <w:t>ņemot vērā tā ilggadējo pastāvēšanu un nozīmi</w:t>
      </w:r>
      <w:r w:rsidR="00A1771B">
        <w:rPr>
          <w:szCs w:val="16"/>
        </w:rPr>
        <w:t xml:space="preserve"> saistībā ar </w:t>
      </w:r>
      <w:r w:rsidR="00A1771B">
        <w:t xml:space="preserve">sabiedrībā valdošo viedokli un izpratni par šo rādītāju kā </w:t>
      </w:r>
      <w:r w:rsidR="00A1771B">
        <w:lastRenderedPageBreak/>
        <w:t>iedzīvotāju ienākumus raksturojošu līmeni</w:t>
      </w:r>
      <w:r w:rsidR="00042B04" w:rsidRPr="00AF5471">
        <w:rPr>
          <w:szCs w:val="16"/>
        </w:rPr>
        <w:t xml:space="preserve">, šajā </w:t>
      </w:r>
      <w:r w:rsidR="00042B04">
        <w:rPr>
          <w:szCs w:val="16"/>
        </w:rPr>
        <w:t>koncepcijā</w:t>
      </w:r>
      <w:r w:rsidR="00042B04" w:rsidRPr="00AF5471">
        <w:rPr>
          <w:szCs w:val="16"/>
        </w:rPr>
        <w:t xml:space="preserve"> tas tiks klasificēts kā viens no minimālajiem ienākumu līmeņiem.</w:t>
      </w:r>
    </w:p>
    <w:p w:rsidR="00C84374" w:rsidRPr="00173A24" w:rsidRDefault="00B01AA6" w:rsidP="002C30F1">
      <w:pPr>
        <w:pStyle w:val="BodyText"/>
        <w:spacing w:after="0"/>
        <w:ind w:firstLine="720"/>
        <w:jc w:val="both"/>
        <w:rPr>
          <w:iCs/>
        </w:rPr>
      </w:pPr>
      <w:r>
        <w:t xml:space="preserve">Iztikas minimuma </w:t>
      </w:r>
      <w:r w:rsidRPr="00173A24">
        <w:t xml:space="preserve">groza minimālā patēriņa normatīvi </w:t>
      </w:r>
      <w:r>
        <w:t>veidoti, pamatojoties</w:t>
      </w:r>
      <w:r w:rsidRPr="00173A24">
        <w:t xml:space="preserve"> uz 1991.gadā PSRS Darba un sociālo jautājumu ministrijas izstrādāt</w:t>
      </w:r>
      <w:r>
        <w:t>o</w:t>
      </w:r>
      <w:r w:rsidRPr="00173A24">
        <w:t xml:space="preserve"> metodoloģij</w:t>
      </w:r>
      <w:r>
        <w:t xml:space="preserve">u. Ir saprotams, ka </w:t>
      </w:r>
      <w:r w:rsidRPr="00173A24">
        <w:t xml:space="preserve">attiecīgi </w:t>
      </w:r>
      <w:r>
        <w:t xml:space="preserve">tā </w:t>
      </w:r>
      <w:r w:rsidR="00C84374" w:rsidRPr="00173A24">
        <w:t>nomenklatūra atspoguļo</w:t>
      </w:r>
      <w:r w:rsidR="006208C2">
        <w:t>ja</w:t>
      </w:r>
      <w:r w:rsidR="00C84374" w:rsidRPr="00173A24">
        <w:t xml:space="preserve"> 80-to gadu beigās valdošo priekšstatu par minimālā patēriņa vajadzībām. </w:t>
      </w:r>
      <w:r w:rsidR="00C750FD">
        <w:t>Līdzšinējais iztikas minimuma grozs ietvēra</w:t>
      </w:r>
      <w:r w:rsidR="00C84374" w:rsidRPr="00173A24">
        <w:t xml:space="preserve"> pārtikas preces, nepārtikas preces un pakalpojumus, kuru apjoms nodrošināja tolaik sabiedrībā pieņemto minimālo iztikas līmeni, izslēdzot </w:t>
      </w:r>
      <w:r w:rsidR="00C84374" w:rsidRPr="00173A24">
        <w:rPr>
          <w:iCs/>
        </w:rPr>
        <w:t xml:space="preserve">alkoholiskos dzērienus un tabakas izstrādājumus, luksus preces, veselības aprūpes un izglītības pakalpojumus. </w:t>
      </w:r>
    </w:p>
    <w:p w:rsidR="00C750FD" w:rsidRDefault="00076FDB" w:rsidP="00C750FD">
      <w:pPr>
        <w:pStyle w:val="BodyText"/>
        <w:spacing w:after="0"/>
        <w:ind w:firstLine="720"/>
        <w:jc w:val="both"/>
      </w:pPr>
      <w:r>
        <w:t>P</w:t>
      </w:r>
      <w:r w:rsidR="00C750FD" w:rsidRPr="00173A24">
        <w:t xml:space="preserve">ilna iztikas minimuma preču un pakalpojumu groza vērtības aprēķini </w:t>
      </w:r>
      <w:r w:rsidR="00C750FD">
        <w:t>tika veikti</w:t>
      </w:r>
      <w:r w:rsidR="00C750FD" w:rsidRPr="00173A24">
        <w:t>, pamatojoties uz ikmēneša patēriņa cenu apsekojuma rezultātiem. Proti, visā Latvijas teritorijā tik</w:t>
      </w:r>
      <w:r w:rsidR="00C750FD">
        <w:t>a</w:t>
      </w:r>
      <w:r w:rsidR="00C750FD" w:rsidRPr="00173A24">
        <w:t xml:space="preserve"> apsekotas dažādas iedzīvotāju visvairāk apmeklētās tirdzniecības un maksas pakalpojumu sniegšanas vietas (veikali, tirgi), </w:t>
      </w:r>
      <w:r w:rsidR="00C750FD">
        <w:t>novērojot un reģistrējot</w:t>
      </w:r>
      <w:r w:rsidR="00C750FD" w:rsidRPr="00173A24">
        <w:t xml:space="preserve"> patēriņa preču un pakalpojumu cenas. Grozā iekļautos preču un pakalpojumu normatīvus reizin</w:t>
      </w:r>
      <w:r w:rsidR="00C750FD">
        <w:t>āj</w:t>
      </w:r>
      <w:r w:rsidR="00C750FD" w:rsidRPr="00173A24">
        <w:t>a ar attiecīgā mēneša vidējām cenām un šos reizinājumus beigās saskait</w:t>
      </w:r>
      <w:r w:rsidR="00C750FD">
        <w:t>īj</w:t>
      </w:r>
      <w:r w:rsidR="00C750FD" w:rsidRPr="00173A24">
        <w:t>a, tādējādi izveidojot vienu vērtību, ko katru mēnesi Centrālā statistikas pārvalde publicē</w:t>
      </w:r>
      <w:r w:rsidR="00C750FD">
        <w:t>ja</w:t>
      </w:r>
      <w:r w:rsidR="00C750FD" w:rsidRPr="00173A24">
        <w:t xml:space="preserve"> </w:t>
      </w:r>
      <w:r w:rsidR="00C750FD">
        <w:t>savas iestādes mājas lapā</w:t>
      </w:r>
      <w:r w:rsidR="00C750FD" w:rsidRPr="00173A24">
        <w:t>.</w:t>
      </w:r>
    </w:p>
    <w:p w:rsidR="00934373" w:rsidRPr="00B55B51" w:rsidRDefault="009F52D6" w:rsidP="00934373">
      <w:pPr>
        <w:pStyle w:val="BodyText"/>
        <w:spacing w:after="0"/>
        <w:ind w:firstLine="720"/>
        <w:jc w:val="right"/>
      </w:pPr>
      <w:r w:rsidRPr="00B55B51">
        <w:t>2.grafiks</w:t>
      </w:r>
      <w:r w:rsidR="00F750FA" w:rsidRPr="00B55B51">
        <w:t xml:space="preserve">. </w:t>
      </w:r>
    </w:p>
    <w:p w:rsidR="005D2630" w:rsidRPr="00B55B51" w:rsidRDefault="008602E1" w:rsidP="00B55B51">
      <w:pPr>
        <w:pStyle w:val="BodyText"/>
        <w:spacing w:after="0"/>
        <w:ind w:firstLine="720"/>
        <w:jc w:val="center"/>
      </w:pPr>
      <w:r>
        <w:t>Iztikas minimuma patēriņa grozs viena</w:t>
      </w:r>
      <w:r w:rsidR="000F5388">
        <w:t>m</w:t>
      </w:r>
      <w:r>
        <w:t xml:space="preserve"> iedzīvotājam mēnesī</w:t>
      </w:r>
      <w:r w:rsidR="005D2630" w:rsidRPr="00B55B51">
        <w:t xml:space="preserve"> 199</w:t>
      </w:r>
      <w:r w:rsidR="001000A4" w:rsidRPr="00B55B51">
        <w:t>8</w:t>
      </w:r>
      <w:r w:rsidR="00CD7F21" w:rsidRPr="00B55B51">
        <w:t>.-2013.gadā</w:t>
      </w:r>
      <w:r>
        <w:t xml:space="preserve">, </w:t>
      </w:r>
      <w:proofErr w:type="spellStart"/>
      <w:r w:rsidR="00084A51" w:rsidRPr="00BD0F8B">
        <w:rPr>
          <w:i/>
          <w:iCs/>
        </w:rPr>
        <w:t>euro</w:t>
      </w:r>
      <w:proofErr w:type="spellEnd"/>
    </w:p>
    <w:p w:rsidR="005D2630" w:rsidRPr="00670270" w:rsidRDefault="001C7D5F" w:rsidP="00C750FD">
      <w:pPr>
        <w:pStyle w:val="BodyText"/>
        <w:spacing w:after="0"/>
        <w:ind w:firstLine="720"/>
        <w:jc w:val="both"/>
        <w:rPr>
          <w:iCs/>
          <w:highlight w:val="yellow"/>
        </w:rPr>
      </w:pPr>
      <w:r>
        <w:rPr>
          <w:noProof/>
          <w:lang w:eastAsia="lv-LV"/>
        </w:rPr>
        <w:drawing>
          <wp:inline distT="0" distB="0" distL="0" distR="0">
            <wp:extent cx="4516755" cy="3115945"/>
            <wp:effectExtent l="0" t="0" r="17145" b="2730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4C48" w:rsidRPr="00076FDB" w:rsidRDefault="00C266C2" w:rsidP="00C266C2">
      <w:pPr>
        <w:pStyle w:val="BodyText"/>
        <w:spacing w:after="0"/>
        <w:ind w:firstLine="720"/>
        <w:jc w:val="both"/>
        <w:rPr>
          <w:noProof/>
          <w:color w:val="000000"/>
          <w:sz w:val="20"/>
          <w:szCs w:val="20"/>
        </w:rPr>
      </w:pPr>
      <w:r>
        <w:rPr>
          <w:noProof/>
          <w:color w:val="000000"/>
          <w:sz w:val="20"/>
          <w:szCs w:val="20"/>
        </w:rPr>
        <w:t>A</w:t>
      </w:r>
      <w:r w:rsidR="00076FDB" w:rsidRPr="00076FDB">
        <w:rPr>
          <w:noProof/>
          <w:color w:val="000000"/>
          <w:sz w:val="20"/>
          <w:szCs w:val="20"/>
        </w:rPr>
        <w:t xml:space="preserve">vots: </w:t>
      </w:r>
      <w:r>
        <w:rPr>
          <w:noProof/>
          <w:color w:val="000000"/>
          <w:sz w:val="20"/>
          <w:szCs w:val="20"/>
        </w:rPr>
        <w:t>CSP</w:t>
      </w:r>
    </w:p>
    <w:p w:rsidR="00076FDB" w:rsidRDefault="00076FDB" w:rsidP="00C84374">
      <w:pPr>
        <w:pStyle w:val="BodyText"/>
        <w:spacing w:after="0"/>
        <w:ind w:firstLine="720"/>
        <w:jc w:val="both"/>
        <w:rPr>
          <w:noProof/>
          <w:color w:val="000000"/>
          <w:highlight w:val="yellow"/>
        </w:rPr>
      </w:pPr>
    </w:p>
    <w:p w:rsidR="00A75972" w:rsidRDefault="00A75972" w:rsidP="00A75972">
      <w:pPr>
        <w:pStyle w:val="BodyText"/>
        <w:spacing w:after="0"/>
        <w:ind w:firstLine="720"/>
        <w:jc w:val="both"/>
        <w:rPr>
          <w:noProof/>
          <w:color w:val="000000"/>
        </w:rPr>
      </w:pPr>
      <w:r>
        <w:rPr>
          <w:noProof/>
          <w:color w:val="000000"/>
        </w:rPr>
        <w:t>Kā redzams 2.grafikā, i</w:t>
      </w:r>
      <w:r w:rsidRPr="00E115C7">
        <w:rPr>
          <w:noProof/>
          <w:color w:val="000000"/>
        </w:rPr>
        <w:t>ztikas minimums kopš 199</w:t>
      </w:r>
      <w:r>
        <w:rPr>
          <w:noProof/>
          <w:color w:val="000000"/>
        </w:rPr>
        <w:t>8</w:t>
      </w:r>
      <w:r w:rsidRPr="00E115C7">
        <w:rPr>
          <w:noProof/>
          <w:color w:val="000000"/>
        </w:rPr>
        <w:t>.gada katru gadu pakāpeniski ir palielinājies, izņemot krīzes dziļ</w:t>
      </w:r>
      <w:r>
        <w:rPr>
          <w:noProof/>
          <w:color w:val="000000"/>
        </w:rPr>
        <w:t xml:space="preserve">āko periodu – 2010.gadu, kad patēriņa grozā iekļauto preču un pakalpojumu cenas nedaudz samazinājās. </w:t>
      </w:r>
    </w:p>
    <w:p w:rsidR="00C84374" w:rsidRPr="00173A24" w:rsidRDefault="00C84374" w:rsidP="00E413BB">
      <w:pPr>
        <w:pStyle w:val="BodyText"/>
        <w:spacing w:after="0"/>
        <w:ind w:firstLine="720"/>
        <w:jc w:val="both"/>
        <w:rPr>
          <w:iCs/>
        </w:rPr>
      </w:pPr>
      <w:r w:rsidRPr="00173A24">
        <w:rPr>
          <w:noProof/>
          <w:color w:val="000000"/>
        </w:rPr>
        <w:t>Kad iztikas minimuma rādītājs bija piesaistīts sociālās aizsardzības sistēmai, tas ievērojami stiprināja tā nozīmi un pielietojamību</w:t>
      </w:r>
      <w:r w:rsidR="00511D59">
        <w:rPr>
          <w:noProof/>
          <w:color w:val="000000"/>
        </w:rPr>
        <w:t xml:space="preserve">. </w:t>
      </w:r>
      <w:r w:rsidR="00511D59">
        <w:t>T</w:t>
      </w:r>
      <w:r w:rsidRPr="00173A24">
        <w:t xml:space="preserve">ā sasaiste ar normatīvajiem aktiem </w:t>
      </w:r>
      <w:proofErr w:type="spellStart"/>
      <w:r w:rsidRPr="00173A24">
        <w:rPr>
          <w:i/>
        </w:rPr>
        <w:t>de</w:t>
      </w:r>
      <w:proofErr w:type="spellEnd"/>
      <w:r w:rsidRPr="00173A24">
        <w:rPr>
          <w:i/>
        </w:rPr>
        <w:t xml:space="preserve"> </w:t>
      </w:r>
      <w:proofErr w:type="spellStart"/>
      <w:r w:rsidRPr="00173A24">
        <w:rPr>
          <w:i/>
        </w:rPr>
        <w:t>jure</w:t>
      </w:r>
      <w:proofErr w:type="spellEnd"/>
      <w:r w:rsidR="00C750FD">
        <w:t xml:space="preserve"> tika</w:t>
      </w:r>
      <w:r w:rsidRPr="00173A24">
        <w:t xml:space="preserve"> pārtraukta ar 2003.gadu, kad spēkā stājas jaunie Ministru kabineta noteikumi par trūcīgas personas statusu</w:t>
      </w:r>
      <w:r w:rsidR="005E3FAE">
        <w:rPr>
          <w:rStyle w:val="FootnoteReference"/>
        </w:rPr>
        <w:footnoteReference w:id="19"/>
      </w:r>
      <w:r w:rsidRPr="00173A24">
        <w:t xml:space="preserve">, bet praksē </w:t>
      </w:r>
      <w:r w:rsidR="00F02E6A">
        <w:t xml:space="preserve">iztikas minimums </w:t>
      </w:r>
      <w:r w:rsidRPr="00173A24">
        <w:t>netik</w:t>
      </w:r>
      <w:r w:rsidR="00C750FD">
        <w:t>a</w:t>
      </w:r>
      <w:r w:rsidRPr="00173A24">
        <w:t xml:space="preserve"> </w:t>
      </w:r>
      <w:r w:rsidR="00C750FD">
        <w:t>ņ</w:t>
      </w:r>
      <w:r w:rsidRPr="00173A24">
        <w:t xml:space="preserve">emts vērā jau kopš 1996.gada, kad 26.martā tika pieņemti Ministru kabineta noteikumi Nr.75 „Noteikumi par trūcīgo ģimeņu sociālās palīdzības pabalstu un trūcīgo ģimeņu materiālā stāvokļa novērtēšanu”. Attiecīgi </w:t>
      </w:r>
      <w:r w:rsidR="0025056C">
        <w:t xml:space="preserve">18 gadus </w:t>
      </w:r>
      <w:r w:rsidRPr="00173A24">
        <w:t xml:space="preserve">iztikas minimumam ir </w:t>
      </w:r>
      <w:r w:rsidR="0025056C">
        <w:t xml:space="preserve">bijis </w:t>
      </w:r>
      <w:r w:rsidR="00511D59">
        <w:t>tikai</w:t>
      </w:r>
      <w:r w:rsidRPr="00173A24">
        <w:t xml:space="preserve"> informatīvs raksturs, un to pamatā izmanto</w:t>
      </w:r>
      <w:r w:rsidR="0025056C">
        <w:t>ja</w:t>
      </w:r>
      <w:r w:rsidRPr="00173A24">
        <w:t xml:space="preserve"> statistikas </w:t>
      </w:r>
      <w:r w:rsidRPr="00173A24">
        <w:lastRenderedPageBreak/>
        <w:t>nolūkos</w:t>
      </w:r>
      <w:r w:rsidR="00511D59">
        <w:rPr>
          <w:rStyle w:val="FootnoteReference"/>
        </w:rPr>
        <w:footnoteReference w:id="20"/>
      </w:r>
      <w:r w:rsidR="009770FA">
        <w:t>, piemēram, salīdzinot ar minimālo mēneša darba algu vai citiem minimālajiem ienākumu apmēriem</w:t>
      </w:r>
      <w:r w:rsidR="0025056C">
        <w:t>.</w:t>
      </w:r>
      <w:r w:rsidR="00B7237A">
        <w:rPr>
          <w:bCs/>
        </w:rPr>
        <w:t xml:space="preserve"> </w:t>
      </w:r>
      <w:r w:rsidR="0025056C">
        <w:rPr>
          <w:bCs/>
        </w:rPr>
        <w:t>Ņ</w:t>
      </w:r>
      <w:r w:rsidR="00B7237A">
        <w:rPr>
          <w:bCs/>
        </w:rPr>
        <w:t>emot</w:t>
      </w:r>
      <w:r w:rsidR="0025056C">
        <w:rPr>
          <w:bCs/>
        </w:rPr>
        <w:t xml:space="preserve"> </w:t>
      </w:r>
      <w:r w:rsidR="00B7237A">
        <w:rPr>
          <w:bCs/>
        </w:rPr>
        <w:t>vērā iztikas minimuma novecojušo metodoloģiju</w:t>
      </w:r>
      <w:r w:rsidR="0025056C">
        <w:rPr>
          <w:bCs/>
        </w:rPr>
        <w:t xml:space="preserve"> (nemainīgs pārtikas un preču </w:t>
      </w:r>
      <w:r w:rsidR="00261AF7">
        <w:rPr>
          <w:bCs/>
        </w:rPr>
        <w:t>klāsts</w:t>
      </w:r>
      <w:r w:rsidR="0025056C">
        <w:rPr>
          <w:bCs/>
        </w:rPr>
        <w:t xml:space="preserve"> 23 gadus)</w:t>
      </w:r>
      <w:r w:rsidR="00B7237A">
        <w:rPr>
          <w:bCs/>
        </w:rPr>
        <w:t xml:space="preserve">, ar 2014.gada 1.janvāri iztikas minimums vairs netiek aprēķināts, </w:t>
      </w:r>
      <w:r w:rsidR="00E413BB">
        <w:rPr>
          <w:bCs/>
        </w:rPr>
        <w:t>t.i.</w:t>
      </w:r>
      <w:r w:rsidR="00B7237A">
        <w:rPr>
          <w:bCs/>
        </w:rPr>
        <w:t xml:space="preserve">, </w:t>
      </w:r>
      <w:r w:rsidR="00511D59">
        <w:rPr>
          <w:iCs/>
        </w:rPr>
        <w:t>iztikas minimums tika svītrots no</w:t>
      </w:r>
      <w:r w:rsidR="00511D59" w:rsidRPr="00173A24">
        <w:rPr>
          <w:iCs/>
        </w:rPr>
        <w:t xml:space="preserve"> </w:t>
      </w:r>
      <w:r w:rsidR="0025056C" w:rsidRPr="00173A24">
        <w:rPr>
          <w:iCs/>
        </w:rPr>
        <w:t>Valsts sta</w:t>
      </w:r>
      <w:r w:rsidR="00511D59">
        <w:rPr>
          <w:iCs/>
        </w:rPr>
        <w:t>tistiskās informācijas programmas</w:t>
      </w:r>
      <w:r w:rsidR="0025056C" w:rsidRPr="00173A24">
        <w:rPr>
          <w:iCs/>
        </w:rPr>
        <w:t xml:space="preserve">, ko </w:t>
      </w:r>
      <w:r w:rsidR="009770FA">
        <w:rPr>
          <w:iCs/>
        </w:rPr>
        <w:t>katru gadu apstiprina Ministru kabinets.</w:t>
      </w:r>
    </w:p>
    <w:p w:rsidR="00C84374" w:rsidRDefault="00C84374" w:rsidP="00C74EE4">
      <w:pPr>
        <w:pStyle w:val="BodyText"/>
        <w:spacing w:after="0"/>
        <w:ind w:firstLine="720"/>
        <w:jc w:val="both"/>
        <w:rPr>
          <w:bCs/>
        </w:rPr>
      </w:pPr>
      <w:r w:rsidRPr="00173A24">
        <w:t xml:space="preserve">Gan </w:t>
      </w:r>
      <w:r w:rsidR="00913975">
        <w:t>normatīvajos aktos</w:t>
      </w:r>
      <w:r w:rsidRPr="00173A24">
        <w:t>, gan atsevišķ</w:t>
      </w:r>
      <w:r w:rsidR="00913975">
        <w:t xml:space="preserve">os pētījumos </w:t>
      </w:r>
      <w:r w:rsidR="00887A34">
        <w:t>izmantots</w:t>
      </w:r>
      <w:r w:rsidR="005D2630">
        <w:t xml:space="preserve"> arī</w:t>
      </w:r>
      <w:r w:rsidRPr="00173A24">
        <w:t xml:space="preserve"> termins „krīzes iztikas minimums” un „krīzes iztikas minimuma pārtikas daļa”. </w:t>
      </w:r>
      <w:r w:rsidR="00913975">
        <w:t>Normatīvajos aktos</w:t>
      </w:r>
      <w:r w:rsidRPr="00173A24">
        <w:t xml:space="preserve">, kas nosaka </w:t>
      </w:r>
      <w:r w:rsidR="00C74EE4">
        <w:t xml:space="preserve">krīzes iztikas minimumu un </w:t>
      </w:r>
      <w:r w:rsidR="00913975">
        <w:t>tā pārtikas daļu,</w:t>
      </w:r>
      <w:r w:rsidRPr="00173A24">
        <w:t xml:space="preserve"> ir </w:t>
      </w:r>
      <w:r w:rsidR="003F6DF3">
        <w:t>norādīti</w:t>
      </w:r>
      <w:r w:rsidR="00887A34">
        <w:t xml:space="preserve"> tikai to apmēri, bet nav atrodams </w:t>
      </w:r>
      <w:r w:rsidRPr="00173A24">
        <w:t xml:space="preserve">skaidrojums, ko tas nozīmē. </w:t>
      </w:r>
      <w:r w:rsidR="00887A34">
        <w:t>Nākamajā gadā pēc</w:t>
      </w:r>
      <w:r w:rsidR="00887A34" w:rsidRPr="00173A24">
        <w:t xml:space="preserve"> iztikas minimuma noteikšanas </w:t>
      </w:r>
      <w:r w:rsidR="006B2215">
        <w:t xml:space="preserve">(1992) </w:t>
      </w:r>
      <w:r w:rsidR="00887A34">
        <w:t>normatīvajos aktos definēti</w:t>
      </w:r>
      <w:r w:rsidR="00887A34" w:rsidRPr="00173A24">
        <w:t xml:space="preserve"> krīzes iztikas minimum</w:t>
      </w:r>
      <w:r w:rsidR="00887A34">
        <w:t>s</w:t>
      </w:r>
      <w:r w:rsidR="00887A34">
        <w:rPr>
          <w:rStyle w:val="FootnoteReference"/>
        </w:rPr>
        <w:footnoteReference w:id="21"/>
      </w:r>
      <w:r w:rsidR="00887A34">
        <w:t xml:space="preserve"> un krīzes iztikas minimuma</w:t>
      </w:r>
      <w:r w:rsidR="00887A34" w:rsidRPr="00173A24">
        <w:t xml:space="preserve"> pārtikas daļ</w:t>
      </w:r>
      <w:r w:rsidR="00887A34">
        <w:t>a</w:t>
      </w:r>
      <w:r w:rsidR="00887A34">
        <w:rPr>
          <w:rStyle w:val="FootnoteReference"/>
        </w:rPr>
        <w:footnoteReference w:id="22"/>
      </w:r>
      <w:r w:rsidR="00887A34">
        <w:t>.</w:t>
      </w:r>
      <w:r w:rsidR="00887A34" w:rsidRPr="00173A24">
        <w:t xml:space="preserve"> Nīderlandes pētniece Franciska </w:t>
      </w:r>
      <w:proofErr w:type="spellStart"/>
      <w:r w:rsidR="00887A34" w:rsidRPr="00173A24">
        <w:t>Gasmane</w:t>
      </w:r>
      <w:proofErr w:type="spellEnd"/>
      <w:r w:rsidR="00887A34" w:rsidRPr="00173A24">
        <w:t xml:space="preserve">, pētot nabadzību Latvijā, </w:t>
      </w:r>
      <w:r w:rsidR="00887A34">
        <w:t>rakstīja,</w:t>
      </w:r>
      <w:r w:rsidR="00887A34" w:rsidRPr="00173A24">
        <w:t xml:space="preserve"> ka krīzes iztikas minimuma </w:t>
      </w:r>
      <w:r w:rsidR="00887A34">
        <w:t xml:space="preserve">pārtikas daļas </w:t>
      </w:r>
      <w:r w:rsidR="00887A34" w:rsidRPr="00173A24">
        <w:t>vērtība ir uzturam nepieciešamais minimums</w:t>
      </w:r>
      <w:r w:rsidR="00887A34" w:rsidRPr="00173A24">
        <w:rPr>
          <w:rStyle w:val="FootnoteReference"/>
        </w:rPr>
        <w:footnoteReference w:id="23"/>
      </w:r>
      <w:r w:rsidR="00887A34" w:rsidRPr="00173A24">
        <w:t xml:space="preserve">, papildinot vēl ar 5% </w:t>
      </w:r>
      <w:proofErr w:type="gramStart"/>
      <w:r w:rsidR="00887A34" w:rsidRPr="00173A24">
        <w:t>no kopējo preču un pakalpojumu</w:t>
      </w:r>
      <w:proofErr w:type="gramEnd"/>
      <w:r w:rsidR="00887A34" w:rsidRPr="00173A24">
        <w:t xml:space="preserve"> vērtības</w:t>
      </w:r>
      <w:r w:rsidR="00887A34">
        <w:rPr>
          <w:rStyle w:val="FootnoteReference"/>
        </w:rPr>
        <w:footnoteReference w:id="24"/>
      </w:r>
      <w:r w:rsidR="00887A34" w:rsidRPr="00173A24">
        <w:t>. Savukārt Centrālās statistikas pārvaldes nepublicētajā materiālā par iztikas minimumu sniegta vispārīga un ļoti īsa informācija „1993.gada pavasarī tika radīts krīzes minimuma grozs, kas eksistēja tikai dažus gadus”</w:t>
      </w:r>
      <w:r w:rsidR="002C30F1">
        <w:rPr>
          <w:rStyle w:val="FootnoteReference"/>
        </w:rPr>
        <w:footnoteReference w:id="25"/>
      </w:r>
      <w:r w:rsidR="00887A34" w:rsidRPr="00173A24">
        <w:t>.</w:t>
      </w:r>
    </w:p>
    <w:p w:rsidR="00913975" w:rsidRDefault="00913975" w:rsidP="002C30F1">
      <w:pPr>
        <w:pStyle w:val="BodyText"/>
        <w:spacing w:after="0"/>
        <w:ind w:firstLine="720"/>
        <w:jc w:val="both"/>
        <w:rPr>
          <w:bCs/>
        </w:rPr>
      </w:pPr>
      <w:r>
        <w:rPr>
          <w:bCs/>
        </w:rPr>
        <w:t xml:space="preserve">Pašreiz </w:t>
      </w:r>
      <w:r w:rsidRPr="00E205AC">
        <w:rPr>
          <w:bCs/>
        </w:rPr>
        <w:t xml:space="preserve">Baltijas Starptautiskais </w:t>
      </w:r>
      <w:r w:rsidR="002C30F1">
        <w:rPr>
          <w:bCs/>
        </w:rPr>
        <w:t>e</w:t>
      </w:r>
      <w:r w:rsidRPr="00E205AC">
        <w:rPr>
          <w:bCs/>
        </w:rPr>
        <w:t xml:space="preserve">konomikas </w:t>
      </w:r>
      <w:r w:rsidR="002C30F1">
        <w:rPr>
          <w:bCs/>
        </w:rPr>
        <w:t>p</w:t>
      </w:r>
      <w:r w:rsidRPr="00E205AC">
        <w:rPr>
          <w:bCs/>
        </w:rPr>
        <w:t xml:space="preserve">olitikas </w:t>
      </w:r>
      <w:r w:rsidR="002C30F1">
        <w:rPr>
          <w:bCs/>
        </w:rPr>
        <w:t>s</w:t>
      </w:r>
      <w:r w:rsidRPr="00E205AC">
        <w:rPr>
          <w:bCs/>
        </w:rPr>
        <w:t xml:space="preserve">tudiju </w:t>
      </w:r>
      <w:r w:rsidR="002C30F1">
        <w:rPr>
          <w:bCs/>
        </w:rPr>
        <w:t>c</w:t>
      </w:r>
      <w:r w:rsidRPr="00E205AC">
        <w:rPr>
          <w:bCs/>
        </w:rPr>
        <w:t xml:space="preserve">entrs </w:t>
      </w:r>
      <w:r>
        <w:rPr>
          <w:bCs/>
        </w:rPr>
        <w:t>ir iesai</w:t>
      </w:r>
      <w:r w:rsidR="005331F4">
        <w:rPr>
          <w:bCs/>
        </w:rPr>
        <w:t>stījies ES līmeņa pilotprojektā</w:t>
      </w:r>
      <w:r w:rsidR="00D84CAF">
        <w:rPr>
          <w:bCs/>
        </w:rPr>
        <w:t xml:space="preserve"> (projekta īstenošanas periods: 2014.gada janvāris - 2015.gada februāris)</w:t>
      </w:r>
      <w:r w:rsidR="005D0ADB">
        <w:rPr>
          <w:bCs/>
        </w:rPr>
        <w:t>, kā ietvaros tiek</w:t>
      </w:r>
      <w:r w:rsidR="005331F4">
        <w:rPr>
          <w:bCs/>
        </w:rPr>
        <w:t xml:space="preserve"> izstrādāta </w:t>
      </w:r>
      <w:r>
        <w:rPr>
          <w:bCs/>
        </w:rPr>
        <w:t>kopēj</w:t>
      </w:r>
      <w:r w:rsidR="005331F4">
        <w:rPr>
          <w:bCs/>
        </w:rPr>
        <w:t xml:space="preserve">a </w:t>
      </w:r>
      <w:r w:rsidR="00D84CAF">
        <w:rPr>
          <w:bCs/>
        </w:rPr>
        <w:t xml:space="preserve">ES </w:t>
      </w:r>
      <w:r w:rsidR="005331F4">
        <w:rPr>
          <w:bCs/>
        </w:rPr>
        <w:t>metodoloģija</w:t>
      </w:r>
      <w:r>
        <w:rPr>
          <w:bCs/>
        </w:rPr>
        <w:t xml:space="preserve"> salīdzinošajiem budžetiem</w:t>
      </w:r>
      <w:r w:rsidR="000666D0">
        <w:rPr>
          <w:rStyle w:val="FootnoteReference"/>
          <w:bCs/>
        </w:rPr>
        <w:footnoteReference w:id="26"/>
      </w:r>
      <w:r w:rsidR="00EB1B0D">
        <w:rPr>
          <w:bCs/>
        </w:rPr>
        <w:t xml:space="preserve">, lai novērtētu </w:t>
      </w:r>
      <w:r w:rsidR="00D84CAF">
        <w:rPr>
          <w:bCs/>
        </w:rPr>
        <w:t>ES dalībvalstīs pastāvošās sociālās aizsardzības sistēmas</w:t>
      </w:r>
      <w:r w:rsidRPr="005331F4">
        <w:rPr>
          <w:rStyle w:val="FootnoteReference"/>
          <w:bCs/>
        </w:rPr>
        <w:footnoteReference w:id="27"/>
      </w:r>
      <w:r w:rsidR="005331F4">
        <w:rPr>
          <w:bCs/>
        </w:rPr>
        <w:t xml:space="preserve">. Šī pilotprojekta ietvaros </w:t>
      </w:r>
      <w:r w:rsidR="00EB1B0D">
        <w:rPr>
          <w:bCs/>
        </w:rPr>
        <w:t>Antverpenes Universitāte un neatkarīga pētījumu kompānija „</w:t>
      </w:r>
      <w:proofErr w:type="spellStart"/>
      <w:r w:rsidR="00EB1B0D">
        <w:rPr>
          <w:bCs/>
        </w:rPr>
        <w:t>Applica</w:t>
      </w:r>
      <w:proofErr w:type="spellEnd"/>
      <w:r w:rsidR="00EB1B0D">
        <w:rPr>
          <w:bCs/>
        </w:rPr>
        <w:t>” analizē visu 28 ES dalībvalstu pieredzi salīdzināmo budžetu noteikšanā un piemērošanā</w:t>
      </w:r>
      <w:r w:rsidR="00D84CAF">
        <w:rPr>
          <w:bCs/>
        </w:rPr>
        <w:t xml:space="preserve"> pēdējo 40 gadu periodā</w:t>
      </w:r>
      <w:r w:rsidR="00EB1B0D">
        <w:rPr>
          <w:bCs/>
        </w:rPr>
        <w:t>, analizējot</w:t>
      </w:r>
      <w:r w:rsidR="00685638">
        <w:rPr>
          <w:bCs/>
        </w:rPr>
        <w:t>,</w:t>
      </w:r>
      <w:r w:rsidR="00EB1B0D">
        <w:rPr>
          <w:bCs/>
        </w:rPr>
        <w:t xml:space="preserve"> tai skaitā</w:t>
      </w:r>
      <w:r w:rsidR="00685638">
        <w:rPr>
          <w:bCs/>
        </w:rPr>
        <w:t>,</w:t>
      </w:r>
      <w:r w:rsidR="00EB1B0D">
        <w:rPr>
          <w:bCs/>
        </w:rPr>
        <w:t xml:space="preserve"> arī</w:t>
      </w:r>
      <w:r>
        <w:rPr>
          <w:bCs/>
        </w:rPr>
        <w:t xml:space="preserve"> Latvijas pieredzi </w:t>
      </w:r>
      <w:r w:rsidR="00EB1B0D">
        <w:rPr>
          <w:bCs/>
        </w:rPr>
        <w:t>iztikas minimuma aprēķināšanā un izmantošanā</w:t>
      </w:r>
      <w:r w:rsidR="000666D0">
        <w:rPr>
          <w:bCs/>
        </w:rPr>
        <w:t>, un, b</w:t>
      </w:r>
      <w:r w:rsidR="00D84CAF">
        <w:rPr>
          <w:bCs/>
        </w:rPr>
        <w:t>alstoties uz teor</w:t>
      </w:r>
      <w:r w:rsidR="000666D0">
        <w:rPr>
          <w:bCs/>
        </w:rPr>
        <w:t>ētisko atziņu apkopojumu un dalīb</w:t>
      </w:r>
      <w:r w:rsidR="00685638">
        <w:rPr>
          <w:bCs/>
        </w:rPr>
        <w:t>valstu pieredzi, tiks izstrādāta preču un pakalpojumu groza metodoloģija</w:t>
      </w:r>
      <w:r w:rsidR="000666D0">
        <w:rPr>
          <w:bCs/>
        </w:rPr>
        <w:t xml:space="preserve"> vairākiem mājsaimniecību veidiem, aprēķinot šo grozu vērtības atbilstoši katras ES dalībvalsts sociālekonomiskajai situācijai. </w:t>
      </w:r>
    </w:p>
    <w:p w:rsidR="002511D5" w:rsidRDefault="002511D5" w:rsidP="0006183C">
      <w:pPr>
        <w:pStyle w:val="BodyText"/>
        <w:spacing w:after="0"/>
        <w:ind w:firstLine="720"/>
        <w:jc w:val="both"/>
      </w:pPr>
      <w:r w:rsidRPr="002B4071">
        <w:t xml:space="preserve">Iztikas minimuma grozi atbilst absolūtās nabadzības mērīšanas pieejai, kur ietvertas patēriņa </w:t>
      </w:r>
      <w:r w:rsidRPr="002B4071">
        <w:rPr>
          <w:shd w:val="clear" w:color="auto" w:fill="FFFFFF"/>
        </w:rPr>
        <w:t>preces un pakalpojumi, ko aprēķina</w:t>
      </w:r>
      <w:r w:rsidRPr="002B4071">
        <w:t xml:space="preserve"> un novērtē atbilstoši indivīdam vai ģimenei minimālajām nepieciešamajām ikmēneša vai ikgadējām izmaksām.</w:t>
      </w:r>
      <w:r>
        <w:t xml:space="preserve"> Iztikas minimuma grozu izmantošana ir plaši izplatīta ES dalībvalstīs, tomēr šo grozu veidošanas metodoloģijas ir atšķirīgas, tāpēc dalībvalstu starpā nav salīdzināmas. Parasti </w:t>
      </w:r>
      <w:r w:rsidR="00225B7D">
        <w:t>sabiedrībā (tai skaitā, Latvijā</w:t>
      </w:r>
      <w:r>
        <w:t>) dominē viedoklis, ka šāda iztikas minimuma groza vērtības apmērā ir jānosaka nabadzības riska slieksnis vai minimālie ienākumu apmēri</w:t>
      </w:r>
      <w:r>
        <w:rPr>
          <w:rStyle w:val="FootnoteReference"/>
        </w:rPr>
        <w:footnoteReference w:id="28"/>
      </w:r>
      <w:r>
        <w:t xml:space="preserve">. Tomēr pastāv skaidri noteiktas atšķirības starp iztikas minimumu, nabadzības slieksni un minimālajiem ienākumiem. Proti, preču un pakalpojumu grozi tiek izstrādāti, lai atspoguļotu noteiktu dzīves līmeni. Turpretim nabadzības slieksnis nozīmē ekonomisko resursu līmeni, ko izmanto, lai noteiktu, kurš ir vai </w:t>
      </w:r>
      <w:r>
        <w:lastRenderedPageBreak/>
        <w:t xml:space="preserve">nav nabadzīgs cilvēks. Ja nabadzība nozīmē nepieciešamos minimālos ekonomiskos resursus, lai indivīds nebūtu atstumts no minimāli pieņemtā </w:t>
      </w:r>
      <w:proofErr w:type="gramStart"/>
      <w:r>
        <w:t>dzīves veida</w:t>
      </w:r>
      <w:proofErr w:type="gramEnd"/>
      <w:r>
        <w:t xml:space="preserve"> sabiedrībā, kurā viņš vai viņa dzīvo, tad tas ir atkarīgs gan no indivīda vajadzībām un apstākļiem, gan no sociālā konteksta. Savukārt iztikas minimuma grozi tiek izstrādāti tikai dažiem ģimeņu veidiem vai tipiskākajiem mājsaimniecību modeļiem, kuri dzīvo skaidri noteiktos apstākļos. Piemēram, izstrādājot preču un pakalpojumu grozu, kā viens no kritērijiem, atbilstoši kuram nosaka grozā iekļaujamās minimālās patēriņa preces un pakalpojumus, ir cilvēks ar relatīvi labu veselības stāvokli, jo izstrādāt minimālo preču un pakalpojumu grozu cilvēkiem ar veselības problēmām, kuras ir daudz un dažādas, nav iespējams, jo pastāv pārāk daudz mainīgo un ietekmējošo faktoru (cilvēka vecums, slimības, medikamentu, apmeklējamo ārstu u.tml. veidi, pieejamība un cenas u.c.). Tāpēc iztikas minimuma grozus galvenokārt izmanto, lai novērtētu valstī noteikto ienākumu pietiekamību un adekvātumu, nepiemērojot tos likumdošanā. Lai gan pastāv arī daži izņēmumi</w:t>
      </w:r>
      <w:r>
        <w:rPr>
          <w:rStyle w:val="FootnoteReference"/>
        </w:rPr>
        <w:footnoteReference w:id="29"/>
      </w:r>
      <w:r>
        <w:t xml:space="preserve">. </w:t>
      </w:r>
    </w:p>
    <w:p w:rsidR="001C5E21" w:rsidRDefault="001C5E21" w:rsidP="0006183C">
      <w:pPr>
        <w:pStyle w:val="BodyText"/>
        <w:spacing w:after="0"/>
        <w:ind w:firstLine="720"/>
        <w:jc w:val="both"/>
      </w:pPr>
    </w:p>
    <w:p w:rsidR="00681D20" w:rsidRPr="00173A24" w:rsidRDefault="00681D20" w:rsidP="00C84374">
      <w:pPr>
        <w:pStyle w:val="BodyText"/>
        <w:spacing w:after="0"/>
        <w:ind w:firstLine="720"/>
        <w:jc w:val="both"/>
      </w:pPr>
    </w:p>
    <w:p w:rsidR="00C84374" w:rsidRPr="00B30E3F" w:rsidRDefault="00C84374" w:rsidP="008D2C29">
      <w:pPr>
        <w:pStyle w:val="Heading2"/>
        <w:keepLines/>
        <w:numPr>
          <w:ilvl w:val="2"/>
          <w:numId w:val="16"/>
        </w:numPr>
        <w:spacing w:before="0" w:after="0"/>
        <w:rPr>
          <w:szCs w:val="24"/>
        </w:rPr>
      </w:pPr>
      <w:bookmarkStart w:id="25" w:name="_Toc357431423"/>
      <w:bookmarkStart w:id="26" w:name="_Toc401572477"/>
      <w:r w:rsidRPr="00B30E3F">
        <w:rPr>
          <w:szCs w:val="24"/>
        </w:rPr>
        <w:t xml:space="preserve">Trūcīgas </w:t>
      </w:r>
      <w:r w:rsidR="00116E4F">
        <w:rPr>
          <w:szCs w:val="24"/>
        </w:rPr>
        <w:t>ģimenes (</w:t>
      </w:r>
      <w:r w:rsidRPr="00B30E3F">
        <w:rPr>
          <w:szCs w:val="24"/>
        </w:rPr>
        <w:t>personas</w:t>
      </w:r>
      <w:r w:rsidR="00116E4F">
        <w:rPr>
          <w:szCs w:val="24"/>
        </w:rPr>
        <w:t>)</w:t>
      </w:r>
      <w:r w:rsidRPr="00B30E3F">
        <w:rPr>
          <w:szCs w:val="24"/>
        </w:rPr>
        <w:t xml:space="preserve"> statusam atbilstošs ienākumu līmenis</w:t>
      </w:r>
      <w:bookmarkEnd w:id="25"/>
      <w:bookmarkEnd w:id="26"/>
      <w:r w:rsidRPr="00B30E3F">
        <w:rPr>
          <w:szCs w:val="24"/>
        </w:rPr>
        <w:t xml:space="preserve"> </w:t>
      </w:r>
    </w:p>
    <w:p w:rsidR="00C84374" w:rsidRDefault="00C84374" w:rsidP="00C84374"/>
    <w:p w:rsidR="001C5E21" w:rsidRPr="00173A24" w:rsidRDefault="001C5E21" w:rsidP="00C84374"/>
    <w:p w:rsidR="0030166C" w:rsidRPr="00173A24" w:rsidRDefault="0030166C" w:rsidP="00C66C18">
      <w:pPr>
        <w:ind w:firstLine="357"/>
        <w:jc w:val="both"/>
      </w:pPr>
      <w:r>
        <w:t xml:space="preserve">Termins </w:t>
      </w:r>
      <w:r w:rsidR="00D219F4">
        <w:t xml:space="preserve">„trūcīga ģimene (persona)” </w:t>
      </w:r>
      <w:r>
        <w:t>tiesību aktos</w:t>
      </w:r>
      <w:r w:rsidRPr="00173A24">
        <w:t xml:space="preserve"> tika noteikts jau 1993.gadā, kad par trūcīgu atzina ģimeni, kuras ienākums uz katru ģimenes locekli pēdējo trīs mēnešu laikā nepārsniedz</w:t>
      </w:r>
      <w:r w:rsidR="00D219F4">
        <w:t>a</w:t>
      </w:r>
      <w:r w:rsidRPr="00173A24">
        <w:t xml:space="preserve"> 75% no Ministru kabineta noteikt</w:t>
      </w:r>
      <w:r>
        <w:t>ā</w:t>
      </w:r>
      <w:r w:rsidRPr="00173A24">
        <w:t xml:space="preserve"> iztikas minimuma</w:t>
      </w:r>
      <w:r>
        <w:rPr>
          <w:rStyle w:val="FootnoteReference"/>
        </w:rPr>
        <w:footnoteReference w:id="30"/>
      </w:r>
      <w:r>
        <w:t>, ka</w:t>
      </w:r>
      <w:r w:rsidR="00C66C18">
        <w:t>s</w:t>
      </w:r>
      <w:r>
        <w:t xml:space="preserve"> </w:t>
      </w:r>
      <w:r w:rsidR="00C66C18">
        <w:t>1993.gadā veidoja</w:t>
      </w:r>
      <w:r w:rsidRPr="00173A24">
        <w:t xml:space="preserve"> 75 % no krīzes iztikas minimuma. Laika gaitā trūcīgas </w:t>
      </w:r>
      <w:r w:rsidR="00116E4F">
        <w:t>ģimenes (</w:t>
      </w:r>
      <w:r w:rsidRPr="00173A24">
        <w:t>personas</w:t>
      </w:r>
      <w:r w:rsidR="00116E4F">
        <w:t>)</w:t>
      </w:r>
      <w:r w:rsidRPr="00173A24">
        <w:t xml:space="preserve"> ienākuma līmeņa sasaiste ar noteiktiem dzīves līmeņa rādītājiem ir mainījusies: </w:t>
      </w:r>
    </w:p>
    <w:p w:rsidR="004C685B" w:rsidRPr="00740408" w:rsidRDefault="004C685B" w:rsidP="004C685B">
      <w:pPr>
        <w:pStyle w:val="ListParagraph"/>
        <w:numPr>
          <w:ilvl w:val="0"/>
          <w:numId w:val="11"/>
        </w:numPr>
        <w:jc w:val="both"/>
        <w:rPr>
          <w:rFonts w:ascii="Times New Roman" w:hAnsi="Times New Roman"/>
        </w:rPr>
      </w:pPr>
      <w:r w:rsidRPr="00173A24">
        <w:rPr>
          <w:rFonts w:ascii="Times New Roman" w:hAnsi="Times New Roman"/>
        </w:rPr>
        <w:t xml:space="preserve">no 1993.gada līdz 2003.gadam trūcīgas </w:t>
      </w:r>
      <w:r>
        <w:rPr>
          <w:rFonts w:ascii="Times New Roman" w:hAnsi="Times New Roman"/>
        </w:rPr>
        <w:t>ģimenes (personas)</w:t>
      </w:r>
      <w:r w:rsidRPr="00173A24">
        <w:rPr>
          <w:rFonts w:ascii="Times New Roman" w:hAnsi="Times New Roman"/>
        </w:rPr>
        <w:t xml:space="preserve"> ie</w:t>
      </w:r>
      <w:r>
        <w:rPr>
          <w:rFonts w:ascii="Times New Roman" w:hAnsi="Times New Roman"/>
        </w:rPr>
        <w:t>nākumu līmenis tika noteikts 75</w:t>
      </w:r>
      <w:r w:rsidRPr="00173A24">
        <w:rPr>
          <w:rFonts w:ascii="Times New Roman" w:hAnsi="Times New Roman"/>
        </w:rPr>
        <w:t>% apmērā no krīzes iztikas minimuma</w:t>
      </w:r>
      <w:r>
        <w:rPr>
          <w:rFonts w:ascii="Times New Roman" w:hAnsi="Times New Roman"/>
        </w:rPr>
        <w:t xml:space="preserve"> katrai personai ģimenē</w:t>
      </w:r>
      <w:r>
        <w:rPr>
          <w:rStyle w:val="FootnoteReference"/>
          <w:rFonts w:ascii="Times New Roman" w:hAnsi="Times New Roman"/>
        </w:rPr>
        <w:footnoteReference w:id="31"/>
      </w:r>
      <w:r w:rsidRPr="00173A24">
        <w:rPr>
          <w:rFonts w:ascii="Times New Roman" w:hAnsi="Times New Roman"/>
        </w:rPr>
        <w:t xml:space="preserve">. Jāatzīmē, ka </w:t>
      </w:r>
      <w:r w:rsidRPr="00740408">
        <w:rPr>
          <w:rFonts w:ascii="Times New Roman" w:hAnsi="Times New Roman"/>
        </w:rPr>
        <w:t>dokumentāli pierādījumi par krīzes iztikas minimuma apmēriem un attiecīgi trūcīgās ģimenes (personas) ienākumu apmēriem ir pieejami fragmentāri par vienu vai diviem gadiem, tāpēc šī informācija nav iekļauta zemāk izveidotajā 2.tabulā;</w:t>
      </w:r>
    </w:p>
    <w:p w:rsidR="004C685B" w:rsidRDefault="004C685B" w:rsidP="004C685B">
      <w:pPr>
        <w:pStyle w:val="ListParagraph"/>
        <w:numPr>
          <w:ilvl w:val="0"/>
          <w:numId w:val="11"/>
        </w:numPr>
        <w:jc w:val="both"/>
        <w:rPr>
          <w:rFonts w:ascii="Times New Roman" w:hAnsi="Times New Roman"/>
        </w:rPr>
      </w:pPr>
      <w:r w:rsidRPr="004C685B">
        <w:rPr>
          <w:rFonts w:ascii="Times New Roman" w:hAnsi="Times New Roman"/>
        </w:rPr>
        <w:t>no 2003.gada trūcīgas ģimenes (personas) ienākumu līmenis vairs netika saistīts ar krīzes iztikas minimumu, bet ar minimālo mēneša darba algu, nosakot, ka trūcīgas ģimenes (personas) ienākumu līmenis uz katru ģimenes locekli pēdējo triju mēnešu laikā nepārsniedz 50% no attiecīgā gada 1.janvārī spēkā esošās minimālās darba algas valstī</w:t>
      </w:r>
      <w:r>
        <w:rPr>
          <w:rStyle w:val="FootnoteReference"/>
          <w:rFonts w:ascii="Times New Roman" w:hAnsi="Times New Roman"/>
        </w:rPr>
        <w:footnoteReference w:id="32"/>
      </w:r>
      <w:r>
        <w:rPr>
          <w:rFonts w:ascii="Times New Roman" w:hAnsi="Times New Roman"/>
        </w:rPr>
        <w:t>;</w:t>
      </w:r>
    </w:p>
    <w:p w:rsidR="004C685B" w:rsidRDefault="004C685B" w:rsidP="008B0B68">
      <w:pPr>
        <w:pStyle w:val="ListParagraph"/>
        <w:numPr>
          <w:ilvl w:val="0"/>
          <w:numId w:val="11"/>
        </w:numPr>
        <w:jc w:val="both"/>
        <w:rPr>
          <w:rFonts w:ascii="Times New Roman" w:hAnsi="Times New Roman"/>
        </w:rPr>
      </w:pPr>
      <w:r w:rsidRPr="004C685B">
        <w:rPr>
          <w:rFonts w:ascii="Times New Roman" w:hAnsi="Times New Roman"/>
        </w:rPr>
        <w:t xml:space="preserve"> savukārt kopš 2011.gada trūcīgas ģimenes (personas) ienākumu līmenis netika saistīts ar minimālo darba algu, bet noteikts konkrētā apmērā. Proti, ģimene (persona) atzīstama par trūcīgu, ja tās vidējie ienākumi katram ģimenes loceklim mēnesī pēdējo triju mēnešu laikā nepārsniedz 128,06 </w:t>
      </w:r>
      <w:r w:rsidR="00D770F2" w:rsidRPr="00D770F2">
        <w:rPr>
          <w:rFonts w:ascii="Times New Roman" w:hAnsi="Times New Roman"/>
          <w:i/>
          <w:iCs/>
        </w:rPr>
        <w:t>euro</w:t>
      </w:r>
      <w:r>
        <w:rPr>
          <w:rStyle w:val="FootnoteReference"/>
          <w:rFonts w:ascii="Times New Roman" w:hAnsi="Times New Roman"/>
        </w:rPr>
        <w:footnoteReference w:id="33"/>
      </w:r>
      <w:r w:rsidRPr="004C685B">
        <w:rPr>
          <w:rFonts w:ascii="Times New Roman" w:hAnsi="Times New Roman"/>
        </w:rPr>
        <w:t>.</w:t>
      </w:r>
    </w:p>
    <w:p w:rsidR="001C5E21" w:rsidRDefault="001C5E21" w:rsidP="001C5E21">
      <w:pPr>
        <w:jc w:val="both"/>
      </w:pPr>
    </w:p>
    <w:p w:rsidR="001C5E21" w:rsidRDefault="001C5E21" w:rsidP="001C5E21">
      <w:pPr>
        <w:jc w:val="both"/>
      </w:pPr>
    </w:p>
    <w:p w:rsidR="001C5E21" w:rsidRPr="001C5E21" w:rsidRDefault="001C5E21" w:rsidP="001C5E21">
      <w:pPr>
        <w:jc w:val="both"/>
      </w:pPr>
    </w:p>
    <w:p w:rsidR="00134244" w:rsidRPr="00E72B23" w:rsidRDefault="00C84374" w:rsidP="00134244">
      <w:pPr>
        <w:pStyle w:val="ListParagraph"/>
        <w:jc w:val="right"/>
        <w:rPr>
          <w:rFonts w:ascii="Times New Roman" w:hAnsi="Times New Roman"/>
        </w:rPr>
      </w:pPr>
      <w:r w:rsidRPr="00E72B23">
        <w:rPr>
          <w:rFonts w:ascii="Times New Roman" w:hAnsi="Times New Roman"/>
        </w:rPr>
        <w:lastRenderedPageBreak/>
        <w:t xml:space="preserve">2.tabula. </w:t>
      </w:r>
    </w:p>
    <w:p w:rsidR="00C84374" w:rsidRPr="00603965" w:rsidRDefault="00C84374" w:rsidP="00E72B23">
      <w:pPr>
        <w:pStyle w:val="ListParagraph"/>
        <w:jc w:val="center"/>
        <w:rPr>
          <w:rFonts w:ascii="Times New Roman" w:hAnsi="Times New Roman"/>
          <w:b/>
          <w:color w:val="FF0000"/>
        </w:rPr>
      </w:pPr>
      <w:r w:rsidRPr="00E72B23">
        <w:rPr>
          <w:rFonts w:ascii="Times New Roman" w:hAnsi="Times New Roman"/>
        </w:rPr>
        <w:t>Trūcīgas personas ienākumu līmenis 2003</w:t>
      </w:r>
      <w:r w:rsidR="00E25A6A" w:rsidRPr="00E72B23">
        <w:rPr>
          <w:rFonts w:ascii="Times New Roman" w:hAnsi="Times New Roman"/>
        </w:rPr>
        <w:t>.</w:t>
      </w:r>
      <w:r w:rsidRPr="00E72B23">
        <w:rPr>
          <w:rFonts w:ascii="Times New Roman" w:hAnsi="Times New Roman"/>
        </w:rPr>
        <w:t>-201</w:t>
      </w:r>
      <w:r w:rsidR="00B30E3F" w:rsidRPr="00E72B23">
        <w:rPr>
          <w:rFonts w:ascii="Times New Roman" w:hAnsi="Times New Roman"/>
        </w:rPr>
        <w:t>4</w:t>
      </w:r>
      <w:r w:rsidR="00E25A6A" w:rsidRPr="00E72B23">
        <w:rPr>
          <w:rFonts w:ascii="Times New Roman" w:hAnsi="Times New Roman"/>
        </w:rPr>
        <w:t>.gadam</w:t>
      </w:r>
    </w:p>
    <w:tbl>
      <w:tblPr>
        <w:tblW w:w="3402" w:type="dxa"/>
        <w:jc w:val="center"/>
        <w:tblInd w:w="81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701"/>
        <w:gridCol w:w="1701"/>
      </w:tblGrid>
      <w:tr w:rsidR="0079189C" w:rsidRPr="001951C3" w:rsidTr="0079189C">
        <w:trPr>
          <w:jc w:val="center"/>
        </w:trPr>
        <w:tc>
          <w:tcPr>
            <w:tcW w:w="1701" w:type="dxa"/>
            <w:tcBorders>
              <w:top w:val="single" w:sz="8" w:space="0" w:color="7BA0CD"/>
              <w:left w:val="single" w:sz="8" w:space="0" w:color="7BA0CD"/>
              <w:bottom w:val="single" w:sz="8" w:space="0" w:color="7BA0CD"/>
            </w:tcBorders>
            <w:shd w:val="clear" w:color="auto" w:fill="4F81BD"/>
          </w:tcPr>
          <w:p w:rsidR="0079189C" w:rsidRPr="001951C3" w:rsidRDefault="0079189C" w:rsidP="008D2C29">
            <w:pPr>
              <w:ind w:hanging="13"/>
              <w:jc w:val="center"/>
              <w:rPr>
                <w:b/>
                <w:bCs/>
                <w:i/>
                <w:color w:val="FFFFFF"/>
                <w:sz w:val="20"/>
                <w:szCs w:val="20"/>
              </w:rPr>
            </w:pPr>
            <w:r w:rsidRPr="001951C3">
              <w:rPr>
                <w:b/>
                <w:bCs/>
                <w:i/>
                <w:color w:val="FFFFFF"/>
                <w:sz w:val="20"/>
                <w:szCs w:val="20"/>
              </w:rPr>
              <w:t>GADS</w:t>
            </w:r>
          </w:p>
        </w:tc>
        <w:tc>
          <w:tcPr>
            <w:tcW w:w="1701" w:type="dxa"/>
            <w:tcBorders>
              <w:top w:val="single" w:sz="8" w:space="0" w:color="7BA0CD"/>
              <w:bottom w:val="single" w:sz="8" w:space="0" w:color="7BA0CD"/>
              <w:right w:val="single" w:sz="8" w:space="0" w:color="7BA0CD"/>
            </w:tcBorders>
            <w:shd w:val="clear" w:color="auto" w:fill="4F81BD"/>
          </w:tcPr>
          <w:p w:rsidR="0079189C" w:rsidRPr="001951C3" w:rsidRDefault="00BD0F8B" w:rsidP="008D2C29">
            <w:pPr>
              <w:jc w:val="center"/>
              <w:rPr>
                <w:b/>
                <w:bCs/>
                <w:i/>
                <w:color w:val="FFFFFF"/>
                <w:sz w:val="20"/>
                <w:szCs w:val="20"/>
              </w:rPr>
            </w:pPr>
            <w:r w:rsidRPr="00BD0F8B">
              <w:rPr>
                <w:b/>
                <w:bCs/>
                <w:i/>
                <w:iCs/>
                <w:color w:val="FFFFFF"/>
                <w:sz w:val="20"/>
                <w:szCs w:val="20"/>
              </w:rPr>
              <w:t>EURO</w:t>
            </w:r>
            <w:r w:rsidR="0079189C" w:rsidRPr="001951C3">
              <w:rPr>
                <w:b/>
                <w:bCs/>
                <w:i/>
                <w:color w:val="FFFFFF"/>
                <w:sz w:val="20"/>
                <w:szCs w:val="20"/>
              </w:rPr>
              <w:t xml:space="preserve"> mēnesī</w:t>
            </w:r>
          </w:p>
        </w:tc>
      </w:tr>
      <w:tr w:rsidR="0079189C" w:rsidRPr="001951C3" w:rsidTr="0079189C">
        <w:trPr>
          <w:jc w:val="center"/>
        </w:trPr>
        <w:tc>
          <w:tcPr>
            <w:tcW w:w="1701" w:type="dxa"/>
            <w:shd w:val="clear" w:color="auto" w:fill="D3DFEE"/>
          </w:tcPr>
          <w:p w:rsidR="0079189C" w:rsidRPr="001951C3" w:rsidRDefault="0079189C" w:rsidP="008D2C29">
            <w:pPr>
              <w:ind w:hanging="13"/>
              <w:jc w:val="center"/>
              <w:rPr>
                <w:b/>
                <w:bCs/>
                <w:sz w:val="20"/>
                <w:szCs w:val="20"/>
              </w:rPr>
            </w:pPr>
            <w:r w:rsidRPr="001951C3">
              <w:rPr>
                <w:b/>
                <w:bCs/>
                <w:sz w:val="20"/>
                <w:szCs w:val="20"/>
              </w:rPr>
              <w:t>2003</w:t>
            </w:r>
          </w:p>
        </w:tc>
        <w:tc>
          <w:tcPr>
            <w:tcW w:w="1701" w:type="dxa"/>
            <w:shd w:val="clear" w:color="auto" w:fill="D3DFEE"/>
          </w:tcPr>
          <w:p w:rsidR="0079189C" w:rsidRPr="001951C3" w:rsidRDefault="0079189C" w:rsidP="008D2C29">
            <w:pPr>
              <w:jc w:val="center"/>
              <w:rPr>
                <w:sz w:val="20"/>
                <w:szCs w:val="20"/>
              </w:rPr>
            </w:pPr>
            <w:r w:rsidRPr="001951C3">
              <w:rPr>
                <w:sz w:val="20"/>
                <w:szCs w:val="20"/>
              </w:rPr>
              <w:t>50</w:t>
            </w:r>
          </w:p>
        </w:tc>
      </w:tr>
      <w:tr w:rsidR="0079189C" w:rsidRPr="001951C3" w:rsidTr="0079189C">
        <w:trPr>
          <w:jc w:val="center"/>
        </w:trPr>
        <w:tc>
          <w:tcPr>
            <w:tcW w:w="1701" w:type="dxa"/>
            <w:tcBorders>
              <w:right w:val="nil"/>
            </w:tcBorders>
            <w:shd w:val="clear" w:color="auto" w:fill="auto"/>
          </w:tcPr>
          <w:p w:rsidR="0079189C" w:rsidRPr="001951C3" w:rsidRDefault="0079189C" w:rsidP="008D2C29">
            <w:pPr>
              <w:ind w:hanging="13"/>
              <w:jc w:val="center"/>
              <w:rPr>
                <w:b/>
                <w:bCs/>
                <w:sz w:val="20"/>
                <w:szCs w:val="20"/>
              </w:rPr>
            </w:pPr>
            <w:r w:rsidRPr="001951C3">
              <w:rPr>
                <w:b/>
                <w:bCs/>
                <w:sz w:val="20"/>
                <w:szCs w:val="20"/>
              </w:rPr>
              <w:t>2004</w:t>
            </w:r>
          </w:p>
        </w:tc>
        <w:tc>
          <w:tcPr>
            <w:tcW w:w="1701" w:type="dxa"/>
            <w:tcBorders>
              <w:left w:val="nil"/>
            </w:tcBorders>
          </w:tcPr>
          <w:p w:rsidR="0079189C" w:rsidRPr="001951C3" w:rsidRDefault="0079189C" w:rsidP="008D2C29">
            <w:pPr>
              <w:jc w:val="center"/>
              <w:rPr>
                <w:sz w:val="20"/>
                <w:szCs w:val="20"/>
              </w:rPr>
            </w:pPr>
            <w:r w:rsidRPr="001951C3">
              <w:rPr>
                <w:sz w:val="20"/>
                <w:szCs w:val="20"/>
              </w:rPr>
              <w:t>57</w:t>
            </w:r>
          </w:p>
        </w:tc>
      </w:tr>
      <w:tr w:rsidR="0079189C" w:rsidRPr="001951C3" w:rsidTr="0079189C">
        <w:trPr>
          <w:jc w:val="center"/>
        </w:trPr>
        <w:tc>
          <w:tcPr>
            <w:tcW w:w="1701" w:type="dxa"/>
            <w:shd w:val="clear" w:color="auto" w:fill="D3DFEE"/>
          </w:tcPr>
          <w:p w:rsidR="0079189C" w:rsidRPr="001951C3" w:rsidRDefault="0079189C" w:rsidP="008D2C29">
            <w:pPr>
              <w:jc w:val="center"/>
              <w:rPr>
                <w:b/>
                <w:bCs/>
                <w:sz w:val="20"/>
                <w:szCs w:val="20"/>
              </w:rPr>
            </w:pPr>
            <w:r w:rsidRPr="001951C3">
              <w:rPr>
                <w:b/>
                <w:bCs/>
                <w:sz w:val="20"/>
                <w:szCs w:val="20"/>
              </w:rPr>
              <w:t>2005</w:t>
            </w:r>
          </w:p>
        </w:tc>
        <w:tc>
          <w:tcPr>
            <w:tcW w:w="1701" w:type="dxa"/>
            <w:shd w:val="clear" w:color="auto" w:fill="D3DFEE"/>
          </w:tcPr>
          <w:p w:rsidR="0079189C" w:rsidRPr="001951C3" w:rsidRDefault="0079189C" w:rsidP="008D2C29">
            <w:pPr>
              <w:jc w:val="center"/>
              <w:rPr>
                <w:sz w:val="20"/>
                <w:szCs w:val="20"/>
              </w:rPr>
            </w:pPr>
            <w:r w:rsidRPr="001951C3">
              <w:rPr>
                <w:sz w:val="20"/>
                <w:szCs w:val="20"/>
              </w:rPr>
              <w:t>57</w:t>
            </w:r>
          </w:p>
        </w:tc>
      </w:tr>
      <w:tr w:rsidR="0079189C" w:rsidRPr="001951C3" w:rsidTr="0079189C">
        <w:trPr>
          <w:jc w:val="center"/>
        </w:trPr>
        <w:tc>
          <w:tcPr>
            <w:tcW w:w="1701" w:type="dxa"/>
            <w:tcBorders>
              <w:right w:val="nil"/>
            </w:tcBorders>
            <w:shd w:val="clear" w:color="auto" w:fill="auto"/>
          </w:tcPr>
          <w:p w:rsidR="0079189C" w:rsidRPr="001951C3" w:rsidRDefault="0079189C" w:rsidP="008D2C29">
            <w:pPr>
              <w:jc w:val="center"/>
              <w:rPr>
                <w:b/>
                <w:bCs/>
                <w:sz w:val="20"/>
                <w:szCs w:val="20"/>
              </w:rPr>
            </w:pPr>
            <w:r w:rsidRPr="001951C3">
              <w:rPr>
                <w:b/>
                <w:bCs/>
                <w:sz w:val="20"/>
                <w:szCs w:val="20"/>
              </w:rPr>
              <w:t>2006</w:t>
            </w:r>
          </w:p>
        </w:tc>
        <w:tc>
          <w:tcPr>
            <w:tcW w:w="1701" w:type="dxa"/>
            <w:tcBorders>
              <w:left w:val="nil"/>
            </w:tcBorders>
          </w:tcPr>
          <w:p w:rsidR="0079189C" w:rsidRPr="001951C3" w:rsidRDefault="0079189C" w:rsidP="008D2C29">
            <w:pPr>
              <w:jc w:val="center"/>
              <w:rPr>
                <w:sz w:val="20"/>
                <w:szCs w:val="20"/>
              </w:rPr>
            </w:pPr>
            <w:r w:rsidRPr="001951C3">
              <w:rPr>
                <w:sz w:val="20"/>
                <w:szCs w:val="20"/>
              </w:rPr>
              <w:t>64</w:t>
            </w:r>
          </w:p>
        </w:tc>
      </w:tr>
      <w:tr w:rsidR="0079189C" w:rsidRPr="001951C3" w:rsidTr="0079189C">
        <w:trPr>
          <w:jc w:val="center"/>
        </w:trPr>
        <w:tc>
          <w:tcPr>
            <w:tcW w:w="1701" w:type="dxa"/>
            <w:shd w:val="clear" w:color="auto" w:fill="D3DFEE"/>
          </w:tcPr>
          <w:p w:rsidR="0079189C" w:rsidRPr="001951C3" w:rsidRDefault="0079189C" w:rsidP="008D2C29">
            <w:pPr>
              <w:jc w:val="center"/>
              <w:rPr>
                <w:b/>
                <w:bCs/>
                <w:sz w:val="20"/>
                <w:szCs w:val="20"/>
              </w:rPr>
            </w:pPr>
            <w:r w:rsidRPr="001951C3">
              <w:rPr>
                <w:b/>
                <w:bCs/>
                <w:sz w:val="20"/>
                <w:szCs w:val="20"/>
              </w:rPr>
              <w:t>2007</w:t>
            </w:r>
          </w:p>
        </w:tc>
        <w:tc>
          <w:tcPr>
            <w:tcW w:w="1701" w:type="dxa"/>
            <w:shd w:val="clear" w:color="auto" w:fill="D3DFEE"/>
          </w:tcPr>
          <w:p w:rsidR="0079189C" w:rsidRPr="001951C3" w:rsidRDefault="0079189C" w:rsidP="008D2C29">
            <w:pPr>
              <w:jc w:val="center"/>
              <w:rPr>
                <w:sz w:val="20"/>
                <w:szCs w:val="20"/>
              </w:rPr>
            </w:pPr>
            <w:r w:rsidRPr="001951C3">
              <w:rPr>
                <w:sz w:val="20"/>
                <w:szCs w:val="20"/>
              </w:rPr>
              <w:t>85</w:t>
            </w:r>
          </w:p>
        </w:tc>
      </w:tr>
      <w:tr w:rsidR="0079189C" w:rsidRPr="001951C3" w:rsidTr="0079189C">
        <w:trPr>
          <w:jc w:val="center"/>
        </w:trPr>
        <w:tc>
          <w:tcPr>
            <w:tcW w:w="1701" w:type="dxa"/>
            <w:tcBorders>
              <w:right w:val="nil"/>
            </w:tcBorders>
            <w:shd w:val="clear" w:color="auto" w:fill="auto"/>
          </w:tcPr>
          <w:p w:rsidR="0079189C" w:rsidRPr="001951C3" w:rsidRDefault="0079189C" w:rsidP="008D2C29">
            <w:pPr>
              <w:jc w:val="center"/>
              <w:rPr>
                <w:b/>
                <w:bCs/>
                <w:sz w:val="20"/>
                <w:szCs w:val="20"/>
              </w:rPr>
            </w:pPr>
            <w:r w:rsidRPr="001951C3">
              <w:rPr>
                <w:b/>
                <w:bCs/>
                <w:sz w:val="20"/>
                <w:szCs w:val="20"/>
              </w:rPr>
              <w:t>2008</w:t>
            </w:r>
          </w:p>
        </w:tc>
        <w:tc>
          <w:tcPr>
            <w:tcW w:w="1701" w:type="dxa"/>
            <w:tcBorders>
              <w:left w:val="nil"/>
            </w:tcBorders>
          </w:tcPr>
          <w:p w:rsidR="0079189C" w:rsidRPr="001951C3" w:rsidRDefault="0079189C" w:rsidP="008D2C29">
            <w:pPr>
              <w:jc w:val="center"/>
              <w:rPr>
                <w:sz w:val="20"/>
                <w:szCs w:val="20"/>
              </w:rPr>
            </w:pPr>
            <w:r w:rsidRPr="001951C3">
              <w:rPr>
                <w:sz w:val="20"/>
                <w:szCs w:val="20"/>
              </w:rPr>
              <w:t>114</w:t>
            </w:r>
          </w:p>
        </w:tc>
      </w:tr>
      <w:tr w:rsidR="0079189C" w:rsidRPr="001951C3" w:rsidTr="0079189C">
        <w:trPr>
          <w:jc w:val="center"/>
        </w:trPr>
        <w:tc>
          <w:tcPr>
            <w:tcW w:w="1701" w:type="dxa"/>
            <w:shd w:val="clear" w:color="auto" w:fill="D3DFEE"/>
          </w:tcPr>
          <w:p w:rsidR="0079189C" w:rsidRPr="001951C3" w:rsidRDefault="0079189C" w:rsidP="008D2C29">
            <w:pPr>
              <w:jc w:val="center"/>
              <w:rPr>
                <w:b/>
                <w:bCs/>
                <w:sz w:val="20"/>
                <w:szCs w:val="20"/>
              </w:rPr>
            </w:pPr>
            <w:r w:rsidRPr="001951C3">
              <w:rPr>
                <w:b/>
                <w:bCs/>
                <w:sz w:val="20"/>
                <w:szCs w:val="20"/>
              </w:rPr>
              <w:t>2009</w:t>
            </w:r>
          </w:p>
        </w:tc>
        <w:tc>
          <w:tcPr>
            <w:tcW w:w="1701" w:type="dxa"/>
            <w:shd w:val="clear" w:color="auto" w:fill="D3DFEE"/>
          </w:tcPr>
          <w:p w:rsidR="0079189C" w:rsidRPr="001951C3" w:rsidRDefault="0079189C" w:rsidP="008D2C29">
            <w:pPr>
              <w:jc w:val="center"/>
              <w:rPr>
                <w:sz w:val="20"/>
                <w:szCs w:val="20"/>
              </w:rPr>
            </w:pPr>
            <w:r w:rsidRPr="001951C3">
              <w:rPr>
                <w:sz w:val="20"/>
                <w:szCs w:val="20"/>
              </w:rPr>
              <w:t>128</w:t>
            </w:r>
          </w:p>
        </w:tc>
      </w:tr>
      <w:tr w:rsidR="0079189C" w:rsidRPr="001951C3" w:rsidTr="0079189C">
        <w:trPr>
          <w:jc w:val="center"/>
        </w:trPr>
        <w:tc>
          <w:tcPr>
            <w:tcW w:w="1701" w:type="dxa"/>
            <w:tcBorders>
              <w:right w:val="nil"/>
            </w:tcBorders>
            <w:shd w:val="clear" w:color="auto" w:fill="auto"/>
          </w:tcPr>
          <w:p w:rsidR="0079189C" w:rsidRPr="001951C3" w:rsidRDefault="0079189C" w:rsidP="008D2C29">
            <w:pPr>
              <w:jc w:val="center"/>
              <w:rPr>
                <w:b/>
                <w:bCs/>
                <w:sz w:val="20"/>
                <w:szCs w:val="20"/>
              </w:rPr>
            </w:pPr>
            <w:r w:rsidRPr="001951C3">
              <w:rPr>
                <w:b/>
                <w:bCs/>
                <w:sz w:val="20"/>
                <w:szCs w:val="20"/>
              </w:rPr>
              <w:t>2010</w:t>
            </w:r>
          </w:p>
        </w:tc>
        <w:tc>
          <w:tcPr>
            <w:tcW w:w="1701" w:type="dxa"/>
            <w:tcBorders>
              <w:left w:val="nil"/>
            </w:tcBorders>
          </w:tcPr>
          <w:p w:rsidR="0079189C" w:rsidRPr="001951C3" w:rsidRDefault="0079189C" w:rsidP="008D2C29">
            <w:pPr>
              <w:jc w:val="center"/>
              <w:rPr>
                <w:sz w:val="20"/>
                <w:szCs w:val="20"/>
              </w:rPr>
            </w:pPr>
            <w:r w:rsidRPr="001951C3">
              <w:rPr>
                <w:sz w:val="20"/>
                <w:szCs w:val="20"/>
              </w:rPr>
              <w:t>128</w:t>
            </w:r>
          </w:p>
        </w:tc>
      </w:tr>
      <w:tr w:rsidR="0079189C" w:rsidRPr="001951C3" w:rsidTr="0079189C">
        <w:trPr>
          <w:jc w:val="center"/>
        </w:trPr>
        <w:tc>
          <w:tcPr>
            <w:tcW w:w="1701" w:type="dxa"/>
            <w:shd w:val="clear" w:color="auto" w:fill="D3DFEE"/>
          </w:tcPr>
          <w:p w:rsidR="0079189C" w:rsidRPr="001951C3" w:rsidRDefault="0079189C" w:rsidP="008D2C29">
            <w:pPr>
              <w:jc w:val="center"/>
              <w:rPr>
                <w:b/>
                <w:bCs/>
                <w:sz w:val="20"/>
                <w:szCs w:val="20"/>
              </w:rPr>
            </w:pPr>
            <w:r w:rsidRPr="001951C3">
              <w:rPr>
                <w:b/>
                <w:bCs/>
                <w:sz w:val="20"/>
                <w:szCs w:val="20"/>
              </w:rPr>
              <w:t>2011</w:t>
            </w:r>
          </w:p>
        </w:tc>
        <w:tc>
          <w:tcPr>
            <w:tcW w:w="1701" w:type="dxa"/>
            <w:shd w:val="clear" w:color="auto" w:fill="D3DFEE"/>
          </w:tcPr>
          <w:p w:rsidR="0079189C" w:rsidRPr="001951C3" w:rsidRDefault="0079189C" w:rsidP="008D2C29">
            <w:pPr>
              <w:jc w:val="center"/>
              <w:rPr>
                <w:sz w:val="20"/>
                <w:szCs w:val="20"/>
              </w:rPr>
            </w:pPr>
            <w:r w:rsidRPr="001951C3">
              <w:rPr>
                <w:sz w:val="20"/>
                <w:szCs w:val="20"/>
              </w:rPr>
              <w:t>128</w:t>
            </w:r>
          </w:p>
        </w:tc>
      </w:tr>
      <w:tr w:rsidR="0079189C" w:rsidRPr="001951C3" w:rsidTr="0079189C">
        <w:trPr>
          <w:jc w:val="center"/>
        </w:trPr>
        <w:tc>
          <w:tcPr>
            <w:tcW w:w="1701" w:type="dxa"/>
            <w:tcBorders>
              <w:right w:val="nil"/>
            </w:tcBorders>
            <w:shd w:val="clear" w:color="auto" w:fill="auto"/>
          </w:tcPr>
          <w:p w:rsidR="0079189C" w:rsidRPr="001951C3" w:rsidRDefault="0079189C" w:rsidP="008D2C29">
            <w:pPr>
              <w:jc w:val="center"/>
              <w:rPr>
                <w:b/>
                <w:bCs/>
                <w:sz w:val="20"/>
                <w:szCs w:val="20"/>
              </w:rPr>
            </w:pPr>
            <w:r w:rsidRPr="001951C3">
              <w:rPr>
                <w:b/>
                <w:bCs/>
                <w:sz w:val="20"/>
                <w:szCs w:val="20"/>
              </w:rPr>
              <w:t>2012</w:t>
            </w:r>
          </w:p>
        </w:tc>
        <w:tc>
          <w:tcPr>
            <w:tcW w:w="1701" w:type="dxa"/>
            <w:tcBorders>
              <w:left w:val="nil"/>
            </w:tcBorders>
          </w:tcPr>
          <w:p w:rsidR="0079189C" w:rsidRPr="001951C3" w:rsidRDefault="0079189C" w:rsidP="008D2C29">
            <w:pPr>
              <w:jc w:val="center"/>
              <w:rPr>
                <w:sz w:val="20"/>
                <w:szCs w:val="20"/>
              </w:rPr>
            </w:pPr>
            <w:r w:rsidRPr="001951C3">
              <w:rPr>
                <w:sz w:val="20"/>
                <w:szCs w:val="20"/>
              </w:rPr>
              <w:t>128</w:t>
            </w:r>
          </w:p>
        </w:tc>
      </w:tr>
      <w:tr w:rsidR="0079189C" w:rsidRPr="001951C3" w:rsidTr="0079189C">
        <w:trPr>
          <w:jc w:val="center"/>
        </w:trPr>
        <w:tc>
          <w:tcPr>
            <w:tcW w:w="1701" w:type="dxa"/>
            <w:shd w:val="clear" w:color="auto" w:fill="D3DFEE"/>
          </w:tcPr>
          <w:p w:rsidR="0079189C" w:rsidRPr="001951C3" w:rsidRDefault="0079189C" w:rsidP="008D2C29">
            <w:pPr>
              <w:jc w:val="center"/>
              <w:rPr>
                <w:b/>
                <w:bCs/>
                <w:sz w:val="20"/>
                <w:szCs w:val="20"/>
              </w:rPr>
            </w:pPr>
            <w:r w:rsidRPr="001951C3">
              <w:rPr>
                <w:b/>
                <w:bCs/>
                <w:sz w:val="20"/>
                <w:szCs w:val="20"/>
              </w:rPr>
              <w:t>2013</w:t>
            </w:r>
          </w:p>
        </w:tc>
        <w:tc>
          <w:tcPr>
            <w:tcW w:w="1701" w:type="dxa"/>
            <w:shd w:val="clear" w:color="auto" w:fill="D3DFEE"/>
          </w:tcPr>
          <w:p w:rsidR="0079189C" w:rsidRPr="001951C3" w:rsidRDefault="0079189C" w:rsidP="008D2C29">
            <w:pPr>
              <w:jc w:val="center"/>
              <w:rPr>
                <w:sz w:val="20"/>
                <w:szCs w:val="20"/>
              </w:rPr>
            </w:pPr>
            <w:r w:rsidRPr="001951C3">
              <w:rPr>
                <w:sz w:val="20"/>
                <w:szCs w:val="20"/>
              </w:rPr>
              <w:t>128</w:t>
            </w:r>
          </w:p>
        </w:tc>
      </w:tr>
      <w:tr w:rsidR="0079189C" w:rsidRPr="001951C3" w:rsidTr="0079189C">
        <w:trPr>
          <w:jc w:val="center"/>
        </w:trPr>
        <w:tc>
          <w:tcPr>
            <w:tcW w:w="1701" w:type="dxa"/>
            <w:tcBorders>
              <w:right w:val="nil"/>
            </w:tcBorders>
            <w:shd w:val="clear" w:color="auto" w:fill="auto"/>
          </w:tcPr>
          <w:p w:rsidR="0079189C" w:rsidRPr="001951C3" w:rsidRDefault="0079189C" w:rsidP="008D2C29">
            <w:pPr>
              <w:jc w:val="center"/>
              <w:rPr>
                <w:b/>
                <w:bCs/>
                <w:sz w:val="20"/>
                <w:szCs w:val="20"/>
              </w:rPr>
            </w:pPr>
            <w:r w:rsidRPr="001951C3">
              <w:rPr>
                <w:b/>
                <w:bCs/>
                <w:sz w:val="20"/>
                <w:szCs w:val="20"/>
              </w:rPr>
              <w:t>2014</w:t>
            </w:r>
          </w:p>
        </w:tc>
        <w:tc>
          <w:tcPr>
            <w:tcW w:w="1701" w:type="dxa"/>
            <w:tcBorders>
              <w:left w:val="nil"/>
            </w:tcBorders>
          </w:tcPr>
          <w:p w:rsidR="0079189C" w:rsidRPr="001951C3" w:rsidRDefault="0079189C" w:rsidP="008D2C29">
            <w:pPr>
              <w:jc w:val="center"/>
              <w:rPr>
                <w:sz w:val="20"/>
                <w:szCs w:val="20"/>
              </w:rPr>
            </w:pPr>
            <w:r w:rsidRPr="001951C3">
              <w:rPr>
                <w:sz w:val="20"/>
                <w:szCs w:val="20"/>
              </w:rPr>
              <w:t>128</w:t>
            </w:r>
          </w:p>
        </w:tc>
      </w:tr>
    </w:tbl>
    <w:p w:rsidR="00C84374" w:rsidRPr="00173A24" w:rsidRDefault="00134244" w:rsidP="00134244">
      <w:pPr>
        <w:ind w:left="2160" w:firstLine="720"/>
        <w:jc w:val="both"/>
      </w:pPr>
      <w:r w:rsidRPr="00134244">
        <w:rPr>
          <w:sz w:val="20"/>
        </w:rPr>
        <w:t>Avots: LM</w:t>
      </w:r>
      <w:r w:rsidR="001C5E21">
        <w:rPr>
          <w:sz w:val="20"/>
        </w:rPr>
        <w:t xml:space="preserve"> (apmēri noapaļoti</w:t>
      </w:r>
      <w:r w:rsidR="00CE1EEE">
        <w:rPr>
          <w:sz w:val="20"/>
        </w:rPr>
        <w:t>)</w:t>
      </w:r>
    </w:p>
    <w:p w:rsidR="00CE1EEE" w:rsidRDefault="00CE1EEE" w:rsidP="00D219F4">
      <w:pPr>
        <w:ind w:firstLine="720"/>
        <w:jc w:val="both"/>
      </w:pPr>
    </w:p>
    <w:p w:rsidR="0051186F" w:rsidRDefault="00D219F4" w:rsidP="00D219F4">
      <w:pPr>
        <w:ind w:firstLine="720"/>
        <w:jc w:val="both"/>
      </w:pPr>
      <w:r w:rsidRPr="00173A24">
        <w:t xml:space="preserve">Anotācijā, kas ir attiecīgā normatīvā akta </w:t>
      </w:r>
      <w:r w:rsidRPr="00173A24">
        <w:rPr>
          <w:bCs/>
          <w:color w:val="000000"/>
        </w:rPr>
        <w:t xml:space="preserve">sākotnējās ietekmes novērtējuma ziņojums, kur jāsniedz informācija, tai skaitā par attiecīgā tiesību akta projekta pamatojumu, pašreizējo situāciju un problēmām, tiesiskā </w:t>
      </w:r>
      <w:r>
        <w:rPr>
          <w:bCs/>
          <w:color w:val="000000"/>
        </w:rPr>
        <w:t>regulējuma mērķi un būtību u.c.</w:t>
      </w:r>
      <w:r w:rsidRPr="00173A24">
        <w:rPr>
          <w:bCs/>
          <w:color w:val="000000"/>
        </w:rPr>
        <w:t>, nav sniegts skaidrojums</w:t>
      </w:r>
      <w:r>
        <w:rPr>
          <w:rStyle w:val="FootnoteReference"/>
          <w:bCs/>
          <w:color w:val="000000"/>
        </w:rPr>
        <w:footnoteReference w:id="34"/>
      </w:r>
      <w:r w:rsidRPr="00173A24">
        <w:rPr>
          <w:bCs/>
          <w:color w:val="000000"/>
        </w:rPr>
        <w:t>,</w:t>
      </w:r>
      <w:r w:rsidR="004B1069" w:rsidRPr="004B1069">
        <w:rPr>
          <w:bCs/>
          <w:color w:val="000000"/>
        </w:rPr>
        <w:t xml:space="preserve"> </w:t>
      </w:r>
      <w:r w:rsidR="004B1069" w:rsidRPr="00173A24">
        <w:rPr>
          <w:bCs/>
          <w:color w:val="000000"/>
        </w:rPr>
        <w:t xml:space="preserve">kāpēc tiek mainīts </w:t>
      </w:r>
      <w:r w:rsidR="004B1069" w:rsidRPr="00173A24">
        <w:t>ienākumu līmenis, atbilstoši kuram p</w:t>
      </w:r>
      <w:r w:rsidR="004B1069">
        <w:t>ersona tiek atzīta par trūcīgu, kas netieši liecina</w:t>
      </w:r>
      <w:r w:rsidR="004B1069" w:rsidRPr="00173A24">
        <w:t>, ka lēmu</w:t>
      </w:r>
      <w:r w:rsidR="004B1069">
        <w:t xml:space="preserve">ms </w:t>
      </w:r>
      <w:r w:rsidR="004B1069" w:rsidRPr="008373F3">
        <w:t xml:space="preserve">ekonomiskās krīzes laikā </w:t>
      </w:r>
      <w:r w:rsidR="004B1069">
        <w:t>ir pieņemts bez pamatotas aprēķina metodoloģijas, balstoties uz iesaistīto pušu panākto vienošanos</w:t>
      </w:r>
      <w:r w:rsidR="004B1069" w:rsidRPr="00173A24">
        <w:t>.</w:t>
      </w:r>
      <w:r w:rsidR="004B1069">
        <w:t xml:space="preserve"> Sākotnēji šāds grozījums tika paredzēts terminēti līdz 2011.gada beigām, bet vēlāk šī krīzes laika norma tika saglabāta.   </w:t>
      </w:r>
    </w:p>
    <w:p w:rsidR="00D219F4" w:rsidRPr="00173A24" w:rsidRDefault="0051186F" w:rsidP="00D219F4">
      <w:pPr>
        <w:ind w:firstLine="720"/>
        <w:jc w:val="both"/>
      </w:pPr>
      <w:r>
        <w:t xml:space="preserve">Turklāt trūcīgas personas piešķiršanas kritēriji, pamatojoties uz materiālo resursu novērtējumu, var atšķirties pašvaldību starpā, tādējādi nostādot iedzīvotājus nevienlīdzīgā situācijā. </w:t>
      </w:r>
    </w:p>
    <w:p w:rsidR="00D219F4" w:rsidRPr="00173A24" w:rsidRDefault="00116E4F" w:rsidP="00E25A6A">
      <w:pPr>
        <w:ind w:firstLine="720"/>
        <w:jc w:val="both"/>
      </w:pPr>
      <w:r w:rsidRPr="00173A24">
        <w:t xml:space="preserve">Trūcīgas personas statuss dot tiesības pretendēt uz atsevišķiem valsts noteiktiem atvieglojumiem, piemēram, bezmaksas valsts nodrošināto juridisko palīdzību, atbrīvojumu no </w:t>
      </w:r>
      <w:r>
        <w:t>atsevišķām</w:t>
      </w:r>
      <w:r w:rsidRPr="00173A24">
        <w:t xml:space="preserve"> valsts nodevām</w:t>
      </w:r>
      <w:r w:rsidR="00E25A6A">
        <w:t xml:space="preserve"> un pacienta iemaksas</w:t>
      </w:r>
      <w:r w:rsidRPr="00173A24">
        <w:t xml:space="preserve">, </w:t>
      </w:r>
      <w:r w:rsidR="00E25A6A">
        <w:t>samazinātu</w:t>
      </w:r>
      <w:r>
        <w:t xml:space="preserve"> nekustamā īpašuma nodokļa likm</w:t>
      </w:r>
      <w:r w:rsidR="00E25A6A">
        <w:t xml:space="preserve">i </w:t>
      </w:r>
      <w:r w:rsidRPr="00173A24">
        <w:t>u.c</w:t>
      </w:r>
      <w:r w:rsidR="00740408">
        <w:t>.</w:t>
      </w:r>
      <w:r w:rsidR="00DB574F">
        <w:t xml:space="preserve"> </w:t>
      </w:r>
    </w:p>
    <w:p w:rsidR="006D6CAB" w:rsidRPr="00173A24" w:rsidRDefault="006D6CAB" w:rsidP="00C84374">
      <w:pPr>
        <w:ind w:firstLine="357"/>
        <w:jc w:val="both"/>
      </w:pPr>
    </w:p>
    <w:p w:rsidR="00C84374" w:rsidRPr="00173A24" w:rsidRDefault="00C84374" w:rsidP="008D2C29">
      <w:pPr>
        <w:pStyle w:val="Heading2"/>
        <w:keepLines/>
        <w:numPr>
          <w:ilvl w:val="2"/>
          <w:numId w:val="16"/>
        </w:numPr>
        <w:spacing w:before="0" w:after="0"/>
        <w:rPr>
          <w:szCs w:val="24"/>
        </w:rPr>
      </w:pPr>
      <w:bookmarkStart w:id="27" w:name="_Toc357431424"/>
      <w:bookmarkStart w:id="28" w:name="_Toc401572478"/>
      <w:r w:rsidRPr="00173A24">
        <w:rPr>
          <w:szCs w:val="24"/>
        </w:rPr>
        <w:t>Maznodrošinātās personas statusam atbilstošs ienākumu līmenis</w:t>
      </w:r>
      <w:bookmarkEnd w:id="27"/>
      <w:bookmarkEnd w:id="28"/>
    </w:p>
    <w:p w:rsidR="00C84374" w:rsidRPr="00173A24" w:rsidRDefault="00C84374" w:rsidP="00C84374">
      <w:pPr>
        <w:ind w:firstLine="720"/>
        <w:jc w:val="both"/>
      </w:pPr>
    </w:p>
    <w:p w:rsidR="0049427A" w:rsidRPr="00173A24" w:rsidRDefault="0049427A" w:rsidP="0081075C">
      <w:pPr>
        <w:ind w:firstLine="720"/>
        <w:jc w:val="both"/>
      </w:pPr>
      <w:r w:rsidRPr="00173A24">
        <w:t xml:space="preserve">Atšķirībā no trūcīgas </w:t>
      </w:r>
      <w:r>
        <w:t>ģimenes (</w:t>
      </w:r>
      <w:r w:rsidRPr="00173A24">
        <w:t>personas</w:t>
      </w:r>
      <w:r>
        <w:t>)</w:t>
      </w:r>
      <w:r w:rsidRPr="00173A24">
        <w:t xml:space="preserve"> ienākuma līmeņa, maznodrošinātā </w:t>
      </w:r>
      <w:r>
        <w:t xml:space="preserve">ienākumu </w:t>
      </w:r>
      <w:r w:rsidR="004B1069" w:rsidRPr="00173A24">
        <w:t>līmeni</w:t>
      </w:r>
      <w:r w:rsidR="004B1069">
        <w:t>,</w:t>
      </w:r>
      <w:r w:rsidR="004B1069" w:rsidRPr="00173A24">
        <w:t xml:space="preserve"> </w:t>
      </w:r>
      <w:r w:rsidR="004B1069" w:rsidRPr="004B1069">
        <w:t>kā arī atšķirīgus īpašuma novērtēšanas kritērijus</w:t>
      </w:r>
      <w:r w:rsidR="004B1069" w:rsidRPr="00173A24">
        <w:t xml:space="preserve"> </w:t>
      </w:r>
      <w:r w:rsidRPr="00173A24">
        <w:t>katra</w:t>
      </w:r>
      <w:r w:rsidR="004B2922">
        <w:t>i</w:t>
      </w:r>
      <w:r w:rsidRPr="00173A24">
        <w:t xml:space="preserve"> pašvaldība</w:t>
      </w:r>
      <w:r w:rsidR="004B2922">
        <w:t>i</w:t>
      </w:r>
      <w:r w:rsidRPr="00173A24">
        <w:t xml:space="preserve"> </w:t>
      </w:r>
      <w:r w:rsidR="004B2922">
        <w:t>ir tiesības noteikt individuāli</w:t>
      </w:r>
      <w:r>
        <w:t xml:space="preserve"> </w:t>
      </w:r>
      <w:r w:rsidRPr="00173A24">
        <w:t xml:space="preserve">savos saistošajos noteikumos. </w:t>
      </w:r>
      <w:r w:rsidR="00890AC0">
        <w:t xml:space="preserve">Normatīvajos </w:t>
      </w:r>
      <w:r w:rsidRPr="00173A24">
        <w:t>aktos vienīgi noteikts</w:t>
      </w:r>
      <w:r w:rsidR="00890AC0">
        <w:rPr>
          <w:rStyle w:val="FootnoteReference"/>
        </w:rPr>
        <w:footnoteReference w:id="35"/>
      </w:r>
      <w:r w:rsidRPr="00173A24">
        <w:t>, ka maznodrošinātas personas ienākumu līmenis nevar būt zemāks par trūcīgā</w:t>
      </w:r>
      <w:r w:rsidR="005847AC">
        <w:t>s ģimenes (personas)</w:t>
      </w:r>
      <w:r w:rsidRPr="00173A24">
        <w:t xml:space="preserve"> </w:t>
      </w:r>
      <w:r w:rsidR="005847AC">
        <w:t xml:space="preserve">ienākumu </w:t>
      </w:r>
      <w:r w:rsidRPr="00173A24">
        <w:t xml:space="preserve">līmeni, bet var arī būt vienāds ar to, attiecīgi </w:t>
      </w:r>
      <w:r>
        <w:t>2014</w:t>
      </w:r>
      <w:r w:rsidRPr="00173A24">
        <w:t xml:space="preserve">.gadā tie ir </w:t>
      </w:r>
      <w:r w:rsidR="0073725D">
        <w:t>128</w:t>
      </w:r>
      <w:r w:rsidR="00F14ECA">
        <w:t>,06</w:t>
      </w:r>
      <w:r w:rsidR="0081075C">
        <w:t xml:space="preserve"> </w:t>
      </w:r>
      <w:proofErr w:type="spellStart"/>
      <w:r w:rsidR="00D770F2" w:rsidRPr="00D770F2">
        <w:rPr>
          <w:i/>
          <w:iCs/>
        </w:rPr>
        <w:t>euro</w:t>
      </w:r>
      <w:proofErr w:type="spellEnd"/>
      <w:r w:rsidRPr="00173A24">
        <w:t xml:space="preserve">. Tas nozīmē, ka pašvaldībai ir tiesības noteikt augstāku </w:t>
      </w:r>
      <w:r w:rsidR="0073725D" w:rsidRPr="00173A24">
        <w:t xml:space="preserve">maznodrošinātas personas </w:t>
      </w:r>
      <w:r w:rsidRPr="00173A24">
        <w:t>ienākumu līmeni</w:t>
      </w:r>
      <w:r w:rsidR="0073725D">
        <w:t xml:space="preserve"> un līdz ar to dot tiesības </w:t>
      </w:r>
      <w:r w:rsidR="0081075C">
        <w:t xml:space="preserve">lielākam skaitam iedzīvotāju </w:t>
      </w:r>
      <w:r w:rsidR="0073725D">
        <w:t>saņemt palīdzību, piemēram, dzīvokļa pabalstu, pabalstu</w:t>
      </w:r>
      <w:r w:rsidRPr="00173A24">
        <w:t xml:space="preserve"> </w:t>
      </w:r>
      <w:proofErr w:type="gramStart"/>
      <w:r w:rsidRPr="00173A24">
        <w:t>veselības</w:t>
      </w:r>
      <w:proofErr w:type="gramEnd"/>
      <w:r w:rsidRPr="00173A24">
        <w:t xml:space="preserve"> aprūpei un obligātās izglītības mērķiem. </w:t>
      </w:r>
      <w:r>
        <w:t xml:space="preserve">Tātad </w:t>
      </w:r>
      <w:r w:rsidRPr="00173A24">
        <w:t xml:space="preserve">nacionālā līmenī ir noteikts tikai minimālais sociālās palīdzības līmenis, bet pašvaldībām ir dotas tiesības veidot iedzīvotājiem labvēlīgāku sociālās palīdzības politiku. </w:t>
      </w:r>
    </w:p>
    <w:p w:rsidR="00C76FB2" w:rsidRDefault="0049427A" w:rsidP="00CE1EEE">
      <w:pPr>
        <w:jc w:val="both"/>
      </w:pPr>
      <w:r w:rsidRPr="00173A24">
        <w:tab/>
        <w:t xml:space="preserve">Informācija par maznodrošinātās personas ienākumu līmeņiem pašvaldībās ir pieejama tikai no 2010.gada, jo līdz tam </w:t>
      </w:r>
      <w:r>
        <w:t xml:space="preserve">Valsts </w:t>
      </w:r>
      <w:r w:rsidRPr="00173A24">
        <w:t xml:space="preserve">statistikas </w:t>
      </w:r>
      <w:r>
        <w:t>pārskatos</w:t>
      </w:r>
      <w:r w:rsidRPr="00173A24">
        <w:t xml:space="preserve"> maznodrošinātās personas </w:t>
      </w:r>
      <w:r w:rsidRPr="00173A24">
        <w:lastRenderedPageBreak/>
        <w:t>ienākumu lī</w:t>
      </w:r>
      <w:r>
        <w:t>menis netika uzrādīts</w:t>
      </w:r>
      <w:r w:rsidRPr="00173A24">
        <w:t xml:space="preserve">. </w:t>
      </w:r>
      <w:r>
        <w:t xml:space="preserve">Zemāk 3.tabulā ir atspoguļota </w:t>
      </w:r>
      <w:r w:rsidR="00A30467">
        <w:t>informācija par pašvaldību skaitu</w:t>
      </w:r>
      <w:r w:rsidR="005E66D8">
        <w:t>,</w:t>
      </w:r>
      <w:r>
        <w:t xml:space="preserve"> kuras ir noteikušas maznodrošināto personu ienākumu līmeņus, kas ir augstāki par trūcīgas personas ienākumu līmeni, kā arī maznodrošināto personu ienākumu </w:t>
      </w:r>
      <w:r w:rsidR="0051581D">
        <w:t>līmeņu</w:t>
      </w:r>
      <w:r>
        <w:t xml:space="preserve"> amplitūdu attiecīgajā gadā.</w:t>
      </w:r>
    </w:p>
    <w:p w:rsidR="00401744" w:rsidRPr="00A303FA" w:rsidRDefault="009F52D6" w:rsidP="00054C14">
      <w:pPr>
        <w:ind w:firstLine="720"/>
        <w:jc w:val="right"/>
        <w:rPr>
          <w:szCs w:val="26"/>
        </w:rPr>
      </w:pPr>
      <w:r w:rsidRPr="00A303FA">
        <w:rPr>
          <w:szCs w:val="26"/>
        </w:rPr>
        <w:t>3.t</w:t>
      </w:r>
      <w:r w:rsidR="00401744" w:rsidRPr="00A303FA">
        <w:rPr>
          <w:szCs w:val="26"/>
        </w:rPr>
        <w:t xml:space="preserve">abula. </w:t>
      </w:r>
    </w:p>
    <w:tbl>
      <w:tblPr>
        <w:tblW w:w="0" w:type="auto"/>
        <w:jc w:val="center"/>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34"/>
        <w:gridCol w:w="2889"/>
      </w:tblGrid>
      <w:tr w:rsidR="0079189C" w:rsidRPr="00AC7260" w:rsidTr="000C3A44">
        <w:trPr>
          <w:jc w:val="center"/>
        </w:trPr>
        <w:tc>
          <w:tcPr>
            <w:tcW w:w="992" w:type="dxa"/>
            <w:shd w:val="clear" w:color="auto" w:fill="auto"/>
          </w:tcPr>
          <w:p w:rsidR="0079189C" w:rsidRPr="00AC7260" w:rsidRDefault="0079189C" w:rsidP="00240288">
            <w:pPr>
              <w:jc w:val="both"/>
            </w:pPr>
          </w:p>
        </w:tc>
        <w:tc>
          <w:tcPr>
            <w:tcW w:w="4934" w:type="dxa"/>
            <w:shd w:val="clear" w:color="auto" w:fill="auto"/>
          </w:tcPr>
          <w:p w:rsidR="00936582" w:rsidRDefault="0079189C" w:rsidP="00240288">
            <w:pPr>
              <w:jc w:val="center"/>
              <w:rPr>
                <w:b/>
                <w:sz w:val="20"/>
                <w:szCs w:val="20"/>
              </w:rPr>
            </w:pPr>
            <w:r w:rsidRPr="00240288">
              <w:rPr>
                <w:b/>
                <w:sz w:val="20"/>
                <w:szCs w:val="20"/>
              </w:rPr>
              <w:t xml:space="preserve">Pašvaldību skaits, kuras noteikušas </w:t>
            </w:r>
            <w:r w:rsidR="00936582">
              <w:rPr>
                <w:b/>
                <w:sz w:val="20"/>
                <w:szCs w:val="20"/>
              </w:rPr>
              <w:t xml:space="preserve">augstāku </w:t>
            </w:r>
            <w:r w:rsidRPr="00240288">
              <w:rPr>
                <w:b/>
                <w:sz w:val="20"/>
                <w:szCs w:val="20"/>
              </w:rPr>
              <w:t xml:space="preserve">maznodrošinātas personas ienākumu līmeni </w:t>
            </w:r>
          </w:p>
          <w:p w:rsidR="0079189C" w:rsidRPr="00240288" w:rsidRDefault="0079189C" w:rsidP="00240288">
            <w:pPr>
              <w:jc w:val="center"/>
              <w:rPr>
                <w:b/>
                <w:sz w:val="20"/>
                <w:szCs w:val="20"/>
              </w:rPr>
            </w:pPr>
            <w:r w:rsidRPr="00240288">
              <w:rPr>
                <w:b/>
                <w:sz w:val="20"/>
                <w:szCs w:val="20"/>
              </w:rPr>
              <w:t>(% no visām pašvaldībām kopā)</w:t>
            </w:r>
          </w:p>
        </w:tc>
        <w:tc>
          <w:tcPr>
            <w:tcW w:w="2889" w:type="dxa"/>
            <w:shd w:val="clear" w:color="auto" w:fill="auto"/>
          </w:tcPr>
          <w:p w:rsidR="0079189C" w:rsidRPr="00240288" w:rsidRDefault="0079189C" w:rsidP="00240288">
            <w:pPr>
              <w:jc w:val="center"/>
              <w:rPr>
                <w:b/>
                <w:sz w:val="20"/>
                <w:szCs w:val="20"/>
              </w:rPr>
            </w:pPr>
            <w:r w:rsidRPr="00240288">
              <w:rPr>
                <w:b/>
                <w:sz w:val="20"/>
                <w:szCs w:val="20"/>
              </w:rPr>
              <w:t xml:space="preserve">Maznodrošinātā statusa ienākumu līmeņa amplitūda, </w:t>
            </w:r>
            <w:proofErr w:type="spellStart"/>
            <w:r w:rsidR="00C92602" w:rsidRPr="00C92602">
              <w:rPr>
                <w:b/>
                <w:bCs/>
                <w:i/>
                <w:iCs/>
              </w:rPr>
              <w:t>euro</w:t>
            </w:r>
            <w:proofErr w:type="spellEnd"/>
          </w:p>
        </w:tc>
      </w:tr>
      <w:tr w:rsidR="0079189C" w:rsidRPr="00AC7260" w:rsidTr="000C3A44">
        <w:trPr>
          <w:jc w:val="center"/>
        </w:trPr>
        <w:tc>
          <w:tcPr>
            <w:tcW w:w="992" w:type="dxa"/>
            <w:shd w:val="clear" w:color="auto" w:fill="auto"/>
          </w:tcPr>
          <w:p w:rsidR="0079189C" w:rsidRPr="00C76FB2" w:rsidRDefault="0079189C" w:rsidP="00240288">
            <w:pPr>
              <w:jc w:val="center"/>
              <w:rPr>
                <w:b/>
                <w:sz w:val="22"/>
                <w:szCs w:val="22"/>
              </w:rPr>
            </w:pPr>
            <w:r w:rsidRPr="00C76FB2">
              <w:rPr>
                <w:b/>
                <w:sz w:val="22"/>
                <w:szCs w:val="22"/>
              </w:rPr>
              <w:t>2010</w:t>
            </w:r>
          </w:p>
        </w:tc>
        <w:tc>
          <w:tcPr>
            <w:tcW w:w="4934" w:type="dxa"/>
            <w:shd w:val="clear" w:color="auto" w:fill="auto"/>
          </w:tcPr>
          <w:p w:rsidR="0079189C" w:rsidRPr="00C76FB2" w:rsidRDefault="0079189C" w:rsidP="005E66D8">
            <w:pPr>
              <w:jc w:val="center"/>
              <w:rPr>
                <w:sz w:val="22"/>
                <w:szCs w:val="22"/>
              </w:rPr>
            </w:pPr>
            <w:r w:rsidRPr="00C76FB2">
              <w:rPr>
                <w:sz w:val="22"/>
                <w:szCs w:val="22"/>
              </w:rPr>
              <w:t>50 (42 %)</w:t>
            </w:r>
          </w:p>
        </w:tc>
        <w:tc>
          <w:tcPr>
            <w:tcW w:w="2889" w:type="dxa"/>
            <w:shd w:val="clear" w:color="auto" w:fill="auto"/>
          </w:tcPr>
          <w:p w:rsidR="0079189C" w:rsidRPr="00C76FB2" w:rsidRDefault="0079189C" w:rsidP="00240288">
            <w:pPr>
              <w:jc w:val="center"/>
              <w:rPr>
                <w:sz w:val="22"/>
                <w:szCs w:val="22"/>
              </w:rPr>
            </w:pPr>
            <w:r w:rsidRPr="00C76FB2">
              <w:rPr>
                <w:sz w:val="22"/>
                <w:szCs w:val="22"/>
              </w:rPr>
              <w:t>141 – 369</w:t>
            </w:r>
          </w:p>
        </w:tc>
      </w:tr>
      <w:tr w:rsidR="0079189C" w:rsidRPr="00AC7260" w:rsidTr="000C3A44">
        <w:trPr>
          <w:jc w:val="center"/>
        </w:trPr>
        <w:tc>
          <w:tcPr>
            <w:tcW w:w="992" w:type="dxa"/>
            <w:shd w:val="clear" w:color="auto" w:fill="auto"/>
          </w:tcPr>
          <w:p w:rsidR="0079189C" w:rsidRPr="00C76FB2" w:rsidRDefault="0079189C" w:rsidP="00240288">
            <w:pPr>
              <w:jc w:val="center"/>
              <w:rPr>
                <w:b/>
                <w:sz w:val="22"/>
                <w:szCs w:val="22"/>
              </w:rPr>
            </w:pPr>
            <w:r w:rsidRPr="00C76FB2">
              <w:rPr>
                <w:b/>
                <w:sz w:val="22"/>
                <w:szCs w:val="22"/>
              </w:rPr>
              <w:t>2011</w:t>
            </w:r>
          </w:p>
        </w:tc>
        <w:tc>
          <w:tcPr>
            <w:tcW w:w="4934" w:type="dxa"/>
            <w:shd w:val="clear" w:color="auto" w:fill="auto"/>
          </w:tcPr>
          <w:p w:rsidR="0079189C" w:rsidRPr="00C76FB2" w:rsidRDefault="0079189C" w:rsidP="005E66D8">
            <w:pPr>
              <w:jc w:val="center"/>
              <w:rPr>
                <w:sz w:val="22"/>
                <w:szCs w:val="22"/>
              </w:rPr>
            </w:pPr>
            <w:r w:rsidRPr="00C76FB2">
              <w:rPr>
                <w:sz w:val="22"/>
                <w:szCs w:val="22"/>
              </w:rPr>
              <w:t>46 (38 %)</w:t>
            </w:r>
          </w:p>
        </w:tc>
        <w:tc>
          <w:tcPr>
            <w:tcW w:w="2889" w:type="dxa"/>
            <w:shd w:val="clear" w:color="auto" w:fill="auto"/>
          </w:tcPr>
          <w:p w:rsidR="0079189C" w:rsidRPr="00C76FB2" w:rsidRDefault="0079189C" w:rsidP="00240288">
            <w:pPr>
              <w:jc w:val="center"/>
              <w:rPr>
                <w:sz w:val="22"/>
                <w:szCs w:val="22"/>
              </w:rPr>
            </w:pPr>
            <w:r w:rsidRPr="00C76FB2">
              <w:rPr>
                <w:sz w:val="22"/>
                <w:szCs w:val="22"/>
              </w:rPr>
              <w:t>142 – 356</w:t>
            </w:r>
          </w:p>
        </w:tc>
      </w:tr>
      <w:tr w:rsidR="0079189C" w:rsidRPr="00AC7260" w:rsidTr="000C3A44">
        <w:trPr>
          <w:trHeight w:val="60"/>
          <w:jc w:val="center"/>
        </w:trPr>
        <w:tc>
          <w:tcPr>
            <w:tcW w:w="992" w:type="dxa"/>
            <w:shd w:val="clear" w:color="auto" w:fill="auto"/>
          </w:tcPr>
          <w:p w:rsidR="0079189C" w:rsidRPr="00C76FB2" w:rsidRDefault="0079189C" w:rsidP="00240288">
            <w:pPr>
              <w:jc w:val="center"/>
              <w:rPr>
                <w:b/>
                <w:sz w:val="22"/>
                <w:szCs w:val="22"/>
              </w:rPr>
            </w:pPr>
            <w:r w:rsidRPr="00C76FB2">
              <w:rPr>
                <w:b/>
                <w:sz w:val="22"/>
                <w:szCs w:val="22"/>
              </w:rPr>
              <w:t>2012</w:t>
            </w:r>
          </w:p>
        </w:tc>
        <w:tc>
          <w:tcPr>
            <w:tcW w:w="4934" w:type="dxa"/>
            <w:shd w:val="clear" w:color="auto" w:fill="auto"/>
          </w:tcPr>
          <w:p w:rsidR="0079189C" w:rsidRPr="00C76FB2" w:rsidRDefault="0079189C" w:rsidP="00240288">
            <w:pPr>
              <w:jc w:val="center"/>
              <w:rPr>
                <w:sz w:val="22"/>
                <w:szCs w:val="22"/>
              </w:rPr>
            </w:pPr>
            <w:r w:rsidRPr="00C76FB2">
              <w:rPr>
                <w:sz w:val="22"/>
                <w:szCs w:val="22"/>
              </w:rPr>
              <w:t>39 (33 %)</w:t>
            </w:r>
          </w:p>
        </w:tc>
        <w:tc>
          <w:tcPr>
            <w:tcW w:w="2889" w:type="dxa"/>
            <w:shd w:val="clear" w:color="auto" w:fill="auto"/>
          </w:tcPr>
          <w:p w:rsidR="0079189C" w:rsidRPr="00C76FB2" w:rsidRDefault="0079189C" w:rsidP="00240288">
            <w:pPr>
              <w:jc w:val="center"/>
              <w:rPr>
                <w:sz w:val="22"/>
                <w:szCs w:val="22"/>
              </w:rPr>
            </w:pPr>
            <w:r w:rsidRPr="00C76FB2">
              <w:rPr>
                <w:sz w:val="22"/>
                <w:szCs w:val="22"/>
              </w:rPr>
              <w:t>142 – 356</w:t>
            </w:r>
          </w:p>
        </w:tc>
      </w:tr>
      <w:tr w:rsidR="00767485" w:rsidRPr="00AC7260" w:rsidTr="000C3A44">
        <w:trPr>
          <w:trHeight w:val="60"/>
          <w:jc w:val="center"/>
        </w:trPr>
        <w:tc>
          <w:tcPr>
            <w:tcW w:w="992" w:type="dxa"/>
            <w:shd w:val="clear" w:color="auto" w:fill="auto"/>
          </w:tcPr>
          <w:p w:rsidR="00767485" w:rsidRPr="00C76FB2" w:rsidRDefault="00767485" w:rsidP="00240288">
            <w:pPr>
              <w:jc w:val="center"/>
              <w:rPr>
                <w:b/>
                <w:sz w:val="22"/>
                <w:szCs w:val="22"/>
              </w:rPr>
            </w:pPr>
            <w:r w:rsidRPr="00C76FB2">
              <w:rPr>
                <w:b/>
                <w:sz w:val="22"/>
                <w:szCs w:val="22"/>
              </w:rPr>
              <w:t>2013</w:t>
            </w:r>
          </w:p>
        </w:tc>
        <w:tc>
          <w:tcPr>
            <w:tcW w:w="4934" w:type="dxa"/>
            <w:shd w:val="clear" w:color="auto" w:fill="auto"/>
          </w:tcPr>
          <w:p w:rsidR="00767485" w:rsidRPr="00C76FB2" w:rsidRDefault="00767485" w:rsidP="00700CF0">
            <w:pPr>
              <w:jc w:val="center"/>
              <w:rPr>
                <w:sz w:val="22"/>
                <w:szCs w:val="22"/>
              </w:rPr>
            </w:pPr>
            <w:r w:rsidRPr="00C76FB2">
              <w:rPr>
                <w:sz w:val="22"/>
                <w:szCs w:val="22"/>
              </w:rPr>
              <w:t>73 (61%)</w:t>
            </w:r>
          </w:p>
        </w:tc>
        <w:tc>
          <w:tcPr>
            <w:tcW w:w="2889" w:type="dxa"/>
            <w:shd w:val="clear" w:color="auto" w:fill="auto"/>
          </w:tcPr>
          <w:p w:rsidR="00767485" w:rsidRPr="00C76FB2" w:rsidRDefault="00767485" w:rsidP="00700CF0">
            <w:pPr>
              <w:jc w:val="center"/>
              <w:rPr>
                <w:sz w:val="22"/>
                <w:szCs w:val="22"/>
              </w:rPr>
            </w:pPr>
            <w:r w:rsidRPr="00C76FB2">
              <w:rPr>
                <w:sz w:val="22"/>
                <w:szCs w:val="22"/>
              </w:rPr>
              <w:t xml:space="preserve">142 </w:t>
            </w:r>
            <w:r w:rsidR="00054C14" w:rsidRPr="00C76FB2">
              <w:rPr>
                <w:sz w:val="22"/>
                <w:szCs w:val="22"/>
              </w:rPr>
              <w:t>–</w:t>
            </w:r>
            <w:r w:rsidRPr="00C76FB2">
              <w:rPr>
                <w:sz w:val="22"/>
                <w:szCs w:val="22"/>
              </w:rPr>
              <w:t xml:space="preserve"> 356</w:t>
            </w:r>
            <w:r w:rsidR="00054C14" w:rsidRPr="00C76FB2">
              <w:rPr>
                <w:sz w:val="22"/>
                <w:szCs w:val="22"/>
              </w:rPr>
              <w:t xml:space="preserve"> </w:t>
            </w:r>
          </w:p>
        </w:tc>
      </w:tr>
    </w:tbl>
    <w:p w:rsidR="00C84374" w:rsidRPr="00054C14" w:rsidRDefault="000C3A44" w:rsidP="000C3A44">
      <w:pPr>
        <w:jc w:val="both"/>
        <w:rPr>
          <w:sz w:val="20"/>
        </w:rPr>
      </w:pPr>
      <w:r>
        <w:rPr>
          <w:sz w:val="20"/>
        </w:rPr>
        <w:t>A</w:t>
      </w:r>
      <w:r w:rsidR="00695329" w:rsidRPr="00054C14">
        <w:rPr>
          <w:sz w:val="20"/>
        </w:rPr>
        <w:t>vots: LM</w:t>
      </w:r>
      <w:r w:rsidR="00DE7862" w:rsidRPr="00054C14">
        <w:rPr>
          <w:sz w:val="20"/>
        </w:rPr>
        <w:t xml:space="preserve"> apkopojums pēc pašvaldību sniegtajiem </w:t>
      </w:r>
      <w:r w:rsidR="00054C14" w:rsidRPr="00054C14">
        <w:rPr>
          <w:sz w:val="20"/>
        </w:rPr>
        <w:t>datiem</w:t>
      </w:r>
    </w:p>
    <w:p w:rsidR="00401744" w:rsidRDefault="00401744" w:rsidP="00401744">
      <w:pPr>
        <w:ind w:firstLine="360"/>
        <w:jc w:val="both"/>
      </w:pPr>
    </w:p>
    <w:p w:rsidR="00B62D84" w:rsidRPr="00B62D84" w:rsidRDefault="00916AF1" w:rsidP="000C3A44">
      <w:pPr>
        <w:ind w:firstLine="720"/>
        <w:jc w:val="both"/>
      </w:pPr>
      <w:r>
        <w:t xml:space="preserve">Kā redzams, ne visas pašvaldības ir izmantojušas tiesības noteikt augstāku </w:t>
      </w:r>
      <w:r w:rsidRPr="00173A24">
        <w:t>maznodroš</w:t>
      </w:r>
      <w:r>
        <w:t>inātas personas ienākumu līmeni. Turklāt 2010.-2012. gadu periodā pašvaldību skaitam, kuras šo tiesību izmantojušas, ir tendence samazināties, ko varētu skaidrot arī ar krīzes ietekmes mazināšanos un kopējās situācijas uzlabošanos,</w:t>
      </w:r>
      <w:r w:rsidRPr="008A6858">
        <w:t xml:space="preserve"> </w:t>
      </w:r>
      <w:r>
        <w:t xml:space="preserve">kā arī ar valsts līdzfinansējuma pašvaldībām dzīvokļa pabalstam pārtraukšanu pēc 2012.gada 1.maija. </w:t>
      </w:r>
      <w:r w:rsidR="00297482">
        <w:t xml:space="preserve"> </w:t>
      </w:r>
      <w:r w:rsidR="00DC4E65" w:rsidRPr="0084348B">
        <w:t xml:space="preserve">Savukārt 2013.gadā </w:t>
      </w:r>
      <w:r w:rsidR="0084348B" w:rsidRPr="0084348B">
        <w:t xml:space="preserve">ievērojami lielāks skaits pašvaldību (61%) noteica augstāku maznodrošinātās personas ienākumu līmeni, kas, iespējams, bija saistīts </w:t>
      </w:r>
      <w:r w:rsidR="00DC4E65" w:rsidRPr="0084348B">
        <w:t xml:space="preserve">ar gaidāmo valsts atbalstu zemu ienākumu mājsaimniecībām (trūcīgām un maznodrošinātām) elektroenerģijas tirgus liberalizācijas situācijā, </w:t>
      </w:r>
      <w:r w:rsidR="00824DE9" w:rsidRPr="0084348B">
        <w:t>prognozējot elektroenerģijas cenu celšano</w:t>
      </w:r>
      <w:r w:rsidR="00DC4E65" w:rsidRPr="0084348B">
        <w:t xml:space="preserve">s. </w:t>
      </w:r>
      <w:r w:rsidR="003B78BC">
        <w:t>T</w:t>
      </w:r>
      <w:r w:rsidR="002636C2" w:rsidRPr="0084348B">
        <w:t>as</w:t>
      </w:r>
      <w:r w:rsidR="00DC4E65" w:rsidRPr="0084348B">
        <w:t>, ka ne visas pašvaldības ir izmantojušas tiesības noteikt augstāku maznodrošinātās personas</w:t>
      </w:r>
      <w:r w:rsidR="00DC4E65">
        <w:t xml:space="preserve"> ienākumu līmeni, kā arī to diferencētie apmēri norāda uz </w:t>
      </w:r>
      <w:r w:rsidR="002636C2">
        <w:t>to, ka situācija pašvaldību vidū ir atšķirīga un cilvēku ar līdzīgiem ienākumiem situācija dažādās pašvaldībās arī ir atšķirīga. Proti, iedzīvotājs ar vienādiem ienākumiem</w:t>
      </w:r>
      <w:r w:rsidR="002636C2" w:rsidRPr="00832632">
        <w:t xml:space="preserve"> </w:t>
      </w:r>
      <w:r w:rsidR="002636C2">
        <w:t xml:space="preserve">x un y pašvaldībās ar dažādiem pašvaldību saistošajiem noteikumiem, x pašvaldībā </w:t>
      </w:r>
      <w:r w:rsidR="003B78BC">
        <w:t xml:space="preserve">noteiktu </w:t>
      </w:r>
      <w:r w:rsidR="002636C2">
        <w:t>atbalstu un palīdzību būs tiesīgs saņemt, bet y pašvaldībā – nebūs, tādējādi nostādot iedzīvotājus nevienlīdzīgā situācijā.</w:t>
      </w:r>
      <w:r w:rsidR="00B62D84">
        <w:t xml:space="preserve"> Minēto apliecina arī </w:t>
      </w:r>
      <w:r w:rsidR="00B62D84">
        <w:rPr>
          <w:lang w:val="cs-CZ"/>
        </w:rPr>
        <w:t>2014.gadā veiktais</w:t>
      </w:r>
      <w:r w:rsidR="00B62D84" w:rsidRPr="00B731CE">
        <w:rPr>
          <w:lang w:val="cs-CZ"/>
        </w:rPr>
        <w:t xml:space="preserve"> novērtējum</w:t>
      </w:r>
      <w:r w:rsidR="00B62D84">
        <w:rPr>
          <w:lang w:val="cs-CZ"/>
        </w:rPr>
        <w:t>s</w:t>
      </w:r>
      <w:r w:rsidR="00B62D84" w:rsidRPr="00B731CE">
        <w:rPr>
          <w:lang w:val="cs-CZ"/>
        </w:rPr>
        <w:t xml:space="preserve"> par iecerētajām strukturālajām reformām sociālās palīdzības politikas jomā</w:t>
      </w:r>
      <w:r w:rsidR="00B62D84" w:rsidRPr="00B731CE">
        <w:rPr>
          <w:rStyle w:val="FootnoteReference"/>
          <w:lang w:val="cs-CZ"/>
        </w:rPr>
        <w:footnoteReference w:id="36"/>
      </w:r>
      <w:r w:rsidR="00B62D84">
        <w:rPr>
          <w:lang w:val="cs-CZ"/>
        </w:rPr>
        <w:t xml:space="preserve">, kur secināts, ka </w:t>
      </w:r>
      <w:r w:rsidR="00B62D84" w:rsidRPr="00B62D84">
        <w:rPr>
          <w:lang w:val="cs-CZ"/>
        </w:rPr>
        <w:t>„</w:t>
      </w:r>
      <w:r w:rsidR="00B62D84" w:rsidRPr="00B62D84">
        <w:t xml:space="preserve">Nav definēts vienots un centralizēts mehānisms [...] par maznodrošinātas personas statusa piešķiršanu, kas ļauj dažādās pašvaldībās izmantot unificētus un specifiskus kritērijus [...]”, ierosinot valstī izveidot vienotu maznodrošinātās personas ienākumu līmeni. </w:t>
      </w:r>
    </w:p>
    <w:p w:rsidR="00556255" w:rsidRDefault="00993361" w:rsidP="00CE1EEE">
      <w:pPr>
        <w:ind w:firstLine="720"/>
        <w:jc w:val="both"/>
      </w:pPr>
      <w:r>
        <w:t>M</w:t>
      </w:r>
      <w:r w:rsidRPr="00173A24">
        <w:t>aznodrošināt</w:t>
      </w:r>
      <w:r>
        <w:t>as personas statuss dod</w:t>
      </w:r>
      <w:r w:rsidRPr="00173A24">
        <w:t xml:space="preserve"> tiesības pretendēt, pirmkārt, uz dzīvokļa pabalstu, kas </w:t>
      </w:r>
      <w:r w:rsidRPr="006D0984">
        <w:t xml:space="preserve">ir otrs sociālās palīdzības pabalsts aiz pabalsta </w:t>
      </w:r>
      <w:r w:rsidR="00CE1EEE">
        <w:t>GMI</w:t>
      </w:r>
      <w:r w:rsidRPr="006D0984">
        <w:t xml:space="preserve"> līmeņa nodrošināšanai, kurš pašvaldībām ir jānodrošina</w:t>
      </w:r>
      <w:r w:rsidR="0084348B" w:rsidRPr="006D0984">
        <w:t>.</w:t>
      </w:r>
      <w:r w:rsidRPr="006D0984">
        <w:t xml:space="preserve"> </w:t>
      </w:r>
      <w:r w:rsidR="00B62D84" w:rsidRPr="006D0984">
        <w:t>Arī a</w:t>
      </w:r>
      <w:r w:rsidR="0084348B" w:rsidRPr="006D0984">
        <w:t xml:space="preserve">ttiecībā uz dzīvokļa pabalstu jāuzsver, ka </w:t>
      </w:r>
      <w:r w:rsidR="00B62D84" w:rsidRPr="006D0984">
        <w:t>iepriekšminētajā pētījumā secināts, ka „</w:t>
      </w:r>
      <w:r w:rsidR="006D0984" w:rsidRPr="006D0984">
        <w:t xml:space="preserve">Salīdzinot pētāmo pašvaldību saistošajos noteikumos paredzētos dzīvokļa pabalsta piešķiršanas kritērijus un apmērus, jāsecina, ka vērojama liela daudzveidība. </w:t>
      </w:r>
      <w:proofErr w:type="gramStart"/>
      <w:r w:rsidR="006D0984" w:rsidRPr="006D0984">
        <w:t>Pie tam</w:t>
      </w:r>
      <w:proofErr w:type="gramEnd"/>
      <w:r w:rsidR="006D0984" w:rsidRPr="006D0984">
        <w:t xml:space="preserve"> nav sastopama līdzvērtīga vai salīdzināma pieeja atkarībā no konkrētās pašvaldības izmēra, līdz ar to iedzīvotājiem dažādās pašvaldībās pieejamais dzīvokļa pabalsta apmērs un piešķiršanas kritēriji ir atšķirīgi radot nevienlīdzīgus apstākļus</w:t>
      </w:r>
      <w:r w:rsidR="006D0984">
        <w:t>”</w:t>
      </w:r>
      <w:r w:rsidR="006D0984">
        <w:rPr>
          <w:rStyle w:val="FootnoteReference"/>
        </w:rPr>
        <w:footnoteReference w:id="37"/>
      </w:r>
      <w:r w:rsidR="006D0984" w:rsidRPr="006D0984">
        <w:t>.</w:t>
      </w:r>
      <w:r w:rsidR="00947B0B">
        <w:t xml:space="preserve"> </w:t>
      </w:r>
      <w:r w:rsidR="0084348B">
        <w:t>Tāpat m</w:t>
      </w:r>
      <w:r w:rsidR="0084348B" w:rsidRPr="00173A24">
        <w:t>aznodrošināt</w:t>
      </w:r>
      <w:r w:rsidR="0084348B">
        <w:t>as personas statuss dod</w:t>
      </w:r>
      <w:r w:rsidR="0084348B" w:rsidRPr="00173A24">
        <w:t xml:space="preserve"> tiesības </w:t>
      </w:r>
      <w:r>
        <w:t>pretendēt uz citiem pašvaldības</w:t>
      </w:r>
      <w:r w:rsidR="00780C65">
        <w:t xml:space="preserve"> un valsts</w:t>
      </w:r>
      <w:r>
        <w:t xml:space="preserve"> noteiktiem pabalstu un atbalsta veidiem</w:t>
      </w:r>
      <w:r w:rsidRPr="00173A24">
        <w:t xml:space="preserve">. </w:t>
      </w:r>
      <w:r w:rsidR="00556255" w:rsidRPr="00173A24">
        <w:t xml:space="preserve"> </w:t>
      </w:r>
    </w:p>
    <w:p w:rsidR="00C84374" w:rsidRPr="00173A24" w:rsidRDefault="00C84374" w:rsidP="00C84374">
      <w:pPr>
        <w:pStyle w:val="ListParagraph"/>
        <w:jc w:val="both"/>
        <w:rPr>
          <w:rFonts w:ascii="Times New Roman" w:hAnsi="Times New Roman"/>
        </w:rPr>
      </w:pPr>
    </w:p>
    <w:p w:rsidR="00C84374" w:rsidRPr="00B30E3F" w:rsidRDefault="00C84374" w:rsidP="008D2C29">
      <w:pPr>
        <w:pStyle w:val="Heading2"/>
        <w:keepLines/>
        <w:numPr>
          <w:ilvl w:val="2"/>
          <w:numId w:val="16"/>
        </w:numPr>
        <w:spacing w:before="0" w:after="0"/>
        <w:rPr>
          <w:szCs w:val="24"/>
        </w:rPr>
      </w:pPr>
      <w:bookmarkStart w:id="29" w:name="_Toc357431425"/>
      <w:bookmarkStart w:id="30" w:name="_Toc401572479"/>
      <w:r w:rsidRPr="00B30E3F">
        <w:rPr>
          <w:szCs w:val="24"/>
        </w:rPr>
        <w:lastRenderedPageBreak/>
        <w:t>Garantētais minimālā ienākuma līmenis</w:t>
      </w:r>
      <w:bookmarkEnd w:id="29"/>
      <w:bookmarkEnd w:id="30"/>
    </w:p>
    <w:p w:rsidR="00C84374" w:rsidRPr="00173A24" w:rsidRDefault="00C84374" w:rsidP="00C84374"/>
    <w:p w:rsidR="00C84374" w:rsidRPr="00173A24" w:rsidRDefault="00C84374" w:rsidP="00262839">
      <w:pPr>
        <w:ind w:firstLine="720"/>
        <w:jc w:val="both"/>
      </w:pPr>
      <w:r w:rsidRPr="00173A24">
        <w:t xml:space="preserve">Garantēto </w:t>
      </w:r>
      <w:r w:rsidR="00105972">
        <w:t>minimālā</w:t>
      </w:r>
      <w:r w:rsidRPr="00173A24">
        <w:t xml:space="preserve"> </w:t>
      </w:r>
      <w:r w:rsidR="00105972">
        <w:t>ienākuma</w:t>
      </w:r>
      <w:r w:rsidRPr="00173A24">
        <w:t xml:space="preserve"> (GMI) līmeni ieviesa 2003.gada 1.janvārī, kad spēkā stājās Sociālo pakalpojumu un sociālās palīdzības likums. </w:t>
      </w:r>
      <w:r w:rsidR="00105972">
        <w:t xml:space="preserve">Šis ir zemākais </w:t>
      </w:r>
      <w:r w:rsidR="00556255">
        <w:t>tie</w:t>
      </w:r>
      <w:r w:rsidR="00A51C1C">
        <w:t>sību aktos noteiktais minimālo</w:t>
      </w:r>
      <w:r w:rsidR="00556255">
        <w:t xml:space="preserve"> ienākumu/resursu</w:t>
      </w:r>
      <w:r w:rsidR="00105972">
        <w:t xml:space="preserve"> līmenis. </w:t>
      </w:r>
      <w:r w:rsidRPr="00173A24">
        <w:t>GMI ieviešana tika iniciēta Pasaules Bankas īstenotajā Latvijas sociālās labklājības sistēmas reformu projekta ietvaros, kas norisinājās no 1995.gada. Minētā projekta ietvaros viena no komponentēm bija „Sociālās palīdzības sistēmas administrēšana”</w:t>
      </w:r>
      <w:r w:rsidRPr="00173A24">
        <w:rPr>
          <w:i/>
        </w:rPr>
        <w:t>.</w:t>
      </w:r>
      <w:r w:rsidRPr="00173A24">
        <w:rPr>
          <w:i/>
          <w:sz w:val="28"/>
        </w:rPr>
        <w:t xml:space="preserve"> </w:t>
      </w:r>
      <w:r w:rsidRPr="00173A24">
        <w:t>Tās mērķis bija vienkāršot pašvaldību sociālās palīdzības pabalstu sistēmu, padarot to efektīvāku iedzīvotājiem ar viszemākajiem ienākumiem, lai tādējādi novērstu atšķirīgās pieejas dažādās pašvaldībās pabalstu piešķiršanā un nodrošinātu pašvaldību atbalsta saņemšanas iespējas trūcīgajiem pašvaldību iedzīvotājiem</w:t>
      </w:r>
      <w:r w:rsidR="00262839">
        <w:rPr>
          <w:rStyle w:val="FootnoteReference"/>
        </w:rPr>
        <w:footnoteReference w:id="38"/>
      </w:r>
      <w:r w:rsidR="00262839">
        <w:t xml:space="preserve">. </w:t>
      </w:r>
      <w:r w:rsidRPr="00173A24">
        <w:t>Attiecīgi četri pašvaldību pabalsti</w:t>
      </w:r>
      <w:r w:rsidR="005E66D8">
        <w:rPr>
          <w:rStyle w:val="FootnoteReference"/>
        </w:rPr>
        <w:footnoteReference w:id="39"/>
      </w:r>
      <w:r w:rsidRPr="00173A24">
        <w:t xml:space="preserve">, kas bija noteikti likumā “Par sociālo palīdzību”, tika aizstāti ar vienu - pabalstu garantētā minimālā ienākuma </w:t>
      </w:r>
      <w:r w:rsidR="00A51C1C">
        <w:t xml:space="preserve">līmeņa </w:t>
      </w:r>
      <w:r w:rsidRPr="00173A24">
        <w:t xml:space="preserve">nodrošināšanai. Tā mērķis </w:t>
      </w:r>
      <w:r w:rsidR="00E7118B">
        <w:t>tika noteikts</w:t>
      </w:r>
      <w:r w:rsidR="00E7118B" w:rsidRPr="00173A24">
        <w:t xml:space="preserve"> „sniegt </w:t>
      </w:r>
      <w:r w:rsidRPr="00173A24">
        <w:t xml:space="preserve">atbalstu vistrūcīgākajām ģimenēm, </w:t>
      </w:r>
      <w:r w:rsidR="00E7118B" w:rsidRPr="00173A24">
        <w:t>tajā pašā laikā</w:t>
      </w:r>
      <w:r w:rsidRPr="00173A24">
        <w:t xml:space="preserve"> neveidojot ģimeņu atkarību no sociālās palīdzības pabalstiem.” </w:t>
      </w:r>
    </w:p>
    <w:p w:rsidR="00413518" w:rsidRDefault="00D574DE" w:rsidP="00762DB7">
      <w:pPr>
        <w:ind w:firstLine="720"/>
        <w:jc w:val="both"/>
      </w:pPr>
      <w:r>
        <w:t xml:space="preserve">Tādējādi </w:t>
      </w:r>
      <w:r w:rsidR="00413518" w:rsidRPr="00173A24">
        <w:t xml:space="preserve">GMI līmenis tiek noteikts centralizēti valsts līmenī, bet lēmumu </w:t>
      </w:r>
      <w:r w:rsidR="00D737FF" w:rsidRPr="00173A24">
        <w:t xml:space="preserve">par </w:t>
      </w:r>
      <w:r w:rsidR="00D737FF">
        <w:t xml:space="preserve">pabalsta GMI līmeņa nodrošināšanai </w:t>
      </w:r>
      <w:r w:rsidR="00D737FF" w:rsidRPr="00173A24">
        <w:t xml:space="preserve">piešķiršanu, </w:t>
      </w:r>
      <w:r w:rsidR="00413518" w:rsidRPr="00173A24">
        <w:t xml:space="preserve">pamatojoties uz </w:t>
      </w:r>
      <w:r w:rsidR="00413518">
        <w:t>ģimenes</w:t>
      </w:r>
      <w:r w:rsidR="00762DB7">
        <w:t xml:space="preserve"> (personas) materiālo resursu (</w:t>
      </w:r>
      <w:r w:rsidR="00413518" w:rsidRPr="00173A24">
        <w:t xml:space="preserve">ienākumu </w:t>
      </w:r>
      <w:r w:rsidR="00413518">
        <w:t>un īpašumu</w:t>
      </w:r>
      <w:r w:rsidR="00762DB7">
        <w:t>)</w:t>
      </w:r>
      <w:r w:rsidR="00413518">
        <w:t xml:space="preserve"> </w:t>
      </w:r>
      <w:r w:rsidR="00413518" w:rsidRPr="00173A24">
        <w:t>izvērtējumu</w:t>
      </w:r>
      <w:r w:rsidR="00762DB7">
        <w:t xml:space="preserve"> un pabalsta apmēra aprēķināšanu</w:t>
      </w:r>
      <w:r w:rsidR="00762DB7" w:rsidRPr="00173A24">
        <w:t>, pieņem katra pašvaldība</w:t>
      </w:r>
      <w:r w:rsidR="00762DB7">
        <w:t xml:space="preserve"> jeb precīzāk – pašvaldības sociālais dienests</w:t>
      </w:r>
      <w:r w:rsidR="00413518" w:rsidRPr="00173A24">
        <w:t>. Pašvaldībai ir tiesības noteikt augstāku GMI līmeni dažādām iedzīvotāju grupām, bet tas nedrīkst būt augstāks par ģimenes vai atsevišķi dzīvojošas personas atzīšan</w:t>
      </w:r>
      <w:r w:rsidR="00413518">
        <w:t>ai</w:t>
      </w:r>
      <w:r w:rsidR="00413518" w:rsidRPr="00173A24">
        <w:t xml:space="preserve"> par trūcīgu noteikto ienākumu līmeni (201</w:t>
      </w:r>
      <w:r w:rsidR="00413518">
        <w:t>4</w:t>
      </w:r>
      <w:r w:rsidR="00413518" w:rsidRPr="00173A24">
        <w:t>.gadā –</w:t>
      </w:r>
      <w:r w:rsidR="0079189C">
        <w:t xml:space="preserve"> </w:t>
      </w:r>
      <w:r w:rsidR="00413518">
        <w:t xml:space="preserve">128,06 </w:t>
      </w:r>
      <w:proofErr w:type="spellStart"/>
      <w:r w:rsidR="00D770F2" w:rsidRPr="00D770F2">
        <w:rPr>
          <w:i/>
          <w:iCs/>
        </w:rPr>
        <w:t>euro</w:t>
      </w:r>
      <w:proofErr w:type="spellEnd"/>
      <w:r w:rsidR="00413518">
        <w:t xml:space="preserve"> </w:t>
      </w:r>
      <w:r w:rsidR="00413518" w:rsidRPr="00173A24">
        <w:t xml:space="preserve">personai mēnesī). GMI līmenis ikgadēji tiek </w:t>
      </w:r>
      <w:r w:rsidR="00413518">
        <w:t>pārskatīts</w:t>
      </w:r>
      <w:r w:rsidR="00413518" w:rsidRPr="00173A24">
        <w:t>, pamatojoties uz Labklājības ministrijas un Latvijas Pašvaldību savienības sarunām</w:t>
      </w:r>
      <w:r w:rsidR="00413518">
        <w:t>, saistībā ar gadskārtējā valsts budžeta likumprojektu</w:t>
      </w:r>
      <w:r w:rsidR="00413518" w:rsidRPr="00173A24">
        <w:t>. Tādējādi GMI līme</w:t>
      </w:r>
      <w:r w:rsidR="00413518">
        <w:t>nis</w:t>
      </w:r>
      <w:r w:rsidR="00413518" w:rsidRPr="00173A24">
        <w:t xml:space="preserve"> netiek pamatots ar konkrētiem aprēķiniem vai noteiktiem indikatoriem, bet to nosaka</w:t>
      </w:r>
      <w:r w:rsidR="00762DB7">
        <w:t xml:space="preserve"> normatīvajos aktos</w:t>
      </w:r>
      <w:r w:rsidR="00413518" w:rsidRPr="00173A24">
        <w:t xml:space="preserve">, </w:t>
      </w:r>
      <w:r w:rsidR="00762DB7">
        <w:t xml:space="preserve">iepriekš </w:t>
      </w:r>
      <w:r w:rsidR="00413518" w:rsidRPr="00173A24">
        <w:t xml:space="preserve">politiski vienojoties starp Labklājības ministrijas un Latvijas Pašvaldību savienības vadību. Kā redzams </w:t>
      </w:r>
      <w:r w:rsidR="00413518">
        <w:t>4</w:t>
      </w:r>
      <w:r w:rsidR="00413518" w:rsidRPr="00173A24">
        <w:t>.tabul</w:t>
      </w:r>
      <w:r w:rsidR="00413518">
        <w:t>ā,</w:t>
      </w:r>
      <w:r w:rsidR="00413518" w:rsidRPr="00173A24">
        <w:t xml:space="preserve"> GMI līme</w:t>
      </w:r>
      <w:r w:rsidR="00413518">
        <w:t>nis</w:t>
      </w:r>
      <w:r w:rsidR="00413518" w:rsidRPr="00173A24">
        <w:t xml:space="preserve"> </w:t>
      </w:r>
      <w:r w:rsidR="00413518">
        <w:t xml:space="preserve">kopš </w:t>
      </w:r>
      <w:r>
        <w:t>2004.gada</w:t>
      </w:r>
      <w:r w:rsidRPr="00173A24">
        <w:t xml:space="preserve"> pakāpeniski pieaug</w:t>
      </w:r>
      <w:r>
        <w:t>a</w:t>
      </w:r>
      <w:r w:rsidRPr="00173A24">
        <w:t xml:space="preserve">, </w:t>
      </w:r>
      <w:r>
        <w:t>bet 2013.gadā</w:t>
      </w:r>
      <w:r w:rsidRPr="00173A24">
        <w:t xml:space="preserve"> iepriekšminētās institūcijas vienojās GMI līme</w:t>
      </w:r>
      <w:r>
        <w:t>ni</w:t>
      </w:r>
      <w:r w:rsidRPr="00173A24">
        <w:t xml:space="preserve"> samazināt </w:t>
      </w:r>
      <w:r>
        <w:t xml:space="preserve">līdz </w:t>
      </w:r>
      <w:r w:rsidRPr="00173A24">
        <w:t>2008./2009.gad</w:t>
      </w:r>
      <w:r>
        <w:t>a</w:t>
      </w:r>
      <w:r w:rsidRPr="00D574DE">
        <w:t xml:space="preserve"> </w:t>
      </w:r>
      <w:r>
        <w:t>līmenim</w:t>
      </w:r>
      <w:r w:rsidRPr="00173A24">
        <w:t xml:space="preserve">. </w:t>
      </w:r>
      <w:r w:rsidR="00413518" w:rsidRPr="00173A24">
        <w:t xml:space="preserve"> </w:t>
      </w:r>
    </w:p>
    <w:p w:rsidR="001C5E21" w:rsidRDefault="001C5E21" w:rsidP="00054C14">
      <w:pPr>
        <w:ind w:firstLine="720"/>
        <w:jc w:val="right"/>
      </w:pPr>
    </w:p>
    <w:p w:rsidR="00054C14" w:rsidRDefault="009F52D6" w:rsidP="00054C14">
      <w:pPr>
        <w:ind w:firstLine="720"/>
        <w:jc w:val="right"/>
      </w:pPr>
      <w:r>
        <w:t>4</w:t>
      </w:r>
      <w:r w:rsidR="00C84374" w:rsidRPr="00173A24">
        <w:t xml:space="preserve">.tabula. </w:t>
      </w:r>
    </w:p>
    <w:p w:rsidR="00C84374" w:rsidRPr="000A7DDC" w:rsidRDefault="00C84374" w:rsidP="000A7DDC">
      <w:pPr>
        <w:ind w:firstLine="720"/>
        <w:jc w:val="center"/>
        <w:rPr>
          <w:bCs/>
        </w:rPr>
      </w:pPr>
      <w:r w:rsidRPr="000A7DDC">
        <w:rPr>
          <w:bCs/>
        </w:rPr>
        <w:t xml:space="preserve">GMI līmenis </w:t>
      </w:r>
      <w:r w:rsidR="00C07D8E" w:rsidRPr="000A7DDC">
        <w:rPr>
          <w:bCs/>
        </w:rPr>
        <w:t xml:space="preserve">vienai personai </w:t>
      </w:r>
      <w:r w:rsidRPr="000A7DDC">
        <w:rPr>
          <w:bCs/>
        </w:rPr>
        <w:t>2003.-201</w:t>
      </w:r>
      <w:r w:rsidR="00B30E3F" w:rsidRPr="000A7DDC">
        <w:rPr>
          <w:bCs/>
        </w:rPr>
        <w:t>4</w:t>
      </w:r>
      <w:r w:rsidRPr="000A7DDC">
        <w:rPr>
          <w:bCs/>
        </w:rPr>
        <w:t>.gadā</w:t>
      </w:r>
      <w:r w:rsidR="000A7DDC" w:rsidRPr="000A7DDC">
        <w:rPr>
          <w:bCs/>
        </w:rPr>
        <w:t xml:space="preserve"> (</w:t>
      </w:r>
      <w:proofErr w:type="spellStart"/>
      <w:r w:rsidR="00084A51" w:rsidRPr="00BD0F8B">
        <w:rPr>
          <w:bCs/>
          <w:i/>
          <w:iCs/>
        </w:rPr>
        <w:t>euro</w:t>
      </w:r>
      <w:proofErr w:type="spellEnd"/>
      <w:r w:rsidR="00084A51" w:rsidRPr="000A7DDC">
        <w:rPr>
          <w:bCs/>
        </w:rPr>
        <w:t xml:space="preserve"> </w:t>
      </w:r>
      <w:r w:rsidR="000A7DDC" w:rsidRPr="000A7DDC">
        <w:rPr>
          <w:bCs/>
        </w:rPr>
        <w:t>mēnesī)</w:t>
      </w:r>
    </w:p>
    <w:tbl>
      <w:tblPr>
        <w:tblW w:w="4590" w:type="dxa"/>
        <w:jc w:val="center"/>
        <w:tblBorders>
          <w:top w:val="single" w:sz="8" w:space="0" w:color="8064A2"/>
          <w:bottom w:val="single" w:sz="8" w:space="0" w:color="8064A2"/>
        </w:tblBorders>
        <w:tblLook w:val="04A0" w:firstRow="1" w:lastRow="0" w:firstColumn="1" w:lastColumn="0" w:noHBand="0" w:noVBand="1"/>
      </w:tblPr>
      <w:tblGrid>
        <w:gridCol w:w="2490"/>
        <w:gridCol w:w="2100"/>
      </w:tblGrid>
      <w:tr w:rsidR="0079189C" w:rsidRPr="001951C3" w:rsidTr="0079189C">
        <w:trPr>
          <w:trHeight w:val="255"/>
          <w:jc w:val="center"/>
        </w:trPr>
        <w:tc>
          <w:tcPr>
            <w:tcW w:w="2490" w:type="dxa"/>
            <w:tcBorders>
              <w:top w:val="single" w:sz="8" w:space="0" w:color="8064A2"/>
              <w:left w:val="nil"/>
              <w:bottom w:val="single" w:sz="8" w:space="0" w:color="8064A2"/>
              <w:right w:val="nil"/>
            </w:tcBorders>
            <w:shd w:val="clear" w:color="auto" w:fill="auto"/>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GADS</w:t>
            </w:r>
          </w:p>
        </w:tc>
        <w:tc>
          <w:tcPr>
            <w:tcW w:w="2100" w:type="dxa"/>
            <w:tcBorders>
              <w:top w:val="single" w:sz="8" w:space="0" w:color="8064A2"/>
              <w:left w:val="nil"/>
              <w:bottom w:val="single" w:sz="8" w:space="0" w:color="8064A2"/>
              <w:right w:val="nil"/>
            </w:tcBorders>
            <w:shd w:val="clear" w:color="auto" w:fill="auto"/>
            <w:noWrap/>
          </w:tcPr>
          <w:p w:rsidR="0079189C" w:rsidRPr="001951C3" w:rsidRDefault="00084A51" w:rsidP="00240288">
            <w:pPr>
              <w:jc w:val="center"/>
              <w:rPr>
                <w:b/>
                <w:bCs/>
                <w:color w:val="5F497A"/>
                <w:sz w:val="20"/>
                <w:szCs w:val="20"/>
                <w:lang w:eastAsia="lv-LV"/>
              </w:rPr>
            </w:pPr>
            <w:proofErr w:type="spellStart"/>
            <w:r w:rsidRPr="00BD0F8B">
              <w:rPr>
                <w:b/>
                <w:bCs/>
                <w:i/>
                <w:iCs/>
                <w:color w:val="5F497A"/>
                <w:sz w:val="20"/>
                <w:szCs w:val="20"/>
                <w:lang w:eastAsia="lv-LV"/>
              </w:rPr>
              <w:t>euro</w:t>
            </w:r>
            <w:proofErr w:type="spellEnd"/>
            <w:r w:rsidRPr="001951C3">
              <w:rPr>
                <w:b/>
                <w:bCs/>
                <w:color w:val="5F497A"/>
                <w:sz w:val="20"/>
                <w:szCs w:val="20"/>
                <w:lang w:eastAsia="lv-LV"/>
              </w:rPr>
              <w:t xml:space="preserve"> </w:t>
            </w:r>
          </w:p>
        </w:tc>
      </w:tr>
      <w:tr w:rsidR="0079189C" w:rsidRPr="001951C3" w:rsidTr="0079189C">
        <w:trPr>
          <w:trHeight w:val="255"/>
          <w:jc w:val="center"/>
        </w:trPr>
        <w:tc>
          <w:tcPr>
            <w:tcW w:w="2490" w:type="dxa"/>
            <w:tcBorders>
              <w:left w:val="nil"/>
              <w:right w:val="nil"/>
            </w:tcBorders>
            <w:shd w:val="clear" w:color="auto" w:fill="DFD8E8"/>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2003</w:t>
            </w:r>
          </w:p>
        </w:tc>
        <w:tc>
          <w:tcPr>
            <w:tcW w:w="2100" w:type="dxa"/>
            <w:tcBorders>
              <w:left w:val="nil"/>
              <w:right w:val="nil"/>
            </w:tcBorders>
            <w:shd w:val="clear" w:color="auto" w:fill="DFD8E8"/>
            <w:noWrap/>
          </w:tcPr>
          <w:p w:rsidR="0079189C" w:rsidRPr="001951C3" w:rsidRDefault="0079189C" w:rsidP="00240288">
            <w:pPr>
              <w:jc w:val="center"/>
              <w:rPr>
                <w:color w:val="5F497A"/>
                <w:sz w:val="20"/>
                <w:szCs w:val="20"/>
                <w:lang w:eastAsia="lv-LV"/>
              </w:rPr>
            </w:pPr>
            <w:r w:rsidRPr="001951C3">
              <w:rPr>
                <w:color w:val="5F497A"/>
                <w:sz w:val="20"/>
                <w:szCs w:val="20"/>
                <w:lang w:eastAsia="lv-LV"/>
              </w:rPr>
              <w:t>21</w:t>
            </w:r>
          </w:p>
        </w:tc>
      </w:tr>
      <w:tr w:rsidR="0079189C" w:rsidRPr="001951C3" w:rsidTr="0079189C">
        <w:trPr>
          <w:trHeight w:val="255"/>
          <w:jc w:val="center"/>
        </w:trPr>
        <w:tc>
          <w:tcPr>
            <w:tcW w:w="2490" w:type="dxa"/>
            <w:shd w:val="clear" w:color="auto" w:fill="auto"/>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2004</w:t>
            </w:r>
          </w:p>
        </w:tc>
        <w:tc>
          <w:tcPr>
            <w:tcW w:w="2100" w:type="dxa"/>
            <w:shd w:val="clear" w:color="auto" w:fill="auto"/>
            <w:noWrap/>
          </w:tcPr>
          <w:p w:rsidR="0079189C" w:rsidRPr="001951C3" w:rsidRDefault="0079189C" w:rsidP="00240288">
            <w:pPr>
              <w:jc w:val="center"/>
              <w:rPr>
                <w:color w:val="5F497A"/>
                <w:sz w:val="20"/>
                <w:szCs w:val="20"/>
                <w:lang w:eastAsia="lv-LV"/>
              </w:rPr>
            </w:pPr>
            <w:r w:rsidRPr="001951C3">
              <w:rPr>
                <w:color w:val="5F497A"/>
                <w:sz w:val="20"/>
                <w:szCs w:val="20"/>
                <w:lang w:eastAsia="lv-LV"/>
              </w:rPr>
              <w:t>26</w:t>
            </w:r>
          </w:p>
        </w:tc>
      </w:tr>
      <w:tr w:rsidR="0079189C" w:rsidRPr="001951C3" w:rsidTr="0079189C">
        <w:trPr>
          <w:trHeight w:val="255"/>
          <w:jc w:val="center"/>
        </w:trPr>
        <w:tc>
          <w:tcPr>
            <w:tcW w:w="2490" w:type="dxa"/>
            <w:tcBorders>
              <w:left w:val="nil"/>
              <w:right w:val="nil"/>
            </w:tcBorders>
            <w:shd w:val="clear" w:color="auto" w:fill="DFD8E8"/>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2005</w:t>
            </w:r>
          </w:p>
        </w:tc>
        <w:tc>
          <w:tcPr>
            <w:tcW w:w="2100" w:type="dxa"/>
            <w:tcBorders>
              <w:left w:val="nil"/>
              <w:right w:val="nil"/>
            </w:tcBorders>
            <w:shd w:val="clear" w:color="auto" w:fill="DFD8E8"/>
            <w:noWrap/>
          </w:tcPr>
          <w:p w:rsidR="0079189C" w:rsidRPr="001951C3" w:rsidRDefault="0079189C" w:rsidP="00240288">
            <w:pPr>
              <w:jc w:val="center"/>
              <w:rPr>
                <w:color w:val="5F497A"/>
                <w:sz w:val="20"/>
                <w:szCs w:val="20"/>
                <w:lang w:eastAsia="lv-LV"/>
              </w:rPr>
            </w:pPr>
            <w:r w:rsidRPr="001951C3">
              <w:rPr>
                <w:color w:val="5F497A"/>
                <w:sz w:val="20"/>
                <w:szCs w:val="20"/>
                <w:lang w:eastAsia="lv-LV"/>
              </w:rPr>
              <w:t>30</w:t>
            </w:r>
          </w:p>
        </w:tc>
      </w:tr>
      <w:tr w:rsidR="0079189C" w:rsidRPr="001951C3" w:rsidTr="0079189C">
        <w:trPr>
          <w:trHeight w:val="255"/>
          <w:jc w:val="center"/>
        </w:trPr>
        <w:tc>
          <w:tcPr>
            <w:tcW w:w="2490" w:type="dxa"/>
            <w:shd w:val="clear" w:color="auto" w:fill="auto"/>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2006</w:t>
            </w:r>
          </w:p>
        </w:tc>
        <w:tc>
          <w:tcPr>
            <w:tcW w:w="2100" w:type="dxa"/>
            <w:shd w:val="clear" w:color="auto" w:fill="auto"/>
            <w:noWrap/>
          </w:tcPr>
          <w:p w:rsidR="0079189C" w:rsidRPr="001951C3" w:rsidRDefault="0079189C" w:rsidP="00240288">
            <w:pPr>
              <w:jc w:val="center"/>
              <w:rPr>
                <w:color w:val="5F497A"/>
                <w:sz w:val="20"/>
                <w:szCs w:val="20"/>
                <w:lang w:eastAsia="lv-LV"/>
              </w:rPr>
            </w:pPr>
            <w:r w:rsidRPr="001951C3">
              <w:rPr>
                <w:color w:val="5F497A"/>
                <w:sz w:val="20"/>
                <w:szCs w:val="20"/>
                <w:lang w:eastAsia="lv-LV"/>
              </w:rPr>
              <w:t>34</w:t>
            </w:r>
          </w:p>
        </w:tc>
      </w:tr>
      <w:tr w:rsidR="0079189C" w:rsidRPr="001951C3" w:rsidTr="0079189C">
        <w:trPr>
          <w:trHeight w:val="255"/>
          <w:jc w:val="center"/>
        </w:trPr>
        <w:tc>
          <w:tcPr>
            <w:tcW w:w="2490" w:type="dxa"/>
            <w:tcBorders>
              <w:left w:val="nil"/>
              <w:right w:val="nil"/>
            </w:tcBorders>
            <w:shd w:val="clear" w:color="auto" w:fill="DFD8E8"/>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2007</w:t>
            </w:r>
          </w:p>
        </w:tc>
        <w:tc>
          <w:tcPr>
            <w:tcW w:w="2100" w:type="dxa"/>
            <w:tcBorders>
              <w:left w:val="nil"/>
              <w:right w:val="nil"/>
            </w:tcBorders>
            <w:shd w:val="clear" w:color="auto" w:fill="DFD8E8"/>
            <w:noWrap/>
          </w:tcPr>
          <w:p w:rsidR="0079189C" w:rsidRPr="001951C3" w:rsidRDefault="0079189C" w:rsidP="00240288">
            <w:pPr>
              <w:jc w:val="center"/>
              <w:rPr>
                <w:color w:val="5F497A"/>
                <w:sz w:val="20"/>
                <w:szCs w:val="20"/>
                <w:lang w:eastAsia="lv-LV"/>
              </w:rPr>
            </w:pPr>
            <w:r w:rsidRPr="001951C3">
              <w:rPr>
                <w:color w:val="5F497A"/>
                <w:sz w:val="20"/>
                <w:szCs w:val="20"/>
                <w:lang w:eastAsia="lv-LV"/>
              </w:rPr>
              <w:t>38</w:t>
            </w:r>
          </w:p>
        </w:tc>
      </w:tr>
      <w:tr w:rsidR="0079189C" w:rsidRPr="001951C3" w:rsidTr="0079189C">
        <w:trPr>
          <w:trHeight w:val="255"/>
          <w:jc w:val="center"/>
        </w:trPr>
        <w:tc>
          <w:tcPr>
            <w:tcW w:w="2490" w:type="dxa"/>
            <w:shd w:val="clear" w:color="auto" w:fill="auto"/>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2008</w:t>
            </w:r>
          </w:p>
        </w:tc>
        <w:tc>
          <w:tcPr>
            <w:tcW w:w="2100" w:type="dxa"/>
            <w:shd w:val="clear" w:color="auto" w:fill="auto"/>
            <w:noWrap/>
          </w:tcPr>
          <w:p w:rsidR="0079189C" w:rsidRPr="001951C3" w:rsidRDefault="0079189C" w:rsidP="00240288">
            <w:pPr>
              <w:jc w:val="center"/>
              <w:rPr>
                <w:color w:val="5F497A"/>
                <w:sz w:val="20"/>
                <w:szCs w:val="20"/>
                <w:lang w:eastAsia="lv-LV"/>
              </w:rPr>
            </w:pPr>
            <w:r w:rsidRPr="001951C3">
              <w:rPr>
                <w:color w:val="5F497A"/>
                <w:sz w:val="20"/>
                <w:szCs w:val="20"/>
                <w:lang w:eastAsia="lv-LV"/>
              </w:rPr>
              <w:t>38</w:t>
            </w:r>
          </w:p>
        </w:tc>
      </w:tr>
      <w:tr w:rsidR="0079189C" w:rsidRPr="001951C3" w:rsidTr="0079189C">
        <w:trPr>
          <w:trHeight w:val="255"/>
          <w:jc w:val="center"/>
        </w:trPr>
        <w:tc>
          <w:tcPr>
            <w:tcW w:w="2490" w:type="dxa"/>
            <w:tcBorders>
              <w:left w:val="nil"/>
              <w:right w:val="nil"/>
            </w:tcBorders>
            <w:shd w:val="clear" w:color="auto" w:fill="DFD8E8"/>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2009 (līdz 30.09.2009.)</w:t>
            </w:r>
          </w:p>
        </w:tc>
        <w:tc>
          <w:tcPr>
            <w:tcW w:w="2100" w:type="dxa"/>
            <w:tcBorders>
              <w:left w:val="nil"/>
              <w:right w:val="nil"/>
            </w:tcBorders>
            <w:shd w:val="clear" w:color="auto" w:fill="DFD8E8"/>
            <w:noWrap/>
          </w:tcPr>
          <w:p w:rsidR="0079189C" w:rsidRPr="001951C3" w:rsidRDefault="0079189C" w:rsidP="00240288">
            <w:pPr>
              <w:jc w:val="center"/>
              <w:rPr>
                <w:color w:val="5F497A"/>
                <w:sz w:val="20"/>
                <w:szCs w:val="20"/>
                <w:lang w:eastAsia="lv-LV"/>
              </w:rPr>
            </w:pPr>
            <w:r w:rsidRPr="001951C3">
              <w:rPr>
                <w:color w:val="5F497A"/>
                <w:sz w:val="20"/>
                <w:szCs w:val="20"/>
                <w:lang w:eastAsia="lv-LV"/>
              </w:rPr>
              <w:t>53</w:t>
            </w:r>
          </w:p>
        </w:tc>
      </w:tr>
      <w:tr w:rsidR="0079189C" w:rsidRPr="001951C3" w:rsidTr="0079189C">
        <w:trPr>
          <w:trHeight w:val="255"/>
          <w:jc w:val="center"/>
        </w:trPr>
        <w:tc>
          <w:tcPr>
            <w:tcW w:w="2490" w:type="dxa"/>
            <w:shd w:val="clear" w:color="auto" w:fill="auto"/>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2009 (no 01.10.2009.)</w:t>
            </w:r>
          </w:p>
        </w:tc>
        <w:tc>
          <w:tcPr>
            <w:tcW w:w="2100" w:type="dxa"/>
            <w:shd w:val="clear" w:color="auto" w:fill="auto"/>
            <w:noWrap/>
          </w:tcPr>
          <w:p w:rsidR="0079189C" w:rsidRPr="001951C3" w:rsidRDefault="0079189C" w:rsidP="00240288">
            <w:pPr>
              <w:jc w:val="center"/>
              <w:rPr>
                <w:color w:val="5F497A"/>
                <w:sz w:val="20"/>
                <w:szCs w:val="20"/>
                <w:lang w:eastAsia="lv-LV"/>
              </w:rPr>
            </w:pPr>
            <w:r w:rsidRPr="001951C3">
              <w:rPr>
                <w:color w:val="5F497A"/>
                <w:sz w:val="20"/>
                <w:szCs w:val="20"/>
                <w:lang w:eastAsia="lv-LV"/>
              </w:rPr>
              <w:t>57 un 64*</w:t>
            </w:r>
          </w:p>
        </w:tc>
      </w:tr>
      <w:tr w:rsidR="0079189C" w:rsidRPr="001951C3" w:rsidTr="0079189C">
        <w:trPr>
          <w:trHeight w:val="255"/>
          <w:jc w:val="center"/>
        </w:trPr>
        <w:tc>
          <w:tcPr>
            <w:tcW w:w="2490" w:type="dxa"/>
            <w:tcBorders>
              <w:left w:val="nil"/>
              <w:right w:val="nil"/>
            </w:tcBorders>
            <w:shd w:val="clear" w:color="auto" w:fill="DFD8E8"/>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2010</w:t>
            </w:r>
          </w:p>
        </w:tc>
        <w:tc>
          <w:tcPr>
            <w:tcW w:w="2100" w:type="dxa"/>
            <w:tcBorders>
              <w:left w:val="nil"/>
              <w:right w:val="nil"/>
            </w:tcBorders>
            <w:shd w:val="clear" w:color="auto" w:fill="DFD8E8"/>
            <w:noWrap/>
          </w:tcPr>
          <w:p w:rsidR="0079189C" w:rsidRPr="001951C3" w:rsidRDefault="0079189C" w:rsidP="00240288">
            <w:pPr>
              <w:jc w:val="center"/>
              <w:rPr>
                <w:color w:val="5F497A"/>
                <w:sz w:val="20"/>
                <w:szCs w:val="20"/>
                <w:lang w:eastAsia="lv-LV"/>
              </w:rPr>
            </w:pPr>
            <w:r w:rsidRPr="001951C3">
              <w:rPr>
                <w:color w:val="5F497A"/>
                <w:sz w:val="20"/>
                <w:szCs w:val="20"/>
                <w:lang w:eastAsia="lv-LV"/>
              </w:rPr>
              <w:t>57 un 64</w:t>
            </w:r>
          </w:p>
        </w:tc>
      </w:tr>
      <w:tr w:rsidR="0079189C" w:rsidRPr="001951C3" w:rsidTr="0079189C">
        <w:trPr>
          <w:trHeight w:val="255"/>
          <w:jc w:val="center"/>
        </w:trPr>
        <w:tc>
          <w:tcPr>
            <w:tcW w:w="2490" w:type="dxa"/>
            <w:shd w:val="clear" w:color="auto" w:fill="auto"/>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2011</w:t>
            </w:r>
          </w:p>
        </w:tc>
        <w:tc>
          <w:tcPr>
            <w:tcW w:w="2100" w:type="dxa"/>
            <w:shd w:val="clear" w:color="auto" w:fill="auto"/>
            <w:noWrap/>
          </w:tcPr>
          <w:p w:rsidR="0079189C" w:rsidRPr="001951C3" w:rsidRDefault="0079189C" w:rsidP="00240288">
            <w:pPr>
              <w:jc w:val="center"/>
              <w:rPr>
                <w:color w:val="5F497A"/>
                <w:sz w:val="20"/>
                <w:szCs w:val="20"/>
                <w:lang w:eastAsia="lv-LV"/>
              </w:rPr>
            </w:pPr>
            <w:r w:rsidRPr="001951C3">
              <w:rPr>
                <w:color w:val="5F497A"/>
                <w:sz w:val="20"/>
                <w:szCs w:val="20"/>
                <w:lang w:eastAsia="lv-LV"/>
              </w:rPr>
              <w:t>57 un 64</w:t>
            </w:r>
          </w:p>
        </w:tc>
      </w:tr>
      <w:tr w:rsidR="0079189C" w:rsidRPr="001951C3" w:rsidTr="0079189C">
        <w:trPr>
          <w:trHeight w:val="255"/>
          <w:jc w:val="center"/>
        </w:trPr>
        <w:tc>
          <w:tcPr>
            <w:tcW w:w="2490" w:type="dxa"/>
            <w:tcBorders>
              <w:left w:val="nil"/>
              <w:right w:val="nil"/>
            </w:tcBorders>
            <w:shd w:val="clear" w:color="auto" w:fill="DFD8E8"/>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2012</w:t>
            </w:r>
          </w:p>
        </w:tc>
        <w:tc>
          <w:tcPr>
            <w:tcW w:w="2100" w:type="dxa"/>
            <w:tcBorders>
              <w:left w:val="nil"/>
              <w:right w:val="nil"/>
            </w:tcBorders>
            <w:shd w:val="clear" w:color="auto" w:fill="DFD8E8"/>
            <w:noWrap/>
          </w:tcPr>
          <w:p w:rsidR="0079189C" w:rsidRPr="001951C3" w:rsidRDefault="0079189C" w:rsidP="00240288">
            <w:pPr>
              <w:jc w:val="center"/>
              <w:rPr>
                <w:color w:val="5F497A"/>
                <w:sz w:val="20"/>
                <w:szCs w:val="20"/>
                <w:lang w:eastAsia="lv-LV"/>
              </w:rPr>
            </w:pPr>
            <w:r w:rsidRPr="001951C3">
              <w:rPr>
                <w:color w:val="5F497A"/>
                <w:sz w:val="20"/>
                <w:szCs w:val="20"/>
                <w:lang w:eastAsia="lv-LV"/>
              </w:rPr>
              <w:t>57 un 64</w:t>
            </w:r>
          </w:p>
        </w:tc>
      </w:tr>
      <w:tr w:rsidR="0079189C" w:rsidRPr="001951C3" w:rsidTr="0079189C">
        <w:trPr>
          <w:trHeight w:val="255"/>
          <w:jc w:val="center"/>
        </w:trPr>
        <w:tc>
          <w:tcPr>
            <w:tcW w:w="2490" w:type="dxa"/>
            <w:shd w:val="clear" w:color="auto" w:fill="auto"/>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2013</w:t>
            </w:r>
          </w:p>
        </w:tc>
        <w:tc>
          <w:tcPr>
            <w:tcW w:w="2100" w:type="dxa"/>
            <w:shd w:val="clear" w:color="auto" w:fill="auto"/>
            <w:noWrap/>
          </w:tcPr>
          <w:p w:rsidR="0079189C" w:rsidRPr="001951C3" w:rsidRDefault="0079189C" w:rsidP="00240288">
            <w:pPr>
              <w:jc w:val="center"/>
              <w:rPr>
                <w:color w:val="5F497A"/>
                <w:sz w:val="20"/>
                <w:szCs w:val="20"/>
                <w:lang w:eastAsia="lv-LV"/>
              </w:rPr>
            </w:pPr>
            <w:r w:rsidRPr="001951C3">
              <w:rPr>
                <w:color w:val="5F497A"/>
                <w:sz w:val="20"/>
                <w:szCs w:val="20"/>
                <w:lang w:eastAsia="lv-LV"/>
              </w:rPr>
              <w:t>50</w:t>
            </w:r>
          </w:p>
        </w:tc>
      </w:tr>
      <w:tr w:rsidR="0079189C" w:rsidRPr="001951C3" w:rsidTr="0079189C">
        <w:trPr>
          <w:trHeight w:val="255"/>
          <w:jc w:val="center"/>
        </w:trPr>
        <w:tc>
          <w:tcPr>
            <w:tcW w:w="2490" w:type="dxa"/>
            <w:tcBorders>
              <w:left w:val="nil"/>
              <w:right w:val="nil"/>
            </w:tcBorders>
            <w:shd w:val="clear" w:color="auto" w:fill="DFD8E8"/>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2014</w:t>
            </w:r>
          </w:p>
        </w:tc>
        <w:tc>
          <w:tcPr>
            <w:tcW w:w="2100" w:type="dxa"/>
            <w:tcBorders>
              <w:left w:val="nil"/>
              <w:right w:val="nil"/>
            </w:tcBorders>
            <w:shd w:val="clear" w:color="auto" w:fill="DFD8E8"/>
            <w:noWrap/>
          </w:tcPr>
          <w:p w:rsidR="0079189C" w:rsidRPr="001951C3" w:rsidRDefault="0079189C" w:rsidP="00240288">
            <w:pPr>
              <w:jc w:val="center"/>
              <w:rPr>
                <w:color w:val="5F497A"/>
                <w:sz w:val="20"/>
                <w:szCs w:val="20"/>
                <w:lang w:eastAsia="lv-LV"/>
              </w:rPr>
            </w:pPr>
            <w:r w:rsidRPr="001951C3">
              <w:rPr>
                <w:color w:val="5F497A"/>
                <w:sz w:val="20"/>
                <w:szCs w:val="20"/>
                <w:lang w:eastAsia="lv-LV"/>
              </w:rPr>
              <w:t>50</w:t>
            </w:r>
          </w:p>
        </w:tc>
      </w:tr>
    </w:tbl>
    <w:p w:rsidR="001C5E21" w:rsidRDefault="00054C14" w:rsidP="00887DF7">
      <w:pPr>
        <w:ind w:left="1440" w:firstLine="720"/>
        <w:jc w:val="both"/>
        <w:rPr>
          <w:sz w:val="20"/>
        </w:rPr>
      </w:pPr>
      <w:r>
        <w:rPr>
          <w:sz w:val="20"/>
        </w:rPr>
        <w:t>Avots: LM</w:t>
      </w:r>
      <w:r w:rsidR="00CE1EEE">
        <w:rPr>
          <w:sz w:val="20"/>
        </w:rPr>
        <w:t xml:space="preserve"> (apmēri noapaļoti)</w:t>
      </w:r>
      <w:r w:rsidR="00887DF7">
        <w:rPr>
          <w:sz w:val="20"/>
        </w:rPr>
        <w:t xml:space="preserve">; </w:t>
      </w:r>
    </w:p>
    <w:p w:rsidR="00C84374" w:rsidRPr="00173A24" w:rsidRDefault="00C84374" w:rsidP="00887DF7">
      <w:pPr>
        <w:ind w:left="1440" w:firstLine="720"/>
        <w:jc w:val="both"/>
        <w:rPr>
          <w:sz w:val="20"/>
        </w:rPr>
      </w:pPr>
      <w:r w:rsidRPr="00173A24">
        <w:rPr>
          <w:sz w:val="20"/>
        </w:rPr>
        <w:t xml:space="preserve">* </w:t>
      </w:r>
      <w:r w:rsidR="00645E4F">
        <w:rPr>
          <w:sz w:val="20"/>
        </w:rPr>
        <w:t>57</w:t>
      </w:r>
      <w:r w:rsidR="00CE1EEE">
        <w:rPr>
          <w:sz w:val="20"/>
        </w:rPr>
        <w:t xml:space="preserve"> </w:t>
      </w:r>
      <w:proofErr w:type="spellStart"/>
      <w:r w:rsidR="00CE1EEE" w:rsidRPr="00CE1EEE">
        <w:rPr>
          <w:i/>
          <w:iCs/>
          <w:sz w:val="20"/>
        </w:rPr>
        <w:t>euro</w:t>
      </w:r>
      <w:proofErr w:type="spellEnd"/>
      <w:r w:rsidR="00645E4F">
        <w:rPr>
          <w:sz w:val="20"/>
        </w:rPr>
        <w:t xml:space="preserve"> pilngadīgai personai</w:t>
      </w:r>
      <w:r w:rsidR="00645E4F" w:rsidRPr="00173A24">
        <w:rPr>
          <w:sz w:val="20"/>
        </w:rPr>
        <w:t xml:space="preserve">, </w:t>
      </w:r>
      <w:r w:rsidR="00645E4F">
        <w:rPr>
          <w:sz w:val="20"/>
        </w:rPr>
        <w:t xml:space="preserve">64 </w:t>
      </w:r>
      <w:proofErr w:type="spellStart"/>
      <w:r w:rsidR="00CE1EEE" w:rsidRPr="00CE1EEE">
        <w:rPr>
          <w:i/>
          <w:iCs/>
          <w:sz w:val="20"/>
        </w:rPr>
        <w:t>euro</w:t>
      </w:r>
      <w:proofErr w:type="spellEnd"/>
      <w:r w:rsidR="00CE1EEE">
        <w:rPr>
          <w:sz w:val="20"/>
        </w:rPr>
        <w:t xml:space="preserve"> </w:t>
      </w:r>
      <w:r w:rsidR="00645E4F" w:rsidRPr="00173A24">
        <w:rPr>
          <w:sz w:val="20"/>
        </w:rPr>
        <w:t>bērnam</w:t>
      </w:r>
    </w:p>
    <w:p w:rsidR="001C5E21" w:rsidRDefault="001C5E21" w:rsidP="00084A51">
      <w:pPr>
        <w:ind w:firstLine="720"/>
        <w:jc w:val="both"/>
      </w:pPr>
    </w:p>
    <w:p w:rsidR="00413518" w:rsidRPr="00173A24" w:rsidRDefault="00413518" w:rsidP="00084A51">
      <w:pPr>
        <w:ind w:firstLine="720"/>
        <w:jc w:val="both"/>
      </w:pPr>
      <w:r w:rsidRPr="00173A24">
        <w:lastRenderedPageBreak/>
        <w:t>Pabalstu GMI līmeņa nodrošināšanai ir tiesīgas saņemt ģimenes vai atsevišķi dzīvojošas personas, kuras atzītas par trūcīgām</w:t>
      </w:r>
      <w:r w:rsidR="00596716">
        <w:t>, un uz periodu, uz kuru noteikta atbilstība trūcīgas ģimenes (personas) status</w:t>
      </w:r>
      <w:r w:rsidR="00F05AAE">
        <w:t xml:space="preserve">am ( no 3-6 mēnešiem). </w:t>
      </w:r>
      <w:r w:rsidR="00D574DE">
        <w:t xml:space="preserve">Tomēr </w:t>
      </w:r>
      <w:r>
        <w:t>ne visas par trūcīgām atzītās personas ir tiesīgas pretendēt uz šo pabalstu, ņemot vērā GMI zemo līmeni</w:t>
      </w:r>
      <w:r w:rsidR="00D574DE">
        <w:t xml:space="preserve">. </w:t>
      </w:r>
      <w:r w:rsidR="00AD74AA">
        <w:t xml:space="preserve">Proti, tiesības saņemt GMI pabalstu nav personām, kuru ienākumi pārsniedz GMI līmeni, bet ir zemāki par trūcīgas personas ienākumu līmeni (no 49,80 </w:t>
      </w:r>
      <w:proofErr w:type="spellStart"/>
      <w:r w:rsidR="00084A51" w:rsidRPr="00BD0F8B">
        <w:rPr>
          <w:i/>
          <w:iCs/>
        </w:rPr>
        <w:t>euro</w:t>
      </w:r>
      <w:proofErr w:type="spellEnd"/>
      <w:r w:rsidR="00084A51">
        <w:t xml:space="preserve"> </w:t>
      </w:r>
      <w:r w:rsidR="00AD74AA">
        <w:t>līdz 128,06</w:t>
      </w:r>
      <w:r w:rsidR="00084A51" w:rsidRPr="00084A51">
        <w:rPr>
          <w:i/>
          <w:iCs/>
        </w:rPr>
        <w:t xml:space="preserve"> </w:t>
      </w:r>
      <w:proofErr w:type="spellStart"/>
      <w:r w:rsidR="00084A51" w:rsidRPr="00BD0F8B">
        <w:rPr>
          <w:i/>
          <w:iCs/>
        </w:rPr>
        <w:t>euro</w:t>
      </w:r>
      <w:proofErr w:type="spellEnd"/>
      <w:r w:rsidR="00AD74AA">
        <w:t xml:space="preserve">). </w:t>
      </w:r>
      <w:r>
        <w:t>Ar GMI pabalsta</w:t>
      </w:r>
      <w:r w:rsidRPr="00173A24">
        <w:t xml:space="preserve"> </w:t>
      </w:r>
      <w:r>
        <w:t xml:space="preserve">palīdzību </w:t>
      </w:r>
      <w:r w:rsidRPr="00173A24">
        <w:t xml:space="preserve">katram ģimenes loceklim </w:t>
      </w:r>
      <w:r>
        <w:t xml:space="preserve">tiek </w:t>
      </w:r>
      <w:r w:rsidRPr="00173A24">
        <w:t>nodrošin</w:t>
      </w:r>
      <w:r>
        <w:t>āts</w:t>
      </w:r>
      <w:r w:rsidRPr="00173A24">
        <w:t xml:space="preserve"> </w:t>
      </w:r>
      <w:r>
        <w:t xml:space="preserve">valsts vai pašvaldības noteiktais </w:t>
      </w:r>
      <w:r w:rsidRPr="00173A24">
        <w:t>GMI līmeni</w:t>
      </w:r>
      <w:r>
        <w:t>s. GMI pabalstu</w:t>
      </w:r>
      <w:r w:rsidRPr="00173A24">
        <w:t xml:space="preserve"> aprēķina kā starpību starp Ministru kabineta vai pašvaldības noteikto GMI līmeni (201</w:t>
      </w:r>
      <w:r>
        <w:t>4</w:t>
      </w:r>
      <w:r w:rsidRPr="00173A24">
        <w:t xml:space="preserve">.gadā valsts noteiktais </w:t>
      </w:r>
      <w:r w:rsidR="002D6894">
        <w:t>49,80</w:t>
      </w:r>
      <w:r w:rsidR="00D574DE">
        <w:t xml:space="preserve"> </w:t>
      </w:r>
      <w:proofErr w:type="spellStart"/>
      <w:r w:rsidR="00D770F2" w:rsidRPr="00D770F2">
        <w:rPr>
          <w:i/>
          <w:iCs/>
        </w:rPr>
        <w:t>euro</w:t>
      </w:r>
      <w:proofErr w:type="spellEnd"/>
      <w:r w:rsidRPr="00173A24">
        <w:t xml:space="preserve"> mēnesī) katram ģimenes loceklim un trūcīgas ģimenes </w:t>
      </w:r>
      <w:r w:rsidR="00DE5AFD">
        <w:t>(personas) kopējiem ienākumiem</w:t>
      </w:r>
      <w:r w:rsidR="00DE5AFD">
        <w:rPr>
          <w:rStyle w:val="FootnoteReference"/>
        </w:rPr>
        <w:footnoteReference w:id="40"/>
      </w:r>
      <w:r w:rsidR="00DE5AFD">
        <w:t>.</w:t>
      </w:r>
      <w:r w:rsidRPr="00173A24">
        <w:t xml:space="preserve"> </w:t>
      </w:r>
    </w:p>
    <w:p w:rsidR="00C84374" w:rsidRDefault="00D574DE" w:rsidP="00C84374">
      <w:pPr>
        <w:ind w:firstLine="720"/>
        <w:jc w:val="both"/>
      </w:pPr>
      <w:r>
        <w:t>P</w:t>
      </w:r>
      <w:r w:rsidRPr="00173A24">
        <w:t>ašvaldības ir tiesīgas noteikt augstāku GMI līmeni</w:t>
      </w:r>
      <w:r w:rsidR="00E825CB">
        <w:rPr>
          <w:rStyle w:val="FootnoteReference"/>
        </w:rPr>
        <w:footnoteReference w:id="41"/>
      </w:r>
      <w:r w:rsidRPr="00173A24">
        <w:t>, nekā to ir noteikusi valsts</w:t>
      </w:r>
      <w:r>
        <w:t>,</w:t>
      </w:r>
      <w:r w:rsidRPr="00C07F8C">
        <w:t xml:space="preserve"> </w:t>
      </w:r>
      <w:r>
        <w:t>lai nodrošinātu lielāku aizsardzību iedzīvotājiem ar viszemākajiem ienākumiem. Zemāk 5.tabulā ir redzams</w:t>
      </w:r>
      <w:r w:rsidRPr="00173A24">
        <w:t xml:space="preserve">, vai </w:t>
      </w:r>
      <w:r>
        <w:t xml:space="preserve">un cik </w:t>
      </w:r>
      <w:r w:rsidRPr="00173A24">
        <w:t>pašvaldības izma</w:t>
      </w:r>
      <w:r>
        <w:t>nto šo likumā noteikto normu, un, ja izmanto, kāds ir noteiktais GMI līmenis.</w:t>
      </w:r>
      <w:r w:rsidR="00645E4F">
        <w:t xml:space="preserve"> </w:t>
      </w:r>
    </w:p>
    <w:p w:rsidR="00054C14" w:rsidRDefault="00AC7260" w:rsidP="00054C14">
      <w:pPr>
        <w:ind w:firstLine="720"/>
        <w:jc w:val="right"/>
      </w:pPr>
      <w:r>
        <w:t>5.t</w:t>
      </w:r>
      <w:r w:rsidR="00DA32CA" w:rsidRPr="0084615B">
        <w:t xml:space="preserve">abula. </w:t>
      </w:r>
    </w:p>
    <w:p w:rsidR="00DA32CA" w:rsidRPr="000A7DDC" w:rsidRDefault="005B70E9" w:rsidP="00054C14">
      <w:pPr>
        <w:ind w:firstLine="720"/>
        <w:jc w:val="center"/>
        <w:rPr>
          <w:bCs/>
        </w:rPr>
      </w:pPr>
      <w:r w:rsidRPr="000A7DDC">
        <w:rPr>
          <w:bCs/>
        </w:rPr>
        <w:t>P</w:t>
      </w:r>
      <w:r w:rsidR="002D6894" w:rsidRPr="000A7DDC">
        <w:rPr>
          <w:bCs/>
        </w:rPr>
        <w:t xml:space="preserve">ašvaldību noteiktais GMI līmenis </w:t>
      </w:r>
      <w:r w:rsidRPr="000A7DDC">
        <w:rPr>
          <w:bCs/>
        </w:rPr>
        <w:t>2010.- 2012.gadā</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898"/>
        <w:gridCol w:w="1985"/>
        <w:gridCol w:w="1842"/>
      </w:tblGrid>
      <w:tr w:rsidR="00F7291B" w:rsidRPr="0084615B" w:rsidTr="00CA467F">
        <w:trPr>
          <w:jc w:val="center"/>
        </w:trPr>
        <w:tc>
          <w:tcPr>
            <w:tcW w:w="1646" w:type="dxa"/>
            <w:shd w:val="clear" w:color="auto" w:fill="auto"/>
          </w:tcPr>
          <w:p w:rsidR="00F7291B" w:rsidRPr="0084615B" w:rsidRDefault="00F7291B" w:rsidP="004035A0">
            <w:pPr>
              <w:pStyle w:val="ListParagraph"/>
              <w:tabs>
                <w:tab w:val="left" w:pos="426"/>
              </w:tabs>
              <w:ind w:left="0"/>
              <w:jc w:val="both"/>
              <w:rPr>
                <w:rFonts w:ascii="Times New Roman" w:hAnsi="Times New Roman"/>
                <w:color w:val="000000"/>
                <w:sz w:val="20"/>
                <w:szCs w:val="20"/>
              </w:rPr>
            </w:pPr>
            <w:r w:rsidRPr="0084615B">
              <w:rPr>
                <w:rFonts w:ascii="Times New Roman" w:hAnsi="Times New Roman"/>
                <w:color w:val="000000"/>
                <w:sz w:val="20"/>
                <w:szCs w:val="20"/>
              </w:rPr>
              <w:tab/>
            </w:r>
          </w:p>
        </w:tc>
        <w:tc>
          <w:tcPr>
            <w:tcW w:w="1898" w:type="dxa"/>
            <w:shd w:val="clear" w:color="auto" w:fill="auto"/>
          </w:tcPr>
          <w:p w:rsidR="00F7291B" w:rsidRPr="0084615B" w:rsidRDefault="00F7291B" w:rsidP="006A0572">
            <w:pPr>
              <w:pStyle w:val="ListParagraph"/>
              <w:tabs>
                <w:tab w:val="left" w:pos="426"/>
              </w:tabs>
              <w:ind w:left="0"/>
              <w:jc w:val="center"/>
              <w:rPr>
                <w:rFonts w:ascii="Times New Roman" w:hAnsi="Times New Roman"/>
                <w:b/>
                <w:color w:val="000000"/>
                <w:sz w:val="20"/>
                <w:szCs w:val="20"/>
              </w:rPr>
            </w:pPr>
            <w:r w:rsidRPr="0084615B">
              <w:rPr>
                <w:rFonts w:ascii="Times New Roman" w:hAnsi="Times New Roman"/>
                <w:b/>
                <w:color w:val="000000"/>
                <w:sz w:val="20"/>
                <w:szCs w:val="20"/>
              </w:rPr>
              <w:t>Pilngadīga</w:t>
            </w:r>
            <w:r>
              <w:rPr>
                <w:rFonts w:ascii="Times New Roman" w:hAnsi="Times New Roman"/>
                <w:b/>
                <w:color w:val="000000"/>
                <w:sz w:val="20"/>
                <w:szCs w:val="20"/>
              </w:rPr>
              <w:t>i</w:t>
            </w:r>
            <w:r w:rsidRPr="0084615B">
              <w:rPr>
                <w:rFonts w:ascii="Times New Roman" w:hAnsi="Times New Roman"/>
                <w:b/>
                <w:color w:val="000000"/>
                <w:sz w:val="20"/>
                <w:szCs w:val="20"/>
              </w:rPr>
              <w:t xml:space="preserve"> persona</w:t>
            </w:r>
            <w:r>
              <w:rPr>
                <w:rFonts w:ascii="Times New Roman" w:hAnsi="Times New Roman"/>
                <w:b/>
                <w:color w:val="000000"/>
                <w:sz w:val="20"/>
                <w:szCs w:val="20"/>
              </w:rPr>
              <w:t>i</w:t>
            </w:r>
            <w:r w:rsidRPr="0084615B">
              <w:rPr>
                <w:rFonts w:ascii="Times New Roman" w:hAnsi="Times New Roman"/>
                <w:b/>
                <w:color w:val="000000"/>
                <w:sz w:val="20"/>
                <w:szCs w:val="20"/>
              </w:rPr>
              <w:t xml:space="preserve"> ar invaliditāti</w:t>
            </w:r>
          </w:p>
        </w:tc>
        <w:tc>
          <w:tcPr>
            <w:tcW w:w="1985" w:type="dxa"/>
            <w:shd w:val="clear" w:color="auto" w:fill="auto"/>
          </w:tcPr>
          <w:p w:rsidR="00F7291B" w:rsidRPr="0084615B" w:rsidRDefault="00F7291B" w:rsidP="006A0572">
            <w:pPr>
              <w:pStyle w:val="ListParagraph"/>
              <w:tabs>
                <w:tab w:val="left" w:pos="426"/>
              </w:tabs>
              <w:ind w:left="0"/>
              <w:jc w:val="center"/>
              <w:rPr>
                <w:rFonts w:ascii="Times New Roman" w:hAnsi="Times New Roman"/>
                <w:b/>
                <w:color w:val="000000"/>
                <w:sz w:val="20"/>
                <w:szCs w:val="20"/>
              </w:rPr>
            </w:pPr>
            <w:r w:rsidRPr="0084615B">
              <w:rPr>
                <w:rFonts w:ascii="Times New Roman" w:hAnsi="Times New Roman"/>
                <w:b/>
                <w:color w:val="000000"/>
                <w:sz w:val="20"/>
                <w:szCs w:val="20"/>
              </w:rPr>
              <w:t>Pensijas vecuma persona</w:t>
            </w:r>
            <w:r>
              <w:rPr>
                <w:rFonts w:ascii="Times New Roman" w:hAnsi="Times New Roman"/>
                <w:b/>
                <w:color w:val="000000"/>
                <w:sz w:val="20"/>
                <w:szCs w:val="20"/>
              </w:rPr>
              <w:t>i</w:t>
            </w:r>
          </w:p>
        </w:tc>
        <w:tc>
          <w:tcPr>
            <w:tcW w:w="1842" w:type="dxa"/>
            <w:shd w:val="clear" w:color="auto" w:fill="auto"/>
          </w:tcPr>
          <w:p w:rsidR="00F7291B" w:rsidRPr="0084615B" w:rsidRDefault="00F7291B" w:rsidP="006A0572">
            <w:pPr>
              <w:pStyle w:val="ListParagraph"/>
              <w:tabs>
                <w:tab w:val="left" w:pos="426"/>
              </w:tabs>
              <w:ind w:left="0"/>
              <w:jc w:val="center"/>
              <w:rPr>
                <w:rFonts w:ascii="Times New Roman" w:hAnsi="Times New Roman"/>
                <w:b/>
                <w:color w:val="000000"/>
                <w:sz w:val="20"/>
                <w:szCs w:val="20"/>
              </w:rPr>
            </w:pPr>
            <w:r w:rsidRPr="0084615B">
              <w:rPr>
                <w:rFonts w:ascii="Times New Roman" w:hAnsi="Times New Roman"/>
                <w:b/>
                <w:color w:val="000000"/>
                <w:sz w:val="20"/>
                <w:szCs w:val="20"/>
              </w:rPr>
              <w:t>Nepilngadīg</w:t>
            </w:r>
            <w:r>
              <w:rPr>
                <w:rFonts w:ascii="Times New Roman" w:hAnsi="Times New Roman"/>
                <w:b/>
                <w:color w:val="000000"/>
                <w:sz w:val="20"/>
                <w:szCs w:val="20"/>
              </w:rPr>
              <w:t>ai</w:t>
            </w:r>
            <w:r w:rsidRPr="0084615B">
              <w:rPr>
                <w:rFonts w:ascii="Times New Roman" w:hAnsi="Times New Roman"/>
                <w:b/>
                <w:color w:val="000000"/>
                <w:sz w:val="20"/>
                <w:szCs w:val="20"/>
              </w:rPr>
              <w:t xml:space="preserve"> persona</w:t>
            </w:r>
            <w:r>
              <w:rPr>
                <w:rFonts w:ascii="Times New Roman" w:hAnsi="Times New Roman"/>
                <w:b/>
                <w:color w:val="000000"/>
                <w:sz w:val="20"/>
                <w:szCs w:val="20"/>
              </w:rPr>
              <w:t>i</w:t>
            </w:r>
            <w:r w:rsidRPr="0084615B">
              <w:rPr>
                <w:rFonts w:ascii="Times New Roman" w:hAnsi="Times New Roman"/>
                <w:b/>
                <w:color w:val="000000"/>
                <w:sz w:val="20"/>
                <w:szCs w:val="20"/>
              </w:rPr>
              <w:t xml:space="preserve"> (bērni</w:t>
            </w:r>
            <w:r>
              <w:rPr>
                <w:rFonts w:ascii="Times New Roman" w:hAnsi="Times New Roman"/>
                <w:b/>
                <w:color w:val="000000"/>
                <w:sz w:val="20"/>
                <w:szCs w:val="20"/>
              </w:rPr>
              <w:t>em</w:t>
            </w:r>
            <w:r w:rsidRPr="0084615B">
              <w:rPr>
                <w:rFonts w:ascii="Times New Roman" w:hAnsi="Times New Roman"/>
                <w:b/>
                <w:color w:val="000000"/>
                <w:sz w:val="20"/>
                <w:szCs w:val="20"/>
              </w:rPr>
              <w:t>)</w:t>
            </w:r>
          </w:p>
        </w:tc>
      </w:tr>
      <w:tr w:rsidR="005A3991" w:rsidRPr="0084615B" w:rsidTr="00CA467F">
        <w:trPr>
          <w:jc w:val="center"/>
        </w:trPr>
        <w:tc>
          <w:tcPr>
            <w:tcW w:w="1646" w:type="dxa"/>
            <w:shd w:val="clear" w:color="auto" w:fill="auto"/>
          </w:tcPr>
          <w:p w:rsidR="005A3991" w:rsidRPr="0084615B" w:rsidRDefault="005A3991" w:rsidP="004035A0">
            <w:pPr>
              <w:pStyle w:val="ListParagraph"/>
              <w:tabs>
                <w:tab w:val="left" w:pos="426"/>
              </w:tabs>
              <w:ind w:left="0"/>
              <w:jc w:val="both"/>
              <w:rPr>
                <w:rFonts w:ascii="Times New Roman" w:hAnsi="Times New Roman"/>
                <w:b/>
                <w:color w:val="000000"/>
                <w:sz w:val="20"/>
                <w:szCs w:val="20"/>
              </w:rPr>
            </w:pPr>
            <w:r w:rsidRPr="0084615B">
              <w:rPr>
                <w:rFonts w:ascii="Times New Roman" w:hAnsi="Times New Roman"/>
                <w:b/>
                <w:color w:val="000000"/>
                <w:sz w:val="20"/>
                <w:szCs w:val="20"/>
              </w:rPr>
              <w:t>2010</w:t>
            </w:r>
          </w:p>
        </w:tc>
        <w:tc>
          <w:tcPr>
            <w:tcW w:w="1898" w:type="dxa"/>
            <w:shd w:val="clear" w:color="auto" w:fill="auto"/>
          </w:tcPr>
          <w:p w:rsidR="005A3991" w:rsidRPr="0084615B" w:rsidRDefault="005A3991" w:rsidP="0084615B">
            <w:pPr>
              <w:pStyle w:val="ListParagraph"/>
              <w:tabs>
                <w:tab w:val="left" w:pos="426"/>
              </w:tabs>
              <w:ind w:left="0"/>
              <w:jc w:val="center"/>
              <w:rPr>
                <w:rFonts w:ascii="Times New Roman" w:hAnsi="Times New Roman"/>
                <w:color w:val="000000"/>
                <w:sz w:val="20"/>
                <w:szCs w:val="20"/>
              </w:rPr>
            </w:pPr>
          </w:p>
        </w:tc>
        <w:tc>
          <w:tcPr>
            <w:tcW w:w="1985" w:type="dxa"/>
            <w:shd w:val="clear" w:color="auto" w:fill="auto"/>
          </w:tcPr>
          <w:p w:rsidR="005A3991" w:rsidRPr="0084615B" w:rsidRDefault="005A3991" w:rsidP="0084615B">
            <w:pPr>
              <w:pStyle w:val="ListParagraph"/>
              <w:tabs>
                <w:tab w:val="left" w:pos="426"/>
              </w:tabs>
              <w:ind w:left="0"/>
              <w:jc w:val="center"/>
              <w:rPr>
                <w:rFonts w:ascii="Times New Roman" w:hAnsi="Times New Roman"/>
                <w:color w:val="000000"/>
                <w:sz w:val="20"/>
                <w:szCs w:val="20"/>
              </w:rPr>
            </w:pPr>
          </w:p>
        </w:tc>
        <w:tc>
          <w:tcPr>
            <w:tcW w:w="1842" w:type="dxa"/>
            <w:shd w:val="clear" w:color="auto" w:fill="auto"/>
          </w:tcPr>
          <w:p w:rsidR="005A3991" w:rsidRPr="0084615B" w:rsidRDefault="005A3991" w:rsidP="0084615B">
            <w:pPr>
              <w:pStyle w:val="ListParagraph"/>
              <w:tabs>
                <w:tab w:val="left" w:pos="426"/>
              </w:tabs>
              <w:ind w:left="0"/>
              <w:jc w:val="center"/>
              <w:rPr>
                <w:rFonts w:ascii="Times New Roman" w:hAnsi="Times New Roman"/>
                <w:color w:val="000000"/>
                <w:sz w:val="20"/>
                <w:szCs w:val="20"/>
              </w:rPr>
            </w:pPr>
          </w:p>
        </w:tc>
      </w:tr>
      <w:tr w:rsidR="00EF0797" w:rsidRPr="0084615B" w:rsidTr="00CA467F">
        <w:trPr>
          <w:jc w:val="center"/>
        </w:trPr>
        <w:tc>
          <w:tcPr>
            <w:tcW w:w="1646" w:type="dxa"/>
            <w:shd w:val="clear" w:color="auto" w:fill="auto"/>
          </w:tcPr>
          <w:p w:rsidR="00EF0797" w:rsidRPr="0084615B" w:rsidRDefault="00F74DF6" w:rsidP="004035A0">
            <w:pPr>
              <w:pStyle w:val="ListParagraph"/>
              <w:tabs>
                <w:tab w:val="left" w:pos="426"/>
              </w:tabs>
              <w:ind w:left="0"/>
              <w:jc w:val="right"/>
              <w:rPr>
                <w:rFonts w:ascii="Times New Roman" w:hAnsi="Times New Roman"/>
                <w:i/>
                <w:color w:val="000000"/>
                <w:sz w:val="20"/>
                <w:szCs w:val="20"/>
              </w:rPr>
            </w:pPr>
            <w:r>
              <w:rPr>
                <w:rFonts w:ascii="Times New Roman" w:hAnsi="Times New Roman"/>
                <w:i/>
                <w:color w:val="000000"/>
                <w:sz w:val="20"/>
                <w:szCs w:val="20"/>
              </w:rPr>
              <w:t>Pašvaldību skaits</w:t>
            </w:r>
            <w:r w:rsidR="00EF0797" w:rsidRPr="0084615B">
              <w:rPr>
                <w:rFonts w:ascii="Times New Roman" w:hAnsi="Times New Roman"/>
                <w:i/>
                <w:color w:val="000000"/>
                <w:sz w:val="20"/>
                <w:szCs w:val="20"/>
              </w:rPr>
              <w:t xml:space="preserve">  </w:t>
            </w:r>
          </w:p>
        </w:tc>
        <w:tc>
          <w:tcPr>
            <w:tcW w:w="1898" w:type="dxa"/>
            <w:shd w:val="clear" w:color="auto" w:fill="auto"/>
          </w:tcPr>
          <w:p w:rsidR="00EF0797" w:rsidRPr="000A7DDC" w:rsidRDefault="00EF0797"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11</w:t>
            </w:r>
          </w:p>
        </w:tc>
        <w:tc>
          <w:tcPr>
            <w:tcW w:w="1985" w:type="dxa"/>
            <w:shd w:val="clear" w:color="auto" w:fill="auto"/>
          </w:tcPr>
          <w:p w:rsidR="00EF0797" w:rsidRPr="000A7DDC" w:rsidRDefault="00EF0797" w:rsidP="00240288">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10</w:t>
            </w:r>
          </w:p>
        </w:tc>
        <w:tc>
          <w:tcPr>
            <w:tcW w:w="1842" w:type="dxa"/>
            <w:shd w:val="clear" w:color="auto" w:fill="auto"/>
          </w:tcPr>
          <w:p w:rsidR="00EF0797" w:rsidRPr="000A7DDC" w:rsidRDefault="00463394"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4</w:t>
            </w:r>
          </w:p>
        </w:tc>
      </w:tr>
      <w:tr w:rsidR="00463394" w:rsidRPr="0084615B" w:rsidTr="00CA467F">
        <w:trPr>
          <w:jc w:val="center"/>
        </w:trPr>
        <w:tc>
          <w:tcPr>
            <w:tcW w:w="1646" w:type="dxa"/>
            <w:shd w:val="clear" w:color="auto" w:fill="auto"/>
          </w:tcPr>
          <w:p w:rsidR="00463394" w:rsidRPr="0084615B" w:rsidRDefault="00084A51" w:rsidP="004035A0">
            <w:pPr>
              <w:pStyle w:val="ListParagraph"/>
              <w:tabs>
                <w:tab w:val="left" w:pos="426"/>
              </w:tabs>
              <w:ind w:left="0"/>
              <w:jc w:val="right"/>
              <w:rPr>
                <w:rFonts w:ascii="Times New Roman" w:hAnsi="Times New Roman"/>
                <w:i/>
                <w:color w:val="000000"/>
                <w:sz w:val="20"/>
                <w:szCs w:val="20"/>
              </w:rPr>
            </w:pPr>
            <w:r w:rsidRPr="00BD0F8B">
              <w:rPr>
                <w:rFonts w:ascii="Times New Roman" w:hAnsi="Times New Roman"/>
                <w:i/>
                <w:iCs/>
                <w:color w:val="000000"/>
                <w:sz w:val="20"/>
                <w:szCs w:val="20"/>
              </w:rPr>
              <w:t>euro</w:t>
            </w:r>
          </w:p>
        </w:tc>
        <w:tc>
          <w:tcPr>
            <w:tcW w:w="1898"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57-128</w:t>
            </w:r>
          </w:p>
        </w:tc>
        <w:tc>
          <w:tcPr>
            <w:tcW w:w="1985" w:type="dxa"/>
            <w:shd w:val="clear" w:color="auto" w:fill="auto"/>
          </w:tcPr>
          <w:p w:rsidR="00463394" w:rsidRPr="0084615B" w:rsidRDefault="00463394" w:rsidP="00240288">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57-128</w:t>
            </w:r>
          </w:p>
        </w:tc>
        <w:tc>
          <w:tcPr>
            <w:tcW w:w="1842" w:type="dxa"/>
            <w:shd w:val="clear" w:color="auto" w:fill="auto"/>
          </w:tcPr>
          <w:p w:rsidR="00463394" w:rsidRPr="0084615B" w:rsidRDefault="00463394" w:rsidP="00240288">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57-128</w:t>
            </w:r>
          </w:p>
        </w:tc>
      </w:tr>
      <w:tr w:rsidR="00463394" w:rsidRPr="0084615B" w:rsidTr="00CA467F">
        <w:trPr>
          <w:jc w:val="center"/>
        </w:trPr>
        <w:tc>
          <w:tcPr>
            <w:tcW w:w="1646" w:type="dxa"/>
            <w:shd w:val="clear" w:color="auto" w:fill="auto"/>
          </w:tcPr>
          <w:p w:rsidR="00463394" w:rsidRPr="0084615B" w:rsidRDefault="00463394" w:rsidP="004035A0">
            <w:pPr>
              <w:pStyle w:val="ListParagraph"/>
              <w:tabs>
                <w:tab w:val="left" w:pos="426"/>
              </w:tabs>
              <w:ind w:left="0"/>
              <w:jc w:val="both"/>
              <w:rPr>
                <w:rFonts w:ascii="Times New Roman" w:hAnsi="Times New Roman"/>
                <w:b/>
                <w:color w:val="000000"/>
                <w:sz w:val="20"/>
                <w:szCs w:val="20"/>
              </w:rPr>
            </w:pPr>
            <w:r w:rsidRPr="0084615B">
              <w:rPr>
                <w:rFonts w:ascii="Times New Roman" w:hAnsi="Times New Roman"/>
                <w:b/>
                <w:color w:val="000000"/>
                <w:sz w:val="20"/>
                <w:szCs w:val="20"/>
              </w:rPr>
              <w:t>2011</w:t>
            </w:r>
          </w:p>
        </w:tc>
        <w:tc>
          <w:tcPr>
            <w:tcW w:w="1898"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p>
        </w:tc>
        <w:tc>
          <w:tcPr>
            <w:tcW w:w="1985"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p>
        </w:tc>
        <w:tc>
          <w:tcPr>
            <w:tcW w:w="1842"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p>
        </w:tc>
      </w:tr>
      <w:tr w:rsidR="00463394" w:rsidRPr="0084615B" w:rsidTr="00CA467F">
        <w:trPr>
          <w:jc w:val="center"/>
        </w:trPr>
        <w:tc>
          <w:tcPr>
            <w:tcW w:w="1646" w:type="dxa"/>
            <w:shd w:val="clear" w:color="auto" w:fill="auto"/>
          </w:tcPr>
          <w:p w:rsidR="00463394" w:rsidRPr="0084615B" w:rsidRDefault="00F74DF6" w:rsidP="004035A0">
            <w:pPr>
              <w:pStyle w:val="ListParagraph"/>
              <w:tabs>
                <w:tab w:val="left" w:pos="426"/>
              </w:tabs>
              <w:ind w:left="0"/>
              <w:jc w:val="right"/>
              <w:rPr>
                <w:rFonts w:ascii="Times New Roman" w:hAnsi="Times New Roman"/>
                <w:i/>
                <w:color w:val="000000"/>
                <w:sz w:val="20"/>
                <w:szCs w:val="20"/>
              </w:rPr>
            </w:pPr>
            <w:r>
              <w:rPr>
                <w:rFonts w:ascii="Times New Roman" w:hAnsi="Times New Roman"/>
                <w:i/>
                <w:color w:val="000000"/>
                <w:sz w:val="20"/>
                <w:szCs w:val="20"/>
              </w:rPr>
              <w:t>Pašvaldību skaits</w:t>
            </w:r>
            <w:r w:rsidRPr="0084615B">
              <w:rPr>
                <w:rFonts w:ascii="Times New Roman" w:hAnsi="Times New Roman"/>
                <w:i/>
                <w:color w:val="000000"/>
                <w:sz w:val="20"/>
                <w:szCs w:val="20"/>
              </w:rPr>
              <w:t xml:space="preserve">  </w:t>
            </w:r>
          </w:p>
        </w:tc>
        <w:tc>
          <w:tcPr>
            <w:tcW w:w="1898" w:type="dxa"/>
            <w:shd w:val="clear" w:color="auto" w:fill="auto"/>
          </w:tcPr>
          <w:p w:rsidR="00463394" w:rsidRPr="000A7DDC" w:rsidRDefault="00463394"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11</w:t>
            </w:r>
          </w:p>
        </w:tc>
        <w:tc>
          <w:tcPr>
            <w:tcW w:w="1985" w:type="dxa"/>
            <w:shd w:val="clear" w:color="auto" w:fill="auto"/>
          </w:tcPr>
          <w:p w:rsidR="00463394" w:rsidRPr="000A7DDC" w:rsidRDefault="00463394"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9</w:t>
            </w:r>
          </w:p>
        </w:tc>
        <w:tc>
          <w:tcPr>
            <w:tcW w:w="1842" w:type="dxa"/>
            <w:shd w:val="clear" w:color="auto" w:fill="auto"/>
          </w:tcPr>
          <w:p w:rsidR="00463394" w:rsidRPr="000A7DDC" w:rsidRDefault="00463394"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3</w:t>
            </w:r>
          </w:p>
        </w:tc>
      </w:tr>
      <w:tr w:rsidR="00463394" w:rsidRPr="0084615B" w:rsidTr="00CA467F">
        <w:trPr>
          <w:jc w:val="center"/>
        </w:trPr>
        <w:tc>
          <w:tcPr>
            <w:tcW w:w="1646" w:type="dxa"/>
            <w:shd w:val="clear" w:color="auto" w:fill="auto"/>
          </w:tcPr>
          <w:p w:rsidR="00463394" w:rsidRPr="0084615B" w:rsidRDefault="00084A51" w:rsidP="004035A0">
            <w:pPr>
              <w:pStyle w:val="ListParagraph"/>
              <w:tabs>
                <w:tab w:val="left" w:pos="426"/>
              </w:tabs>
              <w:ind w:left="0"/>
              <w:jc w:val="right"/>
              <w:rPr>
                <w:rFonts w:ascii="Times New Roman" w:hAnsi="Times New Roman"/>
                <w:i/>
                <w:color w:val="000000"/>
                <w:sz w:val="20"/>
                <w:szCs w:val="20"/>
              </w:rPr>
            </w:pPr>
            <w:r w:rsidRPr="00BD0F8B">
              <w:rPr>
                <w:rFonts w:ascii="Times New Roman" w:hAnsi="Times New Roman"/>
                <w:i/>
                <w:iCs/>
                <w:color w:val="000000"/>
                <w:sz w:val="20"/>
                <w:szCs w:val="20"/>
              </w:rPr>
              <w:t>euro</w:t>
            </w:r>
          </w:p>
        </w:tc>
        <w:tc>
          <w:tcPr>
            <w:tcW w:w="1898" w:type="dxa"/>
            <w:shd w:val="clear" w:color="auto" w:fill="auto"/>
          </w:tcPr>
          <w:p w:rsidR="00463394" w:rsidRPr="0084615B" w:rsidRDefault="00463394" w:rsidP="00240288">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85-128</w:t>
            </w:r>
          </w:p>
        </w:tc>
        <w:tc>
          <w:tcPr>
            <w:tcW w:w="1985" w:type="dxa"/>
            <w:shd w:val="clear" w:color="auto" w:fill="auto"/>
          </w:tcPr>
          <w:p w:rsidR="00463394" w:rsidRPr="0084615B" w:rsidRDefault="00463394" w:rsidP="00240288">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85-128</w:t>
            </w:r>
          </w:p>
        </w:tc>
        <w:tc>
          <w:tcPr>
            <w:tcW w:w="1842"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57-71</w:t>
            </w:r>
          </w:p>
        </w:tc>
      </w:tr>
      <w:tr w:rsidR="00463394" w:rsidRPr="0084615B" w:rsidTr="00CA467F">
        <w:trPr>
          <w:jc w:val="center"/>
        </w:trPr>
        <w:tc>
          <w:tcPr>
            <w:tcW w:w="1646" w:type="dxa"/>
            <w:shd w:val="clear" w:color="auto" w:fill="auto"/>
          </w:tcPr>
          <w:p w:rsidR="00463394" w:rsidRPr="0084615B" w:rsidRDefault="00463394" w:rsidP="004035A0">
            <w:pPr>
              <w:pStyle w:val="ListParagraph"/>
              <w:tabs>
                <w:tab w:val="left" w:pos="426"/>
              </w:tabs>
              <w:ind w:left="0"/>
              <w:jc w:val="both"/>
              <w:rPr>
                <w:rFonts w:ascii="Times New Roman" w:hAnsi="Times New Roman"/>
                <w:b/>
                <w:color w:val="000000"/>
                <w:sz w:val="20"/>
                <w:szCs w:val="20"/>
              </w:rPr>
            </w:pPr>
            <w:r w:rsidRPr="0084615B">
              <w:rPr>
                <w:rFonts w:ascii="Times New Roman" w:hAnsi="Times New Roman"/>
                <w:b/>
                <w:color w:val="000000"/>
                <w:sz w:val="20"/>
                <w:szCs w:val="20"/>
              </w:rPr>
              <w:t>2012</w:t>
            </w:r>
          </w:p>
        </w:tc>
        <w:tc>
          <w:tcPr>
            <w:tcW w:w="1898"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p>
        </w:tc>
        <w:tc>
          <w:tcPr>
            <w:tcW w:w="1985"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p>
        </w:tc>
        <w:tc>
          <w:tcPr>
            <w:tcW w:w="1842"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p>
        </w:tc>
      </w:tr>
      <w:tr w:rsidR="00463394" w:rsidRPr="0084615B" w:rsidTr="00CA467F">
        <w:trPr>
          <w:jc w:val="center"/>
        </w:trPr>
        <w:tc>
          <w:tcPr>
            <w:tcW w:w="1646" w:type="dxa"/>
            <w:shd w:val="clear" w:color="auto" w:fill="auto"/>
          </w:tcPr>
          <w:p w:rsidR="00463394" w:rsidRPr="0084615B" w:rsidRDefault="00F74DF6" w:rsidP="004035A0">
            <w:pPr>
              <w:pStyle w:val="ListParagraph"/>
              <w:tabs>
                <w:tab w:val="left" w:pos="426"/>
              </w:tabs>
              <w:ind w:left="0"/>
              <w:jc w:val="right"/>
              <w:rPr>
                <w:rFonts w:ascii="Times New Roman" w:hAnsi="Times New Roman"/>
                <w:i/>
                <w:color w:val="000000"/>
                <w:sz w:val="20"/>
                <w:szCs w:val="20"/>
              </w:rPr>
            </w:pPr>
            <w:r>
              <w:rPr>
                <w:rFonts w:ascii="Times New Roman" w:hAnsi="Times New Roman"/>
                <w:i/>
                <w:color w:val="000000"/>
                <w:sz w:val="20"/>
                <w:szCs w:val="20"/>
              </w:rPr>
              <w:t>Pašvaldību skaits</w:t>
            </w:r>
            <w:r w:rsidRPr="0084615B">
              <w:rPr>
                <w:rFonts w:ascii="Times New Roman" w:hAnsi="Times New Roman"/>
                <w:i/>
                <w:color w:val="000000"/>
                <w:sz w:val="20"/>
                <w:szCs w:val="20"/>
              </w:rPr>
              <w:t xml:space="preserve">  </w:t>
            </w:r>
          </w:p>
        </w:tc>
        <w:tc>
          <w:tcPr>
            <w:tcW w:w="1898" w:type="dxa"/>
            <w:shd w:val="clear" w:color="auto" w:fill="auto"/>
          </w:tcPr>
          <w:p w:rsidR="00463394" w:rsidRPr="000A7DDC" w:rsidRDefault="00463394"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5</w:t>
            </w:r>
          </w:p>
        </w:tc>
        <w:tc>
          <w:tcPr>
            <w:tcW w:w="1985" w:type="dxa"/>
            <w:shd w:val="clear" w:color="auto" w:fill="auto"/>
          </w:tcPr>
          <w:p w:rsidR="00463394" w:rsidRPr="000A7DDC" w:rsidRDefault="00463394"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6</w:t>
            </w:r>
          </w:p>
        </w:tc>
        <w:tc>
          <w:tcPr>
            <w:tcW w:w="1842" w:type="dxa"/>
            <w:shd w:val="clear" w:color="auto" w:fill="auto"/>
          </w:tcPr>
          <w:p w:rsidR="00463394" w:rsidRPr="000A7DDC" w:rsidRDefault="00463394"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1</w:t>
            </w:r>
          </w:p>
        </w:tc>
      </w:tr>
      <w:tr w:rsidR="00463394" w:rsidRPr="0084615B" w:rsidTr="00CA467F">
        <w:trPr>
          <w:jc w:val="center"/>
        </w:trPr>
        <w:tc>
          <w:tcPr>
            <w:tcW w:w="1646" w:type="dxa"/>
            <w:shd w:val="clear" w:color="auto" w:fill="auto"/>
          </w:tcPr>
          <w:p w:rsidR="00463394" w:rsidRPr="0084615B" w:rsidRDefault="00084A51" w:rsidP="004035A0">
            <w:pPr>
              <w:pStyle w:val="ListParagraph"/>
              <w:tabs>
                <w:tab w:val="left" w:pos="426"/>
              </w:tabs>
              <w:ind w:left="0"/>
              <w:jc w:val="right"/>
              <w:rPr>
                <w:rFonts w:ascii="Times New Roman" w:hAnsi="Times New Roman"/>
                <w:i/>
                <w:color w:val="000000"/>
                <w:sz w:val="20"/>
                <w:szCs w:val="20"/>
              </w:rPr>
            </w:pPr>
            <w:r w:rsidRPr="00BD0F8B">
              <w:rPr>
                <w:rFonts w:ascii="Times New Roman" w:hAnsi="Times New Roman"/>
                <w:i/>
                <w:iCs/>
                <w:color w:val="000000"/>
                <w:sz w:val="20"/>
                <w:szCs w:val="20"/>
              </w:rPr>
              <w:t>euro</w:t>
            </w:r>
          </w:p>
        </w:tc>
        <w:tc>
          <w:tcPr>
            <w:tcW w:w="1898"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107-128</w:t>
            </w:r>
          </w:p>
        </w:tc>
        <w:tc>
          <w:tcPr>
            <w:tcW w:w="1985" w:type="dxa"/>
            <w:shd w:val="clear" w:color="auto" w:fill="auto"/>
          </w:tcPr>
          <w:p w:rsidR="00463394" w:rsidRPr="0084615B" w:rsidRDefault="00463394" w:rsidP="00240288">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107-128</w:t>
            </w:r>
          </w:p>
        </w:tc>
        <w:tc>
          <w:tcPr>
            <w:tcW w:w="1842"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57</w:t>
            </w:r>
          </w:p>
        </w:tc>
      </w:tr>
    </w:tbl>
    <w:p w:rsidR="00DA32CA" w:rsidRPr="00F05AAE" w:rsidRDefault="00F05AAE" w:rsidP="002D6894">
      <w:pPr>
        <w:pStyle w:val="ListParagraph"/>
        <w:tabs>
          <w:tab w:val="left" w:pos="426"/>
        </w:tabs>
        <w:ind w:left="0"/>
        <w:jc w:val="both"/>
        <w:rPr>
          <w:rFonts w:ascii="Times New Roman" w:hAnsi="Times New Roman"/>
          <w:color w:val="000000"/>
          <w:sz w:val="20"/>
        </w:rPr>
      </w:pPr>
      <w:r>
        <w:rPr>
          <w:rFonts w:ascii="Times New Roman" w:hAnsi="Times New Roman"/>
          <w:color w:val="000000"/>
          <w:sz w:val="20"/>
        </w:rPr>
        <w:tab/>
      </w:r>
      <w:r w:rsidR="005B70E9" w:rsidRPr="00F05AAE">
        <w:rPr>
          <w:rFonts w:ascii="Times New Roman" w:hAnsi="Times New Roman"/>
          <w:color w:val="000000"/>
          <w:sz w:val="20"/>
        </w:rPr>
        <w:t>Avots:</w:t>
      </w:r>
      <w:r w:rsidR="00D574DE" w:rsidRPr="00F05AAE">
        <w:rPr>
          <w:rFonts w:ascii="Times New Roman" w:hAnsi="Times New Roman"/>
          <w:color w:val="000000"/>
          <w:sz w:val="20"/>
        </w:rPr>
        <w:t xml:space="preserve"> LM apkopojums pēc </w:t>
      </w:r>
      <w:r w:rsidR="002D6894" w:rsidRPr="00F05AAE">
        <w:rPr>
          <w:rFonts w:ascii="Times New Roman" w:hAnsi="Times New Roman"/>
          <w:color w:val="000000"/>
          <w:sz w:val="20"/>
        </w:rPr>
        <w:t xml:space="preserve">veiktās </w:t>
      </w:r>
      <w:r w:rsidR="00D574DE" w:rsidRPr="00F05AAE">
        <w:rPr>
          <w:rFonts w:ascii="Times New Roman" w:hAnsi="Times New Roman"/>
          <w:color w:val="000000"/>
          <w:sz w:val="20"/>
        </w:rPr>
        <w:t>pašv</w:t>
      </w:r>
      <w:r w:rsidR="002D6894" w:rsidRPr="00F05AAE">
        <w:rPr>
          <w:rFonts w:ascii="Times New Roman" w:hAnsi="Times New Roman"/>
          <w:color w:val="000000"/>
          <w:sz w:val="20"/>
        </w:rPr>
        <w:t>a</w:t>
      </w:r>
      <w:r w:rsidR="00D574DE" w:rsidRPr="00F05AAE">
        <w:rPr>
          <w:rFonts w:ascii="Times New Roman" w:hAnsi="Times New Roman"/>
          <w:color w:val="000000"/>
          <w:sz w:val="20"/>
        </w:rPr>
        <w:t xml:space="preserve">ldību </w:t>
      </w:r>
      <w:r w:rsidR="002D6894" w:rsidRPr="00F05AAE">
        <w:rPr>
          <w:rFonts w:ascii="Times New Roman" w:hAnsi="Times New Roman"/>
          <w:color w:val="000000"/>
          <w:sz w:val="20"/>
        </w:rPr>
        <w:t>sociālo dienestu aptaujas</w:t>
      </w:r>
      <w:r w:rsidR="00E2472B">
        <w:rPr>
          <w:rStyle w:val="FootnoteReference"/>
          <w:rFonts w:ascii="Times New Roman" w:hAnsi="Times New Roman"/>
          <w:color w:val="000000"/>
          <w:sz w:val="20"/>
        </w:rPr>
        <w:footnoteReference w:id="42"/>
      </w:r>
      <w:r w:rsidR="002D6894" w:rsidRPr="00F05AAE">
        <w:rPr>
          <w:rFonts w:ascii="Times New Roman" w:hAnsi="Times New Roman"/>
          <w:color w:val="000000"/>
          <w:sz w:val="20"/>
        </w:rPr>
        <w:t>.</w:t>
      </w:r>
    </w:p>
    <w:p w:rsidR="00D574DE" w:rsidRDefault="00D574DE" w:rsidP="00803842">
      <w:pPr>
        <w:pStyle w:val="ListParagraph"/>
        <w:tabs>
          <w:tab w:val="left" w:pos="426"/>
        </w:tabs>
        <w:ind w:left="0"/>
        <w:jc w:val="both"/>
        <w:rPr>
          <w:rFonts w:ascii="Times New Roman" w:hAnsi="Times New Roman"/>
          <w:color w:val="000000"/>
        </w:rPr>
      </w:pPr>
    </w:p>
    <w:p w:rsidR="00B731CE" w:rsidRDefault="00ED4AC3" w:rsidP="009F1A16">
      <w:pPr>
        <w:ind w:firstLine="720"/>
        <w:jc w:val="both"/>
        <w:rPr>
          <w:rFonts w:ascii="Arial" w:hAnsi="Arial" w:cs="Arial"/>
          <w:sz w:val="28"/>
          <w:szCs w:val="28"/>
        </w:rPr>
      </w:pPr>
      <w:r w:rsidRPr="00ED4AC3">
        <w:rPr>
          <w:lang w:val="cs-CZ"/>
        </w:rPr>
        <w:t>Atšķirībā no maznodr</w:t>
      </w:r>
      <w:r w:rsidR="00735D40">
        <w:rPr>
          <w:lang w:val="cs-CZ"/>
        </w:rPr>
        <w:t>o</w:t>
      </w:r>
      <w:r w:rsidRPr="00ED4AC3">
        <w:rPr>
          <w:lang w:val="cs-CZ"/>
        </w:rPr>
        <w:t>šinātās personas ienākumu līmeņiem</w:t>
      </w:r>
      <w:r>
        <w:rPr>
          <w:lang w:val="cs-CZ"/>
        </w:rPr>
        <w:t>, kurus arī nosaka pašvaldības,</w:t>
      </w:r>
      <w:r w:rsidR="00D82E7B" w:rsidRPr="00D82E7B">
        <w:rPr>
          <w:lang w:val="cs-CZ"/>
        </w:rPr>
        <w:t xml:space="preserve"> </w:t>
      </w:r>
      <w:r w:rsidR="00413518">
        <w:rPr>
          <w:lang w:val="cs-CZ"/>
        </w:rPr>
        <w:t xml:space="preserve">iespējas noteikt augstāku GMI līmeni nekā to noteikusi valsts, </w:t>
      </w:r>
      <w:r w:rsidR="002511FB">
        <w:rPr>
          <w:lang w:val="cs-CZ"/>
        </w:rPr>
        <w:t xml:space="preserve">salīdzinoši </w:t>
      </w:r>
      <w:r w:rsidR="00413518">
        <w:rPr>
          <w:lang w:val="cs-CZ"/>
        </w:rPr>
        <w:t xml:space="preserve">izmanto ļoti </w:t>
      </w:r>
      <w:r w:rsidR="00803D75">
        <w:rPr>
          <w:lang w:val="cs-CZ"/>
        </w:rPr>
        <w:t xml:space="preserve">neliels skaits </w:t>
      </w:r>
      <w:r w:rsidR="00803D75" w:rsidRPr="004D1D2D">
        <w:rPr>
          <w:lang w:val="cs-CZ"/>
        </w:rPr>
        <w:t>pašvaldību</w:t>
      </w:r>
      <w:r w:rsidRPr="004D1D2D">
        <w:rPr>
          <w:lang w:val="cs-CZ"/>
        </w:rPr>
        <w:t xml:space="preserve">, lai gan tieši </w:t>
      </w:r>
      <w:r w:rsidRPr="00B731CE">
        <w:rPr>
          <w:u w:val="single"/>
          <w:lang w:val="cs-CZ"/>
        </w:rPr>
        <w:t xml:space="preserve">GMI </w:t>
      </w:r>
      <w:r w:rsidR="00413518" w:rsidRPr="00B731CE">
        <w:rPr>
          <w:u w:val="single"/>
          <w:lang w:val="cs-CZ"/>
        </w:rPr>
        <w:t>pabalsts</w:t>
      </w:r>
      <w:r w:rsidRPr="00B731CE">
        <w:rPr>
          <w:u w:val="single"/>
          <w:lang w:val="cs-CZ"/>
        </w:rPr>
        <w:t xml:space="preserve"> </w:t>
      </w:r>
      <w:r w:rsidR="00123C65" w:rsidRPr="00B731CE">
        <w:rPr>
          <w:u w:val="single"/>
          <w:lang w:val="cs-CZ"/>
        </w:rPr>
        <w:t>ir pēdējais iespējamais atbalsts no publiskiem resursiem</w:t>
      </w:r>
      <w:r w:rsidR="00123C65">
        <w:rPr>
          <w:lang w:val="cs-CZ"/>
        </w:rPr>
        <w:t xml:space="preserve"> iedzīvotājam ar viszemākajiem ienākumiem</w:t>
      </w:r>
      <w:r w:rsidR="00413518" w:rsidRPr="00413518">
        <w:rPr>
          <w:lang w:val="cs-CZ"/>
        </w:rPr>
        <w:t xml:space="preserve"> </w:t>
      </w:r>
      <w:r w:rsidR="00413518">
        <w:rPr>
          <w:lang w:val="cs-CZ"/>
        </w:rPr>
        <w:t>vai bez ienākumiem vispār</w:t>
      </w:r>
      <w:r>
        <w:rPr>
          <w:lang w:val="cs-CZ"/>
        </w:rPr>
        <w:t xml:space="preserve">. </w:t>
      </w:r>
      <w:r w:rsidR="009F1A16">
        <w:rPr>
          <w:lang w:val="cs-CZ"/>
        </w:rPr>
        <w:t>N</w:t>
      </w:r>
      <w:r w:rsidR="009F1A16" w:rsidRPr="00B731CE">
        <w:rPr>
          <w:lang w:val="cs-CZ"/>
        </w:rPr>
        <w:t>ovērtējum</w:t>
      </w:r>
      <w:r w:rsidR="009F1A16">
        <w:rPr>
          <w:lang w:val="cs-CZ"/>
        </w:rPr>
        <w:t>ā</w:t>
      </w:r>
      <w:r w:rsidR="009F1A16" w:rsidRPr="00B731CE">
        <w:rPr>
          <w:lang w:val="cs-CZ"/>
        </w:rPr>
        <w:t xml:space="preserve"> par iecerētajām strukturālajām reformām sociālās palīdzības politikas jomā</w:t>
      </w:r>
      <w:r w:rsidR="009F1A16" w:rsidRPr="00B731CE">
        <w:rPr>
          <w:rStyle w:val="FootnoteReference"/>
          <w:lang w:val="cs-CZ"/>
        </w:rPr>
        <w:footnoteReference w:id="43"/>
      </w:r>
      <w:r w:rsidR="009F1A16">
        <w:rPr>
          <w:lang w:val="cs-CZ"/>
        </w:rPr>
        <w:t xml:space="preserve"> </w:t>
      </w:r>
      <w:r w:rsidR="00B731CE" w:rsidRPr="00B731CE">
        <w:rPr>
          <w:lang w:val="cs-CZ"/>
        </w:rPr>
        <w:t>secināts, ka „[...] GMI pabalsts nespēj nodrošināt pamatvajadzības“ un „i</w:t>
      </w:r>
      <w:r w:rsidR="00B731CE" w:rsidRPr="00B731CE">
        <w:t>r nepieciešams ar ekonomiskiem aprēķiniem pamatots bāzes GMI apjoms, jo valsts noteiktais apjoms regulāri tiek mainīts, neliecinot par sociālekonomiski mērķētu sociālo politiku”.</w:t>
      </w:r>
      <w:r w:rsidR="00B731CE">
        <w:rPr>
          <w:rFonts w:ascii="Arial" w:hAnsi="Arial" w:cs="Arial"/>
          <w:sz w:val="28"/>
          <w:szCs w:val="28"/>
        </w:rPr>
        <w:t xml:space="preserve"> </w:t>
      </w:r>
    </w:p>
    <w:p w:rsidR="00C84374" w:rsidRPr="00ED4AC3" w:rsidRDefault="002511FB" w:rsidP="00803D75">
      <w:pPr>
        <w:ind w:firstLine="720"/>
        <w:jc w:val="both"/>
        <w:rPr>
          <w:lang w:val="cs-CZ"/>
        </w:rPr>
      </w:pPr>
      <w:r>
        <w:rPr>
          <w:lang w:val="cs-CZ"/>
        </w:rPr>
        <w:t>Līdz šim nav veikta analīze par šīs tendences iespējamajiem cēloņiem, tāpēc, vērtējot nepieciešamās izmaiņas sociālās palīdzības sistēmā, šis būs viens no ietvertaj</w:t>
      </w:r>
      <w:r w:rsidR="00FB29FC">
        <w:rPr>
          <w:lang w:val="cs-CZ"/>
        </w:rPr>
        <w:t>i</w:t>
      </w:r>
      <w:r>
        <w:rPr>
          <w:lang w:val="cs-CZ"/>
        </w:rPr>
        <w:t xml:space="preserve">em risināmajiem jautājumiem. </w:t>
      </w:r>
      <w:r w:rsidR="00ED4AC3">
        <w:rPr>
          <w:lang w:val="cs-CZ"/>
        </w:rPr>
        <w:t xml:space="preserve"> </w:t>
      </w:r>
    </w:p>
    <w:p w:rsidR="006D6CAB" w:rsidRDefault="006D6CAB" w:rsidP="00C84374">
      <w:pPr>
        <w:jc w:val="both"/>
        <w:rPr>
          <w:b/>
          <w:lang w:val="cs-CZ"/>
        </w:rPr>
      </w:pPr>
    </w:p>
    <w:p w:rsidR="00311F38" w:rsidRPr="00803842" w:rsidRDefault="00311F38" w:rsidP="00C84374">
      <w:pPr>
        <w:jc w:val="both"/>
        <w:rPr>
          <w:b/>
          <w:lang w:val="cs-CZ"/>
        </w:rPr>
      </w:pPr>
    </w:p>
    <w:p w:rsidR="00C84374" w:rsidRPr="00173A24" w:rsidRDefault="00BB1661" w:rsidP="008D2C29">
      <w:pPr>
        <w:pStyle w:val="Heading2"/>
        <w:keepLines/>
        <w:numPr>
          <w:ilvl w:val="2"/>
          <w:numId w:val="16"/>
        </w:numPr>
        <w:spacing w:before="0" w:after="0"/>
        <w:rPr>
          <w:szCs w:val="24"/>
        </w:rPr>
      </w:pPr>
      <w:bookmarkStart w:id="31" w:name="_Toc357431426"/>
      <w:bookmarkStart w:id="32" w:name="_Toc401572480"/>
      <w:r>
        <w:rPr>
          <w:szCs w:val="24"/>
        </w:rPr>
        <w:t>(ES) N</w:t>
      </w:r>
      <w:r w:rsidR="00C84374" w:rsidRPr="00173A24">
        <w:rPr>
          <w:szCs w:val="24"/>
        </w:rPr>
        <w:t>abadzības riska slieksnis</w:t>
      </w:r>
      <w:bookmarkEnd w:id="31"/>
      <w:bookmarkEnd w:id="32"/>
    </w:p>
    <w:p w:rsidR="00C84374" w:rsidRPr="00173A24" w:rsidRDefault="00C84374" w:rsidP="00C84374"/>
    <w:p w:rsidR="00C84374" w:rsidRPr="00B30E3F" w:rsidRDefault="00C84374" w:rsidP="00596024">
      <w:pPr>
        <w:pStyle w:val="Default"/>
        <w:ind w:firstLine="720"/>
        <w:jc w:val="both"/>
        <w:rPr>
          <w:rStyle w:val="Strong"/>
          <w:b w:val="0"/>
        </w:rPr>
      </w:pPr>
      <w:r w:rsidRPr="00173A24">
        <w:t xml:space="preserve">Latvijā ES noteiktā nabadzības </w:t>
      </w:r>
      <w:r w:rsidR="00596024" w:rsidRPr="00173A24">
        <w:t xml:space="preserve">riska sliekšņa indikatora izmantošana tika </w:t>
      </w:r>
      <w:r w:rsidRPr="00173A24">
        <w:t>uzsākta</w:t>
      </w:r>
      <w:r w:rsidR="0050604C">
        <w:t>, kad Latvija gatavojās</w:t>
      </w:r>
      <w:r w:rsidRPr="00173A24">
        <w:t xml:space="preserve"> pievienoties ES, </w:t>
      </w:r>
      <w:r w:rsidR="001D1060">
        <w:t xml:space="preserve">t.i., </w:t>
      </w:r>
      <w:r w:rsidR="00126B2A">
        <w:t>2003.gadā izstrādājot vienu</w:t>
      </w:r>
      <w:r w:rsidRPr="00173A24">
        <w:t xml:space="preserve"> no pirmsiestāšanās dokumentiem</w:t>
      </w:r>
      <w:r w:rsidRPr="00173A24">
        <w:rPr>
          <w:b/>
        </w:rPr>
        <w:t xml:space="preserve"> </w:t>
      </w:r>
      <w:r w:rsidR="0050604C" w:rsidRPr="0050604C">
        <w:rPr>
          <w:rStyle w:val="Strong"/>
          <w:b w:val="0"/>
          <w:i/>
        </w:rPr>
        <w:t>Latvijas kopējo</w:t>
      </w:r>
      <w:r w:rsidRPr="0050604C">
        <w:rPr>
          <w:rStyle w:val="Strong"/>
          <w:b w:val="0"/>
          <w:i/>
        </w:rPr>
        <w:t xml:space="preserve"> s</w:t>
      </w:r>
      <w:r w:rsidR="0050604C" w:rsidRPr="0050604C">
        <w:rPr>
          <w:rStyle w:val="Strong"/>
          <w:b w:val="0"/>
          <w:i/>
        </w:rPr>
        <w:t>ociālās iekļaušanas memorandu</w:t>
      </w:r>
      <w:r w:rsidR="00126B2A">
        <w:rPr>
          <w:rStyle w:val="Strong"/>
          <w:b w:val="0"/>
        </w:rPr>
        <w:t>. Līdz ar minētā dokumenta izstrādi</w:t>
      </w:r>
      <w:r w:rsidRPr="00B30E3F">
        <w:rPr>
          <w:rStyle w:val="Strong"/>
          <w:b w:val="0"/>
        </w:rPr>
        <w:t xml:space="preserve"> </w:t>
      </w:r>
      <w:r w:rsidR="00D35BAD">
        <w:rPr>
          <w:rStyle w:val="Strong"/>
          <w:b w:val="0"/>
        </w:rPr>
        <w:t xml:space="preserve">Latvija </w:t>
      </w:r>
      <w:r w:rsidR="00126B2A">
        <w:rPr>
          <w:rStyle w:val="Strong"/>
          <w:b w:val="0"/>
        </w:rPr>
        <w:t xml:space="preserve">sāka </w:t>
      </w:r>
      <w:r w:rsidR="001D1060">
        <w:rPr>
          <w:rStyle w:val="Strong"/>
          <w:b w:val="0"/>
        </w:rPr>
        <w:t>izmantot</w:t>
      </w:r>
      <w:r w:rsidR="00126B2A">
        <w:rPr>
          <w:rStyle w:val="Strong"/>
          <w:b w:val="0"/>
        </w:rPr>
        <w:t xml:space="preserve"> </w:t>
      </w:r>
      <w:r w:rsidR="00D35BAD">
        <w:rPr>
          <w:rStyle w:val="Strong"/>
          <w:b w:val="0"/>
        </w:rPr>
        <w:t>t.s. ‘</w:t>
      </w:r>
      <w:r w:rsidR="001D1060">
        <w:rPr>
          <w:rStyle w:val="Strong"/>
          <w:b w:val="0"/>
        </w:rPr>
        <w:t>atklātās koordinācijas metodi</w:t>
      </w:r>
      <w:r w:rsidR="00D35BAD">
        <w:rPr>
          <w:rStyle w:val="Strong"/>
          <w:b w:val="0"/>
        </w:rPr>
        <w:t>’</w:t>
      </w:r>
      <w:r w:rsidRPr="00B30E3F">
        <w:rPr>
          <w:rStyle w:val="Strong"/>
          <w:b w:val="0"/>
        </w:rPr>
        <w:t>. Atklātā koordinācijas metode</w:t>
      </w:r>
      <w:r w:rsidR="005A0416">
        <w:rPr>
          <w:rStyle w:val="FootnoteReference"/>
          <w:bCs/>
        </w:rPr>
        <w:footnoteReference w:id="44"/>
      </w:r>
      <w:r w:rsidRPr="00B30E3F">
        <w:rPr>
          <w:rStyle w:val="Strong"/>
          <w:b w:val="0"/>
        </w:rPr>
        <w:t xml:space="preserve"> aptver tās politikas jomas, kuras ES neregulē ar likumdošanas palīdzību, proti, (1) sociālo iekļaušanu, (2) pensijas un (3) veselī</w:t>
      </w:r>
      <w:r w:rsidR="00D35BAD">
        <w:rPr>
          <w:rStyle w:val="Strong"/>
          <w:b w:val="0"/>
        </w:rPr>
        <w:t>bas un ilgtermiņa aprūpi. Ar šīs metodes</w:t>
      </w:r>
      <w:r w:rsidRPr="004D1D2D">
        <w:rPr>
          <w:rStyle w:val="Strong"/>
          <w:b w:val="0"/>
        </w:rPr>
        <w:t xml:space="preserve"> palīdzību tiek izmantoti tādi mehānism</w:t>
      </w:r>
      <w:r w:rsidR="00D25F74" w:rsidRPr="004D1D2D">
        <w:rPr>
          <w:rStyle w:val="Strong"/>
          <w:b w:val="0"/>
        </w:rPr>
        <w:t>i</w:t>
      </w:r>
      <w:r w:rsidRPr="004D1D2D">
        <w:rPr>
          <w:rStyle w:val="Strong"/>
          <w:b w:val="0"/>
        </w:rPr>
        <w:t>, kas va</w:t>
      </w:r>
      <w:r w:rsidR="00816AD1" w:rsidRPr="004D1D2D">
        <w:rPr>
          <w:rStyle w:val="Strong"/>
          <w:b w:val="0"/>
        </w:rPr>
        <w:t xml:space="preserve">r ietekmēt attiecīgās politikas, piemēram, </w:t>
      </w:r>
      <w:r w:rsidR="004D1D2D" w:rsidRPr="004D1D2D">
        <w:rPr>
          <w:rStyle w:val="Strong"/>
          <w:b w:val="0"/>
        </w:rPr>
        <w:t>noteikti</w:t>
      </w:r>
      <w:r w:rsidR="004D1D2D">
        <w:rPr>
          <w:rStyle w:val="Strong"/>
          <w:b w:val="0"/>
        </w:rPr>
        <w:t xml:space="preserve"> kopēji mērķi un indikatori, veicināta abpusēja mācīšanās un labās prakses apmaiņa. </w:t>
      </w:r>
    </w:p>
    <w:p w:rsidR="0050604C" w:rsidRDefault="0050604C" w:rsidP="00993DE8">
      <w:pPr>
        <w:ind w:firstLine="720"/>
        <w:jc w:val="both"/>
      </w:pPr>
      <w:r>
        <w:t>A</w:t>
      </w:r>
      <w:r w:rsidR="00C84374" w:rsidRPr="00173A24">
        <w:t xml:space="preserve">tklātās koordinācijas </w:t>
      </w:r>
      <w:r w:rsidR="00D35BAD">
        <w:t>metode</w:t>
      </w:r>
      <w:r w:rsidR="00C84374" w:rsidRPr="00173A24">
        <w:t xml:space="preserve"> ietver kopējos indikatorus, kas sastāv no 18 galvenajiem </w:t>
      </w:r>
      <w:r w:rsidR="00DC30C4">
        <w:t xml:space="preserve">jeb primārajiem </w:t>
      </w:r>
      <w:r w:rsidR="001709BD">
        <w:t>indikatoriem</w:t>
      </w:r>
      <w:r w:rsidR="00C84374" w:rsidRPr="00173A24">
        <w:t xml:space="preserve"> un konteksta </w:t>
      </w:r>
      <w:r w:rsidR="001709BD">
        <w:t>indikatoriem</w:t>
      </w:r>
      <w:r>
        <w:rPr>
          <w:rStyle w:val="FootnoteReference"/>
        </w:rPr>
        <w:footnoteReference w:id="45"/>
      </w:r>
      <w:r w:rsidR="00D35BAD">
        <w:t xml:space="preserve">. Šajā koncepcijā </w:t>
      </w:r>
      <w:r w:rsidR="00D35BAD" w:rsidRPr="00173A24">
        <w:t>tiks aplūkot</w:t>
      </w:r>
      <w:r w:rsidR="00D35BAD">
        <w:t>s viens indikators - nabadzības riska slieksnis</w:t>
      </w:r>
      <w:r w:rsidR="00C84374" w:rsidRPr="00173A24">
        <w:t xml:space="preserve">. </w:t>
      </w:r>
    </w:p>
    <w:p w:rsidR="007256BE" w:rsidRPr="00837C93" w:rsidRDefault="001709BD" w:rsidP="00026749">
      <w:pPr>
        <w:pStyle w:val="Default"/>
        <w:ind w:firstLine="720"/>
        <w:jc w:val="both"/>
        <w:rPr>
          <w:color w:val="auto"/>
        </w:rPr>
      </w:pPr>
      <w:r w:rsidRPr="00230FBC">
        <w:rPr>
          <w:b/>
        </w:rPr>
        <w:t>Nabadzības</w:t>
      </w:r>
      <w:r w:rsidR="007256BE" w:rsidRPr="00230FBC">
        <w:rPr>
          <w:b/>
        </w:rPr>
        <w:t xml:space="preserve"> riska </w:t>
      </w:r>
      <w:r w:rsidR="007256BE" w:rsidRPr="00837C93">
        <w:rPr>
          <w:b/>
          <w:color w:val="auto"/>
        </w:rPr>
        <w:t>slieksnis</w:t>
      </w:r>
      <w:r w:rsidR="007256BE" w:rsidRPr="00837C93">
        <w:rPr>
          <w:color w:val="auto"/>
        </w:rPr>
        <w:t xml:space="preserve"> </w:t>
      </w:r>
      <w:r w:rsidR="004629CE" w:rsidRPr="00837C93">
        <w:rPr>
          <w:color w:val="auto"/>
        </w:rPr>
        <w:t>ir</w:t>
      </w:r>
      <w:r w:rsidR="007256BE" w:rsidRPr="00837C93">
        <w:rPr>
          <w:color w:val="auto"/>
        </w:rPr>
        <w:t xml:space="preserve"> izteikts kā </w:t>
      </w:r>
      <w:r w:rsidR="00A303B2" w:rsidRPr="00837C93">
        <w:rPr>
          <w:color w:val="auto"/>
          <w:u w:val="single"/>
          <w:shd w:val="clear" w:color="auto" w:fill="FFFFFF"/>
        </w:rPr>
        <w:t xml:space="preserve">60% no </w:t>
      </w:r>
      <w:r w:rsidR="00026749">
        <w:rPr>
          <w:color w:val="auto"/>
          <w:u w:val="single"/>
          <w:shd w:val="clear" w:color="auto" w:fill="FFFFFF"/>
        </w:rPr>
        <w:t xml:space="preserve">mājsaimniecību </w:t>
      </w:r>
      <w:r w:rsidR="00A303B2" w:rsidRPr="00837C93">
        <w:rPr>
          <w:color w:val="auto"/>
          <w:u w:val="single"/>
          <w:shd w:val="clear" w:color="auto" w:fill="FFFFFF"/>
        </w:rPr>
        <w:t>rīcībā esošo ienākumu mediānas pārrēķinātas uz ekvivalento patērētāju skaitu mājsaimniecībā</w:t>
      </w:r>
      <w:r w:rsidR="00A303B2" w:rsidRPr="00837C93">
        <w:rPr>
          <w:rStyle w:val="FootnoteReference"/>
          <w:color w:val="auto"/>
          <w:shd w:val="clear" w:color="auto" w:fill="FFFFFF"/>
        </w:rPr>
        <w:footnoteReference w:id="46"/>
      </w:r>
      <w:r w:rsidR="007256BE" w:rsidRPr="00837C93">
        <w:rPr>
          <w:color w:val="auto"/>
        </w:rPr>
        <w:t xml:space="preserve">. </w:t>
      </w:r>
      <w:r w:rsidR="00026749">
        <w:rPr>
          <w:color w:val="auto"/>
        </w:rPr>
        <w:t xml:space="preserve">Tādējādi </w:t>
      </w:r>
      <w:r w:rsidR="0050604C" w:rsidRPr="00837C93">
        <w:rPr>
          <w:color w:val="auto"/>
        </w:rPr>
        <w:t>tie</w:t>
      </w:r>
      <w:r w:rsidR="007256BE" w:rsidRPr="00837C93">
        <w:rPr>
          <w:color w:val="auto"/>
        </w:rPr>
        <w:t xml:space="preserve"> iedzīvotāji</w:t>
      </w:r>
      <w:r w:rsidR="0050604C" w:rsidRPr="00837C93">
        <w:rPr>
          <w:color w:val="auto"/>
        </w:rPr>
        <w:t xml:space="preserve">, kuru ekvivalentie rīcībā esošie ienākumi ir zemāki par 60% no nacionālās mediānas ienākuma, tiek uzskatīti par </w:t>
      </w:r>
      <w:r w:rsidR="00DC30C4" w:rsidRPr="00837C93">
        <w:rPr>
          <w:color w:val="auto"/>
        </w:rPr>
        <w:t xml:space="preserve">pakļautiem </w:t>
      </w:r>
      <w:r w:rsidR="0050604C" w:rsidRPr="00837C93">
        <w:rPr>
          <w:color w:val="auto"/>
        </w:rPr>
        <w:t xml:space="preserve">nabadzības riskam. </w:t>
      </w:r>
    </w:p>
    <w:p w:rsidR="00BF2006" w:rsidRDefault="007256BE" w:rsidP="00230FBC">
      <w:pPr>
        <w:ind w:firstLine="720"/>
        <w:jc w:val="both"/>
      </w:pPr>
      <w:r w:rsidRPr="006C5B46">
        <w:rPr>
          <w:b/>
        </w:rPr>
        <w:t>Mediāna</w:t>
      </w:r>
      <w:r>
        <w:t xml:space="preserve"> ir statistikas rādītājs, kas raksturo novērojumu, kas sagrupēti no zemākās vērtības līdz augstākajai</w:t>
      </w:r>
      <w:r w:rsidR="00A303B2">
        <w:t>,</w:t>
      </w:r>
      <w:r>
        <w:t xml:space="preserve"> centra vērtīb</w:t>
      </w:r>
      <w:r w:rsidR="00A303B2">
        <w:t>u</w:t>
      </w:r>
      <w:r>
        <w:t xml:space="preserve"> (</w:t>
      </w:r>
      <w:r w:rsidR="00A303B2">
        <w:t>sadalījuma viduspunktu</w:t>
      </w:r>
      <w:r>
        <w:t>)</w:t>
      </w:r>
      <w:r w:rsidR="00A303B2">
        <w:rPr>
          <w:rStyle w:val="FootnoteReference"/>
        </w:rPr>
        <w:footnoteReference w:id="47"/>
      </w:r>
      <w:r>
        <w:t>. Tādējādi ienākumu mediāna nozīmē ienākumu, kas sagrupēti no zemākajiem līdz augstākajiem</w:t>
      </w:r>
      <w:r w:rsidR="002E1AE3">
        <w:t>, viduspunktu (nevis vidējos ienākumus).</w:t>
      </w:r>
      <w:r>
        <w:t xml:space="preserve"> </w:t>
      </w:r>
    </w:p>
    <w:p w:rsidR="00695C52" w:rsidRDefault="00BF2006" w:rsidP="0089152C">
      <w:pPr>
        <w:ind w:firstLine="720"/>
        <w:jc w:val="both"/>
      </w:pPr>
      <w:r w:rsidRPr="006C5B46">
        <w:rPr>
          <w:b/>
        </w:rPr>
        <w:t>E</w:t>
      </w:r>
      <w:r w:rsidR="007256BE" w:rsidRPr="006C5B46">
        <w:rPr>
          <w:b/>
        </w:rPr>
        <w:t>kvivalentais ienākums</w:t>
      </w:r>
      <w:r w:rsidR="007256BE" w:rsidRPr="00C84374">
        <w:t xml:space="preserve"> </w:t>
      </w:r>
      <w:r w:rsidR="00020629">
        <w:t>ir</w:t>
      </w:r>
      <w:r w:rsidR="007256BE" w:rsidRPr="00C84374">
        <w:t xml:space="preserve"> mājsaimniecību rīcībā esošie ienākumi</w:t>
      </w:r>
      <w:r w:rsidR="00020629">
        <w:t>, kas</w:t>
      </w:r>
      <w:r w:rsidR="007256BE" w:rsidRPr="00C84374">
        <w:t xml:space="preserve"> tiek dalīti ar ekvivalento mājsaimniecības locekļu skaitu, t.i., kat</w:t>
      </w:r>
      <w:r w:rsidR="004B6A05">
        <w:t xml:space="preserve">ram mājsaimniecības loceklim piešķirot individuālu </w:t>
      </w:r>
      <w:r w:rsidR="00020629">
        <w:t xml:space="preserve">(atšķirīgu) </w:t>
      </w:r>
      <w:r w:rsidR="004B6A05">
        <w:t>ekvivalento svaru</w:t>
      </w:r>
      <w:r w:rsidR="007330DC">
        <w:rPr>
          <w:rStyle w:val="FootnoteReference"/>
        </w:rPr>
        <w:footnoteReference w:id="48"/>
      </w:r>
      <w:r w:rsidR="002E1AE3">
        <w:t xml:space="preserve">. </w:t>
      </w:r>
      <w:r w:rsidR="00230FBC">
        <w:t xml:space="preserve">Proti, mājsaimniecību vajadzības palielinās līdz ar katru nākamo mājsaimniecības locekli dēļ patēriņa pieauguma, taču patēriņš nepieaug proporcionāli </w:t>
      </w:r>
      <w:r w:rsidR="00020629">
        <w:t xml:space="preserve">cilvēku skaitam </w:t>
      </w:r>
      <w:r w:rsidR="00230FBC">
        <w:t>– vajadzības pēc mājokļa platības, elektrības u.c. nepalielinās trīs reiz</w:t>
      </w:r>
      <w:r w:rsidR="00020629">
        <w:t>es vairāk</w:t>
      </w:r>
      <w:r w:rsidR="00230FBC">
        <w:t>, ja mājsaimniecībā dzīvo trīs cilv</w:t>
      </w:r>
      <w:r w:rsidR="00020629">
        <w:t>ēki</w:t>
      </w:r>
      <w:r w:rsidR="00230FBC">
        <w:t>.</w:t>
      </w:r>
      <w:r w:rsidR="004024EA">
        <w:t xml:space="preserve"> </w:t>
      </w:r>
      <w:r w:rsidR="00020629">
        <w:t xml:space="preserve">Tāpēc ekvivalences skalas </w:t>
      </w:r>
      <w:r w:rsidR="006C5B46">
        <w:t>tiek</w:t>
      </w:r>
      <w:r w:rsidR="00020629">
        <w:t xml:space="preserve"> izmantotas, lai </w:t>
      </w:r>
      <w:r w:rsidR="006C5B46">
        <w:t xml:space="preserve">atbilstoši mājsaimniecībā esošo cilvēku skaitam piešķirtu katram mājsaimniecības loceklim vērtību proporcionāli to vajadzībām. Piešķirot </w:t>
      </w:r>
      <w:r w:rsidR="00092B93">
        <w:t xml:space="preserve">šīs </w:t>
      </w:r>
      <w:r w:rsidR="006C5B46">
        <w:t xml:space="preserve">vērtības, parasti tiek ņemti vērā divi faktori – mājsaimniecības lielums </w:t>
      </w:r>
      <w:r w:rsidR="00092B93">
        <w:t xml:space="preserve">(cilvēku skaits ģimenē) </w:t>
      </w:r>
      <w:r w:rsidR="006C5B46">
        <w:t>un mājsaimniecības locekļu vecums (bērni</w:t>
      </w:r>
      <w:r w:rsidR="0089152C">
        <w:t xml:space="preserve"> un</w:t>
      </w:r>
      <w:r w:rsidR="00092B93">
        <w:t xml:space="preserve"> </w:t>
      </w:r>
      <w:r w:rsidR="0089152C">
        <w:t>pieaugušie</w:t>
      </w:r>
      <w:r w:rsidR="00695C52">
        <w:t xml:space="preserve"> līdz</w:t>
      </w:r>
      <w:r w:rsidR="00092B93">
        <w:t xml:space="preserve"> un pēc darbspējas vecuma</w:t>
      </w:r>
      <w:r w:rsidR="006C5B46">
        <w:t>)</w:t>
      </w:r>
      <w:r w:rsidR="006C5B46">
        <w:rPr>
          <w:rStyle w:val="FootnoteReference"/>
        </w:rPr>
        <w:footnoteReference w:id="49"/>
      </w:r>
      <w:r w:rsidR="006C5B46">
        <w:t xml:space="preserve">. </w:t>
      </w:r>
    </w:p>
    <w:p w:rsidR="00E91645" w:rsidRPr="00E91645" w:rsidRDefault="0058381B" w:rsidP="000018B8">
      <w:pPr>
        <w:pStyle w:val="CommentText"/>
        <w:ind w:firstLine="720"/>
        <w:jc w:val="both"/>
        <w:rPr>
          <w:sz w:val="24"/>
          <w:szCs w:val="24"/>
        </w:rPr>
      </w:pPr>
      <w:r w:rsidRPr="00E91645">
        <w:rPr>
          <w:sz w:val="24"/>
          <w:szCs w:val="24"/>
        </w:rPr>
        <w:t>Noteiktu</w:t>
      </w:r>
      <w:r w:rsidR="00092B93" w:rsidRPr="00E91645">
        <w:rPr>
          <w:sz w:val="24"/>
          <w:szCs w:val="24"/>
        </w:rPr>
        <w:t xml:space="preserve"> ekvivalenču skalu izvēle ir atkarīga no pieņēmumiem par to, cik tiek ietaupīts patēriņš ar katru nākamo pieaugušo un bērnu, kā arī no izvēlēto vērtību lieluma dažādiem indivīdiem. </w:t>
      </w:r>
      <w:r w:rsidR="00695C52" w:rsidRPr="00E91645">
        <w:rPr>
          <w:sz w:val="24"/>
          <w:szCs w:val="24"/>
        </w:rPr>
        <w:t>Jāatzīmē, ka galvenās diskusijas saistībā ar ekvivalences skalām ir notikušas un notiek attiecībā uz izmaksām, kas rodas b</w:t>
      </w:r>
      <w:r w:rsidR="00887DF7">
        <w:rPr>
          <w:sz w:val="24"/>
          <w:szCs w:val="24"/>
        </w:rPr>
        <w:t>ērnu vajadzību apmierināšanai. P</w:t>
      </w:r>
      <w:r w:rsidR="00695C52" w:rsidRPr="00E91645">
        <w:rPr>
          <w:sz w:val="24"/>
          <w:szCs w:val="24"/>
        </w:rPr>
        <w:t>iemēram, cik proporcionāli pieaugušajam bērns patērē elektrību, ūdeni vai cik lieli ienākumi ir nepieciešami ģimenei ar bērnu/-</w:t>
      </w:r>
      <w:proofErr w:type="spellStart"/>
      <w:r w:rsidR="00695C52" w:rsidRPr="00E91645">
        <w:rPr>
          <w:sz w:val="24"/>
          <w:szCs w:val="24"/>
        </w:rPr>
        <w:t>iem</w:t>
      </w:r>
      <w:proofErr w:type="spellEnd"/>
      <w:r w:rsidR="00695C52" w:rsidRPr="00E91645">
        <w:rPr>
          <w:sz w:val="24"/>
          <w:szCs w:val="24"/>
        </w:rPr>
        <w:t xml:space="preserve">, lai sasniegtu noteiktu dzīves standartu, kas būtu līdzvērtīgs ģimenei bez apgādībā esošiem bērniem u.tml. Taču visos gadījumos bērnu patēriņš ir bijis noteikts zemāks nekā pirmā jeb galvenā pieaugušā cilvēka patēriņš. </w:t>
      </w:r>
      <w:proofErr w:type="gramStart"/>
      <w:r w:rsidR="00695C52" w:rsidRPr="00E91645">
        <w:rPr>
          <w:sz w:val="24"/>
          <w:szCs w:val="24"/>
        </w:rPr>
        <w:t>Tajā pat laikā</w:t>
      </w:r>
      <w:proofErr w:type="gramEnd"/>
      <w:r w:rsidR="00695C52" w:rsidRPr="00E91645">
        <w:rPr>
          <w:sz w:val="24"/>
          <w:szCs w:val="24"/>
        </w:rPr>
        <w:t xml:space="preserve"> ir būtiski uzsvērt, ka izvēlēto skalu vērtības rad</w:t>
      </w:r>
      <w:r w:rsidR="0089152C" w:rsidRPr="00E91645">
        <w:rPr>
          <w:sz w:val="24"/>
          <w:szCs w:val="24"/>
        </w:rPr>
        <w:t>a</w:t>
      </w:r>
      <w:r w:rsidR="00695C52" w:rsidRPr="00E91645">
        <w:rPr>
          <w:sz w:val="24"/>
          <w:szCs w:val="24"/>
        </w:rPr>
        <w:t xml:space="preserve"> ietekmi uz rezultātu, t.i., nabadzības risks </w:t>
      </w:r>
      <w:r w:rsidR="00695C52" w:rsidRPr="00E91645">
        <w:rPr>
          <w:sz w:val="24"/>
          <w:szCs w:val="24"/>
        </w:rPr>
        <w:lastRenderedPageBreak/>
        <w:t xml:space="preserve">vecāka gadagājuma cilvēkiem būs zemāks (un bērniem augstāks), ja tiks izvēlētas skalas, kas katram nākamajam mājsaimniecības loceklim tā patēriņa vērtību palielina. </w:t>
      </w:r>
    </w:p>
    <w:p w:rsidR="00E345D6" w:rsidRDefault="00E345D6" w:rsidP="00E345D6">
      <w:pPr>
        <w:ind w:firstLine="720"/>
        <w:jc w:val="both"/>
      </w:pPr>
      <w:r>
        <w:t>Praksē tiek izdalīt</w:t>
      </w:r>
      <w:r w:rsidR="003854B7">
        <w:t>a</w:t>
      </w:r>
      <w:r>
        <w:t>s 3 izplatītākās ekvivalences skalas</w:t>
      </w:r>
      <w:r>
        <w:rPr>
          <w:rStyle w:val="FootnoteReference"/>
        </w:rPr>
        <w:footnoteReference w:id="50"/>
      </w:r>
      <w:r>
        <w:t>:</w:t>
      </w:r>
    </w:p>
    <w:p w:rsidR="00554EED" w:rsidRDefault="00E345D6" w:rsidP="00603965">
      <w:pPr>
        <w:numPr>
          <w:ilvl w:val="0"/>
          <w:numId w:val="38"/>
        </w:numPr>
        <w:tabs>
          <w:tab w:val="clear" w:pos="1725"/>
          <w:tab w:val="num" w:pos="567"/>
        </w:tabs>
        <w:ind w:left="567" w:hanging="420"/>
        <w:jc w:val="both"/>
      </w:pPr>
      <w:r w:rsidRPr="00C84374">
        <w:t>Ekonomiskās sadarbības un attīstības organizācijas (OECD)</w:t>
      </w:r>
      <w:r>
        <w:t xml:space="preserve"> ekvivalences skala, arī t.s. Oksfordas skala</w:t>
      </w:r>
      <w:r w:rsidR="0089152C">
        <w:t xml:space="preserve">, kur </w:t>
      </w:r>
      <w:r>
        <w:t xml:space="preserve">pirmajam pieaugušajam tiek piešķirta vērtība 1, mājsaimniecību locekļiem virs 14 gadu vecuma – 0.7 </w:t>
      </w:r>
      <w:r w:rsidR="0089152C">
        <w:t xml:space="preserve">(patēriņš 70% apmērā no pirmā mājsaimniecības locekļa) </w:t>
      </w:r>
      <w:r>
        <w:t>un bērniem līdz 14 gadu vecumam</w:t>
      </w:r>
      <w:r w:rsidR="0089152C">
        <w:t xml:space="preserve"> – 0.5 (patēriņš 50% apmērā no pirmā mājsaimniecības locekļa);</w:t>
      </w:r>
    </w:p>
    <w:p w:rsidR="0089152C" w:rsidRDefault="0089152C" w:rsidP="00887DF7">
      <w:pPr>
        <w:numPr>
          <w:ilvl w:val="0"/>
          <w:numId w:val="38"/>
        </w:numPr>
        <w:tabs>
          <w:tab w:val="clear" w:pos="1725"/>
          <w:tab w:val="num" w:pos="567"/>
        </w:tabs>
        <w:ind w:left="567" w:hanging="420"/>
        <w:jc w:val="both"/>
      </w:pPr>
      <w:r>
        <w:t>OECD modificētā</w:t>
      </w:r>
      <w:r w:rsidR="0040060A">
        <w:t xml:space="preserve"> </w:t>
      </w:r>
      <w:r w:rsidR="00D966A1">
        <w:t>ek</w:t>
      </w:r>
      <w:r w:rsidR="0040060A">
        <w:t>vivalences skal</w:t>
      </w:r>
      <w:r>
        <w:t>a</w:t>
      </w:r>
      <w:r w:rsidR="00D966A1">
        <w:t xml:space="preserve">, </w:t>
      </w:r>
      <w:r>
        <w:t xml:space="preserve">ko 90-to gadu beigās pieņēma ES statistikas birojs </w:t>
      </w:r>
      <w:r w:rsidR="00D770F2" w:rsidRPr="00524B2E">
        <w:t>EURO</w:t>
      </w:r>
      <w:r>
        <w:t>STAT</w:t>
      </w:r>
      <w:r w:rsidR="003854B7">
        <w:rPr>
          <w:rStyle w:val="FootnoteReference"/>
        </w:rPr>
        <w:footnoteReference w:id="51"/>
      </w:r>
      <w:r w:rsidR="00026749">
        <w:t xml:space="preserve">, </w:t>
      </w:r>
      <w:r w:rsidR="00E825CB">
        <w:t>nosakot, ka pirmajam pieaugušajam mājsaimniecībā ekvivalentais svars ir 1, otrajam un katram nākamajam mājsaimniecības loc</w:t>
      </w:r>
      <w:r w:rsidR="00887DF7">
        <w:t>eklim virs 14 gadu vecuma – 0.5</w:t>
      </w:r>
      <w:r w:rsidR="00E825CB">
        <w:t xml:space="preserve"> un bērniem līdz 14 gadu vecumam – 0.3;</w:t>
      </w:r>
    </w:p>
    <w:p w:rsidR="0089152C" w:rsidRDefault="0089152C" w:rsidP="00887DF7">
      <w:pPr>
        <w:numPr>
          <w:ilvl w:val="0"/>
          <w:numId w:val="38"/>
        </w:numPr>
        <w:tabs>
          <w:tab w:val="clear" w:pos="1725"/>
          <w:tab w:val="num" w:pos="567"/>
        </w:tabs>
        <w:ind w:left="567" w:hanging="420"/>
        <w:jc w:val="both"/>
      </w:pPr>
      <w:r>
        <w:t xml:space="preserve">Kvadrātsaknes skala – mājsaimniecību ienākumi tiek sadalīti ar kvadrātsakni no mājsaimniecību lieluma, pieņemot, ka, piemēram, </w:t>
      </w:r>
      <w:r w:rsidR="00CD794C">
        <w:t>4 cilvēku ģimenē vajadzības ir divas reizes lielākas nekā vienai personai mājsaimniecībā</w:t>
      </w:r>
      <w:r w:rsidR="00026749">
        <w:t>, nosakot, ka</w:t>
      </w:r>
      <w:r>
        <w:t xml:space="preserve"> pirmajam pieaugušajam mājsaimniecībā ekvivalentais svars ir 1, </w:t>
      </w:r>
      <w:r w:rsidR="00E825CB">
        <w:t>otrajam un katram nākamajam mājsaimniecības loceklim virs 14 gadu vecuma</w:t>
      </w:r>
      <w:r w:rsidR="00026749">
        <w:t xml:space="preserve"> – 0.</w:t>
      </w:r>
      <w:r w:rsidR="00887DF7">
        <w:t xml:space="preserve">4 </w:t>
      </w:r>
      <w:r>
        <w:t>un b</w:t>
      </w:r>
      <w:r w:rsidR="00026749">
        <w:t>ērniem līdz 14 gadu vecumam – 0.</w:t>
      </w:r>
      <w:r>
        <w:t>3</w:t>
      </w:r>
      <w:r w:rsidR="00026749">
        <w:t>.</w:t>
      </w:r>
    </w:p>
    <w:p w:rsidR="0089152C" w:rsidRPr="00657217" w:rsidRDefault="005F1470" w:rsidP="005F1470">
      <w:pPr>
        <w:jc w:val="right"/>
      </w:pPr>
      <w:r w:rsidRPr="00657217">
        <w:t>6. t</w:t>
      </w:r>
      <w:r w:rsidR="002F16A3" w:rsidRPr="00657217">
        <w:t>abula</w:t>
      </w:r>
      <w:r w:rsidR="0076684E" w:rsidRPr="0065721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1540"/>
        <w:gridCol w:w="1820"/>
        <w:gridCol w:w="1960"/>
        <w:gridCol w:w="1619"/>
      </w:tblGrid>
      <w:tr w:rsidR="00E22E3C" w:rsidTr="00683C75">
        <w:tc>
          <w:tcPr>
            <w:tcW w:w="2348" w:type="dxa"/>
            <w:shd w:val="clear" w:color="auto" w:fill="auto"/>
          </w:tcPr>
          <w:p w:rsidR="00E22E3C" w:rsidRDefault="00E22E3C" w:rsidP="00683C75">
            <w:pPr>
              <w:jc w:val="both"/>
            </w:pPr>
          </w:p>
        </w:tc>
        <w:tc>
          <w:tcPr>
            <w:tcW w:w="1540" w:type="dxa"/>
            <w:shd w:val="clear" w:color="auto" w:fill="auto"/>
            <w:vAlign w:val="center"/>
          </w:tcPr>
          <w:p w:rsidR="00E22E3C" w:rsidRDefault="00E22E3C" w:rsidP="00405756">
            <w:pPr>
              <w:jc w:val="center"/>
            </w:pPr>
            <w:r w:rsidRPr="00683C75">
              <w:rPr>
                <w:b/>
                <w:bCs/>
                <w:sz w:val="20"/>
                <w:szCs w:val="20"/>
              </w:rPr>
              <w:t xml:space="preserve">Latvijas </w:t>
            </w:r>
            <w:r w:rsidR="00405756">
              <w:rPr>
                <w:b/>
                <w:bCs/>
                <w:sz w:val="20"/>
                <w:szCs w:val="20"/>
              </w:rPr>
              <w:t>pieeja</w:t>
            </w:r>
            <w:r w:rsidR="00CE6F31">
              <w:rPr>
                <w:rStyle w:val="FootnoteReference"/>
                <w:b/>
                <w:bCs/>
                <w:sz w:val="20"/>
                <w:szCs w:val="20"/>
              </w:rPr>
              <w:footnoteReference w:id="52"/>
            </w:r>
          </w:p>
        </w:tc>
        <w:tc>
          <w:tcPr>
            <w:tcW w:w="1820" w:type="dxa"/>
            <w:shd w:val="clear" w:color="auto" w:fill="auto"/>
            <w:vAlign w:val="center"/>
          </w:tcPr>
          <w:p w:rsidR="00E22E3C" w:rsidRDefault="00E22E3C" w:rsidP="00683C75">
            <w:pPr>
              <w:jc w:val="center"/>
            </w:pPr>
            <w:r w:rsidRPr="00683C75">
              <w:rPr>
                <w:b/>
                <w:bCs/>
                <w:sz w:val="20"/>
                <w:szCs w:val="20"/>
              </w:rPr>
              <w:t>OECD ekvivalences skala</w:t>
            </w:r>
          </w:p>
        </w:tc>
        <w:tc>
          <w:tcPr>
            <w:tcW w:w="1960" w:type="dxa"/>
            <w:shd w:val="clear" w:color="auto" w:fill="auto"/>
            <w:vAlign w:val="center"/>
          </w:tcPr>
          <w:p w:rsidR="00E22E3C" w:rsidRDefault="00E22E3C" w:rsidP="00683C75">
            <w:pPr>
              <w:jc w:val="center"/>
            </w:pPr>
            <w:r w:rsidRPr="00683C75">
              <w:rPr>
                <w:b/>
                <w:bCs/>
                <w:sz w:val="20"/>
                <w:szCs w:val="20"/>
              </w:rPr>
              <w:t>OECD modificētā ekvivalences skala</w:t>
            </w:r>
            <w:r w:rsidR="0079294D" w:rsidRPr="00683C75">
              <w:rPr>
                <w:rStyle w:val="FootnoteReference"/>
                <w:b/>
                <w:bCs/>
                <w:sz w:val="20"/>
                <w:szCs w:val="20"/>
              </w:rPr>
              <w:footnoteReference w:id="53"/>
            </w:r>
            <w:r w:rsidR="0079294D" w:rsidRPr="00683C75">
              <w:rPr>
                <w:b/>
                <w:bCs/>
                <w:sz w:val="20"/>
                <w:szCs w:val="20"/>
              </w:rPr>
              <w:t xml:space="preserve"> </w:t>
            </w:r>
          </w:p>
        </w:tc>
        <w:tc>
          <w:tcPr>
            <w:tcW w:w="1619" w:type="dxa"/>
            <w:shd w:val="clear" w:color="auto" w:fill="auto"/>
            <w:vAlign w:val="center"/>
          </w:tcPr>
          <w:p w:rsidR="00E22E3C" w:rsidRDefault="00E22E3C" w:rsidP="00683C75">
            <w:pPr>
              <w:jc w:val="center"/>
            </w:pPr>
            <w:r w:rsidRPr="00683C75">
              <w:rPr>
                <w:b/>
                <w:bCs/>
                <w:sz w:val="20"/>
                <w:szCs w:val="20"/>
              </w:rPr>
              <w:t>Kvadrātsaknes skala</w:t>
            </w:r>
          </w:p>
        </w:tc>
      </w:tr>
      <w:tr w:rsidR="00CD1080" w:rsidTr="00683C75">
        <w:tc>
          <w:tcPr>
            <w:tcW w:w="2348" w:type="dxa"/>
            <w:shd w:val="clear" w:color="auto" w:fill="auto"/>
          </w:tcPr>
          <w:p w:rsidR="00CD1080" w:rsidRPr="00683C75" w:rsidRDefault="00CD1080" w:rsidP="00CD1080">
            <w:pPr>
              <w:rPr>
                <w:sz w:val="22"/>
                <w:szCs w:val="22"/>
              </w:rPr>
            </w:pPr>
            <w:r w:rsidRPr="00683C75">
              <w:rPr>
                <w:sz w:val="22"/>
                <w:szCs w:val="22"/>
              </w:rPr>
              <w:t>1 pieaugušais</w:t>
            </w:r>
          </w:p>
        </w:tc>
        <w:tc>
          <w:tcPr>
            <w:tcW w:w="1540" w:type="dxa"/>
            <w:shd w:val="clear" w:color="auto" w:fill="auto"/>
            <w:vAlign w:val="center"/>
          </w:tcPr>
          <w:p w:rsidR="00CD1080" w:rsidRPr="00683C75" w:rsidRDefault="00CD1080" w:rsidP="00683C75">
            <w:pPr>
              <w:jc w:val="center"/>
              <w:rPr>
                <w:sz w:val="22"/>
                <w:szCs w:val="22"/>
              </w:rPr>
            </w:pPr>
            <w:r w:rsidRPr="00683C75">
              <w:rPr>
                <w:sz w:val="22"/>
                <w:szCs w:val="22"/>
              </w:rPr>
              <w:t>1</w:t>
            </w:r>
          </w:p>
        </w:tc>
        <w:tc>
          <w:tcPr>
            <w:tcW w:w="1820" w:type="dxa"/>
            <w:shd w:val="clear" w:color="auto" w:fill="auto"/>
            <w:vAlign w:val="center"/>
          </w:tcPr>
          <w:p w:rsidR="00CD1080" w:rsidRPr="00683C75" w:rsidRDefault="00CD1080" w:rsidP="00683C75">
            <w:pPr>
              <w:jc w:val="center"/>
              <w:rPr>
                <w:sz w:val="22"/>
                <w:szCs w:val="22"/>
              </w:rPr>
            </w:pPr>
            <w:r w:rsidRPr="00683C75">
              <w:rPr>
                <w:sz w:val="22"/>
                <w:szCs w:val="22"/>
              </w:rPr>
              <w:t>1</w:t>
            </w:r>
          </w:p>
        </w:tc>
        <w:tc>
          <w:tcPr>
            <w:tcW w:w="1960" w:type="dxa"/>
            <w:shd w:val="clear" w:color="auto" w:fill="auto"/>
            <w:vAlign w:val="center"/>
          </w:tcPr>
          <w:p w:rsidR="00CD1080" w:rsidRPr="00683C75" w:rsidRDefault="00CD1080" w:rsidP="00683C75">
            <w:pPr>
              <w:jc w:val="center"/>
              <w:rPr>
                <w:sz w:val="22"/>
                <w:szCs w:val="22"/>
              </w:rPr>
            </w:pPr>
            <w:r w:rsidRPr="00683C75">
              <w:rPr>
                <w:sz w:val="22"/>
                <w:szCs w:val="22"/>
              </w:rPr>
              <w:t>1</w:t>
            </w:r>
          </w:p>
        </w:tc>
        <w:tc>
          <w:tcPr>
            <w:tcW w:w="1619" w:type="dxa"/>
            <w:shd w:val="clear" w:color="auto" w:fill="auto"/>
            <w:vAlign w:val="center"/>
          </w:tcPr>
          <w:p w:rsidR="00CD1080" w:rsidRPr="00683C75" w:rsidRDefault="00CD1080" w:rsidP="00683C75">
            <w:pPr>
              <w:jc w:val="center"/>
              <w:rPr>
                <w:sz w:val="22"/>
                <w:szCs w:val="22"/>
              </w:rPr>
            </w:pPr>
            <w:r w:rsidRPr="00683C75">
              <w:rPr>
                <w:sz w:val="22"/>
                <w:szCs w:val="22"/>
              </w:rPr>
              <w:t>1</w:t>
            </w:r>
          </w:p>
        </w:tc>
      </w:tr>
      <w:tr w:rsidR="00CD1080" w:rsidTr="00683C75">
        <w:tc>
          <w:tcPr>
            <w:tcW w:w="2348" w:type="dxa"/>
            <w:shd w:val="clear" w:color="auto" w:fill="auto"/>
          </w:tcPr>
          <w:p w:rsidR="00CD1080" w:rsidRPr="00683C75" w:rsidRDefault="00CD1080" w:rsidP="00CD1080">
            <w:pPr>
              <w:rPr>
                <w:sz w:val="22"/>
                <w:szCs w:val="22"/>
              </w:rPr>
            </w:pPr>
            <w:r w:rsidRPr="00683C75">
              <w:rPr>
                <w:sz w:val="22"/>
                <w:szCs w:val="22"/>
              </w:rPr>
              <w:t>2 pieaugušie</w:t>
            </w:r>
          </w:p>
        </w:tc>
        <w:tc>
          <w:tcPr>
            <w:tcW w:w="1540" w:type="dxa"/>
            <w:shd w:val="clear" w:color="auto" w:fill="auto"/>
            <w:vAlign w:val="center"/>
          </w:tcPr>
          <w:p w:rsidR="00CD1080" w:rsidRPr="00683C75" w:rsidRDefault="00CD1080" w:rsidP="00683C75">
            <w:pPr>
              <w:jc w:val="center"/>
              <w:rPr>
                <w:sz w:val="22"/>
                <w:szCs w:val="22"/>
              </w:rPr>
            </w:pPr>
            <w:r w:rsidRPr="00683C75">
              <w:rPr>
                <w:sz w:val="22"/>
                <w:szCs w:val="22"/>
              </w:rPr>
              <w:t>2</w:t>
            </w:r>
          </w:p>
        </w:tc>
        <w:tc>
          <w:tcPr>
            <w:tcW w:w="1820" w:type="dxa"/>
            <w:shd w:val="clear" w:color="auto" w:fill="auto"/>
            <w:vAlign w:val="center"/>
          </w:tcPr>
          <w:p w:rsidR="00CD1080" w:rsidRPr="00683C75" w:rsidRDefault="00CD1080" w:rsidP="00683C75">
            <w:pPr>
              <w:jc w:val="center"/>
              <w:rPr>
                <w:sz w:val="22"/>
                <w:szCs w:val="22"/>
              </w:rPr>
            </w:pPr>
            <w:r w:rsidRPr="00683C75">
              <w:rPr>
                <w:sz w:val="22"/>
                <w:szCs w:val="22"/>
              </w:rPr>
              <w:t>1.7</w:t>
            </w:r>
          </w:p>
        </w:tc>
        <w:tc>
          <w:tcPr>
            <w:tcW w:w="1960" w:type="dxa"/>
            <w:shd w:val="clear" w:color="auto" w:fill="auto"/>
            <w:vAlign w:val="center"/>
          </w:tcPr>
          <w:p w:rsidR="00CD1080" w:rsidRPr="00683C75" w:rsidRDefault="00CD1080" w:rsidP="00683C75">
            <w:pPr>
              <w:jc w:val="center"/>
              <w:rPr>
                <w:sz w:val="22"/>
                <w:szCs w:val="22"/>
              </w:rPr>
            </w:pPr>
            <w:r w:rsidRPr="00683C75">
              <w:rPr>
                <w:sz w:val="22"/>
                <w:szCs w:val="22"/>
              </w:rPr>
              <w:t>1.5</w:t>
            </w:r>
          </w:p>
        </w:tc>
        <w:tc>
          <w:tcPr>
            <w:tcW w:w="1619" w:type="dxa"/>
            <w:shd w:val="clear" w:color="auto" w:fill="auto"/>
            <w:vAlign w:val="center"/>
          </w:tcPr>
          <w:p w:rsidR="00CD1080" w:rsidRPr="00683C75" w:rsidRDefault="00CD1080" w:rsidP="00683C75">
            <w:pPr>
              <w:jc w:val="center"/>
              <w:rPr>
                <w:sz w:val="22"/>
                <w:szCs w:val="22"/>
              </w:rPr>
            </w:pPr>
            <w:r w:rsidRPr="00683C75">
              <w:rPr>
                <w:sz w:val="22"/>
                <w:szCs w:val="22"/>
              </w:rPr>
              <w:t>1.4</w:t>
            </w:r>
          </w:p>
        </w:tc>
      </w:tr>
      <w:tr w:rsidR="00CD1080" w:rsidTr="00683C75">
        <w:tc>
          <w:tcPr>
            <w:tcW w:w="2348" w:type="dxa"/>
            <w:shd w:val="clear" w:color="auto" w:fill="auto"/>
          </w:tcPr>
          <w:p w:rsidR="00CD1080" w:rsidRPr="00683C75" w:rsidRDefault="00CD1080" w:rsidP="00CD1080">
            <w:pPr>
              <w:rPr>
                <w:sz w:val="22"/>
                <w:szCs w:val="22"/>
              </w:rPr>
            </w:pPr>
            <w:r w:rsidRPr="00683C75">
              <w:rPr>
                <w:sz w:val="22"/>
                <w:szCs w:val="22"/>
              </w:rPr>
              <w:t>2 pieaugušie, 1 bērns</w:t>
            </w:r>
          </w:p>
        </w:tc>
        <w:tc>
          <w:tcPr>
            <w:tcW w:w="1540" w:type="dxa"/>
            <w:shd w:val="clear" w:color="auto" w:fill="auto"/>
            <w:vAlign w:val="center"/>
          </w:tcPr>
          <w:p w:rsidR="00CD1080" w:rsidRPr="00683C75" w:rsidRDefault="00CD1080" w:rsidP="00683C75">
            <w:pPr>
              <w:jc w:val="center"/>
              <w:rPr>
                <w:sz w:val="22"/>
                <w:szCs w:val="22"/>
              </w:rPr>
            </w:pPr>
            <w:r w:rsidRPr="00683C75">
              <w:rPr>
                <w:sz w:val="22"/>
                <w:szCs w:val="22"/>
              </w:rPr>
              <w:t>3</w:t>
            </w:r>
          </w:p>
        </w:tc>
        <w:tc>
          <w:tcPr>
            <w:tcW w:w="1820" w:type="dxa"/>
            <w:shd w:val="clear" w:color="auto" w:fill="auto"/>
            <w:vAlign w:val="center"/>
          </w:tcPr>
          <w:p w:rsidR="00CD1080" w:rsidRPr="00683C75" w:rsidRDefault="00CD1080" w:rsidP="00683C75">
            <w:pPr>
              <w:jc w:val="center"/>
              <w:rPr>
                <w:sz w:val="22"/>
                <w:szCs w:val="22"/>
              </w:rPr>
            </w:pPr>
            <w:r w:rsidRPr="00683C75">
              <w:rPr>
                <w:sz w:val="22"/>
                <w:szCs w:val="22"/>
              </w:rPr>
              <w:t>2.2</w:t>
            </w:r>
          </w:p>
        </w:tc>
        <w:tc>
          <w:tcPr>
            <w:tcW w:w="1960" w:type="dxa"/>
            <w:shd w:val="clear" w:color="auto" w:fill="auto"/>
            <w:vAlign w:val="center"/>
          </w:tcPr>
          <w:p w:rsidR="00CD1080" w:rsidRPr="00683C75" w:rsidRDefault="00CD1080" w:rsidP="00683C75">
            <w:pPr>
              <w:jc w:val="center"/>
              <w:rPr>
                <w:sz w:val="22"/>
                <w:szCs w:val="22"/>
              </w:rPr>
            </w:pPr>
            <w:r w:rsidRPr="00683C75">
              <w:rPr>
                <w:sz w:val="22"/>
                <w:szCs w:val="22"/>
              </w:rPr>
              <w:t>1.8</w:t>
            </w:r>
          </w:p>
        </w:tc>
        <w:tc>
          <w:tcPr>
            <w:tcW w:w="1619" w:type="dxa"/>
            <w:shd w:val="clear" w:color="auto" w:fill="auto"/>
            <w:vAlign w:val="center"/>
          </w:tcPr>
          <w:p w:rsidR="00CD1080" w:rsidRPr="00683C75" w:rsidRDefault="00CD1080" w:rsidP="00683C75">
            <w:pPr>
              <w:jc w:val="center"/>
              <w:rPr>
                <w:sz w:val="22"/>
                <w:szCs w:val="22"/>
              </w:rPr>
            </w:pPr>
            <w:r w:rsidRPr="00683C75">
              <w:rPr>
                <w:sz w:val="22"/>
                <w:szCs w:val="22"/>
              </w:rPr>
              <w:t>1.7</w:t>
            </w:r>
          </w:p>
        </w:tc>
      </w:tr>
      <w:tr w:rsidR="00CD1080" w:rsidTr="00683C75">
        <w:tc>
          <w:tcPr>
            <w:tcW w:w="2348" w:type="dxa"/>
            <w:shd w:val="clear" w:color="auto" w:fill="auto"/>
          </w:tcPr>
          <w:p w:rsidR="00CD1080" w:rsidRPr="00683C75" w:rsidRDefault="00CD1080" w:rsidP="00CD1080">
            <w:pPr>
              <w:rPr>
                <w:sz w:val="22"/>
                <w:szCs w:val="22"/>
              </w:rPr>
            </w:pPr>
            <w:r w:rsidRPr="00683C75">
              <w:rPr>
                <w:sz w:val="22"/>
                <w:szCs w:val="22"/>
              </w:rPr>
              <w:t>2 pieaugušie, 2 bērni</w:t>
            </w:r>
          </w:p>
        </w:tc>
        <w:tc>
          <w:tcPr>
            <w:tcW w:w="1540" w:type="dxa"/>
            <w:shd w:val="clear" w:color="auto" w:fill="auto"/>
            <w:vAlign w:val="center"/>
          </w:tcPr>
          <w:p w:rsidR="00CD1080" w:rsidRPr="00683C75" w:rsidRDefault="00CD1080" w:rsidP="00683C75">
            <w:pPr>
              <w:jc w:val="center"/>
              <w:rPr>
                <w:sz w:val="22"/>
                <w:szCs w:val="22"/>
              </w:rPr>
            </w:pPr>
            <w:r w:rsidRPr="00683C75">
              <w:rPr>
                <w:sz w:val="22"/>
                <w:szCs w:val="22"/>
              </w:rPr>
              <w:t>4</w:t>
            </w:r>
          </w:p>
        </w:tc>
        <w:tc>
          <w:tcPr>
            <w:tcW w:w="1820" w:type="dxa"/>
            <w:shd w:val="clear" w:color="auto" w:fill="auto"/>
            <w:vAlign w:val="center"/>
          </w:tcPr>
          <w:p w:rsidR="00CD1080" w:rsidRPr="00683C75" w:rsidRDefault="00CD1080" w:rsidP="00683C75">
            <w:pPr>
              <w:jc w:val="center"/>
              <w:rPr>
                <w:sz w:val="22"/>
                <w:szCs w:val="22"/>
              </w:rPr>
            </w:pPr>
            <w:r w:rsidRPr="00683C75">
              <w:rPr>
                <w:sz w:val="22"/>
                <w:szCs w:val="22"/>
              </w:rPr>
              <w:t>2.7</w:t>
            </w:r>
          </w:p>
        </w:tc>
        <w:tc>
          <w:tcPr>
            <w:tcW w:w="1960" w:type="dxa"/>
            <w:shd w:val="clear" w:color="auto" w:fill="auto"/>
            <w:vAlign w:val="center"/>
          </w:tcPr>
          <w:p w:rsidR="00CD1080" w:rsidRPr="00683C75" w:rsidRDefault="00CD1080" w:rsidP="00683C75">
            <w:pPr>
              <w:jc w:val="center"/>
              <w:rPr>
                <w:sz w:val="22"/>
                <w:szCs w:val="22"/>
              </w:rPr>
            </w:pPr>
            <w:r w:rsidRPr="00683C75">
              <w:rPr>
                <w:sz w:val="22"/>
                <w:szCs w:val="22"/>
              </w:rPr>
              <w:t>2.1</w:t>
            </w:r>
          </w:p>
        </w:tc>
        <w:tc>
          <w:tcPr>
            <w:tcW w:w="1619" w:type="dxa"/>
            <w:shd w:val="clear" w:color="auto" w:fill="auto"/>
            <w:vAlign w:val="center"/>
          </w:tcPr>
          <w:p w:rsidR="00CD1080" w:rsidRPr="00683C75" w:rsidRDefault="00CD1080" w:rsidP="00683C75">
            <w:pPr>
              <w:jc w:val="center"/>
              <w:rPr>
                <w:sz w:val="22"/>
                <w:szCs w:val="22"/>
              </w:rPr>
            </w:pPr>
            <w:r w:rsidRPr="00683C75">
              <w:rPr>
                <w:sz w:val="22"/>
                <w:szCs w:val="22"/>
              </w:rPr>
              <w:t>2.0</w:t>
            </w:r>
          </w:p>
        </w:tc>
      </w:tr>
      <w:tr w:rsidR="00CD1080" w:rsidTr="00683C75">
        <w:tc>
          <w:tcPr>
            <w:tcW w:w="2348" w:type="dxa"/>
            <w:shd w:val="clear" w:color="auto" w:fill="auto"/>
          </w:tcPr>
          <w:p w:rsidR="00CD1080" w:rsidRPr="00683C75" w:rsidRDefault="00CD1080" w:rsidP="00CD1080">
            <w:pPr>
              <w:rPr>
                <w:sz w:val="22"/>
                <w:szCs w:val="22"/>
              </w:rPr>
            </w:pPr>
            <w:r w:rsidRPr="00683C75">
              <w:rPr>
                <w:sz w:val="22"/>
                <w:szCs w:val="22"/>
              </w:rPr>
              <w:t>2 pieaugušie, 3 bērni</w:t>
            </w:r>
          </w:p>
        </w:tc>
        <w:tc>
          <w:tcPr>
            <w:tcW w:w="1540" w:type="dxa"/>
            <w:shd w:val="clear" w:color="auto" w:fill="auto"/>
            <w:vAlign w:val="center"/>
          </w:tcPr>
          <w:p w:rsidR="00CD1080" w:rsidRPr="00683C75" w:rsidRDefault="00CD1080" w:rsidP="00683C75">
            <w:pPr>
              <w:jc w:val="center"/>
              <w:rPr>
                <w:sz w:val="22"/>
                <w:szCs w:val="22"/>
              </w:rPr>
            </w:pPr>
            <w:r w:rsidRPr="00683C75">
              <w:rPr>
                <w:sz w:val="22"/>
                <w:szCs w:val="22"/>
              </w:rPr>
              <w:t>5</w:t>
            </w:r>
          </w:p>
        </w:tc>
        <w:tc>
          <w:tcPr>
            <w:tcW w:w="1820" w:type="dxa"/>
            <w:shd w:val="clear" w:color="auto" w:fill="auto"/>
            <w:vAlign w:val="center"/>
          </w:tcPr>
          <w:p w:rsidR="00CD1080" w:rsidRPr="00683C75" w:rsidRDefault="00CD1080" w:rsidP="00683C75">
            <w:pPr>
              <w:jc w:val="center"/>
              <w:rPr>
                <w:sz w:val="22"/>
                <w:szCs w:val="22"/>
              </w:rPr>
            </w:pPr>
            <w:r w:rsidRPr="00683C75">
              <w:rPr>
                <w:sz w:val="22"/>
                <w:szCs w:val="22"/>
              </w:rPr>
              <w:t>3.2</w:t>
            </w:r>
          </w:p>
        </w:tc>
        <w:tc>
          <w:tcPr>
            <w:tcW w:w="1960" w:type="dxa"/>
            <w:shd w:val="clear" w:color="auto" w:fill="auto"/>
            <w:vAlign w:val="center"/>
          </w:tcPr>
          <w:p w:rsidR="00CD1080" w:rsidRPr="00683C75" w:rsidRDefault="00CD1080" w:rsidP="00683C75">
            <w:pPr>
              <w:jc w:val="center"/>
              <w:rPr>
                <w:sz w:val="22"/>
                <w:szCs w:val="22"/>
              </w:rPr>
            </w:pPr>
            <w:r w:rsidRPr="00683C75">
              <w:rPr>
                <w:sz w:val="22"/>
                <w:szCs w:val="22"/>
              </w:rPr>
              <w:t>2.4</w:t>
            </w:r>
          </w:p>
        </w:tc>
        <w:tc>
          <w:tcPr>
            <w:tcW w:w="1619" w:type="dxa"/>
            <w:shd w:val="clear" w:color="auto" w:fill="auto"/>
            <w:vAlign w:val="center"/>
          </w:tcPr>
          <w:p w:rsidR="00CD1080" w:rsidRPr="00683C75" w:rsidRDefault="00CD1080" w:rsidP="00683C75">
            <w:pPr>
              <w:jc w:val="center"/>
              <w:rPr>
                <w:sz w:val="22"/>
                <w:szCs w:val="22"/>
              </w:rPr>
            </w:pPr>
            <w:r w:rsidRPr="00683C75">
              <w:rPr>
                <w:sz w:val="22"/>
                <w:szCs w:val="22"/>
              </w:rPr>
              <w:t>2.2</w:t>
            </w:r>
          </w:p>
        </w:tc>
      </w:tr>
    </w:tbl>
    <w:p w:rsidR="00E22E3C" w:rsidRPr="005F1470" w:rsidRDefault="00026749" w:rsidP="0076684E">
      <w:pPr>
        <w:jc w:val="both"/>
        <w:rPr>
          <w:sz w:val="20"/>
        </w:rPr>
      </w:pPr>
      <w:r w:rsidRPr="005F1470">
        <w:rPr>
          <w:sz w:val="20"/>
        </w:rPr>
        <w:t>Avots: LM veidots pēc OECD</w:t>
      </w:r>
    </w:p>
    <w:p w:rsidR="00762E03" w:rsidRDefault="00762E03" w:rsidP="00987B95">
      <w:pPr>
        <w:ind w:firstLine="720"/>
        <w:jc w:val="both"/>
      </w:pPr>
    </w:p>
    <w:p w:rsidR="002D57EF" w:rsidRPr="00544D4F" w:rsidRDefault="007531D2" w:rsidP="005363E0">
      <w:pPr>
        <w:pStyle w:val="CommentText"/>
        <w:ind w:firstLine="720"/>
        <w:jc w:val="both"/>
        <w:rPr>
          <w:sz w:val="24"/>
          <w:szCs w:val="24"/>
        </w:rPr>
      </w:pPr>
      <w:r>
        <w:rPr>
          <w:sz w:val="24"/>
          <w:szCs w:val="24"/>
        </w:rPr>
        <w:t>Latvijā, nosakot GMI, trūcīgā</w:t>
      </w:r>
      <w:r w:rsidR="001C5E21">
        <w:rPr>
          <w:sz w:val="24"/>
          <w:szCs w:val="24"/>
        </w:rPr>
        <w:t>s un maznodr</w:t>
      </w:r>
      <w:r>
        <w:rPr>
          <w:sz w:val="24"/>
          <w:szCs w:val="24"/>
        </w:rPr>
        <w:t>ošinātā</w:t>
      </w:r>
      <w:r w:rsidR="001C5E21">
        <w:rPr>
          <w:sz w:val="24"/>
          <w:szCs w:val="24"/>
        </w:rPr>
        <w:t>s</w:t>
      </w:r>
      <w:r>
        <w:rPr>
          <w:sz w:val="24"/>
          <w:szCs w:val="24"/>
        </w:rPr>
        <w:t xml:space="preserve"> </w:t>
      </w:r>
      <w:r w:rsidR="001C5E21">
        <w:rPr>
          <w:sz w:val="24"/>
          <w:szCs w:val="24"/>
        </w:rPr>
        <w:t>personas ienākumu līmeņus, netiek piemērotas ekviv</w:t>
      </w:r>
      <w:r>
        <w:rPr>
          <w:sz w:val="24"/>
          <w:szCs w:val="24"/>
        </w:rPr>
        <w:t>a</w:t>
      </w:r>
      <w:r w:rsidR="001C5E21">
        <w:rPr>
          <w:sz w:val="24"/>
          <w:szCs w:val="24"/>
        </w:rPr>
        <w:t>l</w:t>
      </w:r>
      <w:r>
        <w:rPr>
          <w:sz w:val="24"/>
          <w:szCs w:val="24"/>
        </w:rPr>
        <w:t>e</w:t>
      </w:r>
      <w:r w:rsidR="001C5E21">
        <w:rPr>
          <w:sz w:val="24"/>
          <w:szCs w:val="24"/>
        </w:rPr>
        <w:t xml:space="preserve">nces skalas, proti, neatkarīgi no mājsaimniecībā esošo personu skaita un </w:t>
      </w:r>
      <w:r>
        <w:rPr>
          <w:sz w:val="24"/>
          <w:szCs w:val="24"/>
        </w:rPr>
        <w:t>vecuma</w:t>
      </w:r>
      <w:r w:rsidR="001C5E21">
        <w:rPr>
          <w:sz w:val="24"/>
          <w:szCs w:val="24"/>
        </w:rPr>
        <w:t>, visiem mājsaimniecību locekļiem</w:t>
      </w:r>
      <w:r>
        <w:rPr>
          <w:sz w:val="24"/>
          <w:szCs w:val="24"/>
        </w:rPr>
        <w:t>, tai skaitā bērniem,</w:t>
      </w:r>
      <w:r w:rsidR="001C5E21">
        <w:rPr>
          <w:sz w:val="24"/>
          <w:szCs w:val="24"/>
        </w:rPr>
        <w:t xml:space="preserve"> tiek piešķirta vērtība 1. </w:t>
      </w:r>
      <w:r w:rsidR="005363E0">
        <w:rPr>
          <w:sz w:val="24"/>
          <w:szCs w:val="24"/>
        </w:rPr>
        <w:t xml:space="preserve">OECD ekvivalences skala bērnam līdz 14 gadu vecumam ir 0.5, kas nozīmē, ka bērns patērē 50% jeb pusi attiecībā pret pirmā pieaugušā patēriņu. </w:t>
      </w:r>
      <w:r w:rsidR="005363E0" w:rsidRPr="005363E0">
        <w:rPr>
          <w:sz w:val="24"/>
          <w:szCs w:val="24"/>
        </w:rPr>
        <w:t xml:space="preserve">Savukārt OECD modificētā ekvivalences skalas gadījumā, ko piemēro ES, </w:t>
      </w:r>
      <w:r w:rsidR="005363E0">
        <w:rPr>
          <w:sz w:val="24"/>
          <w:szCs w:val="24"/>
        </w:rPr>
        <w:t>bērna patēriņš attiecībā pret pirmā pieaugušā patēriņu veido tikai 30%.</w:t>
      </w:r>
      <w:r w:rsidR="005363E0" w:rsidRPr="005363E0">
        <w:rPr>
          <w:sz w:val="24"/>
          <w:szCs w:val="24"/>
        </w:rPr>
        <w:t xml:space="preserve"> </w:t>
      </w:r>
      <w:r w:rsidR="001F22E4" w:rsidRPr="005363E0">
        <w:rPr>
          <w:sz w:val="24"/>
          <w:szCs w:val="24"/>
        </w:rPr>
        <w:t xml:space="preserve">Tāpēc, analizējot mājsaimniecību locekļu rīcībā esošos ienākumus, ir svarīgi zināt, </w:t>
      </w:r>
      <w:r>
        <w:rPr>
          <w:sz w:val="24"/>
          <w:szCs w:val="24"/>
        </w:rPr>
        <w:t xml:space="preserve">vai mājsaimniecībā esošajām personām </w:t>
      </w:r>
      <w:r w:rsidR="007330DC" w:rsidRPr="005363E0">
        <w:rPr>
          <w:sz w:val="24"/>
          <w:szCs w:val="24"/>
        </w:rPr>
        <w:t>tiek piemērotas ekvivalences skalas</w:t>
      </w:r>
      <w:r w:rsidR="001F22E4" w:rsidRPr="005363E0">
        <w:rPr>
          <w:sz w:val="24"/>
          <w:szCs w:val="24"/>
        </w:rPr>
        <w:t>.</w:t>
      </w:r>
      <w:r w:rsidR="007330DC" w:rsidRPr="005363E0">
        <w:rPr>
          <w:sz w:val="24"/>
          <w:szCs w:val="24"/>
        </w:rPr>
        <w:t xml:space="preserve"> Un, ja tā</w:t>
      </w:r>
      <w:r>
        <w:rPr>
          <w:sz w:val="24"/>
          <w:szCs w:val="24"/>
        </w:rPr>
        <w:t>da</w:t>
      </w:r>
      <w:r w:rsidR="007330DC" w:rsidRPr="005363E0">
        <w:rPr>
          <w:sz w:val="24"/>
          <w:szCs w:val="24"/>
        </w:rPr>
        <w:t>s tiek piemērotas, kāda ir to vērtība</w:t>
      </w:r>
      <w:r w:rsidR="0076684E" w:rsidRPr="005363E0">
        <w:rPr>
          <w:sz w:val="24"/>
          <w:szCs w:val="24"/>
        </w:rPr>
        <w:t xml:space="preserve"> </w:t>
      </w:r>
      <w:r>
        <w:rPr>
          <w:sz w:val="24"/>
          <w:szCs w:val="24"/>
        </w:rPr>
        <w:t>atkarībā no mājsaimniecībā esošo personu skaita un vecuma</w:t>
      </w:r>
      <w:r w:rsidR="007330DC" w:rsidRPr="005363E0">
        <w:rPr>
          <w:sz w:val="24"/>
          <w:szCs w:val="24"/>
        </w:rPr>
        <w:t xml:space="preserve">. </w:t>
      </w:r>
    </w:p>
    <w:p w:rsidR="00987B95" w:rsidRDefault="009E5256" w:rsidP="007256BE">
      <w:pPr>
        <w:ind w:firstLine="720"/>
        <w:jc w:val="both"/>
      </w:pPr>
      <w:r>
        <w:t xml:space="preserve">Zemāk </w:t>
      </w:r>
      <w:r w:rsidR="00127742">
        <w:t>1.attēlā</w:t>
      </w:r>
      <w:r w:rsidR="006F2BA9">
        <w:t xml:space="preserve"> ir </w:t>
      </w:r>
      <w:r w:rsidR="00120549">
        <w:t>atspoguļots</w:t>
      </w:r>
      <w:r w:rsidR="003B06E7">
        <w:t xml:space="preserve"> </w:t>
      </w:r>
      <w:r w:rsidR="008E346C">
        <w:t>Latvijas</w:t>
      </w:r>
      <w:r w:rsidR="00073E72">
        <w:t xml:space="preserve"> </w:t>
      </w:r>
      <w:r w:rsidR="003B06E7">
        <w:t>nabadzības riska slie</w:t>
      </w:r>
      <w:r w:rsidR="008E346C">
        <w:t>ksnis un nabadzības riska indekss</w:t>
      </w:r>
      <w:r w:rsidR="003B06E7">
        <w:t xml:space="preserve"> (iedzīvotāju īpatsvars procentos zem nabadzības riska sliekšņa) </w:t>
      </w:r>
      <w:r w:rsidR="008E346C">
        <w:t>Latvijā, balstoties uz ES aprēķina metodoloģiju</w:t>
      </w:r>
      <w:r w:rsidR="007531D2">
        <w:t xml:space="preserve"> – 60% no mājsaimniecību rīcībā esošās ienākumu mediānas pārrēķinātas uz ekvivalento patērētāju</w:t>
      </w:r>
      <w:r w:rsidR="00127742">
        <w:t xml:space="preserve"> skaitu, piemērojot</w:t>
      </w:r>
      <w:r w:rsidR="007531D2">
        <w:t xml:space="preserve"> ekvivalences skalu 1, 0.5, 0.3</w:t>
      </w:r>
      <w:r>
        <w:t>.</w:t>
      </w:r>
    </w:p>
    <w:p w:rsidR="00311F38" w:rsidRDefault="00311F38" w:rsidP="00603965">
      <w:pPr>
        <w:ind w:firstLine="720"/>
        <w:jc w:val="right"/>
        <w:rPr>
          <w:szCs w:val="26"/>
        </w:rPr>
      </w:pPr>
    </w:p>
    <w:p w:rsidR="00311F38" w:rsidRDefault="00311F38" w:rsidP="00603965">
      <w:pPr>
        <w:ind w:firstLine="720"/>
        <w:jc w:val="right"/>
        <w:rPr>
          <w:szCs w:val="26"/>
        </w:rPr>
      </w:pPr>
    </w:p>
    <w:p w:rsidR="00311F38" w:rsidRDefault="00311F38" w:rsidP="00603965">
      <w:pPr>
        <w:ind w:firstLine="720"/>
        <w:jc w:val="right"/>
        <w:rPr>
          <w:szCs w:val="26"/>
        </w:rPr>
      </w:pPr>
    </w:p>
    <w:p w:rsidR="00311F38" w:rsidRDefault="00311F38" w:rsidP="00603965">
      <w:pPr>
        <w:ind w:firstLine="720"/>
        <w:jc w:val="right"/>
        <w:rPr>
          <w:szCs w:val="26"/>
        </w:rPr>
      </w:pPr>
    </w:p>
    <w:p w:rsidR="00311F38" w:rsidRDefault="00311F38" w:rsidP="00603965">
      <w:pPr>
        <w:ind w:firstLine="720"/>
        <w:jc w:val="right"/>
        <w:rPr>
          <w:szCs w:val="26"/>
        </w:rPr>
      </w:pPr>
    </w:p>
    <w:p w:rsidR="000F27C4" w:rsidRPr="00657217" w:rsidRDefault="00603965" w:rsidP="00603965">
      <w:pPr>
        <w:ind w:firstLine="720"/>
        <w:jc w:val="right"/>
        <w:rPr>
          <w:szCs w:val="26"/>
        </w:rPr>
      </w:pPr>
      <w:r w:rsidRPr="00657217">
        <w:rPr>
          <w:szCs w:val="26"/>
        </w:rPr>
        <w:lastRenderedPageBreak/>
        <w:t>1</w:t>
      </w:r>
      <w:r w:rsidR="00AC7260" w:rsidRPr="00657217">
        <w:rPr>
          <w:szCs w:val="26"/>
        </w:rPr>
        <w:t>.</w:t>
      </w:r>
      <w:r w:rsidRPr="00657217">
        <w:rPr>
          <w:szCs w:val="26"/>
        </w:rPr>
        <w:t>attēls.</w:t>
      </w:r>
      <w:r w:rsidR="000F27C4" w:rsidRPr="00657217">
        <w:rPr>
          <w:szCs w:val="26"/>
        </w:rPr>
        <w:t xml:space="preserve"> </w:t>
      </w:r>
    </w:p>
    <w:p w:rsidR="000F27C4" w:rsidRDefault="00127742" w:rsidP="00E91645">
      <w:pPr>
        <w:jc w:val="center"/>
      </w:pPr>
      <w:r>
        <w:rPr>
          <w:noProof/>
          <w:lang w:eastAsia="lv-LV"/>
        </w:rPr>
        <mc:AlternateContent>
          <mc:Choice Requires="wps">
            <w:drawing>
              <wp:anchor distT="0" distB="0" distL="114300" distR="114300" simplePos="0" relativeHeight="251658752" behindDoc="0" locked="0" layoutInCell="1" allowOverlap="1" wp14:anchorId="05A0747B" wp14:editId="77A15524">
                <wp:simplePos x="0" y="0"/>
                <wp:positionH relativeFrom="column">
                  <wp:posOffset>2174240</wp:posOffset>
                </wp:positionH>
                <wp:positionV relativeFrom="paragraph">
                  <wp:posOffset>1407795</wp:posOffset>
                </wp:positionV>
                <wp:extent cx="3084195" cy="0"/>
                <wp:effectExtent l="38100" t="76200" r="0" b="95250"/>
                <wp:wrapNone/>
                <wp:docPr id="9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41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10.85pt" to="414.0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3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">
                <v:stroke endarrow="block"/>
              </v:line>
            </w:pict>
          </mc:Fallback>
        </mc:AlternateContent>
      </w:r>
      <w:r>
        <w:rPr>
          <w:noProof/>
          <w:lang w:eastAsia="lv-LV"/>
        </w:rPr>
        <mc:AlternateContent>
          <mc:Choice Requires="wps">
            <w:drawing>
              <wp:anchor distT="0" distB="0" distL="114300" distR="114300" simplePos="0" relativeHeight="251660800" behindDoc="0" locked="0" layoutInCell="1" allowOverlap="1" wp14:anchorId="611F30A4" wp14:editId="0499E284">
                <wp:simplePos x="0" y="0"/>
                <wp:positionH relativeFrom="column">
                  <wp:posOffset>2700020</wp:posOffset>
                </wp:positionH>
                <wp:positionV relativeFrom="paragraph">
                  <wp:posOffset>991870</wp:posOffset>
                </wp:positionV>
                <wp:extent cx="2558415" cy="0"/>
                <wp:effectExtent l="38100" t="76200" r="0" b="95250"/>
                <wp:wrapNone/>
                <wp:docPr id="9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8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pt,78.1pt" to="414.0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">
                <v:stroke endarrow="block"/>
              </v:line>
            </w:pict>
          </mc:Fallback>
        </mc:AlternateContent>
      </w:r>
      <w:r>
        <w:rPr>
          <w:noProof/>
          <w:lang w:eastAsia="lv-LV"/>
        </w:rPr>
        <mc:AlternateContent>
          <mc:Choice Requires="wps">
            <w:drawing>
              <wp:anchor distT="0" distB="0" distL="114300" distR="114300" simplePos="0" relativeHeight="251659776" behindDoc="0" locked="0" layoutInCell="1" allowOverlap="1" wp14:anchorId="1E939AC0" wp14:editId="1FA48574">
                <wp:simplePos x="0" y="0"/>
                <wp:positionH relativeFrom="column">
                  <wp:posOffset>5258435</wp:posOffset>
                </wp:positionH>
                <wp:positionV relativeFrom="paragraph">
                  <wp:posOffset>466090</wp:posOffset>
                </wp:positionV>
                <wp:extent cx="977900" cy="1668780"/>
                <wp:effectExtent l="0" t="0" r="12700" b="26670"/>
                <wp:wrapNone/>
                <wp:docPr id="9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668780"/>
                        </a:xfrm>
                        <a:prstGeom prst="rect">
                          <a:avLst/>
                        </a:prstGeom>
                        <a:solidFill>
                          <a:srgbClr val="FFFFFF"/>
                        </a:solidFill>
                        <a:ln w="9525">
                          <a:solidFill>
                            <a:srgbClr val="000000"/>
                          </a:solidFill>
                          <a:miter lim="800000"/>
                          <a:headEnd/>
                          <a:tailEnd/>
                        </a:ln>
                      </wps:spPr>
                      <wps:txbx>
                        <w:txbxContent>
                          <w:p w:rsidR="00401ED6" w:rsidRPr="002E7DD4" w:rsidRDefault="00401ED6" w:rsidP="00BB0F9F">
                            <w:pPr>
                              <w:ind w:right="115"/>
                              <w:rPr>
                                <w:sz w:val="20"/>
                                <w:szCs w:val="20"/>
                              </w:rPr>
                            </w:pPr>
                            <w:r w:rsidRPr="002E7DD4">
                              <w:rPr>
                                <w:sz w:val="20"/>
                                <w:szCs w:val="20"/>
                              </w:rPr>
                              <w:t xml:space="preserve">Ienākumu mediāna 2012.gadā - €392. Nabadzības riska slieksnis veido 60% no šīs summas, t.i., €235. </w:t>
                            </w:r>
                          </w:p>
                          <w:p w:rsidR="00401ED6" w:rsidRDefault="00401ED6" w:rsidP="002E7DD4">
                            <w:pPr>
                              <w:ind w:right="5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414.05pt;margin-top:36.7pt;width:77pt;height:1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">
                <v:textbox>
                  <w:txbxContent>
                    <w:p w:rsidR="00401ED6" w:rsidRPr="002E7DD4" w:rsidRDefault="00401ED6" w:rsidP="00BB0F9F">
                      <w:pPr>
                        <w:ind w:right="115"/>
                        <w:rPr>
                          <w:sz w:val="20"/>
                          <w:szCs w:val="20"/>
                        </w:rPr>
                      </w:pPr>
                      <w:r w:rsidRPr="002E7DD4">
                        <w:rPr>
                          <w:sz w:val="20"/>
                          <w:szCs w:val="20"/>
                        </w:rPr>
                        <w:t xml:space="preserve">Ienākumu mediāna 2012.gadā - €392. Nabadzības riska slieksnis veido 60% no šīs summas, t.i., €235. </w:t>
                      </w:r>
                    </w:p>
                    <w:p w:rsidR="00401ED6" w:rsidRDefault="00401ED6" w:rsidP="002E7DD4">
                      <w:pPr>
                        <w:ind w:right="520"/>
                      </w:pPr>
                    </w:p>
                  </w:txbxContent>
                </v:textbox>
              </v:rect>
            </w:pict>
          </mc:Fallback>
        </mc:AlternateContent>
      </w:r>
      <w:r w:rsidR="001C7D5F">
        <w:rPr>
          <w:noProof/>
          <w:lang w:eastAsia="lv-LV"/>
        </w:rPr>
        <mc:AlternateContent>
          <mc:Choice Requires="wps">
            <w:drawing>
              <wp:anchor distT="0" distB="0" distL="114300" distR="114300" simplePos="0" relativeHeight="251656704" behindDoc="0" locked="0" layoutInCell="1" allowOverlap="1" wp14:anchorId="02EF6BDE" wp14:editId="3609C405">
                <wp:simplePos x="0" y="0"/>
                <wp:positionH relativeFrom="column">
                  <wp:posOffset>-800100</wp:posOffset>
                </wp:positionH>
                <wp:positionV relativeFrom="paragraph">
                  <wp:posOffset>1208708</wp:posOffset>
                </wp:positionV>
                <wp:extent cx="977900" cy="1036320"/>
                <wp:effectExtent l="0" t="0" r="1403350" b="11430"/>
                <wp:wrapNone/>
                <wp:docPr id="9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036320"/>
                        </a:xfrm>
                        <a:prstGeom prst="accentCallout2">
                          <a:avLst>
                            <a:gd name="adj1" fmla="val 11028"/>
                            <a:gd name="adj2" fmla="val 107792"/>
                            <a:gd name="adj3" fmla="val 11028"/>
                            <a:gd name="adj4" fmla="val 169222"/>
                            <a:gd name="adj5" fmla="val 11028"/>
                            <a:gd name="adj6" fmla="val 242597"/>
                          </a:avLst>
                        </a:prstGeom>
                        <a:solidFill>
                          <a:srgbClr val="FFFFFF"/>
                        </a:solidFill>
                        <a:ln w="9525">
                          <a:solidFill>
                            <a:srgbClr val="000000"/>
                          </a:solidFill>
                          <a:miter lim="800000"/>
                          <a:headEnd/>
                          <a:tailEnd/>
                        </a:ln>
                      </wps:spPr>
                      <wps:txbx>
                        <w:txbxContent>
                          <w:p w:rsidR="00401ED6" w:rsidRPr="00603965" w:rsidRDefault="00401ED6" w:rsidP="00120549">
                            <w:pPr>
                              <w:pBdr>
                                <w:top w:val="single" w:sz="4" w:space="1" w:color="auto"/>
                                <w:left w:val="single" w:sz="4" w:space="4" w:color="auto"/>
                                <w:bottom w:val="single" w:sz="4" w:space="1" w:color="auto"/>
                                <w:right w:val="single" w:sz="4" w:space="4" w:color="auto"/>
                              </w:pBdr>
                              <w:jc w:val="center"/>
                              <w:rPr>
                                <w:sz w:val="20"/>
                                <w:szCs w:val="22"/>
                              </w:rPr>
                            </w:pPr>
                            <w:r w:rsidRPr="00603965">
                              <w:rPr>
                                <w:sz w:val="20"/>
                                <w:szCs w:val="22"/>
                              </w:rPr>
                              <w:t>2012.gadā 19,4% personu Latvijā pakļautas nabadzības riskam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5" o:spid="_x0000_s1027" type="#_x0000_t45" style="position:absolute;left:0;text-align:left;margin-left:-63pt;margin-top:95.15pt;width:77pt;height:8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" adj="52401,2382,36552,2382,23283,2382">
                <v:textbox>
                  <w:txbxContent>
                    <w:p w:rsidR="00401ED6" w:rsidRPr="00603965" w:rsidRDefault="00401ED6" w:rsidP="00120549">
                      <w:pPr>
                        <w:pBdr>
                          <w:top w:val="single" w:sz="4" w:space="1" w:color="auto"/>
                          <w:left w:val="single" w:sz="4" w:space="4" w:color="auto"/>
                          <w:bottom w:val="single" w:sz="4" w:space="1" w:color="auto"/>
                          <w:right w:val="single" w:sz="4" w:space="4" w:color="auto"/>
                        </w:pBdr>
                        <w:jc w:val="center"/>
                        <w:rPr>
                          <w:sz w:val="20"/>
                          <w:szCs w:val="22"/>
                        </w:rPr>
                      </w:pPr>
                      <w:r w:rsidRPr="00603965">
                        <w:rPr>
                          <w:sz w:val="20"/>
                          <w:szCs w:val="22"/>
                        </w:rPr>
                        <w:t>2012.gadā 19,4% personu Latvijā pakļautas nabadzības riskam</w:t>
                      </w:r>
                    </w:p>
                  </w:txbxContent>
                </v:textbox>
                <o:callout v:ext="edit" minusx="t"/>
              </v:shape>
            </w:pict>
          </mc:Fallback>
        </mc:AlternateContent>
      </w:r>
      <w:r w:rsidR="001C7D5F">
        <w:rPr>
          <w:noProof/>
          <w:lang w:eastAsia="lv-LV"/>
        </w:rPr>
        <w:drawing>
          <wp:inline distT="0" distB="0" distL="0" distR="0">
            <wp:extent cx="4681855" cy="3080385"/>
            <wp:effectExtent l="0" t="0" r="23495" b="2476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0549" w:rsidRPr="009E6283" w:rsidRDefault="00603965" w:rsidP="000A7EA0">
      <w:pPr>
        <w:pStyle w:val="Default"/>
        <w:ind w:left="720"/>
        <w:jc w:val="both"/>
        <w:rPr>
          <w:sz w:val="20"/>
          <w:szCs w:val="20"/>
        </w:rPr>
      </w:pPr>
      <w:r>
        <w:rPr>
          <w:sz w:val="20"/>
          <w:szCs w:val="20"/>
        </w:rPr>
        <w:t>Datu avots: CSP, LM veidots attēls</w:t>
      </w:r>
      <w:r w:rsidR="006A025C">
        <w:rPr>
          <w:sz w:val="20"/>
          <w:szCs w:val="20"/>
        </w:rPr>
        <w:t xml:space="preserve">. </w:t>
      </w:r>
      <w:r w:rsidR="00120549" w:rsidRPr="009E6283">
        <w:rPr>
          <w:sz w:val="20"/>
          <w:szCs w:val="20"/>
        </w:rPr>
        <w:t xml:space="preserve">2012.gadā 19,4% </w:t>
      </w:r>
      <w:r w:rsidR="009E6283">
        <w:rPr>
          <w:sz w:val="20"/>
          <w:szCs w:val="20"/>
        </w:rPr>
        <w:t xml:space="preserve">Latvijas </w:t>
      </w:r>
      <w:r w:rsidR="00120549" w:rsidRPr="009E6283">
        <w:rPr>
          <w:sz w:val="20"/>
          <w:szCs w:val="20"/>
        </w:rPr>
        <w:t xml:space="preserve">iedzīvotāju bija nabadzības riskam pakļauti jeb to ienākumi bija vienādi vai zemāki par 235 </w:t>
      </w:r>
      <w:proofErr w:type="spellStart"/>
      <w:r w:rsidR="00524B2E" w:rsidRPr="00BD0F8B">
        <w:rPr>
          <w:i/>
          <w:iCs/>
          <w:sz w:val="20"/>
          <w:szCs w:val="20"/>
        </w:rPr>
        <w:t>euro</w:t>
      </w:r>
      <w:proofErr w:type="spellEnd"/>
      <w:r w:rsidR="00524B2E" w:rsidRPr="009E6283">
        <w:rPr>
          <w:sz w:val="20"/>
          <w:szCs w:val="20"/>
        </w:rPr>
        <w:t xml:space="preserve"> </w:t>
      </w:r>
      <w:r w:rsidR="00120549" w:rsidRPr="009E6283">
        <w:rPr>
          <w:sz w:val="20"/>
          <w:szCs w:val="20"/>
        </w:rPr>
        <w:t>mēnes</w:t>
      </w:r>
      <w:r w:rsidR="006C4881" w:rsidRPr="009E6283">
        <w:rPr>
          <w:sz w:val="20"/>
          <w:szCs w:val="20"/>
        </w:rPr>
        <w:t>ī</w:t>
      </w:r>
      <w:r w:rsidR="00120549" w:rsidRPr="009E6283">
        <w:rPr>
          <w:sz w:val="20"/>
          <w:szCs w:val="20"/>
        </w:rPr>
        <w:t xml:space="preserve">. </w:t>
      </w:r>
    </w:p>
    <w:p w:rsidR="00E91645" w:rsidRDefault="00E91645" w:rsidP="0058381B">
      <w:pPr>
        <w:pStyle w:val="Default"/>
        <w:ind w:firstLine="720"/>
        <w:jc w:val="both"/>
      </w:pPr>
    </w:p>
    <w:p w:rsidR="00B2546F" w:rsidRDefault="00D966A1" w:rsidP="0058381B">
      <w:pPr>
        <w:pStyle w:val="Default"/>
        <w:ind w:firstLine="720"/>
        <w:jc w:val="both"/>
      </w:pPr>
      <w:r>
        <w:t>Nabadzības riska slieksni</w:t>
      </w:r>
      <w:r w:rsidR="0050604C" w:rsidRPr="00C84374">
        <w:t xml:space="preserve"> rēķina </w:t>
      </w:r>
      <w:r>
        <w:t>dalībvalst</w:t>
      </w:r>
      <w:r w:rsidR="006C4881">
        <w:t>u</w:t>
      </w:r>
      <w:r>
        <w:t xml:space="preserve"> statistikas pārvaldes</w:t>
      </w:r>
      <w:r w:rsidR="00F74DF6">
        <w:t xml:space="preserve"> pēc vienotas</w:t>
      </w:r>
      <w:r>
        <w:t xml:space="preserve"> </w:t>
      </w:r>
      <w:r w:rsidR="00F74DF6">
        <w:t>metodoloģijas</w:t>
      </w:r>
      <w:r w:rsidR="00A05890">
        <w:rPr>
          <w:rStyle w:val="FootnoteReference"/>
        </w:rPr>
        <w:footnoteReference w:id="54"/>
      </w:r>
      <w:r w:rsidR="00F74DF6">
        <w:t>. Š</w:t>
      </w:r>
      <w:r>
        <w:t xml:space="preserve">o rādītāju, kā arī pārējos sociālās iekļaušanas indikatorus, </w:t>
      </w:r>
      <w:r w:rsidR="0050604C" w:rsidRPr="00C84374">
        <w:t xml:space="preserve">salīdzina, lai analizētu un vērtētu nabadzības </w:t>
      </w:r>
      <w:r w:rsidR="00617802">
        <w:t xml:space="preserve">un sociālās </w:t>
      </w:r>
      <w:r w:rsidR="00575651">
        <w:t>atstumtī</w:t>
      </w:r>
      <w:r w:rsidR="00617802">
        <w:t>bas</w:t>
      </w:r>
      <w:r w:rsidR="00575651">
        <w:t xml:space="preserve"> </w:t>
      </w:r>
      <w:r w:rsidR="0050604C" w:rsidRPr="00C84374">
        <w:t xml:space="preserve">situāciju ES dalībvalstīs. </w:t>
      </w:r>
    </w:p>
    <w:p w:rsidR="006A025C" w:rsidRDefault="00AC7260" w:rsidP="006A025C">
      <w:pPr>
        <w:pStyle w:val="Default"/>
        <w:ind w:firstLine="720"/>
        <w:jc w:val="right"/>
      </w:pPr>
      <w:r>
        <w:t>3.</w:t>
      </w:r>
      <w:r w:rsidR="006F2BA9">
        <w:t>grafiks</w:t>
      </w:r>
      <w:r w:rsidR="00D04709" w:rsidRPr="002721D6">
        <w:t xml:space="preserve">. </w:t>
      </w:r>
    </w:p>
    <w:p w:rsidR="00657217" w:rsidRDefault="00D04709" w:rsidP="00657217">
      <w:pPr>
        <w:pStyle w:val="Default"/>
        <w:ind w:firstLine="720"/>
        <w:jc w:val="center"/>
      </w:pPr>
      <w:r w:rsidRPr="002721D6">
        <w:t>Nabadzības riska sl</w:t>
      </w:r>
      <w:r w:rsidR="00636D66">
        <w:t xml:space="preserve">ieksnis </w:t>
      </w:r>
      <w:r w:rsidR="00A11CA6">
        <w:t xml:space="preserve">vienas personas mājsaimniecībai </w:t>
      </w:r>
      <w:r w:rsidR="00657217">
        <w:t xml:space="preserve">gadā </w:t>
      </w:r>
    </w:p>
    <w:p w:rsidR="00D04709" w:rsidRDefault="00636D66" w:rsidP="00657217">
      <w:pPr>
        <w:pStyle w:val="Default"/>
        <w:ind w:firstLine="720"/>
        <w:jc w:val="center"/>
      </w:pPr>
      <w:r>
        <w:t>Latvijā</w:t>
      </w:r>
      <w:r w:rsidR="00657217">
        <w:t xml:space="preserve"> </w:t>
      </w:r>
      <w:r>
        <w:t xml:space="preserve">2004.-2012.gadā </w:t>
      </w:r>
      <w:r w:rsidR="00D04709" w:rsidRPr="002721D6">
        <w:t>(</w:t>
      </w:r>
      <w:proofErr w:type="spellStart"/>
      <w:r w:rsidR="00524B2E" w:rsidRPr="00BD0F8B">
        <w:rPr>
          <w:i/>
          <w:iCs/>
        </w:rPr>
        <w:t>euro</w:t>
      </w:r>
      <w:proofErr w:type="spellEnd"/>
      <w:r w:rsidR="00657217">
        <w:t>)</w:t>
      </w:r>
    </w:p>
    <w:p w:rsidR="00D04709" w:rsidRDefault="001C7D5F" w:rsidP="002721D6">
      <w:pPr>
        <w:pStyle w:val="Default"/>
        <w:ind w:firstLine="720"/>
        <w:jc w:val="center"/>
      </w:pPr>
      <w:r>
        <w:rPr>
          <w:noProof/>
        </w:rPr>
        <w:drawing>
          <wp:inline distT="0" distB="0" distL="0" distR="0">
            <wp:extent cx="3540125" cy="2450465"/>
            <wp:effectExtent l="0" t="0" r="22225" b="2603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023C" w:rsidRPr="0081732D" w:rsidRDefault="0081732D" w:rsidP="006F2BA9">
      <w:pPr>
        <w:pStyle w:val="Default"/>
        <w:ind w:left="1440" w:firstLine="720"/>
        <w:jc w:val="both"/>
        <w:rPr>
          <w:sz w:val="20"/>
        </w:rPr>
      </w:pPr>
      <w:r w:rsidRPr="0081732D">
        <w:rPr>
          <w:sz w:val="20"/>
        </w:rPr>
        <w:t>Datu avots: CSP</w:t>
      </w:r>
    </w:p>
    <w:p w:rsidR="006A025C" w:rsidRDefault="006A025C" w:rsidP="0050604C">
      <w:pPr>
        <w:ind w:firstLine="720"/>
        <w:jc w:val="both"/>
      </w:pPr>
    </w:p>
    <w:p w:rsidR="00D04709" w:rsidRDefault="002A4D04" w:rsidP="0050604C">
      <w:pPr>
        <w:ind w:firstLine="720"/>
        <w:jc w:val="both"/>
      </w:pPr>
      <w:r>
        <w:t xml:space="preserve">Kā redzams 3.grafikā, nabadzības riska slieksnis līdz 2008.gadam pakāpeniski ir palielinājies, krīzes ietekmē 2009.-2010.gadā tas samazinājās, savukārt no 2011.gada novērojama pieauguma tendence. </w:t>
      </w:r>
      <w:r w:rsidR="00B54E8D">
        <w:t>Tā kā nabadzības riska slieksnis tiek rēķināts, pamatojoties uz iedzīvotāju ienākumiem, tad ir li</w:t>
      </w:r>
      <w:r w:rsidR="0058381B">
        <w:t>kumsakarīgi, ka līdz 2009.gadam</w:t>
      </w:r>
      <w:r w:rsidR="00B54E8D">
        <w:t xml:space="preserve"> </w:t>
      </w:r>
      <w:r w:rsidR="00475212">
        <w:t xml:space="preserve">nabadzības riska </w:t>
      </w:r>
      <w:r w:rsidR="00475212">
        <w:lastRenderedPageBreak/>
        <w:t>slieksnis pieauga, jo</w:t>
      </w:r>
      <w:r w:rsidR="00B54E8D">
        <w:t xml:space="preserve"> iedzīvotāju ienākumi katru gadu pastāvīgi palielinājās, savukārt krīzes periodā, kad iedzīvotāju ienākumi</w:t>
      </w:r>
      <w:r w:rsidR="00475212">
        <w:t xml:space="preserve"> strauji samazinājās, zemāks </w:t>
      </w:r>
      <w:r w:rsidR="00B54E8D">
        <w:t xml:space="preserve">bija </w:t>
      </w:r>
      <w:r w:rsidR="00475212">
        <w:t xml:space="preserve">arī </w:t>
      </w:r>
      <w:r w:rsidR="00B54E8D">
        <w:t xml:space="preserve">nabadzības riska slieksnis. </w:t>
      </w:r>
    </w:p>
    <w:p w:rsidR="00F636A5" w:rsidRPr="0058381B" w:rsidRDefault="00F636A5" w:rsidP="00524B2E">
      <w:pPr>
        <w:pStyle w:val="Default"/>
        <w:ind w:firstLine="720"/>
        <w:jc w:val="both"/>
        <w:rPr>
          <w:i/>
        </w:rPr>
      </w:pPr>
      <w:r>
        <w:t xml:space="preserve">Nabadzības riska sliekšņa vērtības katrā valstī ir atšķirīgas, jo iedzīvotāju ienākumi ir dažādi, tāpēc parasti šīs vērtības </w:t>
      </w:r>
      <w:proofErr w:type="gramStart"/>
      <w:r>
        <w:t>salīdzinātas netiek</w:t>
      </w:r>
      <w:proofErr w:type="gramEnd"/>
      <w:r>
        <w:t xml:space="preserve">, jo ienākumi ir atkarīgi no ļoti daudziem ienākumus ietekmējošiem faktoriem – nodokļu sistēmas, darba algas veidošanas mehānismiem, sociālās aizsardzības sistēmām u.c. Tomēr, ja </w:t>
      </w:r>
      <w:r w:rsidRPr="002721D6">
        <w:t xml:space="preserve">salīdzina Latvijas situāciju ar pārējām ES dalībvalstīm (skat. </w:t>
      </w:r>
      <w:r>
        <w:t>4.grafiku</w:t>
      </w:r>
      <w:r w:rsidRPr="002721D6">
        <w:t>), tad redzams, ka 2011.gadā</w:t>
      </w:r>
      <w:r>
        <w:rPr>
          <w:rStyle w:val="FootnoteReference"/>
        </w:rPr>
        <w:footnoteReference w:id="55"/>
      </w:r>
      <w:r w:rsidRPr="002721D6">
        <w:t xml:space="preserve"> Latvijā nabadzības riska slieksnis bija ceturtais zemākais aiz</w:t>
      </w:r>
      <w:r>
        <w:t xml:space="preserve"> </w:t>
      </w:r>
      <w:r w:rsidRPr="002721D6">
        <w:t>Rumānijas</w:t>
      </w:r>
      <w:r>
        <w:t>,</w:t>
      </w:r>
      <w:r w:rsidRPr="002721D6">
        <w:t xml:space="preserve"> Bulgārijas</w:t>
      </w:r>
      <w:r w:rsidRPr="00DF32FB">
        <w:t xml:space="preserve"> </w:t>
      </w:r>
      <w:r w:rsidRPr="002721D6">
        <w:t>un</w:t>
      </w:r>
      <w:r w:rsidRPr="00DF32FB">
        <w:t xml:space="preserve"> </w:t>
      </w:r>
      <w:r>
        <w:t>Lietuvas</w:t>
      </w:r>
      <w:r w:rsidRPr="002721D6">
        <w:t>.</w:t>
      </w:r>
      <w:r>
        <w:t xml:space="preserve"> Latvijā nabadzības riskam pakļauta ir persona, ja tās ienākumi mēnesī ir zemāki vai vienādā apmērā ar 221 </w:t>
      </w:r>
      <w:proofErr w:type="spellStart"/>
      <w:r w:rsidR="00524B2E" w:rsidRPr="00524B2E">
        <w:rPr>
          <w:i/>
          <w:iCs/>
        </w:rPr>
        <w:t>euro</w:t>
      </w:r>
      <w:proofErr w:type="spellEnd"/>
      <w:r w:rsidR="00524B2E">
        <w:t xml:space="preserve"> </w:t>
      </w:r>
      <w:r>
        <w:t xml:space="preserve">mēnesī pirmajam mājsaimniecības loceklim, bet, piemēram, Beļģijā tie ir 1002 </w:t>
      </w:r>
      <w:proofErr w:type="spellStart"/>
      <w:r w:rsidR="00524B2E" w:rsidRPr="00524B2E">
        <w:rPr>
          <w:i/>
          <w:iCs/>
        </w:rPr>
        <w:t>euro</w:t>
      </w:r>
      <w:proofErr w:type="spellEnd"/>
      <w:r w:rsidR="00524B2E">
        <w:t xml:space="preserve"> </w:t>
      </w:r>
      <w:r>
        <w:t>m</w:t>
      </w:r>
      <w:r w:rsidR="00524B2E">
        <w:t xml:space="preserve">ēnesī, Apvienotajā Karalistē – </w:t>
      </w:r>
      <w:r>
        <w:t>950</w:t>
      </w:r>
      <w:r w:rsidR="00524B2E">
        <w:t xml:space="preserve"> </w:t>
      </w:r>
      <w:proofErr w:type="spellStart"/>
      <w:r w:rsidR="00524B2E" w:rsidRPr="00524B2E">
        <w:rPr>
          <w:i/>
          <w:iCs/>
        </w:rPr>
        <w:t>euro</w:t>
      </w:r>
      <w:proofErr w:type="spellEnd"/>
      <w:r>
        <w:t xml:space="preserve">, Grieķijā </w:t>
      </w:r>
      <w:r w:rsidR="00524B2E">
        <w:t>–</w:t>
      </w:r>
      <w:r>
        <w:t xml:space="preserve"> 476</w:t>
      </w:r>
      <w:r w:rsidR="00524B2E">
        <w:t xml:space="preserve"> </w:t>
      </w:r>
      <w:proofErr w:type="spellStart"/>
      <w:r w:rsidR="00524B2E" w:rsidRPr="00524B2E">
        <w:rPr>
          <w:i/>
          <w:iCs/>
        </w:rPr>
        <w:t>euro</w:t>
      </w:r>
      <w:proofErr w:type="spellEnd"/>
      <w:r w:rsidR="00524B2E">
        <w:t xml:space="preserve">, Igaunijā – </w:t>
      </w:r>
      <w:r>
        <w:t>299</w:t>
      </w:r>
      <w:r w:rsidR="00524B2E">
        <w:t xml:space="preserve"> </w:t>
      </w:r>
      <w:proofErr w:type="spellStart"/>
      <w:r w:rsidR="00524B2E" w:rsidRPr="00524B2E">
        <w:rPr>
          <w:i/>
          <w:iCs/>
        </w:rPr>
        <w:t>euro</w:t>
      </w:r>
      <w:proofErr w:type="spellEnd"/>
      <w:r>
        <w:t xml:space="preserve">, Polijā </w:t>
      </w:r>
      <w:r w:rsidR="00524B2E">
        <w:t>–</w:t>
      </w:r>
      <w:r>
        <w:t xml:space="preserve"> 253</w:t>
      </w:r>
      <w:r w:rsidR="00524B2E">
        <w:t xml:space="preserve"> </w:t>
      </w:r>
      <w:proofErr w:type="spellStart"/>
      <w:r w:rsidR="00524B2E" w:rsidRPr="00524B2E">
        <w:rPr>
          <w:i/>
          <w:iCs/>
        </w:rPr>
        <w:t>euro</w:t>
      </w:r>
      <w:proofErr w:type="spellEnd"/>
      <w:r>
        <w:t xml:space="preserve">, Lietuvā </w:t>
      </w:r>
      <w:r w:rsidR="00524B2E">
        <w:t>–</w:t>
      </w:r>
      <w:r>
        <w:t xml:space="preserve"> 217</w:t>
      </w:r>
      <w:r w:rsidR="00524B2E">
        <w:t xml:space="preserve"> </w:t>
      </w:r>
      <w:proofErr w:type="spellStart"/>
      <w:r w:rsidR="00524B2E" w:rsidRPr="00524B2E">
        <w:rPr>
          <w:i/>
          <w:iCs/>
        </w:rPr>
        <w:t>euro</w:t>
      </w:r>
      <w:proofErr w:type="spellEnd"/>
      <w:r>
        <w:t xml:space="preserve">, Rumānijā </w:t>
      </w:r>
      <w:r w:rsidR="00524B2E">
        <w:t>–</w:t>
      </w:r>
      <w:r>
        <w:t xml:space="preserve"> 106</w:t>
      </w:r>
      <w:r w:rsidR="00524B2E">
        <w:t xml:space="preserve"> </w:t>
      </w:r>
      <w:proofErr w:type="spellStart"/>
      <w:r w:rsidR="00524B2E" w:rsidRPr="00524B2E">
        <w:rPr>
          <w:i/>
          <w:iCs/>
        </w:rPr>
        <w:t>euro</w:t>
      </w:r>
      <w:proofErr w:type="spellEnd"/>
      <w:r>
        <w:t xml:space="preserve">. </w:t>
      </w:r>
      <w:r w:rsidR="002A4D7C">
        <w:t>Taču vienlaikus jāatzīmē, ka nabadz</w:t>
      </w:r>
      <w:r w:rsidR="002F4B59">
        <w:t>ības riska sliekšņa korelācija ar</w:t>
      </w:r>
      <w:r w:rsidR="002A4D7C">
        <w:t xml:space="preserve"> valsts turīguma līme</w:t>
      </w:r>
      <w:r w:rsidR="002F4B59">
        <w:t>ni ir nenoliedzama</w:t>
      </w:r>
      <w:r w:rsidR="008F79DC">
        <w:t>,</w:t>
      </w:r>
      <w:r w:rsidR="002A4D7C">
        <w:t xml:space="preserve"> un</w:t>
      </w:r>
      <w:r w:rsidR="008F79DC">
        <w:t>,</w:t>
      </w:r>
      <w:r w:rsidR="002A4D7C">
        <w:t xml:space="preserve"> </w:t>
      </w:r>
      <w:r w:rsidR="002F4B59">
        <w:t>kā redzams 5.grafikā</w:t>
      </w:r>
      <w:r w:rsidR="008F79DC">
        <w:t>,</w:t>
      </w:r>
      <w:r w:rsidR="002F4B59">
        <w:t xml:space="preserve"> </w:t>
      </w:r>
      <w:r w:rsidR="002A4D7C">
        <w:t xml:space="preserve">IKP </w:t>
      </w:r>
      <w:r w:rsidR="002F4B59">
        <w:t xml:space="preserve">uz 1 iedzīvotāju arī </w:t>
      </w:r>
      <w:r w:rsidR="002A4D7C">
        <w:t>apliecina</w:t>
      </w:r>
      <w:r w:rsidR="002F4B59">
        <w:t xml:space="preserve"> to</w:t>
      </w:r>
      <w:r w:rsidR="002A4D7C">
        <w:t xml:space="preserve">, ka, jo nabadzīgāka ir valsts, jo zemāks ir nabadzības riska slieksnis. </w:t>
      </w:r>
    </w:p>
    <w:p w:rsidR="00657217" w:rsidRDefault="00657217" w:rsidP="006A025C">
      <w:pPr>
        <w:jc w:val="right"/>
      </w:pPr>
    </w:p>
    <w:p w:rsidR="006A025C" w:rsidRDefault="00AC7260" w:rsidP="005660DD">
      <w:r>
        <w:t>4.</w:t>
      </w:r>
      <w:r w:rsidR="006F2BA9">
        <w:t>grafiks</w:t>
      </w:r>
      <w:r w:rsidR="002721D6">
        <w:t xml:space="preserve">. </w:t>
      </w:r>
      <w:r w:rsidR="005660DD">
        <w:tab/>
      </w:r>
      <w:r w:rsidR="005660DD">
        <w:tab/>
      </w:r>
      <w:r w:rsidR="005660DD">
        <w:tab/>
      </w:r>
      <w:r w:rsidR="005660DD">
        <w:tab/>
      </w:r>
      <w:r w:rsidR="005660DD">
        <w:tab/>
      </w:r>
      <w:r w:rsidR="005660DD">
        <w:tab/>
      </w:r>
      <w:r w:rsidR="005660DD">
        <w:tab/>
      </w:r>
      <w:r w:rsidR="005660DD">
        <w:tab/>
      </w:r>
      <w:r w:rsidR="005660DD">
        <w:tab/>
      </w:r>
      <w:r w:rsidR="005660DD">
        <w:tab/>
        <w:t>5.grafiks.</w:t>
      </w:r>
    </w:p>
    <w:p w:rsidR="002721D6" w:rsidRPr="002721D6" w:rsidRDefault="002721D6" w:rsidP="00657217">
      <w:r>
        <w:t>Na</w:t>
      </w:r>
      <w:r w:rsidR="006F2BA9">
        <w:t xml:space="preserve">badzības riska slieksnis gadā ES-28 vienas </w:t>
      </w:r>
      <w:r w:rsidR="005660DD">
        <w:tab/>
      </w:r>
      <w:r w:rsidR="002A4D7C">
        <w:tab/>
      </w:r>
      <w:r w:rsidR="005660DD">
        <w:t>IKP uz 1 iedzīvotāju ES</w:t>
      </w:r>
      <w:r w:rsidR="002A4D7C">
        <w:t>-28</w:t>
      </w:r>
      <w:r w:rsidR="008F79DC">
        <w:t>,</w:t>
      </w:r>
      <w:r w:rsidR="00657217">
        <w:t xml:space="preserve"> 2012. </w:t>
      </w:r>
      <w:r w:rsidR="006F2BA9">
        <w:t>personas mājsaimniecībai</w:t>
      </w:r>
      <w:r>
        <w:t>, 2012</w:t>
      </w:r>
      <w:r w:rsidR="0058381B">
        <w:t>.gadā</w:t>
      </w:r>
      <w:r w:rsidR="002A4D7C">
        <w:tab/>
      </w:r>
      <w:r w:rsidR="00657217">
        <w:t xml:space="preserve"> (</w:t>
      </w:r>
      <w:proofErr w:type="spellStart"/>
      <w:r w:rsidR="00524B2E" w:rsidRPr="00BD0F8B">
        <w:rPr>
          <w:i/>
          <w:iCs/>
        </w:rPr>
        <w:t>euro</w:t>
      </w:r>
      <w:proofErr w:type="spellEnd"/>
      <w:r w:rsidR="00657217">
        <w:t>)</w:t>
      </w:r>
      <w:r w:rsidR="00657217">
        <w:tab/>
      </w:r>
      <w:r w:rsidR="00657217">
        <w:tab/>
      </w:r>
      <w:r w:rsidR="00657217">
        <w:tab/>
      </w:r>
      <w:r w:rsidR="00657217">
        <w:tab/>
      </w:r>
      <w:r w:rsidR="00657217">
        <w:tab/>
      </w:r>
      <w:r w:rsidR="00522B88">
        <w:tab/>
      </w:r>
      <w:r w:rsidR="002A4D7C">
        <w:t>gadā</w:t>
      </w:r>
      <w:r w:rsidR="00657217" w:rsidRPr="00657217">
        <w:t xml:space="preserve"> </w:t>
      </w:r>
      <w:r w:rsidR="00657217">
        <w:t>(</w:t>
      </w:r>
      <w:proofErr w:type="spellStart"/>
      <w:r w:rsidR="00524B2E" w:rsidRPr="00BD0F8B">
        <w:rPr>
          <w:i/>
          <w:iCs/>
        </w:rPr>
        <w:t>euro</w:t>
      </w:r>
      <w:proofErr w:type="spellEnd"/>
      <w:r w:rsidR="00657217">
        <w:t>)</w:t>
      </w:r>
    </w:p>
    <w:p w:rsidR="00D04709" w:rsidRDefault="001C7D5F" w:rsidP="00B81839">
      <w:pPr>
        <w:jc w:val="center"/>
      </w:pPr>
      <w:r>
        <w:rPr>
          <w:noProof/>
          <w:lang w:eastAsia="lv-LV"/>
        </w:rPr>
        <w:drawing>
          <wp:inline distT="0" distB="0" distL="0" distR="0">
            <wp:extent cx="2939415" cy="3840480"/>
            <wp:effectExtent l="0" t="0" r="13335" b="2667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lv-LV"/>
        </w:rPr>
        <w:drawing>
          <wp:inline distT="0" distB="0" distL="0" distR="0">
            <wp:extent cx="2620010" cy="3845560"/>
            <wp:effectExtent l="0" t="0" r="27940" b="2159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2BA9" w:rsidRPr="0081732D" w:rsidRDefault="006F2BA9" w:rsidP="00657217">
      <w:pPr>
        <w:pStyle w:val="Default"/>
        <w:jc w:val="both"/>
        <w:rPr>
          <w:sz w:val="20"/>
        </w:rPr>
      </w:pPr>
      <w:r>
        <w:rPr>
          <w:sz w:val="20"/>
        </w:rPr>
        <w:t xml:space="preserve">Datu avots: </w:t>
      </w:r>
      <w:r w:rsidR="00D770F2" w:rsidRPr="007D37C0">
        <w:rPr>
          <w:iCs/>
          <w:sz w:val="20"/>
        </w:rPr>
        <w:t>Euro</w:t>
      </w:r>
      <w:r>
        <w:rPr>
          <w:sz w:val="20"/>
        </w:rPr>
        <w:t>stat</w:t>
      </w:r>
    </w:p>
    <w:p w:rsidR="003B0979" w:rsidRDefault="003B0979" w:rsidP="0050604C">
      <w:pPr>
        <w:ind w:firstLine="720"/>
        <w:jc w:val="both"/>
      </w:pPr>
    </w:p>
    <w:p w:rsidR="00A30DAB" w:rsidRDefault="00D966A1" w:rsidP="0050604C">
      <w:pPr>
        <w:ind w:firstLine="720"/>
        <w:jc w:val="both"/>
      </w:pPr>
      <w:r>
        <w:t xml:space="preserve">Lai noskaidrotu, kāpēc </w:t>
      </w:r>
      <w:r w:rsidR="00435983">
        <w:t xml:space="preserve">ES </w:t>
      </w:r>
      <w:r>
        <w:t>nabadzības riska slieksnis ir noteikts 60% apmērā, tālāk sniegts īss v</w:t>
      </w:r>
      <w:r w:rsidR="00A30DAB">
        <w:t>ēsturisks</w:t>
      </w:r>
      <w:r>
        <w:t xml:space="preserve"> </w:t>
      </w:r>
      <w:r w:rsidR="00A30DAB">
        <w:t xml:space="preserve">lēmumu pieņemšanas </w:t>
      </w:r>
      <w:r w:rsidR="001B6834">
        <w:t xml:space="preserve">process un </w:t>
      </w:r>
      <w:r w:rsidR="006F2BA9">
        <w:t>pamatojums</w:t>
      </w:r>
      <w:r w:rsidR="00A30DAB">
        <w:t xml:space="preserve">. </w:t>
      </w:r>
    </w:p>
    <w:p w:rsidR="0050604C" w:rsidRPr="00C84374" w:rsidRDefault="0050604C" w:rsidP="0050604C">
      <w:pPr>
        <w:ind w:firstLine="720"/>
        <w:jc w:val="both"/>
      </w:pPr>
      <w:r w:rsidRPr="00C84374">
        <w:t xml:space="preserve">Pirms 2000.gada ES statistikas birojs </w:t>
      </w:r>
      <w:r w:rsidR="00D770F2" w:rsidRPr="00524B2E">
        <w:t>EURO</w:t>
      </w:r>
      <w:r w:rsidRPr="00C84374">
        <w:t>STAT</w:t>
      </w:r>
      <w:r w:rsidR="00E115C7">
        <w:t xml:space="preserve"> </w:t>
      </w:r>
      <w:r w:rsidRPr="00C84374">
        <w:t>noteica nabadzības līniju 50% apmērā no vidējiem mājsaimniecību rīcībā esošajiem ienākumiem</w:t>
      </w:r>
      <w:r w:rsidR="008C4793">
        <w:t xml:space="preserve">. Tomēr </w:t>
      </w:r>
      <w:r w:rsidRPr="00C84374">
        <w:t xml:space="preserve">tajā </w:t>
      </w:r>
      <w:r w:rsidR="008C4793">
        <w:t xml:space="preserve">pašā </w:t>
      </w:r>
      <w:r w:rsidRPr="00C84374">
        <w:t xml:space="preserve">gadā </w:t>
      </w:r>
      <w:r w:rsidR="00D770F2" w:rsidRPr="00524B2E">
        <w:t>EURO</w:t>
      </w:r>
      <w:r w:rsidRPr="00C84374">
        <w:t xml:space="preserve">STAT mainīja nabadzības </w:t>
      </w:r>
      <w:r w:rsidR="00B14BC5">
        <w:t>aprēķina metodi</w:t>
      </w:r>
      <w:r w:rsidRPr="00C84374">
        <w:t xml:space="preserve">, pamatojoties uz 1998.gada </w:t>
      </w:r>
      <w:r w:rsidR="00D770F2" w:rsidRPr="00524B2E">
        <w:t>EURO</w:t>
      </w:r>
      <w:r w:rsidR="00B14BC5" w:rsidRPr="00C84374">
        <w:t xml:space="preserve">STAT </w:t>
      </w:r>
      <w:r w:rsidR="00B14BC5">
        <w:lastRenderedPageBreak/>
        <w:t xml:space="preserve">izveidotās </w:t>
      </w:r>
      <w:r w:rsidRPr="00C84374">
        <w:t>nabadzības un sociālās atstumtības darba grupas</w:t>
      </w:r>
      <w:r w:rsidR="00B14BC5">
        <w:rPr>
          <w:rStyle w:val="FootnoteReference"/>
        </w:rPr>
        <w:footnoteReference w:id="56"/>
      </w:r>
      <w:r w:rsidR="00B14BC5">
        <w:t xml:space="preserve"> rekomendāciju,</w:t>
      </w:r>
      <w:r w:rsidRPr="00C84374">
        <w:t xml:space="preserve"> </w:t>
      </w:r>
      <w:r w:rsidR="008C4793">
        <w:t xml:space="preserve">turpmāk </w:t>
      </w:r>
      <w:r w:rsidRPr="00C84374">
        <w:t>nabadzības riska slieksni</w:t>
      </w:r>
      <w:r w:rsidR="008C4793" w:rsidRPr="008C4793">
        <w:t xml:space="preserve"> </w:t>
      </w:r>
      <w:r w:rsidR="002F711D">
        <w:t>noteikt</w:t>
      </w:r>
      <w:r w:rsidRPr="00C84374">
        <w:t xml:space="preserve">: </w:t>
      </w:r>
    </w:p>
    <w:p w:rsidR="0050604C" w:rsidRPr="00C84374" w:rsidRDefault="0050604C" w:rsidP="0050604C">
      <w:pPr>
        <w:pStyle w:val="ListParagraph"/>
        <w:numPr>
          <w:ilvl w:val="0"/>
          <w:numId w:val="6"/>
        </w:numPr>
        <w:jc w:val="both"/>
        <w:rPr>
          <w:rFonts w:ascii="Times New Roman" w:hAnsi="Times New Roman"/>
        </w:rPr>
      </w:pPr>
      <w:r w:rsidRPr="00C84374">
        <w:rPr>
          <w:rFonts w:ascii="Times New Roman" w:hAnsi="Times New Roman"/>
        </w:rPr>
        <w:t xml:space="preserve">nevis no vidējiem mājsaimniecību ienākumiem, bet mediānas ienākumiem, </w:t>
      </w:r>
    </w:p>
    <w:p w:rsidR="0050604C" w:rsidRPr="00C84374" w:rsidRDefault="0050604C" w:rsidP="0050604C">
      <w:pPr>
        <w:pStyle w:val="ListParagraph"/>
        <w:numPr>
          <w:ilvl w:val="0"/>
          <w:numId w:val="6"/>
        </w:numPr>
        <w:jc w:val="both"/>
        <w:rPr>
          <w:rFonts w:ascii="Times New Roman" w:hAnsi="Times New Roman"/>
        </w:rPr>
      </w:pPr>
      <w:r w:rsidRPr="00C84374">
        <w:rPr>
          <w:rFonts w:ascii="Times New Roman" w:hAnsi="Times New Roman"/>
        </w:rPr>
        <w:t xml:space="preserve">60% apmērā no </w:t>
      </w:r>
      <w:r w:rsidR="00C533CE">
        <w:rPr>
          <w:rFonts w:ascii="Times New Roman" w:hAnsi="Times New Roman"/>
        </w:rPr>
        <w:t>mājsaimniecību ienākumu</w:t>
      </w:r>
      <w:r w:rsidRPr="00C84374">
        <w:rPr>
          <w:rFonts w:ascii="Times New Roman" w:hAnsi="Times New Roman"/>
        </w:rPr>
        <w:t xml:space="preserve"> </w:t>
      </w:r>
      <w:r w:rsidR="00C533CE" w:rsidRPr="00C84374">
        <w:rPr>
          <w:rFonts w:ascii="Times New Roman" w:hAnsi="Times New Roman"/>
        </w:rPr>
        <w:t xml:space="preserve">mediānas </w:t>
      </w:r>
      <w:r w:rsidR="00C533CE">
        <w:rPr>
          <w:rFonts w:ascii="Times New Roman" w:hAnsi="Times New Roman"/>
        </w:rPr>
        <w:t xml:space="preserve">pārrēķinātas </w:t>
      </w:r>
      <w:r w:rsidRPr="00C84374">
        <w:rPr>
          <w:rFonts w:ascii="Times New Roman" w:hAnsi="Times New Roman"/>
        </w:rPr>
        <w:t>uz ekvivalento patērētāju, nevis kā iepriekš - 50% apmērā</w:t>
      </w:r>
      <w:r w:rsidR="00111B1F">
        <w:rPr>
          <w:rFonts w:ascii="Times New Roman" w:hAnsi="Times New Roman"/>
        </w:rPr>
        <w:t xml:space="preserve"> </w:t>
      </w:r>
      <w:r w:rsidR="00111B1F" w:rsidRPr="00C84374">
        <w:rPr>
          <w:rFonts w:ascii="Times New Roman" w:hAnsi="Times New Roman"/>
        </w:rPr>
        <w:t>no vidējiem mājsaimniecību ienākumiem</w:t>
      </w:r>
      <w:r w:rsidRPr="00C84374">
        <w:rPr>
          <w:rFonts w:ascii="Times New Roman" w:hAnsi="Times New Roman"/>
        </w:rPr>
        <w:t xml:space="preserve">. </w:t>
      </w:r>
      <w:r w:rsidR="008C4793">
        <w:rPr>
          <w:rFonts w:ascii="Times New Roman" w:hAnsi="Times New Roman"/>
        </w:rPr>
        <w:t xml:space="preserve"> </w:t>
      </w:r>
    </w:p>
    <w:p w:rsidR="002D57EF" w:rsidRPr="00C84374" w:rsidRDefault="007256BE" w:rsidP="002D57EF">
      <w:pPr>
        <w:ind w:firstLine="720"/>
        <w:jc w:val="both"/>
      </w:pPr>
      <w:r>
        <w:t xml:space="preserve">Tādējādi </w:t>
      </w:r>
      <w:r w:rsidR="005F53FC">
        <w:t>2001.gadā ES tika pilnveidota</w:t>
      </w:r>
      <w:r w:rsidR="0050604C" w:rsidRPr="00C84374">
        <w:t xml:space="preserve"> nabadzības</w:t>
      </w:r>
      <w:r w:rsidR="005F53FC">
        <w:t xml:space="preserve"> mērīšanas pieeja</w:t>
      </w:r>
      <w:r w:rsidR="00BC6857">
        <w:t>. Lēmumu</w:t>
      </w:r>
      <w:r w:rsidR="0050604C" w:rsidRPr="00C84374">
        <w:t xml:space="preserve"> </w:t>
      </w:r>
      <w:r w:rsidR="00BC6857">
        <w:t>mainīt nabadzības riska sliekšņa aprēķina metodoloģiju, balstoties nevis uz</w:t>
      </w:r>
      <w:r w:rsidR="0050604C" w:rsidRPr="00C84374">
        <w:t xml:space="preserve"> vidējiem</w:t>
      </w:r>
      <w:r w:rsidR="00BC6857">
        <w:t>, bet</w:t>
      </w:r>
      <w:r w:rsidR="0050604C" w:rsidRPr="00C84374">
        <w:t xml:space="preserve"> me</w:t>
      </w:r>
      <w:r w:rsidR="00BC6857">
        <w:t xml:space="preserve">diānas </w:t>
      </w:r>
      <w:r w:rsidR="00BC6857" w:rsidRPr="00572A31">
        <w:t>ienākumiem, skaidro</w:t>
      </w:r>
      <w:r w:rsidR="00426BFD">
        <w:t xml:space="preserve">, pamatojot ar </w:t>
      </w:r>
      <w:r w:rsidR="0050604C" w:rsidRPr="00572A31">
        <w:t xml:space="preserve">ienākumu sadalījumam raksturīgajām pazīmēm (asimetrija u.c.), proti, mediānas ienākumus mazāk ietekmē ienākumu sadalījuma galējās vērtības un tas nemainās izlases maiņu rezultātā tik </w:t>
      </w:r>
      <w:r w:rsidR="00BC6857" w:rsidRPr="00572A31">
        <w:t>lielā mērā</w:t>
      </w:r>
      <w:r w:rsidR="0050604C" w:rsidRPr="00572A31">
        <w:t xml:space="preserve"> kā vidējie ienākumi. Savukārt izvēle par 60% (nevis 40%, 50% vai 70%) no mediānas ienākumiem nav zinātniski pamatota, - tā bija vienošanās par zemāko ienākumu līmeni, kas nodrošina „normālu dzīvi” ES, ņemot vērā, ka šis slieksnis bija līdzvērtīgs nabadzības</w:t>
      </w:r>
      <w:r w:rsidR="0050604C" w:rsidRPr="00C84374">
        <w:t xml:space="preserve"> līmenim, kas bija noteikts lielākajā daļā ES dalībvalstu</w:t>
      </w:r>
      <w:r w:rsidR="00650EAE">
        <w:rPr>
          <w:rStyle w:val="FootnoteReference"/>
        </w:rPr>
        <w:footnoteReference w:id="57"/>
      </w:r>
      <w:r w:rsidR="0050604C" w:rsidRPr="00C84374">
        <w:t xml:space="preserve">. </w:t>
      </w:r>
    </w:p>
    <w:p w:rsidR="00C84374" w:rsidRPr="00173A24" w:rsidRDefault="002F711D" w:rsidP="003648BB">
      <w:pPr>
        <w:ind w:firstLine="720"/>
        <w:jc w:val="both"/>
      </w:pPr>
      <w:r>
        <w:t>J</w:t>
      </w:r>
      <w:r w:rsidR="0050604C" w:rsidRPr="00173A24">
        <w:t>āatzīmē, ka nabadzības riska slieksnis un arī pārējie ES kopējie indikatori tiek izmantoti galv</w:t>
      </w:r>
      <w:r>
        <w:t>enokārt statistiskiem nolūkiem, proti,</w:t>
      </w:r>
      <w:r w:rsidR="0050604C" w:rsidRPr="00173A24">
        <w:t xml:space="preserve"> situācijas salīdzināšanai ar citām ES dalībvalstīm</w:t>
      </w:r>
      <w:r w:rsidR="00462CFF">
        <w:t>, un tas nenozīmē, ka iedzīvotājiem tiek sniegts materiālais atbalsts, ja viņi ir pakļauti nabadzības riskam</w:t>
      </w:r>
      <w:r w:rsidR="0050604C" w:rsidRPr="00173A24">
        <w:t>.</w:t>
      </w:r>
      <w:r>
        <w:t xml:space="preserve"> </w:t>
      </w:r>
      <w:r w:rsidR="00462CFF">
        <w:t xml:space="preserve">Parasti ES dalībvalstīs atbalsts </w:t>
      </w:r>
      <w:r w:rsidR="00E56A67">
        <w:t xml:space="preserve">iedzīvotājiem </w:t>
      </w:r>
      <w:r w:rsidR="00462CFF">
        <w:t xml:space="preserve">tiek sniegts, ja iedzīvotāju ienākumi ir zemāki vai vienādi ar 30% no </w:t>
      </w:r>
      <w:r w:rsidR="00462CFF">
        <w:rPr>
          <w:shd w:val="clear" w:color="auto" w:fill="FFFFFF"/>
        </w:rPr>
        <w:t xml:space="preserve">mājsaimniecību </w:t>
      </w:r>
      <w:r w:rsidR="00E56A67">
        <w:rPr>
          <w:shd w:val="clear" w:color="auto" w:fill="FFFFFF"/>
        </w:rPr>
        <w:t xml:space="preserve">rīcībā </w:t>
      </w:r>
      <w:r w:rsidR="00C533CE">
        <w:rPr>
          <w:shd w:val="clear" w:color="auto" w:fill="FFFFFF"/>
        </w:rPr>
        <w:t>esošo ienākumu mediānas pārrēķinātas uz ekvivalento patērētāju</w:t>
      </w:r>
      <w:r w:rsidR="00462CFF">
        <w:rPr>
          <w:rStyle w:val="FootnoteReference"/>
          <w:shd w:val="clear" w:color="auto" w:fill="FFFFFF"/>
        </w:rPr>
        <w:footnoteReference w:id="58"/>
      </w:r>
      <w:r w:rsidR="00462CFF">
        <w:rPr>
          <w:shd w:val="clear" w:color="auto" w:fill="FFFFFF"/>
        </w:rPr>
        <w:t>.</w:t>
      </w:r>
      <w:r w:rsidR="00462CFF">
        <w:t xml:space="preserve"> </w:t>
      </w:r>
      <w:r w:rsidR="00D04709">
        <w:t xml:space="preserve">Arī Latvijas </w:t>
      </w:r>
      <w:r w:rsidR="006C4881">
        <w:t>normatīvajos aktos</w:t>
      </w:r>
      <w:r w:rsidR="00D04709">
        <w:t xml:space="preserve"> </w:t>
      </w:r>
      <w:r w:rsidR="00462CFF">
        <w:t>ES nabadzības riska slieksnis</w:t>
      </w:r>
      <w:r w:rsidR="00D04709">
        <w:t xml:space="preserve"> </w:t>
      </w:r>
      <w:r w:rsidR="00C84374" w:rsidRPr="00173A24">
        <w:t>nav noteikts</w:t>
      </w:r>
      <w:r w:rsidR="00D04709">
        <w:t xml:space="preserve"> un to izmanto ievērojami </w:t>
      </w:r>
      <w:r w:rsidR="00E115C7">
        <w:t>retāk</w:t>
      </w:r>
      <w:r w:rsidR="00D04709">
        <w:t xml:space="preserve"> kā datus par trūcīgām personām vai iztikas minimuma datiem</w:t>
      </w:r>
      <w:r w:rsidR="00C84374" w:rsidRPr="00173A24">
        <w:t xml:space="preserve">, tomēr krīzes un pēckrīzes periodā šiem rādītājiem </w:t>
      </w:r>
      <w:r w:rsidR="00C533CE">
        <w:t xml:space="preserve">tika </w:t>
      </w:r>
      <w:r w:rsidR="00C84374" w:rsidRPr="00173A24">
        <w:t xml:space="preserve">pievērsta </w:t>
      </w:r>
      <w:r w:rsidR="00D25F74">
        <w:t>pastiprināta</w:t>
      </w:r>
      <w:r w:rsidR="00C84374" w:rsidRPr="00173A24">
        <w:t xml:space="preserve"> uzmanība, kam varētu būt vairāki izskaidrojumi:</w:t>
      </w:r>
    </w:p>
    <w:p w:rsidR="00C84374" w:rsidRPr="00173A24" w:rsidRDefault="00F74DF6" w:rsidP="008D2C29">
      <w:pPr>
        <w:pStyle w:val="ListParagraph"/>
        <w:numPr>
          <w:ilvl w:val="0"/>
          <w:numId w:val="13"/>
        </w:numPr>
        <w:jc w:val="both"/>
        <w:rPr>
          <w:rFonts w:ascii="Times New Roman" w:hAnsi="Times New Roman"/>
        </w:rPr>
      </w:pPr>
      <w:r>
        <w:rPr>
          <w:rFonts w:ascii="Times New Roman" w:hAnsi="Times New Roman"/>
        </w:rPr>
        <w:t>2010.gadā ir pieņemta ES attīstības stratēģija</w:t>
      </w:r>
      <w:r w:rsidR="00E17D2D">
        <w:rPr>
          <w:rFonts w:ascii="Times New Roman" w:hAnsi="Times New Roman"/>
        </w:rPr>
        <w:t xml:space="preserve"> „Eiropa </w:t>
      </w:r>
      <w:r w:rsidR="00C84374" w:rsidRPr="00173A24">
        <w:rPr>
          <w:rFonts w:ascii="Times New Roman" w:hAnsi="Times New Roman"/>
        </w:rPr>
        <w:t xml:space="preserve">2020” turpmākajiem 10 gadiem </w:t>
      </w:r>
      <w:r>
        <w:rPr>
          <w:rFonts w:ascii="Times New Roman" w:hAnsi="Times New Roman"/>
        </w:rPr>
        <w:t xml:space="preserve">un tajā </w:t>
      </w:r>
      <w:r w:rsidR="00C84374" w:rsidRPr="00173A24">
        <w:rPr>
          <w:rFonts w:ascii="Times New Roman" w:hAnsi="Times New Roman"/>
        </w:rPr>
        <w:t>ir iekļauts nabadzības samazināšanas mērķis, nosakot to kvantitatīvā izteiksmē;</w:t>
      </w:r>
    </w:p>
    <w:p w:rsidR="00C84374" w:rsidRPr="00173A24" w:rsidRDefault="00C84374" w:rsidP="008D2C29">
      <w:pPr>
        <w:pStyle w:val="ListParagraph"/>
        <w:numPr>
          <w:ilvl w:val="0"/>
          <w:numId w:val="13"/>
        </w:numPr>
        <w:jc w:val="both"/>
        <w:rPr>
          <w:rFonts w:ascii="Times New Roman" w:hAnsi="Times New Roman"/>
        </w:rPr>
      </w:pPr>
      <w:r w:rsidRPr="00173A24">
        <w:rPr>
          <w:rFonts w:ascii="Times New Roman" w:hAnsi="Times New Roman"/>
        </w:rPr>
        <w:t xml:space="preserve">krīze un pēckrīzes periods ir atstājis nopietnas sekas uz iedzīvotāju sociālo situāciju, nabadzības riskam un sociālajai atstumtībai pakļaujot lielu daļu valsts iedzīvotāju, tāpēc arī sabiedrību – gan medijus, </w:t>
      </w:r>
      <w:r w:rsidR="00BD7549">
        <w:rPr>
          <w:rFonts w:ascii="Times New Roman" w:hAnsi="Times New Roman"/>
        </w:rPr>
        <w:t>politiķus un zinātniekus, gan citas ieinteresētā</w:t>
      </w:r>
      <w:r w:rsidRPr="00173A24">
        <w:rPr>
          <w:rFonts w:ascii="Times New Roman" w:hAnsi="Times New Roman"/>
        </w:rPr>
        <w:t xml:space="preserve">s </w:t>
      </w:r>
      <w:r w:rsidR="00BD7549">
        <w:rPr>
          <w:rFonts w:ascii="Times New Roman" w:hAnsi="Times New Roman"/>
        </w:rPr>
        <w:t>puses –</w:t>
      </w:r>
      <w:r w:rsidRPr="00173A24">
        <w:rPr>
          <w:rFonts w:ascii="Times New Roman" w:hAnsi="Times New Roman"/>
        </w:rPr>
        <w:t xml:space="preserve"> nabadzības</w:t>
      </w:r>
      <w:r w:rsidR="00BD7549">
        <w:rPr>
          <w:rFonts w:ascii="Times New Roman" w:hAnsi="Times New Roman"/>
        </w:rPr>
        <w:t xml:space="preserve"> </w:t>
      </w:r>
      <w:r w:rsidR="00DF32FB">
        <w:rPr>
          <w:rFonts w:ascii="Times New Roman" w:hAnsi="Times New Roman"/>
        </w:rPr>
        <w:t xml:space="preserve">un nevienlīdzības </w:t>
      </w:r>
      <w:r w:rsidRPr="00173A24">
        <w:rPr>
          <w:rFonts w:ascii="Times New Roman" w:hAnsi="Times New Roman"/>
        </w:rPr>
        <w:t>jautājumi un ar tiem saistītie mērījumi interesē aizvien vairāk;</w:t>
      </w:r>
    </w:p>
    <w:p w:rsidR="00C84374" w:rsidRDefault="00C84374" w:rsidP="008D2C29">
      <w:pPr>
        <w:pStyle w:val="ListParagraph"/>
        <w:numPr>
          <w:ilvl w:val="0"/>
          <w:numId w:val="13"/>
        </w:numPr>
        <w:jc w:val="both"/>
        <w:rPr>
          <w:rFonts w:ascii="Times New Roman" w:hAnsi="Times New Roman"/>
        </w:rPr>
      </w:pPr>
      <w:r w:rsidRPr="00173A24">
        <w:rPr>
          <w:rFonts w:ascii="Times New Roman" w:hAnsi="Times New Roman"/>
        </w:rPr>
        <w:t xml:space="preserve">krīzes </w:t>
      </w:r>
      <w:r w:rsidR="00BD7549">
        <w:rPr>
          <w:rFonts w:ascii="Times New Roman" w:hAnsi="Times New Roman"/>
        </w:rPr>
        <w:t xml:space="preserve">situācijas </w:t>
      </w:r>
      <w:r w:rsidRPr="00173A24">
        <w:rPr>
          <w:rFonts w:ascii="Times New Roman" w:hAnsi="Times New Roman"/>
        </w:rPr>
        <w:t xml:space="preserve">liek </w:t>
      </w:r>
      <w:r w:rsidR="00B14BC5">
        <w:rPr>
          <w:rFonts w:ascii="Times New Roman" w:hAnsi="Times New Roman"/>
        </w:rPr>
        <w:t xml:space="preserve">valstīm </w:t>
      </w:r>
      <w:r w:rsidRPr="00173A24">
        <w:rPr>
          <w:rFonts w:ascii="Times New Roman" w:hAnsi="Times New Roman"/>
        </w:rPr>
        <w:t xml:space="preserve">izvērtēt sociālās politikas efektivitāti, </w:t>
      </w:r>
      <w:r w:rsidR="00B14BC5">
        <w:rPr>
          <w:rFonts w:ascii="Times New Roman" w:hAnsi="Times New Roman"/>
        </w:rPr>
        <w:t>lai</w:t>
      </w:r>
      <w:r w:rsidRPr="00173A24">
        <w:rPr>
          <w:rFonts w:ascii="Times New Roman" w:hAnsi="Times New Roman"/>
        </w:rPr>
        <w:t xml:space="preserve"> identificēt</w:t>
      </w:r>
      <w:r w:rsidR="00B14BC5">
        <w:rPr>
          <w:rFonts w:ascii="Times New Roman" w:hAnsi="Times New Roman"/>
        </w:rPr>
        <w:t>u</w:t>
      </w:r>
      <w:r w:rsidRPr="00173A24">
        <w:rPr>
          <w:rFonts w:ascii="Times New Roman" w:hAnsi="Times New Roman"/>
        </w:rPr>
        <w:t xml:space="preserve"> trūkumus un nepilnības, tāpēc arī politikas veidotāji rādītāju analīzei un publicitātei pievēršas </w:t>
      </w:r>
      <w:r w:rsidR="00A15B01">
        <w:rPr>
          <w:rFonts w:ascii="Times New Roman" w:hAnsi="Times New Roman"/>
        </w:rPr>
        <w:t xml:space="preserve">vairāk un </w:t>
      </w:r>
      <w:r w:rsidRPr="00173A24">
        <w:rPr>
          <w:rFonts w:ascii="Times New Roman" w:hAnsi="Times New Roman"/>
        </w:rPr>
        <w:t>padziļinātāk</w:t>
      </w:r>
      <w:r w:rsidR="00405007">
        <w:rPr>
          <w:rStyle w:val="FootnoteReference"/>
          <w:rFonts w:ascii="Times New Roman" w:hAnsi="Times New Roman"/>
        </w:rPr>
        <w:footnoteReference w:id="59"/>
      </w:r>
      <w:r w:rsidRPr="00173A24">
        <w:rPr>
          <w:rFonts w:ascii="Times New Roman" w:hAnsi="Times New Roman"/>
        </w:rPr>
        <w:t xml:space="preserve">. </w:t>
      </w:r>
    </w:p>
    <w:p w:rsidR="009F48C2" w:rsidRPr="009F48C2" w:rsidRDefault="009F48C2" w:rsidP="0040289B">
      <w:pPr>
        <w:pStyle w:val="Heading2"/>
        <w:numPr>
          <w:ilvl w:val="1"/>
          <w:numId w:val="16"/>
        </w:numPr>
      </w:pPr>
      <w:bookmarkStart w:id="33" w:name="_Toc401572481"/>
      <w:r w:rsidRPr="009F48C2">
        <w:t xml:space="preserve">Sociālo </w:t>
      </w:r>
      <w:proofErr w:type="gramStart"/>
      <w:r w:rsidRPr="009F48C2">
        <w:t>transfertu ietekme</w:t>
      </w:r>
      <w:proofErr w:type="gramEnd"/>
      <w:r w:rsidRPr="009F48C2">
        <w:t xml:space="preserve"> uz nabadzības </w:t>
      </w:r>
      <w:r w:rsidR="00F61E9D">
        <w:t>sa</w:t>
      </w:r>
      <w:r w:rsidRPr="009F48C2">
        <w:t>mazināšan</w:t>
      </w:r>
      <w:r w:rsidR="00F61E9D">
        <w:t>u.</w:t>
      </w:r>
      <w:bookmarkEnd w:id="33"/>
    </w:p>
    <w:p w:rsidR="009F48C2" w:rsidRDefault="009F48C2" w:rsidP="009F48C2"/>
    <w:p w:rsidR="009F48C2" w:rsidRDefault="000F1D85" w:rsidP="00C6710D">
      <w:pPr>
        <w:ind w:firstLine="720"/>
        <w:jc w:val="both"/>
      </w:pPr>
      <w:r>
        <w:t>Lai noskaidrotu, cik efektīva ir esošā sociālās drošības sistēma, vai tā aizsargā pret risku nokļūt nabadzībā pēc sociālo transfertu</w:t>
      </w:r>
      <w:r w:rsidR="0067799F">
        <w:rPr>
          <w:rStyle w:val="FootnoteReference"/>
        </w:rPr>
        <w:footnoteReference w:id="60"/>
      </w:r>
      <w:r>
        <w:t xml:space="preserve"> saņemšanas</w:t>
      </w:r>
      <w:r w:rsidR="0080033A">
        <w:t>, zemāk ir atspoguļots izlieto</w:t>
      </w:r>
      <w:r w:rsidR="00541130">
        <w:t xml:space="preserve">tais </w:t>
      </w:r>
      <w:r w:rsidR="00541130">
        <w:lastRenderedPageBreak/>
        <w:t>finansējums valsts sociālajai</w:t>
      </w:r>
      <w:r w:rsidR="0080033A">
        <w:t xml:space="preserve"> apdrošinā</w:t>
      </w:r>
      <w:r w:rsidR="00C6710D">
        <w:t xml:space="preserve">šanai, valsts sociālajiem pabalstiem un pašvaldību sociālajiem pabalstiem un nabadzības risks pirms </w:t>
      </w:r>
      <w:r w:rsidR="00405007">
        <w:t xml:space="preserve">šo </w:t>
      </w:r>
      <w:r w:rsidR="00C6710D">
        <w:t xml:space="preserve">sociālo </w:t>
      </w:r>
      <w:proofErr w:type="gramStart"/>
      <w:r w:rsidR="00C6710D">
        <w:t>transfertu saņemšanas</w:t>
      </w:r>
      <w:proofErr w:type="gramEnd"/>
      <w:r w:rsidR="00C6710D">
        <w:t>.</w:t>
      </w:r>
    </w:p>
    <w:p w:rsidR="00C77708" w:rsidRDefault="00B92D6C" w:rsidP="00F30BCB">
      <w:pPr>
        <w:numPr>
          <w:ilvl w:val="0"/>
          <w:numId w:val="16"/>
        </w:numPr>
        <w:jc w:val="right"/>
        <w:rPr>
          <w:szCs w:val="26"/>
        </w:rPr>
      </w:pPr>
      <w:r w:rsidRPr="00C77708">
        <w:rPr>
          <w:szCs w:val="26"/>
        </w:rPr>
        <w:t>attēls.</w:t>
      </w:r>
    </w:p>
    <w:p w:rsidR="000F1D85" w:rsidRDefault="001C7D5F" w:rsidP="00C77708">
      <w:pPr>
        <w:jc w:val="center"/>
      </w:pPr>
      <w:r>
        <w:rPr>
          <w:noProof/>
          <w:sz w:val="26"/>
          <w:szCs w:val="26"/>
          <w:lang w:eastAsia="lv-LV"/>
        </w:rPr>
        <mc:AlternateContent>
          <mc:Choice Requires="wps">
            <w:drawing>
              <wp:anchor distT="0" distB="0" distL="114300" distR="114300" simplePos="0" relativeHeight="251657728" behindDoc="0" locked="0" layoutInCell="1" allowOverlap="1">
                <wp:simplePos x="0" y="0"/>
                <wp:positionH relativeFrom="column">
                  <wp:posOffset>4455795</wp:posOffset>
                </wp:positionH>
                <wp:positionV relativeFrom="paragraph">
                  <wp:posOffset>2407920</wp:posOffset>
                </wp:positionV>
                <wp:extent cx="977900" cy="1003935"/>
                <wp:effectExtent l="0" t="0" r="12700" b="24765"/>
                <wp:wrapNone/>
                <wp:docPr id="95" name="Up Arrow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1003935"/>
                        </a:xfrm>
                        <a:prstGeom prst="upArrowCallout">
                          <a:avLst/>
                        </a:prstGeom>
                        <a:solidFill>
                          <a:srgbClr val="FFF5D9"/>
                        </a:solidFill>
                        <a:ln w="25400" cap="flat" cmpd="sng" algn="ctr">
                          <a:solidFill>
                            <a:srgbClr val="008000"/>
                          </a:solidFill>
                          <a:prstDash val="solid"/>
                        </a:ln>
                        <a:effectLst/>
                      </wps:spPr>
                      <wps:txbx>
                        <w:txbxContent>
                          <w:p w:rsidR="00401ED6" w:rsidRPr="004F3BA0" w:rsidRDefault="00401ED6" w:rsidP="0080033A">
                            <w:pPr>
                              <w:pStyle w:val="NormalWeb"/>
                              <w:spacing w:before="0" w:beforeAutospacing="0" w:after="0" w:afterAutospacing="0"/>
                              <w:jc w:val="center"/>
                              <w:rPr>
                                <w:sz w:val="18"/>
                                <w:szCs w:val="18"/>
                              </w:rPr>
                            </w:pPr>
                            <w:r w:rsidRPr="004F3BA0">
                              <w:rPr>
                                <w:bCs/>
                                <w:color w:val="000000"/>
                                <w:kern w:val="24"/>
                                <w:sz w:val="18"/>
                                <w:szCs w:val="18"/>
                              </w:rPr>
                              <w:t>€ 20,5 miljoni (bez ienākumu izvērtējuma) 2013.gadā</w:t>
                            </w:r>
                          </w:p>
                        </w:txbxContent>
                      </wps:txbx>
                      <wps:bodyPr rtlCol="0" anchor="ct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5" o:spid="_x0000_s1028" type="#_x0000_t79" style="position:absolute;left:0;text-align:left;margin-left:350.85pt;margin-top:189.6pt;width:77pt;height:7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" adj="7565,,5260" fillcolor="#fff5d9" strokecolor="green" strokeweight="2pt">
                <v:path arrowok="t"/>
                <v:textbox>
                  <w:txbxContent>
                    <w:p w:rsidR="00401ED6" w:rsidRPr="004F3BA0" w:rsidRDefault="00401ED6" w:rsidP="0080033A">
                      <w:pPr>
                        <w:pStyle w:val="NormalWeb"/>
                        <w:spacing w:before="0" w:beforeAutospacing="0" w:after="0" w:afterAutospacing="0"/>
                        <w:jc w:val="center"/>
                        <w:rPr>
                          <w:sz w:val="18"/>
                          <w:szCs w:val="18"/>
                        </w:rPr>
                      </w:pPr>
                      <w:r w:rsidRPr="004F3BA0">
                        <w:rPr>
                          <w:bCs/>
                          <w:color w:val="000000"/>
                          <w:kern w:val="24"/>
                          <w:sz w:val="18"/>
                          <w:szCs w:val="18"/>
                        </w:rPr>
                        <w:t>€ 20,5 miljoni (bez ienākumu izvērtējuma) 2013.gadā</w:t>
                      </w:r>
                    </w:p>
                  </w:txbxContent>
                </v:textbox>
              </v:shape>
            </w:pict>
          </mc:Fallback>
        </mc:AlternateContent>
      </w:r>
      <w:r>
        <w:rPr>
          <w:noProof/>
          <w:sz w:val="26"/>
          <w:szCs w:val="26"/>
          <w:lang w:eastAsia="lv-LV"/>
        </w:rPr>
        <mc:AlternateContent>
          <mc:Choice Requires="wps">
            <w:drawing>
              <wp:anchor distT="0" distB="0" distL="114300" distR="114300" simplePos="0" relativeHeight="251655680" behindDoc="0" locked="0" layoutInCell="1" allowOverlap="1">
                <wp:simplePos x="0" y="0"/>
                <wp:positionH relativeFrom="column">
                  <wp:posOffset>3455670</wp:posOffset>
                </wp:positionH>
                <wp:positionV relativeFrom="paragraph">
                  <wp:posOffset>2407920</wp:posOffset>
                </wp:positionV>
                <wp:extent cx="934720" cy="1003935"/>
                <wp:effectExtent l="0" t="0" r="17780" b="24765"/>
                <wp:wrapNone/>
                <wp:docPr id="94" name="Up Arrow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1003935"/>
                        </a:xfrm>
                        <a:prstGeom prst="upArrowCallout">
                          <a:avLst/>
                        </a:prstGeom>
                        <a:solidFill>
                          <a:srgbClr val="FFF5D9"/>
                        </a:solidFill>
                        <a:ln w="25400" cap="flat" cmpd="sng" algn="ctr">
                          <a:solidFill>
                            <a:srgbClr val="008000"/>
                          </a:solidFill>
                          <a:prstDash val="solid"/>
                        </a:ln>
                        <a:effectLst/>
                      </wps:spPr>
                      <wps:txbx>
                        <w:txbxContent>
                          <w:p w:rsidR="00401ED6" w:rsidRPr="004F3BA0" w:rsidRDefault="00401ED6" w:rsidP="000F1D85">
                            <w:pPr>
                              <w:pStyle w:val="NormalWeb"/>
                              <w:spacing w:before="0" w:beforeAutospacing="0" w:after="0" w:afterAutospacing="0"/>
                              <w:jc w:val="center"/>
                              <w:rPr>
                                <w:sz w:val="18"/>
                                <w:szCs w:val="18"/>
                              </w:rPr>
                            </w:pPr>
                            <w:r w:rsidRPr="004F3BA0">
                              <w:rPr>
                                <w:bCs/>
                                <w:color w:val="000000"/>
                                <w:kern w:val="24"/>
                                <w:sz w:val="18"/>
                                <w:szCs w:val="18"/>
                              </w:rPr>
                              <w:t>€ 47 miljoni (izvērtējot ienākumus) 2013.gadā</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_x0000_s1029" type="#_x0000_t79" style="position:absolute;left:0;text-align:left;margin-left:272.1pt;margin-top:189.6pt;width:73.6pt;height:7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" adj="7565,,5028" fillcolor="#fff5d9" strokecolor="green" strokeweight="2pt">
                <v:path arrowok="t"/>
                <v:textbox>
                  <w:txbxContent>
                    <w:p w:rsidR="00401ED6" w:rsidRPr="004F3BA0" w:rsidRDefault="00401ED6" w:rsidP="000F1D85">
                      <w:pPr>
                        <w:pStyle w:val="NormalWeb"/>
                        <w:spacing w:before="0" w:beforeAutospacing="0" w:after="0" w:afterAutospacing="0"/>
                        <w:jc w:val="center"/>
                        <w:rPr>
                          <w:sz w:val="18"/>
                          <w:szCs w:val="18"/>
                        </w:rPr>
                      </w:pPr>
                      <w:r w:rsidRPr="004F3BA0">
                        <w:rPr>
                          <w:bCs/>
                          <w:color w:val="000000"/>
                          <w:kern w:val="24"/>
                          <w:sz w:val="18"/>
                          <w:szCs w:val="18"/>
                        </w:rPr>
                        <w:t>€ 47 miljoni (izvērtējot ienākumus) 2013.gadā</w:t>
                      </w:r>
                    </w:p>
                  </w:txbxContent>
                </v:textbox>
              </v:shape>
            </w:pict>
          </mc:Fallback>
        </mc:AlternateContent>
      </w:r>
      <w:r>
        <w:rPr>
          <w:noProof/>
          <w:sz w:val="26"/>
          <w:szCs w:val="26"/>
          <w:lang w:eastAsia="lv-LV"/>
        </w:rPr>
        <mc:AlternateContent>
          <mc:Choice Requires="wps">
            <w:drawing>
              <wp:anchor distT="0" distB="0" distL="114300" distR="114300" simplePos="0" relativeHeight="251654656" behindDoc="0" locked="0" layoutInCell="1" allowOverlap="1">
                <wp:simplePos x="0" y="0"/>
                <wp:positionH relativeFrom="column">
                  <wp:posOffset>2044700</wp:posOffset>
                </wp:positionH>
                <wp:positionV relativeFrom="paragraph">
                  <wp:posOffset>2269490</wp:posOffset>
                </wp:positionV>
                <wp:extent cx="1153160" cy="809625"/>
                <wp:effectExtent l="0" t="0" r="27940" b="28575"/>
                <wp:wrapNone/>
                <wp:docPr id="93" name="Up Arrow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809625"/>
                        </a:xfrm>
                        <a:prstGeom prst="upArrowCallout">
                          <a:avLst/>
                        </a:prstGeom>
                        <a:solidFill>
                          <a:srgbClr val="FFF5D9"/>
                        </a:solidFill>
                        <a:ln w="25400" cap="flat" cmpd="sng" algn="ctr">
                          <a:solidFill>
                            <a:srgbClr val="008000"/>
                          </a:solidFill>
                          <a:prstDash val="solid"/>
                        </a:ln>
                        <a:effectLst/>
                      </wps:spPr>
                      <wps:txbx>
                        <w:txbxContent>
                          <w:p w:rsidR="00401ED6" w:rsidRPr="004F3BA0" w:rsidRDefault="00401ED6" w:rsidP="000F1D85">
                            <w:pPr>
                              <w:pStyle w:val="NormalWeb"/>
                              <w:spacing w:before="0" w:beforeAutospacing="0" w:after="0" w:afterAutospacing="0"/>
                              <w:jc w:val="center"/>
                            </w:pPr>
                            <w:r w:rsidRPr="004F3BA0">
                              <w:rPr>
                                <w:bCs/>
                                <w:color w:val="000000"/>
                                <w:kern w:val="24"/>
                              </w:rPr>
                              <w:t>€ 153,7 miljoni 2013.gadā</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Up Arrow Callout 4" o:spid="_x0000_s1030" type="#_x0000_t79" style="position:absolute;left:0;text-align:left;margin-left:161pt;margin-top:178.7pt;width:90.8pt;height:6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" adj="7565,7009,5400,8904" fillcolor="#fff5d9" strokecolor="green" strokeweight="2pt">
                <v:path arrowok="t"/>
                <v:textbox>
                  <w:txbxContent>
                    <w:p w:rsidR="00401ED6" w:rsidRPr="004F3BA0" w:rsidRDefault="00401ED6" w:rsidP="000F1D85">
                      <w:pPr>
                        <w:pStyle w:val="NormalWeb"/>
                        <w:spacing w:before="0" w:beforeAutospacing="0" w:after="0" w:afterAutospacing="0"/>
                        <w:jc w:val="center"/>
                      </w:pPr>
                      <w:r w:rsidRPr="004F3BA0">
                        <w:rPr>
                          <w:bCs/>
                          <w:color w:val="000000"/>
                          <w:kern w:val="24"/>
                        </w:rPr>
                        <w:t>€ 153,7 miljoni 2013.gadā</w:t>
                      </w:r>
                    </w:p>
                  </w:txbxContent>
                </v:textbox>
              </v:shape>
            </w:pict>
          </mc:Fallback>
        </mc:AlternateContent>
      </w:r>
      <w:r>
        <w:rPr>
          <w:noProof/>
          <w:sz w:val="26"/>
          <w:szCs w:val="26"/>
          <w:lang w:eastAsia="lv-LV"/>
        </w:rPr>
        <mc:AlternateContent>
          <mc:Choice Requires="wps">
            <w:drawing>
              <wp:anchor distT="0" distB="0" distL="114300" distR="114300" simplePos="0" relativeHeight="251653632" behindDoc="0" locked="0" layoutInCell="1" allowOverlap="1">
                <wp:simplePos x="0" y="0"/>
                <wp:positionH relativeFrom="column">
                  <wp:posOffset>266700</wp:posOffset>
                </wp:positionH>
                <wp:positionV relativeFrom="paragraph">
                  <wp:posOffset>2027555</wp:posOffset>
                </wp:positionV>
                <wp:extent cx="1202055" cy="709295"/>
                <wp:effectExtent l="0" t="0" r="17145" b="14605"/>
                <wp:wrapNone/>
                <wp:docPr id="92" name="Up Arrow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2055" cy="709295"/>
                        </a:xfrm>
                        <a:prstGeom prst="upArrowCallout">
                          <a:avLst/>
                        </a:prstGeom>
                        <a:solidFill>
                          <a:srgbClr val="FFF5D9"/>
                        </a:solidFill>
                        <a:ln w="25400" cap="flat" cmpd="sng" algn="ctr">
                          <a:solidFill>
                            <a:srgbClr val="008000"/>
                          </a:solidFill>
                          <a:prstDash val="solid"/>
                        </a:ln>
                        <a:effectLst/>
                      </wps:spPr>
                      <wps:txbx>
                        <w:txbxContent>
                          <w:p w:rsidR="00401ED6" w:rsidRPr="004F3BA0" w:rsidRDefault="00401ED6" w:rsidP="000F1D85">
                            <w:pPr>
                              <w:pStyle w:val="NormalWeb"/>
                              <w:spacing w:before="0" w:beforeAutospacing="0" w:after="0" w:afterAutospacing="0"/>
                              <w:jc w:val="center"/>
                            </w:pPr>
                            <w:r w:rsidRPr="004F3BA0">
                              <w:rPr>
                                <w:bCs/>
                                <w:color w:val="000000"/>
                                <w:kern w:val="24"/>
                              </w:rPr>
                              <w:t>€ 2,09 miljardi 2013.gadā</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Up Arrow Callout 2" o:spid="_x0000_s1031" type="#_x0000_t79" style="position:absolute;left:0;text-align:left;margin-left:21pt;margin-top:159.65pt;width:94.65pt;height:5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" adj="7565,7614,5400,9207" fillcolor="#fff5d9" strokecolor="green" strokeweight="2pt">
                <v:path arrowok="t"/>
                <v:textbox>
                  <w:txbxContent>
                    <w:p w:rsidR="00401ED6" w:rsidRPr="004F3BA0" w:rsidRDefault="00401ED6" w:rsidP="000F1D85">
                      <w:pPr>
                        <w:pStyle w:val="NormalWeb"/>
                        <w:spacing w:before="0" w:beforeAutospacing="0" w:after="0" w:afterAutospacing="0"/>
                        <w:jc w:val="center"/>
                      </w:pPr>
                      <w:r w:rsidRPr="004F3BA0">
                        <w:rPr>
                          <w:bCs/>
                          <w:color w:val="000000"/>
                          <w:kern w:val="24"/>
                        </w:rPr>
                        <w:t>€ 2,09 miljardi 2013.gadā</w:t>
                      </w:r>
                    </w:p>
                  </w:txbxContent>
                </v:textbox>
              </v:shape>
            </w:pict>
          </mc:Fallback>
        </mc:AlternateContent>
      </w:r>
      <w:r w:rsidR="00C77708">
        <w:rPr>
          <w:szCs w:val="26"/>
        </w:rPr>
        <w:t>Latvijas sociālās drošības sistēma</w:t>
      </w:r>
      <w:r w:rsidR="00311F38">
        <w:rPr>
          <w:szCs w:val="26"/>
        </w:rPr>
        <w:t xml:space="preserve"> </w:t>
      </w:r>
      <w:r w:rsidR="00C77708">
        <w:rPr>
          <w:szCs w:val="26"/>
        </w:rPr>
        <w:t>un izlietotais finansējums.</w:t>
      </w:r>
      <w:r w:rsidR="00D62F3F" w:rsidRPr="00C77708">
        <w:rPr>
          <w:noProof/>
          <w:sz w:val="26"/>
          <w:szCs w:val="26"/>
          <w:lang w:eastAsia="lv-LV"/>
        </w:rPr>
        <w:t xml:space="preserve"> </w:t>
      </w:r>
      <w:r>
        <w:rPr>
          <w:noProof/>
          <w:lang w:eastAsia="lv-LV"/>
        </w:rPr>
        <w:drawing>
          <wp:inline distT="0" distB="0" distL="0" distR="0">
            <wp:extent cx="5727700" cy="2895600"/>
            <wp:effectExtent l="0" t="0" r="6350" b="0"/>
            <wp:docPr id="7"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5">
                      <a:extLst>
                        <a:ext uri="{28A0092B-C50C-407E-A947-70E740481C1C}">
                          <a14:useLocalDpi xmlns:a14="http://schemas.microsoft.com/office/drawing/2010/main" val="0"/>
                        </a:ext>
                      </a:extLst>
                    </a:blip>
                    <a:srcRect t="-110" b="-9758"/>
                    <a:stretch>
                      <a:fillRect/>
                    </a:stretch>
                  </pic:blipFill>
                  <pic:spPr bwMode="auto">
                    <a:xfrm>
                      <a:off x="0" y="0"/>
                      <a:ext cx="5727700" cy="2895600"/>
                    </a:xfrm>
                    <a:prstGeom prst="rect">
                      <a:avLst/>
                    </a:prstGeom>
                    <a:noFill/>
                    <a:ln>
                      <a:noFill/>
                    </a:ln>
                  </pic:spPr>
                </pic:pic>
              </a:graphicData>
            </a:graphic>
          </wp:inline>
        </w:drawing>
      </w:r>
    </w:p>
    <w:p w:rsidR="00F30BCB" w:rsidRDefault="00F30BCB" w:rsidP="009F48C2">
      <w:pPr>
        <w:rPr>
          <w:sz w:val="20"/>
        </w:rPr>
      </w:pPr>
    </w:p>
    <w:p w:rsidR="000F1D85" w:rsidRPr="006466B8" w:rsidRDefault="006466B8" w:rsidP="009F48C2">
      <w:pPr>
        <w:rPr>
          <w:sz w:val="20"/>
        </w:rPr>
      </w:pPr>
      <w:r w:rsidRPr="006466B8">
        <w:rPr>
          <w:sz w:val="20"/>
        </w:rPr>
        <w:t>Avots: LM</w:t>
      </w:r>
    </w:p>
    <w:p w:rsidR="00F30BCB" w:rsidRDefault="00F30BCB" w:rsidP="001E7206">
      <w:pPr>
        <w:ind w:firstLine="720"/>
        <w:jc w:val="both"/>
      </w:pPr>
    </w:p>
    <w:p w:rsidR="00650EAE" w:rsidRDefault="00A05890" w:rsidP="001E7206">
      <w:pPr>
        <w:ind w:firstLine="720"/>
        <w:jc w:val="both"/>
      </w:pPr>
      <w:r>
        <w:t>Pensijām un p</w:t>
      </w:r>
      <w:r w:rsidR="004532D6">
        <w:t>abalstiem, kas tiek izmaksāti no valsts sociālā apdrošināšanas budžeta</w:t>
      </w:r>
      <w:r>
        <w:rPr>
          <w:rStyle w:val="FootnoteReference"/>
        </w:rPr>
        <w:footnoteReference w:id="61"/>
      </w:r>
      <w:r w:rsidR="00A23A87">
        <w:t xml:space="preserve">, 2013.gadā kopumā izlietoti </w:t>
      </w:r>
      <w:r w:rsidR="00A23A87" w:rsidRPr="004532D6">
        <w:t>2</w:t>
      </w:r>
      <w:r w:rsidR="00C6710D">
        <w:t>,</w:t>
      </w:r>
      <w:r w:rsidR="00A23A87" w:rsidRPr="004532D6">
        <w:t xml:space="preserve">094 miljardi </w:t>
      </w:r>
      <w:proofErr w:type="spellStart"/>
      <w:r w:rsidR="00D770F2" w:rsidRPr="00D770F2">
        <w:rPr>
          <w:i/>
          <w:iCs/>
        </w:rPr>
        <w:t>euro</w:t>
      </w:r>
      <w:proofErr w:type="spellEnd"/>
      <w:r w:rsidR="00A23A87">
        <w:t>.</w:t>
      </w:r>
      <w:r w:rsidR="00650EAE">
        <w:t xml:space="preserve"> Valsts sociālajiem pabalstiem</w:t>
      </w:r>
      <w:r w:rsidR="001E7206">
        <w:rPr>
          <w:rStyle w:val="FootnoteReference"/>
        </w:rPr>
        <w:footnoteReference w:id="62"/>
      </w:r>
      <w:r w:rsidR="00650EAE">
        <w:t xml:space="preserve">, kuri tiek piešķirti, neizvērtējot personas ienākumus, 2013.gadā izlietoti 154 miljoni </w:t>
      </w:r>
      <w:proofErr w:type="spellStart"/>
      <w:r w:rsidR="00D770F2" w:rsidRPr="00D770F2">
        <w:rPr>
          <w:i/>
          <w:iCs/>
        </w:rPr>
        <w:t>euro</w:t>
      </w:r>
      <w:proofErr w:type="spellEnd"/>
      <w:r w:rsidR="00650EAE">
        <w:t xml:space="preserve">. Savukārt pašvaldības </w:t>
      </w:r>
      <w:r w:rsidR="00C6710D">
        <w:t>sociālajiem pabalstiem</w:t>
      </w:r>
      <w:r w:rsidR="00267A82">
        <w:rPr>
          <w:rStyle w:val="FootnoteReference"/>
        </w:rPr>
        <w:footnoteReference w:id="63"/>
      </w:r>
      <w:r w:rsidR="00650EAE">
        <w:t xml:space="preserve"> 2013.gadā izlietoja </w:t>
      </w:r>
      <w:r w:rsidR="00C6710D">
        <w:t>67,5</w:t>
      </w:r>
      <w:r w:rsidR="00650EAE">
        <w:t xml:space="preserve"> miljonu</w:t>
      </w:r>
      <w:r w:rsidR="00C6710D">
        <w:t>s</w:t>
      </w:r>
      <w:r w:rsidR="00650EAE">
        <w:t xml:space="preserve"> </w:t>
      </w:r>
      <w:proofErr w:type="spellStart"/>
      <w:r w:rsidR="00D770F2" w:rsidRPr="00D770F2">
        <w:rPr>
          <w:i/>
          <w:iCs/>
        </w:rPr>
        <w:t>euro</w:t>
      </w:r>
      <w:proofErr w:type="spellEnd"/>
      <w:r w:rsidR="00C6710D">
        <w:rPr>
          <w:i/>
        </w:rPr>
        <w:t xml:space="preserve">, </w:t>
      </w:r>
      <w:r w:rsidR="00C6710D">
        <w:t xml:space="preserve">no kuriem 47 miljoni </w:t>
      </w:r>
      <w:proofErr w:type="spellStart"/>
      <w:r w:rsidR="00D770F2" w:rsidRPr="00D770F2">
        <w:rPr>
          <w:i/>
          <w:iCs/>
        </w:rPr>
        <w:t>euro</w:t>
      </w:r>
      <w:proofErr w:type="spellEnd"/>
      <w:r w:rsidR="00C6710D">
        <w:t xml:space="preserve"> izmaksāti, balstoties </w:t>
      </w:r>
      <w:r w:rsidR="00C95976">
        <w:t>uz personas ienākumu izvērtējumu</w:t>
      </w:r>
      <w:r w:rsidR="00C6710D">
        <w:t xml:space="preserve">, bet 20,5 miljoni </w:t>
      </w:r>
      <w:proofErr w:type="spellStart"/>
      <w:r w:rsidR="00D770F2" w:rsidRPr="00D770F2">
        <w:rPr>
          <w:i/>
          <w:iCs/>
        </w:rPr>
        <w:t>euro</w:t>
      </w:r>
      <w:proofErr w:type="spellEnd"/>
      <w:r w:rsidR="00C6710D">
        <w:t xml:space="preserve"> bez ienākuma izvērtējuma</w:t>
      </w:r>
      <w:r w:rsidR="00650EAE">
        <w:t xml:space="preserve">. </w:t>
      </w:r>
      <w:r w:rsidR="0067799F">
        <w:t>Kopā</w:t>
      </w:r>
      <w:r>
        <w:t xml:space="preserve"> valsts un pašvaldības</w:t>
      </w:r>
      <w:r w:rsidR="0067799F">
        <w:t xml:space="preserve"> ienākumu testētajiem un netestētajiem pabalstiem</w:t>
      </w:r>
      <w:r w:rsidR="00423AA4">
        <w:t>, kas nav atkarīgi no personas iemaksām,</w:t>
      </w:r>
      <w:r w:rsidR="0067799F">
        <w:t xml:space="preserve"> 2013.gadā izlietoti 221,2 miljoni </w:t>
      </w:r>
      <w:proofErr w:type="spellStart"/>
      <w:r w:rsidR="00D770F2" w:rsidRPr="00D770F2">
        <w:rPr>
          <w:i/>
          <w:iCs/>
        </w:rPr>
        <w:t>euro</w:t>
      </w:r>
      <w:proofErr w:type="spellEnd"/>
      <w:r w:rsidR="0067799F">
        <w:t xml:space="preserve">. </w:t>
      </w:r>
    </w:p>
    <w:p w:rsidR="00592A51" w:rsidRDefault="009D4DA3" w:rsidP="00405007">
      <w:pPr>
        <w:ind w:firstLine="720"/>
        <w:jc w:val="both"/>
      </w:pPr>
      <w:r w:rsidRPr="003D4D40">
        <w:t>Vērtējot izdevumus sociālajai aiz</w:t>
      </w:r>
      <w:r w:rsidR="00497095" w:rsidRPr="003D4D40">
        <w:t>sardzībai kopumā no IKP, Latvijā</w:t>
      </w:r>
      <w:r w:rsidRPr="003D4D40">
        <w:t xml:space="preserve"> </w:t>
      </w:r>
      <w:r w:rsidR="00797685" w:rsidRPr="003D4D40">
        <w:t>tiek atvēlēts viszemākais īpatsvars no IKP</w:t>
      </w:r>
      <w:r w:rsidR="00986703">
        <w:t xml:space="preserve"> </w:t>
      </w:r>
      <w:r w:rsidR="00436404">
        <w:t xml:space="preserve">starp pārējām ES-28 dalībvalstīm </w:t>
      </w:r>
      <w:r w:rsidR="00986703">
        <w:t>(skat. 6.grafiku)</w:t>
      </w:r>
      <w:r w:rsidR="00797685" w:rsidRPr="003D4D40">
        <w:t>.</w:t>
      </w:r>
      <w:r w:rsidR="00986703">
        <w:t xml:space="preserve"> </w:t>
      </w:r>
      <w:r w:rsidR="00436404">
        <w:t>T</w:t>
      </w:r>
      <w:r w:rsidR="00986703">
        <w:t xml:space="preserve">omēr saistība starp izdevumiem sociālajai aizsardzībai un nabadzības riskam pakļauto iedzīvotāju </w:t>
      </w:r>
      <w:r w:rsidR="00436404">
        <w:lastRenderedPageBreak/>
        <w:t>īpatsvaru ir atšķirīga. I</w:t>
      </w:r>
      <w:r w:rsidR="00986703">
        <w:t xml:space="preserve">r valstis, kurās izdevumi sociālajai aizsardzībai no IKP ir salīdzinoši augsti, tomēr arī nabadzības riska indekss ir relatīvi liels, piemēram, Spānija un Grieķija. </w:t>
      </w:r>
      <w:r w:rsidR="00E841A0">
        <w:t>Šeit ir svarīgi saprast, ka nabadzības problēmu nevar risināt tikai a</w:t>
      </w:r>
      <w:r w:rsidR="00233A9D">
        <w:t>r sociālās aizsardzības sistēmu</w:t>
      </w:r>
      <w:r w:rsidR="00E841A0">
        <w:t xml:space="preserve">. Vienlīdz būtiska loma ir valstī pastāvošajai </w:t>
      </w:r>
      <w:r w:rsidR="00E841A0">
        <w:rPr>
          <w:iCs/>
        </w:rPr>
        <w:t>nodokļu sistēmai un nodokļu ieņēmumu pārdalei</w:t>
      </w:r>
      <w:r w:rsidR="00436404">
        <w:t xml:space="preserve">. </w:t>
      </w:r>
      <w:r w:rsidR="00797685" w:rsidRPr="003D4D40">
        <w:t xml:space="preserve"> </w:t>
      </w:r>
    </w:p>
    <w:p w:rsidR="00B574E0" w:rsidRDefault="00B574E0" w:rsidP="003D4D40">
      <w:pPr>
        <w:jc w:val="right"/>
        <w:rPr>
          <w:noProof/>
          <w:lang w:eastAsia="lv-LV"/>
        </w:rPr>
      </w:pPr>
    </w:p>
    <w:p w:rsidR="00592A51" w:rsidRDefault="003D4D40" w:rsidP="003D4D40">
      <w:pPr>
        <w:jc w:val="right"/>
        <w:rPr>
          <w:noProof/>
          <w:lang w:eastAsia="lv-LV"/>
        </w:rPr>
      </w:pPr>
      <w:r>
        <w:rPr>
          <w:noProof/>
          <w:lang w:eastAsia="lv-LV"/>
        </w:rPr>
        <w:t>6.grafiks</w:t>
      </w:r>
    </w:p>
    <w:p w:rsidR="00797685" w:rsidRDefault="00797685" w:rsidP="00592A51">
      <w:pPr>
        <w:jc w:val="both"/>
        <w:rPr>
          <w:noProof/>
          <w:lang w:eastAsia="lv-LV"/>
        </w:rPr>
      </w:pPr>
      <w:r>
        <w:rPr>
          <w:noProof/>
          <w:lang w:eastAsia="lv-LV"/>
        </w:rPr>
        <w:drawing>
          <wp:inline distT="0" distB="0" distL="0" distR="0" wp14:anchorId="5A3563AF" wp14:editId="35B93D3B">
            <wp:extent cx="5873478" cy="2799298"/>
            <wp:effectExtent l="0" t="0" r="13335" b="20320"/>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4DA3" w:rsidRPr="00497095" w:rsidRDefault="00497095" w:rsidP="00497095">
      <w:pPr>
        <w:rPr>
          <w:sz w:val="22"/>
        </w:rPr>
      </w:pPr>
      <w:r w:rsidRPr="006466B8">
        <w:rPr>
          <w:sz w:val="20"/>
        </w:rPr>
        <w:t xml:space="preserve">Datu avots: </w:t>
      </w:r>
      <w:r>
        <w:rPr>
          <w:sz w:val="20"/>
        </w:rPr>
        <w:t>EUROSTAT</w:t>
      </w:r>
    </w:p>
    <w:p w:rsidR="009D4DA3" w:rsidRDefault="009D4DA3" w:rsidP="00405007">
      <w:pPr>
        <w:ind w:firstLine="720"/>
        <w:jc w:val="both"/>
      </w:pPr>
    </w:p>
    <w:p w:rsidR="0067799F" w:rsidRDefault="0067799F" w:rsidP="00405007">
      <w:pPr>
        <w:ind w:firstLine="720"/>
        <w:jc w:val="both"/>
      </w:pPr>
      <w:r>
        <w:t>Lai izvērtētu, vai sociālie transfer</w:t>
      </w:r>
      <w:r w:rsidR="00FC77FE">
        <w:t xml:space="preserve">ti – </w:t>
      </w:r>
      <w:r>
        <w:t xml:space="preserve">pensijas un pabalsti – novērš cilvēkam risku nonākt nabadzībā, zemāk redzamajā attēlā ir atspoguļots nabadzības riska indekss pirms un pēc sociālajiem transfertiem bērniem (0-17 gadi), darbspējas vecuma cilvēkiem (18-64 gadi) un pensionāriem (virs 65 gadu vecuma). </w:t>
      </w:r>
    </w:p>
    <w:p w:rsidR="006466B8" w:rsidRPr="006F740B" w:rsidRDefault="003D4D40" w:rsidP="00B321ED">
      <w:pPr>
        <w:jc w:val="right"/>
        <w:rPr>
          <w:szCs w:val="26"/>
        </w:rPr>
      </w:pPr>
      <w:r>
        <w:rPr>
          <w:szCs w:val="26"/>
        </w:rPr>
        <w:t>7</w:t>
      </w:r>
      <w:r w:rsidR="006466B8" w:rsidRPr="006F740B">
        <w:rPr>
          <w:szCs w:val="26"/>
        </w:rPr>
        <w:t>.g</w:t>
      </w:r>
      <w:r w:rsidR="006F2BA9" w:rsidRPr="006F740B">
        <w:rPr>
          <w:szCs w:val="26"/>
        </w:rPr>
        <w:t>rafiks</w:t>
      </w:r>
      <w:r w:rsidR="0067799F" w:rsidRPr="006F740B">
        <w:rPr>
          <w:szCs w:val="26"/>
        </w:rPr>
        <w:t xml:space="preserve">. </w:t>
      </w:r>
    </w:p>
    <w:p w:rsidR="00A64C46" w:rsidRDefault="00A64C46" w:rsidP="0080033A">
      <w:pPr>
        <w:jc w:val="center"/>
        <w:rPr>
          <w:rStyle w:val="Strong"/>
        </w:rPr>
      </w:pPr>
      <w:r w:rsidRPr="00B8710F">
        <w:t xml:space="preserve">Nabadzības riska indekss pirms sociālo </w:t>
      </w:r>
      <w:proofErr w:type="gramStart"/>
      <w:r w:rsidRPr="00B8710F">
        <w:t>transfertu saņemšanas</w:t>
      </w:r>
      <w:proofErr w:type="gramEnd"/>
      <w:r w:rsidRPr="00B8710F">
        <w:rPr>
          <w:rStyle w:val="Strong"/>
        </w:rPr>
        <w:t> </w:t>
      </w:r>
    </w:p>
    <w:p w:rsidR="00A64C46" w:rsidRDefault="00A64C46" w:rsidP="0080033A">
      <w:pPr>
        <w:jc w:val="center"/>
      </w:pPr>
      <w:r w:rsidRPr="00B8710F">
        <w:rPr>
          <w:rStyle w:val="Strong"/>
          <w:b w:val="0"/>
        </w:rPr>
        <w:t>dažādās iedzīvotāju vecuma grupās 2012.gadā</w:t>
      </w:r>
      <w:r w:rsidRPr="0067799F">
        <w:t xml:space="preserve"> </w:t>
      </w:r>
    </w:p>
    <w:p w:rsidR="00B15BA4" w:rsidRDefault="001C7D5F" w:rsidP="0080033A">
      <w:pPr>
        <w:jc w:val="center"/>
      </w:pPr>
      <w:r>
        <w:rPr>
          <w:noProof/>
          <w:lang w:eastAsia="lv-LV"/>
        </w:rPr>
        <w:drawing>
          <wp:inline distT="0" distB="0" distL="0" distR="0">
            <wp:extent cx="3376930" cy="1838960"/>
            <wp:effectExtent l="0" t="0" r="13970" b="2794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5BA4" w:rsidRPr="006466B8" w:rsidRDefault="006466B8" w:rsidP="006466B8">
      <w:pPr>
        <w:ind w:left="1440" w:firstLine="720"/>
        <w:rPr>
          <w:sz w:val="22"/>
        </w:rPr>
      </w:pPr>
      <w:r w:rsidRPr="006466B8">
        <w:rPr>
          <w:sz w:val="20"/>
        </w:rPr>
        <w:t>Datu avots: CSP</w:t>
      </w:r>
    </w:p>
    <w:p w:rsidR="00F30BCB" w:rsidRDefault="00F30BCB" w:rsidP="00F74DF6">
      <w:pPr>
        <w:ind w:firstLine="720"/>
        <w:jc w:val="both"/>
      </w:pPr>
    </w:p>
    <w:p w:rsidR="00865A47" w:rsidRDefault="00405007" w:rsidP="00F74DF6">
      <w:pPr>
        <w:ind w:firstLine="720"/>
        <w:jc w:val="both"/>
      </w:pPr>
      <w:r>
        <w:t xml:space="preserve">Sociālie transferti bērniem nabadzības risku samazina par 14 procentpunktiem, proti, bez pabalstiem un pensijām nabadzības riskam būtu pakļauti 37,5 % bērnu. </w:t>
      </w:r>
      <w:r w:rsidR="00865A47">
        <w:t xml:space="preserve">Līdzīga situācija ir darbspējas vecuma cilvēkiem – nabadzības risks pēc visiem sociālajiem transfertiem iedzīvotājiem 18-64 gadi samazinās par 14,9 procentpunktiem. Savukārt pensijas vecuma cilvēkiem (virs 65 gadiem) sociālo transfertu (galvenokārt, pensijas) loma ir visbūtiskākā – bez sociālajiem transfertiem nabadzības riskam būtu pakļauti 80,3% pensionāru. </w:t>
      </w:r>
    </w:p>
    <w:p w:rsidR="00F74DF6" w:rsidRDefault="00F74DF6" w:rsidP="00F74DF6">
      <w:pPr>
        <w:ind w:firstLine="720"/>
        <w:jc w:val="both"/>
      </w:pPr>
      <w:r>
        <w:t xml:space="preserve">Lai noskaidrotu, cik lielā mērā katra no sociālās drošības sistēmas sastāvdaļām dod ietekmi uz nabadzības </w:t>
      </w:r>
      <w:r w:rsidR="0086094D">
        <w:t xml:space="preserve">risku </w:t>
      </w:r>
      <w:r>
        <w:t xml:space="preserve">mazināšanu, nākamajā grafikā ir attēlots nabadzības riska indekss </w:t>
      </w:r>
      <w:r w:rsidR="008C5C95">
        <w:lastRenderedPageBreak/>
        <w:t>iedzīvotājiem neatkarīgi no to ienākumiem, pirms un pēc tam, kad ir saņemti valsts un pašvaldību sociālie transferti</w:t>
      </w:r>
      <w:r w:rsidR="00FF5C71">
        <w:t xml:space="preserve"> (pensijas un pabalsti)</w:t>
      </w:r>
      <w:r w:rsidR="008C5C95">
        <w:t xml:space="preserve">.  </w:t>
      </w:r>
    </w:p>
    <w:p w:rsidR="006466B8" w:rsidRPr="00B403D1" w:rsidRDefault="002A07B7" w:rsidP="00B321ED">
      <w:pPr>
        <w:jc w:val="right"/>
        <w:rPr>
          <w:szCs w:val="26"/>
        </w:rPr>
      </w:pPr>
      <w:r>
        <w:rPr>
          <w:szCs w:val="26"/>
        </w:rPr>
        <w:t>8</w:t>
      </w:r>
      <w:r w:rsidR="006466B8" w:rsidRPr="00B403D1">
        <w:rPr>
          <w:szCs w:val="26"/>
        </w:rPr>
        <w:t>.g</w:t>
      </w:r>
      <w:r w:rsidR="0080033A" w:rsidRPr="00B403D1">
        <w:rPr>
          <w:szCs w:val="26"/>
        </w:rPr>
        <w:t xml:space="preserve">rafiks. </w:t>
      </w:r>
    </w:p>
    <w:p w:rsidR="006F2FA3" w:rsidRPr="00B403D1" w:rsidRDefault="00B15BA4" w:rsidP="006466B8">
      <w:pPr>
        <w:jc w:val="center"/>
        <w:rPr>
          <w:b/>
          <w:bCs/>
          <w:szCs w:val="26"/>
          <w:u w:val="single"/>
        </w:rPr>
      </w:pPr>
      <w:r w:rsidRPr="00B403D1">
        <w:rPr>
          <w:szCs w:val="26"/>
        </w:rPr>
        <w:t xml:space="preserve">Nabadzības riska indekss </w:t>
      </w:r>
      <w:r w:rsidRPr="00B403D1">
        <w:rPr>
          <w:b/>
          <w:bCs/>
          <w:szCs w:val="26"/>
          <w:u w:val="single"/>
        </w:rPr>
        <w:t xml:space="preserve">visiem iedzīvotājiem </w:t>
      </w:r>
    </w:p>
    <w:p w:rsidR="00B15BA4" w:rsidRPr="00B403D1" w:rsidRDefault="00B15BA4" w:rsidP="006F2FA3">
      <w:pPr>
        <w:spacing w:after="120"/>
        <w:jc w:val="center"/>
        <w:rPr>
          <w:szCs w:val="26"/>
        </w:rPr>
      </w:pPr>
      <w:proofErr w:type="gramStart"/>
      <w:r w:rsidRPr="00B403D1">
        <w:rPr>
          <w:szCs w:val="26"/>
        </w:rPr>
        <w:t xml:space="preserve">pirms un pēc </w:t>
      </w:r>
      <w:r w:rsidRPr="00B403D1">
        <w:rPr>
          <w:szCs w:val="26"/>
          <w:u w:val="single"/>
        </w:rPr>
        <w:t>valsts</w:t>
      </w:r>
      <w:proofErr w:type="gramEnd"/>
      <w:r w:rsidRPr="00B403D1">
        <w:rPr>
          <w:szCs w:val="26"/>
          <w:u w:val="single"/>
        </w:rPr>
        <w:t xml:space="preserve"> un pašvaldību</w:t>
      </w:r>
      <w:r w:rsidR="00524B2E">
        <w:rPr>
          <w:szCs w:val="26"/>
        </w:rPr>
        <w:t xml:space="preserve"> sociālajiem transfertiem </w:t>
      </w:r>
      <w:r w:rsidRPr="00B403D1">
        <w:rPr>
          <w:szCs w:val="26"/>
        </w:rPr>
        <w:t>2012.gadā</w:t>
      </w:r>
      <w:r w:rsidR="00524B2E">
        <w:rPr>
          <w:szCs w:val="26"/>
        </w:rPr>
        <w:t>, %</w:t>
      </w:r>
    </w:p>
    <w:p w:rsidR="004532D6" w:rsidRDefault="00700CF0" w:rsidP="0080033A">
      <w:pPr>
        <w:jc w:val="center"/>
      </w:pPr>
      <w:r>
        <w:t xml:space="preserve"> </w:t>
      </w:r>
      <w:r w:rsidR="001C7D5F">
        <w:rPr>
          <w:noProof/>
          <w:lang w:eastAsia="lv-LV"/>
        </w:rPr>
        <w:drawing>
          <wp:inline distT="0" distB="0" distL="0" distR="0">
            <wp:extent cx="3452495" cy="1750695"/>
            <wp:effectExtent l="0" t="0" r="14605" b="20955"/>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5C95" w:rsidRDefault="008C5C95" w:rsidP="009F48C2">
      <w:r>
        <w:tab/>
      </w:r>
      <w:r w:rsidR="00700CF0">
        <w:tab/>
      </w:r>
      <w:r w:rsidR="00B321ED">
        <w:tab/>
      </w:r>
      <w:r w:rsidR="00700CF0" w:rsidRPr="00B321ED">
        <w:rPr>
          <w:sz w:val="20"/>
        </w:rPr>
        <w:t xml:space="preserve">Datu avots: </w:t>
      </w:r>
      <w:r w:rsidR="00B321ED" w:rsidRPr="00B321ED">
        <w:rPr>
          <w:sz w:val="20"/>
        </w:rPr>
        <w:t>CSP</w:t>
      </w:r>
    </w:p>
    <w:p w:rsidR="00700CF0" w:rsidRDefault="00700CF0" w:rsidP="00C95976">
      <w:pPr>
        <w:ind w:firstLine="720"/>
        <w:jc w:val="both"/>
      </w:pPr>
    </w:p>
    <w:p w:rsidR="00C95976" w:rsidRDefault="007A60B2" w:rsidP="00C95976">
      <w:pPr>
        <w:ind w:firstLine="720"/>
        <w:jc w:val="both"/>
      </w:pPr>
      <w:r>
        <w:t>L</w:t>
      </w:r>
      <w:r w:rsidR="00C82160">
        <w:t>ielāko</w:t>
      </w:r>
      <w:r>
        <w:t xml:space="preserve"> </w:t>
      </w:r>
      <w:r w:rsidR="00C82160">
        <w:t xml:space="preserve">ietekmi uz nabadzības </w:t>
      </w:r>
      <w:r w:rsidR="006E7AC7">
        <w:t xml:space="preserve">riska </w:t>
      </w:r>
      <w:r w:rsidR="00C82160">
        <w:t xml:space="preserve">samazināšanos dod valsts pensijas, proti, nabadzības risks tiek samazināts par aptuveni 20 procentpunktiem. </w:t>
      </w:r>
      <w:r>
        <w:t xml:space="preserve">Tomēr </w:t>
      </w:r>
      <w:r w:rsidR="00C95976">
        <w:t xml:space="preserve">valsts un pašvaldību pabalsti </w:t>
      </w:r>
      <w:r w:rsidR="004B06F8">
        <w:t xml:space="preserve">kopumā </w:t>
      </w:r>
      <w:r w:rsidR="00C95976">
        <w:t xml:space="preserve">dod nelielu ietekmi uz nabadzības </w:t>
      </w:r>
      <w:r w:rsidR="003166F6">
        <w:t xml:space="preserve">riska </w:t>
      </w:r>
      <w:r w:rsidR="00C95976">
        <w:t xml:space="preserve">mazināšanos. Ja pēc visiem sociālajiem transfertiem nabadzības riskam </w:t>
      </w:r>
      <w:r>
        <w:t xml:space="preserve">ir </w:t>
      </w:r>
      <w:r w:rsidR="00C95976">
        <w:t>pakļauti 19,4% iedzīvotāju, tad valsts sociālie pabalsti nabadzības risku samazina par 2,2 procentpunktiem, bet pašvaldību pabalsti – par 1,2 procentpunktiem.</w:t>
      </w:r>
    </w:p>
    <w:p w:rsidR="00C95976" w:rsidRDefault="004B06F8" w:rsidP="00C95976">
      <w:pPr>
        <w:ind w:firstLine="720"/>
        <w:jc w:val="both"/>
      </w:pPr>
      <w:r>
        <w:t>A</w:t>
      </w:r>
      <w:r w:rsidR="00C95976">
        <w:t>plūkojot nabadzīgāko iedzīvotāju</w:t>
      </w:r>
      <w:r>
        <w:t xml:space="preserve"> (1.kvintile)</w:t>
      </w:r>
      <w:r w:rsidR="00C95976">
        <w:t xml:space="preserve"> situāciju, jāsecina, ka </w:t>
      </w:r>
      <w:r w:rsidR="00765E4D">
        <w:t xml:space="preserve">sociālo </w:t>
      </w:r>
      <w:proofErr w:type="gramStart"/>
      <w:r w:rsidR="00765E4D">
        <w:t>transfertu ietekme</w:t>
      </w:r>
      <w:proofErr w:type="gramEnd"/>
      <w:r w:rsidR="00765E4D">
        <w:t xml:space="preserve"> uz nabadzības riska un dziļuma mazināšanos ir ievērojami zemāka nekā sabiedrībā kopumā.</w:t>
      </w:r>
      <w:r w:rsidR="00C95976">
        <w:t xml:space="preserve"> Piemēram, 1.kvintiles iedzīvotājiem (ienākumi mēnesī vidēji 112 </w:t>
      </w:r>
      <w:proofErr w:type="spellStart"/>
      <w:r w:rsidR="00D770F2" w:rsidRPr="00D770F2">
        <w:rPr>
          <w:i/>
          <w:iCs/>
        </w:rPr>
        <w:t>euro</w:t>
      </w:r>
      <w:proofErr w:type="spellEnd"/>
      <w:r w:rsidR="00C95976">
        <w:t>) nabadzības risks pēc visiem sociālajiem transfertiem saglabājās 96,9% gadījum</w:t>
      </w:r>
      <w:r w:rsidR="001A3ED8">
        <w:t>os</w:t>
      </w:r>
      <w:r w:rsidR="00C95976">
        <w:t xml:space="preserve">. </w:t>
      </w:r>
    </w:p>
    <w:p w:rsidR="001B771F" w:rsidRPr="00B403D1" w:rsidRDefault="002A07B7" w:rsidP="001B771F">
      <w:pPr>
        <w:jc w:val="right"/>
        <w:rPr>
          <w:szCs w:val="26"/>
        </w:rPr>
      </w:pPr>
      <w:r>
        <w:rPr>
          <w:szCs w:val="26"/>
        </w:rPr>
        <w:t>9</w:t>
      </w:r>
      <w:r w:rsidR="006F2FA3" w:rsidRPr="00B403D1">
        <w:rPr>
          <w:szCs w:val="26"/>
        </w:rPr>
        <w:t>.g</w:t>
      </w:r>
      <w:r w:rsidR="0080033A" w:rsidRPr="00B403D1">
        <w:rPr>
          <w:szCs w:val="26"/>
        </w:rPr>
        <w:t xml:space="preserve">rafiks. </w:t>
      </w:r>
    </w:p>
    <w:p w:rsidR="001B771F" w:rsidRPr="00B403D1" w:rsidRDefault="00B15BA4" w:rsidP="006F2FA3">
      <w:pPr>
        <w:jc w:val="center"/>
        <w:rPr>
          <w:b/>
          <w:bCs/>
          <w:szCs w:val="26"/>
        </w:rPr>
      </w:pPr>
      <w:r w:rsidRPr="00B403D1">
        <w:rPr>
          <w:szCs w:val="26"/>
        </w:rPr>
        <w:t xml:space="preserve">Nabadzības riska indekss </w:t>
      </w:r>
      <w:r w:rsidRPr="00B403D1">
        <w:rPr>
          <w:b/>
          <w:bCs/>
          <w:szCs w:val="26"/>
          <w:u w:val="single"/>
        </w:rPr>
        <w:t>1.kvintilei (nabadzīgākajiem iedzīvotājiem)</w:t>
      </w:r>
    </w:p>
    <w:p w:rsidR="00B15BA4" w:rsidRPr="001B771F" w:rsidRDefault="00B15BA4" w:rsidP="006F2FA3">
      <w:pPr>
        <w:jc w:val="center"/>
        <w:rPr>
          <w:sz w:val="22"/>
        </w:rPr>
      </w:pPr>
      <w:proofErr w:type="gramStart"/>
      <w:r w:rsidRPr="00B403D1">
        <w:rPr>
          <w:szCs w:val="26"/>
        </w:rPr>
        <w:t>pirms un pēc valsts</w:t>
      </w:r>
      <w:proofErr w:type="gramEnd"/>
      <w:r w:rsidRPr="00B403D1">
        <w:rPr>
          <w:szCs w:val="26"/>
        </w:rPr>
        <w:t xml:space="preserve"> un </w:t>
      </w:r>
      <w:r w:rsidR="001B771F" w:rsidRPr="00B403D1">
        <w:rPr>
          <w:szCs w:val="26"/>
        </w:rPr>
        <w:t>p</w:t>
      </w:r>
      <w:r w:rsidRPr="00B403D1">
        <w:rPr>
          <w:szCs w:val="26"/>
        </w:rPr>
        <w:t>ašvaldību sociā</w:t>
      </w:r>
      <w:r w:rsidR="00524B2E">
        <w:rPr>
          <w:szCs w:val="26"/>
        </w:rPr>
        <w:t xml:space="preserve">lajiem transfertiem </w:t>
      </w:r>
      <w:r w:rsidR="004419EB" w:rsidRPr="00B403D1">
        <w:rPr>
          <w:szCs w:val="26"/>
        </w:rPr>
        <w:t>2012.gadā</w:t>
      </w:r>
      <w:r w:rsidR="00524B2E">
        <w:rPr>
          <w:szCs w:val="26"/>
        </w:rPr>
        <w:t>, %</w:t>
      </w:r>
    </w:p>
    <w:p w:rsidR="000F1D85" w:rsidRDefault="001C7D5F" w:rsidP="004419EB">
      <w:pPr>
        <w:jc w:val="center"/>
      </w:pPr>
      <w:r>
        <w:rPr>
          <w:noProof/>
          <w:lang w:eastAsia="lv-LV"/>
        </w:rPr>
        <w:drawing>
          <wp:inline distT="0" distB="0" distL="0" distR="0">
            <wp:extent cx="3650776" cy="1719618"/>
            <wp:effectExtent l="0" t="0" r="26035" b="1397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19EB" w:rsidRPr="00B321ED" w:rsidRDefault="00C95976" w:rsidP="00F30BCB">
      <w:pPr>
        <w:spacing w:after="120"/>
        <w:ind w:left="1440" w:firstLine="720"/>
        <w:rPr>
          <w:sz w:val="20"/>
        </w:rPr>
      </w:pPr>
      <w:r w:rsidRPr="00B321ED">
        <w:rPr>
          <w:sz w:val="20"/>
        </w:rPr>
        <w:t xml:space="preserve">Datu avots: CSP </w:t>
      </w:r>
    </w:p>
    <w:p w:rsidR="00947B0B" w:rsidRDefault="00C95976" w:rsidP="00405007">
      <w:pPr>
        <w:ind w:firstLine="720"/>
        <w:jc w:val="both"/>
      </w:pPr>
      <w:r w:rsidRPr="00947B0B">
        <w:t xml:space="preserve">Tas </w:t>
      </w:r>
      <w:r w:rsidR="001A3ED8" w:rsidRPr="00947B0B">
        <w:t>pierāda</w:t>
      </w:r>
      <w:r w:rsidRPr="00947B0B">
        <w:t>, ka ne valsts, ne pašvaldību sociālie transferti nav pietiekami mērķēti, lai novērstu trūcīgajiem iedzīvotājiem nabadzības risku</w:t>
      </w:r>
      <w:r w:rsidR="00D00D7A">
        <w:t xml:space="preserve"> un nabadzības dziļumu</w:t>
      </w:r>
      <w:r w:rsidRPr="00947B0B">
        <w:t>. Nebūtu pārsteidzoši, ja minētā tendence būtu attiecināma uz valsts sociālajiem pabalstiem, kuri pēc būtības tiek piešķirti iedzīvotājiem, neizvērtējot to ienākumus (universāli). Taču pašvaldību sociālā palīdzība ir (tai jābūt) mērķēta uz nabadzīgākajiem valsts iedzīvotājiem</w:t>
      </w:r>
      <w:r w:rsidRPr="00947B0B">
        <w:rPr>
          <w:rStyle w:val="FootnoteReference"/>
        </w:rPr>
        <w:footnoteReference w:id="64"/>
      </w:r>
      <w:r w:rsidRPr="00947B0B">
        <w:t xml:space="preserve">. Diemžēl minētie dati apliecina, ka pašvaldību sociālā palīdzība nesamazina nabadzības </w:t>
      </w:r>
      <w:r w:rsidR="00681CB7">
        <w:t>dziļumu</w:t>
      </w:r>
      <w:r w:rsidRPr="00947B0B">
        <w:t xml:space="preserve"> </w:t>
      </w:r>
      <w:r w:rsidRPr="00947B0B">
        <w:lastRenderedPageBreak/>
        <w:t>trūcīgajiem iedzīvotājiem.</w:t>
      </w:r>
      <w:r w:rsidR="00947B0B" w:rsidRPr="00947B0B">
        <w:t xml:space="preserve"> </w:t>
      </w:r>
      <w:r w:rsidR="00405007">
        <w:t>P</w:t>
      </w:r>
      <w:r w:rsidR="00947B0B" w:rsidRPr="00947B0B">
        <w:t xml:space="preserve">ētījums par </w:t>
      </w:r>
      <w:r w:rsidR="00947B0B">
        <w:t>iecerētajām reformām sociālajā palīdzības sistēmā</w:t>
      </w:r>
      <w:r w:rsidR="00947B0B" w:rsidRPr="00947B0B">
        <w:t xml:space="preserve"> apliecināja, ka </w:t>
      </w:r>
      <w:r w:rsidR="00947B0B">
        <w:t>„</w:t>
      </w:r>
      <w:r w:rsidR="00947B0B" w:rsidRPr="00947B0B">
        <w:t>Daudzi no pašvaldību piešķirtajiem pabalstiem</w:t>
      </w:r>
      <w:r w:rsidR="00947B0B">
        <w:t xml:space="preserve"> </w:t>
      </w:r>
      <w:r w:rsidR="00947B0B" w:rsidRPr="00947B0B">
        <w:t>brīvo iniciatīvu ietvaros, kas pēc savas būtības tiek mērķēti uz pamatvajadzību apmierināšanu, nevar tikt uzskatīti par sociālās palīdzības pabalstiem, jo tie nereti tiek piešķirti, nevērtējot saņēmēja ienākumu līmeni”, attiecīgi tie nav uzskatāmi par sociālās palīdzības pabalstiem</w:t>
      </w:r>
      <w:r w:rsidR="00B438F8">
        <w:t>”. Lai minēto problēmu risinātu, tiek ierosināts</w:t>
      </w:r>
      <w:r w:rsidR="00947B0B" w:rsidRPr="00947B0B">
        <w:t xml:space="preserve"> </w:t>
      </w:r>
      <w:r w:rsidR="00B438F8">
        <w:t>„</w:t>
      </w:r>
      <w:r w:rsidR="00947B0B" w:rsidRPr="00947B0B">
        <w:t>noteikt pilnvērtīgu un korektu atskaites sistēmu</w:t>
      </w:r>
      <w:r w:rsidR="00947B0B">
        <w:t xml:space="preserve"> </w:t>
      </w:r>
      <w:r w:rsidR="00947B0B" w:rsidRPr="00947B0B">
        <w:t>par pašvaldību brīvajām iniciatīvām un apsvērt nepieciešamību papildināt SPSP likuma</w:t>
      </w:r>
      <w:r w:rsidR="00274855">
        <w:t xml:space="preserve"> [Sociālo pakalpojumu un sociālās palīdzības likums]</w:t>
      </w:r>
      <w:r w:rsidR="00947B0B" w:rsidRPr="00947B0B">
        <w:t xml:space="preserve"> regulējumu, nepārprotami identificējot</w:t>
      </w:r>
      <w:r w:rsidR="00947B0B">
        <w:t xml:space="preserve"> </w:t>
      </w:r>
      <w:r w:rsidR="00947B0B" w:rsidRPr="00947B0B">
        <w:t>šādu pabalstu formas un robežas to liel</w:t>
      </w:r>
      <w:r w:rsidR="00274855">
        <w:t>uma un izmaksu perioda ietvaros</w:t>
      </w:r>
      <w:r w:rsidR="00947B0B">
        <w:rPr>
          <w:rStyle w:val="FootnoteReference"/>
        </w:rPr>
        <w:footnoteReference w:id="65"/>
      </w:r>
      <w:r w:rsidR="00274855">
        <w:t>”</w:t>
      </w:r>
      <w:r w:rsidR="00947B0B">
        <w:t>.</w:t>
      </w:r>
    </w:p>
    <w:p w:rsidR="00F30BCB" w:rsidRDefault="00B321ED" w:rsidP="00F3147F">
      <w:pPr>
        <w:ind w:firstLine="720"/>
        <w:jc w:val="both"/>
      </w:pPr>
      <w:r w:rsidRPr="002A07B7">
        <w:t xml:space="preserve">Kā redzams zemāk tabulā, </w:t>
      </w:r>
      <w:r w:rsidRPr="002A07B7">
        <w:rPr>
          <w:u w:val="single"/>
        </w:rPr>
        <w:t>1.kvintile</w:t>
      </w:r>
      <w:r w:rsidRPr="002A07B7">
        <w:t xml:space="preserve"> veido 1/5 no Latvijas iedzīvotājiem, kuriem ir </w:t>
      </w:r>
      <w:r w:rsidRPr="002A07B7">
        <w:rPr>
          <w:u w:val="single"/>
        </w:rPr>
        <w:t>zemākie ienākumi valstī</w:t>
      </w:r>
      <w:r w:rsidRPr="002A07B7">
        <w:t xml:space="preserve">. </w:t>
      </w:r>
      <w:r w:rsidR="00CB4FB3" w:rsidRPr="002A07B7">
        <w:t xml:space="preserve">Ja vērtē dažādos minimālā ienākuma līmeņus (GMI līmenis – 49,80 </w:t>
      </w:r>
      <w:proofErr w:type="spellStart"/>
      <w:r w:rsidR="00CB4FB3" w:rsidRPr="002A07B7">
        <w:rPr>
          <w:i/>
        </w:rPr>
        <w:t>euro</w:t>
      </w:r>
      <w:proofErr w:type="spellEnd"/>
      <w:r w:rsidR="00CB4FB3" w:rsidRPr="002A07B7">
        <w:t xml:space="preserve">, trūcīgās personas ienākumu līmenis – 128,06 </w:t>
      </w:r>
      <w:proofErr w:type="spellStart"/>
      <w:r w:rsidR="00CB4FB3" w:rsidRPr="002A07B7">
        <w:rPr>
          <w:i/>
        </w:rPr>
        <w:t>euro</w:t>
      </w:r>
      <w:proofErr w:type="spellEnd"/>
      <w:r w:rsidR="00CB4FB3" w:rsidRPr="002A07B7">
        <w:t xml:space="preserve">, maznodrošinātās personas ienākumu līmeņi no 142 – 356 </w:t>
      </w:r>
      <w:proofErr w:type="spellStart"/>
      <w:r w:rsidR="00CB4FB3" w:rsidRPr="002A07B7">
        <w:rPr>
          <w:i/>
        </w:rPr>
        <w:t>euro</w:t>
      </w:r>
      <w:proofErr w:type="spellEnd"/>
      <w:r w:rsidR="00CB4FB3" w:rsidRPr="002A07B7">
        <w:t xml:space="preserve"> mēnesī), tad secināms, ka atbalsts nonāk pietiekami lielai daļai Latvijas iedzīvotāju</w:t>
      </w:r>
      <w:r w:rsidR="009D4DA3" w:rsidRPr="002A07B7">
        <w:t>, lai arī sociālajai aizsardzībai</w:t>
      </w:r>
      <w:r w:rsidR="009D4DA3">
        <w:t xml:space="preserve"> novirzītais īpatsvars no IKP ir zems</w:t>
      </w:r>
      <w:r w:rsidR="00CB4FB3">
        <w:t>.</w:t>
      </w:r>
    </w:p>
    <w:p w:rsidR="00B574E0" w:rsidRDefault="00B574E0" w:rsidP="00F3147F">
      <w:pPr>
        <w:ind w:firstLine="720"/>
        <w:jc w:val="both"/>
      </w:pPr>
    </w:p>
    <w:p w:rsidR="001A3ED8" w:rsidRPr="00B403D1" w:rsidRDefault="006F2FA3" w:rsidP="00F30BCB">
      <w:pPr>
        <w:ind w:firstLine="720"/>
        <w:jc w:val="right"/>
        <w:rPr>
          <w:iCs/>
          <w:szCs w:val="26"/>
        </w:rPr>
      </w:pPr>
      <w:r w:rsidRPr="00B403D1">
        <w:rPr>
          <w:iCs/>
          <w:szCs w:val="26"/>
        </w:rPr>
        <w:t>7.t</w:t>
      </w:r>
      <w:r w:rsidR="001A3ED8" w:rsidRPr="00B403D1">
        <w:rPr>
          <w:iCs/>
          <w:szCs w:val="26"/>
        </w:rPr>
        <w:t xml:space="preserve">abula.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
      <w:tblGrid>
        <w:gridCol w:w="1568"/>
        <w:gridCol w:w="857"/>
        <w:gridCol w:w="1843"/>
        <w:gridCol w:w="1842"/>
        <w:gridCol w:w="2126"/>
      </w:tblGrid>
      <w:tr w:rsidR="001A3ED8" w:rsidRPr="00F30BCB" w:rsidTr="00F30BCB">
        <w:trPr>
          <w:trHeight w:val="398"/>
          <w:jc w:val="center"/>
        </w:trPr>
        <w:tc>
          <w:tcPr>
            <w:tcW w:w="8236" w:type="dxa"/>
            <w:gridSpan w:val="5"/>
            <w:shd w:val="clear" w:color="auto" w:fill="FFFFFF"/>
            <w:tcMar>
              <w:top w:w="15" w:type="dxa"/>
              <w:left w:w="15" w:type="dxa"/>
              <w:bottom w:w="0" w:type="dxa"/>
              <w:right w:w="15" w:type="dxa"/>
            </w:tcMar>
            <w:vAlign w:val="bottom"/>
          </w:tcPr>
          <w:p w:rsidR="001A3ED8" w:rsidRPr="00F30BCB" w:rsidRDefault="00A64C46" w:rsidP="00F30BCB">
            <w:pPr>
              <w:jc w:val="center"/>
              <w:rPr>
                <w:sz w:val="22"/>
                <w:szCs w:val="22"/>
              </w:rPr>
            </w:pPr>
            <w:r w:rsidRPr="00B8710F">
              <w:rPr>
                <w:rStyle w:val="Strong"/>
                <w:b w:val="0"/>
              </w:rPr>
              <w:t xml:space="preserve">Ikmēneša rīcībā esošie ienākumi uz vienu mājsaimniecības locekli, </w:t>
            </w:r>
            <w:proofErr w:type="spellStart"/>
            <w:r w:rsidRPr="00B8710F">
              <w:rPr>
                <w:rStyle w:val="Strong"/>
                <w:b w:val="0"/>
                <w:i/>
              </w:rPr>
              <w:t>euro</w:t>
            </w:r>
            <w:proofErr w:type="spellEnd"/>
            <w:r w:rsidRPr="00B8710F">
              <w:rPr>
                <w:rStyle w:val="Strong"/>
                <w:b w:val="0"/>
              </w:rPr>
              <w:t xml:space="preserve"> 2012.gadā (EU – SILC 2013.gada dati)</w:t>
            </w:r>
          </w:p>
        </w:tc>
      </w:tr>
      <w:tr w:rsidR="001A3ED8" w:rsidRPr="00F30BCB" w:rsidTr="00F30BCB">
        <w:trPr>
          <w:trHeight w:val="165"/>
          <w:jc w:val="center"/>
        </w:trPr>
        <w:tc>
          <w:tcPr>
            <w:tcW w:w="1568" w:type="dxa"/>
            <w:shd w:val="clear" w:color="auto" w:fill="FFFFFF"/>
            <w:tcMar>
              <w:top w:w="15" w:type="dxa"/>
              <w:left w:w="15" w:type="dxa"/>
              <w:bottom w:w="0" w:type="dxa"/>
              <w:right w:w="15" w:type="dxa"/>
            </w:tcMar>
            <w:vAlign w:val="bottom"/>
          </w:tcPr>
          <w:p w:rsidR="001A3ED8" w:rsidRPr="00F30BCB" w:rsidRDefault="001A3ED8" w:rsidP="00F30BCB">
            <w:pPr>
              <w:rPr>
                <w:sz w:val="22"/>
                <w:szCs w:val="22"/>
              </w:rPr>
            </w:pPr>
            <w:r w:rsidRPr="00F30BCB">
              <w:rPr>
                <w:sz w:val="22"/>
                <w:szCs w:val="22"/>
              </w:rPr>
              <w:t xml:space="preserve"> </w:t>
            </w:r>
          </w:p>
        </w:tc>
        <w:tc>
          <w:tcPr>
            <w:tcW w:w="857" w:type="dxa"/>
            <w:shd w:val="clear" w:color="auto" w:fill="FFFFFF"/>
            <w:tcMar>
              <w:top w:w="15" w:type="dxa"/>
              <w:left w:w="15" w:type="dxa"/>
              <w:bottom w:w="0" w:type="dxa"/>
              <w:right w:w="15" w:type="dxa"/>
            </w:tcMar>
            <w:vAlign w:val="bottom"/>
          </w:tcPr>
          <w:p w:rsidR="001A3ED8" w:rsidRPr="00F30BCB" w:rsidRDefault="001A3ED8" w:rsidP="00F30BCB">
            <w:pPr>
              <w:rPr>
                <w:sz w:val="22"/>
                <w:szCs w:val="22"/>
              </w:rPr>
            </w:pPr>
            <w:r w:rsidRPr="00F30BCB">
              <w:rPr>
                <w:sz w:val="22"/>
                <w:szCs w:val="22"/>
              </w:rPr>
              <w:t> </w:t>
            </w:r>
          </w:p>
        </w:tc>
        <w:tc>
          <w:tcPr>
            <w:tcW w:w="1843" w:type="dxa"/>
            <w:shd w:val="clear" w:color="auto" w:fill="FFFFFF"/>
            <w:tcMar>
              <w:top w:w="15" w:type="dxa"/>
              <w:left w:w="15" w:type="dxa"/>
              <w:bottom w:w="0" w:type="dxa"/>
              <w:right w:w="15" w:type="dxa"/>
            </w:tcMar>
            <w:vAlign w:val="bottom"/>
          </w:tcPr>
          <w:p w:rsidR="001A3ED8" w:rsidRPr="00F30BCB" w:rsidRDefault="001A3ED8" w:rsidP="00F30BCB">
            <w:pPr>
              <w:jc w:val="center"/>
              <w:rPr>
                <w:b/>
                <w:sz w:val="22"/>
                <w:szCs w:val="22"/>
              </w:rPr>
            </w:pPr>
            <w:r w:rsidRPr="00F30BCB">
              <w:rPr>
                <w:b/>
                <w:sz w:val="22"/>
                <w:szCs w:val="22"/>
              </w:rPr>
              <w:t>vidēji</w:t>
            </w:r>
          </w:p>
        </w:tc>
        <w:tc>
          <w:tcPr>
            <w:tcW w:w="1842" w:type="dxa"/>
            <w:shd w:val="clear" w:color="auto" w:fill="FFFFFF"/>
            <w:tcMar>
              <w:top w:w="15" w:type="dxa"/>
              <w:left w:w="15" w:type="dxa"/>
              <w:bottom w:w="0" w:type="dxa"/>
              <w:right w:w="15" w:type="dxa"/>
            </w:tcMar>
            <w:vAlign w:val="bottom"/>
          </w:tcPr>
          <w:p w:rsidR="001A3ED8" w:rsidRPr="00F30BCB" w:rsidRDefault="001A3ED8" w:rsidP="00F30BCB">
            <w:pPr>
              <w:jc w:val="center"/>
              <w:rPr>
                <w:b/>
                <w:sz w:val="22"/>
                <w:szCs w:val="22"/>
              </w:rPr>
            </w:pPr>
            <w:r w:rsidRPr="00F30BCB">
              <w:rPr>
                <w:b/>
                <w:sz w:val="22"/>
                <w:szCs w:val="22"/>
              </w:rPr>
              <w:t>zemākā robeža</w:t>
            </w:r>
          </w:p>
        </w:tc>
        <w:tc>
          <w:tcPr>
            <w:tcW w:w="2126" w:type="dxa"/>
            <w:shd w:val="clear" w:color="auto" w:fill="FFFFFF"/>
            <w:tcMar>
              <w:top w:w="15" w:type="dxa"/>
              <w:left w:w="15" w:type="dxa"/>
              <w:bottom w:w="0" w:type="dxa"/>
              <w:right w:w="15" w:type="dxa"/>
            </w:tcMar>
            <w:vAlign w:val="bottom"/>
          </w:tcPr>
          <w:p w:rsidR="001A3ED8" w:rsidRPr="00F30BCB" w:rsidRDefault="001A3ED8" w:rsidP="00F30BCB">
            <w:pPr>
              <w:jc w:val="center"/>
              <w:rPr>
                <w:b/>
                <w:sz w:val="22"/>
                <w:szCs w:val="22"/>
              </w:rPr>
            </w:pPr>
            <w:r w:rsidRPr="00F30BCB">
              <w:rPr>
                <w:b/>
                <w:sz w:val="22"/>
                <w:szCs w:val="22"/>
              </w:rPr>
              <w:t>augstākā robeža</w:t>
            </w:r>
          </w:p>
        </w:tc>
      </w:tr>
      <w:tr w:rsidR="001A3ED8" w:rsidRPr="00F30BCB" w:rsidTr="00F30BCB">
        <w:trPr>
          <w:trHeight w:val="311"/>
          <w:jc w:val="center"/>
        </w:trPr>
        <w:tc>
          <w:tcPr>
            <w:tcW w:w="1568" w:type="dxa"/>
            <w:shd w:val="clear" w:color="auto" w:fill="FFFFFF"/>
            <w:tcMar>
              <w:top w:w="15" w:type="dxa"/>
              <w:left w:w="15" w:type="dxa"/>
              <w:bottom w:w="0" w:type="dxa"/>
              <w:right w:w="15" w:type="dxa"/>
            </w:tcMar>
            <w:vAlign w:val="bottom"/>
          </w:tcPr>
          <w:p w:rsidR="001A3ED8" w:rsidRPr="00F30BCB" w:rsidRDefault="001A3ED8" w:rsidP="00F30BCB">
            <w:pPr>
              <w:rPr>
                <w:sz w:val="22"/>
                <w:szCs w:val="22"/>
              </w:rPr>
            </w:pPr>
            <w:r w:rsidRPr="00F30BCB">
              <w:rPr>
                <w:sz w:val="22"/>
                <w:szCs w:val="22"/>
              </w:rPr>
              <w:t>Latvija</w:t>
            </w:r>
          </w:p>
        </w:tc>
        <w:tc>
          <w:tcPr>
            <w:tcW w:w="857"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p>
        </w:tc>
        <w:tc>
          <w:tcPr>
            <w:tcW w:w="1843"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b/>
                <w:bCs/>
                <w:sz w:val="22"/>
                <w:szCs w:val="22"/>
              </w:rPr>
              <w:t>319.90</w:t>
            </w:r>
          </w:p>
        </w:tc>
        <w:tc>
          <w:tcPr>
            <w:tcW w:w="1842"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p>
        </w:tc>
        <w:tc>
          <w:tcPr>
            <w:tcW w:w="2126"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p>
        </w:tc>
      </w:tr>
      <w:tr w:rsidR="001A3ED8" w:rsidRPr="00F30BCB" w:rsidTr="00F30BCB">
        <w:trPr>
          <w:trHeight w:val="234"/>
          <w:jc w:val="center"/>
        </w:trPr>
        <w:tc>
          <w:tcPr>
            <w:tcW w:w="1568" w:type="dxa"/>
            <w:vMerge w:val="restart"/>
            <w:shd w:val="clear" w:color="auto" w:fill="FFFFFF"/>
            <w:tcMar>
              <w:top w:w="15" w:type="dxa"/>
              <w:left w:w="15" w:type="dxa"/>
              <w:bottom w:w="0" w:type="dxa"/>
              <w:right w:w="15" w:type="dxa"/>
            </w:tcMar>
            <w:vAlign w:val="center"/>
          </w:tcPr>
          <w:p w:rsidR="001A3ED8" w:rsidRPr="00F30BCB" w:rsidRDefault="001A3ED8" w:rsidP="00F30BCB">
            <w:pPr>
              <w:rPr>
                <w:sz w:val="22"/>
                <w:szCs w:val="22"/>
              </w:rPr>
            </w:pPr>
            <w:proofErr w:type="spellStart"/>
            <w:r w:rsidRPr="00F30BCB">
              <w:rPr>
                <w:sz w:val="22"/>
                <w:szCs w:val="22"/>
              </w:rPr>
              <w:t>Kvintiles</w:t>
            </w:r>
            <w:proofErr w:type="spellEnd"/>
            <w:r w:rsidRPr="00F30BCB">
              <w:rPr>
                <w:rStyle w:val="FootnoteReference"/>
                <w:sz w:val="22"/>
                <w:szCs w:val="22"/>
              </w:rPr>
              <w:footnoteReference w:id="66"/>
            </w:r>
          </w:p>
        </w:tc>
        <w:tc>
          <w:tcPr>
            <w:tcW w:w="857"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1</w:t>
            </w:r>
          </w:p>
        </w:tc>
        <w:tc>
          <w:tcPr>
            <w:tcW w:w="1843"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111.88</w:t>
            </w:r>
          </w:p>
        </w:tc>
        <w:tc>
          <w:tcPr>
            <w:tcW w:w="1842"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p>
        </w:tc>
        <w:tc>
          <w:tcPr>
            <w:tcW w:w="2126" w:type="dxa"/>
            <w:shd w:val="clear" w:color="auto" w:fill="FFFFFF"/>
            <w:tcMar>
              <w:top w:w="15" w:type="dxa"/>
              <w:left w:w="15" w:type="dxa"/>
              <w:bottom w:w="0" w:type="dxa"/>
              <w:right w:w="15" w:type="dxa"/>
            </w:tcMar>
            <w:vAlign w:val="bottom"/>
          </w:tcPr>
          <w:p w:rsidR="001A3ED8" w:rsidRPr="00F30BCB" w:rsidRDefault="00E86005" w:rsidP="00F30BCB">
            <w:pPr>
              <w:jc w:val="center"/>
              <w:rPr>
                <w:sz w:val="22"/>
                <w:szCs w:val="22"/>
              </w:rPr>
            </w:pPr>
            <w:r>
              <w:rPr>
                <w:sz w:val="22"/>
                <w:szCs w:val="22"/>
              </w:rPr>
              <w:t>līdz 171.27</w:t>
            </w:r>
          </w:p>
        </w:tc>
      </w:tr>
      <w:tr w:rsidR="001A3ED8" w:rsidRPr="00F30BCB" w:rsidTr="00F30BCB">
        <w:trPr>
          <w:trHeight w:val="238"/>
          <w:jc w:val="center"/>
        </w:trPr>
        <w:tc>
          <w:tcPr>
            <w:tcW w:w="1568" w:type="dxa"/>
            <w:vMerge/>
            <w:shd w:val="clear" w:color="auto" w:fill="FFFFFF"/>
            <w:vAlign w:val="center"/>
          </w:tcPr>
          <w:p w:rsidR="001A3ED8" w:rsidRPr="00F30BCB" w:rsidRDefault="001A3ED8" w:rsidP="00F30BCB">
            <w:pPr>
              <w:rPr>
                <w:sz w:val="22"/>
                <w:szCs w:val="22"/>
              </w:rPr>
            </w:pPr>
          </w:p>
        </w:tc>
        <w:tc>
          <w:tcPr>
            <w:tcW w:w="857"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2</w:t>
            </w:r>
          </w:p>
        </w:tc>
        <w:tc>
          <w:tcPr>
            <w:tcW w:w="1843"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208.63</w:t>
            </w:r>
          </w:p>
        </w:tc>
        <w:tc>
          <w:tcPr>
            <w:tcW w:w="1842"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171.29</w:t>
            </w:r>
          </w:p>
        </w:tc>
        <w:tc>
          <w:tcPr>
            <w:tcW w:w="2126" w:type="dxa"/>
            <w:shd w:val="clear" w:color="auto" w:fill="FFFFFF"/>
            <w:tcMar>
              <w:top w:w="15" w:type="dxa"/>
              <w:left w:w="15" w:type="dxa"/>
              <w:bottom w:w="0" w:type="dxa"/>
              <w:right w:w="15" w:type="dxa"/>
            </w:tcMar>
            <w:vAlign w:val="bottom"/>
          </w:tcPr>
          <w:p w:rsidR="001A3ED8" w:rsidRPr="00F30BCB" w:rsidRDefault="00903754" w:rsidP="00F30BCB">
            <w:pPr>
              <w:jc w:val="center"/>
              <w:rPr>
                <w:sz w:val="22"/>
                <w:szCs w:val="22"/>
              </w:rPr>
            </w:pPr>
            <w:r>
              <w:rPr>
                <w:sz w:val="22"/>
                <w:szCs w:val="22"/>
              </w:rPr>
              <w:t>241.94</w:t>
            </w:r>
          </w:p>
        </w:tc>
      </w:tr>
      <w:tr w:rsidR="001A3ED8" w:rsidRPr="00F30BCB" w:rsidTr="00F30BCB">
        <w:trPr>
          <w:trHeight w:val="256"/>
          <w:jc w:val="center"/>
        </w:trPr>
        <w:tc>
          <w:tcPr>
            <w:tcW w:w="1568" w:type="dxa"/>
            <w:vMerge/>
            <w:shd w:val="clear" w:color="auto" w:fill="FFFFFF"/>
            <w:vAlign w:val="center"/>
          </w:tcPr>
          <w:p w:rsidR="001A3ED8" w:rsidRPr="00F30BCB" w:rsidRDefault="001A3ED8" w:rsidP="00F30BCB">
            <w:pPr>
              <w:rPr>
                <w:sz w:val="22"/>
                <w:szCs w:val="22"/>
              </w:rPr>
            </w:pPr>
          </w:p>
        </w:tc>
        <w:tc>
          <w:tcPr>
            <w:tcW w:w="857"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3</w:t>
            </w:r>
          </w:p>
        </w:tc>
        <w:tc>
          <w:tcPr>
            <w:tcW w:w="1843"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272.10</w:t>
            </w:r>
          </w:p>
        </w:tc>
        <w:tc>
          <w:tcPr>
            <w:tcW w:w="1842"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242.02</w:t>
            </w:r>
          </w:p>
        </w:tc>
        <w:tc>
          <w:tcPr>
            <w:tcW w:w="2126" w:type="dxa"/>
            <w:shd w:val="clear" w:color="auto" w:fill="FFFFFF"/>
            <w:tcMar>
              <w:top w:w="15" w:type="dxa"/>
              <w:left w:w="15" w:type="dxa"/>
              <w:bottom w:w="0" w:type="dxa"/>
              <w:right w:w="15" w:type="dxa"/>
            </w:tcMar>
            <w:vAlign w:val="bottom"/>
          </w:tcPr>
          <w:p w:rsidR="001A3ED8" w:rsidRPr="00F30BCB" w:rsidRDefault="00657808" w:rsidP="00F30BCB">
            <w:pPr>
              <w:jc w:val="center"/>
              <w:rPr>
                <w:sz w:val="22"/>
                <w:szCs w:val="22"/>
              </w:rPr>
            </w:pPr>
            <w:r>
              <w:rPr>
                <w:sz w:val="22"/>
                <w:szCs w:val="22"/>
              </w:rPr>
              <w:t>309.31</w:t>
            </w:r>
          </w:p>
        </w:tc>
      </w:tr>
      <w:tr w:rsidR="001A3ED8" w:rsidRPr="00F30BCB" w:rsidTr="00F30BCB">
        <w:trPr>
          <w:trHeight w:val="247"/>
          <w:jc w:val="center"/>
        </w:trPr>
        <w:tc>
          <w:tcPr>
            <w:tcW w:w="1568" w:type="dxa"/>
            <w:vMerge/>
            <w:shd w:val="clear" w:color="auto" w:fill="FFFFFF"/>
            <w:vAlign w:val="center"/>
          </w:tcPr>
          <w:p w:rsidR="001A3ED8" w:rsidRPr="00F30BCB" w:rsidRDefault="001A3ED8" w:rsidP="00F30BCB">
            <w:pPr>
              <w:rPr>
                <w:sz w:val="22"/>
                <w:szCs w:val="22"/>
              </w:rPr>
            </w:pPr>
          </w:p>
        </w:tc>
        <w:tc>
          <w:tcPr>
            <w:tcW w:w="857"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4</w:t>
            </w:r>
          </w:p>
        </w:tc>
        <w:tc>
          <w:tcPr>
            <w:tcW w:w="1843"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371.99</w:t>
            </w:r>
          </w:p>
        </w:tc>
        <w:tc>
          <w:tcPr>
            <w:tcW w:w="1842"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309.40</w:t>
            </w:r>
          </w:p>
        </w:tc>
        <w:tc>
          <w:tcPr>
            <w:tcW w:w="2126" w:type="dxa"/>
            <w:shd w:val="clear" w:color="auto" w:fill="FFFFFF"/>
            <w:tcMar>
              <w:top w:w="15" w:type="dxa"/>
              <w:left w:w="15" w:type="dxa"/>
              <w:bottom w:w="0" w:type="dxa"/>
              <w:right w:w="15" w:type="dxa"/>
            </w:tcMar>
            <w:vAlign w:val="bottom"/>
          </w:tcPr>
          <w:p w:rsidR="001A3ED8" w:rsidRPr="00F30BCB" w:rsidRDefault="00657808" w:rsidP="00F30BCB">
            <w:pPr>
              <w:jc w:val="center"/>
              <w:rPr>
                <w:sz w:val="22"/>
                <w:szCs w:val="22"/>
              </w:rPr>
            </w:pPr>
            <w:r>
              <w:rPr>
                <w:sz w:val="22"/>
                <w:szCs w:val="22"/>
              </w:rPr>
              <w:t>459.82</w:t>
            </w:r>
          </w:p>
        </w:tc>
      </w:tr>
      <w:tr w:rsidR="001A3ED8" w:rsidRPr="00F30BCB" w:rsidTr="00F30BCB">
        <w:trPr>
          <w:trHeight w:val="122"/>
          <w:jc w:val="center"/>
        </w:trPr>
        <w:tc>
          <w:tcPr>
            <w:tcW w:w="1568" w:type="dxa"/>
            <w:vMerge/>
            <w:shd w:val="clear" w:color="auto" w:fill="FFFFFF"/>
            <w:vAlign w:val="center"/>
          </w:tcPr>
          <w:p w:rsidR="001A3ED8" w:rsidRPr="00F30BCB" w:rsidRDefault="001A3ED8" w:rsidP="00F30BCB">
            <w:pPr>
              <w:rPr>
                <w:sz w:val="22"/>
                <w:szCs w:val="22"/>
              </w:rPr>
            </w:pPr>
          </w:p>
        </w:tc>
        <w:tc>
          <w:tcPr>
            <w:tcW w:w="857"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5</w:t>
            </w:r>
          </w:p>
        </w:tc>
        <w:tc>
          <w:tcPr>
            <w:tcW w:w="1843"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701.33</w:t>
            </w:r>
          </w:p>
        </w:tc>
        <w:tc>
          <w:tcPr>
            <w:tcW w:w="1842"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no 459.9</w:t>
            </w:r>
          </w:p>
        </w:tc>
        <w:tc>
          <w:tcPr>
            <w:tcW w:w="2126"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p>
        </w:tc>
      </w:tr>
    </w:tbl>
    <w:p w:rsidR="001A3ED8" w:rsidRPr="00B321ED" w:rsidRDefault="001A3ED8" w:rsidP="00F30BCB">
      <w:pPr>
        <w:jc w:val="both"/>
        <w:rPr>
          <w:bCs/>
          <w:sz w:val="20"/>
        </w:rPr>
      </w:pPr>
      <w:r w:rsidRPr="00B321ED">
        <w:rPr>
          <w:bCs/>
          <w:sz w:val="20"/>
        </w:rPr>
        <w:t>Avots: CSP</w:t>
      </w:r>
    </w:p>
    <w:p w:rsidR="001A3ED8" w:rsidRPr="00E07B10" w:rsidRDefault="001A3ED8" w:rsidP="003C78EA">
      <w:pPr>
        <w:spacing w:before="240"/>
        <w:ind w:firstLine="720"/>
        <w:jc w:val="both"/>
      </w:pPr>
      <w:r>
        <w:t>Normatīvajos aktos not</w:t>
      </w:r>
      <w:r w:rsidR="00405007">
        <w:t>eiktie minimālo ienākumu līmeņi</w:t>
      </w:r>
      <w:r>
        <w:t xml:space="preserve"> šobrīd ir attiecināmi uz 1.kvintiles iedzīvotājiem. Gan GMI pabalstu, gan atbalstu un palīdzību trūcīgai ģimenei (personai) ir tiesīgi saņemt 1.kvintilē ietilpstošie iedzīvotāji, </w:t>
      </w:r>
      <w:r w:rsidR="00B321ED">
        <w:t>tomēr</w:t>
      </w:r>
      <w:r>
        <w:t xml:space="preserve"> ne visi. Proti, ne visi iedzī</w:t>
      </w:r>
      <w:r w:rsidR="00524B2E">
        <w:t xml:space="preserve">votāji, kuru ienākumi ir līdz </w:t>
      </w:r>
      <w:r>
        <w:t xml:space="preserve">171 </w:t>
      </w:r>
      <w:proofErr w:type="spellStart"/>
      <w:r w:rsidR="00524B2E" w:rsidRPr="00524B2E">
        <w:rPr>
          <w:i/>
          <w:iCs/>
        </w:rPr>
        <w:t>euro</w:t>
      </w:r>
      <w:proofErr w:type="spellEnd"/>
      <w:r w:rsidR="00524B2E">
        <w:t xml:space="preserve"> </w:t>
      </w:r>
      <w:r>
        <w:t>mēnesī var pretendēt uz palīdzību. Kā apliecina PB pētījums, tikai 12,5% no 1.kvintilē esošajiem iedzīvotājiem saņem GMI vai dzīvokļa pabalstu</w:t>
      </w:r>
      <w:r>
        <w:rPr>
          <w:rStyle w:val="FootnoteReference"/>
        </w:rPr>
        <w:footnoteReference w:id="67"/>
      </w:r>
      <w:r>
        <w:t xml:space="preserve">. Turklāt esošie sociālie pabalsti ir </w:t>
      </w:r>
      <w:r w:rsidRPr="003C78EA">
        <w:t>pārāk zemi</w:t>
      </w:r>
      <w:r w:rsidR="003C78EA" w:rsidRPr="003C78EA">
        <w:t xml:space="preserve"> (2013.gadā vidējais GMI pabalsta apmērs vienai personai mēnesī ir 30,5 </w:t>
      </w:r>
      <w:proofErr w:type="spellStart"/>
      <w:r w:rsidR="003C78EA" w:rsidRPr="003C78EA">
        <w:rPr>
          <w:i/>
          <w:iCs/>
        </w:rPr>
        <w:t>euro</w:t>
      </w:r>
      <w:proofErr w:type="spellEnd"/>
      <w:r w:rsidR="003C78EA" w:rsidRPr="003C78EA">
        <w:t xml:space="preserve">, vidējais dzīvokļa pabalsta apmērs vienai personai mēnesī ir 12,2 </w:t>
      </w:r>
      <w:proofErr w:type="spellStart"/>
      <w:r w:rsidR="003C78EA" w:rsidRPr="003C78EA">
        <w:rPr>
          <w:i/>
          <w:iCs/>
        </w:rPr>
        <w:t>euro</w:t>
      </w:r>
      <w:proofErr w:type="spellEnd"/>
      <w:r w:rsidR="003C78EA" w:rsidRPr="003C78EA">
        <w:t>)</w:t>
      </w:r>
      <w:r w:rsidRPr="003C78EA">
        <w:t>, lai 1.kvintiles personas varētu izkļūt no nabadzības</w:t>
      </w:r>
      <w:r w:rsidR="002C2E54">
        <w:t xml:space="preserve"> dziļuma</w:t>
      </w:r>
      <w:r w:rsidRPr="003C78EA">
        <w:t>. Tas pierāda pašvaldību sociālo transfertu neefektivitāti attiecībā uz nabadzības mazināšanos, jo esošie</w:t>
      </w:r>
      <w:r>
        <w:t xml:space="preserve"> sociālie pabalsti ir pārāk zemi, lai 1.kvintiles personas varētu izkļūt no nabadzības slazda. Zināmu pretrunu un arī likumsakarību šajā gadījumā veido maznodrošinātas personas ienākumu līmeņi, jo maznodrošinātas personas, kuras saņem noteikta veida atbalstu no pašvaldības, ir gan 1.kvintilē, gan 2., 3. un pat 4. </w:t>
      </w:r>
      <w:proofErr w:type="spellStart"/>
      <w:r>
        <w:t>kvintilē</w:t>
      </w:r>
      <w:proofErr w:type="spellEnd"/>
      <w:r>
        <w:t xml:space="preserve"> esošie iedzīvotāji. Tas nozīmē, ka pašvaldību palīdzību saņem arī relatīvi turīgāki iedzīvotāji, ja salīdzina pret 1.kvintiles ienākumiem. </w:t>
      </w:r>
      <w:r w:rsidR="00CC64FC">
        <w:t xml:space="preserve">Minēto apliecina arī PB pētījums, kur aprēķināts, ka Latvija </w:t>
      </w:r>
      <w:r w:rsidR="00840A49">
        <w:t xml:space="preserve">ieņem vienu no augstākajām vietām, t.i., 4.vietu, </w:t>
      </w:r>
      <w:r w:rsidR="00CC64FC">
        <w:t xml:space="preserve">starp ES dalībvalstīm, kura novirza sociālo palīdzību </w:t>
      </w:r>
      <w:r w:rsidR="00CC64FC">
        <w:lastRenderedPageBreak/>
        <w:t>turīgākajiem iedzīvotājiem, proti, ap 50% turīg</w:t>
      </w:r>
      <w:r w:rsidR="00840A49">
        <w:t>ie</w:t>
      </w:r>
      <w:r w:rsidR="00CC64FC">
        <w:t xml:space="preserve"> iedzīvotāji saņem kādu no sociālās palīdzības pabalstiem</w:t>
      </w:r>
      <w:r w:rsidR="00CC64FC">
        <w:rPr>
          <w:rStyle w:val="FootnoteReference"/>
        </w:rPr>
        <w:footnoteReference w:id="68"/>
      </w:r>
      <w:r w:rsidR="00CC64FC">
        <w:t xml:space="preserve">. </w:t>
      </w:r>
      <w:r w:rsidR="005D6967">
        <w:t>V</w:t>
      </w:r>
      <w:r>
        <w:t xml:space="preserve">ērtējot situāciju no ienākumu nevienlīdzības viedokļa, minimālie ienākumi primāri būtu jāpaaugstina un jānovirza 1.kvintiles iedzīvotājiem, lai panāktu reālu ietekmi uz ienākumu atšķirību samazināšanos. </w:t>
      </w:r>
    </w:p>
    <w:p w:rsidR="00A2665D" w:rsidRDefault="00996974" w:rsidP="00405007">
      <w:pPr>
        <w:ind w:firstLine="720"/>
        <w:jc w:val="both"/>
      </w:pPr>
      <w:r>
        <w:t>Arī PB pētījums apliecināja, ka</w:t>
      </w:r>
      <w:r w:rsidR="00A2665D">
        <w:t>,</w:t>
      </w:r>
      <w:r>
        <w:t xml:space="preserve"> </w:t>
      </w:r>
      <w:r w:rsidR="00A2665D">
        <w:t>lai gan 91% no GMI saņēmējie</w:t>
      </w:r>
      <w:r w:rsidR="001955F6">
        <w:t xml:space="preserve">m piederēja pirmajai </w:t>
      </w:r>
      <w:proofErr w:type="spellStart"/>
      <w:r w:rsidR="001955F6">
        <w:t>kvintilei</w:t>
      </w:r>
      <w:proofErr w:type="spellEnd"/>
      <w:r w:rsidR="00A2665D">
        <w:t xml:space="preserve">, kas liecina par labu mērķējumu, tomēr GMI pārklājums </w:t>
      </w:r>
      <w:r w:rsidR="001955F6">
        <w:t>(cilvēku skaits</w:t>
      </w:r>
      <w:r w:rsidR="004E4183">
        <w:t>, kuri bija tiesīgi saņemt GMI pabalstu</w:t>
      </w:r>
      <w:r w:rsidR="001955F6">
        <w:t xml:space="preserve">) </w:t>
      </w:r>
      <w:r w:rsidR="00A2665D">
        <w:t>bija ļoti neliels. Laika posmā no 2006.gada janvāra līdz 2012.gada jūlijam tikai 6,9% iedzīvotāju bija saņēmuši G</w:t>
      </w:r>
      <w:r w:rsidR="00A9634C">
        <w:t>MI pabalstu vismaz vienu mēnesi</w:t>
      </w:r>
      <w:r w:rsidR="00A2665D">
        <w:t xml:space="preserve">. Tāpat </w:t>
      </w:r>
      <w:r w:rsidR="003136C4">
        <w:t xml:space="preserve">PB </w:t>
      </w:r>
      <w:r w:rsidR="00A2665D">
        <w:t xml:space="preserve">pētījums parādīja, ka mazliet vairāk par 40% no visiem, kas šajā laikā saņēma GMI pabalstu, to saņēma tikai vienu periodu, </w:t>
      </w:r>
      <w:r w:rsidR="003136C4">
        <w:t>un</w:t>
      </w:r>
      <w:r w:rsidR="00A2665D">
        <w:t xml:space="preserve"> </w:t>
      </w:r>
      <w:r w:rsidR="003136C4">
        <w:t>lielākoties</w:t>
      </w:r>
      <w:r w:rsidR="00A2665D">
        <w:t xml:space="preserve"> š</w:t>
      </w:r>
      <w:r w:rsidR="004E4183">
        <w:t>i</w:t>
      </w:r>
      <w:r w:rsidR="001A3ED8">
        <w:t>s saņemšanas perioda</w:t>
      </w:r>
      <w:r w:rsidR="00A2665D">
        <w:t xml:space="preserve"> ilgums bija līdz 3 mēnešiem. </w:t>
      </w:r>
      <w:r w:rsidR="004E4183">
        <w:t xml:space="preserve">Tāpēc </w:t>
      </w:r>
      <w:r w:rsidR="00A2665D">
        <w:t xml:space="preserve">tika secināts, ka būtu nepieciešams </w:t>
      </w:r>
      <w:r w:rsidR="004E4183">
        <w:t>palielināt</w:t>
      </w:r>
      <w:r w:rsidR="00A2665D">
        <w:t xml:space="preserve"> </w:t>
      </w:r>
      <w:r w:rsidR="00BD5985">
        <w:t xml:space="preserve">GMI </w:t>
      </w:r>
      <w:r w:rsidR="00A2665D">
        <w:t>pārklājumu</w:t>
      </w:r>
      <w:r w:rsidR="004E4183">
        <w:t xml:space="preserve"> </w:t>
      </w:r>
      <w:r w:rsidR="00BD5985">
        <w:t>jeb GMI pabalsta saņēmēju loku (t.i., GMI līmeņa apmēru)</w:t>
      </w:r>
      <w:r w:rsidR="00A2665D">
        <w:t xml:space="preserve"> un pagarināt GMI pabalsta saņemšanas faktisko ilgumu, lai </w:t>
      </w:r>
      <w:r w:rsidR="004E4183">
        <w:t>sekmētu</w:t>
      </w:r>
      <w:r w:rsidR="00A2665D">
        <w:t xml:space="preserve"> nabadzības un ienākumu nevienlīdzības mazināšanas centienus</w:t>
      </w:r>
      <w:r w:rsidR="00307A0C">
        <w:t xml:space="preserve">, </w:t>
      </w:r>
      <w:r w:rsidR="00307A0C" w:rsidRPr="00307A0C">
        <w:t>vienlaicīgi pārskatot GMI pabalsta saņemšanas nosacījumus attiecībā uz noteiktām mērķgrupām</w:t>
      </w:r>
      <w:r w:rsidR="00307A0C">
        <w:t>”</w:t>
      </w:r>
      <w:r w:rsidR="00A2665D" w:rsidRPr="00307A0C">
        <w:t>.</w:t>
      </w:r>
      <w:r w:rsidR="00A2665D">
        <w:t xml:space="preserve"> Salīdzinot kopējos izdevumus</w:t>
      </w:r>
      <w:r w:rsidR="004E4183">
        <w:t xml:space="preserve"> no IKP</w:t>
      </w:r>
      <w:r w:rsidR="00A2665D">
        <w:t xml:space="preserve">, PB pētījums </w:t>
      </w:r>
      <w:r w:rsidR="004E4183">
        <w:t>apliecināja</w:t>
      </w:r>
      <w:r w:rsidR="004E4183" w:rsidRPr="004E4183">
        <w:t xml:space="preserve"> </w:t>
      </w:r>
      <w:r w:rsidR="004E4183">
        <w:t>arī to</w:t>
      </w:r>
      <w:r w:rsidR="00A2665D">
        <w:t>, ka Latvija novirza vairāk finanšu līdzekļus universālām pabalstu programmām</w:t>
      </w:r>
      <w:r w:rsidR="004E4183">
        <w:t xml:space="preserve"> (valsts sociālie pabalsti)</w:t>
      </w:r>
      <w:r w:rsidR="00A2665D">
        <w:t xml:space="preserve">, nekā </w:t>
      </w:r>
      <w:r w:rsidR="004E4183">
        <w:t xml:space="preserve">ienākumu testētām </w:t>
      </w:r>
      <w:r w:rsidR="004E4183" w:rsidRPr="001A3ED8">
        <w:t>programmām</w:t>
      </w:r>
      <w:r w:rsidR="00BD5985">
        <w:t>.</w:t>
      </w:r>
      <w:r w:rsidR="004E4183" w:rsidRPr="001A3ED8">
        <w:t xml:space="preserve"> </w:t>
      </w:r>
      <w:r w:rsidR="002909E5" w:rsidRPr="001A3ED8">
        <w:t>Tas n</w:t>
      </w:r>
      <w:r w:rsidR="002909E5">
        <w:t xml:space="preserve">ozīmē, ka nepieciešams padziļināts pašvaldību sociālās palīdzības un valsts sociālo pabalstu piešķiršanas efektivitātes izvērtējums, lai identificētu trūkumus šajās sistēmās un rastu labāko nabadzības samazināšanas risinājumu, vienlaicīgi novēršot nabadzības risku iedzīvotājiem un saglabājot motivāciju būt nodarbinātiem. </w:t>
      </w:r>
      <w:r w:rsidR="001A3ED8">
        <w:t>Tomēr jāuzsver, ka, palielinot pabalstu apmērus</w:t>
      </w:r>
      <w:r w:rsidR="00A0245E">
        <w:t>,</w:t>
      </w:r>
      <w:r w:rsidR="001A3ED8">
        <w:t xml:space="preserve"> to pieejamību</w:t>
      </w:r>
      <w:r w:rsidR="00A0245E">
        <w:t xml:space="preserve"> un mērķējumu</w:t>
      </w:r>
      <w:r w:rsidR="001A3ED8">
        <w:t>, tas var neuzlabot situāciju nabadzīgākajiem iedzīvotājiem, ja vienlai</w:t>
      </w:r>
      <w:r w:rsidR="009E3A0F">
        <w:t>kus</w:t>
      </w:r>
      <w:r w:rsidR="001A3ED8">
        <w:t xml:space="preserve"> netiks piemēroti arī kompensējošie jeb pārdales mehānismi</w:t>
      </w:r>
      <w:r w:rsidR="00A0245E">
        <w:t xml:space="preserve"> nodokļu sistēmā</w:t>
      </w:r>
      <w:r w:rsidR="001A3ED8">
        <w:rPr>
          <w:rStyle w:val="FootnoteReference"/>
        </w:rPr>
        <w:footnoteReference w:id="69"/>
      </w:r>
      <w:r w:rsidR="001A3ED8">
        <w:t>.</w:t>
      </w:r>
    </w:p>
    <w:p w:rsidR="006050C0" w:rsidRDefault="009C3CC1" w:rsidP="00062BEB">
      <w:pPr>
        <w:pStyle w:val="Heading2"/>
        <w:numPr>
          <w:ilvl w:val="1"/>
          <w:numId w:val="47"/>
        </w:numPr>
      </w:pPr>
      <w:r>
        <w:t xml:space="preserve"> </w:t>
      </w:r>
      <w:bookmarkStart w:id="34" w:name="_Toc401572482"/>
      <w:r w:rsidR="008C5C95">
        <w:t>Ienākumu nevienlīdzība</w:t>
      </w:r>
      <w:bookmarkEnd w:id="34"/>
      <w:r w:rsidR="005C787F">
        <w:t xml:space="preserve"> </w:t>
      </w:r>
    </w:p>
    <w:p w:rsidR="00967A01" w:rsidRDefault="00967A01" w:rsidP="00967A01">
      <w:pPr>
        <w:autoSpaceDE w:val="0"/>
        <w:autoSpaceDN w:val="0"/>
        <w:adjustRightInd w:val="0"/>
        <w:jc w:val="both"/>
        <w:rPr>
          <w:iCs/>
        </w:rPr>
      </w:pPr>
    </w:p>
    <w:p w:rsidR="00502E3A" w:rsidRDefault="00502E3A" w:rsidP="00502E3A">
      <w:pPr>
        <w:autoSpaceDE w:val="0"/>
        <w:autoSpaceDN w:val="0"/>
        <w:adjustRightInd w:val="0"/>
        <w:ind w:firstLine="720"/>
        <w:jc w:val="both"/>
        <w:rPr>
          <w:iCs/>
        </w:rPr>
      </w:pPr>
      <w:r>
        <w:rPr>
          <w:iCs/>
        </w:rPr>
        <w:t xml:space="preserve">Nabadzības mazināšanas nolūkā pabalstu sistēma nevar tikt analizēta un vērtēta atrauti no pārējām iedzīvotāju ienākumus veidojošām sistēmām, kur būtisku lomu un ietekmi rada valstī izveidotā nodokļu sistēma un nodokļu ieņēmumu pārdale. Lai neveidotos vai neattīstītu situāciju, kad, </w:t>
      </w:r>
      <w:r w:rsidR="00F65CB5" w:rsidRPr="00B8710F">
        <w:rPr>
          <w:iCs/>
        </w:rPr>
        <w:t xml:space="preserve">paaugstinot dažādu pabalstu apmērus, cilvēki zaudē motivāciju strādāt zemāk atalgotu darbu, ir </w:t>
      </w:r>
      <w:r w:rsidR="00F65CB5" w:rsidRPr="00F65CB5">
        <w:rPr>
          <w:iCs/>
        </w:rPr>
        <w:t>jāizvērtē darbaspēka nodokļu sistēmas efektivitāte attiecībā pret ienākumu testēto sociālo pabalstu sistēm</w:t>
      </w:r>
      <w:r w:rsidR="00F65CB5">
        <w:rPr>
          <w:iCs/>
        </w:rPr>
        <w:t>u</w:t>
      </w:r>
      <w:r w:rsidR="00F65CB5" w:rsidRPr="00F65CB5">
        <w:rPr>
          <w:iCs/>
        </w:rPr>
        <w:t>.</w:t>
      </w:r>
    </w:p>
    <w:p w:rsidR="00502E3A" w:rsidRDefault="00502E3A" w:rsidP="00502E3A">
      <w:pPr>
        <w:ind w:firstLine="720"/>
        <w:jc w:val="both"/>
      </w:pPr>
      <w:r w:rsidRPr="009E0AD5">
        <w:t xml:space="preserve">Ienākumu nevienlīdzība ir </w:t>
      </w:r>
      <w:r>
        <w:t>viens</w:t>
      </w:r>
      <w:r w:rsidRPr="009E0AD5">
        <w:t xml:space="preserve"> no galvenajiem </w:t>
      </w:r>
      <w:r>
        <w:t>augsta</w:t>
      </w:r>
      <w:r w:rsidRPr="009E0AD5">
        <w:t xml:space="preserve"> nabadzības riska </w:t>
      </w:r>
      <w:r>
        <w:t>cēloņiem</w:t>
      </w:r>
      <w:r w:rsidRPr="009E0AD5">
        <w:t xml:space="preserve"> </w:t>
      </w:r>
      <w:r>
        <w:t>Latvijā</w:t>
      </w:r>
      <w:r w:rsidRPr="009E0AD5">
        <w:t xml:space="preserve">, kas ir nemainīgi pastāvoša problēma jau daudzus gadus. </w:t>
      </w:r>
      <w:r>
        <w:t>To, ka nabadzība izriet</w:t>
      </w:r>
      <w:r w:rsidR="00F65CB5">
        <w:t>, tai skaitā,</w:t>
      </w:r>
      <w:r>
        <w:t xml:space="preserve"> no nevienlīdzīgas ienākumu pārdales, ir pierādījuši vairāki pētnieki</w:t>
      </w:r>
      <w:r>
        <w:rPr>
          <w:rStyle w:val="FootnoteReference"/>
        </w:rPr>
        <w:footnoteReference w:id="70"/>
      </w:r>
      <w:r>
        <w:t>. Divi pamatrādītāji, kuri raksturo ienākumu nevienlīdzību, ir Džini koeficents</w:t>
      </w:r>
      <w:r>
        <w:rPr>
          <w:rStyle w:val="FootnoteReference"/>
        </w:rPr>
        <w:footnoteReference w:id="71"/>
      </w:r>
      <w:r>
        <w:rPr>
          <w:rStyle w:val="field-content"/>
        </w:rPr>
        <w:t xml:space="preserve"> </w:t>
      </w:r>
      <w:r>
        <w:t xml:space="preserve">un </w:t>
      </w:r>
      <w:r w:rsidRPr="004649DA">
        <w:rPr>
          <w:rStyle w:val="field-content"/>
        </w:rPr>
        <w:t>S80/S20 indekss</w:t>
      </w:r>
      <w:r>
        <w:rPr>
          <w:rStyle w:val="field-content"/>
        </w:rPr>
        <w:t xml:space="preserve">. </w:t>
      </w:r>
      <w:r>
        <w:t xml:space="preserve">Latvijā Džini koeficients deviņu gadu laikā ir bijis nemainīgi augsts, saglabājoties robežās no 35% līdz 39%. </w:t>
      </w:r>
      <w:r w:rsidRPr="004B37D9">
        <w:rPr>
          <w:rStyle w:val="field-content"/>
        </w:rPr>
        <w:t xml:space="preserve">S80/S20 </w:t>
      </w:r>
      <w:r w:rsidR="00041403">
        <w:rPr>
          <w:rStyle w:val="field-content"/>
        </w:rPr>
        <w:t xml:space="preserve">ienākumu </w:t>
      </w:r>
      <w:proofErr w:type="spellStart"/>
      <w:r w:rsidRPr="004B37D9">
        <w:rPr>
          <w:rStyle w:val="field-content"/>
        </w:rPr>
        <w:t>kvintiļu</w:t>
      </w:r>
      <w:proofErr w:type="spellEnd"/>
      <w:r w:rsidRPr="004B37D9">
        <w:rPr>
          <w:rStyle w:val="field-content"/>
        </w:rPr>
        <w:t xml:space="preserve"> attiecības indekss</w:t>
      </w:r>
      <w:r w:rsidRPr="004B37D9">
        <w:t xml:space="preserve"> ir rādītājs, kas parāda attiecību starp </w:t>
      </w:r>
      <w:r>
        <w:t xml:space="preserve">indivīdu </w:t>
      </w:r>
      <w:r w:rsidRPr="004B37D9">
        <w:t>rīcībā esošo ienākumu summu, ko saņem 20% valsts iedzīvotāju ar augstākajiem ienākumiem (</w:t>
      </w:r>
      <w:r>
        <w:t xml:space="preserve">5. - </w:t>
      </w:r>
      <w:r w:rsidRPr="004B37D9">
        <w:t xml:space="preserve">augstākā </w:t>
      </w:r>
      <w:proofErr w:type="spellStart"/>
      <w:r w:rsidRPr="004B37D9">
        <w:t>kvintile</w:t>
      </w:r>
      <w:proofErr w:type="spellEnd"/>
      <w:r w:rsidRPr="004B37D9">
        <w:t>) pret ienākumu summu, ko saņem 20% valsts iedzīvotāju ar zemākajiem ienākumiem (</w:t>
      </w:r>
      <w:r>
        <w:t xml:space="preserve">1. - </w:t>
      </w:r>
      <w:r w:rsidRPr="004B37D9">
        <w:t xml:space="preserve">zemākā </w:t>
      </w:r>
      <w:proofErr w:type="spellStart"/>
      <w:r w:rsidRPr="004B37D9">
        <w:t>kvintile</w:t>
      </w:r>
      <w:proofErr w:type="spellEnd"/>
      <w:r w:rsidRPr="004B37D9">
        <w:t>)</w:t>
      </w:r>
      <w:r>
        <w:t>, tādējādi raksturojot ienākumu nevienlīdzību valstī</w:t>
      </w:r>
      <w:r w:rsidRPr="004B37D9">
        <w:t>.</w:t>
      </w:r>
    </w:p>
    <w:p w:rsidR="00502E3A" w:rsidRDefault="00502E3A" w:rsidP="0012747D">
      <w:pPr>
        <w:jc w:val="both"/>
      </w:pPr>
      <w:r>
        <w:lastRenderedPageBreak/>
        <w:tab/>
        <w:t xml:space="preserve">Latvijā atšķirības starp turīgāko un nabadzīgāko iedzīvotāju ienākumiem jau vairāku gadu garumā saglabājās izteiktas – nabadzīgāko iedzīvotāju ienākumi ir aptuveni 6-7 reizes zemāki nekā bagātākajai iedzīvotāju daļai. </w:t>
      </w:r>
      <w:r w:rsidR="002A07B7">
        <w:t>10</w:t>
      </w:r>
      <w:r w:rsidR="00896715">
        <w:t>.g</w:t>
      </w:r>
      <w:r>
        <w:t xml:space="preserve">rafikā atspoguļotā informācija liecina, ka kopš 2008.gada ienākumu atšķirības pakāpeniski samazinās, tomēr attiecība aizvien ir uzskatāma par lielu.    </w:t>
      </w:r>
    </w:p>
    <w:p w:rsidR="00502E3A" w:rsidRPr="0012747D" w:rsidRDefault="002A07B7" w:rsidP="00502E3A">
      <w:pPr>
        <w:jc w:val="right"/>
        <w:rPr>
          <w:szCs w:val="26"/>
        </w:rPr>
      </w:pPr>
      <w:r>
        <w:rPr>
          <w:szCs w:val="26"/>
        </w:rPr>
        <w:t>10</w:t>
      </w:r>
      <w:r w:rsidR="00502E3A" w:rsidRPr="0012747D">
        <w:rPr>
          <w:szCs w:val="26"/>
        </w:rPr>
        <w:t xml:space="preserve">.grafiks. </w:t>
      </w:r>
    </w:p>
    <w:p w:rsidR="00502E3A" w:rsidRDefault="001C7D5F" w:rsidP="00502E3A">
      <w:pPr>
        <w:autoSpaceDE w:val="0"/>
        <w:autoSpaceDN w:val="0"/>
        <w:adjustRightInd w:val="0"/>
        <w:jc w:val="center"/>
        <w:rPr>
          <w:iCs/>
        </w:rPr>
      </w:pPr>
      <w:r>
        <w:rPr>
          <w:noProof/>
          <w:lang w:eastAsia="lv-LV"/>
        </w:rPr>
        <w:drawing>
          <wp:inline distT="0" distB="0" distL="0" distR="0">
            <wp:extent cx="3291205" cy="1861820"/>
            <wp:effectExtent l="0" t="0" r="23495" b="24130"/>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02E3A" w:rsidRPr="000F31C8" w:rsidRDefault="00502E3A" w:rsidP="00502E3A">
      <w:pPr>
        <w:autoSpaceDE w:val="0"/>
        <w:autoSpaceDN w:val="0"/>
        <w:adjustRightInd w:val="0"/>
        <w:ind w:left="720" w:firstLine="720"/>
        <w:jc w:val="both"/>
        <w:rPr>
          <w:iCs/>
          <w:sz w:val="20"/>
        </w:rPr>
      </w:pPr>
      <w:r w:rsidRPr="000F31C8">
        <w:rPr>
          <w:iCs/>
          <w:sz w:val="20"/>
        </w:rPr>
        <w:t>Datu avots: CSP</w:t>
      </w:r>
    </w:p>
    <w:p w:rsidR="00502E3A" w:rsidRDefault="00502E3A" w:rsidP="00502E3A">
      <w:pPr>
        <w:autoSpaceDE w:val="0"/>
        <w:autoSpaceDN w:val="0"/>
        <w:adjustRightInd w:val="0"/>
        <w:ind w:firstLine="720"/>
        <w:jc w:val="both"/>
        <w:rPr>
          <w:iCs/>
        </w:rPr>
      </w:pPr>
    </w:p>
    <w:p w:rsidR="00502E3A" w:rsidRDefault="00502E3A" w:rsidP="00502E3A">
      <w:pPr>
        <w:autoSpaceDE w:val="0"/>
        <w:autoSpaceDN w:val="0"/>
        <w:adjustRightInd w:val="0"/>
        <w:ind w:firstLine="720"/>
        <w:jc w:val="both"/>
      </w:pPr>
      <w:r>
        <w:rPr>
          <w:iCs/>
        </w:rPr>
        <w:t xml:space="preserve">Tomēr Latvijā izaicinājums nabadzības mazināšanā nerobežojas vien ar ļoti zemiem 1.kvintiles ienākumiem, kur atšķirības ar 5.kvintili ir mērāmas </w:t>
      </w:r>
      <w:proofErr w:type="spellStart"/>
      <w:r>
        <w:rPr>
          <w:iCs/>
        </w:rPr>
        <w:t>seškārt</w:t>
      </w:r>
      <w:proofErr w:type="spellEnd"/>
      <w:r>
        <w:rPr>
          <w:iCs/>
        </w:rPr>
        <w:t xml:space="preserve">, bet arī relatīvi zemiem ienākumiem 2.-4.kvintilē. 7.tabulā atspoguļotie vidējie ienākumi </w:t>
      </w:r>
      <w:proofErr w:type="spellStart"/>
      <w:r>
        <w:rPr>
          <w:iCs/>
        </w:rPr>
        <w:t>kvintiļu</w:t>
      </w:r>
      <w:proofErr w:type="spellEnd"/>
      <w:r>
        <w:rPr>
          <w:iCs/>
        </w:rPr>
        <w:t xml:space="preserve"> grupās parāda, ka ienākumu attiecības starp 1.-4.kvintili ir salīdzinoši blīvas. Kā secināja </w:t>
      </w:r>
      <w:r w:rsidRPr="00173A24">
        <w:rPr>
          <w:noProof/>
        </w:rPr>
        <w:t xml:space="preserve">Nīderlandes </w:t>
      </w:r>
      <w:r w:rsidRPr="00173A24">
        <w:rPr>
          <w:bCs/>
        </w:rPr>
        <w:t xml:space="preserve">pētniece Franciska </w:t>
      </w:r>
      <w:proofErr w:type="spellStart"/>
      <w:r w:rsidRPr="00173A24">
        <w:rPr>
          <w:bCs/>
        </w:rPr>
        <w:t>Gasmane</w:t>
      </w:r>
      <w:proofErr w:type="spellEnd"/>
      <w:r>
        <w:rPr>
          <w:bCs/>
        </w:rPr>
        <w:t>, pētot nabadzību Latvijā</w:t>
      </w:r>
      <w:r w:rsidRPr="00173A24">
        <w:rPr>
          <w:bCs/>
        </w:rPr>
        <w:t xml:space="preserve"> 2002.gadā</w:t>
      </w:r>
      <w:r>
        <w:rPr>
          <w:rStyle w:val="FootnoteReference"/>
          <w:bCs/>
        </w:rPr>
        <w:footnoteReference w:id="72"/>
      </w:r>
      <w:r>
        <w:rPr>
          <w:bCs/>
        </w:rPr>
        <w:t>,</w:t>
      </w:r>
      <w:r w:rsidRPr="00173A24">
        <w:rPr>
          <w:bCs/>
        </w:rPr>
        <w:t xml:space="preserve"> </w:t>
      </w:r>
      <w:r w:rsidRPr="00173A24">
        <w:t>„</w:t>
      </w:r>
      <w:proofErr w:type="gramStart"/>
      <w:r w:rsidRPr="00173A24">
        <w:t>[</w:t>
      </w:r>
      <w:proofErr w:type="gramEnd"/>
      <w:r w:rsidRPr="00173A24">
        <w:t>...] Latvijā ne</w:t>
      </w:r>
      <w:r>
        <w:t>pastāv vidusšķira, jo pārējo 80</w:t>
      </w:r>
      <w:r w:rsidRPr="00173A24">
        <w:t>% iedzīvotāju sadalījums gan pēc ienākumiem, gan izdevumiem ir ļoti kompakts.”</w:t>
      </w:r>
      <w:r>
        <w:t xml:space="preserve">. </w:t>
      </w:r>
    </w:p>
    <w:p w:rsidR="00502E3A" w:rsidRDefault="00502E3A" w:rsidP="0012747D">
      <w:pPr>
        <w:ind w:firstLine="720"/>
        <w:jc w:val="both"/>
      </w:pPr>
      <w:r w:rsidRPr="0079189C">
        <w:t xml:space="preserve"> „[...] </w:t>
      </w:r>
      <w:r w:rsidRPr="00B6615A">
        <w:rPr>
          <w:b/>
        </w:rPr>
        <w:t>nabadzības slazds</w:t>
      </w:r>
      <w:r w:rsidRPr="0079189C">
        <w:t xml:space="preserve"> [...], ko bieži literatūrā un statistisko datu apkopojumos apzīmē arī ar jēdzienu „zemas darba samaksas slazds” „</w:t>
      </w:r>
      <w:proofErr w:type="gramStart"/>
      <w:r w:rsidRPr="0079189C">
        <w:t>[</w:t>
      </w:r>
      <w:proofErr w:type="gramEnd"/>
      <w:r w:rsidRPr="0079189C">
        <w:t>...] attiecas uz situāciju, kad bruto ienākumu pieaugums nepārvēršas neto ienākumu pieaugumā, ko izjūt indivīds [</w:t>
      </w:r>
      <w:r>
        <w:t>.</w:t>
      </w:r>
      <w:r w:rsidRPr="0079189C">
        <w:t>..]”</w:t>
      </w:r>
      <w:r w:rsidRPr="0079189C">
        <w:rPr>
          <w:rStyle w:val="FootnoteReference"/>
        </w:rPr>
        <w:footnoteReference w:id="73"/>
      </w:r>
      <w:r w:rsidRPr="0079189C">
        <w:t xml:space="preserve">. Nabadzības slazds dažkārt nozīmē to, ka indivīdam, uzsākot darba gaitas, samazina dažādu pabalstu lielumu (vai pat pārtrauc to izmaksu vispār) un apliek ienākumus ar ienākuma nodokli, tādējādi atturot viņu no darba meklēšanas un piedāvājumu </w:t>
      </w:r>
      <w:r>
        <w:t>pieņemšanas.</w:t>
      </w:r>
      <w:r w:rsidRPr="0079189C">
        <w:t xml:space="preserve"> Kā nabadzības slazda indikatoru statistikā un pētījumos izmanto nodokļu</w:t>
      </w:r>
      <w:r w:rsidR="0012747D">
        <w:t xml:space="preserve"> robežlikmi </w:t>
      </w:r>
      <w:r w:rsidR="0012747D" w:rsidRPr="0012747D">
        <w:rPr>
          <w:i/>
          <w:iCs/>
        </w:rPr>
        <w:t>(</w:t>
      </w:r>
      <w:proofErr w:type="spellStart"/>
      <w:r w:rsidR="0012747D" w:rsidRPr="0012747D">
        <w:rPr>
          <w:i/>
          <w:iCs/>
        </w:rPr>
        <w:t>Marginal</w:t>
      </w:r>
      <w:proofErr w:type="spellEnd"/>
      <w:r w:rsidR="0012747D" w:rsidRPr="0012747D">
        <w:rPr>
          <w:i/>
          <w:iCs/>
        </w:rPr>
        <w:t xml:space="preserve"> </w:t>
      </w:r>
      <w:proofErr w:type="spellStart"/>
      <w:r w:rsidR="0012747D" w:rsidRPr="0012747D">
        <w:rPr>
          <w:i/>
          <w:iCs/>
        </w:rPr>
        <w:t>Tax</w:t>
      </w:r>
      <w:proofErr w:type="spellEnd"/>
      <w:r w:rsidR="0012747D" w:rsidRPr="0012747D">
        <w:rPr>
          <w:i/>
          <w:iCs/>
        </w:rPr>
        <w:t xml:space="preserve"> </w:t>
      </w:r>
      <w:proofErr w:type="spellStart"/>
      <w:r w:rsidR="0012747D" w:rsidRPr="0012747D">
        <w:rPr>
          <w:i/>
          <w:iCs/>
        </w:rPr>
        <w:t>Rate</w:t>
      </w:r>
      <w:proofErr w:type="spellEnd"/>
      <w:r w:rsidRPr="0012747D">
        <w:rPr>
          <w:i/>
          <w:iCs/>
        </w:rPr>
        <w:t>),</w:t>
      </w:r>
      <w:r w:rsidRPr="0079189C">
        <w:t xml:space="preserve"> ko izsaka vai nu kā nodokļa likmi, kas tiek noteikta par papildu ienākumu daļu vai to pieaugumu (procentos), vai arī kā nodokļa likmi par katru papildu ienākumu vienību (</w:t>
      </w:r>
      <w:proofErr w:type="spellStart"/>
      <w:r w:rsidR="00D770F2" w:rsidRPr="00D770F2">
        <w:rPr>
          <w:i/>
          <w:iCs/>
        </w:rPr>
        <w:t>euro</w:t>
      </w:r>
      <w:proofErr w:type="spellEnd"/>
      <w:r>
        <w:t>).</w:t>
      </w:r>
      <w:r w:rsidRPr="0079189C">
        <w:t xml:space="preserve"> Nabadzības pētījumos to aprēķina kā procentus no ienākumiem par katru nākamo nopelnīto naudas vienību, ko atskaita nodokļos vai samazina, maksājot mazākus pabalstus. Nodokļu robežlikme 60% tiek uzskatīta par nozīmīgu līmeni, kad indivīds var būt pakļauts ievērojamam „nabadzības slazda” riskam</w:t>
      </w:r>
      <w:r>
        <w:rPr>
          <w:rStyle w:val="FootnoteReference"/>
        </w:rPr>
        <w:footnoteReference w:id="74"/>
      </w:r>
      <w:r>
        <w:t xml:space="preserve">. </w:t>
      </w:r>
    </w:p>
    <w:p w:rsidR="00EC026D" w:rsidRDefault="00502E3A" w:rsidP="00502E3A">
      <w:pPr>
        <w:ind w:firstLine="720"/>
        <w:jc w:val="both"/>
      </w:pPr>
      <w:r>
        <w:t xml:space="preserve">PB pētījums apliecināja, ka Latvijā sociālās palīdzības saņēmējiem nodokļu robežlikme ir ļoti augsta, kas lielā mērā ietekmē sociālās palīdzības saņēmēju motivāciju iesaistīties </w:t>
      </w:r>
      <w:r w:rsidRPr="00CD6EB3">
        <w:t>algotā darbā</w:t>
      </w:r>
      <w:r w:rsidRPr="00CD6EB3">
        <w:rPr>
          <w:rStyle w:val="FootnoteReference"/>
        </w:rPr>
        <w:footnoteReference w:id="75"/>
      </w:r>
      <w:r w:rsidRPr="00CD6EB3">
        <w:t>. GMI un dzīvokļa pabalsta nodokļu robežlikme ir vienāda ar 100%,</w:t>
      </w:r>
      <w:r>
        <w:t xml:space="preserve"> proti, pat viens papildus nopelnītais </w:t>
      </w:r>
      <w:proofErr w:type="spellStart"/>
      <w:r w:rsidR="00D770F2" w:rsidRPr="00D770F2">
        <w:rPr>
          <w:i/>
          <w:iCs/>
        </w:rPr>
        <w:t>euro</w:t>
      </w:r>
      <w:proofErr w:type="spellEnd"/>
      <w:r>
        <w:t xml:space="preserve"> virs noteiktā ienākuma līmeņa samazina palīdzību naudas izteiksmē attiecīgi par vienu </w:t>
      </w:r>
      <w:proofErr w:type="spellStart"/>
      <w:r w:rsidR="00D770F2" w:rsidRPr="00D770F2">
        <w:rPr>
          <w:i/>
          <w:iCs/>
        </w:rPr>
        <w:t>euro</w:t>
      </w:r>
      <w:proofErr w:type="spellEnd"/>
      <w:r>
        <w:t xml:space="preserve"> vai nedod tiesības indivīdam vispār pretendēt uz atbalstu. </w:t>
      </w:r>
      <w:r w:rsidRPr="00CD6EB3">
        <w:t>Savukārt vidējā efektīvā nodokļa likme, ja</w:t>
      </w:r>
      <w:r>
        <w:t xml:space="preserve"> cilvēks uzsāk strādāt algotu darbu pēc </w:t>
      </w:r>
      <w:r>
        <w:lastRenderedPageBreak/>
        <w:t xml:space="preserve">sociālās palīdzības saņemšanas, ir 33%. Tādējādi cilvēks nav motivēts iesaistīties algotā darbā, </w:t>
      </w:r>
      <w:r w:rsidR="00401ED6">
        <w:t>jo</w:t>
      </w:r>
      <w:r w:rsidR="00401ED6" w:rsidRPr="00B8710F">
        <w:t xml:space="preserve"> visi papildus nopelnītie ienākumi tiek aplikti ar ienākuma </w:t>
      </w:r>
      <w:r w:rsidR="00401ED6" w:rsidRPr="00401ED6">
        <w:t>nodokli un ienākumu testētie pabalstu apmēri tiek samazināti vai tā izmaksa tiek pārtraukta vispār</w:t>
      </w:r>
      <w:r w:rsidR="00401ED6" w:rsidRPr="00401ED6">
        <w:rPr>
          <w:u w:val="single"/>
        </w:rPr>
        <w:t>,</w:t>
      </w:r>
      <w:r w:rsidR="00401ED6" w:rsidRPr="00B8710F">
        <w:t xml:space="preserve"> kā rezultātā „</w:t>
      </w:r>
      <w:r w:rsidR="00401ED6" w:rsidRPr="00B8710F">
        <w:rPr>
          <w:i/>
        </w:rPr>
        <w:t>uz rokas</w:t>
      </w:r>
      <w:r w:rsidR="00401ED6" w:rsidRPr="00B8710F">
        <w:t>” saņemtā summa ir zemāka nekā gadījumā, ja cilvēks nestrādā algotu darbu.</w:t>
      </w:r>
      <w:r>
        <w:t xml:space="preserve"> </w:t>
      </w:r>
      <w:r w:rsidR="005355F0">
        <w:t>Minēto apliecina arī izvērtējums par sociālo palīdzību</w:t>
      </w:r>
      <w:r w:rsidR="005355F0">
        <w:rPr>
          <w:rStyle w:val="FootnoteReference"/>
        </w:rPr>
        <w:footnoteReference w:id="76"/>
      </w:r>
      <w:r w:rsidR="00EC026D">
        <w:t>, k</w:t>
      </w:r>
      <w:r w:rsidR="00D374D7">
        <w:t>ā arī BICEPS pētījums</w:t>
      </w:r>
      <w:r w:rsidR="002927B3">
        <w:rPr>
          <w:rStyle w:val="FootnoteReference"/>
        </w:rPr>
        <w:footnoteReference w:id="77"/>
      </w:r>
      <w:r w:rsidR="00D374D7">
        <w:t>, kurā pierādīts, ka</w:t>
      </w:r>
      <w:r w:rsidR="00EC026D">
        <w:t xml:space="preserve"> „</w:t>
      </w:r>
      <w:r w:rsidR="00EC026D" w:rsidRPr="00C12CCA">
        <w:t>Latvijā un pārējās Baltijas valstīs cilvēki, kuriem ir augstas METR</w:t>
      </w:r>
      <w:r w:rsidR="00EC026D" w:rsidRPr="00C12CCA">
        <w:rPr>
          <w:vertAlign w:val="superscript"/>
        </w:rPr>
        <w:footnoteReference w:id="78"/>
      </w:r>
      <w:r w:rsidR="00EC026D" w:rsidRPr="00C12CCA">
        <w:t>, ir koncentrējušies rīcībā esošo ienākumu sadalījuma zemākajās decilēs. Tas ļoti atšķiras no daudzām ES valstīm, kur cilvēku sadalījums, kuriem ir augstas METR, ir vai nu vienmērīgāks starp decilēm, vai arī tiecas uz ienākumu sadalījuma augšējo daļu. Faktiski Latvijā un Igaunijā visi cilvēki, kuriem ir augstas METR, ierindojas ekvivalento rīcībā esošo ienākumu pirmajās divās decilēs</w:t>
      </w:r>
      <w:r w:rsidR="00D374D7">
        <w:t>”</w:t>
      </w:r>
      <w:r w:rsidR="005355F0">
        <w:t xml:space="preserve">. </w:t>
      </w:r>
    </w:p>
    <w:p w:rsidR="00D374D7" w:rsidRDefault="00D374D7" w:rsidP="00D374D7">
      <w:pPr>
        <w:ind w:firstLine="720"/>
        <w:jc w:val="both"/>
      </w:pPr>
      <w:r>
        <w:t>I</w:t>
      </w:r>
      <w:r w:rsidR="00502E3A">
        <w:t xml:space="preserve">niciatīvas, kas parasti tiek ieviestas, lai uzlabotu darba </w:t>
      </w:r>
      <w:r w:rsidR="00502E3A" w:rsidRPr="0058415A">
        <w:rPr>
          <w:i/>
        </w:rPr>
        <w:t>atmaksāšanos</w:t>
      </w:r>
      <w:r w:rsidR="00896715">
        <w:rPr>
          <w:i/>
        </w:rPr>
        <w:t xml:space="preserve"> </w:t>
      </w:r>
      <w:r w:rsidR="00896715" w:rsidRPr="00896715">
        <w:t>(piemēram</w:t>
      </w:r>
      <w:r w:rsidR="00896715">
        <w:rPr>
          <w:i/>
        </w:rPr>
        <w:t>,</w:t>
      </w:r>
      <w:r w:rsidR="00896715">
        <w:t xml:space="preserve"> darba nodokļu kredīts, no angļu val. </w:t>
      </w:r>
      <w:proofErr w:type="spellStart"/>
      <w:r w:rsidR="00896715" w:rsidRPr="00896715">
        <w:rPr>
          <w:i/>
        </w:rPr>
        <w:t>tax</w:t>
      </w:r>
      <w:proofErr w:type="spellEnd"/>
      <w:r w:rsidR="00896715" w:rsidRPr="00896715">
        <w:rPr>
          <w:i/>
        </w:rPr>
        <w:t xml:space="preserve"> </w:t>
      </w:r>
      <w:proofErr w:type="spellStart"/>
      <w:r w:rsidR="00896715" w:rsidRPr="00896715">
        <w:rPr>
          <w:i/>
        </w:rPr>
        <w:t>credit</w:t>
      </w:r>
      <w:proofErr w:type="spellEnd"/>
      <w:r w:rsidR="00896715">
        <w:t>)</w:t>
      </w:r>
      <w:r w:rsidR="00502E3A">
        <w:t>, ir efektīvas vienīgi tad, ja ēnu ekonomi</w:t>
      </w:r>
      <w:r w:rsidR="00C229E1">
        <w:t>kas īpatsvars ir relatīvi zems</w:t>
      </w:r>
      <w:r>
        <w:t xml:space="preserve">. </w:t>
      </w:r>
    </w:p>
    <w:p w:rsidR="00502E3A" w:rsidRDefault="00502E3A" w:rsidP="00502E3A">
      <w:pPr>
        <w:ind w:firstLine="720"/>
        <w:jc w:val="both"/>
      </w:pPr>
      <w:r w:rsidRPr="009E5BD4">
        <w:rPr>
          <w:b/>
        </w:rPr>
        <w:t>Ēnu ekonomika</w:t>
      </w:r>
      <w:r>
        <w:t xml:space="preserve"> negatīvi ietekmē ne vien </w:t>
      </w:r>
      <w:r w:rsidRPr="00F263AC">
        <w:t>ekonomikas</w:t>
      </w:r>
      <w:r w:rsidRPr="00F40D9D">
        <w:t xml:space="preserve"> </w:t>
      </w:r>
      <w:r w:rsidRPr="00F263AC">
        <w:t>un budžeta politika</w:t>
      </w:r>
      <w:r>
        <w:t>s pasākumus</w:t>
      </w:r>
      <w:r w:rsidRPr="00F263AC">
        <w:t xml:space="preserve">, </w:t>
      </w:r>
      <w:r>
        <w:t xml:space="preserve">bet veido arī nelabvēlīgu sociālo situāciju saistībā ar iedzīvotāju ienākumiem, tai skaitā minimālajiem. Sabiedrībā nereti tiek salīdzināti Latvijas pensiju un pabalstu apmēri ar citu ES dalībvalstu sociālo transfertu apmēriem, galvenokārt ar tām valstīm, kurās tie ir ievērojami augstāki. Tomēr arī šajā ziņā ēnu ekonomika rada nopietnu šķērsli centieniem mazināt nabadzību un palielināt iedzīvotāju ienākumus, jo budžetā </w:t>
      </w:r>
      <w:r w:rsidR="00983D76">
        <w:t>neienāk</w:t>
      </w:r>
      <w:r>
        <w:t xml:space="preserve"> pietiekami resursu adekvātākai sociālās drošības </w:t>
      </w:r>
      <w:r w:rsidR="00983D76">
        <w:t>sistēmu</w:t>
      </w:r>
      <w:r>
        <w:t xml:space="preserve"> finansēšanai. Zemāk tabulā ir atspoguļots ES dalībvalstu nabadzības riska indekss un ēnu ekonomikas īpatsvars procentuāli no IKP. </w:t>
      </w:r>
    </w:p>
    <w:p w:rsidR="00502E3A" w:rsidRDefault="00502E3A" w:rsidP="00F30BCB">
      <w:pPr>
        <w:spacing w:before="120"/>
        <w:ind w:firstLine="720"/>
        <w:jc w:val="right"/>
      </w:pPr>
      <w:r>
        <w:t>8.tabula.</w:t>
      </w:r>
    </w:p>
    <w:tbl>
      <w:tblPr>
        <w:tblW w:w="0" w:type="auto"/>
        <w:jc w:val="center"/>
        <w:tblInd w:w="-88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967"/>
        <w:gridCol w:w="2352"/>
        <w:gridCol w:w="2588"/>
      </w:tblGrid>
      <w:tr w:rsidR="00983D76" w:rsidRPr="00672DDA" w:rsidTr="00672DDA">
        <w:trPr>
          <w:jc w:val="center"/>
        </w:trPr>
        <w:tc>
          <w:tcPr>
            <w:tcW w:w="196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983D76" w:rsidRPr="00672DDA" w:rsidRDefault="00983D76" w:rsidP="000043B4">
            <w:pPr>
              <w:jc w:val="center"/>
              <w:rPr>
                <w:b/>
                <w:sz w:val="20"/>
                <w:szCs w:val="20"/>
              </w:rPr>
            </w:pPr>
            <w:r w:rsidRPr="00672DDA">
              <w:rPr>
                <w:b/>
                <w:sz w:val="20"/>
                <w:szCs w:val="20"/>
              </w:rPr>
              <w:t>Valsts</w:t>
            </w:r>
          </w:p>
        </w:tc>
        <w:tc>
          <w:tcPr>
            <w:tcW w:w="2352" w:type="dxa"/>
            <w:tcBorders>
              <w:top w:val="single" w:sz="8" w:space="0" w:color="4F81BD"/>
              <w:left w:val="single" w:sz="8" w:space="0" w:color="4F81BD"/>
              <w:bottom w:val="single" w:sz="18" w:space="0" w:color="4F81BD"/>
              <w:right w:val="single" w:sz="8" w:space="0" w:color="4F81BD"/>
            </w:tcBorders>
            <w:shd w:val="clear" w:color="auto" w:fill="auto"/>
            <w:vAlign w:val="center"/>
          </w:tcPr>
          <w:p w:rsidR="00983D76" w:rsidRPr="00672DDA" w:rsidRDefault="00983D76" w:rsidP="000043B4">
            <w:pPr>
              <w:jc w:val="center"/>
              <w:rPr>
                <w:b/>
                <w:sz w:val="20"/>
                <w:szCs w:val="20"/>
              </w:rPr>
            </w:pPr>
            <w:r w:rsidRPr="00672DDA">
              <w:rPr>
                <w:b/>
                <w:sz w:val="20"/>
                <w:szCs w:val="20"/>
              </w:rPr>
              <w:t>Ēnu ekonomikas īpatsvars % no IKP</w:t>
            </w:r>
          </w:p>
        </w:tc>
        <w:tc>
          <w:tcPr>
            <w:tcW w:w="2588" w:type="dxa"/>
            <w:tcBorders>
              <w:top w:val="single" w:sz="8" w:space="0" w:color="4F81BD"/>
              <w:left w:val="single" w:sz="8" w:space="0" w:color="4F81BD"/>
              <w:bottom w:val="single" w:sz="18" w:space="0" w:color="4F81BD"/>
              <w:right w:val="single" w:sz="8" w:space="0" w:color="4F81BD"/>
            </w:tcBorders>
            <w:shd w:val="clear" w:color="auto" w:fill="auto"/>
            <w:vAlign w:val="center"/>
          </w:tcPr>
          <w:p w:rsidR="00983D76" w:rsidRPr="00672DDA" w:rsidRDefault="00983D76" w:rsidP="000043B4">
            <w:pPr>
              <w:jc w:val="center"/>
              <w:rPr>
                <w:b/>
                <w:sz w:val="20"/>
                <w:szCs w:val="20"/>
              </w:rPr>
            </w:pPr>
            <w:r w:rsidRPr="00672DDA">
              <w:rPr>
                <w:b/>
                <w:sz w:val="20"/>
                <w:szCs w:val="20"/>
              </w:rPr>
              <w:t>Nabadzības riska indekss % no iedzīvotājiem</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Austrija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8</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14.4</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Nīderlande</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9</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10.1</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sz w:val="20"/>
                <w:szCs w:val="20"/>
              </w:rPr>
            </w:pPr>
            <w:r w:rsidRPr="00672DDA">
              <w:rPr>
                <w:sz w:val="20"/>
                <w:szCs w:val="20"/>
              </w:rPr>
              <w:t>Francija</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10</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14.1</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sz w:val="20"/>
                <w:szCs w:val="20"/>
              </w:rPr>
            </w:pPr>
            <w:r w:rsidRPr="00672DDA">
              <w:rPr>
                <w:sz w:val="20"/>
                <w:szCs w:val="20"/>
              </w:rPr>
              <w:t>Apvienotā Karaliste</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10</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16.2</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Īrija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12</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15.7</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Dānija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13</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13.1</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Somija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13</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13.2</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Vācija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13</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16.1</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Zviedrija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14</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14.0</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Slovākija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15</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13.2</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Čehija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16</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9.6</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Beļģija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16</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15.0</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Portugāle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19</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17.9</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Spānija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19</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22.2</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Itālija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21</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19.4</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Ungārija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22</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14.0</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sz w:val="20"/>
                <w:szCs w:val="20"/>
              </w:rPr>
            </w:pPr>
            <w:r w:rsidRPr="00672DDA">
              <w:rPr>
                <w:sz w:val="20"/>
                <w:szCs w:val="20"/>
              </w:rPr>
              <w:t>Slovēnija</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23</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13.5</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Polija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24</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17.1</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Grieķija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24</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23.1</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lastRenderedPageBreak/>
              <w:t xml:space="preserve">Latvija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26</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19.2</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Igaunija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28</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17.5</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Lietuva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28</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18.6</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sz w:val="20"/>
                <w:szCs w:val="20"/>
              </w:rPr>
            </w:pPr>
            <w:r w:rsidRPr="00672DDA">
              <w:rPr>
                <w:sz w:val="20"/>
                <w:szCs w:val="20"/>
              </w:rPr>
              <w:t xml:space="preserve">Horvātija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28</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20.5</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sz w:val="20"/>
                <w:szCs w:val="20"/>
              </w:rPr>
            </w:pPr>
            <w:r w:rsidRPr="00672DDA">
              <w:rPr>
                <w:sz w:val="20"/>
                <w:szCs w:val="20"/>
              </w:rPr>
              <w:t xml:space="preserve">Rumānija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28</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22.6</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sz w:val="20"/>
                <w:szCs w:val="20"/>
              </w:rPr>
            </w:pPr>
            <w:r w:rsidRPr="00672DDA">
              <w:rPr>
                <w:sz w:val="20"/>
                <w:szCs w:val="20"/>
              </w:rPr>
              <w:t xml:space="preserve">Bulgārija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31</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21.2</w:t>
            </w:r>
          </w:p>
        </w:tc>
      </w:tr>
    </w:tbl>
    <w:p w:rsidR="00502E3A" w:rsidRPr="000414C7" w:rsidRDefault="00502E3A" w:rsidP="004D267C">
      <w:pPr>
        <w:rPr>
          <w:sz w:val="14"/>
          <w:szCs w:val="20"/>
        </w:rPr>
      </w:pPr>
      <w:r w:rsidRPr="00CF08B3">
        <w:rPr>
          <w:sz w:val="20"/>
          <w:szCs w:val="20"/>
        </w:rPr>
        <w:t xml:space="preserve">Avots: </w:t>
      </w:r>
      <w:r w:rsidR="00D770F2" w:rsidRPr="00C92602">
        <w:rPr>
          <w:sz w:val="20"/>
          <w:szCs w:val="20"/>
        </w:rPr>
        <w:t>Euro</w:t>
      </w:r>
      <w:r>
        <w:rPr>
          <w:sz w:val="20"/>
          <w:szCs w:val="20"/>
        </w:rPr>
        <w:t>stat (nabadzības riska indekss) un</w:t>
      </w:r>
      <w:proofErr w:type="gramStart"/>
      <w:r>
        <w:rPr>
          <w:sz w:val="20"/>
          <w:szCs w:val="20"/>
        </w:rPr>
        <w:t xml:space="preserve">  </w:t>
      </w:r>
      <w:proofErr w:type="gramEnd"/>
      <w:r w:rsidR="00221F61">
        <w:fldChar w:fldCharType="begin"/>
      </w:r>
      <w:r w:rsidR="00221F61">
        <w:instrText xml:space="preserve"> HYPERLINK "http://www.atkearney.com/documents/10192/1743816/FG-The-Shadow-Economy-in-Europe-1.png/2db244cd-9989-447c-8499-ea9043c4d0f3?t=1374166115940" </w:instrText>
      </w:r>
      <w:r w:rsidR="00221F61">
        <w:fldChar w:fldCharType="separate"/>
      </w:r>
      <w:r w:rsidRPr="000414C7">
        <w:rPr>
          <w:rStyle w:val="Hyperlink"/>
          <w:sz w:val="18"/>
        </w:rPr>
        <w:t>http://www.atkearney.com/documents/10192/1743816/FG-The-Shadow-Economy-in-</w:t>
      </w:r>
      <w:r w:rsidR="00D770F2" w:rsidRPr="00C92602">
        <w:rPr>
          <w:rStyle w:val="Hyperlink"/>
          <w:sz w:val="18"/>
        </w:rPr>
        <w:t>Euro</w:t>
      </w:r>
      <w:r w:rsidRPr="000414C7">
        <w:rPr>
          <w:rStyle w:val="Hyperlink"/>
          <w:sz w:val="18"/>
        </w:rPr>
        <w:t>pe-1.png/2db244cd-9989-447c-8499-ea9043c4d0f3?t=1374166115940</w:t>
      </w:r>
      <w:r w:rsidR="00221F61">
        <w:rPr>
          <w:rStyle w:val="Hyperlink"/>
          <w:sz w:val="18"/>
        </w:rPr>
        <w:fldChar w:fldCharType="end"/>
      </w:r>
      <w:r w:rsidRPr="000414C7">
        <w:rPr>
          <w:sz w:val="14"/>
          <w:szCs w:val="20"/>
        </w:rPr>
        <w:t xml:space="preserve">. </w:t>
      </w:r>
    </w:p>
    <w:p w:rsidR="004D267C" w:rsidRDefault="004D267C" w:rsidP="00BF2701">
      <w:pPr>
        <w:ind w:firstLine="720"/>
        <w:jc w:val="both"/>
      </w:pPr>
    </w:p>
    <w:p w:rsidR="00502E3A" w:rsidRPr="00CD6EB3" w:rsidRDefault="00BF2701" w:rsidP="00BF2701">
      <w:pPr>
        <w:ind w:firstLine="720"/>
        <w:jc w:val="both"/>
      </w:pPr>
      <w:r>
        <w:t>Kā redzams 8.tabulā, zināma</w:t>
      </w:r>
      <w:r w:rsidRPr="00CD6EB3">
        <w:t xml:space="preserve"> </w:t>
      </w:r>
      <w:r w:rsidR="002E167E">
        <w:t>kopsakarība</w:t>
      </w:r>
      <w:r w:rsidRPr="00CD6EB3">
        <w:t xml:space="preserve"> starp ēnu ekonomikas īpatsvaru un nabadzības riska indeksu</w:t>
      </w:r>
      <w:r>
        <w:t xml:space="preserve"> pastāv</w:t>
      </w:r>
      <w:r w:rsidR="00240703">
        <w:t>. Valstī</w:t>
      </w:r>
      <w:r w:rsidRPr="00CD6EB3">
        <w:t xml:space="preserve">s, kurās ēnu ekonomikas īpatsvars ir zems, zems ir arī nabadzības riska indekss un otrādi – valstīs ar augstu ēnu ekonomikas īpatsvaru, augsts ir arī nabadzības riskam pakļauto iedzīvotāju īpatsvars. </w:t>
      </w:r>
      <w:r>
        <w:t xml:space="preserve">Nereti Latvijas iedzīvotāji kā vēlamo situāciju min </w:t>
      </w:r>
      <w:r w:rsidRPr="00CD6EB3">
        <w:t>Skandināvu valst</w:t>
      </w:r>
      <w:r w:rsidR="00240703">
        <w:t>i</w:t>
      </w:r>
      <w:r w:rsidRPr="00CD6EB3">
        <w:t xml:space="preserve">s, </w:t>
      </w:r>
      <w:r>
        <w:t>kur kā ēnu ekonomikas, tā nabadzības riska indekss ir zemi, taču</w:t>
      </w:r>
      <w:r w:rsidR="002E167E">
        <w:t>,</w:t>
      </w:r>
      <w:r>
        <w:t xml:space="preserve"> kritiski </w:t>
      </w:r>
      <w:r w:rsidR="00240703">
        <w:t>vērtējot</w:t>
      </w:r>
      <w:r>
        <w:t>, Latvijas situācija un iespējas ir daudz tuvākas, piemēram</w:t>
      </w:r>
      <w:r w:rsidRPr="00CD6EB3">
        <w:t>, Grieķij</w:t>
      </w:r>
      <w:r>
        <w:t>a</w:t>
      </w:r>
      <w:r w:rsidR="00240703">
        <w:t>i</w:t>
      </w:r>
      <w:r>
        <w:t>, Rumānija</w:t>
      </w:r>
      <w:r w:rsidR="00240703">
        <w:t>i</w:t>
      </w:r>
      <w:r>
        <w:t xml:space="preserve"> vai Lietuvai. Vienlaikus būtiski ņemt vērā, ka ēnu ekonomika ir plašs jēdziens un tikai daļa no tās ir attiecināma uz nedeklarēto nodarbinātību vai „aplokšņu algām”. Tāpat svarīgi ņemt vērā, ka emigrantu pārvedumi ir kļuvuši par būtisku ienākumu avotu noteiktai daļai Latvijas mājsaimniecību.</w:t>
      </w:r>
    </w:p>
    <w:p w:rsidR="00502E3A" w:rsidRDefault="00502E3A" w:rsidP="00502E3A">
      <w:pPr>
        <w:ind w:firstLine="720"/>
        <w:jc w:val="both"/>
      </w:pPr>
      <w:r w:rsidRPr="00B6615A">
        <w:rPr>
          <w:b/>
        </w:rPr>
        <w:t>Minimālās darba algas</w:t>
      </w:r>
      <w:r>
        <w:t xml:space="preserve"> un ienākumu nevienlīdzības kontekstā ir svarīgi izprast ienākuma jēdzienu un tā risināšanai nepieciešamo vai atbilstošo politikas risinājumu. Zemāk 3.attēlā ir parādīts, kā un kas veido mājsaimniecību rīcībā esošos ienākumus. Tas ir būtiski, jo visi minētie faktori var būt atšķirīgi un tie rada ietekmi uz ienākumu nevienlīdzību.  </w:t>
      </w:r>
    </w:p>
    <w:p w:rsidR="00502E3A" w:rsidRDefault="00502E3A" w:rsidP="00502E3A">
      <w:pPr>
        <w:ind w:firstLine="720"/>
        <w:jc w:val="right"/>
      </w:pPr>
      <w:r>
        <w:t xml:space="preserve"> 3.attēls. </w:t>
      </w:r>
    </w:p>
    <w:p w:rsidR="006E70B2" w:rsidRDefault="001C7D5F" w:rsidP="00502E3A">
      <w:pPr>
        <w:ind w:firstLine="720"/>
        <w:jc w:val="right"/>
      </w:pPr>
      <w:r>
        <w:rPr>
          <w:noProof/>
          <w:lang w:eastAsia="lv-LV"/>
        </w:rPr>
        <mc:AlternateContent>
          <mc:Choice Requires="wpg">
            <w:drawing>
              <wp:anchor distT="0" distB="0" distL="114300" distR="114300" simplePos="0" relativeHeight="251661824" behindDoc="0" locked="0" layoutInCell="1" allowOverlap="1">
                <wp:simplePos x="0" y="0"/>
                <wp:positionH relativeFrom="column">
                  <wp:posOffset>-477520</wp:posOffset>
                </wp:positionH>
                <wp:positionV relativeFrom="paragraph">
                  <wp:posOffset>57785</wp:posOffset>
                </wp:positionV>
                <wp:extent cx="6563360" cy="3303905"/>
                <wp:effectExtent l="114300" t="0" r="27940" b="0"/>
                <wp:wrapNone/>
                <wp:docPr id="5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360" cy="3303905"/>
                          <a:chOff x="831" y="6162"/>
                          <a:chExt cx="10336" cy="5296"/>
                        </a:xfrm>
                      </wpg:grpSpPr>
                      <wps:wsp>
                        <wps:cNvPr id="59" name="Rounded Rectangle 3"/>
                        <wps:cNvSpPr>
                          <a:spLocks noChangeArrowheads="1"/>
                        </wps:cNvSpPr>
                        <wps:spPr bwMode="auto">
                          <a:xfrm>
                            <a:off x="1171" y="7518"/>
                            <a:ext cx="1732" cy="1075"/>
                          </a:xfrm>
                          <a:prstGeom prst="roundRect">
                            <a:avLst>
                              <a:gd name="adj" fmla="val 16667"/>
                            </a:avLst>
                          </a:prstGeom>
                          <a:solidFill>
                            <a:srgbClr val="FFFFFF"/>
                          </a:solidFill>
                          <a:ln w="25400" algn="ctr">
                            <a:solidFill>
                              <a:srgbClr val="002060"/>
                            </a:solidFill>
                            <a:round/>
                            <a:headEnd/>
                            <a:tailEnd/>
                          </a:ln>
                        </wps:spPr>
                        <wps:txb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Individuālie ienākumi no darba</w:t>
                              </w:r>
                            </w:p>
                          </w:txbxContent>
                        </wps:txbx>
                        <wps:bodyPr rot="0" vert="horz" wrap="square" lIns="91440" tIns="45720" rIns="91440" bIns="45720" anchor="ctr" anchorCtr="0" upright="1">
                          <a:noAutofit/>
                        </wps:bodyPr>
                      </wps:wsp>
                      <wps:wsp>
                        <wps:cNvPr id="60" name="Rounded Rectangle 4"/>
                        <wps:cNvSpPr>
                          <a:spLocks noChangeArrowheads="1"/>
                        </wps:cNvSpPr>
                        <wps:spPr bwMode="auto">
                          <a:xfrm>
                            <a:off x="3093" y="7518"/>
                            <a:ext cx="1858" cy="1075"/>
                          </a:xfrm>
                          <a:prstGeom prst="roundRect">
                            <a:avLst>
                              <a:gd name="adj" fmla="val 16667"/>
                            </a:avLst>
                          </a:prstGeom>
                          <a:solidFill>
                            <a:srgbClr val="FFFFFF"/>
                          </a:solidFill>
                          <a:ln w="25400" algn="ctr">
                            <a:solidFill>
                              <a:srgbClr val="002060"/>
                            </a:solidFill>
                            <a:round/>
                            <a:headEnd/>
                            <a:tailEnd/>
                          </a:ln>
                        </wps:spPr>
                        <wps:txb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Mājsaimniecības ienākumi no darba</w:t>
                              </w:r>
                            </w:p>
                          </w:txbxContent>
                        </wps:txbx>
                        <wps:bodyPr rot="0" vert="horz" wrap="square" lIns="91440" tIns="45720" rIns="91440" bIns="45720" anchor="ctr" anchorCtr="0" upright="1">
                          <a:noAutofit/>
                        </wps:bodyPr>
                      </wps:wsp>
                      <wps:wsp>
                        <wps:cNvPr id="61" name="Rounded Rectangle 5"/>
                        <wps:cNvSpPr>
                          <a:spLocks noChangeArrowheads="1"/>
                        </wps:cNvSpPr>
                        <wps:spPr bwMode="auto">
                          <a:xfrm>
                            <a:off x="5210" y="7518"/>
                            <a:ext cx="1827" cy="1075"/>
                          </a:xfrm>
                          <a:prstGeom prst="roundRect">
                            <a:avLst>
                              <a:gd name="adj" fmla="val 16667"/>
                            </a:avLst>
                          </a:prstGeom>
                          <a:solidFill>
                            <a:srgbClr val="FFFFFF"/>
                          </a:solidFill>
                          <a:ln w="25400" algn="ctr">
                            <a:solidFill>
                              <a:srgbClr val="002060"/>
                            </a:solidFill>
                            <a:round/>
                            <a:headEnd/>
                            <a:tailEnd/>
                          </a:ln>
                        </wps:spPr>
                        <wps:txb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Mājsaimniecības ienākumi no tirgus</w:t>
                              </w:r>
                            </w:p>
                          </w:txbxContent>
                        </wps:txbx>
                        <wps:bodyPr rot="0" vert="horz" wrap="square" lIns="91440" tIns="45720" rIns="91440" bIns="45720" anchor="ctr" anchorCtr="0" upright="1">
                          <a:noAutofit/>
                        </wps:bodyPr>
                      </wps:wsp>
                      <wps:wsp>
                        <wps:cNvPr id="62" name="Rounded Rectangle 6"/>
                        <wps:cNvSpPr>
                          <a:spLocks noChangeArrowheads="1"/>
                        </wps:cNvSpPr>
                        <wps:spPr bwMode="auto">
                          <a:xfrm>
                            <a:off x="7270" y="7518"/>
                            <a:ext cx="1889" cy="1075"/>
                          </a:xfrm>
                          <a:prstGeom prst="roundRect">
                            <a:avLst>
                              <a:gd name="adj" fmla="val 16667"/>
                            </a:avLst>
                          </a:prstGeom>
                          <a:solidFill>
                            <a:srgbClr val="FFFFFF"/>
                          </a:solidFill>
                          <a:ln w="25400" algn="ctr">
                            <a:solidFill>
                              <a:srgbClr val="002060"/>
                            </a:solidFill>
                            <a:round/>
                            <a:headEnd/>
                            <a:tailEnd/>
                          </a:ln>
                        </wps:spPr>
                        <wps:txb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Māj</w:t>
                              </w:r>
                              <w:r>
                                <w:rPr>
                                  <w:rFonts w:ascii="Cambria" w:hAnsi="Cambria"/>
                                  <w:b/>
                                  <w:bCs/>
                                  <w:color w:val="000000"/>
                                  <w:kern w:val="24"/>
                                  <w:sz w:val="18"/>
                                  <w:szCs w:val="36"/>
                                </w:rPr>
                                <w:t>s</w:t>
                              </w:r>
                              <w:r w:rsidRPr="009A5152">
                                <w:rPr>
                                  <w:rFonts w:ascii="Cambria" w:hAnsi="Cambria"/>
                                  <w:b/>
                                  <w:bCs/>
                                  <w:color w:val="000000"/>
                                  <w:kern w:val="24"/>
                                  <w:sz w:val="18"/>
                                  <w:szCs w:val="36"/>
                                </w:rPr>
                                <w:t>aimniecības rīcībā esošie ienākumi</w:t>
                              </w:r>
                            </w:p>
                          </w:txbxContent>
                        </wps:txbx>
                        <wps:bodyPr rot="0" vert="horz" wrap="square" lIns="91440" tIns="45720" rIns="91440" bIns="45720" anchor="ctr" anchorCtr="0" upright="1">
                          <a:noAutofit/>
                        </wps:bodyPr>
                      </wps:wsp>
                      <wps:wsp>
                        <wps:cNvPr id="63" name="Rounded Rectangular Callout 10"/>
                        <wps:cNvSpPr>
                          <a:spLocks noChangeArrowheads="1"/>
                        </wps:cNvSpPr>
                        <wps:spPr bwMode="auto">
                          <a:xfrm>
                            <a:off x="2732" y="6162"/>
                            <a:ext cx="1785" cy="1005"/>
                          </a:xfrm>
                          <a:prstGeom prst="wedgeRoundRectCallout">
                            <a:avLst>
                              <a:gd name="adj1" fmla="val -40310"/>
                              <a:gd name="adj2" fmla="val 107810"/>
                              <a:gd name="adj3" fmla="val 16667"/>
                            </a:avLst>
                          </a:prstGeom>
                          <a:solidFill>
                            <a:srgbClr val="B9CDE5"/>
                          </a:solidFill>
                          <a:ln w="25400" algn="ctr">
                            <a:solidFill>
                              <a:srgbClr val="95B3D7"/>
                            </a:solidFill>
                            <a:miter lim="800000"/>
                            <a:headEnd/>
                            <a:tailEnd/>
                          </a:ln>
                        </wps:spPr>
                        <wps:txbx>
                          <w:txbxContent>
                            <w:p w:rsidR="00401ED6" w:rsidRPr="009A5152" w:rsidRDefault="00401ED6" w:rsidP="00502E3A">
                              <w:pPr>
                                <w:pStyle w:val="NormalWeb"/>
                                <w:spacing w:before="0" w:beforeAutospacing="0" w:after="0" w:afterAutospacing="0"/>
                                <w:jc w:val="center"/>
                                <w:rPr>
                                  <w:sz w:val="6"/>
                                </w:rPr>
                              </w:pPr>
                              <w:r w:rsidRPr="009A5152">
                                <w:rPr>
                                  <w:rFonts w:ascii="Cambria" w:hAnsi="Cambria" w:cs="Helvetica"/>
                                  <w:i/>
                                  <w:iCs/>
                                  <w:color w:val="000000"/>
                                  <w:kern w:val="24"/>
                                  <w:sz w:val="18"/>
                                  <w:szCs w:val="36"/>
                                </w:rPr>
                                <w:t>Ģimenes veidošana un sastāvs</w:t>
                              </w:r>
                            </w:p>
                          </w:txbxContent>
                        </wps:txbx>
                        <wps:bodyPr rot="0" vert="horz" wrap="square" lIns="91440" tIns="45720" rIns="91440" bIns="45720" anchor="ctr" anchorCtr="0" upright="1">
                          <a:noAutofit/>
                        </wps:bodyPr>
                      </wps:wsp>
                      <wps:wsp>
                        <wps:cNvPr id="64" name="Rounded Rectangular Callout 12"/>
                        <wps:cNvSpPr>
                          <a:spLocks noChangeArrowheads="1"/>
                        </wps:cNvSpPr>
                        <wps:spPr bwMode="auto">
                          <a:xfrm>
                            <a:off x="4858" y="6162"/>
                            <a:ext cx="1874" cy="1005"/>
                          </a:xfrm>
                          <a:prstGeom prst="wedgeRoundRectCallout">
                            <a:avLst>
                              <a:gd name="adj1" fmla="val -41727"/>
                              <a:gd name="adj2" fmla="val 107810"/>
                              <a:gd name="adj3" fmla="val 16667"/>
                            </a:avLst>
                          </a:prstGeom>
                          <a:solidFill>
                            <a:srgbClr val="B9CDE5"/>
                          </a:solidFill>
                          <a:ln w="25400" algn="ctr">
                            <a:solidFill>
                              <a:srgbClr val="95B3D7"/>
                            </a:solidFill>
                            <a:miter lim="800000"/>
                            <a:headEnd/>
                            <a:tailEnd/>
                          </a:ln>
                        </wps:spPr>
                        <wps:txbx>
                          <w:txbxContent>
                            <w:p w:rsidR="00401ED6" w:rsidRPr="00BC25EA" w:rsidRDefault="00401ED6" w:rsidP="00502E3A">
                              <w:pPr>
                                <w:pStyle w:val="NormalWeb"/>
                                <w:spacing w:before="0" w:beforeAutospacing="0" w:after="0" w:afterAutospacing="0"/>
                                <w:jc w:val="center"/>
                                <w:rPr>
                                  <w:sz w:val="6"/>
                                </w:rPr>
                              </w:pPr>
                              <w:r w:rsidRPr="00BC25EA">
                                <w:rPr>
                                  <w:rFonts w:ascii="Cambria" w:hAnsi="Cambria" w:cs="Helvetica"/>
                                  <w:i/>
                                  <w:iCs/>
                                  <w:color w:val="000000"/>
                                  <w:kern w:val="24"/>
                                  <w:sz w:val="18"/>
                                  <w:szCs w:val="36"/>
                                </w:rPr>
                                <w:t>Pašnodarbinātība &amp; ieņēmumi no kapitāla</w:t>
                              </w:r>
                            </w:p>
                          </w:txbxContent>
                        </wps:txbx>
                        <wps:bodyPr rot="0" vert="horz" wrap="square" lIns="91440" tIns="45720" rIns="91440" bIns="45720" anchor="ctr" anchorCtr="0" upright="1">
                          <a:noAutofit/>
                        </wps:bodyPr>
                      </wps:wsp>
                      <wps:wsp>
                        <wps:cNvPr id="65" name="Rounded Rectangular Callout 13"/>
                        <wps:cNvSpPr>
                          <a:spLocks noChangeArrowheads="1"/>
                        </wps:cNvSpPr>
                        <wps:spPr bwMode="auto">
                          <a:xfrm>
                            <a:off x="7037" y="6162"/>
                            <a:ext cx="1771" cy="1002"/>
                          </a:xfrm>
                          <a:prstGeom prst="wedgeRoundRectCallout">
                            <a:avLst>
                              <a:gd name="adj1" fmla="val -46500"/>
                              <a:gd name="adj2" fmla="val 101597"/>
                              <a:gd name="adj3" fmla="val 16667"/>
                            </a:avLst>
                          </a:prstGeom>
                          <a:solidFill>
                            <a:srgbClr val="B9CDE5"/>
                          </a:solidFill>
                          <a:ln w="25400" algn="ctr">
                            <a:solidFill>
                              <a:srgbClr val="95B3D7"/>
                            </a:solidFill>
                            <a:miter lim="800000"/>
                            <a:headEnd/>
                            <a:tailEnd/>
                          </a:ln>
                        </wps:spPr>
                        <wps:txbx>
                          <w:txbxContent>
                            <w:p w:rsidR="00401ED6" w:rsidRPr="00BC25EA" w:rsidRDefault="00401ED6" w:rsidP="00502E3A">
                              <w:pPr>
                                <w:pStyle w:val="NormalWeb"/>
                                <w:spacing w:before="0" w:beforeAutospacing="0" w:after="0" w:afterAutospacing="0"/>
                                <w:jc w:val="center"/>
                                <w:rPr>
                                  <w:sz w:val="6"/>
                                </w:rPr>
                              </w:pPr>
                              <w:r w:rsidRPr="00BC25EA">
                                <w:rPr>
                                  <w:rFonts w:ascii="Cambria" w:hAnsi="Cambria" w:cs="Helvetica"/>
                                  <w:i/>
                                  <w:iCs/>
                                  <w:color w:val="000000"/>
                                  <w:kern w:val="24"/>
                                  <w:sz w:val="18"/>
                                  <w:szCs w:val="36"/>
                                </w:rPr>
                                <w:t>Nodokļi &amp;</w:t>
                              </w:r>
                              <w:r w:rsidRPr="00BC25EA">
                                <w:rPr>
                                  <w:rFonts w:ascii="Cambria" w:hAnsi="Cambria" w:cs="Helvetica"/>
                                  <w:i/>
                                  <w:iCs/>
                                  <w:color w:val="000000"/>
                                  <w:kern w:val="24"/>
                                  <w:sz w:val="18"/>
                                  <w:szCs w:val="36"/>
                                </w:rPr>
                                <w:br/>
                                <w:t xml:space="preserve">skaidras naudas darījumi </w:t>
                              </w:r>
                            </w:p>
                          </w:txbxContent>
                        </wps:txbx>
                        <wps:bodyPr rot="0" vert="horz" wrap="square" lIns="91440" tIns="45720" rIns="91440" bIns="45720" anchor="ctr" anchorCtr="0" upright="1">
                          <a:noAutofit/>
                        </wps:bodyPr>
                      </wps:wsp>
                      <wps:wsp>
                        <wps:cNvPr id="66" name="Rounded Rectangular Callout 14"/>
                        <wps:cNvSpPr>
                          <a:spLocks noChangeArrowheads="1"/>
                        </wps:cNvSpPr>
                        <wps:spPr bwMode="auto">
                          <a:xfrm>
                            <a:off x="9159" y="6162"/>
                            <a:ext cx="1809" cy="1002"/>
                          </a:xfrm>
                          <a:prstGeom prst="wedgeRoundRectCallout">
                            <a:avLst>
                              <a:gd name="adj1" fmla="val -46685"/>
                              <a:gd name="adj2" fmla="val 114569"/>
                              <a:gd name="adj3" fmla="val 16667"/>
                            </a:avLst>
                          </a:prstGeom>
                          <a:solidFill>
                            <a:srgbClr val="B9CDE5"/>
                          </a:solidFill>
                          <a:ln w="25400" algn="ctr">
                            <a:solidFill>
                              <a:srgbClr val="95B3D7"/>
                            </a:solidFill>
                            <a:miter lim="800000"/>
                            <a:headEnd/>
                            <a:tailEnd/>
                          </a:ln>
                        </wps:spPr>
                        <wps:txbx>
                          <w:txbxContent>
                            <w:p w:rsidR="00401ED6" w:rsidRPr="009A5152" w:rsidRDefault="00401ED6" w:rsidP="00502E3A">
                              <w:pPr>
                                <w:pStyle w:val="NormalWeb"/>
                                <w:spacing w:before="0" w:beforeAutospacing="0" w:after="0" w:afterAutospacing="0"/>
                                <w:jc w:val="center"/>
                                <w:rPr>
                                  <w:sz w:val="6"/>
                                </w:rPr>
                              </w:pPr>
                              <w:r w:rsidRPr="009A5152">
                                <w:rPr>
                                  <w:rFonts w:ascii="Cambria" w:hAnsi="Cambria" w:cs="Helvetica"/>
                                  <w:i/>
                                  <w:iCs/>
                                  <w:color w:val="000000"/>
                                  <w:kern w:val="24"/>
                                  <w:sz w:val="18"/>
                                  <w:szCs w:val="36"/>
                                </w:rPr>
                                <w:t>Pub</w:t>
                              </w:r>
                              <w:r>
                                <w:rPr>
                                  <w:rFonts w:ascii="Cambria" w:hAnsi="Cambria" w:cs="Helvetica"/>
                                  <w:i/>
                                  <w:iCs/>
                                  <w:color w:val="000000"/>
                                  <w:kern w:val="24"/>
                                  <w:sz w:val="18"/>
                                  <w:szCs w:val="36"/>
                                </w:rPr>
                                <w:t xml:space="preserve">lisko </w:t>
                              </w:r>
                              <w:r w:rsidRPr="009A5152">
                                <w:rPr>
                                  <w:rFonts w:ascii="Cambria" w:hAnsi="Cambria" w:cs="Helvetica"/>
                                  <w:i/>
                                  <w:iCs/>
                                  <w:color w:val="000000"/>
                                  <w:kern w:val="24"/>
                                  <w:sz w:val="18"/>
                                  <w:szCs w:val="36"/>
                                </w:rPr>
                                <w:t>preču individuāls patēriņš</w:t>
                              </w:r>
                            </w:p>
                          </w:txbxContent>
                        </wps:txbx>
                        <wps:bodyPr rot="0" vert="horz" wrap="square" lIns="91440" tIns="45720" rIns="91440" bIns="45720" anchor="ctr" anchorCtr="0" upright="1">
                          <a:noAutofit/>
                        </wps:bodyPr>
                      </wps:wsp>
                      <wps:wsp>
                        <wps:cNvPr id="67" name="Rectangle 18"/>
                        <wps:cNvSpPr>
                          <a:spLocks noChangeArrowheads="1"/>
                        </wps:cNvSpPr>
                        <wps:spPr bwMode="auto">
                          <a:xfrm>
                            <a:off x="1235" y="9734"/>
                            <a:ext cx="1551" cy="1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D6" w:rsidRPr="00BC25EA" w:rsidRDefault="00401ED6" w:rsidP="00502E3A">
                              <w:pPr>
                                <w:pStyle w:val="NormalWeb"/>
                                <w:spacing w:before="0" w:beforeAutospacing="0" w:after="0" w:afterAutospacing="0"/>
                                <w:textAlignment w:val="baseline"/>
                                <w:rPr>
                                  <w:sz w:val="18"/>
                                  <w:szCs w:val="20"/>
                                </w:rPr>
                              </w:pPr>
                              <w:r w:rsidRPr="00BC25EA">
                                <w:rPr>
                                  <w:rFonts w:ascii="Cambria" w:hAnsi="Cambria" w:cs="Arial"/>
                                  <w:color w:val="000000"/>
                                  <w:kern w:val="24"/>
                                  <w:sz w:val="18"/>
                                  <w:szCs w:val="20"/>
                                </w:rPr>
                                <w:t>Izglītības &amp;</w:t>
                              </w:r>
                              <w:r w:rsidRPr="00BC25EA">
                                <w:rPr>
                                  <w:rFonts w:ascii="Cambria" w:hAnsi="Cambria" w:cs="Arial"/>
                                  <w:color w:val="000000"/>
                                  <w:kern w:val="24"/>
                                  <w:sz w:val="18"/>
                                  <w:szCs w:val="20"/>
                                </w:rPr>
                                <w:br/>
                                <w:t>darba tirgus politikas,</w:t>
                              </w:r>
                              <w:r w:rsidRPr="00BC25EA">
                                <w:rPr>
                                  <w:rFonts w:ascii="Cambria" w:hAnsi="Cambria" w:cs="Arial"/>
                                  <w:color w:val="000000"/>
                                  <w:kern w:val="24"/>
                                  <w:sz w:val="18"/>
                                  <w:szCs w:val="20"/>
                                </w:rPr>
                                <w:br/>
                                <w:t xml:space="preserve">migrācija &amp; </w:t>
                              </w:r>
                              <w:r w:rsidRPr="00BC25EA">
                                <w:rPr>
                                  <w:rFonts w:ascii="Cambria" w:hAnsi="Cambria" w:cs="Arial"/>
                                  <w:color w:val="000000"/>
                                  <w:kern w:val="24"/>
                                  <w:sz w:val="18"/>
                                  <w:szCs w:val="20"/>
                                </w:rPr>
                                <w:br/>
                                <w:t>dzimumu līdztiesības politikas u.c.</w:t>
                              </w:r>
                            </w:p>
                          </w:txbxContent>
                        </wps:txbx>
                        <wps:bodyPr rot="0" vert="horz" wrap="square" lIns="91440" tIns="45720" rIns="91440" bIns="45720" anchor="t" anchorCtr="0" upright="1">
                          <a:noAutofit/>
                        </wps:bodyPr>
                      </wps:wsp>
                      <wps:wsp>
                        <wps:cNvPr id="68" name="TextBox 30"/>
                        <wps:cNvSpPr txBox="1">
                          <a:spLocks noChangeArrowheads="1"/>
                        </wps:cNvSpPr>
                        <wps:spPr bwMode="auto">
                          <a:xfrm>
                            <a:off x="7587" y="9865"/>
                            <a:ext cx="1350"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Skaidras naudas darījumi un nodokļu politikas</w:t>
                              </w:r>
                            </w:p>
                          </w:txbxContent>
                        </wps:txbx>
                        <wps:bodyPr rot="0" vert="horz" wrap="square" lIns="91440" tIns="45720" rIns="91440" bIns="45720" anchor="t" anchorCtr="0" upright="1">
                          <a:noAutofit/>
                        </wps:bodyPr>
                      </wps:wsp>
                      <wps:wsp>
                        <wps:cNvPr id="69" name="TextBox 30"/>
                        <wps:cNvSpPr txBox="1">
                          <a:spLocks noChangeArrowheads="1"/>
                        </wps:cNvSpPr>
                        <wps:spPr bwMode="auto">
                          <a:xfrm>
                            <a:off x="5507" y="9833"/>
                            <a:ext cx="1688" cy="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 xml:space="preserve">Nodokļu politikas (labklājība, ieņēmumi no kapitāla, ienākumi no </w:t>
                              </w:r>
                              <w:proofErr w:type="spellStart"/>
                              <w:r w:rsidRPr="00BC25EA">
                                <w:rPr>
                                  <w:rFonts w:ascii="Cambria" w:hAnsi="Cambria" w:cs="Arial"/>
                                  <w:color w:val="000000"/>
                                  <w:kern w:val="24"/>
                                  <w:sz w:val="18"/>
                                  <w:szCs w:val="36"/>
                                </w:rPr>
                                <w:t>paš</w:t>
                              </w:r>
                              <w:r>
                                <w:rPr>
                                  <w:rFonts w:ascii="Cambria" w:hAnsi="Cambria" w:cs="Arial"/>
                                  <w:color w:val="000000"/>
                                  <w:kern w:val="24"/>
                                  <w:sz w:val="18"/>
                                  <w:szCs w:val="36"/>
                                </w:rPr>
                                <w:t>-</w:t>
                              </w:r>
                              <w:r w:rsidRPr="00BC25EA">
                                <w:rPr>
                                  <w:rFonts w:ascii="Cambria" w:hAnsi="Cambria" w:cs="Arial"/>
                                  <w:color w:val="000000"/>
                                  <w:kern w:val="24"/>
                                  <w:sz w:val="18"/>
                                  <w:szCs w:val="36"/>
                                </w:rPr>
                                <w:t>nodarbinātības)</w:t>
                              </w:r>
                              <w:proofErr w:type="spellEnd"/>
                            </w:p>
                          </w:txbxContent>
                        </wps:txbx>
                        <wps:bodyPr rot="0" vert="horz" wrap="square" lIns="91440" tIns="45720" rIns="91440" bIns="45720" anchor="t" anchorCtr="0" upright="1">
                          <a:noAutofit/>
                        </wps:bodyPr>
                      </wps:wsp>
                      <wps:wsp>
                        <wps:cNvPr id="70" name="TextBox 30"/>
                        <wps:cNvSpPr txBox="1">
                          <a:spLocks noChangeArrowheads="1"/>
                        </wps:cNvSpPr>
                        <wps:spPr bwMode="auto">
                          <a:xfrm>
                            <a:off x="3387" y="9865"/>
                            <a:ext cx="1564"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 xml:space="preserve">Uz ģimeni orientētās politikas (bērnu un vecvecāku aprūpe) u.c. </w:t>
                              </w:r>
                            </w:p>
                          </w:txbxContent>
                        </wps:txbx>
                        <wps:bodyPr rot="0" vert="horz" wrap="square" lIns="91440" tIns="45720" rIns="91440" bIns="45720" anchor="t" anchorCtr="0" upright="1">
                          <a:noAutofit/>
                        </wps:bodyPr>
                      </wps:wsp>
                      <wps:wsp>
                        <wps:cNvPr id="71" name="Curved Up Arrow 34"/>
                        <wps:cNvSpPr>
                          <a:spLocks noChangeArrowheads="1"/>
                        </wps:cNvSpPr>
                        <wps:spPr bwMode="auto">
                          <a:xfrm>
                            <a:off x="2388" y="8728"/>
                            <a:ext cx="1307" cy="545"/>
                          </a:xfrm>
                          <a:prstGeom prst="curvedUpArrow">
                            <a:avLst>
                              <a:gd name="adj1" fmla="val 25369"/>
                              <a:gd name="adj2" fmla="val 50750"/>
                              <a:gd name="adj3" fmla="val 29736"/>
                            </a:avLst>
                          </a:prstGeom>
                          <a:solidFill>
                            <a:srgbClr val="B9CDE5"/>
                          </a:solidFill>
                          <a:ln w="25400" algn="ctr">
                            <a:solidFill>
                              <a:srgbClr val="95B3D7"/>
                            </a:solidFill>
                            <a:miter lim="800000"/>
                            <a:headEnd/>
                            <a:tailEnd/>
                          </a:ln>
                        </wps:spPr>
                        <wps:bodyPr rot="0" vert="horz" wrap="square" lIns="91440" tIns="45720" rIns="91440" bIns="45720" anchor="ctr" anchorCtr="0" upright="1">
                          <a:noAutofit/>
                        </wps:bodyPr>
                      </wps:wsp>
                      <wpg:grpSp>
                        <wpg:cNvPr id="72" name="Group 39"/>
                        <wpg:cNvGrpSpPr>
                          <a:grpSpLocks/>
                        </wpg:cNvGrpSpPr>
                        <wpg:grpSpPr bwMode="auto">
                          <a:xfrm>
                            <a:off x="3016" y="9379"/>
                            <a:ext cx="340" cy="807"/>
                            <a:chOff x="1470697" y="2928025"/>
                            <a:chExt cx="215900" cy="719138"/>
                          </a:xfrm>
                        </wpg:grpSpPr>
                        <wps:wsp>
                          <wps:cNvPr id="73" name="Straight Arrow Connector 18"/>
                          <wps:cNvCnPr>
                            <a:cxnSpLocks noChangeShapeType="1"/>
                          </wps:cNvCnPr>
                          <wps:spPr bwMode="auto">
                            <a:xfrm flipV="1">
                              <a:off x="1485211" y="2928025"/>
                              <a:ext cx="0" cy="719138"/>
                            </a:xfrm>
                            <a:prstGeom prst="straightConnector1">
                              <a:avLst/>
                            </a:prstGeom>
                            <a:noFill/>
                            <a:ln w="38100" algn="ctr">
                              <a:solidFill>
                                <a:srgbClr val="376092"/>
                              </a:solidFill>
                              <a:round/>
                              <a:headEnd/>
                              <a:tailEnd type="arrow" w="med" len="med"/>
                            </a:ln>
                            <a:extLst>
                              <a:ext uri="{909E8E84-426E-40DD-AFC4-6F175D3DCCD1}">
                                <a14:hiddenFill xmlns:a14="http://schemas.microsoft.com/office/drawing/2010/main">
                                  <a:noFill/>
                                </a14:hiddenFill>
                              </a:ext>
                            </a:extLst>
                          </wps:spPr>
                          <wps:bodyPr/>
                        </wps:wsp>
                        <wps:wsp>
                          <wps:cNvPr id="74" name="Straight Connector 19"/>
                          <wps:cNvCnPr>
                            <a:cxnSpLocks noChangeShapeType="1"/>
                          </wps:cNvCnPr>
                          <wps:spPr bwMode="auto">
                            <a:xfrm>
                              <a:off x="1470697" y="3647163"/>
                              <a:ext cx="215900" cy="0"/>
                            </a:xfrm>
                            <a:prstGeom prst="line">
                              <a:avLst/>
                            </a:prstGeom>
                            <a:noFill/>
                            <a:ln w="38100" algn="ctr">
                              <a:solidFill>
                                <a:srgbClr val="376092"/>
                              </a:solidFill>
                              <a:round/>
                              <a:headEnd/>
                              <a:tailEnd/>
                            </a:ln>
                            <a:extLst>
                              <a:ext uri="{909E8E84-426E-40DD-AFC4-6F175D3DCCD1}">
                                <a14:hiddenFill xmlns:a14="http://schemas.microsoft.com/office/drawing/2010/main">
                                  <a:noFill/>
                                </a14:hiddenFill>
                              </a:ext>
                            </a:extLst>
                          </wps:spPr>
                          <wps:bodyPr/>
                        </wps:wsp>
                      </wpg:grpSp>
                      <wps:wsp>
                        <wps:cNvPr id="75" name="Rounded Rectangle 7"/>
                        <wps:cNvSpPr>
                          <a:spLocks noChangeArrowheads="1"/>
                        </wps:cNvSpPr>
                        <wps:spPr bwMode="auto">
                          <a:xfrm>
                            <a:off x="9374" y="7518"/>
                            <a:ext cx="1793" cy="1075"/>
                          </a:xfrm>
                          <a:prstGeom prst="roundRect">
                            <a:avLst>
                              <a:gd name="adj" fmla="val 16667"/>
                            </a:avLst>
                          </a:prstGeom>
                          <a:solidFill>
                            <a:srgbClr val="FFFFFF"/>
                          </a:solidFill>
                          <a:ln w="25400" algn="ctr">
                            <a:solidFill>
                              <a:srgbClr val="002060"/>
                            </a:solidFill>
                            <a:round/>
                            <a:headEnd/>
                            <a:tailEnd/>
                          </a:ln>
                        </wps:spPr>
                        <wps:txb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 xml:space="preserve">Mājsaimniecību </w:t>
                              </w:r>
                              <w:r>
                                <w:rPr>
                                  <w:rFonts w:ascii="Cambria" w:hAnsi="Cambria"/>
                                  <w:b/>
                                  <w:bCs/>
                                  <w:color w:val="000000"/>
                                  <w:kern w:val="24"/>
                                  <w:sz w:val="18"/>
                                  <w:szCs w:val="36"/>
                                </w:rPr>
                                <w:t>koriģētie</w:t>
                              </w:r>
                              <w:r w:rsidRPr="009A5152">
                                <w:rPr>
                                  <w:rFonts w:ascii="Cambria" w:hAnsi="Cambria"/>
                                  <w:b/>
                                  <w:bCs/>
                                  <w:color w:val="000000"/>
                                  <w:kern w:val="24"/>
                                  <w:sz w:val="18"/>
                                  <w:szCs w:val="36"/>
                                </w:rPr>
                                <w:t xml:space="preserve"> rīcībā esošie ienākumi</w:t>
                              </w:r>
                            </w:p>
                          </w:txbxContent>
                        </wps:txbx>
                        <wps:bodyPr rot="0" vert="horz" wrap="square" lIns="91440" tIns="45720" rIns="91440" bIns="45720" anchor="ctr" anchorCtr="0" upright="1">
                          <a:noAutofit/>
                        </wps:bodyPr>
                      </wps:wsp>
                      <wps:wsp>
                        <wps:cNvPr id="76" name="TextBox 31"/>
                        <wps:cNvSpPr txBox="1">
                          <a:spLocks noChangeArrowheads="1"/>
                        </wps:cNvSpPr>
                        <wps:spPr bwMode="auto">
                          <a:xfrm>
                            <a:off x="9716" y="9833"/>
                            <a:ext cx="1451"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Izglītības &amp;</w:t>
                              </w:r>
                              <w:r w:rsidRPr="00BC25EA">
                                <w:rPr>
                                  <w:rFonts w:ascii="Cambria" w:hAnsi="Cambria" w:cs="Arial"/>
                                  <w:color w:val="000000"/>
                                  <w:kern w:val="24"/>
                                  <w:sz w:val="18"/>
                                  <w:szCs w:val="36"/>
                                </w:rPr>
                                <w:br/>
                                <w:t>veselības</w:t>
                              </w:r>
                              <w:r w:rsidRPr="00BC25EA">
                                <w:rPr>
                                  <w:rFonts w:ascii="Cambria" w:hAnsi="Cambria" w:cs="Arial"/>
                                  <w:color w:val="000000"/>
                                  <w:kern w:val="24"/>
                                  <w:sz w:val="18"/>
                                  <w:szCs w:val="36"/>
                                </w:rPr>
                                <w:br/>
                                <w:t>(pieejamība &amp; pārklājums) politikas</w:t>
                              </w:r>
                            </w:p>
                          </w:txbxContent>
                        </wps:txbx>
                        <wps:bodyPr rot="0" vert="horz" wrap="square" lIns="91440" tIns="45720" rIns="91440" bIns="45720" anchor="t" anchorCtr="0" upright="1">
                          <a:noAutofit/>
                        </wps:bodyPr>
                      </wps:wsp>
                      <wps:wsp>
                        <wps:cNvPr id="77" name="Curved Up Arrow 34"/>
                        <wps:cNvSpPr>
                          <a:spLocks noChangeArrowheads="1"/>
                        </wps:cNvSpPr>
                        <wps:spPr bwMode="auto">
                          <a:xfrm>
                            <a:off x="4517" y="8728"/>
                            <a:ext cx="1307" cy="545"/>
                          </a:xfrm>
                          <a:prstGeom prst="curvedUpArrow">
                            <a:avLst>
                              <a:gd name="adj1" fmla="val 25369"/>
                              <a:gd name="adj2" fmla="val 50750"/>
                              <a:gd name="adj3" fmla="val 29736"/>
                            </a:avLst>
                          </a:prstGeom>
                          <a:solidFill>
                            <a:srgbClr val="B9CDE5"/>
                          </a:solidFill>
                          <a:ln w="25400" algn="ctr">
                            <a:solidFill>
                              <a:srgbClr val="95B3D7"/>
                            </a:solidFill>
                            <a:miter lim="800000"/>
                            <a:headEnd/>
                            <a:tailEnd/>
                          </a:ln>
                        </wps:spPr>
                        <wps:bodyPr rot="0" vert="horz" wrap="square" lIns="91440" tIns="45720" rIns="91440" bIns="45720" anchor="ctr" anchorCtr="0" upright="1">
                          <a:noAutofit/>
                        </wps:bodyPr>
                      </wps:wsp>
                      <wps:wsp>
                        <wps:cNvPr id="78" name="Curved Up Arrow 34"/>
                        <wps:cNvSpPr>
                          <a:spLocks noChangeArrowheads="1"/>
                        </wps:cNvSpPr>
                        <wps:spPr bwMode="auto">
                          <a:xfrm>
                            <a:off x="6630" y="8728"/>
                            <a:ext cx="1307" cy="545"/>
                          </a:xfrm>
                          <a:prstGeom prst="curvedUpArrow">
                            <a:avLst>
                              <a:gd name="adj1" fmla="val 25369"/>
                              <a:gd name="adj2" fmla="val 50750"/>
                              <a:gd name="adj3" fmla="val 29736"/>
                            </a:avLst>
                          </a:prstGeom>
                          <a:solidFill>
                            <a:srgbClr val="B9CDE5"/>
                          </a:solidFill>
                          <a:ln w="25400" algn="ctr">
                            <a:solidFill>
                              <a:srgbClr val="95B3D7"/>
                            </a:solidFill>
                            <a:miter lim="800000"/>
                            <a:headEnd/>
                            <a:tailEnd/>
                          </a:ln>
                        </wps:spPr>
                        <wps:bodyPr rot="0" vert="horz" wrap="square" lIns="91440" tIns="45720" rIns="91440" bIns="45720" anchor="ctr" anchorCtr="0" upright="1">
                          <a:noAutofit/>
                        </wps:bodyPr>
                      </wps:wsp>
                      <wps:wsp>
                        <wps:cNvPr id="79" name="Curved Up Arrow 34"/>
                        <wps:cNvSpPr>
                          <a:spLocks noChangeArrowheads="1"/>
                        </wps:cNvSpPr>
                        <wps:spPr bwMode="auto">
                          <a:xfrm>
                            <a:off x="8725" y="8728"/>
                            <a:ext cx="1307" cy="545"/>
                          </a:xfrm>
                          <a:prstGeom prst="curvedUpArrow">
                            <a:avLst>
                              <a:gd name="adj1" fmla="val 25369"/>
                              <a:gd name="adj2" fmla="val 50750"/>
                              <a:gd name="adj3" fmla="val 29736"/>
                            </a:avLst>
                          </a:prstGeom>
                          <a:solidFill>
                            <a:srgbClr val="B9CDE5"/>
                          </a:solidFill>
                          <a:ln w="25400" algn="ctr">
                            <a:solidFill>
                              <a:srgbClr val="95B3D7"/>
                            </a:solidFill>
                            <a:miter lim="800000"/>
                            <a:headEnd/>
                            <a:tailEnd/>
                          </a:ln>
                        </wps:spPr>
                        <wps:bodyPr rot="0" vert="horz" wrap="square" lIns="91440" tIns="45720" rIns="91440" bIns="45720" anchor="ctr" anchorCtr="0" upright="1">
                          <a:noAutofit/>
                        </wps:bodyPr>
                      </wps:wsp>
                      <wpg:grpSp>
                        <wpg:cNvPr id="80" name="Group 39"/>
                        <wpg:cNvGrpSpPr>
                          <a:grpSpLocks/>
                        </wpg:cNvGrpSpPr>
                        <wpg:grpSpPr bwMode="auto">
                          <a:xfrm>
                            <a:off x="5110" y="9379"/>
                            <a:ext cx="340" cy="807"/>
                            <a:chOff x="1470697" y="2928025"/>
                            <a:chExt cx="215900" cy="719138"/>
                          </a:xfrm>
                        </wpg:grpSpPr>
                        <wps:wsp>
                          <wps:cNvPr id="81" name="Straight Arrow Connector 18"/>
                          <wps:cNvCnPr>
                            <a:cxnSpLocks noChangeShapeType="1"/>
                          </wps:cNvCnPr>
                          <wps:spPr bwMode="auto">
                            <a:xfrm flipV="1">
                              <a:off x="1485211" y="2928025"/>
                              <a:ext cx="0" cy="719138"/>
                            </a:xfrm>
                            <a:prstGeom prst="straightConnector1">
                              <a:avLst/>
                            </a:prstGeom>
                            <a:noFill/>
                            <a:ln w="38100" algn="ctr">
                              <a:solidFill>
                                <a:srgbClr val="376092"/>
                              </a:solidFill>
                              <a:round/>
                              <a:headEnd/>
                              <a:tailEnd type="arrow" w="med" len="med"/>
                            </a:ln>
                            <a:extLst>
                              <a:ext uri="{909E8E84-426E-40DD-AFC4-6F175D3DCCD1}">
                                <a14:hiddenFill xmlns:a14="http://schemas.microsoft.com/office/drawing/2010/main">
                                  <a:noFill/>
                                </a14:hiddenFill>
                              </a:ext>
                            </a:extLst>
                          </wps:spPr>
                          <wps:bodyPr/>
                        </wps:wsp>
                        <wps:wsp>
                          <wps:cNvPr id="82" name="Straight Connector 19"/>
                          <wps:cNvCnPr>
                            <a:cxnSpLocks noChangeShapeType="1"/>
                          </wps:cNvCnPr>
                          <wps:spPr bwMode="auto">
                            <a:xfrm>
                              <a:off x="1470697" y="3647163"/>
                              <a:ext cx="215900" cy="0"/>
                            </a:xfrm>
                            <a:prstGeom prst="line">
                              <a:avLst/>
                            </a:prstGeom>
                            <a:noFill/>
                            <a:ln w="38100" algn="ctr">
                              <a:solidFill>
                                <a:srgbClr val="376092"/>
                              </a:solidFill>
                              <a:round/>
                              <a:headEnd/>
                              <a:tailEnd/>
                            </a:ln>
                            <a:extLst>
                              <a:ext uri="{909E8E84-426E-40DD-AFC4-6F175D3DCCD1}">
                                <a14:hiddenFill xmlns:a14="http://schemas.microsoft.com/office/drawing/2010/main">
                                  <a:noFill/>
                                </a14:hiddenFill>
                              </a:ext>
                            </a:extLst>
                          </wps:spPr>
                          <wps:bodyPr/>
                        </wps:wsp>
                      </wpg:grpSp>
                      <wpg:grpSp>
                        <wpg:cNvPr id="83" name="Group 39"/>
                        <wpg:cNvGrpSpPr>
                          <a:grpSpLocks/>
                        </wpg:cNvGrpSpPr>
                        <wpg:grpSpPr bwMode="auto">
                          <a:xfrm>
                            <a:off x="7270" y="9379"/>
                            <a:ext cx="340" cy="807"/>
                            <a:chOff x="1470697" y="2928025"/>
                            <a:chExt cx="215900" cy="719138"/>
                          </a:xfrm>
                        </wpg:grpSpPr>
                        <wps:wsp>
                          <wps:cNvPr id="84" name="Straight Arrow Connector 18"/>
                          <wps:cNvCnPr>
                            <a:cxnSpLocks noChangeShapeType="1"/>
                          </wps:cNvCnPr>
                          <wps:spPr bwMode="auto">
                            <a:xfrm flipV="1">
                              <a:off x="1485211" y="2928025"/>
                              <a:ext cx="0" cy="719138"/>
                            </a:xfrm>
                            <a:prstGeom prst="straightConnector1">
                              <a:avLst/>
                            </a:prstGeom>
                            <a:noFill/>
                            <a:ln w="38100" algn="ctr">
                              <a:solidFill>
                                <a:srgbClr val="376092"/>
                              </a:solidFill>
                              <a:round/>
                              <a:headEnd/>
                              <a:tailEnd type="arrow" w="med" len="med"/>
                            </a:ln>
                            <a:extLst>
                              <a:ext uri="{909E8E84-426E-40DD-AFC4-6F175D3DCCD1}">
                                <a14:hiddenFill xmlns:a14="http://schemas.microsoft.com/office/drawing/2010/main">
                                  <a:noFill/>
                                </a14:hiddenFill>
                              </a:ext>
                            </a:extLst>
                          </wps:spPr>
                          <wps:bodyPr/>
                        </wps:wsp>
                        <wps:wsp>
                          <wps:cNvPr id="85" name="Straight Connector 19"/>
                          <wps:cNvCnPr>
                            <a:cxnSpLocks noChangeShapeType="1"/>
                          </wps:cNvCnPr>
                          <wps:spPr bwMode="auto">
                            <a:xfrm>
                              <a:off x="1470697" y="3647163"/>
                              <a:ext cx="215900" cy="0"/>
                            </a:xfrm>
                            <a:prstGeom prst="line">
                              <a:avLst/>
                            </a:prstGeom>
                            <a:noFill/>
                            <a:ln w="38100" algn="ctr">
                              <a:solidFill>
                                <a:srgbClr val="376092"/>
                              </a:solidFill>
                              <a:round/>
                              <a:headEnd/>
                              <a:tailEnd/>
                            </a:ln>
                            <a:extLst>
                              <a:ext uri="{909E8E84-426E-40DD-AFC4-6F175D3DCCD1}">
                                <a14:hiddenFill xmlns:a14="http://schemas.microsoft.com/office/drawing/2010/main">
                                  <a:noFill/>
                                </a14:hiddenFill>
                              </a:ext>
                            </a:extLst>
                          </wps:spPr>
                          <wps:bodyPr/>
                        </wps:wsp>
                      </wpg:grpSp>
                      <wpg:grpSp>
                        <wpg:cNvPr id="86" name="Group 39"/>
                        <wpg:cNvGrpSpPr>
                          <a:grpSpLocks/>
                        </wpg:cNvGrpSpPr>
                        <wpg:grpSpPr bwMode="auto">
                          <a:xfrm>
                            <a:off x="9313" y="9379"/>
                            <a:ext cx="340" cy="807"/>
                            <a:chOff x="1470697" y="2928025"/>
                            <a:chExt cx="215900" cy="719138"/>
                          </a:xfrm>
                        </wpg:grpSpPr>
                        <wps:wsp>
                          <wps:cNvPr id="87" name="Straight Arrow Connector 18"/>
                          <wps:cNvCnPr>
                            <a:cxnSpLocks noChangeShapeType="1"/>
                          </wps:cNvCnPr>
                          <wps:spPr bwMode="auto">
                            <a:xfrm flipV="1">
                              <a:off x="1485211" y="2928025"/>
                              <a:ext cx="0" cy="719138"/>
                            </a:xfrm>
                            <a:prstGeom prst="straightConnector1">
                              <a:avLst/>
                            </a:prstGeom>
                            <a:noFill/>
                            <a:ln w="38100" algn="ctr">
                              <a:solidFill>
                                <a:srgbClr val="376092"/>
                              </a:solidFill>
                              <a:round/>
                              <a:headEnd/>
                              <a:tailEnd type="arrow" w="med" len="med"/>
                            </a:ln>
                            <a:extLst>
                              <a:ext uri="{909E8E84-426E-40DD-AFC4-6F175D3DCCD1}">
                                <a14:hiddenFill xmlns:a14="http://schemas.microsoft.com/office/drawing/2010/main">
                                  <a:noFill/>
                                </a14:hiddenFill>
                              </a:ext>
                            </a:extLst>
                          </wps:spPr>
                          <wps:bodyPr/>
                        </wps:wsp>
                        <wps:wsp>
                          <wps:cNvPr id="88" name="Straight Connector 19"/>
                          <wps:cNvCnPr>
                            <a:cxnSpLocks noChangeShapeType="1"/>
                          </wps:cNvCnPr>
                          <wps:spPr bwMode="auto">
                            <a:xfrm>
                              <a:off x="1470697" y="3647163"/>
                              <a:ext cx="215900" cy="0"/>
                            </a:xfrm>
                            <a:prstGeom prst="line">
                              <a:avLst/>
                            </a:prstGeom>
                            <a:noFill/>
                            <a:ln w="38100" algn="ctr">
                              <a:solidFill>
                                <a:srgbClr val="376092"/>
                              </a:solidFill>
                              <a:round/>
                              <a:headEnd/>
                              <a:tailEnd/>
                            </a:ln>
                            <a:extLst>
                              <a:ext uri="{909E8E84-426E-40DD-AFC4-6F175D3DCCD1}">
                                <a14:hiddenFill xmlns:a14="http://schemas.microsoft.com/office/drawing/2010/main">
                                  <a:noFill/>
                                </a14:hiddenFill>
                              </a:ext>
                            </a:extLst>
                          </wps:spPr>
                          <wps:bodyPr/>
                        </wps:wsp>
                      </wpg:grpSp>
                      <wpg:grpSp>
                        <wpg:cNvPr id="89" name="Group 39"/>
                        <wpg:cNvGrpSpPr>
                          <a:grpSpLocks/>
                        </wpg:cNvGrpSpPr>
                        <wpg:grpSpPr bwMode="auto">
                          <a:xfrm>
                            <a:off x="831" y="8172"/>
                            <a:ext cx="340" cy="1944"/>
                            <a:chOff x="1470697" y="2928025"/>
                            <a:chExt cx="215900" cy="719138"/>
                          </a:xfrm>
                        </wpg:grpSpPr>
                        <wps:wsp>
                          <wps:cNvPr id="90" name="Straight Arrow Connector 18"/>
                          <wps:cNvCnPr>
                            <a:cxnSpLocks noChangeShapeType="1"/>
                          </wps:cNvCnPr>
                          <wps:spPr bwMode="auto">
                            <a:xfrm flipV="1">
                              <a:off x="1485211" y="2928025"/>
                              <a:ext cx="0" cy="719138"/>
                            </a:xfrm>
                            <a:prstGeom prst="straightConnector1">
                              <a:avLst/>
                            </a:prstGeom>
                            <a:noFill/>
                            <a:ln w="38100" algn="ctr">
                              <a:solidFill>
                                <a:srgbClr val="376092"/>
                              </a:solidFill>
                              <a:round/>
                              <a:headEnd/>
                              <a:tailEnd type="arrow" w="med" len="med"/>
                            </a:ln>
                            <a:extLst>
                              <a:ext uri="{909E8E84-426E-40DD-AFC4-6F175D3DCCD1}">
                                <a14:hiddenFill xmlns:a14="http://schemas.microsoft.com/office/drawing/2010/main">
                                  <a:noFill/>
                                </a14:hiddenFill>
                              </a:ext>
                            </a:extLst>
                          </wps:spPr>
                          <wps:bodyPr/>
                        </wps:wsp>
                        <wps:wsp>
                          <wps:cNvPr id="91" name="Straight Connector 19"/>
                          <wps:cNvCnPr>
                            <a:cxnSpLocks noChangeShapeType="1"/>
                          </wps:cNvCnPr>
                          <wps:spPr bwMode="auto">
                            <a:xfrm>
                              <a:off x="1470697" y="3647163"/>
                              <a:ext cx="215900" cy="0"/>
                            </a:xfrm>
                            <a:prstGeom prst="line">
                              <a:avLst/>
                            </a:prstGeom>
                            <a:noFill/>
                            <a:ln w="38100" algn="ctr">
                              <a:solidFill>
                                <a:srgbClr val="37609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32" style="position:absolute;left:0;text-align:left;margin-left:-37.6pt;margin-top:4.55pt;width:516.8pt;height:260.15pt;z-index:251661824" coordorigin="831,6162" coordsize="10336,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">
                <v:roundrect id="Rounded Rectangle 3" o:spid="_x0000_s1033" style="position:absolute;left:1171;top:7518;width:1732;height:10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QQsQA&#10;AADbAAAADwAAAGRycy9kb3ducmV2LnhtbESPQWvCQBSE74L/YXlCb3VjQaupG5GAWOipUfT6mn3N&#10;psm+DdltTP99t1DwOMzMN8x2N9pWDNT72rGCxTwBQVw6XXOl4Hw6PK5B+ICssXVMCn7Iwy6bTraY&#10;anfjdxqKUIkIYZ+iAhNCl0rpS0MW/dx1xNH7dL3FEGVfSd3jLcJtK5+SZCUt1hwXDHaUGyqb4tsq&#10;uAzX6vj1vBkOb9yY1Zny4qPIlXqYjfsXEIHGcA//t1+1guUG/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60ELEAAAA2wAAAA8AAAAAAAAAAAAAAAAAmAIAAGRycy9k&#10;b3ducmV2LnhtbFBLBQYAAAAABAAEAPUAAACJAwAAAAA=&#10;" strokecolor="#002060" strokeweight="2pt">
                  <v:textbo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Individuālie ienākumi no darba</w:t>
                        </w:r>
                      </w:p>
                    </w:txbxContent>
                  </v:textbox>
                </v:roundrect>
                <v:roundrect id="Rounded Rectangle 4" o:spid="_x0000_s1034" style="position:absolute;left:3093;top:7518;width:1858;height:10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zYsEA&#10;AADbAAAADwAAAGRycy9kb3ducmV2LnhtbERPPWvDMBDdA/0P4grZErkd3NaJEorBtJCprknXi3Wx&#10;HFsnY6mO8++jodDx8b63+9n2YqLRt44VPK0TEMS10y03CqrvYvUKwgdkjb1jUnAjD/vdw2KLmXZX&#10;/qKpDI2IIewzVGBCGDIpfW3Iol+7gThyZzdaDBGOjdQjXmO47eVzkqTSYsuxweBAuaG6K3+tguP0&#10;03xcXt6m4sCdSSvKy1OZK7V8nN83IALN4V/85/7UCtK4Pn6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ss2LBAAAA2wAAAA8AAAAAAAAAAAAAAAAAmAIAAGRycy9kb3du&#10;cmV2LnhtbFBLBQYAAAAABAAEAPUAAACGAwAAAAA=&#10;" strokecolor="#002060" strokeweight="2pt">
                  <v:textbo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Mājsaimniecības ienākumi no darba</w:t>
                        </w:r>
                      </w:p>
                    </w:txbxContent>
                  </v:textbox>
                </v:roundrect>
                <v:roundrect id="Rounded Rectangle 5" o:spid="_x0000_s1035" style="position:absolute;left:5210;top:7518;width:1827;height:10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W+cQA&#10;AADbAAAADwAAAGRycy9kb3ducmV2LnhtbESPQWvCQBSE74L/YXmF3nSjh7SmrqEEpIWeTEWvr9ln&#10;Nib7NmS3Mf33bqHQ4zAz3zDbfLKdGGnwjWMFq2UCgrhyuuFawfFzv3gG4QOyxs4xKfghD/luPtti&#10;pt2NDzSWoRYRwj5DBSaEPpPSV4Ys+qXriaN3cYPFEOVQSz3gLcJtJ9dJkkqLDccFgz0Vhqq2/LYK&#10;TuO5frs+bcb9B7cmPVJRfpWFUo8P0+sLiEBT+A//td+1gnQFv1/i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gFvnEAAAA2wAAAA8AAAAAAAAAAAAAAAAAmAIAAGRycy9k&#10;b3ducmV2LnhtbFBLBQYAAAAABAAEAPUAAACJAwAAAAA=&#10;" strokecolor="#002060" strokeweight="2pt">
                  <v:textbo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Mājsaimniecības ienākumi no tirgus</w:t>
                        </w:r>
                      </w:p>
                    </w:txbxContent>
                  </v:textbox>
                </v:roundrect>
                <v:roundrect id="Rounded Rectangle 6" o:spid="_x0000_s1036" style="position:absolute;left:7270;top:7518;width:1889;height:10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IjsMA&#10;AADbAAAADwAAAGRycy9kb3ducmV2LnhtbESPQWvCQBSE74X+h+UVeqsbPcQ2dRUJiAVPpmKvr9ln&#10;Npp9G7JrjP/eFQSPw8x8w8wWg21ET52vHSsYjxIQxKXTNVcKdr+rj08QPiBrbByTgit5WMxfX2aY&#10;aXfhLfVFqESEsM9QgQmhzaT0pSGLfuRa4ugdXGcxRNlVUnd4iXDbyEmSpNJizXHBYEu5ofJUnK2C&#10;ff9XrY/Tr3614ZNJd5QX/0Wu1PvbsPwGEWgIz/Cj/aMVpBO4f4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KIjsMAAADbAAAADwAAAAAAAAAAAAAAAACYAgAAZHJzL2Rv&#10;d25yZXYueG1sUEsFBgAAAAAEAAQA9QAAAIgDAAAAAA==&#10;" strokecolor="#002060" strokeweight="2pt">
                  <v:textbo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Māj</w:t>
                        </w:r>
                        <w:r>
                          <w:rPr>
                            <w:rFonts w:ascii="Cambria" w:hAnsi="Cambria"/>
                            <w:b/>
                            <w:bCs/>
                            <w:color w:val="000000"/>
                            <w:kern w:val="24"/>
                            <w:sz w:val="18"/>
                            <w:szCs w:val="36"/>
                          </w:rPr>
                          <w:t>s</w:t>
                        </w:r>
                        <w:r w:rsidRPr="009A5152">
                          <w:rPr>
                            <w:rFonts w:ascii="Cambria" w:hAnsi="Cambria"/>
                            <w:b/>
                            <w:bCs/>
                            <w:color w:val="000000"/>
                            <w:kern w:val="24"/>
                            <w:sz w:val="18"/>
                            <w:szCs w:val="36"/>
                          </w:rPr>
                          <w:t>aimniecības rīcībā esošie ienākumi</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37" type="#_x0000_t62" style="position:absolute;left:2732;top:6162;width:1785;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4sYA&#10;AADbAAAADwAAAGRycy9kb3ducmV2LnhtbESPT2vCQBTE74LfYXmF3nTTFoOmriKFFk/in1ba22P3&#10;NQnJvg3Z1aT99K4geBxm5jfMfNnbWpyp9aVjBU/jBASxdqbkXMHn4X00BeEDssHaMSn4Iw/LxXAw&#10;x8y4jnd03odcRAj7DBUUITSZlF4XZNGPXUMcvV/XWgxRtrk0LXYRbmv5nCSptFhyXCiwobeCdLU/&#10;WQXJ7F9/f3U/2/KYVpvJ9GNS6XWj1ONDv3oFEagP9/CtvTYK0he4fo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p/4sYAAADbAAAADwAAAAAAAAAAAAAAAACYAgAAZHJz&#10;L2Rvd25yZXYueG1sUEsFBgAAAAAEAAQA9QAAAIsDAAAAAA==&#10;" adj="2093,34087" fillcolor="#b9cde5" strokecolor="#95b3d7" strokeweight="2pt">
                  <v:textbox>
                    <w:txbxContent>
                      <w:p w:rsidR="00401ED6" w:rsidRPr="009A5152" w:rsidRDefault="00401ED6" w:rsidP="00502E3A">
                        <w:pPr>
                          <w:pStyle w:val="NormalWeb"/>
                          <w:spacing w:before="0" w:beforeAutospacing="0" w:after="0" w:afterAutospacing="0"/>
                          <w:jc w:val="center"/>
                          <w:rPr>
                            <w:sz w:val="6"/>
                          </w:rPr>
                        </w:pPr>
                        <w:r w:rsidRPr="009A5152">
                          <w:rPr>
                            <w:rFonts w:ascii="Cambria" w:hAnsi="Cambria" w:cs="Helvetica"/>
                            <w:i/>
                            <w:iCs/>
                            <w:color w:val="000000"/>
                            <w:kern w:val="24"/>
                            <w:sz w:val="18"/>
                            <w:szCs w:val="36"/>
                          </w:rPr>
                          <w:t>Ģimenes veidošana un sastāvs</w:t>
                        </w:r>
                      </w:p>
                    </w:txbxContent>
                  </v:textbox>
                </v:shape>
                <v:shape id="Rounded Rectangular Callout 12" o:spid="_x0000_s1038" type="#_x0000_t62" style="position:absolute;left:4858;top:6162;width:1874;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fOMQA&#10;AADbAAAADwAAAGRycy9kb3ducmV2LnhtbESPQWvCQBSE74L/YXlCL0U3sRIldZVWKK3gxUTvr9nX&#10;JDT7NmS3Sfz33ULB4zAz3zDb/Wga0VPnassK4kUEgriwuuZSwSV/m29AOI+ssbFMCm7kYL+bTraY&#10;ajvwmfrMlyJA2KWooPK+TaV0RUUG3cK2xMH7sp1BH2RXSt3hEOCmkcsoSqTBmsNChS0dKiq+sx+j&#10;4DU/PiWfGJc3ax7Xy/dDXNSnq1IPs/HlGYSn0d/D/+0PrSBZwd+X8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3zjEAAAA2wAAAA8AAAAAAAAAAAAAAAAAmAIAAGRycy9k&#10;b3ducmV2LnhtbFBLBQYAAAAABAAEAPUAAACJAwAAAAA=&#10;" adj="1787,34087" fillcolor="#b9cde5" strokecolor="#95b3d7" strokeweight="2pt">
                  <v:textbox>
                    <w:txbxContent>
                      <w:p w:rsidR="00401ED6" w:rsidRPr="00BC25EA" w:rsidRDefault="00401ED6" w:rsidP="00502E3A">
                        <w:pPr>
                          <w:pStyle w:val="NormalWeb"/>
                          <w:spacing w:before="0" w:beforeAutospacing="0" w:after="0" w:afterAutospacing="0"/>
                          <w:jc w:val="center"/>
                          <w:rPr>
                            <w:sz w:val="6"/>
                          </w:rPr>
                        </w:pPr>
                        <w:r w:rsidRPr="00BC25EA">
                          <w:rPr>
                            <w:rFonts w:ascii="Cambria" w:hAnsi="Cambria" w:cs="Helvetica"/>
                            <w:i/>
                            <w:iCs/>
                            <w:color w:val="000000"/>
                            <w:kern w:val="24"/>
                            <w:sz w:val="18"/>
                            <w:szCs w:val="36"/>
                          </w:rPr>
                          <w:t>Pašnodarbinātība &amp; ieņēmumi no kapitāla</w:t>
                        </w:r>
                      </w:p>
                    </w:txbxContent>
                  </v:textbox>
                </v:shape>
                <v:shape id="Rounded Rectangular Callout 13" o:spid="_x0000_s1039" type="#_x0000_t62" style="position:absolute;left:7037;top:6162;width:1771;height:1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DAsQA&#10;AADbAAAADwAAAGRycy9kb3ducmV2LnhtbESPT2vCQBTE7wW/w/KE3uqmgiFEV5GioGApTTx4fGSf&#10;STD7NmQ3f/rt3UKhx2FmfsNsdpNpxECdqy0reF9EIIgLq2suFVzz41sCwnlkjY1lUvBDDnbb2csG&#10;U21H/qYh86UIEHYpKqi8b1MpXVGRQbewLXHw7rYz6IPsSqk7HAPcNHIZRbE0WHNYqLClj4qKR9Yb&#10;Bc3x0MeD/0qSsz0n8XR53D7zSKnX+bRfg/A0+f/wX/ukFcQr+P0Sf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AwLEAAAA2wAAAA8AAAAAAAAAAAAAAAAAmAIAAGRycy9k&#10;b3ducmV2LnhtbFBLBQYAAAAABAAEAPUAAACJAwAAAAA=&#10;" adj="756,32745" fillcolor="#b9cde5" strokecolor="#95b3d7" strokeweight="2pt">
                  <v:textbox>
                    <w:txbxContent>
                      <w:p w:rsidR="00401ED6" w:rsidRPr="00BC25EA" w:rsidRDefault="00401ED6" w:rsidP="00502E3A">
                        <w:pPr>
                          <w:pStyle w:val="NormalWeb"/>
                          <w:spacing w:before="0" w:beforeAutospacing="0" w:after="0" w:afterAutospacing="0"/>
                          <w:jc w:val="center"/>
                          <w:rPr>
                            <w:sz w:val="6"/>
                          </w:rPr>
                        </w:pPr>
                        <w:r w:rsidRPr="00BC25EA">
                          <w:rPr>
                            <w:rFonts w:ascii="Cambria" w:hAnsi="Cambria" w:cs="Helvetica"/>
                            <w:i/>
                            <w:iCs/>
                            <w:color w:val="000000"/>
                            <w:kern w:val="24"/>
                            <w:sz w:val="18"/>
                            <w:szCs w:val="36"/>
                          </w:rPr>
                          <w:t>Nodokļi &amp;</w:t>
                        </w:r>
                        <w:r w:rsidRPr="00BC25EA">
                          <w:rPr>
                            <w:rFonts w:ascii="Cambria" w:hAnsi="Cambria" w:cs="Helvetica"/>
                            <w:i/>
                            <w:iCs/>
                            <w:color w:val="000000"/>
                            <w:kern w:val="24"/>
                            <w:sz w:val="18"/>
                            <w:szCs w:val="36"/>
                          </w:rPr>
                          <w:br/>
                          <w:t xml:space="preserve">skaidras naudas darījumi </w:t>
                        </w:r>
                      </w:p>
                    </w:txbxContent>
                  </v:textbox>
                </v:shape>
                <v:shape id="Rounded Rectangular Callout 14" o:spid="_x0000_s1040" type="#_x0000_t62" style="position:absolute;left:9159;top:6162;width:1809;height:1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B8EA&#10;AADbAAAADwAAAGRycy9kb3ducmV2LnhtbESP3WoCMRSE7wu+QziCN6UmerGUrVHEH/C22z7AYXPc&#10;BDcnyyauq09vhEIvh5n5hlltRt+KgfroAmtYzBUI4joYx42G35/jxyeImJANtoFJw50ibNaTtxWW&#10;Jtz4m4YqNSJDOJaowabUlVLG2pLHOA8dcfbOofeYsuwbaXq8Zbhv5VKpQnp0nBcsdrSzVF+qq9dw&#10;qNR7467jQw1+215OFtXeodaz6bj9ApFoTP/hv/bJaCgKeH3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LvwfBAAAA2wAAAA8AAAAAAAAAAAAAAAAAmAIAAGRycy9kb3du&#10;cmV2LnhtbFBLBQYAAAAABAAEAPUAAACGAwAAAAA=&#10;" adj="716,35547" fillcolor="#b9cde5" strokecolor="#95b3d7" strokeweight="2pt">
                  <v:textbox>
                    <w:txbxContent>
                      <w:p w:rsidR="00401ED6" w:rsidRPr="009A5152" w:rsidRDefault="00401ED6" w:rsidP="00502E3A">
                        <w:pPr>
                          <w:pStyle w:val="NormalWeb"/>
                          <w:spacing w:before="0" w:beforeAutospacing="0" w:after="0" w:afterAutospacing="0"/>
                          <w:jc w:val="center"/>
                          <w:rPr>
                            <w:sz w:val="6"/>
                          </w:rPr>
                        </w:pPr>
                        <w:r w:rsidRPr="009A5152">
                          <w:rPr>
                            <w:rFonts w:ascii="Cambria" w:hAnsi="Cambria" w:cs="Helvetica"/>
                            <w:i/>
                            <w:iCs/>
                            <w:color w:val="000000"/>
                            <w:kern w:val="24"/>
                            <w:sz w:val="18"/>
                            <w:szCs w:val="36"/>
                          </w:rPr>
                          <w:t>Pub</w:t>
                        </w:r>
                        <w:r>
                          <w:rPr>
                            <w:rFonts w:ascii="Cambria" w:hAnsi="Cambria" w:cs="Helvetica"/>
                            <w:i/>
                            <w:iCs/>
                            <w:color w:val="000000"/>
                            <w:kern w:val="24"/>
                            <w:sz w:val="18"/>
                            <w:szCs w:val="36"/>
                          </w:rPr>
                          <w:t xml:space="preserve">lisko </w:t>
                        </w:r>
                        <w:r w:rsidRPr="009A5152">
                          <w:rPr>
                            <w:rFonts w:ascii="Cambria" w:hAnsi="Cambria" w:cs="Helvetica"/>
                            <w:i/>
                            <w:iCs/>
                            <w:color w:val="000000"/>
                            <w:kern w:val="24"/>
                            <w:sz w:val="18"/>
                            <w:szCs w:val="36"/>
                          </w:rPr>
                          <w:t>preču individuāls patēriņš</w:t>
                        </w:r>
                      </w:p>
                    </w:txbxContent>
                  </v:textbox>
                </v:shape>
                <v:rect id="Rectangle 18" o:spid="_x0000_s1041" style="position:absolute;left:1235;top:9734;width:1551;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cFsUA&#10;AADbAAAADwAAAGRycy9kb3ducmV2LnhtbESPQWvCQBSE7wX/w/KEXkrd2IOVNBsRQRqKIE2s50f2&#10;NQlm38bsNkn/vVsoeBxm5hsm2UymFQP1rrGsYLmIQBCXVjdcKTgV++c1COeRNbaWScEvOdiks4cE&#10;Y21H/qQh95UIEHYxKqi972IpXVmTQbewHXHwvm1v0AfZV1L3OAa4aeVLFK2kwYbDQo0d7WoqL/mP&#10;UTCWx+FcHN7l8emcWb5m113+9aHU43zavoHwNPl7+L+daQWrV/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wWxQAAANsAAAAPAAAAAAAAAAAAAAAAAJgCAABkcnMv&#10;ZG93bnJldi54bWxQSwUGAAAAAAQABAD1AAAAigMAAAAA&#10;" filled="f" stroked="f">
                  <v:textbox>
                    <w:txbxContent>
                      <w:p w:rsidR="00401ED6" w:rsidRPr="00BC25EA" w:rsidRDefault="00401ED6" w:rsidP="00502E3A">
                        <w:pPr>
                          <w:pStyle w:val="NormalWeb"/>
                          <w:spacing w:before="0" w:beforeAutospacing="0" w:after="0" w:afterAutospacing="0"/>
                          <w:textAlignment w:val="baseline"/>
                          <w:rPr>
                            <w:sz w:val="18"/>
                            <w:szCs w:val="20"/>
                          </w:rPr>
                        </w:pPr>
                        <w:r w:rsidRPr="00BC25EA">
                          <w:rPr>
                            <w:rFonts w:ascii="Cambria" w:hAnsi="Cambria" w:cs="Arial"/>
                            <w:color w:val="000000"/>
                            <w:kern w:val="24"/>
                            <w:sz w:val="18"/>
                            <w:szCs w:val="20"/>
                          </w:rPr>
                          <w:t>Izglītības &amp;</w:t>
                        </w:r>
                        <w:r w:rsidRPr="00BC25EA">
                          <w:rPr>
                            <w:rFonts w:ascii="Cambria" w:hAnsi="Cambria" w:cs="Arial"/>
                            <w:color w:val="000000"/>
                            <w:kern w:val="24"/>
                            <w:sz w:val="18"/>
                            <w:szCs w:val="20"/>
                          </w:rPr>
                          <w:br/>
                          <w:t>darba tirgus politikas,</w:t>
                        </w:r>
                        <w:r w:rsidRPr="00BC25EA">
                          <w:rPr>
                            <w:rFonts w:ascii="Cambria" w:hAnsi="Cambria" w:cs="Arial"/>
                            <w:color w:val="000000"/>
                            <w:kern w:val="24"/>
                            <w:sz w:val="18"/>
                            <w:szCs w:val="20"/>
                          </w:rPr>
                          <w:br/>
                          <w:t xml:space="preserve">migrācija &amp; </w:t>
                        </w:r>
                        <w:r w:rsidRPr="00BC25EA">
                          <w:rPr>
                            <w:rFonts w:ascii="Cambria" w:hAnsi="Cambria" w:cs="Arial"/>
                            <w:color w:val="000000"/>
                            <w:kern w:val="24"/>
                            <w:sz w:val="18"/>
                            <w:szCs w:val="20"/>
                          </w:rPr>
                          <w:br/>
                          <w:t>dzimumu līdztiesības politikas u.c.</w:t>
                        </w:r>
                      </w:p>
                    </w:txbxContent>
                  </v:textbox>
                </v:rect>
                <v:shapetype id="_x0000_t202" coordsize="21600,21600" o:spt="202" path="m,l,21600r21600,l21600,xe">
                  <v:stroke joinstyle="miter"/>
                  <v:path gradientshapeok="t" o:connecttype="rect"/>
                </v:shapetype>
                <v:shape id="TextBox 30" o:spid="_x0000_s1042" type="#_x0000_t202" style="position:absolute;left:7587;top:9865;width:1350;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Skaidras naudas darījumi un nodokļu politikas</w:t>
                        </w:r>
                      </w:p>
                    </w:txbxContent>
                  </v:textbox>
                </v:shape>
                <v:shape id="TextBox 30" o:spid="_x0000_s1043" type="#_x0000_t202" style="position:absolute;left:5507;top:9833;width:1688;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 xml:space="preserve">Nodokļu politikas (labklājība, ieņēmumi no kapitāla, ienākumi no </w:t>
                        </w:r>
                        <w:proofErr w:type="spellStart"/>
                        <w:r w:rsidRPr="00BC25EA">
                          <w:rPr>
                            <w:rFonts w:ascii="Cambria" w:hAnsi="Cambria" w:cs="Arial"/>
                            <w:color w:val="000000"/>
                            <w:kern w:val="24"/>
                            <w:sz w:val="18"/>
                            <w:szCs w:val="36"/>
                          </w:rPr>
                          <w:t>paš</w:t>
                        </w:r>
                        <w:r>
                          <w:rPr>
                            <w:rFonts w:ascii="Cambria" w:hAnsi="Cambria" w:cs="Arial"/>
                            <w:color w:val="000000"/>
                            <w:kern w:val="24"/>
                            <w:sz w:val="18"/>
                            <w:szCs w:val="36"/>
                          </w:rPr>
                          <w:t>-</w:t>
                        </w:r>
                        <w:r w:rsidRPr="00BC25EA">
                          <w:rPr>
                            <w:rFonts w:ascii="Cambria" w:hAnsi="Cambria" w:cs="Arial"/>
                            <w:color w:val="000000"/>
                            <w:kern w:val="24"/>
                            <w:sz w:val="18"/>
                            <w:szCs w:val="36"/>
                          </w:rPr>
                          <w:t>nodarbinātības)</w:t>
                        </w:r>
                        <w:proofErr w:type="spellEnd"/>
                      </w:p>
                    </w:txbxContent>
                  </v:textbox>
                </v:shape>
                <v:shape id="TextBox 30" o:spid="_x0000_s1044" type="#_x0000_t202" style="position:absolute;left:3387;top:9865;width:1564;height:1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 xml:space="preserve">Uz ģimeni orientētās politikas (bērnu un vecvecāku aprūpe) u.c. </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34" o:spid="_x0000_s1045" type="#_x0000_t104" style="position:absolute;left:2388;top:8728;width:1307;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wNMQA&#10;AADbAAAADwAAAGRycy9kb3ducmV2LnhtbESPT2vCQBTE74LfYXlCb7pRS1Ojq2ilWKgeqr309sg+&#10;k2D2bciu+fPt3UKhx2FmfsOsNp0pRUO1KywrmE4iEMSp1QVnCr4v7+NXEM4jaywtk4KeHGzWw8EK&#10;E21b/qLm7DMRIOwSVJB7XyVSujQng25iK+LgXW1t0AdZZ1LX2Aa4KeUsil6kwYLDQo4VveWU3s53&#10;o0DvPp/n8dz9HPzR9WavF9pkJ6WeRt12CcJT5//Df+0PrSCewu+X8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wcDTEAAAA2wAAAA8AAAAAAAAAAAAAAAAAmAIAAGRycy9k&#10;b3ducmV2LnhtbFBLBQYAAAAABAAEAPUAAACJAwAAAAA=&#10;" adj="17029,20457,6423" fillcolor="#b9cde5" strokecolor="#95b3d7" strokeweight="2pt"/>
                <v:group id="Group 39" o:spid="_x0000_s1046" style="position:absolute;left:3016;top:9379;width:340;height:807" coordorigin="14706,29280" coordsize="2159,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18" o:spid="_x0000_s1047" type="#_x0000_t32" style="position:absolute;left:14852;top:29280;width:0;height:7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fl8UAAADbAAAADwAAAGRycy9kb3ducmV2LnhtbESP3WoCMRSE7wu+QziF3hTN2hZdVqNo&#10;QRGKF/48wGFz3KzdnCxJuq5v3xQKXg4z8w0zX/a2ER35UDtWMB5lIIhLp2uuFJxPm2EOIkRkjY1j&#10;UnCnAMvF4GmOhXY3PlB3jJVIEA4FKjAxtoWUoTRkMYxcS5y8i/MWY5K+ktrjLcFtI9+ybCIt1pwW&#10;DLb0aaj8Pv5YBf6y3b2ux/ftx8b0+fow+dpfm6lSL8/9agYiUh8f4f/2TiuYvsPfl/Q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ufl8UAAADbAAAADwAAAAAAAAAA&#10;AAAAAAChAgAAZHJzL2Rvd25yZXYueG1sUEsFBgAAAAAEAAQA+QAAAJMDAAAAAA==&#10;" strokecolor="#376092" strokeweight="3pt">
                    <v:stroke endarrow="open"/>
                  </v:shape>
                  <v:line id="Straight Connector 19" o:spid="_x0000_s1048" style="position:absolute;visibility:visible;mso-wrap-style:square" from="14706,36471" to="16865,36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0QkcUAAADbAAAADwAAAGRycy9kb3ducmV2LnhtbESPQWvCQBSE74X+h+UJ3upGra2k2UhQ&#10;lFIQ1Obg8ZF9Jmmzb0N2jem/7xaEHoeZ+YZJVoNpRE+dqy0rmE4iEMSF1TWXCvLP7dMShPPIGhvL&#10;pOCHHKzSx4cEY21vfKT+5EsRIOxiVFB538ZSuqIig25iW+LgXWxn0AfZlVJ3eAtw08hZFL1IgzWH&#10;hQpbWldUfJ+uRsG8/7hk5Tk/8H4ojrss3ywOzZdS49GQvYHwNPj/8L39rhW8PsP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0QkcUAAADbAAAADwAAAAAAAAAA&#10;AAAAAAChAgAAZHJzL2Rvd25yZXYueG1sUEsFBgAAAAAEAAQA+QAAAJMDAAAAAA==&#10;" strokecolor="#376092" strokeweight="3pt"/>
                </v:group>
                <v:roundrect id="Rounded Rectangle 7" o:spid="_x0000_s1049" style="position:absolute;left:9374;top:7518;width:1793;height:10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GJ8QA&#10;AADbAAAADwAAAGRycy9kb3ducmV2LnhtbESPQWvCQBSE7wX/w/KE3upGoVqja5CAtNBTU9HrM/vM&#10;xmTfhuw2pv++Wyj0OMzMN8w2G20rBup97VjBfJaAIC6drrlScPw8PL2A8AFZY+uYFHyTh2w3edhi&#10;qt2dP2goQiUihH2KCkwIXSqlLw1Z9DPXEUfv6nqLIcq+krrHe4TbVi6SZCkt1hwXDHaUGyqb4ssq&#10;OA3n6vW2Wg+Hd27M8kh5cSlypR6n434DItAY/sN/7TetYPUM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ChifEAAAA2wAAAA8AAAAAAAAAAAAAAAAAmAIAAGRycy9k&#10;b3ducmV2LnhtbFBLBQYAAAAABAAEAPUAAACJAwAAAAA=&#10;" strokecolor="#002060" strokeweight="2pt">
                  <v:textbo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 xml:space="preserve">Mājsaimniecību </w:t>
                        </w:r>
                        <w:r>
                          <w:rPr>
                            <w:rFonts w:ascii="Cambria" w:hAnsi="Cambria"/>
                            <w:b/>
                            <w:bCs/>
                            <w:color w:val="000000"/>
                            <w:kern w:val="24"/>
                            <w:sz w:val="18"/>
                            <w:szCs w:val="36"/>
                          </w:rPr>
                          <w:t>koriģētie</w:t>
                        </w:r>
                        <w:r w:rsidRPr="009A5152">
                          <w:rPr>
                            <w:rFonts w:ascii="Cambria" w:hAnsi="Cambria"/>
                            <w:b/>
                            <w:bCs/>
                            <w:color w:val="000000"/>
                            <w:kern w:val="24"/>
                            <w:sz w:val="18"/>
                            <w:szCs w:val="36"/>
                          </w:rPr>
                          <w:t xml:space="preserve"> rīcībā esošie ienākumi</w:t>
                        </w:r>
                      </w:p>
                    </w:txbxContent>
                  </v:textbox>
                </v:roundrect>
                <v:shape id="TextBox 31" o:spid="_x0000_s1050" type="#_x0000_t202" style="position:absolute;left:9716;top:9833;width:1451;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Izglītības &amp;</w:t>
                        </w:r>
                        <w:r w:rsidRPr="00BC25EA">
                          <w:rPr>
                            <w:rFonts w:ascii="Cambria" w:hAnsi="Cambria" w:cs="Arial"/>
                            <w:color w:val="000000"/>
                            <w:kern w:val="24"/>
                            <w:sz w:val="18"/>
                            <w:szCs w:val="36"/>
                          </w:rPr>
                          <w:br/>
                          <w:t>veselības</w:t>
                        </w:r>
                        <w:r w:rsidRPr="00BC25EA">
                          <w:rPr>
                            <w:rFonts w:ascii="Cambria" w:hAnsi="Cambria" w:cs="Arial"/>
                            <w:color w:val="000000"/>
                            <w:kern w:val="24"/>
                            <w:sz w:val="18"/>
                            <w:szCs w:val="36"/>
                          </w:rPr>
                          <w:br/>
                          <w:t>(pieejamība &amp; pārklājums) politikas</w:t>
                        </w:r>
                      </w:p>
                    </w:txbxContent>
                  </v:textbox>
                </v:shape>
                <v:shape id="Curved Up Arrow 34" o:spid="_x0000_s1051" type="#_x0000_t104" style="position:absolute;left:4517;top:8728;width:1307;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N28QA&#10;AADbAAAADwAAAGRycy9kb3ducmV2LnhtbESPQWvCQBSE7wX/w/IEb83GWpo2uoq1lArqwbQXb4/s&#10;Mwlm34bsNon/visUPA4z8w2zWA2mFh21rrKsYBrFIIhzqysuFPx8fz6+gnAeWWNtmRRcycFqOXpY&#10;YKptz0fqMl+IAGGXooLS+yaV0uUlGXSRbYiDd7atQR9kW0jdYh/gppZPcfwiDVYcFkpsaFNSfsl+&#10;jQL9vnueJTN3+vJ7dzUf+k2b4qDUZDys5yA8Df4e/m9vtYIkgdu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VTdvEAAAA2wAAAA8AAAAAAAAAAAAAAAAAmAIAAGRycy9k&#10;b3ducmV2LnhtbFBLBQYAAAAABAAEAPUAAACJAwAAAAA=&#10;" adj="17029,20457,6423" fillcolor="#b9cde5" strokecolor="#95b3d7" strokeweight="2pt"/>
                <v:shape id="Curved Up Arrow 34" o:spid="_x0000_s1052" type="#_x0000_t104" style="position:absolute;left:6630;top:8728;width:1307;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ZqcIA&#10;AADbAAAADwAAAGRycy9kb3ducmV2LnhtbERPTWvCQBC9F/wPywjemo2mNG10E9RSLLQetL14G7Jj&#10;EszOhuw2xn/vHgo9Pt73qhhNKwbqXWNZwTyKQRCXVjdcKfj5fn98AeE8ssbWMim4kYMinzysMNP2&#10;ygcajr4SIYRdhgpq77tMSlfWZNBFtiMO3Nn2Bn2AfSV1j9cQblq5iONnabDh0FBjR9uaysvx1yjQ&#10;m8+nJE3caee/3M286Vdtqr1Ss+m4XoLwNPp/8Z/7QytIw9jwJfw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tmpwgAAANsAAAAPAAAAAAAAAAAAAAAAAJgCAABkcnMvZG93&#10;bnJldi54bWxQSwUGAAAAAAQABAD1AAAAhwMAAAAA&#10;" adj="17029,20457,6423" fillcolor="#b9cde5" strokecolor="#95b3d7" strokeweight="2pt"/>
                <v:shape id="Curved Up Arrow 34" o:spid="_x0000_s1053" type="#_x0000_t104" style="position:absolute;left:8725;top:8728;width:1307;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MsQA&#10;AADbAAAADwAAAGRycy9kb3ducmV2LnhtbESPS4vCQBCE78L+h6EXvJnJqviIjrIqouDuwcfFW5Pp&#10;TcJmekJm1PjvHUHwWFTVV9R03phSXKl2hWUFX1EMgji1uuBMwem47oxAOI+ssbRMCu7kYD77aE0x&#10;0fbGe7oefCYChF2CCnLvq0RKl+Zk0EW2Ig7en60N+iDrTOoabwFuStmN44E0WHBYyLGiZU7p/+Fi&#10;FOjFrt8b9tx543/c3az0WJvsV6n2Z/M9AeGp8e/wq73VCoZj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GfDLEAAAA2wAAAA8AAAAAAAAAAAAAAAAAmAIAAGRycy9k&#10;b3ducmV2LnhtbFBLBQYAAAAABAAEAPUAAACJAwAAAAA=&#10;" adj="17029,20457,6423" fillcolor="#b9cde5" strokecolor="#95b3d7" strokeweight="2pt"/>
                <v:group id="Group 39" o:spid="_x0000_s1054" style="position:absolute;left:5110;top:9379;width:340;height:807" coordorigin="14706,29280" coordsize="2159,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Straight Arrow Connector 18" o:spid="_x0000_s1055" type="#_x0000_t32" style="position:absolute;left:14852;top:29280;width:0;height:7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DUXMQAAADbAAAADwAAAGRycy9kb3ducmV2LnhtbESP0WoCMRRE3wv9h3ALvhTNroguq1Fq&#10;QRGkD9p+wGVz3Wy7uVmSqOvfG0Ho4zAzZ5jFqretuJAPjWMF+SgDQVw53XCt4Od7MyxAhIissXVM&#10;Cm4UYLV8fVlgqd2VD3Q5xlokCIcSFZgYu1LKUBmyGEauI07eyXmLMUlfS+3xmuC2leMsm0qLDacF&#10;gx19Gqr+jmerwJ+2u/d1fttONqYv1ofp/uu3nSk1eOs/5iAi9fE//GzvtIIih8e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NRcxAAAANsAAAAPAAAAAAAAAAAA&#10;AAAAAKECAABkcnMvZG93bnJldi54bWxQSwUGAAAAAAQABAD5AAAAkgMAAAAA&#10;" strokecolor="#376092" strokeweight="3pt">
                    <v:stroke endarrow="open"/>
                  </v:shape>
                  <v:line id="Straight Connector 19" o:spid="_x0000_s1056" style="position:absolute;visibility:visible;mso-wrap-style:square" from="14706,36471" to="16865,36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1dWcQAAADbAAAADwAAAGRycy9kb3ducmV2LnhtbESPT4vCMBTE7wt+h/CEva2piotUoxRF&#10;WRYE//Tg8dE822rzUppYu9/eCAseh5n5DTNfdqYSLTWutKxgOIhAEGdWl5wrSE+brykI55E1VpZJ&#10;wR85WC56H3OMtX3wgdqjz0WAsItRQeF9HUvpsoIMuoGtiYN3sY1BH2STS93gI8BNJUdR9C0NlhwW&#10;CqxpVVB2O96NgnH7e0nyc7rnXZcdtkm6nuyrq1Kf/S6ZgfDU+Xf4v/2jFUxH8Po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V1ZxAAAANsAAAAPAAAAAAAAAAAA&#10;AAAAAKECAABkcnMvZG93bnJldi54bWxQSwUGAAAAAAQABAD5AAAAkgMAAAAA&#10;" strokecolor="#376092" strokeweight="3pt"/>
                </v:group>
                <v:group id="Group 39" o:spid="_x0000_s1057" style="position:absolute;left:7270;top:9379;width:340;height:807" coordorigin="14706,29280" coordsize="2159,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Straight Arrow Connector 18" o:spid="_x0000_s1058" type="#_x0000_t32" style="position:absolute;left:14852;top:29280;width:0;height:7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d3xMQAAADbAAAADwAAAGRycy9kb3ducmV2LnhtbESP0WoCMRRE34X+Q7gFX6RmFbHL1ii1&#10;oAjiw9p+wGVz3Wy7uVmSVNe/N4Lg4zAzZ5jFqretOJMPjWMFk3EGgrhyuuFawc/35i0HESKyxtYx&#10;KbhSgNXyZbDAQrsLl3Q+xlokCIcCFZgYu0LKUBmyGMauI07eyXmLMUlfS+3xkuC2ldMsm0uLDacF&#10;gx19Gar+jv9WgT9td6P15LqdbUyfr8v5/vDbvis1fO0/P0BE6uMz/GjvtIJ8Bvc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Z3fExAAAANsAAAAPAAAAAAAAAAAA&#10;AAAAAKECAABkcnMvZG93bnJldi54bWxQSwUGAAAAAAQABAD5AAAAkgMAAAAA&#10;" strokecolor="#376092" strokeweight="3pt">
                    <v:stroke endarrow="open"/>
                  </v:shape>
                  <v:line id="Straight Connector 19" o:spid="_x0000_s1059" style="position:absolute;visibility:visible;mso-wrap-style:square" from="14706,36471" to="16865,36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FLcUAAADbAAAADwAAAGRycy9kb3ducmV2LnhtbESPQWvCQBSE74L/YXlCb7ppS4pE1xCU&#10;SikUos2hx0f2mcRm34bsmqT/vlsoeBxm5htmm06mFQP1rrGs4HEVgSAurW64UlB8vi7XIJxH1tha&#10;JgU/5CDdzWdbTLQd+UTD2VciQNglqKD2vkukdGVNBt3KdsTBu9jeoA+yr6TucQxw08qnKHqRBhsO&#10;CzV2tK+p/D7fjILn4f2SVV9Fzh9TeTpmxSHO26tSD4sp24DwNPl7+L/9phWsY/j7En6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FLcUAAADbAAAADwAAAAAAAAAA&#10;AAAAAAChAgAAZHJzL2Rvd25yZXYueG1sUEsFBgAAAAAEAAQA+QAAAJMDAAAAAA==&#10;" strokecolor="#376092" strokeweight="3pt"/>
                </v:group>
                <v:group id="Group 39" o:spid="_x0000_s1060" style="position:absolute;left:9313;top:9379;width:340;height:807" coordorigin="14706,29280" coordsize="2159,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Straight Arrow Connector 18" o:spid="_x0000_s1061" type="#_x0000_t32" style="position:absolute;left:14852;top:29280;width:0;height:7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Xps8QAAADbAAAADwAAAGRycy9kb3ducmV2LnhtbESP3WoCMRSE74W+QziF3ohmlaLLapRa&#10;UATphT8PcNgcN6ubkyWJur59UxB6OczMN8x82dlG3MmH2rGC0TADQVw6XXOl4HRcD3IQISJrbByT&#10;gicFWC7eenMstHvwnu6HWIkE4VCgAhNjW0gZSkMWw9C1xMk7O28xJukrqT0+Etw2cpxlE2mx5rRg&#10;sKVvQ+X1cLMK/Hmz7a9Gz83n2nT5aj/Z/VyaqVIf793XDESkLv6HX+2tVpBP4e9L+g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emzxAAAANsAAAAPAAAAAAAAAAAA&#10;AAAAAKECAABkcnMvZG93bnJldi54bWxQSwUGAAAAAAQABAD5AAAAkgMAAAAA&#10;" strokecolor="#376092" strokeweight="3pt">
                    <v:stroke endarrow="open"/>
                  </v:shape>
                  <v:line id="Straight Connector 19" o:spid="_x0000_s1062" style="position:absolute;visibility:visible;mso-wrap-style:square" from="14706,36471" to="16865,36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qs8EAAADbAAAADwAAAGRycy9kb3ducmV2LnhtbERPTYvCMBC9L/gfwgje1tQVRbpGKS6K&#10;CILVHvY4NGPb3WZSmljrvzcHwePjfS/XvalFR62rLCuYjCMQxLnVFRcKssv2cwHCeWSNtWVS8CAH&#10;69XgY4mxtndOqTv7QoQQdjEqKL1vYildXpJBN7YNceCutjXoA2wLqVu8h3BTy68omkuDFYeGEhva&#10;lJT/n29GwbQ7XJPiNzvxsc/TXZL9zE71n1KjYZ98g/DU+7f45d5rBYswNnwJP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9WqzwQAAANsAAAAPAAAAAAAAAAAAAAAA&#10;AKECAABkcnMvZG93bnJldi54bWxQSwUGAAAAAAQABAD5AAAAjwMAAAAA&#10;" strokecolor="#376092" strokeweight="3pt"/>
                </v:group>
                <v:group id="Group 39" o:spid="_x0000_s1063" style="position:absolute;left:831;top:8172;width:340;height:1944" coordorigin="14706,29280" coordsize="2159,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Straight Arrow Connector 18" o:spid="_x0000_s1064" type="#_x0000_t32" style="position:absolute;left:14852;top:29280;width:0;height:7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XnGsEAAADbAAAADwAAAGRycy9kb3ducmV2LnhtbERPy4rCMBTdD/gP4QqzGTR1GHxUo+iA&#10;IogLHx9waa5NtbkpSdT695PFgMvDec8Wra3Fg3yoHCsY9DMQxIXTFZcKzqd1bwwiRGSNtWNS8KIA&#10;i3nnY4a5dk8+0OMYS5FCOOSowMTY5FKGwpDF0HcNceIuzluMCfpSao/PFG5r+Z1lQ2mx4tRgsKFf&#10;Q8XteLcK/GWz/VoNXpuftWnHq8Nwt7/WI6U+u+1yCiJSG9/if/dWK5ik9elL+gF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hecawQAAANsAAAAPAAAAAAAAAAAAAAAA&#10;AKECAABkcnMvZG93bnJldi54bWxQSwUGAAAAAAQABAD5AAAAjwMAAAAA&#10;" strokecolor="#376092" strokeweight="3pt">
                    <v:stroke endarrow="open"/>
                  </v:shape>
                  <v:line id="Straight Connector 19" o:spid="_x0000_s1065" style="position:absolute;visibility:visible;mso-wrap-style:square" from="14706,36471" to="16865,36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ZV88UAAADbAAAADwAAAGRycy9kb3ducmV2LnhtbESPT2vCQBTE70K/w/IKvelGi9LGrBIq&#10;LaUgGJtDj4/syx+bfRuy2xi/fVcQPA4z8xsm2Y6mFQP1rrGsYD6LQBAXVjdcKci/36cvIJxH1tha&#10;JgUXcrDdPEwSjLU9c0bD0VciQNjFqKD2vouldEVNBt3MdsTBK21v0AfZV1L3eA5w08pFFK2kwYbD&#10;Qo0dvdVU/B7/jILn4atMq5/8wPuxyD7SfLc8tCelnh7HdA3C0+jv4Vv7Uyt4ncP1S/gBc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ZV88UAAADbAAAADwAAAAAAAAAA&#10;AAAAAAChAgAAZHJzL2Rvd25yZXYueG1sUEsFBgAAAAAEAAQA+QAAAJMDAAAAAA==&#10;" strokecolor="#376092" strokeweight="3pt"/>
                </v:group>
              </v:group>
            </w:pict>
          </mc:Fallback>
        </mc:AlternateContent>
      </w:r>
    </w:p>
    <w:p w:rsidR="006E70B2" w:rsidRDefault="006E70B2"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F30BCB" w:rsidRDefault="00F30BCB" w:rsidP="00502E3A">
      <w:pPr>
        <w:autoSpaceDE w:val="0"/>
        <w:autoSpaceDN w:val="0"/>
        <w:adjustRightInd w:val="0"/>
        <w:rPr>
          <w:sz w:val="20"/>
          <w:szCs w:val="20"/>
        </w:rPr>
      </w:pPr>
    </w:p>
    <w:p w:rsidR="00F30BCB" w:rsidRDefault="00F30BCB" w:rsidP="00502E3A">
      <w:pPr>
        <w:autoSpaceDE w:val="0"/>
        <w:autoSpaceDN w:val="0"/>
        <w:adjustRightInd w:val="0"/>
        <w:rPr>
          <w:sz w:val="20"/>
          <w:szCs w:val="20"/>
        </w:rPr>
      </w:pPr>
    </w:p>
    <w:p w:rsidR="00F30BCB" w:rsidRDefault="00F30BCB" w:rsidP="00502E3A">
      <w:pPr>
        <w:autoSpaceDE w:val="0"/>
        <w:autoSpaceDN w:val="0"/>
        <w:adjustRightInd w:val="0"/>
        <w:rPr>
          <w:sz w:val="20"/>
          <w:szCs w:val="20"/>
        </w:rPr>
      </w:pPr>
    </w:p>
    <w:p w:rsidR="00502E3A" w:rsidRDefault="00502E3A" w:rsidP="00AE4989">
      <w:pPr>
        <w:autoSpaceDE w:val="0"/>
        <w:autoSpaceDN w:val="0"/>
        <w:adjustRightInd w:val="0"/>
        <w:spacing w:before="240" w:after="120"/>
        <w:rPr>
          <w:rFonts w:eastAsia="Calibri"/>
          <w:bCs/>
          <w:sz w:val="20"/>
          <w:szCs w:val="20"/>
          <w:lang w:eastAsia="lv-LV"/>
        </w:rPr>
      </w:pPr>
      <w:r w:rsidRPr="00C62884">
        <w:rPr>
          <w:sz w:val="20"/>
          <w:szCs w:val="20"/>
        </w:rPr>
        <w:t>Avots: attēls adaptēts no OECD</w:t>
      </w:r>
      <w:r w:rsidRPr="00C62884">
        <w:rPr>
          <w:rStyle w:val="FootnoteReference"/>
          <w:sz w:val="20"/>
          <w:szCs w:val="20"/>
        </w:rPr>
        <w:footnoteReference w:id="79"/>
      </w:r>
      <w:r w:rsidR="004D7F5E">
        <w:rPr>
          <w:rFonts w:eastAsia="Calibri"/>
          <w:bCs/>
          <w:sz w:val="20"/>
          <w:szCs w:val="20"/>
          <w:lang w:eastAsia="lv-LV"/>
        </w:rPr>
        <w:t>.</w:t>
      </w:r>
    </w:p>
    <w:p w:rsidR="00502E3A" w:rsidRPr="001165CA" w:rsidRDefault="00502E3A" w:rsidP="00502E3A">
      <w:pPr>
        <w:numPr>
          <w:ilvl w:val="0"/>
          <w:numId w:val="42"/>
        </w:numPr>
        <w:autoSpaceDE w:val="0"/>
        <w:autoSpaceDN w:val="0"/>
        <w:adjustRightInd w:val="0"/>
        <w:ind w:left="426"/>
        <w:jc w:val="both"/>
      </w:pPr>
      <w:r w:rsidRPr="00805721">
        <w:rPr>
          <w:rFonts w:eastAsia="Calibri"/>
          <w:bCs/>
          <w:i/>
          <w:lang w:eastAsia="lv-LV"/>
        </w:rPr>
        <w:t>Individuālie ienākumi no darba</w:t>
      </w:r>
      <w:r>
        <w:rPr>
          <w:rFonts w:eastAsia="Calibri"/>
          <w:bCs/>
          <w:lang w:eastAsia="lv-LV"/>
        </w:rPr>
        <w:t xml:space="preserve">. Individuālie ienākumi no darba darbspējas vecuma cilvēkiem ietver gan algu pilna laika nodarbinātajiem, gan ienākumus no darba citām iedzīvotāju grupām, kuras arī veido daļu no darbspējas vecuma cilvēkiem (nepilnu laiku strādājošie, pašnodarbinātie, bezdarbnieki, kā arī ekonomiski neaktīvie). </w:t>
      </w:r>
    </w:p>
    <w:p w:rsidR="00502E3A" w:rsidRDefault="00502E3A" w:rsidP="00502E3A">
      <w:pPr>
        <w:numPr>
          <w:ilvl w:val="0"/>
          <w:numId w:val="42"/>
        </w:numPr>
        <w:autoSpaceDE w:val="0"/>
        <w:autoSpaceDN w:val="0"/>
        <w:adjustRightInd w:val="0"/>
        <w:ind w:left="426"/>
        <w:jc w:val="both"/>
      </w:pPr>
      <w:r w:rsidRPr="001165CA">
        <w:rPr>
          <w:i/>
        </w:rPr>
        <w:lastRenderedPageBreak/>
        <w:t>Mājsaimniecības ienākumi no darba</w:t>
      </w:r>
      <w:r>
        <w:t xml:space="preserve">. Darbspējas vecuma cilvēku ģimenes atšķiras gan pēc lieluma, gan sastāva, kas ietekmē kopējos mājsaimniecību ienākumus no darba. </w:t>
      </w:r>
    </w:p>
    <w:p w:rsidR="00502E3A" w:rsidRDefault="00502E3A" w:rsidP="00502E3A">
      <w:pPr>
        <w:numPr>
          <w:ilvl w:val="0"/>
          <w:numId w:val="42"/>
        </w:numPr>
        <w:autoSpaceDE w:val="0"/>
        <w:autoSpaceDN w:val="0"/>
        <w:adjustRightInd w:val="0"/>
        <w:ind w:left="426"/>
        <w:jc w:val="both"/>
      </w:pPr>
      <w:r w:rsidRPr="001165CA">
        <w:rPr>
          <w:i/>
        </w:rPr>
        <w:t xml:space="preserve">Mājsaimniecības ienākumi no </w:t>
      </w:r>
      <w:r>
        <w:rPr>
          <w:i/>
        </w:rPr>
        <w:t xml:space="preserve">tirgus. </w:t>
      </w:r>
      <w:r>
        <w:t xml:space="preserve">Šie ienākumi ietver kā ieņēmumus no darba, tā arī no kapitāla. </w:t>
      </w:r>
    </w:p>
    <w:p w:rsidR="00502E3A" w:rsidRDefault="00502E3A" w:rsidP="00502E3A">
      <w:pPr>
        <w:numPr>
          <w:ilvl w:val="0"/>
          <w:numId w:val="42"/>
        </w:numPr>
        <w:autoSpaceDE w:val="0"/>
        <w:autoSpaceDN w:val="0"/>
        <w:adjustRightInd w:val="0"/>
        <w:ind w:left="426"/>
        <w:jc w:val="both"/>
      </w:pPr>
      <w:r w:rsidRPr="001165CA">
        <w:rPr>
          <w:i/>
        </w:rPr>
        <w:t xml:space="preserve">Mājsaimniecības </w:t>
      </w:r>
      <w:r>
        <w:rPr>
          <w:i/>
        </w:rPr>
        <w:t xml:space="preserve">rīcībā esošie </w:t>
      </w:r>
      <w:r w:rsidRPr="001165CA">
        <w:rPr>
          <w:i/>
        </w:rPr>
        <w:t>ienākumi</w:t>
      </w:r>
      <w:r>
        <w:rPr>
          <w:i/>
        </w:rPr>
        <w:t xml:space="preserve">. </w:t>
      </w:r>
      <w:r>
        <w:t xml:space="preserve">Tie ietver visas mājsaimniecības un visus ienākuma avotus pēc nodokļu nomaksas un skaidras naudas transfertiem. </w:t>
      </w:r>
    </w:p>
    <w:p w:rsidR="00502E3A" w:rsidRPr="00805721" w:rsidRDefault="00657808" w:rsidP="00D658F3">
      <w:pPr>
        <w:numPr>
          <w:ilvl w:val="0"/>
          <w:numId w:val="42"/>
        </w:numPr>
        <w:autoSpaceDE w:val="0"/>
        <w:autoSpaceDN w:val="0"/>
        <w:adjustRightInd w:val="0"/>
        <w:ind w:left="426"/>
        <w:jc w:val="both"/>
      </w:pPr>
      <w:r w:rsidRPr="00657808">
        <w:rPr>
          <w:i/>
          <w:iCs/>
        </w:rPr>
        <w:t>Koriģētie mājsaimniecību rīcībā esošie ienākumi</w:t>
      </w:r>
      <w:r w:rsidR="00502E3A">
        <w:rPr>
          <w:i/>
        </w:rPr>
        <w:t xml:space="preserve">. </w:t>
      </w:r>
      <w:r w:rsidR="00502E3A">
        <w:t xml:space="preserve">Mājsaimniecību rīcībā esošie ienākumi ir </w:t>
      </w:r>
      <w:r w:rsidR="00D658F3">
        <w:t>koriģēti</w:t>
      </w:r>
      <w:r w:rsidR="00502E3A">
        <w:t xml:space="preserve"> ar transfertiem natūrā (piem., publiskie izdevumi veselībai, izglītībai, sociālajam mājoklim u.c.).</w:t>
      </w:r>
    </w:p>
    <w:p w:rsidR="00502E3A" w:rsidRDefault="00502E3A" w:rsidP="00502E3A">
      <w:pPr>
        <w:ind w:firstLine="720"/>
        <w:jc w:val="both"/>
      </w:pPr>
      <w:r>
        <w:t xml:space="preserve">Tādējādi ienākumi no darba ienākumu nevienlīdzību, no vienas puses, ietekmē, bet, no otras puses, pastāv virkne citu ietekmējošo faktoru un apstākļu, kas arī rada ietekmi uz darba ienākumu nevienlīdzību. Piemēram, saistībā ar izglītības politiku, pasākumi, kas vērsti uz vienlīdzības veicināšanu izglītībā, </w:t>
      </w:r>
      <w:r w:rsidR="00A74247">
        <w:t>netie</w:t>
      </w:r>
      <w:r w:rsidR="00BC1C36">
        <w:t>šā veidā</w:t>
      </w:r>
      <w:r w:rsidR="00A74247">
        <w:t xml:space="preserve"> </w:t>
      </w:r>
      <w:r>
        <w:t xml:space="preserve">samazina ienākumu nevienlīdzību. Savukārt minimālās darba algas ietekme uz ienākumu nevienlīdzību ir salīdzinoši zema. </w:t>
      </w:r>
      <w:r w:rsidR="00562195">
        <w:t xml:space="preserve">Augstas minimālās darba algas ietekme uz ienākumu nevienlīdzības mazināšanos var būt neliela, </w:t>
      </w:r>
      <w:r>
        <w:t>taču vienlaicīgi tā rezultātā var samazināties mazāk aizsargāto iedzīvotāju grupu nodarbinātības līmenis, tādējādi palielinot bezdarba līmeni un samazinot ietekmi uz IKP uz personu</w:t>
      </w:r>
      <w:r>
        <w:rPr>
          <w:rStyle w:val="FootnoteReference"/>
        </w:rPr>
        <w:footnoteReference w:id="80"/>
      </w:r>
      <w:r>
        <w:t xml:space="preserve">.  </w:t>
      </w:r>
    </w:p>
    <w:p w:rsidR="00502E3A" w:rsidRPr="00F84E98" w:rsidRDefault="006810A5" w:rsidP="00502E3A">
      <w:pPr>
        <w:ind w:firstLine="720"/>
        <w:jc w:val="both"/>
      </w:pPr>
      <w:r>
        <w:t>Minimālā ienākuma līmenis</w:t>
      </w:r>
      <w:r w:rsidR="00502E3A">
        <w:t xml:space="preserve"> </w:t>
      </w:r>
      <w:r>
        <w:t xml:space="preserve">tiks izmantots minimālā mēneša darba algas veidošanā analītiskiem nolūkiem, taču to nav plānots </w:t>
      </w:r>
      <w:r w:rsidR="00502E3A">
        <w:t xml:space="preserve">piesaistīt </w:t>
      </w:r>
      <w:r>
        <w:t xml:space="preserve">minimālajai darba algai </w:t>
      </w:r>
      <w:r w:rsidR="00502E3A" w:rsidRPr="00F84E98">
        <w:t>zemāk minēto apsvērumu dēļ:</w:t>
      </w:r>
    </w:p>
    <w:p w:rsidR="00502E3A" w:rsidRPr="0026552D" w:rsidRDefault="00502E3A" w:rsidP="00502E3A">
      <w:pPr>
        <w:numPr>
          <w:ilvl w:val="0"/>
          <w:numId w:val="45"/>
        </w:numPr>
        <w:ind w:left="426"/>
        <w:jc w:val="both"/>
      </w:pPr>
      <w:r w:rsidRPr="007B1A85">
        <w:t>minimālās algas noteikšanas sistēma ir vienota un attiecas vienlīdzīgi uz visām nozarēm un profesijām</w:t>
      </w:r>
      <w:r>
        <w:rPr>
          <w:rStyle w:val="FootnoteReference"/>
        </w:rPr>
        <w:footnoteReference w:id="81"/>
      </w:r>
      <w:r w:rsidRPr="007B1A85">
        <w:t xml:space="preserve">. </w:t>
      </w:r>
      <w:r w:rsidRPr="006810A5">
        <w:rPr>
          <w:rFonts w:eastAsia="Calibri"/>
          <w:u w:val="single"/>
        </w:rPr>
        <w:t>Minimālajai darba algai ir jāattiecas uz mazāk kvalificētajiem darbiniekiem</w:t>
      </w:r>
      <w:r>
        <w:rPr>
          <w:rFonts w:eastAsia="Calibri"/>
        </w:rPr>
        <w:t>, paredzot to aizsardzību, taču</w:t>
      </w:r>
      <w:r w:rsidRPr="007B1A85">
        <w:t xml:space="preserve"> </w:t>
      </w:r>
      <w:r>
        <w:t xml:space="preserve">Latvijā </w:t>
      </w:r>
      <w:r w:rsidRPr="007B1A85">
        <w:t>minimālo darba algu saņem ne tikai mazkvalificēti darbinieki (piemēram, sētnieks, dežurants, krāvējs, trauku mazgātājs u.c. atbilstoši Profesiju klasifikatora 7.-9</w:t>
      </w:r>
      <w:r>
        <w:t xml:space="preserve">.profesiju grupai, kas ir zemas kvalifikācijas grupas), bet arī kvalificēti </w:t>
      </w:r>
      <w:r w:rsidRPr="0052601A">
        <w:t>strādājošie (piemēram, medicīnas darbinieki</w:t>
      </w:r>
      <w:r w:rsidR="006810A5">
        <w:t>, sociālie aprūpētāji u.c.</w:t>
      </w:r>
      <w:r w:rsidRPr="0052601A">
        <w:t xml:space="preserve">), </w:t>
      </w:r>
      <w:r>
        <w:t>kas var liecināt gan par algu skalas saspiestību, gan daļā gadījumu – par „aplokšņu algām”, tomēr šis izaicinājums nav risināms ar minimālās algas instrumentu</w:t>
      </w:r>
      <w:r w:rsidRPr="0026552D">
        <w:t>;</w:t>
      </w:r>
    </w:p>
    <w:p w:rsidR="00502E3A" w:rsidRDefault="00502E3A" w:rsidP="00502E3A">
      <w:pPr>
        <w:numPr>
          <w:ilvl w:val="0"/>
          <w:numId w:val="45"/>
        </w:numPr>
        <w:ind w:left="426"/>
        <w:jc w:val="both"/>
      </w:pPr>
      <w:r>
        <w:t xml:space="preserve">minimālā ienākuma līmenis tiek aprēķināts, balstoties uz ienākumiem, tai skaitā saņemto darba algu. Turklāt </w:t>
      </w:r>
      <w:r w:rsidRPr="006810A5">
        <w:rPr>
          <w:u w:val="single"/>
        </w:rPr>
        <w:t>minimālā ienākuma līmenis tiek attiecināts uz mājsaimniecību, kas ietver ne tikai darbspējīgos, bet arī bērnus, cilvēkus virs darbspējas vecuma, un ietver arī darbspējīgos, kuri, piemēram, nevar strādāt</w:t>
      </w:r>
      <w:r>
        <w:t xml:space="preserve">, galvenokārt veselības traucējumu vai aprūpes pienākumu veikšanas dēļ. Kā tika </w:t>
      </w:r>
      <w:r w:rsidR="006810A5">
        <w:t>parādīts 3.attēlā</w:t>
      </w:r>
      <w:r>
        <w:t xml:space="preserve">, mājsaimniecību rīcībā esošie vai </w:t>
      </w:r>
      <w:r w:rsidR="002E167E">
        <w:t>koriģētie</w:t>
      </w:r>
      <w:r>
        <w:t xml:space="preserve"> ienākumi ietver </w:t>
      </w:r>
      <w:r w:rsidR="006810A5">
        <w:t>dažādus</w:t>
      </w:r>
      <w:r>
        <w:t xml:space="preserve"> ienākumus, savukārt </w:t>
      </w:r>
      <w:r w:rsidRPr="006810A5">
        <w:rPr>
          <w:u w:val="single"/>
        </w:rPr>
        <w:t xml:space="preserve">minimālā darba alga ir konkrētā indivīda </w:t>
      </w:r>
      <w:r w:rsidR="006810A5" w:rsidRPr="006810A5">
        <w:rPr>
          <w:i/>
          <w:u w:val="single"/>
        </w:rPr>
        <w:t xml:space="preserve">viens </w:t>
      </w:r>
      <w:r w:rsidRPr="006810A5">
        <w:rPr>
          <w:i/>
          <w:u w:val="single"/>
        </w:rPr>
        <w:t>no</w:t>
      </w:r>
      <w:r w:rsidRPr="006810A5">
        <w:rPr>
          <w:u w:val="single"/>
        </w:rPr>
        <w:t xml:space="preserve"> algota darba</w:t>
      </w:r>
      <w:r w:rsidR="006810A5" w:rsidRPr="006810A5">
        <w:rPr>
          <w:u w:val="single"/>
        </w:rPr>
        <w:t xml:space="preserve"> ienākumiem</w:t>
      </w:r>
      <w:r w:rsidR="006810A5">
        <w:rPr>
          <w:rStyle w:val="FootnoteReference"/>
        </w:rPr>
        <w:footnoteReference w:id="82"/>
      </w:r>
      <w:r>
        <w:t>;</w:t>
      </w:r>
    </w:p>
    <w:p w:rsidR="00502E3A" w:rsidRPr="007E088E" w:rsidRDefault="00502E3A" w:rsidP="00502E3A">
      <w:pPr>
        <w:numPr>
          <w:ilvl w:val="0"/>
          <w:numId w:val="45"/>
        </w:numPr>
        <w:autoSpaceDE w:val="0"/>
        <w:autoSpaceDN w:val="0"/>
        <w:adjustRightInd w:val="0"/>
        <w:ind w:left="426"/>
        <w:jc w:val="both"/>
        <w:rPr>
          <w:rFonts w:eastAsia="Calibri"/>
        </w:rPr>
      </w:pPr>
      <w:r w:rsidRPr="007E088E">
        <w:rPr>
          <w:rFonts w:eastAsia="Calibri"/>
        </w:rPr>
        <w:t xml:space="preserve">Sociālās drošības sistēmas esamība ir svarīgs priekšnoteikums minimālo algu ievērošanas nodrošināšanai, pretējā gadījumā rodas situācijas, kad sociāli neaizsargāti cilvēki ir gatavi pieņemt ļoti zemas kvalitātes </w:t>
      </w:r>
      <w:proofErr w:type="gramStart"/>
      <w:r w:rsidRPr="007E088E">
        <w:rPr>
          <w:rFonts w:eastAsia="Calibri"/>
        </w:rPr>
        <w:t>darba vietas</w:t>
      </w:r>
      <w:proofErr w:type="gramEnd"/>
      <w:r w:rsidRPr="007E088E">
        <w:rPr>
          <w:rFonts w:eastAsia="Calibri"/>
        </w:rPr>
        <w:t xml:space="preserve"> „ēnu ekonomikā”, tajā skaitā – piekrītot strādāt neapmaksātas virsstundas (piemēram, pilna slodze par daļu no minimālās algas), strādāt bīstamos apstākļos u.c. Vienlaikus šādās situācijās bieži nepilnīgi tiek maksāti darba nodokļi, kas nelabvēlīgi ietekmē pieeju sociālās apdrošināšanas sistēmas pakalpojumiem. </w:t>
      </w:r>
      <w:r w:rsidRPr="007E088E">
        <w:rPr>
          <w:rFonts w:eastAsia="Calibri"/>
        </w:rPr>
        <w:lastRenderedPageBreak/>
        <w:t>Tiek vērtēts, ka Latvijā bez jebkāda ar veicamo darbu saistīta līguma noslēgšanas strādā mazs īpatsvars darbinieku</w:t>
      </w:r>
      <w:r w:rsidRPr="007E088E">
        <w:rPr>
          <w:rStyle w:val="FootnoteReference"/>
          <w:rFonts w:eastAsia="Calibri"/>
        </w:rPr>
        <w:footnoteReference w:id="83"/>
      </w:r>
      <w:r w:rsidRPr="007E088E">
        <w:rPr>
          <w:rFonts w:eastAsia="Calibri"/>
        </w:rPr>
        <w:t>, kas nozīmē, ka darba līgumu esamība tiek salīdzinoši efektīvi kontrolēta, taču minimālās algas noteikumu ievērošanas kontrole ir tehniski sarežģītāka, tādēļ minimālās algas efektīvi darbojas tikai situācijās, kad tās ir noteiktas tautsaimniecības situācijai atbilstošā līmenī un vienlaikus darbinieki var paļauties uz sociālās drošības sistēmas aizsardzību. Ja šādas paļāvības uz sociālās drošības sistēmu nav, tad „ēnu ekonomika” sāk darboties kā sava veida sociālās drošības tīkls</w:t>
      </w:r>
      <w:r w:rsidRPr="007E088E">
        <w:rPr>
          <w:rStyle w:val="FootnoteReference"/>
          <w:rFonts w:eastAsia="Calibri"/>
        </w:rPr>
        <w:footnoteReference w:id="84"/>
      </w:r>
      <w:r w:rsidRPr="007E088E">
        <w:rPr>
          <w:rFonts w:eastAsia="Calibri"/>
        </w:rPr>
        <w:t xml:space="preserve">, kas gan, iestājoties riska situācijām, vairs nedarbojas. </w:t>
      </w:r>
      <w:r>
        <w:t xml:space="preserve"> </w:t>
      </w:r>
    </w:p>
    <w:p w:rsidR="00502E3A" w:rsidRDefault="00502E3A" w:rsidP="00502E3A">
      <w:pPr>
        <w:ind w:firstLine="720"/>
        <w:jc w:val="both"/>
      </w:pPr>
    </w:p>
    <w:p w:rsidR="00502E3A" w:rsidRDefault="00502E3A" w:rsidP="00502E3A">
      <w:pPr>
        <w:ind w:firstLine="720"/>
        <w:jc w:val="both"/>
      </w:pPr>
      <w:r>
        <w:t xml:space="preserve">Ņemot vērā iepriekšminēto </w:t>
      </w:r>
      <w:r w:rsidR="00C70DB6">
        <w:t>saistībā ar</w:t>
      </w:r>
      <w:r>
        <w:t xml:space="preserve"> nabadzības un</w:t>
      </w:r>
      <w:r w:rsidR="00EC099C">
        <w:t xml:space="preserve"> zemas darba samaksas slazdiem, lai uzlabotu stimulus strādāt, </w:t>
      </w:r>
      <w:r w:rsidR="00321B57">
        <w:t>līdztekus veicamajiem uzlabojumiem</w:t>
      </w:r>
      <w:r w:rsidR="004C11E4">
        <w:t xml:space="preserve"> sociālajā palīdzībā, </w:t>
      </w:r>
      <w:r w:rsidR="00EC099C">
        <w:t xml:space="preserve">ir nepieciešams </w:t>
      </w:r>
      <w:r w:rsidR="004C11E4">
        <w:t xml:space="preserve">veikt izmaiņas darbaspēka nodokļu sistēmā. </w:t>
      </w:r>
    </w:p>
    <w:p w:rsidR="00502E3A" w:rsidRDefault="00502E3A" w:rsidP="00CE1A6D">
      <w:pPr>
        <w:ind w:firstLine="709"/>
        <w:jc w:val="both"/>
      </w:pPr>
      <w:r w:rsidRPr="00AA6405">
        <w:rPr>
          <w:b/>
        </w:rPr>
        <w:t xml:space="preserve">Darbaspēka </w:t>
      </w:r>
      <w:r w:rsidRPr="00062B7F">
        <w:rPr>
          <w:b/>
        </w:rPr>
        <w:t>nodokļus</w:t>
      </w:r>
      <w:r w:rsidRPr="00062B7F">
        <w:rPr>
          <w:rStyle w:val="FootnoteReference"/>
        </w:rPr>
        <w:footnoteReference w:id="85"/>
      </w:r>
      <w:r w:rsidRPr="00062B7F">
        <w:t xml:space="preserve"> </w:t>
      </w:r>
      <w:r w:rsidR="00062B7F" w:rsidRPr="00062B7F">
        <w:t>veido IIN pamatlikme, piemērojot IIN neapliekamo minimumu un atvieglojumus par apgādībā esošām personām, kā arī VSAOI, kas ietver</w:t>
      </w:r>
      <w:r w:rsidRPr="00062B7F">
        <w:t xml:space="preserve"> darba devēja un darba ņēmēja likmi. Saskaņā ar</w:t>
      </w:r>
      <w:r w:rsidR="00405007">
        <w:t xml:space="preserve"> Finanšu ministrijas informatīvā</w:t>
      </w:r>
      <w:r w:rsidRPr="00062B7F">
        <w:t xml:space="preserve"> </w:t>
      </w:r>
      <w:r w:rsidR="009A0131" w:rsidRPr="00062B7F">
        <w:t>ziņojuma</w:t>
      </w:r>
      <w:r w:rsidRPr="00062B7F">
        <w:t xml:space="preserve"> projektu (t</w:t>
      </w:r>
      <w:r w:rsidR="009A0131" w:rsidRPr="00062B7F">
        <w:t>urpmāk – ziņojuma projekts</w:t>
      </w:r>
      <w:r w:rsidRPr="00062B7F">
        <w:t>)</w:t>
      </w:r>
      <w:r w:rsidRPr="00062B7F">
        <w:rPr>
          <w:rStyle w:val="FootnoteReference"/>
        </w:rPr>
        <w:footnoteReference w:id="86"/>
      </w:r>
      <w:r w:rsidRPr="00062B7F">
        <w:t>, kā mērķis</w:t>
      </w:r>
      <w:r w:rsidRPr="00062B7F">
        <w:rPr>
          <w:b/>
        </w:rPr>
        <w:t xml:space="preserve"> </w:t>
      </w:r>
      <w:r w:rsidRPr="00062B7F">
        <w:t>ir</w:t>
      </w:r>
      <w:r w:rsidRPr="00062B7F">
        <w:rPr>
          <w:b/>
        </w:rPr>
        <w:t xml:space="preserve"> </w:t>
      </w:r>
      <w:r w:rsidRPr="00062B7F">
        <w:t>piedāvāt efektīvāku darbaspēka nodokļu pārdales risinājumu, kas mazinātu ienākumu nevienlīdzību Latvijā, „neapliekamā</w:t>
      </w:r>
      <w:r w:rsidRPr="00CE3835">
        <w:t xml:space="preserve"> minimuma izmaiņām ir relatīvi lielāka ietekme uz zemāk atalgotajiem darba ņēmējiem (ar algu zem vidējās). Tādējādi tas mērķtiecīgāk var ietekmēt tādus ar darba tirgu saistītos jautājumus kā bezdarbs, ekonomiskā aktivitāte, nabadzība un atkarība no pabalstiem. </w:t>
      </w:r>
      <w:proofErr w:type="gramStart"/>
      <w:r w:rsidRPr="00CE3835">
        <w:t>Pie tam</w:t>
      </w:r>
      <w:proofErr w:type="gramEnd"/>
      <w:r w:rsidRPr="00CE3835">
        <w:t xml:space="preserve"> ar neapliekamā minimuma palīdzību var nodrošināt lielāku ienākumu nodokļu sistēmas netiešo progresivitāti</w:t>
      </w:r>
      <w:r>
        <w:t>”</w:t>
      </w:r>
      <w:r w:rsidRPr="00CE3835">
        <w:t>.</w:t>
      </w:r>
      <w:r w:rsidR="009A0131">
        <w:t xml:space="preserve"> </w:t>
      </w:r>
      <w:r w:rsidR="00321B57">
        <w:t>L</w:t>
      </w:r>
      <w:r w:rsidRPr="000404B1">
        <w:rPr>
          <w:rFonts w:eastAsia="Calibri"/>
        </w:rPr>
        <w:t xml:space="preserve">ai gan neapliekamais minimums kopš 2009.gada ir paaugstināts: 2011.gadā no </w:t>
      </w:r>
      <w:r w:rsidRPr="000404B1">
        <w:t xml:space="preserve">49,80 </w:t>
      </w:r>
      <w:proofErr w:type="spellStart"/>
      <w:r w:rsidR="00CE1A6D" w:rsidRPr="00BD0F8B">
        <w:rPr>
          <w:i/>
          <w:iCs/>
        </w:rPr>
        <w:t>euro</w:t>
      </w:r>
      <w:proofErr w:type="spellEnd"/>
      <w:r w:rsidR="00CE1A6D" w:rsidRPr="000404B1">
        <w:t xml:space="preserve"> </w:t>
      </w:r>
      <w:r w:rsidRPr="000404B1">
        <w:t xml:space="preserve">uz 64,03 </w:t>
      </w:r>
      <w:proofErr w:type="spellStart"/>
      <w:r w:rsidR="00CE1A6D" w:rsidRPr="00BD0F8B">
        <w:rPr>
          <w:i/>
          <w:iCs/>
        </w:rPr>
        <w:t>euro</w:t>
      </w:r>
      <w:proofErr w:type="spellEnd"/>
      <w:r w:rsidR="00CE1A6D" w:rsidRPr="000404B1">
        <w:t xml:space="preserve"> </w:t>
      </w:r>
      <w:r w:rsidRPr="000404B1">
        <w:t xml:space="preserve">mēnesī un no 2014.gada 1.janvāra uz 75 </w:t>
      </w:r>
      <w:proofErr w:type="spellStart"/>
      <w:r w:rsidR="00CE1A6D" w:rsidRPr="00BD0F8B">
        <w:rPr>
          <w:i/>
          <w:iCs/>
        </w:rPr>
        <w:t>euro</w:t>
      </w:r>
      <w:proofErr w:type="spellEnd"/>
      <w:r w:rsidR="00CE1A6D" w:rsidRPr="000404B1">
        <w:t xml:space="preserve"> </w:t>
      </w:r>
      <w:r w:rsidRPr="000404B1">
        <w:t xml:space="preserve">mēnesī, tas </w:t>
      </w:r>
      <w:r>
        <w:t>[...]</w:t>
      </w:r>
      <w:r w:rsidRPr="000404B1">
        <w:t xml:space="preserve"> </w:t>
      </w:r>
      <w:r>
        <w:t xml:space="preserve">ir </w:t>
      </w:r>
      <w:r w:rsidR="00321B57">
        <w:t>uzskatāms par neadekvāti zemu</w:t>
      </w:r>
      <w:r w:rsidRPr="000404B1">
        <w:t xml:space="preserve">. </w:t>
      </w:r>
      <w:proofErr w:type="gramStart"/>
      <w:r w:rsidRPr="000404B1">
        <w:t>Pie tam</w:t>
      </w:r>
      <w:proofErr w:type="gramEnd"/>
      <w:r w:rsidRPr="000404B1">
        <w:t xml:space="preserve"> Latvijā neapliekamais minimums ir gandrīz divas reizes zemāks kā tas ir pārējās Baltijas valstīs. Proti, Latvijā pašreiz neapliekamais minimums ir </w:t>
      </w:r>
      <w:proofErr w:type="spellStart"/>
      <w:r w:rsidR="00CE1A6D" w:rsidRPr="00BD0F8B">
        <w:rPr>
          <w:i/>
          <w:iCs/>
        </w:rPr>
        <w:t>euro</w:t>
      </w:r>
      <w:proofErr w:type="spellEnd"/>
      <w:r w:rsidR="00CE1A6D" w:rsidRPr="000404B1">
        <w:t xml:space="preserve"> </w:t>
      </w:r>
      <w:r w:rsidRPr="000404B1">
        <w:t xml:space="preserve">75 mēnesī, kamēr Lietuvā tas ir 136 </w:t>
      </w:r>
      <w:proofErr w:type="spellStart"/>
      <w:r w:rsidR="00CE1A6D" w:rsidRPr="00BD0F8B">
        <w:rPr>
          <w:i/>
          <w:iCs/>
        </w:rPr>
        <w:t>euro</w:t>
      </w:r>
      <w:proofErr w:type="spellEnd"/>
      <w:r w:rsidR="00CE1A6D" w:rsidRPr="000404B1">
        <w:t xml:space="preserve"> </w:t>
      </w:r>
      <w:r w:rsidRPr="000404B1">
        <w:t xml:space="preserve">(tiek piemērots proporcionāli ienākumu līmenim), bet Igaunijā –144 </w:t>
      </w:r>
      <w:proofErr w:type="spellStart"/>
      <w:r w:rsidR="00CE1A6D" w:rsidRPr="00BD0F8B">
        <w:rPr>
          <w:i/>
          <w:iCs/>
        </w:rPr>
        <w:t>euro</w:t>
      </w:r>
      <w:proofErr w:type="spellEnd"/>
      <w:r w:rsidR="00CE1A6D" w:rsidRPr="000404B1">
        <w:t xml:space="preserve"> </w:t>
      </w:r>
      <w:r w:rsidRPr="000404B1">
        <w:t>mēnesī.</w:t>
      </w:r>
      <w:r>
        <w:t>”</w:t>
      </w:r>
    </w:p>
    <w:p w:rsidR="00502E3A" w:rsidRDefault="00502E3A" w:rsidP="00502E3A">
      <w:pPr>
        <w:ind w:firstLine="709"/>
        <w:jc w:val="both"/>
      </w:pPr>
      <w:r w:rsidRPr="000404B1">
        <w:t xml:space="preserve">Pēc </w:t>
      </w:r>
      <w:r w:rsidR="00D770F2" w:rsidRPr="00CE1A6D">
        <w:t>EURO</w:t>
      </w:r>
      <w:r w:rsidRPr="000404B1">
        <w:t>STAT datiem, 2012.gadā zemo algu grupā strādājošajam (kas saņem 67% no vidējās algas, bez apgādībā esošām personām) Latvijā nodokļu plaisa</w:t>
      </w:r>
      <w:r w:rsidRPr="000404B1">
        <w:rPr>
          <w:rStyle w:val="FootnoteReference"/>
        </w:rPr>
        <w:footnoteReference w:id="87"/>
      </w:r>
      <w:r w:rsidRPr="000404B1">
        <w:t xml:space="preserve"> 43,6% bija viena no augstākajām ES, atpaliekot tikai no Beļģijas, Ungārijas, Francijas, Vācijas, Itālijas un Austrijas. Pārējās Baltijas valstīs šis rādītājs bija 39,2%, kas ir tuvu ES vidējam rādītājam – 39,9</w:t>
      </w:r>
      <w:r w:rsidRPr="00CE3835">
        <w:t xml:space="preserve">% jeb par 4,4 procentpunktiem zemāks kā Latvijā. </w:t>
      </w:r>
    </w:p>
    <w:p w:rsidR="0052601A" w:rsidRPr="00CE3835" w:rsidRDefault="00502E3A" w:rsidP="00CE1A6D">
      <w:pPr>
        <w:spacing w:after="120"/>
        <w:ind w:firstLine="709"/>
        <w:jc w:val="both"/>
        <w:rPr>
          <w:lang w:val="cs-CZ"/>
        </w:rPr>
      </w:pPr>
      <w:r w:rsidRPr="00CE3835">
        <w:t xml:space="preserve">Pēc Finanšu ministrijas aprēķiniem, 2013.gadā, IIN likmes samazināšanas no 25% uz 24% un atvieglojuma par apgādībā esošām personām paaugstināšanas rezultātā, nodokļu plaisas rādītājs zemu algu saņēmējiem ir nokrities uz 42,9%, kas joprojām ir augsts rādītājs ES valstu līmenī. Savukārt 2014.gadā, ņemot vērā veiktās izmaiņas darbaspēka nodokļu sloga mazināšanai, nodokļu plaisas rādītājs turpinās pakāpeniski samazināties līdz 2016.gadā sasniegs 41,1%. Tomēr tas joprojām būs nedaudz augstāks kā pārējās Baltijas valstīs un ES </w:t>
      </w:r>
      <w:r w:rsidRPr="00CE3835">
        <w:lastRenderedPageBreak/>
        <w:t>vidēji. Tādējādi, lai</w:t>
      </w:r>
      <w:r w:rsidRPr="00CE3835">
        <w:rPr>
          <w:rStyle w:val="hps"/>
        </w:rPr>
        <w:t xml:space="preserve"> nodrošinātu </w:t>
      </w:r>
      <w:r w:rsidR="00321B57" w:rsidRPr="00CE3835">
        <w:rPr>
          <w:rStyle w:val="hps"/>
        </w:rPr>
        <w:t xml:space="preserve">nodokļu sloga samazinājumu </w:t>
      </w:r>
      <w:r w:rsidR="00321B57">
        <w:rPr>
          <w:rStyle w:val="hps"/>
        </w:rPr>
        <w:t>zemu atalgotajiem</w:t>
      </w:r>
      <w:r w:rsidRPr="00CE3835">
        <w:rPr>
          <w:rStyle w:val="hps"/>
        </w:rPr>
        <w:t xml:space="preserve"> darba ņēmēj</w:t>
      </w:r>
      <w:r w:rsidR="00321B57">
        <w:rPr>
          <w:rStyle w:val="hps"/>
        </w:rPr>
        <w:t>iem</w:t>
      </w:r>
      <w:r w:rsidRPr="00CE3835">
        <w:rPr>
          <w:rStyle w:val="hps"/>
        </w:rPr>
        <w:t xml:space="preserve">, kuriem nav apgādībā esošu personu, būtu </w:t>
      </w:r>
      <w:r w:rsidRPr="007A4738">
        <w:t xml:space="preserve">nepieciešams veikt </w:t>
      </w:r>
      <w:r w:rsidRPr="007A4738">
        <w:rPr>
          <w:bCs/>
        </w:rPr>
        <w:t>pakāpenisku neapliekamā minimuma palielināšanu</w:t>
      </w:r>
      <w:r w:rsidR="003517CE">
        <w:rPr>
          <w:bCs/>
        </w:rPr>
        <w:t xml:space="preserve">, ņemot vērā attiecīgajā gadā spēkā esošo minimālā ienākuma līmeni. </w:t>
      </w:r>
      <w:r w:rsidR="004C11E4">
        <w:rPr>
          <w:bCs/>
        </w:rPr>
        <w:t xml:space="preserve">IIN neapliekamā minimuma palielināšana līdz ar izmaiņām </w:t>
      </w:r>
      <w:r w:rsidR="00321B57">
        <w:rPr>
          <w:bCs/>
        </w:rPr>
        <w:t>GMI</w:t>
      </w:r>
      <w:r w:rsidR="004C11E4">
        <w:rPr>
          <w:bCs/>
        </w:rPr>
        <w:t xml:space="preserve"> </w:t>
      </w:r>
      <w:r w:rsidR="00321B57">
        <w:rPr>
          <w:bCs/>
        </w:rPr>
        <w:t xml:space="preserve">līmeņa </w:t>
      </w:r>
      <w:r w:rsidR="004C11E4">
        <w:rPr>
          <w:bCs/>
        </w:rPr>
        <w:t xml:space="preserve">apmērā un </w:t>
      </w:r>
      <w:r w:rsidR="00321B57">
        <w:rPr>
          <w:bCs/>
        </w:rPr>
        <w:t xml:space="preserve">tā </w:t>
      </w:r>
      <w:r w:rsidR="004C11E4">
        <w:rPr>
          <w:bCs/>
        </w:rPr>
        <w:t>noteikšanas nosacījumos</w:t>
      </w:r>
      <w:r w:rsidR="00C7149C">
        <w:rPr>
          <w:bCs/>
        </w:rPr>
        <w:t xml:space="preserve"> </w:t>
      </w:r>
      <w:r w:rsidR="004C11E4">
        <w:rPr>
          <w:bCs/>
        </w:rPr>
        <w:t>būs progresīva, jo ietekmēs tieši iedzīvotājus ar zemākajiem ienākumiem (zemākās deciles)</w:t>
      </w:r>
      <w:r w:rsidR="004C11E4">
        <w:rPr>
          <w:rStyle w:val="FootnoteReference"/>
          <w:bCs/>
        </w:rPr>
        <w:footnoteReference w:id="88"/>
      </w:r>
      <w:r w:rsidR="004C11E4">
        <w:rPr>
          <w:bCs/>
        </w:rPr>
        <w:t xml:space="preserve">.  </w:t>
      </w:r>
    </w:p>
    <w:p w:rsidR="00E07B10" w:rsidRDefault="003E3487" w:rsidP="00062BEB">
      <w:pPr>
        <w:pStyle w:val="Heading2"/>
        <w:numPr>
          <w:ilvl w:val="1"/>
          <w:numId w:val="47"/>
        </w:numPr>
      </w:pPr>
      <w:bookmarkStart w:id="35" w:name="_Toc401572483"/>
      <w:r>
        <w:t>Minimālie ienākumu līmeņi Igaunijā un Lietuvā</w:t>
      </w:r>
      <w:bookmarkEnd w:id="35"/>
      <w:r>
        <w:t xml:space="preserve"> </w:t>
      </w:r>
    </w:p>
    <w:p w:rsidR="00E07B10" w:rsidRDefault="00E07B10" w:rsidP="0010224A">
      <w:pPr>
        <w:jc w:val="both"/>
        <w:rPr>
          <w:b/>
        </w:rPr>
      </w:pPr>
    </w:p>
    <w:p w:rsidR="001244CF" w:rsidRDefault="001244CF" w:rsidP="001244CF">
      <w:pPr>
        <w:ind w:firstLine="720"/>
        <w:jc w:val="both"/>
      </w:pPr>
      <w:r w:rsidRPr="00173A24">
        <w:rPr>
          <w:b/>
        </w:rPr>
        <w:t xml:space="preserve">Igaunijā </w:t>
      </w:r>
      <w:r w:rsidRPr="00173A24">
        <w:t xml:space="preserve">nabadzības </w:t>
      </w:r>
      <w:r>
        <w:t>līmenis</w:t>
      </w:r>
      <w:r w:rsidRPr="00173A24">
        <w:t xml:space="preserve"> ir noteikts</w:t>
      </w:r>
      <w:r>
        <w:rPr>
          <w:rStyle w:val="FootnoteReference"/>
        </w:rPr>
        <w:footnoteReference w:id="89"/>
      </w:r>
      <w:r w:rsidRPr="00173A24">
        <w:t>, pamatojoties uz</w:t>
      </w:r>
      <w:r>
        <w:t xml:space="preserve"> absolūtās nabadzības slieksni, kas tiek rēķināts, pamatojoties uz </w:t>
      </w:r>
      <w:r w:rsidR="00C7149C">
        <w:t>OECD</w:t>
      </w:r>
      <w:r>
        <w:t xml:space="preserve"> metodoloģiju nabadzības mērīšanā, tomēr piemērojot nevis </w:t>
      </w:r>
      <w:r w:rsidR="00C7149C">
        <w:t>OECD modificēto ekvivalences skalu, ko piemēro ES (1; 0.5; 0.3)</w:t>
      </w:r>
      <w:r>
        <w:t>, bet OECD ekvivalences skalu 1; 0.7; 0</w:t>
      </w:r>
      <w:r w:rsidR="00DE78AC">
        <w:t>.</w:t>
      </w:r>
      <w:r w:rsidR="002A01E3">
        <w:t>5</w:t>
      </w:r>
      <w:r>
        <w:t>. Šo absolūtās nabadzības slieksni</w:t>
      </w:r>
      <w:r w:rsidRPr="00173A24">
        <w:t xml:space="preserve"> </w:t>
      </w:r>
      <w:r>
        <w:t xml:space="preserve">Igaunijā aprēķina, pamatojoties uz minimālajiem mājsaimniecību izdevumiem. 2005.gadā absolūtās nabadzības slieksni pielīdzināja Igaunijā rēķinātajam iztikas minimumam. </w:t>
      </w:r>
      <w:r w:rsidRPr="00173A24">
        <w:t xml:space="preserve">Kopumā Igaunijā var izdalīt 4 nabadzības </w:t>
      </w:r>
      <w:r>
        <w:t>līmeņus</w:t>
      </w:r>
      <w:r w:rsidRPr="00173A24">
        <w:t xml:space="preserve">: </w:t>
      </w:r>
    </w:p>
    <w:p w:rsidR="001244CF" w:rsidRPr="00173A24" w:rsidRDefault="001244CF" w:rsidP="001244CF">
      <w:pPr>
        <w:pStyle w:val="ListParagraph"/>
        <w:numPr>
          <w:ilvl w:val="0"/>
          <w:numId w:val="7"/>
        </w:numPr>
        <w:jc w:val="both"/>
        <w:rPr>
          <w:rFonts w:ascii="Times New Roman" w:hAnsi="Times New Roman"/>
        </w:rPr>
      </w:pPr>
      <w:r w:rsidRPr="00173A24">
        <w:rPr>
          <w:rFonts w:ascii="Times New Roman" w:hAnsi="Times New Roman"/>
        </w:rPr>
        <w:t>Tiešā nabadzība</w:t>
      </w:r>
      <w:r>
        <w:rPr>
          <w:rFonts w:ascii="Times New Roman" w:hAnsi="Times New Roman"/>
        </w:rPr>
        <w:t xml:space="preserve"> </w:t>
      </w:r>
      <w:r w:rsidRPr="00767B46">
        <w:rPr>
          <w:rFonts w:ascii="Times New Roman" w:hAnsi="Times New Roman"/>
          <w:i/>
        </w:rPr>
        <w:t>(direct poverty)</w:t>
      </w:r>
      <w:r w:rsidRPr="00173A24">
        <w:rPr>
          <w:rFonts w:ascii="Times New Roman" w:hAnsi="Times New Roman"/>
        </w:rPr>
        <w:t>, kurā iekļautas mājsaimniecības, kuru ienākumi ir zem tiešā nabadzības sliekšņa (t.i., 80% no absolūtās nabadzības sliekšņa);</w:t>
      </w:r>
    </w:p>
    <w:p w:rsidR="001244CF" w:rsidRPr="00173A24" w:rsidRDefault="001244CF" w:rsidP="001244CF">
      <w:pPr>
        <w:pStyle w:val="ListParagraph"/>
        <w:numPr>
          <w:ilvl w:val="0"/>
          <w:numId w:val="7"/>
        </w:numPr>
        <w:jc w:val="both"/>
        <w:rPr>
          <w:rFonts w:ascii="Times New Roman" w:hAnsi="Times New Roman"/>
        </w:rPr>
      </w:pPr>
      <w:r w:rsidRPr="00173A24">
        <w:rPr>
          <w:rFonts w:ascii="Times New Roman" w:hAnsi="Times New Roman"/>
        </w:rPr>
        <w:t xml:space="preserve">Nabadzība, kā rezultātā tiek apdraudēta </w:t>
      </w:r>
      <w:r w:rsidRPr="00767B46">
        <w:rPr>
          <w:rFonts w:ascii="Times New Roman" w:hAnsi="Times New Roman"/>
        </w:rPr>
        <w:t>izdzīvošana (</w:t>
      </w:r>
      <w:r w:rsidRPr="00767B46">
        <w:rPr>
          <w:rFonts w:ascii="Times New Roman" w:eastAsia="Calibri" w:hAnsi="Times New Roman"/>
          <w:i/>
          <w:iCs/>
          <w:lang w:eastAsia="lv-LV"/>
        </w:rPr>
        <w:t>poverty endangering subsistence)</w:t>
      </w:r>
      <w:r w:rsidRPr="00767B46">
        <w:rPr>
          <w:rFonts w:ascii="Times New Roman" w:hAnsi="Times New Roman"/>
        </w:rPr>
        <w:t>, kur</w:t>
      </w:r>
      <w:r w:rsidRPr="00173A24">
        <w:rPr>
          <w:rFonts w:ascii="Times New Roman" w:hAnsi="Times New Roman"/>
        </w:rPr>
        <w:t xml:space="preserve"> ietvertas mājsaimniecības, kuru ienākumu veidojas starp tiešo nabadzības slieksni un absolūto nabadzības slieksni (t.i., 80%-100% no absolūtās nabadzības sliekšņa);</w:t>
      </w:r>
    </w:p>
    <w:p w:rsidR="001244CF" w:rsidRPr="00173A24" w:rsidRDefault="001244CF" w:rsidP="001244CF">
      <w:pPr>
        <w:pStyle w:val="ListParagraph"/>
        <w:numPr>
          <w:ilvl w:val="0"/>
          <w:numId w:val="7"/>
        </w:numPr>
        <w:jc w:val="both"/>
        <w:rPr>
          <w:rFonts w:ascii="Times New Roman" w:hAnsi="Times New Roman"/>
        </w:rPr>
      </w:pPr>
      <w:r w:rsidRPr="00C7149C">
        <w:rPr>
          <w:rFonts w:ascii="Times New Roman" w:hAnsi="Times New Roman"/>
        </w:rPr>
        <w:t>Nabadzības riska zona (</w:t>
      </w:r>
      <w:r w:rsidRPr="00C7149C">
        <w:rPr>
          <w:rFonts w:ascii="Times New Roman" w:eastAsia="Calibri" w:hAnsi="Times New Roman"/>
          <w:i/>
          <w:iCs/>
          <w:lang w:eastAsia="lv-LV"/>
        </w:rPr>
        <w:t>at-risk-of-poverty area)</w:t>
      </w:r>
      <w:r w:rsidRPr="00C7149C">
        <w:rPr>
          <w:rFonts w:ascii="Times New Roman" w:hAnsi="Times New Roman"/>
        </w:rPr>
        <w:t>, kur iekļautas mājsaimniecības, kuru</w:t>
      </w:r>
      <w:r w:rsidRPr="00173A24">
        <w:rPr>
          <w:rFonts w:ascii="Times New Roman" w:hAnsi="Times New Roman"/>
        </w:rPr>
        <w:t xml:space="preserve"> ienākumi ir augstāki nekā absolūtās nabadzības slieksnis, bet zemāki kā nabadzības riska slieksnis (t.i., līdz 125% no absolūtās nabadzības sliekšņa);</w:t>
      </w:r>
    </w:p>
    <w:p w:rsidR="001244CF" w:rsidRPr="00173A24" w:rsidRDefault="00C7149C" w:rsidP="001244CF">
      <w:pPr>
        <w:pStyle w:val="ListParagraph"/>
        <w:numPr>
          <w:ilvl w:val="0"/>
          <w:numId w:val="7"/>
        </w:numPr>
        <w:ind w:left="714" w:hanging="357"/>
        <w:jc w:val="both"/>
        <w:rPr>
          <w:rFonts w:ascii="Times New Roman" w:hAnsi="Times New Roman"/>
        </w:rPr>
      </w:pPr>
      <w:r>
        <w:rPr>
          <w:rFonts w:ascii="Times New Roman" w:hAnsi="Times New Roman"/>
        </w:rPr>
        <w:t>Ārpus n</w:t>
      </w:r>
      <w:r w:rsidR="001244CF" w:rsidRPr="00C7149C">
        <w:rPr>
          <w:rFonts w:ascii="Times New Roman" w:hAnsi="Times New Roman"/>
        </w:rPr>
        <w:t>abadzības riska zona</w:t>
      </w:r>
      <w:r>
        <w:rPr>
          <w:rFonts w:ascii="Times New Roman" w:hAnsi="Times New Roman"/>
        </w:rPr>
        <w:t>s</w:t>
      </w:r>
      <w:r w:rsidR="001244CF" w:rsidRPr="00C7149C">
        <w:rPr>
          <w:rFonts w:ascii="Times New Roman" w:hAnsi="Times New Roman"/>
        </w:rPr>
        <w:t xml:space="preserve"> (</w:t>
      </w:r>
      <w:r w:rsidR="001244CF" w:rsidRPr="00C7149C">
        <w:rPr>
          <w:rFonts w:ascii="Times New Roman" w:eastAsia="Calibri" w:hAnsi="Times New Roman"/>
          <w:i/>
          <w:iCs/>
          <w:lang w:eastAsia="lv-LV"/>
        </w:rPr>
        <w:t>poverty-risk-free area)</w:t>
      </w:r>
      <w:r w:rsidR="001244CF" w:rsidRPr="00C7149C">
        <w:rPr>
          <w:rFonts w:ascii="Times New Roman" w:hAnsi="Times New Roman"/>
        </w:rPr>
        <w:t>, kur iekļautas mājsaimniecības</w:t>
      </w:r>
      <w:r w:rsidR="00750E7B" w:rsidRPr="00C7149C">
        <w:rPr>
          <w:rFonts w:ascii="Times New Roman" w:hAnsi="Times New Roman"/>
        </w:rPr>
        <w:t>, kuru</w:t>
      </w:r>
      <w:r w:rsidR="001244CF" w:rsidRPr="00173A24">
        <w:rPr>
          <w:rFonts w:ascii="Times New Roman" w:hAnsi="Times New Roman"/>
        </w:rPr>
        <w:t xml:space="preserve"> ienākumi ir augstāki nekā nabadzības riska slieksnis (t.i., vairāk kā 125% no absolūtās nabadzības sliekšņa)</w:t>
      </w:r>
      <w:r w:rsidR="001244CF" w:rsidRPr="00173A24">
        <w:rPr>
          <w:rFonts w:ascii="Times New Roman" w:hAnsi="Times New Roman"/>
          <w:bCs/>
          <w:iCs/>
        </w:rPr>
        <w:t>.</w:t>
      </w:r>
    </w:p>
    <w:p w:rsidR="001244CF" w:rsidRDefault="001244CF" w:rsidP="001244CF">
      <w:pPr>
        <w:ind w:firstLine="720"/>
        <w:jc w:val="both"/>
      </w:pPr>
    </w:p>
    <w:p w:rsidR="001244CF" w:rsidRDefault="001244CF" w:rsidP="00CE1A6D">
      <w:pPr>
        <w:ind w:firstLine="720"/>
        <w:jc w:val="both"/>
        <w:rPr>
          <w:bCs/>
        </w:rPr>
      </w:pPr>
      <w:r>
        <w:rPr>
          <w:bCs/>
        </w:rPr>
        <w:t xml:space="preserve">Iztikas minimuma līmenis jeb absolūtās nabadzības slieksnis </w:t>
      </w:r>
      <w:r w:rsidRPr="00C37279">
        <w:rPr>
          <w:bCs/>
        </w:rPr>
        <w:t>2014.gadā ir 90</w:t>
      </w:r>
      <w:r w:rsidR="00CE1A6D">
        <w:rPr>
          <w:bCs/>
        </w:rPr>
        <w:t xml:space="preserve"> </w:t>
      </w:r>
      <w:proofErr w:type="spellStart"/>
      <w:r w:rsidR="00CE1A6D" w:rsidRPr="00BD0F8B">
        <w:rPr>
          <w:i/>
          <w:iCs/>
        </w:rPr>
        <w:t>euro</w:t>
      </w:r>
      <w:proofErr w:type="spellEnd"/>
      <w:r w:rsidRPr="00C37279">
        <w:rPr>
          <w:bCs/>
        </w:rPr>
        <w:t xml:space="preserve"> pirmajam mājsaimniecības loceklim un 72 </w:t>
      </w:r>
      <w:proofErr w:type="spellStart"/>
      <w:r w:rsidR="00CE1A6D" w:rsidRPr="00BD0F8B">
        <w:rPr>
          <w:i/>
          <w:iCs/>
        </w:rPr>
        <w:t>euro</w:t>
      </w:r>
      <w:proofErr w:type="spellEnd"/>
      <w:r w:rsidR="00CE1A6D" w:rsidRPr="000404B1">
        <w:t xml:space="preserve"> </w:t>
      </w:r>
      <w:r w:rsidRPr="00C37279">
        <w:rPr>
          <w:bCs/>
        </w:rPr>
        <w:t>pārējiem mājsaimniecības locekļiem (ieskaitot bērnus)</w:t>
      </w:r>
      <w:r w:rsidRPr="00C37279">
        <w:rPr>
          <w:rStyle w:val="FootnoteReference"/>
          <w:bCs/>
        </w:rPr>
        <w:footnoteReference w:id="90"/>
      </w:r>
      <w:r w:rsidRPr="00C37279">
        <w:rPr>
          <w:bCs/>
        </w:rPr>
        <w:t xml:space="preserve">. </w:t>
      </w:r>
      <w:r>
        <w:rPr>
          <w:bCs/>
        </w:rPr>
        <w:t>T</w:t>
      </w:r>
      <w:r w:rsidRPr="00C37279">
        <w:rPr>
          <w:bCs/>
        </w:rPr>
        <w:t>rūcīgajiem iedzīvotājiem</w:t>
      </w:r>
      <w:r w:rsidRPr="001E16F5">
        <w:rPr>
          <w:bCs/>
        </w:rPr>
        <w:t xml:space="preserve"> </w:t>
      </w:r>
      <w:r w:rsidRPr="00C37279">
        <w:rPr>
          <w:bCs/>
        </w:rPr>
        <w:t xml:space="preserve">Igaunijā, kuru ienākumi nesasniedz </w:t>
      </w:r>
      <w:r>
        <w:rPr>
          <w:bCs/>
        </w:rPr>
        <w:t xml:space="preserve">minēto </w:t>
      </w:r>
      <w:r w:rsidRPr="00C37279">
        <w:rPr>
          <w:bCs/>
        </w:rPr>
        <w:t>iztikas minimuma līmeni</w:t>
      </w:r>
      <w:r>
        <w:rPr>
          <w:bCs/>
        </w:rPr>
        <w:t xml:space="preserve">, tiek izmaksāts </w:t>
      </w:r>
      <w:r w:rsidRPr="00C37279">
        <w:rPr>
          <w:bCs/>
        </w:rPr>
        <w:t>iztikas pabalsts</w:t>
      </w:r>
      <w:r>
        <w:rPr>
          <w:bCs/>
        </w:rPr>
        <w:t xml:space="preserve">, kas </w:t>
      </w:r>
      <w:r w:rsidRPr="00C37279">
        <w:rPr>
          <w:bCs/>
        </w:rPr>
        <w:t xml:space="preserve">ir paredzēts pamatvajadzību - pārtika, apģērbs, apavi un citas preces un pakalpojumi, izņemot izdevumus </w:t>
      </w:r>
      <w:r>
        <w:rPr>
          <w:bCs/>
        </w:rPr>
        <w:t xml:space="preserve">par mājokli - izdevumu segšanai, t.i., </w:t>
      </w:r>
      <w:r w:rsidR="00023082">
        <w:rPr>
          <w:bCs/>
        </w:rPr>
        <w:t>ienākumi iztikas minimuma nodrošināšanai tiek aprēķināti pēc tam, kad segti izdevumi par mājokli</w:t>
      </w:r>
      <w:r w:rsidR="00023082" w:rsidRPr="00C37279">
        <w:rPr>
          <w:rStyle w:val="FootnoteReference"/>
          <w:bCs/>
        </w:rPr>
        <w:t xml:space="preserve"> </w:t>
      </w:r>
      <w:r w:rsidRPr="00C37279">
        <w:rPr>
          <w:rStyle w:val="FootnoteReference"/>
          <w:bCs/>
        </w:rPr>
        <w:footnoteReference w:id="91"/>
      </w:r>
      <w:r>
        <w:rPr>
          <w:bCs/>
        </w:rPr>
        <w:t xml:space="preserve">. </w:t>
      </w:r>
      <w:r w:rsidR="000A4097">
        <w:rPr>
          <w:bCs/>
        </w:rPr>
        <w:t xml:space="preserve">Ja mājsaimniecībā ir nepilngadīgi bērni, tad papildus tiek nodrošināta piemaksa 15 </w:t>
      </w:r>
      <w:proofErr w:type="spellStart"/>
      <w:r w:rsidR="000A4097" w:rsidRPr="000A4097">
        <w:rPr>
          <w:bCs/>
          <w:i/>
        </w:rPr>
        <w:t>euro</w:t>
      </w:r>
      <w:proofErr w:type="spellEnd"/>
      <w:r w:rsidR="000A4097">
        <w:rPr>
          <w:bCs/>
        </w:rPr>
        <w:t xml:space="preserve"> apmērā. Tāpat Igaunijā ir noteikts arī ģimenes pabalsts, kura mērķis ir sniegt atbalstu ģimenēm ar bērniem, kuru ienākumi ir zemāki par relatīvo nabadzības slieksni</w:t>
      </w:r>
      <w:r w:rsidR="00EE4BB0">
        <w:rPr>
          <w:bCs/>
        </w:rPr>
        <w:t xml:space="preserve">, kur piemērota iepriekšminētā </w:t>
      </w:r>
      <w:r w:rsidR="000A4097">
        <w:rPr>
          <w:bCs/>
        </w:rPr>
        <w:t>OECD e</w:t>
      </w:r>
      <w:r w:rsidR="00FD6589">
        <w:rPr>
          <w:bCs/>
        </w:rPr>
        <w:t>kvivalences skala 1, 0.7 un 0.5. Attiecīgi</w:t>
      </w:r>
      <w:r w:rsidR="000A4097">
        <w:rPr>
          <w:bCs/>
        </w:rPr>
        <w:t xml:space="preserve"> pirmajam mājsaimniecības loceklim – 299 </w:t>
      </w:r>
      <w:proofErr w:type="spellStart"/>
      <w:r w:rsidR="000A4097" w:rsidRPr="000A4097">
        <w:rPr>
          <w:bCs/>
          <w:i/>
        </w:rPr>
        <w:t>euro</w:t>
      </w:r>
      <w:proofErr w:type="spellEnd"/>
      <w:r w:rsidR="000A4097">
        <w:rPr>
          <w:bCs/>
        </w:rPr>
        <w:t xml:space="preserve"> mēnesī, nākamajiem mājsaimniecību locekļiem virs 14 gadu vecuma – 149,50 </w:t>
      </w:r>
      <w:proofErr w:type="spellStart"/>
      <w:r w:rsidR="000A4097" w:rsidRPr="000A4097">
        <w:rPr>
          <w:bCs/>
          <w:i/>
        </w:rPr>
        <w:t>euro</w:t>
      </w:r>
      <w:proofErr w:type="spellEnd"/>
      <w:r w:rsidR="000A4097">
        <w:rPr>
          <w:bCs/>
        </w:rPr>
        <w:t xml:space="preserve"> mēnesī un bērniem līdz 14 </w:t>
      </w:r>
      <w:r w:rsidR="000A4097">
        <w:rPr>
          <w:bCs/>
        </w:rPr>
        <w:lastRenderedPageBreak/>
        <w:t xml:space="preserve">gadiem – 89,70 </w:t>
      </w:r>
      <w:proofErr w:type="spellStart"/>
      <w:r w:rsidR="000A4097" w:rsidRPr="000A4097">
        <w:rPr>
          <w:bCs/>
          <w:i/>
        </w:rPr>
        <w:t>euro</w:t>
      </w:r>
      <w:proofErr w:type="spellEnd"/>
      <w:r w:rsidR="000A4097">
        <w:rPr>
          <w:bCs/>
        </w:rPr>
        <w:t xml:space="preserve"> mēnesī</w:t>
      </w:r>
      <w:r w:rsidR="0047153C">
        <w:rPr>
          <w:rStyle w:val="FootnoteReference"/>
          <w:bCs/>
        </w:rPr>
        <w:footnoteReference w:id="92"/>
      </w:r>
      <w:r w:rsidR="000A4097">
        <w:rPr>
          <w:bCs/>
        </w:rPr>
        <w:t xml:space="preserve">. Savukārt </w:t>
      </w:r>
      <w:r w:rsidR="00E206C5">
        <w:rPr>
          <w:bCs/>
        </w:rPr>
        <w:t xml:space="preserve">IIN neapliekamais minimums un IIN atvieglojums par apgādībā esošiem bērniem </w:t>
      </w:r>
      <w:r w:rsidR="006A2CCD">
        <w:rPr>
          <w:bCs/>
        </w:rPr>
        <w:t xml:space="preserve">Igaunijā ir noteikti vienādā apmērā – </w:t>
      </w:r>
      <w:r w:rsidR="00E206C5">
        <w:rPr>
          <w:bCs/>
        </w:rPr>
        <w:t>144</w:t>
      </w:r>
      <w:r w:rsidR="006A2CCD">
        <w:rPr>
          <w:bCs/>
        </w:rPr>
        <w:t xml:space="preserve"> </w:t>
      </w:r>
      <w:proofErr w:type="spellStart"/>
      <w:r w:rsidR="00E206C5" w:rsidRPr="00E206C5">
        <w:rPr>
          <w:bCs/>
          <w:i/>
        </w:rPr>
        <w:t>euro</w:t>
      </w:r>
      <w:proofErr w:type="spellEnd"/>
      <w:r w:rsidR="006A2CCD">
        <w:rPr>
          <w:bCs/>
        </w:rPr>
        <w:t xml:space="preserve"> mēnesī</w:t>
      </w:r>
      <w:r w:rsidR="000A4097">
        <w:rPr>
          <w:rStyle w:val="FootnoteReference"/>
          <w:bCs/>
        </w:rPr>
        <w:footnoteReference w:id="93"/>
      </w:r>
      <w:r w:rsidR="00E206C5">
        <w:rPr>
          <w:bCs/>
          <w:i/>
        </w:rPr>
        <w:t>.</w:t>
      </w:r>
    </w:p>
    <w:p w:rsidR="00E206C5" w:rsidRDefault="001244CF" w:rsidP="00E206C5">
      <w:pPr>
        <w:ind w:firstLine="720"/>
        <w:jc w:val="both"/>
        <w:rPr>
          <w:bCs/>
        </w:rPr>
      </w:pPr>
      <w:r w:rsidRPr="00173A24">
        <w:rPr>
          <w:b/>
        </w:rPr>
        <w:t xml:space="preserve">Lietuvā </w:t>
      </w:r>
      <w:r w:rsidR="001958F4" w:rsidRPr="001958F4">
        <w:t>minimālā ienākuma līmenis</w:t>
      </w:r>
      <w:r w:rsidR="001958F4">
        <w:t xml:space="preserve"> ietver sociālās palīdzības pabalstu un sociālo palīdzību skolēniem</w:t>
      </w:r>
      <w:r w:rsidR="001958F4">
        <w:rPr>
          <w:rStyle w:val="FootnoteReference"/>
        </w:rPr>
        <w:footnoteReference w:id="94"/>
      </w:r>
      <w:r w:rsidR="00D1326C">
        <w:t xml:space="preserve">, kurus ir tiesīgas saņemt mājsaimniecības vai personas, kuru ienākumi ir zemāki par valsts nodrošināto ienākumu līmeni. Lēmumu par valsts nodrošināto ienākumu līmeni pieņem valdība, taču nepastāv noteikta minētā līmeņa aprēķina metodoloģija. 2014.gadā valsts nodrošinātais ienākumu līmenis ir 101 </w:t>
      </w:r>
      <w:proofErr w:type="spellStart"/>
      <w:r w:rsidR="00D1326C" w:rsidRPr="00D1326C">
        <w:rPr>
          <w:i/>
        </w:rPr>
        <w:t>euro</w:t>
      </w:r>
      <w:proofErr w:type="spellEnd"/>
      <w:r w:rsidR="00D1326C">
        <w:t xml:space="preserve">. Lielākā daļa pabalstu apmēri ir noteikti šī valsts nodrošinātā ienākuma līmeņa apmērā vai ir augstāki, taču to apmēri nevar pārsniegt 20% no valsts nodrošinātā ienākuma līmeņa, t.i., 101 </w:t>
      </w:r>
      <w:proofErr w:type="spellStart"/>
      <w:r w:rsidR="00D1326C" w:rsidRPr="00D1326C">
        <w:rPr>
          <w:i/>
        </w:rPr>
        <w:t>euro</w:t>
      </w:r>
      <w:proofErr w:type="spellEnd"/>
      <w:r w:rsidR="00D1326C">
        <w:t xml:space="preserve">. Pabalstu apmēri tiek diferencēti atkarībā no mājsaimniecības locekļu skaita – pirmajam mājsaimniecības loceklim pabalsts tiek izmaksāts 100% apmērā, 80% </w:t>
      </w:r>
      <w:r w:rsidR="00AC042E">
        <w:t xml:space="preserve">– </w:t>
      </w:r>
      <w:r w:rsidR="00D1326C">
        <w:t>otrajam</w:t>
      </w:r>
      <w:r w:rsidR="00AC042E">
        <w:t xml:space="preserve"> </w:t>
      </w:r>
      <w:r w:rsidR="00D1326C">
        <w:t>mājsaimniecības loceklim un 70%</w:t>
      </w:r>
      <w:r w:rsidR="00AC042E">
        <w:t xml:space="preserve"> </w:t>
      </w:r>
      <w:r w:rsidR="00D1326C">
        <w:t xml:space="preserve">– trešajam un nākamajiem mājsaimniecību locekļiem. </w:t>
      </w:r>
      <w:r w:rsidR="00AC042E">
        <w:t xml:space="preserve">Piemēram, pārim ar vienu bērnu valsts nodrošinātā ienākuma līmenis veido 253 </w:t>
      </w:r>
      <w:proofErr w:type="spellStart"/>
      <w:r w:rsidR="00AC042E" w:rsidRPr="00AC042E">
        <w:rPr>
          <w:i/>
        </w:rPr>
        <w:t>euro</w:t>
      </w:r>
      <w:proofErr w:type="spellEnd"/>
      <w:r w:rsidR="00AC042E">
        <w:t xml:space="preserve"> mēnesī, pārim ar trīs bērniem – 395 </w:t>
      </w:r>
      <w:proofErr w:type="spellStart"/>
      <w:r w:rsidR="00AC042E" w:rsidRPr="00AC042E">
        <w:rPr>
          <w:i/>
        </w:rPr>
        <w:t>euro</w:t>
      </w:r>
      <w:proofErr w:type="spellEnd"/>
      <w:r w:rsidR="00AC042E">
        <w:t xml:space="preserve"> mēnesī, vienam vecākam ar vienu bērnu – 182 </w:t>
      </w:r>
      <w:proofErr w:type="spellStart"/>
      <w:r w:rsidR="00AC042E" w:rsidRPr="00AC042E">
        <w:rPr>
          <w:i/>
        </w:rPr>
        <w:t>euro</w:t>
      </w:r>
      <w:proofErr w:type="spellEnd"/>
      <w:r w:rsidR="00AC042E">
        <w:t xml:space="preserve"> mēnesī. Jāatzīmē, ka šie līmeņi un attiecīgi izmaksātie pabalsti ir līdzvērtīgi šajā koncepcijā tālāk piedāvātajam minimālā ienākuma līmenim dažādiem mājsaimniecību veidiem. </w:t>
      </w:r>
      <w:r w:rsidR="005C6659">
        <w:t>Sociālā palīdzība skolēniem sastāv no diviem atbalsta</w:t>
      </w:r>
      <w:r w:rsidR="005C6659" w:rsidRPr="005C6659">
        <w:t xml:space="preserve"> </w:t>
      </w:r>
      <w:r w:rsidR="005C6659">
        <w:t xml:space="preserve">veidiem: brīvpusdienām un skolas piederumiem. Lietuvā ir noteikta arī sociālā pensija, kuru ir tiesīgas saņemt noteiktas lielākiem sociālajiem riskiem pakļautās iedzīvotāju grupas – pensionēšanas vecumu sasniegušās personas un personas ar invaliditāti. Sociālo pensiju piešķir personām, kuras nesaņem ienākumus no valsts sociālās apdrošināšanas sistēmas vai kurām nodrošinātie pabalsti ir pārāk zemi. Sociālās pensijas apmērs ir atkarīgs no sociālās apdrošināšanas minimālās pensijas apmēra, - 2014.gadā 104 </w:t>
      </w:r>
      <w:proofErr w:type="spellStart"/>
      <w:r w:rsidR="005C6659" w:rsidRPr="005C6659">
        <w:rPr>
          <w:i/>
        </w:rPr>
        <w:t>euro</w:t>
      </w:r>
      <w:proofErr w:type="spellEnd"/>
      <w:r w:rsidR="005C6659">
        <w:rPr>
          <w:i/>
        </w:rPr>
        <w:t xml:space="preserve">, </w:t>
      </w:r>
      <w:r w:rsidR="005C6659" w:rsidRPr="005C6659">
        <w:t>kam tiek piem</w:t>
      </w:r>
      <w:r w:rsidR="005C6659">
        <w:t>ēroti koeficienti (no 0.75 līdz 2.0), ņemot vērā dažādās saņēmēju grupas</w:t>
      </w:r>
      <w:r w:rsidR="005C6659">
        <w:rPr>
          <w:rStyle w:val="FootnoteReference"/>
        </w:rPr>
        <w:footnoteReference w:id="95"/>
      </w:r>
      <w:r w:rsidR="005C6659">
        <w:t xml:space="preserve">. </w:t>
      </w:r>
      <w:r w:rsidR="00D90B38">
        <w:t xml:space="preserve">Savukārt </w:t>
      </w:r>
      <w:r w:rsidR="00E206C5">
        <w:rPr>
          <w:bCs/>
        </w:rPr>
        <w:t xml:space="preserve">IIN neapliekamais minimums ir 136 </w:t>
      </w:r>
      <w:proofErr w:type="spellStart"/>
      <w:r w:rsidR="00E206C5" w:rsidRPr="00E206C5">
        <w:rPr>
          <w:bCs/>
          <w:i/>
        </w:rPr>
        <w:t>euro</w:t>
      </w:r>
      <w:proofErr w:type="spellEnd"/>
      <w:r w:rsidR="00E206C5">
        <w:rPr>
          <w:bCs/>
        </w:rPr>
        <w:t xml:space="preserve"> </w:t>
      </w:r>
      <w:r w:rsidR="001958F4">
        <w:rPr>
          <w:bCs/>
        </w:rPr>
        <w:t xml:space="preserve">mēnesī </w:t>
      </w:r>
      <w:r w:rsidR="00E206C5">
        <w:rPr>
          <w:bCs/>
        </w:rPr>
        <w:t xml:space="preserve">un IIN atvieglojums par apgādībā esošiem bērniem ir 58 </w:t>
      </w:r>
      <w:proofErr w:type="spellStart"/>
      <w:r w:rsidR="00E206C5" w:rsidRPr="00E206C5">
        <w:rPr>
          <w:bCs/>
          <w:i/>
        </w:rPr>
        <w:t>euro</w:t>
      </w:r>
      <w:proofErr w:type="spellEnd"/>
      <w:r w:rsidR="001958F4">
        <w:rPr>
          <w:bCs/>
          <w:i/>
        </w:rPr>
        <w:t xml:space="preserve"> </w:t>
      </w:r>
      <w:r w:rsidR="001958F4">
        <w:rPr>
          <w:bCs/>
        </w:rPr>
        <w:t>mēnesī</w:t>
      </w:r>
      <w:r w:rsidR="0047153C">
        <w:rPr>
          <w:rStyle w:val="FootnoteReference"/>
          <w:bCs/>
        </w:rPr>
        <w:footnoteReference w:id="96"/>
      </w:r>
      <w:r w:rsidR="00E206C5">
        <w:rPr>
          <w:bCs/>
          <w:i/>
        </w:rPr>
        <w:t>.</w:t>
      </w:r>
    </w:p>
    <w:p w:rsidR="00041403" w:rsidRDefault="001244CF" w:rsidP="00340851">
      <w:pPr>
        <w:ind w:firstLine="540"/>
        <w:jc w:val="both"/>
      </w:pPr>
      <w:r>
        <w:t xml:space="preserve"> </w:t>
      </w:r>
      <w:r w:rsidR="00AC042E">
        <w:t xml:space="preserve"> </w:t>
      </w:r>
      <w:r w:rsidR="00041403">
        <w:t xml:space="preserve">Salīdzinot visu trīs Baltijas valstu nabadzības un ienākumu nevienlīdzības rādītājus, Latvija diemžēl ierindojas </w:t>
      </w:r>
      <w:r w:rsidR="00CD56AA">
        <w:t xml:space="preserve">relatīvi </w:t>
      </w:r>
      <w:r w:rsidR="00041403">
        <w:t>slikt</w:t>
      </w:r>
      <w:r w:rsidR="00CD56AA">
        <w:t>ākā</w:t>
      </w:r>
      <w:r w:rsidR="00FD6589">
        <w:t>s pozīcijās</w:t>
      </w:r>
      <w:r w:rsidR="00041403">
        <w:t>. Gan iedzīvotāju īpa</w:t>
      </w:r>
      <w:r w:rsidR="00FD6589">
        <w:t>tsvars, kuru ienākumi ir zemāki par nabadzības riska slieksni (1</w:t>
      </w:r>
      <w:r w:rsidR="002A07B7">
        <w:t>1</w:t>
      </w:r>
      <w:r w:rsidR="00FD6589">
        <w:t>.grafiks)</w:t>
      </w:r>
      <w:r w:rsidR="00041403">
        <w:t>, gan ienākumu atšķirības starp nabadzīgākajām un turīgākām mājsaimniecībām</w:t>
      </w:r>
      <w:r w:rsidR="00FD6589">
        <w:t xml:space="preserve"> (1</w:t>
      </w:r>
      <w:r w:rsidR="002A07B7">
        <w:t>2</w:t>
      </w:r>
      <w:r w:rsidR="00FD6589">
        <w:t>.grafiks)</w:t>
      </w:r>
      <w:r w:rsidR="00041403">
        <w:t xml:space="preserve"> Latvijā ir augstākas nekā Lietuvā un Igaunijā. </w:t>
      </w:r>
      <w:r w:rsidR="003D4D40">
        <w:t xml:space="preserve">Tomēr jāņem vērā, ka šie dati atspoguļo situāciju 2012.gadā – pirms </w:t>
      </w:r>
      <w:r w:rsidR="003D4D40" w:rsidRPr="00B8710F">
        <w:t>Latvijā īstenotajiem pasākumiem darbaspēka nodokļu sloga mazināšanai</w:t>
      </w:r>
      <w:r w:rsidR="003D4D40">
        <w:t xml:space="preserve"> 2013. un 2014.gadā</w:t>
      </w:r>
      <w:r w:rsidR="003D4D40" w:rsidRPr="00B8710F">
        <w:t>.</w:t>
      </w:r>
      <w:r w:rsidR="00041403">
        <w:t xml:space="preserve"> </w:t>
      </w:r>
    </w:p>
    <w:p w:rsidR="00B574E0" w:rsidRDefault="00B574E0" w:rsidP="00041403">
      <w:pPr>
        <w:ind w:firstLine="540"/>
        <w:jc w:val="both"/>
      </w:pPr>
    </w:p>
    <w:p w:rsidR="00B574E0" w:rsidRDefault="00B574E0" w:rsidP="00041403">
      <w:pPr>
        <w:ind w:firstLine="540"/>
        <w:jc w:val="both"/>
      </w:pPr>
    </w:p>
    <w:p w:rsidR="00B574E0" w:rsidRDefault="00B574E0" w:rsidP="00041403">
      <w:pPr>
        <w:ind w:firstLine="540"/>
        <w:jc w:val="both"/>
      </w:pPr>
    </w:p>
    <w:p w:rsidR="00B574E0" w:rsidRDefault="00B574E0" w:rsidP="00041403">
      <w:pPr>
        <w:ind w:firstLine="540"/>
        <w:jc w:val="both"/>
      </w:pPr>
    </w:p>
    <w:p w:rsidR="00B574E0" w:rsidRDefault="00B574E0" w:rsidP="00041403">
      <w:pPr>
        <w:ind w:firstLine="540"/>
        <w:jc w:val="both"/>
      </w:pPr>
    </w:p>
    <w:p w:rsidR="00B574E0" w:rsidRDefault="00B574E0" w:rsidP="00041403">
      <w:pPr>
        <w:ind w:firstLine="540"/>
        <w:jc w:val="both"/>
      </w:pPr>
    </w:p>
    <w:p w:rsidR="00B574E0" w:rsidRDefault="00B574E0" w:rsidP="00041403">
      <w:pPr>
        <w:ind w:firstLine="540"/>
        <w:jc w:val="both"/>
      </w:pPr>
    </w:p>
    <w:p w:rsidR="00B574E0" w:rsidRDefault="00B574E0" w:rsidP="00041403">
      <w:pPr>
        <w:ind w:firstLine="540"/>
        <w:jc w:val="both"/>
      </w:pPr>
    </w:p>
    <w:p w:rsidR="00B574E0" w:rsidRDefault="00B574E0" w:rsidP="00041403">
      <w:pPr>
        <w:ind w:firstLine="540"/>
        <w:jc w:val="both"/>
      </w:pPr>
    </w:p>
    <w:p w:rsidR="00041403" w:rsidRDefault="00041403" w:rsidP="00041403">
      <w:pPr>
        <w:ind w:firstLine="540"/>
        <w:jc w:val="both"/>
      </w:pPr>
      <w:r>
        <w:lastRenderedPageBreak/>
        <w:t>1</w:t>
      </w:r>
      <w:r w:rsidR="002A07B7">
        <w:t>1</w:t>
      </w:r>
      <w:r>
        <w:t xml:space="preserve">.grafiks. </w:t>
      </w:r>
      <w:r>
        <w:tab/>
      </w:r>
      <w:r>
        <w:tab/>
      </w:r>
      <w:r>
        <w:tab/>
      </w:r>
      <w:r>
        <w:tab/>
      </w:r>
      <w:r>
        <w:tab/>
      </w:r>
      <w:r>
        <w:tab/>
      </w:r>
      <w:r>
        <w:tab/>
      </w:r>
      <w:r>
        <w:tab/>
      </w:r>
      <w:r>
        <w:tab/>
        <w:t>1</w:t>
      </w:r>
      <w:r w:rsidR="002A07B7">
        <w:t>2</w:t>
      </w:r>
      <w:r>
        <w:t>.grafiks.</w:t>
      </w:r>
    </w:p>
    <w:p w:rsidR="00041403" w:rsidRDefault="001C7D5F" w:rsidP="00041403">
      <w:pPr>
        <w:jc w:val="both"/>
      </w:pPr>
      <w:r>
        <w:rPr>
          <w:noProof/>
          <w:lang w:eastAsia="lv-LV"/>
        </w:rPr>
        <w:drawing>
          <wp:inline distT="0" distB="0" distL="0" distR="0">
            <wp:extent cx="2621280" cy="1763395"/>
            <wp:effectExtent l="0" t="0" r="26670" b="27305"/>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41403">
        <w:t xml:space="preserve"> </w:t>
      </w:r>
      <w:r w:rsidR="00041403">
        <w:tab/>
        <w:t xml:space="preserve">        </w:t>
      </w:r>
      <w:r>
        <w:rPr>
          <w:noProof/>
          <w:lang w:eastAsia="lv-LV"/>
        </w:rPr>
        <w:drawing>
          <wp:inline distT="0" distB="0" distL="0" distR="0">
            <wp:extent cx="2646680" cy="1757045"/>
            <wp:effectExtent l="0" t="0" r="20320" b="14605"/>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041403">
        <w:t xml:space="preserve"> </w:t>
      </w:r>
    </w:p>
    <w:p w:rsidR="00041403" w:rsidRDefault="00041403" w:rsidP="00041403">
      <w:pPr>
        <w:rPr>
          <w:sz w:val="22"/>
          <w:szCs w:val="22"/>
        </w:rPr>
      </w:pPr>
      <w:r w:rsidRPr="00041403">
        <w:rPr>
          <w:sz w:val="22"/>
          <w:szCs w:val="22"/>
        </w:rPr>
        <w:t>Avots: Eurostat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41403">
        <w:rPr>
          <w:sz w:val="22"/>
          <w:szCs w:val="22"/>
        </w:rPr>
        <w:t xml:space="preserve">Avots: Eurostat </w:t>
      </w:r>
    </w:p>
    <w:p w:rsidR="00041403" w:rsidRDefault="00041403" w:rsidP="00041403">
      <w:pPr>
        <w:rPr>
          <w:sz w:val="22"/>
          <w:szCs w:val="22"/>
        </w:rPr>
      </w:pPr>
    </w:p>
    <w:p w:rsidR="004A5003" w:rsidRDefault="00340851" w:rsidP="00C267B3">
      <w:pPr>
        <w:ind w:firstLine="720"/>
        <w:jc w:val="both"/>
      </w:pPr>
      <w:r>
        <w:t xml:space="preserve">Ņemot vērā </w:t>
      </w:r>
      <w:r w:rsidR="004A5003">
        <w:t xml:space="preserve">nodrošinātos </w:t>
      </w:r>
      <w:r>
        <w:t>minimālo</w:t>
      </w:r>
      <w:r w:rsidR="004A5003">
        <w:t>s</w:t>
      </w:r>
      <w:r>
        <w:t xml:space="preserve"> ienākumu</w:t>
      </w:r>
      <w:r w:rsidR="004A5003">
        <w:t>s</w:t>
      </w:r>
      <w:r>
        <w:t xml:space="preserve"> nabadzīgākajiem iedzīvotājiem Lietuvā un Igaunijā, Latvijā ir nepieciešams īstenot pasākumus, lai uzlabotu </w:t>
      </w:r>
      <w:r w:rsidR="00C267B3">
        <w:t>trūcīgāko</w:t>
      </w:r>
      <w:r>
        <w:t xml:space="preserve"> iedzīvotāju situāciju, </w:t>
      </w:r>
      <w:r w:rsidR="004A5003">
        <w:t>vienlaicīgi</w:t>
      </w:r>
      <w:r>
        <w:t xml:space="preserve"> mazin</w:t>
      </w:r>
      <w:r w:rsidR="004A5003">
        <w:t>ot</w:t>
      </w:r>
      <w:r>
        <w:t xml:space="preserve"> atšķirības</w:t>
      </w:r>
      <w:r w:rsidR="004A5003">
        <w:t xml:space="preserve"> arī</w:t>
      </w:r>
      <w:r>
        <w:t xml:space="preserve"> starp kaimiņvalstīm.</w:t>
      </w:r>
    </w:p>
    <w:p w:rsidR="001244CF" w:rsidRPr="00041403" w:rsidRDefault="00340851" w:rsidP="004A5003">
      <w:pPr>
        <w:ind w:firstLine="720"/>
        <w:jc w:val="both"/>
        <w:rPr>
          <w:sz w:val="22"/>
          <w:szCs w:val="22"/>
        </w:rPr>
      </w:pPr>
      <w:r>
        <w:t xml:space="preserve"> </w:t>
      </w:r>
    </w:p>
    <w:p w:rsidR="005A601C" w:rsidRDefault="00C16780" w:rsidP="00062BEB">
      <w:pPr>
        <w:pStyle w:val="Heading1"/>
        <w:numPr>
          <w:ilvl w:val="0"/>
          <w:numId w:val="47"/>
        </w:numPr>
      </w:pPr>
      <w:bookmarkStart w:id="36" w:name="_Toc401572484"/>
      <w:r>
        <w:t>Problēmas</w:t>
      </w:r>
      <w:r w:rsidR="00674B9D">
        <w:t xml:space="preserve"> risinājumi</w:t>
      </w:r>
      <w:r w:rsidR="00337406">
        <w:t>.</w:t>
      </w:r>
      <w:bookmarkEnd w:id="36"/>
      <w:r w:rsidR="00337406">
        <w:t xml:space="preserve"> </w:t>
      </w:r>
    </w:p>
    <w:p w:rsidR="0037334E" w:rsidRPr="008C2AB0" w:rsidRDefault="008C2AB0" w:rsidP="00045AD9">
      <w:pPr>
        <w:ind w:firstLine="720"/>
        <w:jc w:val="both"/>
      </w:pPr>
      <w:bookmarkStart w:id="37" w:name="_Toc277159549"/>
      <w:bookmarkStart w:id="38" w:name="_Toc277159685"/>
      <w:bookmarkStart w:id="39" w:name="_Toc278452291"/>
      <w:bookmarkStart w:id="40" w:name="_Toc280264223"/>
      <w:r w:rsidRPr="008C2AB0">
        <w:t>Vēlreiz akcentējot</w:t>
      </w:r>
      <w:r w:rsidRPr="008C2AB0">
        <w:rPr>
          <w:b/>
        </w:rPr>
        <w:t xml:space="preserve"> p</w:t>
      </w:r>
      <w:r w:rsidR="008D10BD" w:rsidRPr="008C2AB0">
        <w:rPr>
          <w:b/>
        </w:rPr>
        <w:t>roblēmas</w:t>
      </w:r>
      <w:r w:rsidR="0037334E" w:rsidRPr="008C2AB0">
        <w:rPr>
          <w:b/>
        </w:rPr>
        <w:t xml:space="preserve"> </w:t>
      </w:r>
      <w:proofErr w:type="spellStart"/>
      <w:r w:rsidRPr="008C2AB0">
        <w:rPr>
          <w:b/>
        </w:rPr>
        <w:t>pamat</w:t>
      </w:r>
      <w:r w:rsidR="008D10BD" w:rsidRPr="008C2AB0">
        <w:rPr>
          <w:b/>
        </w:rPr>
        <w:t>būt</w:t>
      </w:r>
      <w:r w:rsidR="0037334E" w:rsidRPr="008C2AB0">
        <w:rPr>
          <w:b/>
        </w:rPr>
        <w:t>īb</w:t>
      </w:r>
      <w:r w:rsidRPr="008C2AB0">
        <w:rPr>
          <w:b/>
        </w:rPr>
        <w:t>u</w:t>
      </w:r>
      <w:proofErr w:type="spellEnd"/>
      <w:r w:rsidRPr="008C2AB0">
        <w:rPr>
          <w:b/>
        </w:rPr>
        <w:t xml:space="preserve"> - </w:t>
      </w:r>
      <w:r w:rsidR="00ED10A0" w:rsidRPr="008C2AB0">
        <w:t xml:space="preserve">nabadzīgāko iedzīvotāju </w:t>
      </w:r>
      <w:r w:rsidR="008002BB" w:rsidRPr="008C2AB0">
        <w:t xml:space="preserve">(1.kvintile) </w:t>
      </w:r>
      <w:r>
        <w:t xml:space="preserve">ienākumi no dažādām sistēmām ir neadekvāti zemi, kā rezultātā Latvijā ir </w:t>
      </w:r>
      <w:r w:rsidR="008D10BD" w:rsidRPr="008C2AB0">
        <w:t>augst</w:t>
      </w:r>
      <w:r>
        <w:t>a</w:t>
      </w:r>
      <w:r w:rsidR="008D10BD" w:rsidRPr="008C2AB0">
        <w:t xml:space="preserve"> ienākumu nevienlīdzīb</w:t>
      </w:r>
      <w:r>
        <w:t>a</w:t>
      </w:r>
      <w:r w:rsidR="008D10BD" w:rsidRPr="008C2AB0">
        <w:t xml:space="preserve"> un</w:t>
      </w:r>
      <w:r w:rsidR="00FC2E2C" w:rsidRPr="008C2AB0">
        <w:t xml:space="preserve"> </w:t>
      </w:r>
      <w:r>
        <w:t xml:space="preserve">augsts nabadzības riskam pakļauto iedzīvotāju īpatsvars. </w:t>
      </w:r>
      <w:r w:rsidR="003B70A1">
        <w:t>T</w:t>
      </w:r>
      <w:r>
        <w:t xml:space="preserve">āpēc </w:t>
      </w:r>
      <w:r w:rsidR="001B6FD5">
        <w:t xml:space="preserve">minimālā ienākuma līmeņa noteikšanas </w:t>
      </w:r>
      <w:r w:rsidR="001B6FD5" w:rsidRPr="00F96F31">
        <w:rPr>
          <w:b/>
        </w:rPr>
        <w:t>virsmērķis</w:t>
      </w:r>
      <w:r w:rsidR="001B6FD5">
        <w:t xml:space="preserve"> ir uz </w:t>
      </w:r>
      <w:r w:rsidR="001B6FD5" w:rsidRPr="00B8710F">
        <w:t xml:space="preserve">solidaritātes principiem balstīta </w:t>
      </w:r>
      <w:r w:rsidR="001B6FD5">
        <w:t xml:space="preserve">nabadzības un </w:t>
      </w:r>
      <w:r w:rsidR="001B6FD5" w:rsidRPr="00B8710F">
        <w:t>ienākumu nevienlīdzības mazināšana</w:t>
      </w:r>
      <w:r w:rsidR="001B6FD5">
        <w:t xml:space="preserve"> un </w:t>
      </w:r>
      <w:r w:rsidRPr="008C2AB0">
        <w:rPr>
          <w:b/>
        </w:rPr>
        <w:t>mērķis</w:t>
      </w:r>
      <w:r>
        <w:t xml:space="preserve"> ir noteikt </w:t>
      </w:r>
      <w:r w:rsidR="00045AD9">
        <w:t>uz pierādījumiem balstītu</w:t>
      </w:r>
      <w:r>
        <w:t xml:space="preserve">, </w:t>
      </w:r>
      <w:r w:rsidRPr="008C2AB0">
        <w:t>sociālekonomiskajai situācijai un citu personu darba tirgus ienākumiem atbilstošu minimālā ienākuma līmeni</w:t>
      </w:r>
      <w:r>
        <w:t xml:space="preserve">, lai palielinātu nabadzīgākās iedzīvotāju daļas ienākumus, nodrošinot to sociālo aizsardzību. Taču vienlaicīgi ir jāuzsver, ka </w:t>
      </w:r>
      <w:r w:rsidRPr="008C2AB0">
        <w:t>minimālā ienākum</w:t>
      </w:r>
      <w:r>
        <w:t>a</w:t>
      </w:r>
      <w:r w:rsidRPr="008C2AB0">
        <w:t xml:space="preserve"> nodrošināšana </w:t>
      </w:r>
      <w:r>
        <w:t xml:space="preserve">ir </w:t>
      </w:r>
      <w:r w:rsidRPr="008C2AB0">
        <w:t>uzskatāma par papildinošu</w:t>
      </w:r>
      <w:r>
        <w:t>,</w:t>
      </w:r>
      <w:r w:rsidRPr="008C2AB0">
        <w:t xml:space="preserve"> nevis aizstājošu risinājumu.</w:t>
      </w:r>
      <w:r>
        <w:t xml:space="preserve"> Ņemot vērā Latvijā </w:t>
      </w:r>
      <w:r w:rsidR="00FC2E2C" w:rsidRPr="008C2AB0">
        <w:t xml:space="preserve">vērojamo ciešo korelāciju starp ienākumiem un izglītības līmeni, </w:t>
      </w:r>
      <w:r>
        <w:t xml:space="preserve">ir </w:t>
      </w:r>
      <w:r w:rsidR="00FC2E2C" w:rsidRPr="008C2AB0">
        <w:t>nepieciešams turpināt īstenot tās rīcībpolitikas, kas samazina mācības pametu</w:t>
      </w:r>
      <w:r>
        <w:t>šo bērnu skaitu. Tāpat ir jāturpina palielināt ekonomikas konkurētspēju</w:t>
      </w:r>
      <w:r w:rsidR="00FC2E2C" w:rsidRPr="008C2AB0">
        <w:t xml:space="preserve">, lai </w:t>
      </w:r>
      <w:r>
        <w:t xml:space="preserve">strādājošajiem </w:t>
      </w:r>
      <w:r w:rsidR="00FC2E2C" w:rsidRPr="008C2AB0">
        <w:t>dotu iespēju saņemt lielākus ienākumus</w:t>
      </w:r>
      <w:r w:rsidR="0037334E" w:rsidRPr="008C2AB0">
        <w:t>.</w:t>
      </w:r>
      <w:r w:rsidR="00FC2E2C" w:rsidRPr="008C2AB0">
        <w:t xml:space="preserve"> </w:t>
      </w:r>
      <w:r w:rsidR="00045AD9">
        <w:t>Savukārt</w:t>
      </w:r>
      <w:r>
        <w:t xml:space="preserve"> ienākumu no algota darba sakarā vienlīdz </w:t>
      </w:r>
      <w:r w:rsidR="00FC2E2C" w:rsidRPr="008C2AB0">
        <w:t>nozīmīga loma ir ēnu e</w:t>
      </w:r>
      <w:r>
        <w:t xml:space="preserve">konomikas mazināšanas politikām, </w:t>
      </w:r>
      <w:r w:rsidR="00045AD9">
        <w:t>ņemot vērā iepriekš pierādīto saistību</w:t>
      </w:r>
      <w:r>
        <w:t xml:space="preserve"> starp ēnu ekonomikas īpatsvaru un nabadzības risku indeksu. </w:t>
      </w:r>
      <w:r w:rsidR="0085510E">
        <w:t xml:space="preserve"> </w:t>
      </w:r>
    </w:p>
    <w:p w:rsidR="00C15762" w:rsidRDefault="00C15762" w:rsidP="006D65A2">
      <w:pPr>
        <w:ind w:firstLine="540"/>
        <w:jc w:val="both"/>
      </w:pPr>
    </w:p>
    <w:p w:rsidR="004E7F86" w:rsidRDefault="001F22E4" w:rsidP="006D65A2">
      <w:pPr>
        <w:ind w:firstLine="540"/>
        <w:jc w:val="both"/>
      </w:pPr>
      <w:r>
        <w:t xml:space="preserve">Ņemot vērā </w:t>
      </w:r>
      <w:r w:rsidR="008002BB">
        <w:t>minēto</w:t>
      </w:r>
      <w:r>
        <w:t xml:space="preserve">, Labklājības </w:t>
      </w:r>
      <w:r w:rsidR="001951C3">
        <w:t xml:space="preserve">ministrija piedāvā </w:t>
      </w:r>
      <w:r w:rsidR="000D3BA7">
        <w:rPr>
          <w:b/>
        </w:rPr>
        <w:t>trīs</w:t>
      </w:r>
      <w:r w:rsidR="0054415B" w:rsidRPr="0054415B">
        <w:rPr>
          <w:b/>
        </w:rPr>
        <w:t xml:space="preserve"> </w:t>
      </w:r>
      <w:r w:rsidR="001134B1" w:rsidRPr="0054415B">
        <w:rPr>
          <w:b/>
        </w:rPr>
        <w:t>risinājumus</w:t>
      </w:r>
      <w:r w:rsidR="001134B1">
        <w:t>:</w:t>
      </w:r>
    </w:p>
    <w:p w:rsidR="00DF32FB" w:rsidRDefault="00003078" w:rsidP="007F29DF">
      <w:pPr>
        <w:numPr>
          <w:ilvl w:val="0"/>
          <w:numId w:val="31"/>
        </w:numPr>
        <w:jc w:val="both"/>
      </w:pPr>
      <w:r>
        <w:t>Minimālā</w:t>
      </w:r>
      <w:r w:rsidR="00DF32FB">
        <w:t xml:space="preserve"> ienākumu līmeni noteikt </w:t>
      </w:r>
      <w:r w:rsidR="003F2858">
        <w:t>4</w:t>
      </w:r>
      <w:r w:rsidR="00CF6E33">
        <w:t>0%</w:t>
      </w:r>
      <w:r w:rsidR="00DF32FB">
        <w:t xml:space="preserve"> apmērā no </w:t>
      </w:r>
      <w:r w:rsidR="007F29DF">
        <w:t xml:space="preserve">rīcībā esošo </w:t>
      </w:r>
      <w:r w:rsidR="006D65A2">
        <w:t xml:space="preserve">ienākumu </w:t>
      </w:r>
      <w:r w:rsidR="00DF32FB">
        <w:t xml:space="preserve">mediānas </w:t>
      </w:r>
      <w:r w:rsidR="007F29DF">
        <w:t>pārrēķinātas uz ekvivalento patērētāju</w:t>
      </w:r>
      <w:r w:rsidR="00DF32FB">
        <w:t xml:space="preserve">, </w:t>
      </w:r>
      <w:r w:rsidR="006D65A2">
        <w:t>piemērojot ekvivalences ska</w:t>
      </w:r>
      <w:r w:rsidR="001A6490">
        <w:t>lu (1; 0.7; 0.</w:t>
      </w:r>
      <w:r w:rsidR="00AA18E7">
        <w:t>7</w:t>
      </w:r>
      <w:r w:rsidR="001A6490">
        <w:t>)</w:t>
      </w:r>
      <w:r w:rsidR="00DF32FB">
        <w:t>.</w:t>
      </w:r>
    </w:p>
    <w:p w:rsidR="001951C3" w:rsidRDefault="00551ECD" w:rsidP="00551ECD">
      <w:pPr>
        <w:numPr>
          <w:ilvl w:val="0"/>
          <w:numId w:val="31"/>
        </w:numPr>
        <w:jc w:val="both"/>
      </w:pPr>
      <w:r>
        <w:t xml:space="preserve">Papildus pirmajam risinājumam </w:t>
      </w:r>
      <w:r w:rsidR="006D65A2">
        <w:t>i</w:t>
      </w:r>
      <w:r w:rsidR="001951C3">
        <w:t xml:space="preserve">zstrādāt jaunu </w:t>
      </w:r>
      <w:r w:rsidR="001951C3" w:rsidRPr="00B30E3F">
        <w:t>pilna iztikas minimuma patēriņa preču un pakalpojumu groz</w:t>
      </w:r>
      <w:r w:rsidR="001951C3">
        <w:t>u</w:t>
      </w:r>
      <w:r w:rsidR="007C0E6F">
        <w:t xml:space="preserve"> dažādiem mājsaimniecību </w:t>
      </w:r>
      <w:r w:rsidR="007C0E6F" w:rsidRPr="00FB7C6D">
        <w:t xml:space="preserve">veidiem </w:t>
      </w:r>
      <w:r w:rsidR="00FB7C6D" w:rsidRPr="00FB7C6D">
        <w:t>teritoriālajā griezumā</w:t>
      </w:r>
      <w:r w:rsidR="001951C3" w:rsidRPr="00FB7C6D">
        <w:t>.</w:t>
      </w:r>
      <w:r w:rsidR="001951C3">
        <w:t xml:space="preserve"> </w:t>
      </w:r>
    </w:p>
    <w:p w:rsidR="000D3BA7" w:rsidRPr="001A0541" w:rsidRDefault="004A1163" w:rsidP="00551ECD">
      <w:pPr>
        <w:numPr>
          <w:ilvl w:val="0"/>
          <w:numId w:val="31"/>
        </w:numPr>
        <w:jc w:val="both"/>
      </w:pPr>
      <w:r>
        <w:t>E</w:t>
      </w:r>
      <w:r w:rsidR="000D3BA7">
        <w:t>sošo situāciju</w:t>
      </w:r>
      <w:r w:rsidRPr="004A1163">
        <w:t xml:space="preserve"> </w:t>
      </w:r>
      <w:r>
        <w:t xml:space="preserve">nemainīt, saglabājot spēkā esošo minimālo ienākumu līmeņu noteikšanas </w:t>
      </w:r>
      <w:r w:rsidR="001B6FD5">
        <w:t xml:space="preserve">un piemērošanas </w:t>
      </w:r>
      <w:r>
        <w:t>kārtību</w:t>
      </w:r>
      <w:r w:rsidR="00976AB5">
        <w:t>.</w:t>
      </w:r>
    </w:p>
    <w:p w:rsidR="004F065B" w:rsidRPr="004E6B93" w:rsidRDefault="004F065B" w:rsidP="004F065B">
      <w:pPr>
        <w:ind w:left="720"/>
        <w:jc w:val="both"/>
      </w:pPr>
    </w:p>
    <w:p w:rsidR="003F2858" w:rsidRDefault="001134B1" w:rsidP="0025718F">
      <w:pPr>
        <w:pBdr>
          <w:top w:val="single" w:sz="4" w:space="1" w:color="auto"/>
          <w:left w:val="single" w:sz="4" w:space="4" w:color="auto"/>
          <w:bottom w:val="single" w:sz="4" w:space="1" w:color="auto"/>
          <w:right w:val="single" w:sz="4" w:space="4" w:color="auto"/>
        </w:pBdr>
        <w:shd w:val="clear" w:color="auto" w:fill="EEECE1"/>
        <w:jc w:val="both"/>
      </w:pPr>
      <w:r>
        <w:rPr>
          <w:b/>
        </w:rPr>
        <w:t>1</w:t>
      </w:r>
      <w:r w:rsidR="001951C3" w:rsidRPr="001A0541">
        <w:rPr>
          <w:b/>
        </w:rPr>
        <w:t xml:space="preserve">. </w:t>
      </w:r>
      <w:r>
        <w:rPr>
          <w:b/>
        </w:rPr>
        <w:t>risinājums</w:t>
      </w:r>
      <w:r w:rsidR="001951C3" w:rsidRPr="001A0541">
        <w:t xml:space="preserve">: </w:t>
      </w:r>
      <w:r w:rsidR="00094A77">
        <w:t>Minimālā ienākumu līmeni noteikt 40% apmērā no rīcībā esošo ienākumu mediānas pārrēķinātas uz ekvivalento patērētāju, piemērojot ekvivalences skalu (1; 0.7; 0.</w:t>
      </w:r>
      <w:r w:rsidR="00AA18E7">
        <w:t>7</w:t>
      </w:r>
      <w:r w:rsidR="00094A77">
        <w:t>)</w:t>
      </w:r>
      <w:r w:rsidR="003F2858">
        <w:t>.</w:t>
      </w:r>
    </w:p>
    <w:p w:rsidR="001951C3" w:rsidRDefault="001951C3" w:rsidP="001951C3">
      <w:pPr>
        <w:jc w:val="both"/>
      </w:pPr>
      <w:r w:rsidRPr="001A0541">
        <w:t xml:space="preserve"> </w:t>
      </w:r>
    </w:p>
    <w:p w:rsidR="004A1163" w:rsidRDefault="007D2C12" w:rsidP="00750E7B">
      <w:pPr>
        <w:ind w:firstLine="720"/>
        <w:jc w:val="both"/>
      </w:pPr>
      <w:r>
        <w:t xml:space="preserve">Šī ir relatīvā nabadzības mērīšanas pieeja un to </w:t>
      </w:r>
      <w:r w:rsidR="006B36F2" w:rsidRPr="00173A24">
        <w:t xml:space="preserve">pamatā izmanto lielākā daļa </w:t>
      </w:r>
      <w:r w:rsidR="00E56A67">
        <w:t xml:space="preserve">ES un </w:t>
      </w:r>
      <w:r w:rsidR="006B36F2" w:rsidRPr="00173A24">
        <w:t xml:space="preserve">OECD valstis, nosakot to kā </w:t>
      </w:r>
      <w:r w:rsidR="000E2BCA">
        <w:t>pastāvīgu</w:t>
      </w:r>
      <w:r w:rsidR="006B36F2" w:rsidRPr="00173A24">
        <w:t xml:space="preserve"> proporciju, parasti 40%-60% no mediānas vai vidējiem mājsaimniecību ienākumiem.</w:t>
      </w:r>
      <w:r>
        <w:t xml:space="preserve"> </w:t>
      </w:r>
      <w:r w:rsidR="001A5BEF">
        <w:t>OECD nabadzības riska slieksni</w:t>
      </w:r>
      <w:r w:rsidR="007E0D86" w:rsidRPr="00C84374">
        <w:t xml:space="preserve"> </w:t>
      </w:r>
      <w:r w:rsidR="001A5BEF">
        <w:t>nosaka</w:t>
      </w:r>
      <w:r w:rsidR="007E0D86" w:rsidRPr="00C84374">
        <w:t xml:space="preserve"> 50% apmērā no </w:t>
      </w:r>
      <w:r w:rsidR="007E0D86" w:rsidRPr="00C84374">
        <w:lastRenderedPageBreak/>
        <w:t>mediānas rīcībā esošajiem ekvivalentajiem ienākumiem</w:t>
      </w:r>
      <w:r w:rsidR="003F2858">
        <w:t xml:space="preserve">, </w:t>
      </w:r>
      <w:r w:rsidR="00E56A67">
        <w:t xml:space="preserve">savukārt ES nabadzības riska slieksni </w:t>
      </w:r>
      <w:r w:rsidR="000E2BCA">
        <w:t>nosaka</w:t>
      </w:r>
      <w:r w:rsidR="00E56A67">
        <w:t xml:space="preserve"> 60% apmērā. </w:t>
      </w:r>
      <w:r w:rsidR="000E2BCA">
        <w:t>PB</w:t>
      </w:r>
      <w:r w:rsidR="00E56A67">
        <w:t xml:space="preserve"> pētījumā secināts, ka parasti ES dalībvalstīs atbalsts</w:t>
      </w:r>
      <w:r w:rsidR="000E2BCA">
        <w:t xml:space="preserve"> </w:t>
      </w:r>
      <w:r w:rsidR="00E56A67">
        <w:t>iedzīvotājiem tiek sniegts, ja iedzīvotāju ienākumi ir zemāki vai vienādi ar 30</w:t>
      </w:r>
      <w:r w:rsidR="000024CB">
        <w:t>% no</w:t>
      </w:r>
      <w:r w:rsidR="000024CB" w:rsidRPr="000024CB">
        <w:t xml:space="preserve"> </w:t>
      </w:r>
      <w:r w:rsidR="000024CB" w:rsidRPr="00693496">
        <w:t>nacionālo ekvivalento rīcībā esošo ienākumu mediānas vienas personas mājsaimniecībai</w:t>
      </w:r>
      <w:r w:rsidR="000024CB">
        <w:rPr>
          <w:rStyle w:val="FootnoteReference"/>
          <w:shd w:val="clear" w:color="auto" w:fill="FFFFFF"/>
        </w:rPr>
        <w:t xml:space="preserve"> </w:t>
      </w:r>
      <w:r w:rsidR="00E56A67">
        <w:rPr>
          <w:rStyle w:val="FootnoteReference"/>
          <w:shd w:val="clear" w:color="auto" w:fill="FFFFFF"/>
        </w:rPr>
        <w:footnoteReference w:id="97"/>
      </w:r>
      <w:r w:rsidR="00E56A67">
        <w:rPr>
          <w:shd w:val="clear" w:color="auto" w:fill="FFFFFF"/>
        </w:rPr>
        <w:t xml:space="preserve">. Attiecīgi PB </w:t>
      </w:r>
      <w:r w:rsidR="00E56A67">
        <w:t xml:space="preserve">piedāvā </w:t>
      </w:r>
      <w:r w:rsidR="000E2BCA">
        <w:t xml:space="preserve">Latvijā </w:t>
      </w:r>
      <w:r w:rsidR="00722594">
        <w:t xml:space="preserve">garantētā </w:t>
      </w:r>
      <w:r w:rsidR="00E56A67">
        <w:t>minimālā ienākuma līmeni 2013.gada situācijā noteikt 106,72</w:t>
      </w:r>
      <w:r w:rsidR="000E2BCA">
        <w:t xml:space="preserve"> </w:t>
      </w:r>
      <w:proofErr w:type="spellStart"/>
      <w:r w:rsidR="00CE1A6D" w:rsidRPr="00BD0F8B">
        <w:rPr>
          <w:i/>
          <w:iCs/>
        </w:rPr>
        <w:t>euro</w:t>
      </w:r>
      <w:proofErr w:type="spellEnd"/>
      <w:r w:rsidR="00CE1A6D" w:rsidRPr="000404B1">
        <w:t xml:space="preserve"> </w:t>
      </w:r>
      <w:r w:rsidR="000E2BCA">
        <w:t>apmērā</w:t>
      </w:r>
      <w:r w:rsidR="00E56A67">
        <w:rPr>
          <w:rStyle w:val="FootnoteReference"/>
        </w:rPr>
        <w:footnoteReference w:id="98"/>
      </w:r>
      <w:r w:rsidR="00E56A67">
        <w:t xml:space="preserve">. </w:t>
      </w:r>
      <w:r w:rsidR="000E2BCA">
        <w:t xml:space="preserve">Tā kā piedāvāto minimālā ienākuma līmeni ir plānots sasaistīt ar novirzāmo atbalstu iedzīvotājiem, tad nebūtu </w:t>
      </w:r>
      <w:r w:rsidR="00AA6CBD">
        <w:t>lietderīgi</w:t>
      </w:r>
      <w:r w:rsidR="000E2BCA">
        <w:t xml:space="preserve"> piedāvāt </w:t>
      </w:r>
      <w:r w:rsidR="00AA6CBD">
        <w:t xml:space="preserve">minimālā ienākuma </w:t>
      </w:r>
      <w:r w:rsidR="000E2BCA">
        <w:t>līmeni, kuru</w:t>
      </w:r>
      <w:r w:rsidR="00AA6CBD">
        <w:t xml:space="preserve"> </w:t>
      </w:r>
      <w:proofErr w:type="spellStart"/>
      <w:r w:rsidR="00AA6CBD" w:rsidRPr="00AA6CBD">
        <w:rPr>
          <w:i/>
          <w:iCs/>
        </w:rPr>
        <w:t>de</w:t>
      </w:r>
      <w:proofErr w:type="spellEnd"/>
      <w:r w:rsidR="00AA6CBD" w:rsidRPr="00AA6CBD">
        <w:rPr>
          <w:i/>
          <w:iCs/>
        </w:rPr>
        <w:t xml:space="preserve"> </w:t>
      </w:r>
      <w:proofErr w:type="spellStart"/>
      <w:r w:rsidR="00AA6CBD" w:rsidRPr="00AA6CBD">
        <w:rPr>
          <w:i/>
          <w:iCs/>
        </w:rPr>
        <w:t>facto</w:t>
      </w:r>
      <w:proofErr w:type="spellEnd"/>
      <w:r w:rsidR="00AA6CBD">
        <w:t xml:space="preserve"> </w:t>
      </w:r>
      <w:r w:rsidR="000E2BCA">
        <w:t xml:space="preserve">nepiemērotu dēļ to </w:t>
      </w:r>
      <w:r w:rsidR="00FF5414">
        <w:t xml:space="preserve">relatīvi </w:t>
      </w:r>
      <w:r w:rsidR="000E2BCA">
        <w:t xml:space="preserve">augstā apmēra, tāpēc tiek </w:t>
      </w:r>
      <w:r w:rsidR="00393DF7">
        <w:t>ierosināts</w:t>
      </w:r>
      <w:r w:rsidR="000E2BCA">
        <w:t xml:space="preserve"> izmantot to līmeni, kas ir līdzvērtīgs PB piedāvājumam</w:t>
      </w:r>
      <w:r w:rsidR="00266609">
        <w:t xml:space="preserve"> (106,72 </w:t>
      </w:r>
      <w:proofErr w:type="spellStart"/>
      <w:r w:rsidR="00266609" w:rsidRPr="00BD0F8B">
        <w:rPr>
          <w:i/>
          <w:iCs/>
        </w:rPr>
        <w:t>euro</w:t>
      </w:r>
      <w:proofErr w:type="spellEnd"/>
      <w:r w:rsidR="00266609">
        <w:rPr>
          <w:i/>
          <w:iCs/>
        </w:rPr>
        <w:t>)</w:t>
      </w:r>
      <w:r w:rsidR="00266609">
        <w:t xml:space="preserve"> un esošajam trūcīgās personas ienākumu līmenim (128,06 </w:t>
      </w:r>
      <w:proofErr w:type="spellStart"/>
      <w:r w:rsidR="00266609" w:rsidRPr="00266609">
        <w:rPr>
          <w:i/>
        </w:rPr>
        <w:t>euro</w:t>
      </w:r>
      <w:proofErr w:type="spellEnd"/>
      <w:r w:rsidR="00266609">
        <w:t>).</w:t>
      </w:r>
      <w:r w:rsidR="000E2BCA">
        <w:t xml:space="preserve"> </w:t>
      </w:r>
    </w:p>
    <w:p w:rsidR="0018409A" w:rsidRDefault="0012747D" w:rsidP="0018409A">
      <w:pPr>
        <w:ind w:firstLine="720"/>
        <w:jc w:val="right"/>
      </w:pPr>
      <w:r>
        <w:t>9</w:t>
      </w:r>
      <w:r w:rsidR="0018409A">
        <w:t>.tabula</w:t>
      </w:r>
      <w:r>
        <w:t>.</w:t>
      </w:r>
    </w:p>
    <w:p w:rsidR="0018409A" w:rsidRPr="0012747D" w:rsidRDefault="0018409A" w:rsidP="0018409A">
      <w:pPr>
        <w:ind w:firstLine="720"/>
        <w:jc w:val="center"/>
      </w:pPr>
      <w:r w:rsidRPr="0012747D">
        <w:t>Rīcībā esošie ienākumi vienas personas mājsaimniecībai</w:t>
      </w:r>
      <w:r w:rsidR="0012747D">
        <w:t xml:space="preserve"> 2012.gadā</w:t>
      </w:r>
      <w:r w:rsidRPr="0012747D">
        <w:t>,</w:t>
      </w:r>
    </w:p>
    <w:p w:rsidR="0018409A" w:rsidRPr="0012747D" w:rsidRDefault="0018409A" w:rsidP="00A804FC">
      <w:pPr>
        <w:spacing w:after="120"/>
        <w:ind w:firstLine="720"/>
        <w:jc w:val="center"/>
      </w:pPr>
      <w:r w:rsidRPr="0012747D">
        <w:t>piemērojot OECD ekvivalences skalas</w:t>
      </w:r>
      <w:r w:rsidR="0012747D">
        <w:t xml:space="preserve">, </w:t>
      </w:r>
      <w:proofErr w:type="spellStart"/>
      <w:r w:rsidR="00CE1A6D" w:rsidRPr="00BD0F8B">
        <w:rPr>
          <w:i/>
          <w:iCs/>
        </w:rPr>
        <w:t>euro</w:t>
      </w:r>
      <w:proofErr w:type="spellEnd"/>
      <w:r w:rsidR="00CE1A6D" w:rsidRPr="000404B1">
        <w:t xml:space="preserve"> </w:t>
      </w:r>
      <w:r w:rsidR="0012747D">
        <w:t>mēnesī</w:t>
      </w:r>
    </w:p>
    <w:tbl>
      <w:tblPr>
        <w:tblW w:w="0" w:type="auto"/>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2988"/>
        <w:gridCol w:w="2518"/>
      </w:tblGrid>
      <w:tr w:rsidR="0018409A" w:rsidTr="00A804FC">
        <w:trPr>
          <w:jc w:val="center"/>
        </w:trPr>
        <w:tc>
          <w:tcPr>
            <w:tcW w:w="1256" w:type="dxa"/>
            <w:shd w:val="clear" w:color="auto" w:fill="auto"/>
            <w:vAlign w:val="center"/>
          </w:tcPr>
          <w:p w:rsidR="0018409A" w:rsidRDefault="0018409A" w:rsidP="003B70A1">
            <w:pPr>
              <w:jc w:val="center"/>
            </w:pPr>
          </w:p>
        </w:tc>
        <w:tc>
          <w:tcPr>
            <w:tcW w:w="2988" w:type="dxa"/>
            <w:shd w:val="clear" w:color="auto" w:fill="auto"/>
            <w:vAlign w:val="center"/>
          </w:tcPr>
          <w:p w:rsidR="0018409A" w:rsidRPr="00A804FC" w:rsidRDefault="00A15F7D" w:rsidP="00A804FC">
            <w:pPr>
              <w:jc w:val="center"/>
              <w:rPr>
                <w:b/>
                <w:bCs/>
                <w:sz w:val="20"/>
              </w:rPr>
            </w:pPr>
            <w:r w:rsidRPr="00A804FC">
              <w:rPr>
                <w:b/>
                <w:bCs/>
                <w:sz w:val="20"/>
              </w:rPr>
              <w:t xml:space="preserve">OECD modificētā ekvivalences skala </w:t>
            </w:r>
            <w:r w:rsidR="0018409A" w:rsidRPr="00A804FC">
              <w:rPr>
                <w:b/>
                <w:bCs/>
                <w:sz w:val="20"/>
              </w:rPr>
              <w:t>(1; 0.5; 0.3)</w:t>
            </w:r>
          </w:p>
        </w:tc>
        <w:tc>
          <w:tcPr>
            <w:tcW w:w="2518" w:type="dxa"/>
            <w:shd w:val="clear" w:color="auto" w:fill="auto"/>
            <w:vAlign w:val="center"/>
          </w:tcPr>
          <w:p w:rsidR="0018409A" w:rsidRPr="00A804FC" w:rsidRDefault="00A15F7D" w:rsidP="003B70A1">
            <w:pPr>
              <w:jc w:val="center"/>
              <w:rPr>
                <w:b/>
                <w:bCs/>
                <w:sz w:val="20"/>
              </w:rPr>
            </w:pPr>
            <w:r w:rsidRPr="00A804FC">
              <w:rPr>
                <w:b/>
                <w:bCs/>
                <w:sz w:val="20"/>
              </w:rPr>
              <w:t xml:space="preserve">OECD ekvivalences skala </w:t>
            </w:r>
            <w:r w:rsidR="0018409A" w:rsidRPr="00A804FC">
              <w:rPr>
                <w:b/>
                <w:bCs/>
                <w:sz w:val="20"/>
              </w:rPr>
              <w:t>(1; 0.7; 0.5)</w:t>
            </w:r>
          </w:p>
        </w:tc>
      </w:tr>
      <w:tr w:rsidR="001A65A9" w:rsidTr="00A804FC">
        <w:trPr>
          <w:trHeight w:val="225"/>
          <w:jc w:val="center"/>
        </w:trPr>
        <w:tc>
          <w:tcPr>
            <w:tcW w:w="1256" w:type="dxa"/>
            <w:shd w:val="clear" w:color="auto" w:fill="auto"/>
            <w:vAlign w:val="center"/>
          </w:tcPr>
          <w:p w:rsidR="001A65A9" w:rsidRPr="004303BC" w:rsidRDefault="001A65A9" w:rsidP="003B70A1">
            <w:pPr>
              <w:jc w:val="center"/>
              <w:rPr>
                <w:b/>
                <w:bCs/>
              </w:rPr>
            </w:pPr>
            <w:r w:rsidRPr="004303BC">
              <w:rPr>
                <w:b/>
                <w:bCs/>
              </w:rPr>
              <w:t>30 %</w:t>
            </w:r>
          </w:p>
        </w:tc>
        <w:tc>
          <w:tcPr>
            <w:tcW w:w="2988" w:type="dxa"/>
            <w:shd w:val="clear" w:color="auto" w:fill="auto"/>
            <w:vAlign w:val="center"/>
          </w:tcPr>
          <w:p w:rsidR="001A65A9" w:rsidRDefault="001A65A9" w:rsidP="003B70A1">
            <w:pPr>
              <w:jc w:val="center"/>
            </w:pPr>
            <w:r>
              <w:t>116</w:t>
            </w:r>
          </w:p>
        </w:tc>
        <w:tc>
          <w:tcPr>
            <w:tcW w:w="2518" w:type="dxa"/>
            <w:shd w:val="clear" w:color="auto" w:fill="auto"/>
            <w:vAlign w:val="center"/>
          </w:tcPr>
          <w:p w:rsidR="001A65A9" w:rsidRPr="00A551F6" w:rsidRDefault="001A65A9" w:rsidP="003B70A1">
            <w:pPr>
              <w:jc w:val="center"/>
            </w:pPr>
            <w:r w:rsidRPr="00A551F6">
              <w:rPr>
                <w:sz w:val="22"/>
                <w:szCs w:val="22"/>
              </w:rPr>
              <w:t>97</w:t>
            </w:r>
          </w:p>
        </w:tc>
      </w:tr>
      <w:tr w:rsidR="001A65A9" w:rsidTr="00A804FC">
        <w:trPr>
          <w:trHeight w:val="231"/>
          <w:jc w:val="center"/>
        </w:trPr>
        <w:tc>
          <w:tcPr>
            <w:tcW w:w="1256" w:type="dxa"/>
            <w:shd w:val="clear" w:color="auto" w:fill="auto"/>
            <w:vAlign w:val="center"/>
          </w:tcPr>
          <w:p w:rsidR="001A65A9" w:rsidRPr="004303BC" w:rsidRDefault="001A65A9" w:rsidP="003B70A1">
            <w:pPr>
              <w:jc w:val="center"/>
              <w:rPr>
                <w:b/>
                <w:bCs/>
              </w:rPr>
            </w:pPr>
            <w:r w:rsidRPr="004303BC">
              <w:rPr>
                <w:b/>
                <w:bCs/>
              </w:rPr>
              <w:t>40 %</w:t>
            </w:r>
          </w:p>
        </w:tc>
        <w:tc>
          <w:tcPr>
            <w:tcW w:w="2988" w:type="dxa"/>
            <w:shd w:val="clear" w:color="auto" w:fill="auto"/>
            <w:vAlign w:val="center"/>
          </w:tcPr>
          <w:p w:rsidR="001A65A9" w:rsidRDefault="001A65A9" w:rsidP="003B70A1">
            <w:pPr>
              <w:jc w:val="center"/>
            </w:pPr>
            <w:r>
              <w:t>157</w:t>
            </w:r>
          </w:p>
        </w:tc>
        <w:tc>
          <w:tcPr>
            <w:tcW w:w="2518" w:type="dxa"/>
            <w:shd w:val="clear" w:color="auto" w:fill="auto"/>
            <w:vAlign w:val="center"/>
          </w:tcPr>
          <w:p w:rsidR="001A65A9" w:rsidRPr="00A551F6" w:rsidRDefault="001A65A9" w:rsidP="003B70A1">
            <w:pPr>
              <w:jc w:val="center"/>
            </w:pPr>
            <w:r w:rsidRPr="00A551F6">
              <w:rPr>
                <w:bCs/>
                <w:color w:val="000000"/>
                <w:sz w:val="22"/>
                <w:szCs w:val="22"/>
              </w:rPr>
              <w:t>129</w:t>
            </w:r>
          </w:p>
        </w:tc>
      </w:tr>
      <w:tr w:rsidR="001A65A9" w:rsidTr="00A804FC">
        <w:trPr>
          <w:jc w:val="center"/>
        </w:trPr>
        <w:tc>
          <w:tcPr>
            <w:tcW w:w="1256" w:type="dxa"/>
            <w:shd w:val="clear" w:color="auto" w:fill="auto"/>
            <w:vAlign w:val="center"/>
          </w:tcPr>
          <w:p w:rsidR="001A65A9" w:rsidRPr="004303BC" w:rsidRDefault="001A65A9" w:rsidP="003B70A1">
            <w:pPr>
              <w:jc w:val="center"/>
              <w:rPr>
                <w:b/>
                <w:bCs/>
              </w:rPr>
            </w:pPr>
            <w:r w:rsidRPr="004303BC">
              <w:rPr>
                <w:b/>
                <w:bCs/>
              </w:rPr>
              <w:t>50 %</w:t>
            </w:r>
          </w:p>
        </w:tc>
        <w:tc>
          <w:tcPr>
            <w:tcW w:w="2988" w:type="dxa"/>
            <w:shd w:val="clear" w:color="auto" w:fill="auto"/>
            <w:vAlign w:val="center"/>
          </w:tcPr>
          <w:p w:rsidR="001A65A9" w:rsidRDefault="001A65A9" w:rsidP="003B70A1">
            <w:pPr>
              <w:jc w:val="center"/>
            </w:pPr>
            <w:r>
              <w:t>196</w:t>
            </w:r>
          </w:p>
        </w:tc>
        <w:tc>
          <w:tcPr>
            <w:tcW w:w="2518" w:type="dxa"/>
            <w:shd w:val="clear" w:color="auto" w:fill="auto"/>
            <w:vAlign w:val="center"/>
          </w:tcPr>
          <w:p w:rsidR="001A65A9" w:rsidRPr="00A551F6" w:rsidRDefault="001A65A9" w:rsidP="003B70A1">
            <w:pPr>
              <w:jc w:val="center"/>
            </w:pPr>
            <w:r w:rsidRPr="00A551F6">
              <w:rPr>
                <w:bCs/>
                <w:color w:val="000000"/>
                <w:sz w:val="22"/>
                <w:szCs w:val="22"/>
              </w:rPr>
              <w:t>162</w:t>
            </w:r>
          </w:p>
        </w:tc>
      </w:tr>
      <w:tr w:rsidR="001A65A9" w:rsidTr="00A804FC">
        <w:trPr>
          <w:jc w:val="center"/>
        </w:trPr>
        <w:tc>
          <w:tcPr>
            <w:tcW w:w="1256" w:type="dxa"/>
            <w:shd w:val="clear" w:color="auto" w:fill="auto"/>
            <w:vAlign w:val="center"/>
          </w:tcPr>
          <w:p w:rsidR="001A65A9" w:rsidRPr="004303BC" w:rsidRDefault="001A65A9" w:rsidP="003B70A1">
            <w:pPr>
              <w:jc w:val="center"/>
              <w:rPr>
                <w:b/>
                <w:bCs/>
              </w:rPr>
            </w:pPr>
            <w:r w:rsidRPr="004303BC">
              <w:rPr>
                <w:b/>
                <w:bCs/>
              </w:rPr>
              <w:t>60 %</w:t>
            </w:r>
          </w:p>
        </w:tc>
        <w:tc>
          <w:tcPr>
            <w:tcW w:w="2988" w:type="dxa"/>
            <w:shd w:val="clear" w:color="auto" w:fill="auto"/>
            <w:vAlign w:val="center"/>
          </w:tcPr>
          <w:p w:rsidR="001A65A9" w:rsidRDefault="001A65A9" w:rsidP="003B70A1">
            <w:pPr>
              <w:jc w:val="center"/>
            </w:pPr>
            <w:r>
              <w:t>235</w:t>
            </w:r>
          </w:p>
        </w:tc>
        <w:tc>
          <w:tcPr>
            <w:tcW w:w="2518" w:type="dxa"/>
            <w:shd w:val="clear" w:color="auto" w:fill="auto"/>
            <w:vAlign w:val="center"/>
          </w:tcPr>
          <w:p w:rsidR="001A65A9" w:rsidRPr="00A551F6" w:rsidRDefault="001A65A9" w:rsidP="003B70A1">
            <w:pPr>
              <w:jc w:val="center"/>
            </w:pPr>
            <w:r w:rsidRPr="00A551F6">
              <w:rPr>
                <w:bCs/>
                <w:color w:val="000000"/>
                <w:sz w:val="22"/>
                <w:szCs w:val="22"/>
              </w:rPr>
              <w:t>194</w:t>
            </w:r>
          </w:p>
        </w:tc>
      </w:tr>
    </w:tbl>
    <w:p w:rsidR="0018409A" w:rsidRPr="00C95C9E" w:rsidRDefault="00E206C5" w:rsidP="00C95C9E">
      <w:pPr>
        <w:ind w:left="1440" w:firstLine="720"/>
        <w:rPr>
          <w:sz w:val="20"/>
          <w:szCs w:val="20"/>
        </w:rPr>
      </w:pPr>
      <w:r>
        <w:rPr>
          <w:sz w:val="20"/>
          <w:szCs w:val="20"/>
        </w:rPr>
        <w:t>Datu avots: CSP</w:t>
      </w:r>
    </w:p>
    <w:p w:rsidR="0018409A" w:rsidRDefault="0018409A" w:rsidP="000D2E2D">
      <w:pPr>
        <w:ind w:firstLine="720"/>
        <w:jc w:val="both"/>
      </w:pPr>
    </w:p>
    <w:p w:rsidR="00750E7B" w:rsidRPr="00750E7B" w:rsidRDefault="00750E7B" w:rsidP="00750E7B">
      <w:pPr>
        <w:ind w:firstLine="720"/>
        <w:jc w:val="both"/>
        <w:rPr>
          <w:b/>
          <w:bCs/>
        </w:rPr>
      </w:pPr>
      <w:r>
        <w:t xml:space="preserve">Lai arī vistuvāk pēc 9.tabulā sniegtās informācijas ir </w:t>
      </w:r>
      <w:r w:rsidRPr="00750E7B">
        <w:rPr>
          <w:bCs/>
        </w:rPr>
        <w:t>OECD modificētā ekvivalences skalas</w:t>
      </w:r>
      <w:r>
        <w:rPr>
          <w:b/>
          <w:bCs/>
        </w:rPr>
        <w:t xml:space="preserve"> </w:t>
      </w:r>
      <w:r>
        <w:t xml:space="preserve">30% apmērs, tomēr tiek piedāvāts piemērot OECD 40% no rīcībā esošo ienākumu mediānas pārrēķinātas uz ekvivalento patērētāju, t.i., 129 </w:t>
      </w:r>
      <w:proofErr w:type="spellStart"/>
      <w:r w:rsidRPr="00BD0F8B">
        <w:rPr>
          <w:i/>
          <w:iCs/>
        </w:rPr>
        <w:t>euro</w:t>
      </w:r>
      <w:proofErr w:type="spellEnd"/>
      <w:r>
        <w:rPr>
          <w:i/>
          <w:iCs/>
        </w:rPr>
        <w:t xml:space="preserve">, </w:t>
      </w:r>
      <w:r w:rsidRPr="00266609">
        <w:rPr>
          <w:iCs/>
        </w:rPr>
        <w:t>jo</w:t>
      </w:r>
      <w:r>
        <w:t xml:space="preserve"> tā piemērotās ekvivalences skalas ir labvēlīgākas ģimenēm ar bērniem (skat. 10.tabulu).</w:t>
      </w:r>
    </w:p>
    <w:p w:rsidR="00AA6CBD" w:rsidRDefault="00781DFA" w:rsidP="00722594">
      <w:pPr>
        <w:ind w:firstLine="720"/>
        <w:jc w:val="both"/>
      </w:pPr>
      <w:r>
        <w:t xml:space="preserve">Ir </w:t>
      </w:r>
      <w:r w:rsidR="00AA6CBD">
        <w:t xml:space="preserve">jāņem vērā, ka </w:t>
      </w:r>
      <w:r>
        <w:t>piedāvātais</w:t>
      </w:r>
      <w:r w:rsidR="00AA6CBD">
        <w:t xml:space="preserve"> minimālā ienākuma līmenis katru gadu mainīsies, balstoties uz mājsaimniecību rīcībā esošo ienākumu izmaiņām. </w:t>
      </w:r>
      <w:r>
        <w:t>Tāpēc, n</w:t>
      </w:r>
      <w:r w:rsidR="00AA6CBD">
        <w:t>osakot atbalstu noteiktām iedzīvotāju grup</w:t>
      </w:r>
      <w:r>
        <w:t>ām</w:t>
      </w:r>
      <w:r w:rsidR="00DE415C">
        <w:t xml:space="preserve"> attiecīgajās sistēmās</w:t>
      </w:r>
      <w:r w:rsidR="00AA6CBD">
        <w:t>, būtu nepiecie</w:t>
      </w:r>
      <w:r>
        <w:t xml:space="preserve">šams izvērtēt </w:t>
      </w:r>
      <w:r w:rsidR="00DE415C">
        <w:t xml:space="preserve">un </w:t>
      </w:r>
      <w:r w:rsidR="00722594">
        <w:t>noteikt</w:t>
      </w:r>
      <w:r w:rsidR="00DE415C">
        <w:t xml:space="preserve">, kāds būs procentuālo izmaiņu samazinājums un palielinājums, atbilstoši kuram atbalsts tiks sniegts. Proti, ja minimālā ienākuma līmenis samazināsies dēļ mājsaimniecību rīcībā esošo ienākumu krituma, </w:t>
      </w:r>
      <w:r w:rsidR="00BC1037">
        <w:t xml:space="preserve">ir jānosaka, </w:t>
      </w:r>
      <w:r w:rsidR="00DE415C">
        <w:t xml:space="preserve">vai attiecīgi tiks samazināts noteiktām iedzīvotāju grupām sniegtais atbalsts. Un, ja minimālā ienākuma līmenis palielināsies dēļ mājsaimniecību rīcībā esošo ienākumu pieauguma, vai attiecīgi noteiktām iedzīvotāju grupām sniegtais atbalsts tiks palielināts, pat ja izmaiņas būs nenozīmīgas, bet administratīvo resursu ieguldījums būs neproporcionāli augsts.  </w:t>
      </w:r>
    </w:p>
    <w:p w:rsidR="000D2E2D" w:rsidRDefault="00E56A67" w:rsidP="00B779F4">
      <w:pPr>
        <w:ind w:firstLine="720"/>
        <w:jc w:val="both"/>
      </w:pPr>
      <w:r>
        <w:t>Vienlaicīgi</w:t>
      </w:r>
      <w:r w:rsidR="00BC1037">
        <w:t>,</w:t>
      </w:r>
      <w:r>
        <w:t xml:space="preserve"> nosakot šo procentuālo apmēru no </w:t>
      </w:r>
      <w:r w:rsidR="003549D1">
        <w:t>iedzīvotāju ienākumiem</w:t>
      </w:r>
      <w:r w:rsidR="007342D4" w:rsidRPr="007342D4">
        <w:t xml:space="preserve"> </w:t>
      </w:r>
      <w:r w:rsidR="007342D4">
        <w:t>un ņemot vērā Latvijas demogrāfisko situāciju</w:t>
      </w:r>
      <w:r w:rsidR="003549D1">
        <w:t>, tiek piedāvāts piemērot</w:t>
      </w:r>
      <w:r w:rsidR="007342D4">
        <w:t xml:space="preserve"> </w:t>
      </w:r>
      <w:r w:rsidR="003F2858">
        <w:t>ekvivalences skalu 1; 0.7</w:t>
      </w:r>
      <w:r w:rsidR="00A844AF">
        <w:t xml:space="preserve">; </w:t>
      </w:r>
      <w:r w:rsidR="003F2858">
        <w:t>0.</w:t>
      </w:r>
      <w:r w:rsidR="00AA18E7">
        <w:t>7</w:t>
      </w:r>
      <w:r w:rsidR="007342D4">
        <w:t xml:space="preserve">, </w:t>
      </w:r>
      <w:r w:rsidR="00AA18E7">
        <w:t xml:space="preserve">kas atšķiras no OECD ekvivalences skalas (1; 0.7; 0.5) un </w:t>
      </w:r>
      <w:r w:rsidR="00A804FC">
        <w:t xml:space="preserve">OECD </w:t>
      </w:r>
      <w:r w:rsidR="00AA18E7">
        <w:t>modificētās</w:t>
      </w:r>
      <w:r w:rsidR="008E4237">
        <w:t xml:space="preserve"> </w:t>
      </w:r>
      <w:r w:rsidR="0027545A">
        <w:t>e</w:t>
      </w:r>
      <w:r w:rsidR="00AA18E7">
        <w:t>kvivalences skalas</w:t>
      </w:r>
      <w:r w:rsidR="0027545A">
        <w:t xml:space="preserve"> </w:t>
      </w:r>
      <w:r w:rsidR="008E4237">
        <w:t>(1; 0.5; 0.3)</w:t>
      </w:r>
      <w:r w:rsidR="007342D4" w:rsidRPr="007342D4">
        <w:t xml:space="preserve"> </w:t>
      </w:r>
      <w:r w:rsidR="007342D4">
        <w:t xml:space="preserve">(vairāk skat. </w:t>
      </w:r>
      <w:r w:rsidR="00722594">
        <w:t>s</w:t>
      </w:r>
      <w:r w:rsidR="0027545A">
        <w:t xml:space="preserve">adaļu </w:t>
      </w:r>
      <w:r w:rsidR="007342D4">
        <w:t>1.1.5.)</w:t>
      </w:r>
      <w:r w:rsidR="0027545A">
        <w:t xml:space="preserve">. Atšķirība starp </w:t>
      </w:r>
      <w:r w:rsidR="00CA7E27">
        <w:t xml:space="preserve">OECD modificēto </w:t>
      </w:r>
      <w:r w:rsidR="00A804FC">
        <w:t>un OECD ekvivalences skalu</w:t>
      </w:r>
      <w:r w:rsidR="0027545A">
        <w:t xml:space="preserve"> ir tā, ka OECD patēriņa</w:t>
      </w:r>
      <w:r w:rsidR="000D2E2D">
        <w:t xml:space="preserve"> vērtība nākamajiem mājsaimniecību locekļiem, tai sk</w:t>
      </w:r>
      <w:r w:rsidR="00722594">
        <w:t>aitā bērnam, ir lielāka, nekā</w:t>
      </w:r>
      <w:r w:rsidR="000D2E2D">
        <w:t xml:space="preserve"> </w:t>
      </w:r>
      <w:r w:rsidR="00CA7E27">
        <w:t>OECD modificētajai ekvivalences skalai</w:t>
      </w:r>
      <w:r w:rsidR="000D2E2D">
        <w:t xml:space="preserve">. </w:t>
      </w:r>
      <w:r w:rsidR="00AA18E7">
        <w:t xml:space="preserve">Savukārt Latvijas izvēle būtu vēl labvēlīgāka bērniem, piemērojot tiem ekvivalences skalu vienlīdzīgā apmērā ar otro un nākamajiem pieaugušajiem, t.i., 70% apmērā. </w:t>
      </w:r>
      <w:r w:rsidR="004A7A8A">
        <w:t>10</w:t>
      </w:r>
      <w:r w:rsidR="003C7374">
        <w:t xml:space="preserve">.tabulā ir sniegti minimālā ienākuma līmeņi </w:t>
      </w:r>
      <w:r w:rsidR="004B1193">
        <w:t xml:space="preserve">dažādiem mājsaimniecību veidiem 30%-60% apmērā no rīcībā esošo ienākumu mediānas, </w:t>
      </w:r>
      <w:r w:rsidR="003C7374">
        <w:t xml:space="preserve">piemērojot </w:t>
      </w:r>
      <w:r w:rsidR="00CA7E27">
        <w:t xml:space="preserve">OECD modificēto un </w:t>
      </w:r>
      <w:r w:rsidR="003C7374">
        <w:t>OECD ekvivalences skal</w:t>
      </w:r>
      <w:r w:rsidR="00A804FC">
        <w:t>u</w:t>
      </w:r>
      <w:r w:rsidR="003C7374">
        <w:t xml:space="preserve">. </w:t>
      </w:r>
    </w:p>
    <w:p w:rsidR="0014704E" w:rsidRDefault="0014704E" w:rsidP="004B1193">
      <w:pPr>
        <w:ind w:firstLine="720"/>
        <w:jc w:val="both"/>
      </w:pPr>
    </w:p>
    <w:p w:rsidR="00AA18E7" w:rsidRDefault="00AA18E7" w:rsidP="004B1193">
      <w:pPr>
        <w:ind w:firstLine="720"/>
        <w:jc w:val="both"/>
      </w:pPr>
    </w:p>
    <w:p w:rsidR="00AA18E7" w:rsidRDefault="00AA18E7" w:rsidP="004B1193">
      <w:pPr>
        <w:ind w:firstLine="720"/>
        <w:jc w:val="both"/>
      </w:pPr>
    </w:p>
    <w:p w:rsidR="00AA18E7" w:rsidRDefault="00AA18E7" w:rsidP="004B1193">
      <w:pPr>
        <w:ind w:firstLine="720"/>
        <w:jc w:val="both"/>
      </w:pPr>
    </w:p>
    <w:p w:rsidR="00AA18E7" w:rsidRDefault="00AA18E7" w:rsidP="004B1193">
      <w:pPr>
        <w:ind w:firstLine="720"/>
        <w:jc w:val="both"/>
      </w:pPr>
    </w:p>
    <w:p w:rsidR="00E56A67" w:rsidRPr="00115853" w:rsidRDefault="00115853" w:rsidP="00E56A67">
      <w:pPr>
        <w:jc w:val="right"/>
      </w:pPr>
      <w:r w:rsidRPr="00115853">
        <w:t>10</w:t>
      </w:r>
      <w:r w:rsidR="00E56A67" w:rsidRPr="00115853">
        <w:t xml:space="preserve">.tabula. </w:t>
      </w:r>
    </w:p>
    <w:p w:rsidR="00722594" w:rsidRPr="00115853" w:rsidRDefault="00115853" w:rsidP="00A15F7D">
      <w:pPr>
        <w:jc w:val="center"/>
      </w:pPr>
      <w:r>
        <w:t xml:space="preserve">Minimālā ienākuma līmenis mēnesī </w:t>
      </w:r>
      <w:r w:rsidR="00E56A67" w:rsidRPr="00A15F7D">
        <w:t xml:space="preserve">pēc </w:t>
      </w:r>
      <w:r w:rsidR="00A15F7D" w:rsidRPr="00A15F7D">
        <w:t>OECD modificētā</w:t>
      </w:r>
      <w:r w:rsidR="00CA7E27">
        <w:t>s</w:t>
      </w:r>
      <w:r w:rsidR="00A15F7D" w:rsidRPr="00A15F7D">
        <w:t xml:space="preserve"> un OECD </w:t>
      </w:r>
      <w:r w:rsidR="00722594" w:rsidRPr="00A15F7D">
        <w:t>ekvivalences</w:t>
      </w:r>
      <w:r w:rsidR="00722594" w:rsidRPr="00115853">
        <w:t xml:space="preserve"> skalām</w:t>
      </w:r>
    </w:p>
    <w:p w:rsidR="00E56A67" w:rsidRPr="00115853" w:rsidRDefault="00722594" w:rsidP="00CE1A6D">
      <w:pPr>
        <w:jc w:val="center"/>
      </w:pPr>
      <w:r w:rsidRPr="00115853">
        <w:t xml:space="preserve">atsevišķiem mājsaimniecību veidiem </w:t>
      </w:r>
      <w:r w:rsidR="00115853">
        <w:t xml:space="preserve">2012.gadā </w:t>
      </w:r>
      <w:r w:rsidR="0066001D" w:rsidRPr="00115853">
        <w:t>(</w:t>
      </w:r>
      <w:proofErr w:type="spellStart"/>
      <w:r w:rsidR="00CE1A6D" w:rsidRPr="00BD0F8B">
        <w:rPr>
          <w:i/>
          <w:iCs/>
        </w:rPr>
        <w:t>euro</w:t>
      </w:r>
      <w:proofErr w:type="spellEnd"/>
      <w:r w:rsidR="00E56A67" w:rsidRPr="00115853">
        <w:t>, pēc 201</w:t>
      </w:r>
      <w:r w:rsidR="00115853">
        <w:t>3</w:t>
      </w:r>
      <w:r w:rsidR="00E56A67" w:rsidRPr="00115853">
        <w:t>.gada datiem</w:t>
      </w:r>
      <w:r w:rsidR="0066001D" w:rsidRPr="00115853">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709"/>
        <w:gridCol w:w="992"/>
        <w:gridCol w:w="922"/>
        <w:gridCol w:w="980"/>
        <w:gridCol w:w="980"/>
        <w:gridCol w:w="945"/>
        <w:gridCol w:w="875"/>
      </w:tblGrid>
      <w:tr w:rsidR="00AF78FA" w:rsidRPr="000043B4" w:rsidTr="00A804FC">
        <w:trPr>
          <w:trHeight w:val="546"/>
        </w:trPr>
        <w:tc>
          <w:tcPr>
            <w:tcW w:w="2093" w:type="dxa"/>
            <w:shd w:val="clear" w:color="auto" w:fill="auto"/>
          </w:tcPr>
          <w:p w:rsidR="00AF78FA" w:rsidRPr="000043B4" w:rsidRDefault="00AF78FA" w:rsidP="00A65A99">
            <w:pPr>
              <w:spacing w:before="120" w:after="120"/>
              <w:jc w:val="center"/>
              <w:rPr>
                <w:b/>
                <w:sz w:val="22"/>
                <w:szCs w:val="22"/>
              </w:rPr>
            </w:pPr>
            <w:r w:rsidRPr="000043B4">
              <w:rPr>
                <w:b/>
                <w:sz w:val="22"/>
                <w:szCs w:val="22"/>
              </w:rPr>
              <w:t>MĀJSAIMNIECĪBAS VEIDS</w:t>
            </w:r>
          </w:p>
        </w:tc>
        <w:tc>
          <w:tcPr>
            <w:tcW w:w="1701" w:type="dxa"/>
            <w:gridSpan w:val="2"/>
            <w:shd w:val="clear" w:color="auto" w:fill="auto"/>
            <w:vAlign w:val="center"/>
          </w:tcPr>
          <w:p w:rsidR="00AF78FA" w:rsidRPr="000043B4" w:rsidRDefault="00AF78FA" w:rsidP="00A65A99">
            <w:pPr>
              <w:spacing w:before="120" w:after="120"/>
              <w:jc w:val="center"/>
              <w:rPr>
                <w:b/>
                <w:sz w:val="22"/>
                <w:szCs w:val="22"/>
              </w:rPr>
            </w:pPr>
            <w:r w:rsidRPr="000043B4">
              <w:rPr>
                <w:b/>
                <w:sz w:val="22"/>
                <w:szCs w:val="22"/>
              </w:rPr>
              <w:t>30%</w:t>
            </w:r>
          </w:p>
        </w:tc>
        <w:tc>
          <w:tcPr>
            <w:tcW w:w="1914" w:type="dxa"/>
            <w:gridSpan w:val="2"/>
            <w:shd w:val="clear" w:color="auto" w:fill="D9D9D9"/>
            <w:vAlign w:val="center"/>
          </w:tcPr>
          <w:p w:rsidR="00AF78FA" w:rsidRPr="000043B4" w:rsidRDefault="00AF78FA" w:rsidP="00A65A99">
            <w:pPr>
              <w:spacing w:before="120" w:after="120"/>
              <w:jc w:val="center"/>
              <w:rPr>
                <w:b/>
                <w:sz w:val="22"/>
                <w:szCs w:val="22"/>
              </w:rPr>
            </w:pPr>
            <w:r>
              <w:rPr>
                <w:b/>
                <w:sz w:val="22"/>
                <w:szCs w:val="22"/>
              </w:rPr>
              <w:t>4</w:t>
            </w:r>
            <w:r w:rsidRPr="000043B4">
              <w:rPr>
                <w:b/>
                <w:sz w:val="22"/>
                <w:szCs w:val="22"/>
              </w:rPr>
              <w:t>0%</w:t>
            </w:r>
          </w:p>
        </w:tc>
        <w:tc>
          <w:tcPr>
            <w:tcW w:w="1960" w:type="dxa"/>
            <w:gridSpan w:val="2"/>
            <w:vAlign w:val="center"/>
          </w:tcPr>
          <w:p w:rsidR="00AF78FA" w:rsidRPr="000043B4" w:rsidRDefault="00AF78FA" w:rsidP="00A65A99">
            <w:pPr>
              <w:spacing w:before="120" w:after="120"/>
              <w:jc w:val="center"/>
              <w:rPr>
                <w:b/>
                <w:sz w:val="22"/>
                <w:szCs w:val="22"/>
              </w:rPr>
            </w:pPr>
            <w:r>
              <w:rPr>
                <w:b/>
                <w:sz w:val="22"/>
                <w:szCs w:val="22"/>
              </w:rPr>
              <w:t>50%</w:t>
            </w:r>
          </w:p>
        </w:tc>
        <w:tc>
          <w:tcPr>
            <w:tcW w:w="1820" w:type="dxa"/>
            <w:gridSpan w:val="2"/>
            <w:vAlign w:val="center"/>
          </w:tcPr>
          <w:p w:rsidR="00AF78FA" w:rsidRPr="000043B4" w:rsidRDefault="00AF78FA" w:rsidP="00A65A99">
            <w:pPr>
              <w:spacing w:before="120" w:after="120"/>
              <w:jc w:val="center"/>
              <w:rPr>
                <w:b/>
                <w:sz w:val="22"/>
                <w:szCs w:val="22"/>
              </w:rPr>
            </w:pPr>
            <w:r>
              <w:rPr>
                <w:b/>
                <w:sz w:val="22"/>
                <w:szCs w:val="22"/>
              </w:rPr>
              <w:t>6</w:t>
            </w:r>
            <w:r w:rsidRPr="000043B4">
              <w:rPr>
                <w:b/>
                <w:sz w:val="22"/>
                <w:szCs w:val="22"/>
              </w:rPr>
              <w:t>0%</w:t>
            </w:r>
          </w:p>
        </w:tc>
      </w:tr>
      <w:tr w:rsidR="00A15F7D" w:rsidRPr="000043B4" w:rsidTr="00A804FC">
        <w:tc>
          <w:tcPr>
            <w:tcW w:w="2093" w:type="dxa"/>
            <w:shd w:val="clear" w:color="auto" w:fill="auto"/>
          </w:tcPr>
          <w:p w:rsidR="00A15F7D" w:rsidRPr="000043B4" w:rsidRDefault="00A15F7D" w:rsidP="00A65A99">
            <w:pPr>
              <w:spacing w:before="120" w:after="120"/>
              <w:jc w:val="center"/>
              <w:rPr>
                <w:b/>
                <w:sz w:val="22"/>
                <w:szCs w:val="22"/>
              </w:rPr>
            </w:pPr>
          </w:p>
        </w:tc>
        <w:tc>
          <w:tcPr>
            <w:tcW w:w="992" w:type="dxa"/>
            <w:shd w:val="clear" w:color="auto" w:fill="auto"/>
          </w:tcPr>
          <w:p w:rsidR="00A15F7D" w:rsidRPr="00A15F7D" w:rsidRDefault="00A15F7D" w:rsidP="00A15F7D">
            <w:pPr>
              <w:jc w:val="center"/>
              <w:rPr>
                <w:b/>
                <w:bCs/>
                <w:sz w:val="16"/>
                <w:szCs w:val="16"/>
              </w:rPr>
            </w:pPr>
            <w:r>
              <w:rPr>
                <w:b/>
                <w:bCs/>
                <w:sz w:val="16"/>
                <w:szCs w:val="16"/>
              </w:rPr>
              <w:t xml:space="preserve">OECD modificētā </w:t>
            </w:r>
            <w:proofErr w:type="spellStart"/>
            <w:r>
              <w:rPr>
                <w:b/>
                <w:bCs/>
                <w:sz w:val="16"/>
                <w:szCs w:val="16"/>
              </w:rPr>
              <w:t>ekviv</w:t>
            </w:r>
            <w:proofErr w:type="spellEnd"/>
            <w:r>
              <w:rPr>
                <w:b/>
                <w:bCs/>
                <w:sz w:val="16"/>
                <w:szCs w:val="16"/>
              </w:rPr>
              <w:t xml:space="preserve">. </w:t>
            </w:r>
            <w:r w:rsidRPr="00A15F7D">
              <w:rPr>
                <w:b/>
                <w:bCs/>
                <w:sz w:val="16"/>
                <w:szCs w:val="16"/>
              </w:rPr>
              <w:t xml:space="preserve">skala </w:t>
            </w:r>
          </w:p>
        </w:tc>
        <w:tc>
          <w:tcPr>
            <w:tcW w:w="709" w:type="dxa"/>
          </w:tcPr>
          <w:p w:rsidR="00A15F7D" w:rsidRPr="00A15F7D" w:rsidRDefault="00A15F7D" w:rsidP="00A15F7D">
            <w:pPr>
              <w:jc w:val="center"/>
              <w:rPr>
                <w:b/>
                <w:bCs/>
                <w:sz w:val="16"/>
                <w:szCs w:val="16"/>
              </w:rPr>
            </w:pPr>
            <w:r w:rsidRPr="00A15F7D">
              <w:rPr>
                <w:b/>
                <w:bCs/>
                <w:sz w:val="16"/>
                <w:szCs w:val="16"/>
              </w:rPr>
              <w:t xml:space="preserve">OECD </w:t>
            </w:r>
            <w:proofErr w:type="spellStart"/>
            <w:r>
              <w:rPr>
                <w:b/>
                <w:bCs/>
                <w:sz w:val="16"/>
                <w:szCs w:val="16"/>
              </w:rPr>
              <w:t>ekviv</w:t>
            </w:r>
            <w:proofErr w:type="spellEnd"/>
            <w:r>
              <w:rPr>
                <w:b/>
                <w:bCs/>
                <w:sz w:val="16"/>
                <w:szCs w:val="16"/>
              </w:rPr>
              <w:t>.</w:t>
            </w:r>
            <w:r w:rsidRPr="00A15F7D">
              <w:rPr>
                <w:b/>
                <w:bCs/>
                <w:sz w:val="16"/>
                <w:szCs w:val="16"/>
              </w:rPr>
              <w:t xml:space="preserve"> skala </w:t>
            </w:r>
          </w:p>
        </w:tc>
        <w:tc>
          <w:tcPr>
            <w:tcW w:w="992" w:type="dxa"/>
            <w:shd w:val="clear" w:color="auto" w:fill="auto"/>
          </w:tcPr>
          <w:p w:rsidR="00A15F7D" w:rsidRPr="00A15F7D" w:rsidRDefault="00A15F7D" w:rsidP="00481FC4">
            <w:pPr>
              <w:jc w:val="center"/>
              <w:rPr>
                <w:b/>
                <w:bCs/>
                <w:sz w:val="16"/>
                <w:szCs w:val="16"/>
              </w:rPr>
            </w:pPr>
            <w:r>
              <w:rPr>
                <w:b/>
                <w:bCs/>
                <w:sz w:val="16"/>
                <w:szCs w:val="16"/>
              </w:rPr>
              <w:t xml:space="preserve">OECD modificētā </w:t>
            </w:r>
            <w:proofErr w:type="spellStart"/>
            <w:r>
              <w:rPr>
                <w:b/>
                <w:bCs/>
                <w:sz w:val="16"/>
                <w:szCs w:val="16"/>
              </w:rPr>
              <w:t>ekviv</w:t>
            </w:r>
            <w:proofErr w:type="spellEnd"/>
            <w:r>
              <w:rPr>
                <w:b/>
                <w:bCs/>
                <w:sz w:val="16"/>
                <w:szCs w:val="16"/>
              </w:rPr>
              <w:t xml:space="preserve">. </w:t>
            </w:r>
            <w:r w:rsidRPr="00A15F7D">
              <w:rPr>
                <w:b/>
                <w:bCs/>
                <w:sz w:val="16"/>
                <w:szCs w:val="16"/>
              </w:rPr>
              <w:t xml:space="preserve">skala </w:t>
            </w:r>
          </w:p>
        </w:tc>
        <w:tc>
          <w:tcPr>
            <w:tcW w:w="922" w:type="dxa"/>
            <w:shd w:val="clear" w:color="auto" w:fill="D9D9D9"/>
          </w:tcPr>
          <w:p w:rsidR="00A15F7D" w:rsidRPr="00A15F7D" w:rsidRDefault="00A15F7D" w:rsidP="00481FC4">
            <w:pPr>
              <w:jc w:val="center"/>
              <w:rPr>
                <w:b/>
                <w:bCs/>
                <w:sz w:val="16"/>
                <w:szCs w:val="16"/>
              </w:rPr>
            </w:pPr>
            <w:r w:rsidRPr="00A15F7D">
              <w:rPr>
                <w:b/>
                <w:bCs/>
                <w:sz w:val="16"/>
                <w:szCs w:val="16"/>
              </w:rPr>
              <w:t xml:space="preserve">OECD </w:t>
            </w:r>
            <w:proofErr w:type="spellStart"/>
            <w:r>
              <w:rPr>
                <w:b/>
                <w:bCs/>
                <w:sz w:val="16"/>
                <w:szCs w:val="16"/>
              </w:rPr>
              <w:t>ekviv</w:t>
            </w:r>
            <w:proofErr w:type="spellEnd"/>
            <w:r>
              <w:rPr>
                <w:b/>
                <w:bCs/>
                <w:sz w:val="16"/>
                <w:szCs w:val="16"/>
              </w:rPr>
              <w:t>.</w:t>
            </w:r>
            <w:r w:rsidRPr="00A15F7D">
              <w:rPr>
                <w:b/>
                <w:bCs/>
                <w:sz w:val="16"/>
                <w:szCs w:val="16"/>
              </w:rPr>
              <w:t xml:space="preserve"> skala </w:t>
            </w:r>
          </w:p>
        </w:tc>
        <w:tc>
          <w:tcPr>
            <w:tcW w:w="980" w:type="dxa"/>
          </w:tcPr>
          <w:p w:rsidR="00A15F7D" w:rsidRPr="00A15F7D" w:rsidRDefault="00A15F7D" w:rsidP="00481FC4">
            <w:pPr>
              <w:jc w:val="center"/>
              <w:rPr>
                <w:b/>
                <w:bCs/>
                <w:sz w:val="16"/>
                <w:szCs w:val="16"/>
              </w:rPr>
            </w:pPr>
            <w:r>
              <w:rPr>
                <w:b/>
                <w:bCs/>
                <w:sz w:val="16"/>
                <w:szCs w:val="16"/>
              </w:rPr>
              <w:t xml:space="preserve">OECD modificētā </w:t>
            </w:r>
            <w:proofErr w:type="spellStart"/>
            <w:r>
              <w:rPr>
                <w:b/>
                <w:bCs/>
                <w:sz w:val="16"/>
                <w:szCs w:val="16"/>
              </w:rPr>
              <w:t>ekviv</w:t>
            </w:r>
            <w:proofErr w:type="spellEnd"/>
            <w:r>
              <w:rPr>
                <w:b/>
                <w:bCs/>
                <w:sz w:val="16"/>
                <w:szCs w:val="16"/>
              </w:rPr>
              <w:t xml:space="preserve">. </w:t>
            </w:r>
            <w:r w:rsidRPr="00A15F7D">
              <w:rPr>
                <w:b/>
                <w:bCs/>
                <w:sz w:val="16"/>
                <w:szCs w:val="16"/>
              </w:rPr>
              <w:t xml:space="preserve">skala </w:t>
            </w:r>
          </w:p>
        </w:tc>
        <w:tc>
          <w:tcPr>
            <w:tcW w:w="980" w:type="dxa"/>
          </w:tcPr>
          <w:p w:rsidR="00A15F7D" w:rsidRPr="00A15F7D" w:rsidRDefault="00A15F7D" w:rsidP="00481FC4">
            <w:pPr>
              <w:jc w:val="center"/>
              <w:rPr>
                <w:b/>
                <w:bCs/>
                <w:sz w:val="16"/>
                <w:szCs w:val="16"/>
              </w:rPr>
            </w:pPr>
            <w:r w:rsidRPr="00A15F7D">
              <w:rPr>
                <w:b/>
                <w:bCs/>
                <w:sz w:val="16"/>
                <w:szCs w:val="16"/>
              </w:rPr>
              <w:t xml:space="preserve">OECD </w:t>
            </w:r>
            <w:proofErr w:type="spellStart"/>
            <w:r>
              <w:rPr>
                <w:b/>
                <w:bCs/>
                <w:sz w:val="16"/>
                <w:szCs w:val="16"/>
              </w:rPr>
              <w:t>ekviv</w:t>
            </w:r>
            <w:proofErr w:type="spellEnd"/>
            <w:r>
              <w:rPr>
                <w:b/>
                <w:bCs/>
                <w:sz w:val="16"/>
                <w:szCs w:val="16"/>
              </w:rPr>
              <w:t>.</w:t>
            </w:r>
            <w:r w:rsidRPr="00A15F7D">
              <w:rPr>
                <w:b/>
                <w:bCs/>
                <w:sz w:val="16"/>
                <w:szCs w:val="16"/>
              </w:rPr>
              <w:t xml:space="preserve"> skala </w:t>
            </w:r>
          </w:p>
        </w:tc>
        <w:tc>
          <w:tcPr>
            <w:tcW w:w="945" w:type="dxa"/>
          </w:tcPr>
          <w:p w:rsidR="00A15F7D" w:rsidRPr="00A15F7D" w:rsidRDefault="00A15F7D" w:rsidP="00481FC4">
            <w:pPr>
              <w:jc w:val="center"/>
              <w:rPr>
                <w:b/>
                <w:bCs/>
                <w:sz w:val="16"/>
                <w:szCs w:val="16"/>
              </w:rPr>
            </w:pPr>
            <w:r>
              <w:rPr>
                <w:b/>
                <w:bCs/>
                <w:sz w:val="16"/>
                <w:szCs w:val="16"/>
              </w:rPr>
              <w:t xml:space="preserve">OECD modificētā </w:t>
            </w:r>
            <w:proofErr w:type="spellStart"/>
            <w:r>
              <w:rPr>
                <w:b/>
                <w:bCs/>
                <w:sz w:val="16"/>
                <w:szCs w:val="16"/>
              </w:rPr>
              <w:t>ekviv</w:t>
            </w:r>
            <w:proofErr w:type="spellEnd"/>
            <w:r>
              <w:rPr>
                <w:b/>
                <w:bCs/>
                <w:sz w:val="16"/>
                <w:szCs w:val="16"/>
              </w:rPr>
              <w:t xml:space="preserve">. </w:t>
            </w:r>
            <w:r w:rsidRPr="00A15F7D">
              <w:rPr>
                <w:b/>
                <w:bCs/>
                <w:sz w:val="16"/>
                <w:szCs w:val="16"/>
              </w:rPr>
              <w:t xml:space="preserve">skala </w:t>
            </w:r>
          </w:p>
        </w:tc>
        <w:tc>
          <w:tcPr>
            <w:tcW w:w="875" w:type="dxa"/>
          </w:tcPr>
          <w:p w:rsidR="00A15F7D" w:rsidRPr="00A15F7D" w:rsidRDefault="00A15F7D" w:rsidP="00481FC4">
            <w:pPr>
              <w:jc w:val="center"/>
              <w:rPr>
                <w:b/>
                <w:bCs/>
                <w:sz w:val="16"/>
                <w:szCs w:val="16"/>
              </w:rPr>
            </w:pPr>
            <w:r w:rsidRPr="00A15F7D">
              <w:rPr>
                <w:b/>
                <w:bCs/>
                <w:sz w:val="16"/>
                <w:szCs w:val="16"/>
              </w:rPr>
              <w:t xml:space="preserve">OECD </w:t>
            </w:r>
            <w:proofErr w:type="spellStart"/>
            <w:r>
              <w:rPr>
                <w:b/>
                <w:bCs/>
                <w:sz w:val="16"/>
                <w:szCs w:val="16"/>
              </w:rPr>
              <w:t>ekviv</w:t>
            </w:r>
            <w:proofErr w:type="spellEnd"/>
            <w:r>
              <w:rPr>
                <w:b/>
                <w:bCs/>
                <w:sz w:val="16"/>
                <w:szCs w:val="16"/>
              </w:rPr>
              <w:t>.</w:t>
            </w:r>
            <w:r w:rsidRPr="00A15F7D">
              <w:rPr>
                <w:b/>
                <w:bCs/>
                <w:sz w:val="16"/>
                <w:szCs w:val="16"/>
              </w:rPr>
              <w:t xml:space="preserve"> skala </w:t>
            </w:r>
          </w:p>
        </w:tc>
      </w:tr>
      <w:tr w:rsidR="00A15F7D" w:rsidRPr="000043B4" w:rsidTr="00A804FC">
        <w:trPr>
          <w:trHeight w:val="729"/>
        </w:trPr>
        <w:tc>
          <w:tcPr>
            <w:tcW w:w="2093" w:type="dxa"/>
            <w:shd w:val="clear" w:color="auto" w:fill="auto"/>
          </w:tcPr>
          <w:p w:rsidR="00AF78FA" w:rsidRPr="000043B4" w:rsidRDefault="001C7D5F" w:rsidP="00A65A99">
            <w:pPr>
              <w:rPr>
                <w:b/>
                <w:sz w:val="22"/>
                <w:szCs w:val="22"/>
              </w:rPr>
            </w:pPr>
            <w:r>
              <w:rPr>
                <w:noProof/>
                <w:sz w:val="18"/>
                <w:szCs w:val="18"/>
                <w:lang w:eastAsia="lv-LV"/>
              </w:rPr>
              <w:drawing>
                <wp:inline distT="0" distB="0" distL="0" distR="0" wp14:anchorId="40DE4EC8" wp14:editId="2B8136CF">
                  <wp:extent cx="215900" cy="425450"/>
                  <wp:effectExtent l="0" t="0" r="0" b="0"/>
                  <wp:docPr id="14" name="Picture 3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p>
        </w:tc>
        <w:tc>
          <w:tcPr>
            <w:tcW w:w="992" w:type="dxa"/>
            <w:shd w:val="clear" w:color="auto" w:fill="auto"/>
            <w:vAlign w:val="center"/>
          </w:tcPr>
          <w:p w:rsidR="00AF78FA" w:rsidRDefault="00AF78FA" w:rsidP="00A65A99">
            <w:pPr>
              <w:spacing w:before="120" w:after="120"/>
              <w:jc w:val="center"/>
              <w:rPr>
                <w:b/>
                <w:sz w:val="22"/>
                <w:szCs w:val="22"/>
              </w:rPr>
            </w:pPr>
            <w:r>
              <w:rPr>
                <w:b/>
                <w:sz w:val="22"/>
                <w:szCs w:val="22"/>
              </w:rPr>
              <w:t>116</w:t>
            </w:r>
          </w:p>
        </w:tc>
        <w:tc>
          <w:tcPr>
            <w:tcW w:w="709" w:type="dxa"/>
            <w:vAlign w:val="center"/>
          </w:tcPr>
          <w:p w:rsidR="00AF78FA" w:rsidRPr="007556B8" w:rsidRDefault="00AF78FA" w:rsidP="00A65A99">
            <w:pPr>
              <w:spacing w:before="120" w:after="120"/>
              <w:jc w:val="center"/>
              <w:rPr>
                <w:b/>
                <w:sz w:val="22"/>
                <w:szCs w:val="22"/>
              </w:rPr>
            </w:pPr>
            <w:r w:rsidRPr="007556B8">
              <w:rPr>
                <w:b/>
                <w:sz w:val="22"/>
                <w:szCs w:val="22"/>
              </w:rPr>
              <w:t>97</w:t>
            </w:r>
          </w:p>
        </w:tc>
        <w:tc>
          <w:tcPr>
            <w:tcW w:w="992" w:type="dxa"/>
            <w:shd w:val="clear" w:color="auto" w:fill="auto"/>
            <w:vAlign w:val="center"/>
          </w:tcPr>
          <w:p w:rsidR="00AF78FA" w:rsidRDefault="00AF78FA" w:rsidP="00A65A99">
            <w:pPr>
              <w:spacing w:before="120" w:after="120"/>
              <w:jc w:val="center"/>
              <w:rPr>
                <w:b/>
                <w:sz w:val="22"/>
                <w:szCs w:val="22"/>
              </w:rPr>
            </w:pPr>
            <w:r>
              <w:rPr>
                <w:b/>
                <w:sz w:val="22"/>
                <w:szCs w:val="22"/>
              </w:rPr>
              <w:t>157</w:t>
            </w:r>
          </w:p>
        </w:tc>
        <w:tc>
          <w:tcPr>
            <w:tcW w:w="922" w:type="dxa"/>
            <w:shd w:val="clear" w:color="auto" w:fill="D9D9D9"/>
            <w:vAlign w:val="center"/>
          </w:tcPr>
          <w:p w:rsidR="00AF78FA" w:rsidRDefault="00AF78FA" w:rsidP="00A65A99">
            <w:pPr>
              <w:jc w:val="center"/>
              <w:rPr>
                <w:b/>
                <w:bCs/>
                <w:color w:val="000000"/>
                <w:sz w:val="22"/>
                <w:szCs w:val="22"/>
              </w:rPr>
            </w:pPr>
            <w:r>
              <w:rPr>
                <w:b/>
                <w:bCs/>
                <w:color w:val="000000"/>
                <w:sz w:val="22"/>
                <w:szCs w:val="22"/>
              </w:rPr>
              <w:t>129</w:t>
            </w:r>
          </w:p>
        </w:tc>
        <w:tc>
          <w:tcPr>
            <w:tcW w:w="980" w:type="dxa"/>
            <w:vAlign w:val="center"/>
          </w:tcPr>
          <w:p w:rsidR="00AF78FA" w:rsidRDefault="00AF78FA" w:rsidP="00A65A99">
            <w:pPr>
              <w:spacing w:before="120" w:after="120"/>
              <w:jc w:val="center"/>
              <w:rPr>
                <w:b/>
                <w:sz w:val="22"/>
                <w:szCs w:val="22"/>
              </w:rPr>
            </w:pPr>
            <w:r>
              <w:rPr>
                <w:b/>
                <w:sz w:val="22"/>
                <w:szCs w:val="22"/>
              </w:rPr>
              <w:t>196</w:t>
            </w:r>
          </w:p>
        </w:tc>
        <w:tc>
          <w:tcPr>
            <w:tcW w:w="980" w:type="dxa"/>
            <w:vAlign w:val="center"/>
          </w:tcPr>
          <w:p w:rsidR="00AF78FA" w:rsidRDefault="00AF78FA" w:rsidP="00A65A99">
            <w:pPr>
              <w:jc w:val="center"/>
              <w:rPr>
                <w:b/>
                <w:bCs/>
                <w:color w:val="000000"/>
                <w:sz w:val="22"/>
                <w:szCs w:val="22"/>
              </w:rPr>
            </w:pPr>
            <w:r>
              <w:rPr>
                <w:b/>
                <w:bCs/>
                <w:color w:val="000000"/>
                <w:sz w:val="22"/>
                <w:szCs w:val="22"/>
              </w:rPr>
              <w:t>162</w:t>
            </w:r>
          </w:p>
        </w:tc>
        <w:tc>
          <w:tcPr>
            <w:tcW w:w="945" w:type="dxa"/>
            <w:vAlign w:val="center"/>
          </w:tcPr>
          <w:p w:rsidR="00AF78FA" w:rsidRDefault="00AF78FA" w:rsidP="00A65A99">
            <w:pPr>
              <w:spacing w:before="120" w:after="120"/>
              <w:jc w:val="center"/>
              <w:rPr>
                <w:b/>
                <w:sz w:val="22"/>
                <w:szCs w:val="22"/>
              </w:rPr>
            </w:pPr>
            <w:r>
              <w:rPr>
                <w:b/>
                <w:sz w:val="22"/>
                <w:szCs w:val="22"/>
              </w:rPr>
              <w:t>235</w:t>
            </w:r>
          </w:p>
        </w:tc>
        <w:tc>
          <w:tcPr>
            <w:tcW w:w="875" w:type="dxa"/>
            <w:vAlign w:val="center"/>
          </w:tcPr>
          <w:p w:rsidR="00AF78FA" w:rsidRDefault="00AF78FA" w:rsidP="00A65A99">
            <w:pPr>
              <w:jc w:val="center"/>
              <w:rPr>
                <w:b/>
                <w:bCs/>
                <w:color w:val="000000"/>
                <w:sz w:val="22"/>
                <w:szCs w:val="22"/>
              </w:rPr>
            </w:pPr>
            <w:r>
              <w:rPr>
                <w:b/>
                <w:bCs/>
                <w:color w:val="000000"/>
                <w:sz w:val="22"/>
                <w:szCs w:val="22"/>
              </w:rPr>
              <w:t>194</w:t>
            </w:r>
          </w:p>
        </w:tc>
      </w:tr>
      <w:tr w:rsidR="00A15F7D" w:rsidRPr="000043B4" w:rsidTr="00A804FC">
        <w:tc>
          <w:tcPr>
            <w:tcW w:w="2093" w:type="dxa"/>
            <w:shd w:val="clear" w:color="auto" w:fill="auto"/>
          </w:tcPr>
          <w:p w:rsidR="00AF78FA" w:rsidRPr="000043B4" w:rsidRDefault="001C7D5F" w:rsidP="00A65A99">
            <w:pPr>
              <w:rPr>
                <w:i/>
                <w:sz w:val="22"/>
                <w:szCs w:val="22"/>
              </w:rPr>
            </w:pPr>
            <w:r>
              <w:rPr>
                <w:noProof/>
                <w:sz w:val="18"/>
                <w:szCs w:val="18"/>
                <w:lang w:eastAsia="lv-LV"/>
              </w:rPr>
              <w:drawing>
                <wp:inline distT="0" distB="0" distL="0" distR="0" wp14:anchorId="5B88E681" wp14:editId="2DFFDCC6">
                  <wp:extent cx="215900" cy="425450"/>
                  <wp:effectExtent l="0" t="0" r="0" b="0"/>
                  <wp:docPr id="15" name="Picture 34"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4BC55FB6" wp14:editId="6DF5A367">
                  <wp:extent cx="215900" cy="425450"/>
                  <wp:effectExtent l="0" t="0" r="0" b="0"/>
                  <wp:docPr id="16" name="Picture 33"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174</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165</w:t>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235</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220</w:t>
            </w:r>
          </w:p>
        </w:tc>
        <w:tc>
          <w:tcPr>
            <w:tcW w:w="980" w:type="dxa"/>
            <w:vAlign w:val="center"/>
          </w:tcPr>
          <w:p w:rsidR="00AF78FA" w:rsidRPr="000043B4" w:rsidRDefault="00AF78FA" w:rsidP="00A65A99">
            <w:pPr>
              <w:jc w:val="center"/>
              <w:rPr>
                <w:bCs/>
                <w:iCs/>
                <w:sz w:val="22"/>
                <w:szCs w:val="22"/>
              </w:rPr>
            </w:pPr>
            <w:r>
              <w:rPr>
                <w:bCs/>
                <w:iCs/>
                <w:sz w:val="22"/>
                <w:szCs w:val="22"/>
              </w:rPr>
              <w:t>294</w:t>
            </w:r>
          </w:p>
        </w:tc>
        <w:tc>
          <w:tcPr>
            <w:tcW w:w="980" w:type="dxa"/>
            <w:vAlign w:val="center"/>
          </w:tcPr>
          <w:p w:rsidR="00AF78FA" w:rsidRDefault="00AF78FA" w:rsidP="00A65A99">
            <w:pPr>
              <w:jc w:val="center"/>
              <w:rPr>
                <w:color w:val="000000"/>
                <w:sz w:val="22"/>
                <w:szCs w:val="22"/>
              </w:rPr>
            </w:pPr>
            <w:r>
              <w:rPr>
                <w:color w:val="000000"/>
                <w:sz w:val="22"/>
                <w:szCs w:val="22"/>
              </w:rPr>
              <w:t>275</w:t>
            </w:r>
          </w:p>
        </w:tc>
        <w:tc>
          <w:tcPr>
            <w:tcW w:w="945" w:type="dxa"/>
            <w:vAlign w:val="center"/>
          </w:tcPr>
          <w:p w:rsidR="00AF78FA" w:rsidRPr="000043B4" w:rsidRDefault="00AF78FA" w:rsidP="00A65A99">
            <w:pPr>
              <w:jc w:val="center"/>
              <w:rPr>
                <w:bCs/>
                <w:iCs/>
                <w:sz w:val="22"/>
                <w:szCs w:val="22"/>
              </w:rPr>
            </w:pPr>
            <w:r>
              <w:rPr>
                <w:bCs/>
                <w:iCs/>
                <w:sz w:val="22"/>
                <w:szCs w:val="22"/>
              </w:rPr>
              <w:t>352</w:t>
            </w:r>
          </w:p>
        </w:tc>
        <w:tc>
          <w:tcPr>
            <w:tcW w:w="875" w:type="dxa"/>
            <w:vAlign w:val="center"/>
          </w:tcPr>
          <w:p w:rsidR="00AF78FA" w:rsidRDefault="00AF78FA" w:rsidP="00A65A99">
            <w:pPr>
              <w:jc w:val="center"/>
              <w:rPr>
                <w:color w:val="000000"/>
                <w:sz w:val="22"/>
                <w:szCs w:val="22"/>
              </w:rPr>
            </w:pPr>
            <w:r>
              <w:rPr>
                <w:color w:val="000000"/>
                <w:sz w:val="22"/>
                <w:szCs w:val="22"/>
              </w:rPr>
              <w:t>330</w:t>
            </w:r>
          </w:p>
        </w:tc>
      </w:tr>
      <w:tr w:rsidR="00A15F7D" w:rsidRPr="000043B4" w:rsidTr="00A804FC">
        <w:tc>
          <w:tcPr>
            <w:tcW w:w="2093" w:type="dxa"/>
            <w:shd w:val="clear" w:color="auto" w:fill="auto"/>
          </w:tcPr>
          <w:p w:rsidR="00AF78FA" w:rsidRPr="000043B4" w:rsidRDefault="001C7D5F" w:rsidP="00A65A99">
            <w:pPr>
              <w:rPr>
                <w:sz w:val="22"/>
                <w:szCs w:val="22"/>
              </w:rPr>
            </w:pPr>
            <w:r>
              <w:rPr>
                <w:noProof/>
                <w:sz w:val="18"/>
                <w:szCs w:val="18"/>
                <w:lang w:eastAsia="lv-LV"/>
              </w:rPr>
              <w:drawing>
                <wp:inline distT="0" distB="0" distL="0" distR="0" wp14:anchorId="5E6FA7AA" wp14:editId="7C800257">
                  <wp:extent cx="215900" cy="425450"/>
                  <wp:effectExtent l="0" t="0" r="0" b="0"/>
                  <wp:docPr id="17" name="Picture 32"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55E6BEC9" wp14:editId="1032168A">
                  <wp:extent cx="215900" cy="425450"/>
                  <wp:effectExtent l="0" t="0" r="0" b="0"/>
                  <wp:docPr id="18" name="Picture 31"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6C9766B9" wp14:editId="074CC910">
                  <wp:extent cx="127000" cy="254000"/>
                  <wp:effectExtent l="0" t="0" r="6350" b="0"/>
                  <wp:docPr id="19" name="Picture 30"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sidRPr="0034602C">
              <w:rPr>
                <w:bCs/>
                <w:iCs/>
                <w:sz w:val="22"/>
                <w:szCs w:val="22"/>
              </w:rPr>
              <w:t>209</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213</w:t>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282</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285</w:t>
            </w:r>
          </w:p>
        </w:tc>
        <w:tc>
          <w:tcPr>
            <w:tcW w:w="980" w:type="dxa"/>
            <w:vAlign w:val="center"/>
          </w:tcPr>
          <w:p w:rsidR="00AF78FA" w:rsidRPr="000043B4" w:rsidRDefault="00AF78FA" w:rsidP="00A65A99">
            <w:pPr>
              <w:jc w:val="center"/>
              <w:rPr>
                <w:bCs/>
                <w:iCs/>
                <w:sz w:val="22"/>
                <w:szCs w:val="22"/>
              </w:rPr>
            </w:pPr>
            <w:r>
              <w:rPr>
                <w:bCs/>
                <w:iCs/>
                <w:sz w:val="22"/>
                <w:szCs w:val="22"/>
              </w:rPr>
              <w:t>353</w:t>
            </w:r>
          </w:p>
        </w:tc>
        <w:tc>
          <w:tcPr>
            <w:tcW w:w="980" w:type="dxa"/>
            <w:vAlign w:val="center"/>
          </w:tcPr>
          <w:p w:rsidR="00AF78FA" w:rsidRDefault="00AF78FA" w:rsidP="00A65A99">
            <w:pPr>
              <w:jc w:val="center"/>
              <w:rPr>
                <w:color w:val="000000"/>
                <w:sz w:val="22"/>
                <w:szCs w:val="22"/>
              </w:rPr>
            </w:pPr>
            <w:r>
              <w:rPr>
                <w:color w:val="000000"/>
                <w:sz w:val="22"/>
                <w:szCs w:val="22"/>
              </w:rPr>
              <w:t>356</w:t>
            </w:r>
          </w:p>
        </w:tc>
        <w:tc>
          <w:tcPr>
            <w:tcW w:w="945" w:type="dxa"/>
            <w:vAlign w:val="center"/>
          </w:tcPr>
          <w:p w:rsidR="00AF78FA" w:rsidRPr="000043B4" w:rsidRDefault="00AF78FA" w:rsidP="00A65A99">
            <w:pPr>
              <w:jc w:val="center"/>
              <w:rPr>
                <w:bCs/>
                <w:iCs/>
                <w:sz w:val="22"/>
                <w:szCs w:val="22"/>
              </w:rPr>
            </w:pPr>
            <w:r>
              <w:rPr>
                <w:bCs/>
                <w:iCs/>
                <w:sz w:val="22"/>
                <w:szCs w:val="22"/>
              </w:rPr>
              <w:t>423</w:t>
            </w:r>
          </w:p>
        </w:tc>
        <w:tc>
          <w:tcPr>
            <w:tcW w:w="875" w:type="dxa"/>
            <w:vAlign w:val="center"/>
          </w:tcPr>
          <w:p w:rsidR="00AF78FA" w:rsidRDefault="00AF78FA" w:rsidP="00A65A99">
            <w:pPr>
              <w:jc w:val="center"/>
              <w:rPr>
                <w:color w:val="000000"/>
                <w:sz w:val="22"/>
                <w:szCs w:val="22"/>
              </w:rPr>
            </w:pPr>
            <w:r>
              <w:rPr>
                <w:color w:val="000000"/>
                <w:sz w:val="22"/>
                <w:szCs w:val="22"/>
              </w:rPr>
              <w:t>427</w:t>
            </w:r>
          </w:p>
        </w:tc>
      </w:tr>
      <w:tr w:rsidR="00A15F7D" w:rsidRPr="000043B4" w:rsidTr="00A804FC">
        <w:tc>
          <w:tcPr>
            <w:tcW w:w="2093" w:type="dxa"/>
            <w:shd w:val="clear" w:color="auto" w:fill="auto"/>
          </w:tcPr>
          <w:p w:rsidR="00AF78FA" w:rsidRPr="000043B4" w:rsidRDefault="001C7D5F" w:rsidP="00A65A99">
            <w:pPr>
              <w:rPr>
                <w:sz w:val="22"/>
                <w:szCs w:val="22"/>
              </w:rPr>
            </w:pPr>
            <w:r>
              <w:rPr>
                <w:noProof/>
                <w:sz w:val="18"/>
                <w:szCs w:val="18"/>
                <w:lang w:eastAsia="lv-LV"/>
              </w:rPr>
              <w:drawing>
                <wp:inline distT="0" distB="0" distL="0" distR="0" wp14:anchorId="1329B684" wp14:editId="424BA126">
                  <wp:extent cx="215900" cy="425450"/>
                  <wp:effectExtent l="0" t="0" r="0" b="0"/>
                  <wp:docPr id="20" name="Picture 29"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6A71F54F" wp14:editId="30DCD4FB">
                  <wp:extent cx="215900" cy="425450"/>
                  <wp:effectExtent l="0" t="0" r="0" b="0"/>
                  <wp:docPr id="21" name="Picture 28"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22E36FA3" wp14:editId="0A3E7A83">
                  <wp:extent cx="127000" cy="254000"/>
                  <wp:effectExtent l="0" t="0" r="6350" b="0"/>
                  <wp:docPr id="22" name="Picture 27"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19EEB335" wp14:editId="755DB3E5">
                  <wp:extent cx="127000" cy="254000"/>
                  <wp:effectExtent l="0" t="0" r="6350" b="0"/>
                  <wp:docPr id="23" name="Picture 26"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244</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262</w:t>
            </w:r>
          </w:p>
        </w:tc>
        <w:tc>
          <w:tcPr>
            <w:tcW w:w="992" w:type="dxa"/>
            <w:shd w:val="clear" w:color="auto" w:fill="auto"/>
            <w:vAlign w:val="center"/>
          </w:tcPr>
          <w:p w:rsidR="00AF78FA" w:rsidRPr="000043B4" w:rsidRDefault="00AF78FA" w:rsidP="00A65A99">
            <w:pPr>
              <w:jc w:val="center"/>
              <w:rPr>
                <w:bCs/>
                <w:iCs/>
                <w:sz w:val="22"/>
                <w:szCs w:val="22"/>
              </w:rPr>
            </w:pPr>
            <w:r w:rsidRPr="0034602C">
              <w:rPr>
                <w:bCs/>
                <w:iCs/>
                <w:sz w:val="22"/>
                <w:szCs w:val="22"/>
              </w:rPr>
              <w:t>330</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349</w:t>
            </w:r>
          </w:p>
        </w:tc>
        <w:tc>
          <w:tcPr>
            <w:tcW w:w="980" w:type="dxa"/>
            <w:vAlign w:val="center"/>
          </w:tcPr>
          <w:p w:rsidR="00AF78FA" w:rsidRPr="000043B4" w:rsidRDefault="00AF78FA" w:rsidP="00A65A99">
            <w:pPr>
              <w:jc w:val="center"/>
              <w:rPr>
                <w:bCs/>
                <w:iCs/>
                <w:sz w:val="22"/>
                <w:szCs w:val="22"/>
              </w:rPr>
            </w:pPr>
            <w:r>
              <w:rPr>
                <w:bCs/>
                <w:iCs/>
                <w:sz w:val="22"/>
                <w:szCs w:val="22"/>
              </w:rPr>
              <w:t>412</w:t>
            </w:r>
          </w:p>
        </w:tc>
        <w:tc>
          <w:tcPr>
            <w:tcW w:w="980" w:type="dxa"/>
            <w:vAlign w:val="center"/>
          </w:tcPr>
          <w:p w:rsidR="00AF78FA" w:rsidRDefault="00AF78FA" w:rsidP="00A65A99">
            <w:pPr>
              <w:jc w:val="center"/>
              <w:rPr>
                <w:color w:val="000000"/>
                <w:sz w:val="22"/>
                <w:szCs w:val="22"/>
              </w:rPr>
            </w:pPr>
            <w:r>
              <w:rPr>
                <w:color w:val="000000"/>
                <w:sz w:val="22"/>
                <w:szCs w:val="22"/>
              </w:rPr>
              <w:t>437</w:t>
            </w:r>
          </w:p>
        </w:tc>
        <w:tc>
          <w:tcPr>
            <w:tcW w:w="945" w:type="dxa"/>
            <w:vAlign w:val="center"/>
          </w:tcPr>
          <w:p w:rsidR="00AF78FA" w:rsidRPr="000043B4" w:rsidRDefault="00AF78FA" w:rsidP="00A65A99">
            <w:pPr>
              <w:jc w:val="center"/>
              <w:rPr>
                <w:bCs/>
                <w:iCs/>
                <w:sz w:val="22"/>
                <w:szCs w:val="22"/>
              </w:rPr>
            </w:pPr>
            <w:r>
              <w:rPr>
                <w:bCs/>
                <w:iCs/>
                <w:sz w:val="22"/>
                <w:szCs w:val="22"/>
              </w:rPr>
              <w:t>493</w:t>
            </w:r>
          </w:p>
        </w:tc>
        <w:tc>
          <w:tcPr>
            <w:tcW w:w="875" w:type="dxa"/>
            <w:vAlign w:val="center"/>
          </w:tcPr>
          <w:p w:rsidR="00AF78FA" w:rsidRDefault="00AF78FA" w:rsidP="00A65A99">
            <w:pPr>
              <w:jc w:val="center"/>
              <w:rPr>
                <w:color w:val="000000"/>
                <w:sz w:val="22"/>
                <w:szCs w:val="22"/>
              </w:rPr>
            </w:pPr>
            <w:r>
              <w:rPr>
                <w:color w:val="000000"/>
                <w:sz w:val="22"/>
                <w:szCs w:val="22"/>
              </w:rPr>
              <w:t>524</w:t>
            </w:r>
          </w:p>
        </w:tc>
      </w:tr>
      <w:tr w:rsidR="00A15F7D" w:rsidRPr="000043B4" w:rsidTr="00A804FC">
        <w:tc>
          <w:tcPr>
            <w:tcW w:w="2093" w:type="dxa"/>
            <w:shd w:val="clear" w:color="auto" w:fill="auto"/>
          </w:tcPr>
          <w:p w:rsidR="00AF78FA" w:rsidRPr="000043B4" w:rsidRDefault="001C7D5F" w:rsidP="00A65A99">
            <w:pPr>
              <w:rPr>
                <w:sz w:val="22"/>
                <w:szCs w:val="22"/>
              </w:rPr>
            </w:pPr>
            <w:r>
              <w:rPr>
                <w:noProof/>
                <w:sz w:val="18"/>
                <w:szCs w:val="18"/>
                <w:lang w:eastAsia="lv-LV"/>
              </w:rPr>
              <w:drawing>
                <wp:inline distT="0" distB="0" distL="0" distR="0" wp14:anchorId="1589CC46" wp14:editId="626E64A8">
                  <wp:extent cx="215900" cy="425450"/>
                  <wp:effectExtent l="0" t="0" r="0" b="0"/>
                  <wp:docPr id="24" name="Picture 2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401868F5" wp14:editId="037F5660">
                  <wp:extent cx="215900" cy="425450"/>
                  <wp:effectExtent l="0" t="0" r="0" b="0"/>
                  <wp:docPr id="25" name="Picture 24"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47214C69" wp14:editId="637D2013">
                  <wp:extent cx="127000" cy="254000"/>
                  <wp:effectExtent l="0" t="0" r="6350" b="0"/>
                  <wp:docPr id="26" name="Picture 23"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52446120" wp14:editId="244EFBDE">
                  <wp:extent cx="127000" cy="254000"/>
                  <wp:effectExtent l="0" t="0" r="6350" b="0"/>
                  <wp:docPr id="27" name="Picture 22"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05213511" wp14:editId="65FD703E">
                  <wp:extent cx="127000" cy="254000"/>
                  <wp:effectExtent l="0" t="0" r="6350" b="0"/>
                  <wp:docPr id="28" name="Picture 21"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278</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310</w:t>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377</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414</w:t>
            </w:r>
          </w:p>
        </w:tc>
        <w:tc>
          <w:tcPr>
            <w:tcW w:w="980" w:type="dxa"/>
            <w:vAlign w:val="center"/>
          </w:tcPr>
          <w:p w:rsidR="00AF78FA" w:rsidRPr="000043B4" w:rsidRDefault="00AF78FA" w:rsidP="00A65A99">
            <w:pPr>
              <w:jc w:val="center"/>
              <w:rPr>
                <w:bCs/>
                <w:iCs/>
                <w:sz w:val="22"/>
                <w:szCs w:val="22"/>
              </w:rPr>
            </w:pPr>
            <w:r>
              <w:rPr>
                <w:bCs/>
                <w:iCs/>
                <w:sz w:val="22"/>
                <w:szCs w:val="22"/>
              </w:rPr>
              <w:t>470</w:t>
            </w:r>
          </w:p>
        </w:tc>
        <w:tc>
          <w:tcPr>
            <w:tcW w:w="980" w:type="dxa"/>
            <w:vAlign w:val="center"/>
          </w:tcPr>
          <w:p w:rsidR="00AF78FA" w:rsidRDefault="00AF78FA" w:rsidP="00A65A99">
            <w:pPr>
              <w:jc w:val="center"/>
              <w:rPr>
                <w:color w:val="000000"/>
                <w:sz w:val="22"/>
                <w:szCs w:val="22"/>
              </w:rPr>
            </w:pPr>
            <w:r>
              <w:rPr>
                <w:color w:val="000000"/>
                <w:sz w:val="22"/>
                <w:szCs w:val="22"/>
              </w:rPr>
              <w:t>517</w:t>
            </w:r>
          </w:p>
        </w:tc>
        <w:tc>
          <w:tcPr>
            <w:tcW w:w="945" w:type="dxa"/>
            <w:vAlign w:val="center"/>
          </w:tcPr>
          <w:p w:rsidR="00AF78FA" w:rsidRPr="000043B4" w:rsidRDefault="00AF78FA" w:rsidP="00A65A99">
            <w:pPr>
              <w:jc w:val="center"/>
              <w:rPr>
                <w:bCs/>
                <w:iCs/>
                <w:sz w:val="22"/>
                <w:szCs w:val="22"/>
              </w:rPr>
            </w:pPr>
            <w:r>
              <w:rPr>
                <w:bCs/>
                <w:iCs/>
                <w:sz w:val="22"/>
                <w:szCs w:val="22"/>
              </w:rPr>
              <w:t>564</w:t>
            </w:r>
          </w:p>
        </w:tc>
        <w:tc>
          <w:tcPr>
            <w:tcW w:w="875" w:type="dxa"/>
            <w:vAlign w:val="center"/>
          </w:tcPr>
          <w:p w:rsidR="00AF78FA" w:rsidRDefault="00AF78FA" w:rsidP="00A65A99">
            <w:pPr>
              <w:jc w:val="center"/>
              <w:rPr>
                <w:color w:val="000000"/>
                <w:sz w:val="22"/>
                <w:szCs w:val="22"/>
              </w:rPr>
            </w:pPr>
            <w:r>
              <w:rPr>
                <w:color w:val="000000"/>
                <w:sz w:val="22"/>
                <w:szCs w:val="22"/>
              </w:rPr>
              <w:t>621</w:t>
            </w:r>
          </w:p>
        </w:tc>
      </w:tr>
      <w:tr w:rsidR="00A15F7D" w:rsidRPr="000043B4" w:rsidTr="00A804FC">
        <w:tc>
          <w:tcPr>
            <w:tcW w:w="2093" w:type="dxa"/>
            <w:shd w:val="clear" w:color="auto" w:fill="auto"/>
          </w:tcPr>
          <w:p w:rsidR="00AF78FA" w:rsidRPr="000043B4" w:rsidRDefault="001C7D5F" w:rsidP="00A65A99">
            <w:pPr>
              <w:rPr>
                <w:sz w:val="22"/>
                <w:szCs w:val="22"/>
              </w:rPr>
            </w:pPr>
            <w:r>
              <w:rPr>
                <w:noProof/>
                <w:sz w:val="18"/>
                <w:szCs w:val="18"/>
                <w:lang w:eastAsia="lv-LV"/>
              </w:rPr>
              <w:drawing>
                <wp:inline distT="0" distB="0" distL="0" distR="0" wp14:anchorId="08577D16" wp14:editId="1F6673C9">
                  <wp:extent cx="215900" cy="425450"/>
                  <wp:effectExtent l="0" t="0" r="0" b="0"/>
                  <wp:docPr id="29" name="Picture 20"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3874A1BD" wp14:editId="6D6DA095">
                  <wp:extent cx="215900" cy="425450"/>
                  <wp:effectExtent l="0" t="0" r="0" b="0"/>
                  <wp:docPr id="30" name="Picture 19"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21B65490" wp14:editId="6AD6E975">
                  <wp:extent cx="127000" cy="254000"/>
                  <wp:effectExtent l="0" t="0" r="6350" b="0"/>
                  <wp:docPr id="31" name="Picture 18"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51C722D7" wp14:editId="5F907D2D">
                  <wp:extent cx="127000" cy="254000"/>
                  <wp:effectExtent l="0" t="0" r="6350" b="0"/>
                  <wp:docPr id="32" name="Picture 17"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451F16D7" wp14:editId="54BC1ABC">
                  <wp:extent cx="127000" cy="254000"/>
                  <wp:effectExtent l="0" t="0" r="6350" b="0"/>
                  <wp:docPr id="33" name="Picture 16"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4F5A75F6" wp14:editId="5C6C4C23">
                  <wp:extent cx="127000" cy="254000"/>
                  <wp:effectExtent l="0" t="0" r="6350" b="0"/>
                  <wp:docPr id="34" name="Picture 1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313</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359</w:t>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424</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479</w:t>
            </w:r>
          </w:p>
        </w:tc>
        <w:tc>
          <w:tcPr>
            <w:tcW w:w="980" w:type="dxa"/>
            <w:vAlign w:val="center"/>
          </w:tcPr>
          <w:p w:rsidR="00AF78FA" w:rsidRPr="000043B4" w:rsidRDefault="00AF78FA" w:rsidP="00A65A99">
            <w:pPr>
              <w:jc w:val="center"/>
              <w:rPr>
                <w:bCs/>
                <w:iCs/>
                <w:sz w:val="22"/>
                <w:szCs w:val="22"/>
              </w:rPr>
            </w:pPr>
            <w:r>
              <w:rPr>
                <w:bCs/>
                <w:iCs/>
                <w:sz w:val="22"/>
                <w:szCs w:val="22"/>
              </w:rPr>
              <w:t>529</w:t>
            </w:r>
          </w:p>
        </w:tc>
        <w:tc>
          <w:tcPr>
            <w:tcW w:w="980" w:type="dxa"/>
            <w:vAlign w:val="center"/>
          </w:tcPr>
          <w:p w:rsidR="00AF78FA" w:rsidRDefault="00AF78FA" w:rsidP="00A65A99">
            <w:pPr>
              <w:jc w:val="center"/>
              <w:rPr>
                <w:color w:val="000000"/>
                <w:sz w:val="22"/>
                <w:szCs w:val="22"/>
              </w:rPr>
            </w:pPr>
            <w:r>
              <w:rPr>
                <w:color w:val="000000"/>
                <w:sz w:val="22"/>
                <w:szCs w:val="22"/>
              </w:rPr>
              <w:t>598</w:t>
            </w:r>
          </w:p>
        </w:tc>
        <w:tc>
          <w:tcPr>
            <w:tcW w:w="945" w:type="dxa"/>
            <w:vAlign w:val="center"/>
          </w:tcPr>
          <w:p w:rsidR="00AF78FA" w:rsidRPr="000043B4" w:rsidRDefault="00AF78FA" w:rsidP="00A65A99">
            <w:pPr>
              <w:jc w:val="center"/>
              <w:rPr>
                <w:bCs/>
                <w:iCs/>
                <w:sz w:val="22"/>
                <w:szCs w:val="22"/>
              </w:rPr>
            </w:pPr>
            <w:r>
              <w:rPr>
                <w:bCs/>
                <w:iCs/>
                <w:sz w:val="22"/>
                <w:szCs w:val="22"/>
              </w:rPr>
              <w:t>634</w:t>
            </w:r>
          </w:p>
        </w:tc>
        <w:tc>
          <w:tcPr>
            <w:tcW w:w="875" w:type="dxa"/>
            <w:vAlign w:val="center"/>
          </w:tcPr>
          <w:p w:rsidR="00AF78FA" w:rsidRDefault="00AF78FA" w:rsidP="00A65A99">
            <w:pPr>
              <w:jc w:val="center"/>
              <w:rPr>
                <w:color w:val="000000"/>
                <w:sz w:val="22"/>
                <w:szCs w:val="22"/>
              </w:rPr>
            </w:pPr>
            <w:r>
              <w:rPr>
                <w:color w:val="000000"/>
                <w:sz w:val="22"/>
                <w:szCs w:val="22"/>
              </w:rPr>
              <w:t>718</w:t>
            </w:r>
          </w:p>
        </w:tc>
      </w:tr>
      <w:tr w:rsidR="00A15F7D" w:rsidRPr="000043B4" w:rsidTr="00A804FC">
        <w:tc>
          <w:tcPr>
            <w:tcW w:w="2093" w:type="dxa"/>
            <w:shd w:val="clear" w:color="auto" w:fill="auto"/>
          </w:tcPr>
          <w:p w:rsidR="00AF78FA" w:rsidRPr="006B6DD3" w:rsidRDefault="001C7D5F" w:rsidP="00A65A99">
            <w:pPr>
              <w:rPr>
                <w:noProof/>
                <w:sz w:val="18"/>
                <w:szCs w:val="18"/>
                <w:lang w:eastAsia="lv-LV"/>
              </w:rPr>
            </w:pPr>
            <w:r>
              <w:rPr>
                <w:noProof/>
                <w:sz w:val="18"/>
                <w:szCs w:val="18"/>
                <w:lang w:eastAsia="lv-LV"/>
              </w:rPr>
              <w:drawing>
                <wp:inline distT="0" distB="0" distL="0" distR="0" wp14:anchorId="4F3BA0C3" wp14:editId="3D932FFB">
                  <wp:extent cx="215900" cy="425450"/>
                  <wp:effectExtent l="0" t="0" r="0" b="0"/>
                  <wp:docPr id="35" name="Picture 14"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52A4938A" wp14:editId="0EBCE96E">
                  <wp:extent cx="215900" cy="425450"/>
                  <wp:effectExtent l="0" t="0" r="0" b="0"/>
                  <wp:docPr id="36" name="Picture 13"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0053E1B4" wp14:editId="2D066778">
                  <wp:extent cx="127000" cy="254000"/>
                  <wp:effectExtent l="0" t="0" r="6350" b="0"/>
                  <wp:docPr id="37" name="Picture 12"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69BC3F75" wp14:editId="75DB6410">
                  <wp:extent cx="127000" cy="254000"/>
                  <wp:effectExtent l="0" t="0" r="6350" b="0"/>
                  <wp:docPr id="38" name="Picture 11"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7C9A9D9D" wp14:editId="529D8E23">
                  <wp:extent cx="127000" cy="254000"/>
                  <wp:effectExtent l="0" t="0" r="6350" b="0"/>
                  <wp:docPr id="39" name="Picture 10"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0162C988" wp14:editId="45DA20B3">
                  <wp:extent cx="127000" cy="254000"/>
                  <wp:effectExtent l="0" t="0" r="6350" b="0"/>
                  <wp:docPr id="40" name="Picture 9"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5C255901" wp14:editId="1FD468D6">
                  <wp:extent cx="127000" cy="254000"/>
                  <wp:effectExtent l="0" t="0" r="6350" b="0"/>
                  <wp:docPr id="41" name="Picture 8"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348</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408</w:t>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471</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543</w:t>
            </w:r>
          </w:p>
        </w:tc>
        <w:tc>
          <w:tcPr>
            <w:tcW w:w="980" w:type="dxa"/>
            <w:vAlign w:val="center"/>
          </w:tcPr>
          <w:p w:rsidR="00AF78FA" w:rsidRPr="000043B4" w:rsidRDefault="00AF78FA" w:rsidP="00A65A99">
            <w:pPr>
              <w:jc w:val="center"/>
              <w:rPr>
                <w:bCs/>
                <w:iCs/>
                <w:sz w:val="22"/>
                <w:szCs w:val="22"/>
              </w:rPr>
            </w:pPr>
            <w:r>
              <w:rPr>
                <w:bCs/>
                <w:iCs/>
                <w:sz w:val="22"/>
                <w:szCs w:val="22"/>
              </w:rPr>
              <w:t>588</w:t>
            </w:r>
          </w:p>
        </w:tc>
        <w:tc>
          <w:tcPr>
            <w:tcW w:w="980" w:type="dxa"/>
            <w:vAlign w:val="center"/>
          </w:tcPr>
          <w:p w:rsidR="00AF78FA" w:rsidRDefault="00AF78FA" w:rsidP="00A65A99">
            <w:pPr>
              <w:jc w:val="center"/>
              <w:rPr>
                <w:color w:val="000000"/>
                <w:sz w:val="22"/>
                <w:szCs w:val="22"/>
              </w:rPr>
            </w:pPr>
            <w:r>
              <w:rPr>
                <w:color w:val="000000"/>
                <w:sz w:val="22"/>
                <w:szCs w:val="22"/>
              </w:rPr>
              <w:t>679</w:t>
            </w:r>
          </w:p>
        </w:tc>
        <w:tc>
          <w:tcPr>
            <w:tcW w:w="945" w:type="dxa"/>
            <w:vAlign w:val="center"/>
          </w:tcPr>
          <w:p w:rsidR="00AF78FA" w:rsidRPr="000043B4" w:rsidRDefault="00AF78FA" w:rsidP="00A65A99">
            <w:pPr>
              <w:jc w:val="center"/>
              <w:rPr>
                <w:bCs/>
                <w:iCs/>
                <w:sz w:val="22"/>
                <w:szCs w:val="22"/>
              </w:rPr>
            </w:pPr>
            <w:r>
              <w:rPr>
                <w:bCs/>
                <w:iCs/>
                <w:sz w:val="22"/>
                <w:szCs w:val="22"/>
              </w:rPr>
              <w:t>705</w:t>
            </w:r>
          </w:p>
        </w:tc>
        <w:tc>
          <w:tcPr>
            <w:tcW w:w="875" w:type="dxa"/>
            <w:vAlign w:val="center"/>
          </w:tcPr>
          <w:p w:rsidR="00AF78FA" w:rsidRDefault="00AF78FA" w:rsidP="00A65A99">
            <w:pPr>
              <w:jc w:val="center"/>
              <w:rPr>
                <w:color w:val="000000"/>
                <w:sz w:val="22"/>
                <w:szCs w:val="22"/>
              </w:rPr>
            </w:pPr>
            <w:r>
              <w:rPr>
                <w:color w:val="000000"/>
                <w:sz w:val="22"/>
                <w:szCs w:val="22"/>
              </w:rPr>
              <w:t>815</w:t>
            </w:r>
          </w:p>
        </w:tc>
      </w:tr>
      <w:tr w:rsidR="00A15F7D" w:rsidRPr="000043B4" w:rsidTr="00A804FC">
        <w:tc>
          <w:tcPr>
            <w:tcW w:w="2093" w:type="dxa"/>
            <w:shd w:val="clear" w:color="auto" w:fill="auto"/>
          </w:tcPr>
          <w:p w:rsidR="00AF78FA" w:rsidRPr="000043B4" w:rsidRDefault="001C7D5F" w:rsidP="00A65A99">
            <w:pPr>
              <w:rPr>
                <w:sz w:val="22"/>
                <w:szCs w:val="22"/>
              </w:rPr>
            </w:pPr>
            <w:r>
              <w:rPr>
                <w:noProof/>
                <w:sz w:val="18"/>
                <w:szCs w:val="18"/>
                <w:lang w:eastAsia="lv-LV"/>
              </w:rPr>
              <w:drawing>
                <wp:inline distT="0" distB="0" distL="0" distR="0" wp14:anchorId="2102A091" wp14:editId="7CD68CF3">
                  <wp:extent cx="215900" cy="425450"/>
                  <wp:effectExtent l="0" t="0" r="0" b="0"/>
                  <wp:docPr id="42" name="Picture 7"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4DEA41E9" wp14:editId="2EEF563F">
                  <wp:extent cx="127000" cy="254000"/>
                  <wp:effectExtent l="0" t="0" r="6350" b="0"/>
                  <wp:docPr id="43" name="Picture 6"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150</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146</w:t>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204</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194</w:t>
            </w:r>
          </w:p>
        </w:tc>
        <w:tc>
          <w:tcPr>
            <w:tcW w:w="980" w:type="dxa"/>
            <w:vAlign w:val="center"/>
          </w:tcPr>
          <w:p w:rsidR="00AF78FA" w:rsidRPr="000043B4" w:rsidRDefault="00AF78FA" w:rsidP="00A65A99">
            <w:pPr>
              <w:jc w:val="center"/>
              <w:rPr>
                <w:bCs/>
                <w:iCs/>
                <w:sz w:val="22"/>
                <w:szCs w:val="22"/>
              </w:rPr>
            </w:pPr>
            <w:r>
              <w:rPr>
                <w:bCs/>
                <w:iCs/>
                <w:sz w:val="22"/>
                <w:szCs w:val="22"/>
              </w:rPr>
              <w:t>255</w:t>
            </w:r>
          </w:p>
        </w:tc>
        <w:tc>
          <w:tcPr>
            <w:tcW w:w="980" w:type="dxa"/>
            <w:vAlign w:val="center"/>
          </w:tcPr>
          <w:p w:rsidR="00AF78FA" w:rsidRDefault="00AF78FA" w:rsidP="00A65A99">
            <w:pPr>
              <w:jc w:val="center"/>
              <w:rPr>
                <w:color w:val="000000"/>
                <w:sz w:val="22"/>
                <w:szCs w:val="22"/>
              </w:rPr>
            </w:pPr>
            <w:r>
              <w:rPr>
                <w:color w:val="000000"/>
                <w:sz w:val="22"/>
                <w:szCs w:val="22"/>
              </w:rPr>
              <w:t>243</w:t>
            </w:r>
          </w:p>
        </w:tc>
        <w:tc>
          <w:tcPr>
            <w:tcW w:w="945" w:type="dxa"/>
            <w:vAlign w:val="center"/>
          </w:tcPr>
          <w:p w:rsidR="00AF78FA" w:rsidRPr="000043B4" w:rsidRDefault="00AF78FA" w:rsidP="00A65A99">
            <w:pPr>
              <w:jc w:val="center"/>
              <w:rPr>
                <w:bCs/>
                <w:iCs/>
                <w:sz w:val="22"/>
                <w:szCs w:val="22"/>
              </w:rPr>
            </w:pPr>
            <w:r>
              <w:rPr>
                <w:bCs/>
                <w:iCs/>
                <w:sz w:val="22"/>
                <w:szCs w:val="22"/>
              </w:rPr>
              <w:t>305</w:t>
            </w:r>
          </w:p>
        </w:tc>
        <w:tc>
          <w:tcPr>
            <w:tcW w:w="875" w:type="dxa"/>
            <w:vAlign w:val="center"/>
          </w:tcPr>
          <w:p w:rsidR="00AF78FA" w:rsidRDefault="00AF78FA" w:rsidP="00A65A99">
            <w:pPr>
              <w:jc w:val="center"/>
              <w:rPr>
                <w:color w:val="000000"/>
                <w:sz w:val="22"/>
                <w:szCs w:val="22"/>
              </w:rPr>
            </w:pPr>
            <w:r>
              <w:rPr>
                <w:color w:val="000000"/>
                <w:sz w:val="22"/>
                <w:szCs w:val="22"/>
              </w:rPr>
              <w:t>291</w:t>
            </w:r>
          </w:p>
        </w:tc>
      </w:tr>
      <w:tr w:rsidR="00A15F7D" w:rsidRPr="000043B4" w:rsidTr="00A804FC">
        <w:tc>
          <w:tcPr>
            <w:tcW w:w="2093" w:type="dxa"/>
            <w:shd w:val="clear" w:color="auto" w:fill="auto"/>
          </w:tcPr>
          <w:p w:rsidR="00AF78FA" w:rsidRPr="000043B4" w:rsidRDefault="001C7D5F" w:rsidP="00A65A99">
            <w:pPr>
              <w:rPr>
                <w:sz w:val="22"/>
                <w:szCs w:val="22"/>
              </w:rPr>
            </w:pPr>
            <w:r>
              <w:rPr>
                <w:noProof/>
                <w:sz w:val="18"/>
                <w:szCs w:val="18"/>
                <w:lang w:eastAsia="lv-LV"/>
              </w:rPr>
              <w:drawing>
                <wp:inline distT="0" distB="0" distL="0" distR="0" wp14:anchorId="26B9217B" wp14:editId="27463DE2">
                  <wp:extent cx="215900" cy="425450"/>
                  <wp:effectExtent l="0" t="0" r="0" b="0"/>
                  <wp:docPr id="44" name="Picture 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4CC0C48B" wp14:editId="1A40E03D">
                  <wp:extent cx="127000" cy="254000"/>
                  <wp:effectExtent l="0" t="0" r="6350" b="0"/>
                  <wp:docPr id="45" name="Picture 4"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45E75289" wp14:editId="56562B75">
                  <wp:extent cx="127000" cy="254000"/>
                  <wp:effectExtent l="0" t="0" r="6350" b="0"/>
                  <wp:docPr id="46" name="Picture 3"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186</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194</w:t>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251</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259</w:t>
            </w:r>
          </w:p>
        </w:tc>
        <w:tc>
          <w:tcPr>
            <w:tcW w:w="980" w:type="dxa"/>
            <w:vAlign w:val="center"/>
          </w:tcPr>
          <w:p w:rsidR="00AF78FA" w:rsidRPr="000043B4" w:rsidRDefault="00AF78FA" w:rsidP="00A65A99">
            <w:pPr>
              <w:jc w:val="center"/>
              <w:rPr>
                <w:bCs/>
                <w:iCs/>
                <w:sz w:val="22"/>
                <w:szCs w:val="22"/>
              </w:rPr>
            </w:pPr>
            <w:r>
              <w:rPr>
                <w:bCs/>
                <w:iCs/>
                <w:sz w:val="22"/>
                <w:szCs w:val="22"/>
              </w:rPr>
              <w:t>314</w:t>
            </w:r>
          </w:p>
        </w:tc>
        <w:tc>
          <w:tcPr>
            <w:tcW w:w="980" w:type="dxa"/>
            <w:vAlign w:val="center"/>
          </w:tcPr>
          <w:p w:rsidR="00AF78FA" w:rsidRDefault="00AF78FA" w:rsidP="00A65A99">
            <w:pPr>
              <w:jc w:val="center"/>
              <w:rPr>
                <w:color w:val="000000"/>
                <w:sz w:val="22"/>
                <w:szCs w:val="22"/>
              </w:rPr>
            </w:pPr>
            <w:r>
              <w:rPr>
                <w:color w:val="000000"/>
                <w:sz w:val="22"/>
                <w:szCs w:val="22"/>
              </w:rPr>
              <w:t>323</w:t>
            </w:r>
          </w:p>
        </w:tc>
        <w:tc>
          <w:tcPr>
            <w:tcW w:w="945" w:type="dxa"/>
            <w:vAlign w:val="center"/>
          </w:tcPr>
          <w:p w:rsidR="00AF78FA" w:rsidRPr="000043B4" w:rsidRDefault="00AF78FA" w:rsidP="00A65A99">
            <w:pPr>
              <w:jc w:val="center"/>
              <w:rPr>
                <w:bCs/>
                <w:iCs/>
                <w:sz w:val="22"/>
                <w:szCs w:val="22"/>
              </w:rPr>
            </w:pPr>
            <w:r>
              <w:rPr>
                <w:bCs/>
                <w:iCs/>
                <w:sz w:val="22"/>
                <w:szCs w:val="22"/>
              </w:rPr>
              <w:t>376</w:t>
            </w:r>
          </w:p>
        </w:tc>
        <w:tc>
          <w:tcPr>
            <w:tcW w:w="875" w:type="dxa"/>
            <w:vAlign w:val="center"/>
          </w:tcPr>
          <w:p w:rsidR="00AF78FA" w:rsidRDefault="00AF78FA" w:rsidP="00A65A99">
            <w:pPr>
              <w:jc w:val="center"/>
              <w:rPr>
                <w:color w:val="000000"/>
                <w:sz w:val="22"/>
                <w:szCs w:val="22"/>
              </w:rPr>
            </w:pPr>
            <w:r>
              <w:rPr>
                <w:color w:val="000000"/>
                <w:sz w:val="22"/>
                <w:szCs w:val="22"/>
              </w:rPr>
              <w:t>388</w:t>
            </w:r>
          </w:p>
        </w:tc>
      </w:tr>
      <w:tr w:rsidR="00E73987" w:rsidRPr="000043B4" w:rsidTr="00A804FC">
        <w:tc>
          <w:tcPr>
            <w:tcW w:w="2093" w:type="dxa"/>
            <w:shd w:val="clear" w:color="auto" w:fill="auto"/>
          </w:tcPr>
          <w:p w:rsidR="00E73987" w:rsidRPr="00AF78FA" w:rsidRDefault="001C7D5F" w:rsidP="00A65A99">
            <w:pPr>
              <w:rPr>
                <w:noProof/>
                <w:sz w:val="18"/>
                <w:szCs w:val="18"/>
                <w:lang w:eastAsia="lv-LV"/>
              </w:rPr>
            </w:pPr>
            <w:r>
              <w:rPr>
                <w:noProof/>
                <w:sz w:val="18"/>
                <w:szCs w:val="18"/>
                <w:lang w:eastAsia="lv-LV"/>
              </w:rPr>
              <w:drawing>
                <wp:inline distT="0" distB="0" distL="0" distR="0" wp14:anchorId="3D2ED243" wp14:editId="48453AEB">
                  <wp:extent cx="215900" cy="425450"/>
                  <wp:effectExtent l="0" t="0" r="0" b="0"/>
                  <wp:docPr id="47" name="Picture 2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22F21666" wp14:editId="3C521668">
                  <wp:extent cx="215900" cy="425450"/>
                  <wp:effectExtent l="0" t="0" r="0" b="0"/>
                  <wp:docPr id="48" name="Picture 2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343254F8" wp14:editId="09F288FC">
                  <wp:extent cx="215900" cy="425450"/>
                  <wp:effectExtent l="0" t="0" r="0" b="0"/>
                  <wp:docPr id="49" name="Picture 2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387DEBB0" wp14:editId="51C784FF">
                  <wp:extent cx="127000" cy="254000"/>
                  <wp:effectExtent l="0" t="0" r="6350" b="0"/>
                  <wp:docPr id="50" name="Picture 6"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E73987" w:rsidRDefault="00066D15" w:rsidP="00A65A99">
            <w:pPr>
              <w:jc w:val="center"/>
              <w:rPr>
                <w:bCs/>
                <w:iCs/>
                <w:sz w:val="22"/>
                <w:szCs w:val="22"/>
              </w:rPr>
            </w:pPr>
            <w:r>
              <w:rPr>
                <w:bCs/>
                <w:iCs/>
                <w:sz w:val="22"/>
                <w:szCs w:val="22"/>
              </w:rPr>
              <w:t>336</w:t>
            </w:r>
          </w:p>
        </w:tc>
        <w:tc>
          <w:tcPr>
            <w:tcW w:w="709" w:type="dxa"/>
            <w:vAlign w:val="center"/>
          </w:tcPr>
          <w:p w:rsidR="00E73987" w:rsidRPr="009C2894" w:rsidRDefault="00066D15" w:rsidP="00A65A99">
            <w:pPr>
              <w:spacing w:before="120" w:after="120"/>
              <w:jc w:val="center"/>
              <w:rPr>
                <w:sz w:val="22"/>
                <w:szCs w:val="22"/>
              </w:rPr>
            </w:pPr>
            <w:r>
              <w:rPr>
                <w:sz w:val="22"/>
                <w:szCs w:val="22"/>
              </w:rPr>
              <w:t>281</w:t>
            </w:r>
          </w:p>
        </w:tc>
        <w:tc>
          <w:tcPr>
            <w:tcW w:w="992" w:type="dxa"/>
            <w:shd w:val="clear" w:color="auto" w:fill="auto"/>
            <w:vAlign w:val="center"/>
          </w:tcPr>
          <w:p w:rsidR="00E73987" w:rsidRDefault="00066D15" w:rsidP="00A65A99">
            <w:pPr>
              <w:jc w:val="center"/>
              <w:rPr>
                <w:bCs/>
                <w:iCs/>
                <w:sz w:val="22"/>
                <w:szCs w:val="22"/>
              </w:rPr>
            </w:pPr>
            <w:r>
              <w:rPr>
                <w:bCs/>
                <w:iCs/>
                <w:sz w:val="22"/>
                <w:szCs w:val="22"/>
              </w:rPr>
              <w:t>455</w:t>
            </w:r>
          </w:p>
        </w:tc>
        <w:tc>
          <w:tcPr>
            <w:tcW w:w="922" w:type="dxa"/>
            <w:shd w:val="clear" w:color="auto" w:fill="D9D9D9"/>
            <w:vAlign w:val="center"/>
          </w:tcPr>
          <w:p w:rsidR="00E73987" w:rsidRDefault="00066D15" w:rsidP="00A65A99">
            <w:pPr>
              <w:jc w:val="center"/>
              <w:rPr>
                <w:color w:val="000000"/>
                <w:sz w:val="22"/>
                <w:szCs w:val="22"/>
              </w:rPr>
            </w:pPr>
            <w:r>
              <w:rPr>
                <w:color w:val="000000"/>
                <w:sz w:val="22"/>
                <w:szCs w:val="22"/>
              </w:rPr>
              <w:t>374</w:t>
            </w:r>
          </w:p>
        </w:tc>
        <w:tc>
          <w:tcPr>
            <w:tcW w:w="980" w:type="dxa"/>
            <w:vAlign w:val="center"/>
          </w:tcPr>
          <w:p w:rsidR="00E73987" w:rsidRDefault="00066D15" w:rsidP="00A65A99">
            <w:pPr>
              <w:jc w:val="center"/>
              <w:rPr>
                <w:bCs/>
                <w:iCs/>
                <w:sz w:val="22"/>
                <w:szCs w:val="22"/>
              </w:rPr>
            </w:pPr>
            <w:r>
              <w:rPr>
                <w:bCs/>
                <w:iCs/>
                <w:sz w:val="22"/>
                <w:szCs w:val="22"/>
              </w:rPr>
              <w:t>568</w:t>
            </w:r>
          </w:p>
        </w:tc>
        <w:tc>
          <w:tcPr>
            <w:tcW w:w="980" w:type="dxa"/>
            <w:vAlign w:val="center"/>
          </w:tcPr>
          <w:p w:rsidR="00E73987" w:rsidRDefault="00066D15" w:rsidP="00A65A99">
            <w:pPr>
              <w:jc w:val="center"/>
              <w:rPr>
                <w:color w:val="000000"/>
                <w:sz w:val="22"/>
                <w:szCs w:val="22"/>
              </w:rPr>
            </w:pPr>
            <w:r>
              <w:rPr>
                <w:color w:val="000000"/>
                <w:sz w:val="22"/>
                <w:szCs w:val="22"/>
              </w:rPr>
              <w:t>470</w:t>
            </w:r>
          </w:p>
        </w:tc>
        <w:tc>
          <w:tcPr>
            <w:tcW w:w="945" w:type="dxa"/>
            <w:vAlign w:val="center"/>
          </w:tcPr>
          <w:p w:rsidR="00E73987" w:rsidRDefault="00066D15" w:rsidP="00A65A99">
            <w:pPr>
              <w:jc w:val="center"/>
              <w:rPr>
                <w:bCs/>
                <w:iCs/>
                <w:sz w:val="22"/>
                <w:szCs w:val="22"/>
              </w:rPr>
            </w:pPr>
            <w:r>
              <w:rPr>
                <w:bCs/>
                <w:iCs/>
                <w:sz w:val="22"/>
                <w:szCs w:val="22"/>
              </w:rPr>
              <w:t>681</w:t>
            </w:r>
          </w:p>
        </w:tc>
        <w:tc>
          <w:tcPr>
            <w:tcW w:w="875" w:type="dxa"/>
            <w:vAlign w:val="center"/>
          </w:tcPr>
          <w:p w:rsidR="00E73987" w:rsidRDefault="00066D15" w:rsidP="00A65A99">
            <w:pPr>
              <w:jc w:val="center"/>
              <w:rPr>
                <w:color w:val="000000"/>
                <w:sz w:val="22"/>
                <w:szCs w:val="22"/>
              </w:rPr>
            </w:pPr>
            <w:r>
              <w:rPr>
                <w:color w:val="000000"/>
                <w:sz w:val="22"/>
                <w:szCs w:val="22"/>
              </w:rPr>
              <w:t>563</w:t>
            </w:r>
          </w:p>
        </w:tc>
      </w:tr>
      <w:tr w:rsidR="00E73987" w:rsidRPr="000043B4" w:rsidTr="00A804FC">
        <w:tc>
          <w:tcPr>
            <w:tcW w:w="2093" w:type="dxa"/>
            <w:shd w:val="clear" w:color="auto" w:fill="auto"/>
          </w:tcPr>
          <w:p w:rsidR="00E73987" w:rsidRPr="00AF78FA" w:rsidRDefault="001C7D5F" w:rsidP="00A65A99">
            <w:pPr>
              <w:rPr>
                <w:noProof/>
                <w:sz w:val="18"/>
                <w:szCs w:val="18"/>
                <w:lang w:eastAsia="lv-LV"/>
              </w:rPr>
            </w:pPr>
            <w:r>
              <w:rPr>
                <w:noProof/>
                <w:sz w:val="18"/>
                <w:szCs w:val="18"/>
                <w:lang w:eastAsia="lv-LV"/>
              </w:rPr>
              <w:drawing>
                <wp:inline distT="0" distB="0" distL="0" distR="0" wp14:anchorId="767BFEAE" wp14:editId="0DE6500D">
                  <wp:extent cx="215900" cy="425450"/>
                  <wp:effectExtent l="0" t="0" r="0" b="0"/>
                  <wp:docPr id="51" name="Picture 2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5799B958" wp14:editId="3F684EC5">
                  <wp:extent cx="215900" cy="425450"/>
                  <wp:effectExtent l="0" t="0" r="0" b="0"/>
                  <wp:docPr id="52" name="Picture 2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1FA2A154" wp14:editId="3D13CB1D">
                  <wp:extent cx="215900" cy="425450"/>
                  <wp:effectExtent l="0" t="0" r="0" b="0"/>
                  <wp:docPr id="53" name="Picture 2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3B63E8D5" wp14:editId="02E8104B">
                  <wp:extent cx="127000" cy="254000"/>
                  <wp:effectExtent l="0" t="0" r="6350" b="0"/>
                  <wp:docPr id="54" name="Picture 6"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1BC5C9B7" wp14:editId="0DD83B5E">
                  <wp:extent cx="127000" cy="254000"/>
                  <wp:effectExtent l="0" t="0" r="6350" b="0"/>
                  <wp:docPr id="55" name="Picture 6"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E73987" w:rsidRDefault="00066D15" w:rsidP="00A65A99">
            <w:pPr>
              <w:jc w:val="center"/>
              <w:rPr>
                <w:bCs/>
                <w:iCs/>
                <w:sz w:val="22"/>
                <w:szCs w:val="22"/>
              </w:rPr>
            </w:pPr>
            <w:r>
              <w:rPr>
                <w:bCs/>
                <w:iCs/>
                <w:sz w:val="22"/>
                <w:szCs w:val="22"/>
              </w:rPr>
              <w:t>394</w:t>
            </w:r>
          </w:p>
        </w:tc>
        <w:tc>
          <w:tcPr>
            <w:tcW w:w="709" w:type="dxa"/>
            <w:vAlign w:val="center"/>
          </w:tcPr>
          <w:p w:rsidR="00E73987" w:rsidRPr="009C2894" w:rsidRDefault="00066D15" w:rsidP="00A65A99">
            <w:pPr>
              <w:spacing w:before="120" w:after="120"/>
              <w:jc w:val="center"/>
              <w:rPr>
                <w:sz w:val="22"/>
                <w:szCs w:val="22"/>
              </w:rPr>
            </w:pPr>
            <w:r>
              <w:rPr>
                <w:sz w:val="22"/>
                <w:szCs w:val="22"/>
              </w:rPr>
              <w:t>330</w:t>
            </w:r>
          </w:p>
        </w:tc>
        <w:tc>
          <w:tcPr>
            <w:tcW w:w="992" w:type="dxa"/>
            <w:shd w:val="clear" w:color="auto" w:fill="auto"/>
            <w:vAlign w:val="center"/>
          </w:tcPr>
          <w:p w:rsidR="00E73987" w:rsidRDefault="00066D15" w:rsidP="00A65A99">
            <w:pPr>
              <w:jc w:val="center"/>
              <w:rPr>
                <w:bCs/>
                <w:iCs/>
                <w:sz w:val="22"/>
                <w:szCs w:val="22"/>
              </w:rPr>
            </w:pPr>
            <w:r>
              <w:rPr>
                <w:bCs/>
                <w:iCs/>
                <w:sz w:val="22"/>
                <w:szCs w:val="22"/>
              </w:rPr>
              <w:t>534</w:t>
            </w:r>
          </w:p>
        </w:tc>
        <w:tc>
          <w:tcPr>
            <w:tcW w:w="922" w:type="dxa"/>
            <w:shd w:val="clear" w:color="auto" w:fill="D9D9D9"/>
            <w:vAlign w:val="center"/>
          </w:tcPr>
          <w:p w:rsidR="00E73987" w:rsidRDefault="00066D15" w:rsidP="00A65A99">
            <w:pPr>
              <w:jc w:val="center"/>
              <w:rPr>
                <w:color w:val="000000"/>
                <w:sz w:val="22"/>
                <w:szCs w:val="22"/>
              </w:rPr>
            </w:pPr>
            <w:r>
              <w:rPr>
                <w:color w:val="000000"/>
                <w:sz w:val="22"/>
                <w:szCs w:val="22"/>
              </w:rPr>
              <w:t>439</w:t>
            </w:r>
          </w:p>
        </w:tc>
        <w:tc>
          <w:tcPr>
            <w:tcW w:w="980" w:type="dxa"/>
            <w:vAlign w:val="center"/>
          </w:tcPr>
          <w:p w:rsidR="00E73987" w:rsidRDefault="00066D15" w:rsidP="00A65A99">
            <w:pPr>
              <w:jc w:val="center"/>
              <w:rPr>
                <w:bCs/>
                <w:iCs/>
                <w:sz w:val="22"/>
                <w:szCs w:val="22"/>
              </w:rPr>
            </w:pPr>
            <w:r>
              <w:rPr>
                <w:bCs/>
                <w:iCs/>
                <w:sz w:val="22"/>
                <w:szCs w:val="22"/>
              </w:rPr>
              <w:t>666</w:t>
            </w:r>
          </w:p>
        </w:tc>
        <w:tc>
          <w:tcPr>
            <w:tcW w:w="980" w:type="dxa"/>
            <w:vAlign w:val="center"/>
          </w:tcPr>
          <w:p w:rsidR="00E73987" w:rsidRDefault="00066D15" w:rsidP="00A65A99">
            <w:pPr>
              <w:jc w:val="center"/>
              <w:rPr>
                <w:color w:val="000000"/>
                <w:sz w:val="22"/>
                <w:szCs w:val="22"/>
              </w:rPr>
            </w:pPr>
            <w:r>
              <w:rPr>
                <w:color w:val="000000"/>
                <w:sz w:val="22"/>
                <w:szCs w:val="22"/>
              </w:rPr>
              <w:t>551</w:t>
            </w:r>
          </w:p>
        </w:tc>
        <w:tc>
          <w:tcPr>
            <w:tcW w:w="945" w:type="dxa"/>
            <w:vAlign w:val="center"/>
          </w:tcPr>
          <w:p w:rsidR="00E73987" w:rsidRDefault="00066D15" w:rsidP="00A65A99">
            <w:pPr>
              <w:jc w:val="center"/>
              <w:rPr>
                <w:bCs/>
                <w:iCs/>
                <w:sz w:val="22"/>
                <w:szCs w:val="22"/>
              </w:rPr>
            </w:pPr>
            <w:r>
              <w:rPr>
                <w:bCs/>
                <w:iCs/>
                <w:sz w:val="22"/>
                <w:szCs w:val="22"/>
              </w:rPr>
              <w:t>799</w:t>
            </w:r>
          </w:p>
        </w:tc>
        <w:tc>
          <w:tcPr>
            <w:tcW w:w="875" w:type="dxa"/>
            <w:vAlign w:val="center"/>
          </w:tcPr>
          <w:p w:rsidR="00E73987" w:rsidRDefault="00066D15" w:rsidP="00A65A99">
            <w:pPr>
              <w:jc w:val="center"/>
              <w:rPr>
                <w:color w:val="000000"/>
                <w:sz w:val="22"/>
                <w:szCs w:val="22"/>
              </w:rPr>
            </w:pPr>
            <w:r>
              <w:rPr>
                <w:color w:val="000000"/>
                <w:sz w:val="22"/>
                <w:szCs w:val="22"/>
              </w:rPr>
              <w:t>660</w:t>
            </w:r>
          </w:p>
        </w:tc>
      </w:tr>
    </w:tbl>
    <w:p w:rsidR="00E56A67" w:rsidRPr="00EA0F78" w:rsidRDefault="00E56A67" w:rsidP="00E56A67">
      <w:pPr>
        <w:ind w:firstLine="720"/>
        <w:jc w:val="both"/>
        <w:rPr>
          <w:sz w:val="20"/>
        </w:rPr>
      </w:pPr>
      <w:r w:rsidRPr="00EA0F78">
        <w:rPr>
          <w:sz w:val="20"/>
        </w:rPr>
        <w:t>Datu avots: CSP</w:t>
      </w:r>
      <w:r w:rsidR="00166CE4">
        <w:rPr>
          <w:sz w:val="20"/>
        </w:rPr>
        <w:t>, LM veikti aprēķini</w:t>
      </w:r>
    </w:p>
    <w:p w:rsidR="00E56A67" w:rsidRDefault="001C7D5F" w:rsidP="004B1193">
      <w:pPr>
        <w:jc w:val="both"/>
      </w:pPr>
      <w:r>
        <w:rPr>
          <w:noProof/>
          <w:sz w:val="18"/>
          <w:szCs w:val="18"/>
          <w:lang w:eastAsia="lv-LV"/>
        </w:rPr>
        <w:drawing>
          <wp:inline distT="0" distB="0" distL="0" distR="0">
            <wp:extent cx="215900" cy="425450"/>
            <wp:effectExtent l="0" t="0" r="0" b="0"/>
            <wp:docPr id="56" name="Picture 10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ack Stick Man Clip 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sidR="004B1193">
        <w:rPr>
          <w:noProof/>
          <w:sz w:val="18"/>
          <w:szCs w:val="18"/>
          <w:lang w:eastAsia="lv-LV"/>
        </w:rPr>
        <w:t xml:space="preserve"> </w:t>
      </w:r>
      <w:r w:rsidR="004B1193" w:rsidRPr="004B1193">
        <w:rPr>
          <w:noProof/>
          <w:sz w:val="22"/>
          <w:szCs w:val="22"/>
          <w:lang w:eastAsia="lv-LV"/>
        </w:rPr>
        <w:t>(pirmais pieaugušais un</w:t>
      </w:r>
      <w:r w:rsidR="004B1193">
        <w:rPr>
          <w:noProof/>
          <w:sz w:val="22"/>
          <w:szCs w:val="22"/>
          <w:lang w:eastAsia="lv-LV"/>
        </w:rPr>
        <w:t xml:space="preserve"> otrais pie</w:t>
      </w:r>
      <w:r w:rsidR="004B1193" w:rsidRPr="004B1193">
        <w:rPr>
          <w:noProof/>
          <w:sz w:val="22"/>
          <w:szCs w:val="22"/>
          <w:lang w:eastAsia="lv-LV"/>
        </w:rPr>
        <w:t>agušais virs 14 gadu vecuma</w:t>
      </w:r>
      <w:r w:rsidR="005E4A60">
        <w:rPr>
          <w:noProof/>
          <w:sz w:val="22"/>
          <w:szCs w:val="22"/>
          <w:lang w:eastAsia="lv-LV"/>
        </w:rPr>
        <w:t>m</w:t>
      </w:r>
      <w:r w:rsidR="004B1193" w:rsidRPr="004B1193">
        <w:rPr>
          <w:noProof/>
          <w:sz w:val="22"/>
          <w:szCs w:val="22"/>
          <w:lang w:eastAsia="lv-LV"/>
        </w:rPr>
        <w:t>)</w:t>
      </w:r>
      <w:r w:rsidR="004B1193">
        <w:rPr>
          <w:noProof/>
          <w:sz w:val="18"/>
          <w:szCs w:val="18"/>
          <w:lang w:eastAsia="lv-LV"/>
        </w:rPr>
        <w:t xml:space="preserve"> </w:t>
      </w:r>
      <w:r>
        <w:rPr>
          <w:noProof/>
          <w:lang w:eastAsia="lv-LV"/>
        </w:rPr>
        <w:drawing>
          <wp:inline distT="0" distB="0" distL="0" distR="0">
            <wp:extent cx="127000" cy="254000"/>
            <wp:effectExtent l="0" t="0" r="6350" b="0"/>
            <wp:docPr id="57" name="Picture 106"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sidR="005E4A60">
        <w:rPr>
          <w:noProof/>
          <w:lang w:eastAsia="lv-LV"/>
        </w:rPr>
        <w:t xml:space="preserve"> (bērns</w:t>
      </w:r>
      <w:r w:rsidR="004B1193">
        <w:rPr>
          <w:noProof/>
          <w:lang w:eastAsia="lv-LV"/>
        </w:rPr>
        <w:t xml:space="preserve"> līdz 14 gadu vecumam)</w:t>
      </w:r>
      <w:r w:rsidR="005E4A60">
        <w:rPr>
          <w:noProof/>
          <w:lang w:eastAsia="lv-LV"/>
        </w:rPr>
        <w:t>.</w:t>
      </w:r>
    </w:p>
    <w:p w:rsidR="000C4D02" w:rsidRDefault="002D10D3" w:rsidP="000C4D02">
      <w:pPr>
        <w:ind w:firstLine="720"/>
        <w:jc w:val="both"/>
      </w:pPr>
      <w:r>
        <w:t xml:space="preserve">Piedāvātajai </w:t>
      </w:r>
      <w:r w:rsidR="00C76365">
        <w:t xml:space="preserve">minimālā ienākuma līmeņa noteikšanas </w:t>
      </w:r>
      <w:r w:rsidR="007D2C12">
        <w:t xml:space="preserve">metodei ir </w:t>
      </w:r>
      <w:r w:rsidR="000C4D02">
        <w:t>vairākas</w:t>
      </w:r>
      <w:r w:rsidR="007D2C12" w:rsidRPr="00173A24">
        <w:t xml:space="preserve"> galven</w:t>
      </w:r>
      <w:r w:rsidR="00C37279">
        <w:t xml:space="preserve">ās </w:t>
      </w:r>
      <w:r w:rsidR="00C37279" w:rsidRPr="00F22BE6">
        <w:rPr>
          <w:u w:val="single"/>
        </w:rPr>
        <w:t>priekšrocības</w:t>
      </w:r>
      <w:r w:rsidR="00C37279">
        <w:t xml:space="preserve"> salīdzinājumā </w:t>
      </w:r>
      <w:r w:rsidR="000C4D02">
        <w:t>ar</w:t>
      </w:r>
      <w:r w:rsidR="00C37279">
        <w:t xml:space="preserve"> esošo </w:t>
      </w:r>
      <w:r w:rsidR="000C4D02">
        <w:t xml:space="preserve">Latvijas </w:t>
      </w:r>
      <w:r w:rsidR="00C37279">
        <w:t>situāciju un citām nabadzības noteikšanas metodēm</w:t>
      </w:r>
      <w:r w:rsidR="007D2C12">
        <w:rPr>
          <w:rStyle w:val="FootnoteReference"/>
        </w:rPr>
        <w:footnoteReference w:id="99"/>
      </w:r>
      <w:r w:rsidR="007D2C12" w:rsidRPr="00173A24">
        <w:t xml:space="preserve">: </w:t>
      </w:r>
    </w:p>
    <w:p w:rsidR="00F7486B" w:rsidRDefault="000C4D02" w:rsidP="0059568B">
      <w:pPr>
        <w:ind w:firstLine="720"/>
        <w:jc w:val="both"/>
      </w:pPr>
      <w:r>
        <w:t xml:space="preserve">(1) </w:t>
      </w:r>
      <w:r w:rsidR="00F7486B">
        <w:t xml:space="preserve">minimālā ienākuma līmenis </w:t>
      </w:r>
      <w:r w:rsidR="00A844AF">
        <w:t>tiek aprēķināts, pamatojoties uz</w:t>
      </w:r>
      <w:r w:rsidR="00F7486B">
        <w:t xml:space="preserve"> kopēj</w:t>
      </w:r>
      <w:r w:rsidR="00A844AF">
        <w:t>o</w:t>
      </w:r>
      <w:r w:rsidR="00F7486B">
        <w:t xml:space="preserve"> sociālekonomisk</w:t>
      </w:r>
      <w:r w:rsidR="00A844AF">
        <w:t>o</w:t>
      </w:r>
      <w:r w:rsidR="00F7486B">
        <w:t xml:space="preserve"> situ</w:t>
      </w:r>
      <w:r w:rsidR="00A844AF">
        <w:t>āciju</w:t>
      </w:r>
      <w:r w:rsidR="00F7486B">
        <w:t xml:space="preserve"> valstī, t.i., tas ir pamatots un sasaistīts ar indiv</w:t>
      </w:r>
      <w:r w:rsidR="00A844AF">
        <w:t>īda</w:t>
      </w:r>
      <w:r w:rsidR="00F7486B">
        <w:t xml:space="preserve"> situ</w:t>
      </w:r>
      <w:r w:rsidR="00A844AF">
        <w:t>ācij</w:t>
      </w:r>
      <w:r w:rsidR="0059568B">
        <w:t>u</w:t>
      </w:r>
      <w:r w:rsidR="00F7486B">
        <w:t xml:space="preserve"> </w:t>
      </w:r>
      <w:r w:rsidR="00F7486B">
        <w:lastRenderedPageBreak/>
        <w:t xml:space="preserve">raksturojošajiem rādītājiem </w:t>
      </w:r>
      <w:r w:rsidR="00A844AF">
        <w:t>–</w:t>
      </w:r>
      <w:r w:rsidR="00F7486B">
        <w:t xml:space="preserve"> ienākumiem</w:t>
      </w:r>
      <w:r w:rsidR="00A844AF">
        <w:t xml:space="preserve">. Tas nozīmē, ka nepastāv iespējas pieņemt patvaļīgu lēmumu par minimālā ienākuma līmeni, </w:t>
      </w:r>
      <w:r w:rsidR="0059568B">
        <w:t xml:space="preserve">jo ir skaidri tā noteikšanas kritēriji un ar šīs metodes palīdzību tiek novērsts risks, ka, pastāvot dažādiem minimālo ienākumu līmeņiem, katra ieinteresētā puse izmanto to ienākumu līmeni, </w:t>
      </w:r>
      <w:r w:rsidR="0087525E">
        <w:t>kas tai sniedz priekšrocības</w:t>
      </w:r>
      <w:r w:rsidR="00A844AF">
        <w:t>;</w:t>
      </w:r>
      <w:r w:rsidR="00F7486B">
        <w:t xml:space="preserve"> </w:t>
      </w:r>
    </w:p>
    <w:p w:rsidR="000C4D02" w:rsidRPr="00E24D39" w:rsidRDefault="00F7486B" w:rsidP="00FC2B53">
      <w:pPr>
        <w:ind w:firstLine="720"/>
        <w:jc w:val="both"/>
      </w:pPr>
      <w:r>
        <w:t xml:space="preserve">(2) </w:t>
      </w:r>
      <w:r w:rsidR="00FC2B53">
        <w:t xml:space="preserve">ir noteikts konkrēts ienākumu līmenis, kas cilvēkam ir jānodrošina pašam ar algotu darbu un/vai </w:t>
      </w:r>
      <w:proofErr w:type="gramStart"/>
      <w:r w:rsidR="00FC2B53">
        <w:t>to</w:t>
      </w:r>
      <w:proofErr w:type="gramEnd"/>
      <w:r w:rsidR="00FC2B53">
        <w:t xml:space="preserve"> ir jāpalīdz sasniegt ar dažādu ienākumus ietekmējošo sistēmu (nodokļu, pabalstu) p</w:t>
      </w:r>
      <w:r w:rsidR="00FC2B53" w:rsidRPr="00E24D39">
        <w:t>alīdzību</w:t>
      </w:r>
      <w:r w:rsidR="000C4D02" w:rsidRPr="00E24D39">
        <w:t xml:space="preserve">; </w:t>
      </w:r>
    </w:p>
    <w:p w:rsidR="00E24D39" w:rsidRDefault="00E24D39" w:rsidP="002D10D3">
      <w:pPr>
        <w:ind w:firstLine="720"/>
        <w:jc w:val="both"/>
      </w:pPr>
      <w:r w:rsidRPr="00E24D39">
        <w:t>(3) šis minimālā ienākuma līmenis var kalpot kā rādītājs</w:t>
      </w:r>
      <w:r>
        <w:t>, lai novērtētu nodokļu sistēmas ietekm</w:t>
      </w:r>
      <w:r w:rsidRPr="00E24D39">
        <w:t xml:space="preserve">i uz ienākumu nevienlīdzību un </w:t>
      </w:r>
      <w:r>
        <w:t xml:space="preserve">lai izdarītu secinājumus, </w:t>
      </w:r>
      <w:r w:rsidRPr="00E24D39">
        <w:t xml:space="preserve">vai visi iedzīvotāji gūst labumu no makroekonomiskās izaugsmes, kas ir svarīgi </w:t>
      </w:r>
      <w:r>
        <w:t>saistībā ar</w:t>
      </w:r>
      <w:r w:rsidRPr="00E24D39">
        <w:t xml:space="preserve"> iekļaujošu nodarbinātību;</w:t>
      </w:r>
      <w:r w:rsidR="002D10D3" w:rsidRPr="002D10D3">
        <w:t xml:space="preserve"> </w:t>
      </w:r>
    </w:p>
    <w:p w:rsidR="000C4D02" w:rsidRDefault="00DF32FB" w:rsidP="00FC2B53">
      <w:pPr>
        <w:ind w:firstLine="720"/>
        <w:jc w:val="both"/>
      </w:pPr>
      <w:r>
        <w:t>(</w:t>
      </w:r>
      <w:r w:rsidR="00E24D39">
        <w:t>4</w:t>
      </w:r>
      <w:r>
        <w:t>)</w:t>
      </w:r>
      <w:r w:rsidRPr="00173A24">
        <w:t xml:space="preserve"> </w:t>
      </w:r>
      <w:r w:rsidR="00FC2B53">
        <w:t xml:space="preserve">tas nerada nevajadzīgas un jūtīgas diskusijas par to, ko par šādu summu var vai vajadzētu atļauties nopirkt, pieņemot, ka brīvā tirgus ekonomikā indivīds var atļauties tik, cik tas var nopelnīt ar algotu darbu; </w:t>
      </w:r>
    </w:p>
    <w:p w:rsidR="00597EAA" w:rsidRDefault="00DF32FB" w:rsidP="00FC2B53">
      <w:pPr>
        <w:ind w:firstLine="720"/>
        <w:jc w:val="both"/>
      </w:pPr>
      <w:r w:rsidRPr="00173A24">
        <w:t>(</w:t>
      </w:r>
      <w:r w:rsidR="00E24D39">
        <w:t>5</w:t>
      </w:r>
      <w:r w:rsidRPr="00173A24">
        <w:t>)</w:t>
      </w:r>
      <w:r>
        <w:t xml:space="preserve"> </w:t>
      </w:r>
      <w:r w:rsidR="00FC2B53">
        <w:t>šādu metodi izmanto daudzas Eiropas valstis, uzskatot to par piemērotāko veidu, ar kura palīdzību tiek noteikts nabadzības riska slieksnis, atbilstoši plānojot nepieciešamās izmaiņas dažādās nozaru politikās, kas rada ietekmi uz iedzīvotāju ienākumiem</w:t>
      </w:r>
      <w:r w:rsidR="00597EAA">
        <w:t>.</w:t>
      </w:r>
      <w:r w:rsidR="007E0D86">
        <w:t xml:space="preserve"> </w:t>
      </w:r>
    </w:p>
    <w:p w:rsidR="006B36F2" w:rsidRDefault="00921183" w:rsidP="00405007">
      <w:pPr>
        <w:ind w:firstLine="720"/>
        <w:jc w:val="both"/>
      </w:pPr>
      <w:r>
        <w:t>Kā ikvienai metodei</w:t>
      </w:r>
      <w:proofErr w:type="gramStart"/>
      <w:r w:rsidR="00040D89">
        <w:t>,</w:t>
      </w:r>
      <w:r w:rsidR="00924DE4">
        <w:t xml:space="preserve"> tai</w:t>
      </w:r>
      <w:proofErr w:type="gramEnd"/>
      <w:r w:rsidR="00597EAA">
        <w:t xml:space="preserve"> </w:t>
      </w:r>
      <w:r w:rsidR="007E0D86">
        <w:t xml:space="preserve">ir arī zināmi </w:t>
      </w:r>
      <w:r w:rsidR="007E0D86" w:rsidRPr="00F22BE6">
        <w:rPr>
          <w:u w:val="single"/>
        </w:rPr>
        <w:t>trūkumi</w:t>
      </w:r>
      <w:r w:rsidR="00597EAA">
        <w:t>.</w:t>
      </w:r>
      <w:r w:rsidR="007E0D86">
        <w:t xml:space="preserve"> </w:t>
      </w:r>
      <w:r w:rsidR="00040D89">
        <w:t>M</w:t>
      </w:r>
      <w:r w:rsidR="003E6FBD">
        <w:t>inimālā</w:t>
      </w:r>
      <w:r w:rsidR="006A0572">
        <w:t xml:space="preserve"> ienākuma</w:t>
      </w:r>
      <w:r w:rsidR="00597EAA">
        <w:t xml:space="preserve"> līmeni</w:t>
      </w:r>
      <w:r w:rsidR="00040D89">
        <w:t>,</w:t>
      </w:r>
      <w:r w:rsidR="00597EAA">
        <w:t xml:space="preserve"> </w:t>
      </w:r>
      <w:r w:rsidR="00040D89">
        <w:t>nosakot</w:t>
      </w:r>
      <w:r w:rsidR="00D348F5">
        <w:t xml:space="preserve"> kā </w:t>
      </w:r>
      <w:r w:rsidR="007E0D86" w:rsidRPr="00173A24">
        <w:t>konstant</w:t>
      </w:r>
      <w:r w:rsidR="00040D89">
        <w:t>u proporciju</w:t>
      </w:r>
      <w:r w:rsidR="007E0D86" w:rsidRPr="00173A24">
        <w:t xml:space="preserve"> no vidējiem vai mediānas ienākumiem</w:t>
      </w:r>
      <w:r w:rsidR="00040D89">
        <w:t>,</w:t>
      </w:r>
      <w:r w:rsidR="00D348F5">
        <w:t xml:space="preserve"> </w:t>
      </w:r>
      <w:r w:rsidR="00040D89">
        <w:t xml:space="preserve">var būt situācija, kad vienlaicīgi palielinās gan minimālā ienākuma līmenis, gan iedzīvotāju īpatsvars, kuru ienākumi ir </w:t>
      </w:r>
      <w:r w:rsidR="00D4617E">
        <w:t>zemāki par šo minimālā ienākuma līmeni</w:t>
      </w:r>
      <w:r w:rsidR="00040D89">
        <w:t xml:space="preserve">. </w:t>
      </w:r>
      <w:r w:rsidR="00D4617E">
        <w:t xml:space="preserve">Piemēram, minimālā ienākuma līmenis attiecīgajā gadā ir pieaudzis no 200 </w:t>
      </w:r>
      <w:proofErr w:type="spellStart"/>
      <w:r w:rsidR="00D770F2" w:rsidRPr="00D770F2">
        <w:rPr>
          <w:i/>
          <w:iCs/>
        </w:rPr>
        <w:t>euro</w:t>
      </w:r>
      <w:proofErr w:type="spellEnd"/>
      <w:r w:rsidR="00D4617E">
        <w:t xml:space="preserve"> l</w:t>
      </w:r>
      <w:r w:rsidR="00414FEC">
        <w:t>īdz 2</w:t>
      </w:r>
      <w:r w:rsidR="00D4617E">
        <w:t>5</w:t>
      </w:r>
      <w:r w:rsidR="00414FEC">
        <w:t>0</w:t>
      </w:r>
      <w:r w:rsidR="00D4617E">
        <w:t xml:space="preserve"> </w:t>
      </w:r>
      <w:proofErr w:type="spellStart"/>
      <w:r w:rsidR="00D770F2" w:rsidRPr="00D770F2">
        <w:rPr>
          <w:i/>
          <w:iCs/>
        </w:rPr>
        <w:t>euro</w:t>
      </w:r>
      <w:proofErr w:type="spellEnd"/>
      <w:r w:rsidR="00D4617E">
        <w:t xml:space="preserve"> mēnesī, </w:t>
      </w:r>
      <w:r w:rsidR="00040D89">
        <w:t>kas varētu liecināt par to, ka cilvēkiem ar zemiem vai vidējiem ienākum</w:t>
      </w:r>
      <w:r w:rsidR="00B779F4">
        <w:t xml:space="preserve">iem ienākumi </w:t>
      </w:r>
      <w:proofErr w:type="gramStart"/>
      <w:r w:rsidR="00B779F4">
        <w:t>ir palielinājusies</w:t>
      </w:r>
      <w:proofErr w:type="gramEnd"/>
      <w:r w:rsidR="00040D89">
        <w:t xml:space="preserve"> </w:t>
      </w:r>
      <w:r w:rsidR="00B779F4">
        <w:t>un tāpēc iedzīvotāju īpatsvaram, kuru ienākumi ir zemāki par šo ienākumu līmeni, vajadzētu samazināties. T</w:t>
      </w:r>
      <w:r w:rsidR="00040D89">
        <w:t>aču</w:t>
      </w:r>
      <w:r w:rsidR="00D4617E">
        <w:t xml:space="preserve"> cilvēku skaits, kuru ienākumi ir zemāki par šo līmeni</w:t>
      </w:r>
      <w:r w:rsidR="0044296E">
        <w:t>,</w:t>
      </w:r>
      <w:r w:rsidR="00D4617E">
        <w:t xml:space="preserve"> arī ir pieaudzis no 15% līdz 20%. </w:t>
      </w:r>
      <w:r w:rsidR="00040D89">
        <w:t xml:space="preserve">Tas </w:t>
      </w:r>
      <w:r w:rsidR="003852C0">
        <w:t>liecina</w:t>
      </w:r>
      <w:r w:rsidR="00040D89">
        <w:t>, ka noteiktai iedzīvotāju kategorijai ienākumi nav palielinājušies, bet pat ir samazinājušies</w:t>
      </w:r>
      <w:r w:rsidR="00040D89">
        <w:rPr>
          <w:rStyle w:val="FootnoteReference"/>
        </w:rPr>
        <w:footnoteReference w:id="100"/>
      </w:r>
      <w:r w:rsidR="00040D89" w:rsidRPr="00173A24">
        <w:t>.</w:t>
      </w:r>
      <w:r w:rsidR="00040D89">
        <w:t xml:space="preserve"> </w:t>
      </w:r>
      <w:r w:rsidR="00D4617E">
        <w:t xml:space="preserve">To ir grūti </w:t>
      </w:r>
      <w:r w:rsidR="00912E51">
        <w:t>pieņemt</w:t>
      </w:r>
      <w:r w:rsidR="00D4617E">
        <w:t xml:space="preserve">, jo tas nozīmē, ka </w:t>
      </w:r>
      <w:r w:rsidR="007E0D86" w:rsidRPr="00173A24">
        <w:t xml:space="preserve">ekonomiskās izaugsmes </w:t>
      </w:r>
      <w:r w:rsidR="00040D89">
        <w:t xml:space="preserve">priekšrocības un ieguvumus negūst visi iedzīvotāji. </w:t>
      </w:r>
      <w:r w:rsidR="003852C0">
        <w:t>Tāpēc r</w:t>
      </w:r>
      <w:r w:rsidR="007E0D86">
        <w:t xml:space="preserve">elatīvie </w:t>
      </w:r>
      <w:r w:rsidR="007E0D86" w:rsidRPr="00C84374">
        <w:t xml:space="preserve">nabadzības mērījumi tiek kritizēti </w:t>
      </w:r>
      <w:r w:rsidR="006A0572">
        <w:t>dēļ to nepārtrauktā svārstīguma, jo iedzīvotāju ienākumi</w:t>
      </w:r>
      <w:r w:rsidR="00D348F5" w:rsidRPr="00D348F5">
        <w:t xml:space="preserve"> </w:t>
      </w:r>
      <w:r w:rsidR="00D348F5">
        <w:t>mainās</w:t>
      </w:r>
      <w:r w:rsidR="009E62AD">
        <w:t xml:space="preserve">, kā rezultātā mainās arī </w:t>
      </w:r>
      <w:r w:rsidR="003852C0">
        <w:t>attiecīgais nabadzības riska slieksnis</w:t>
      </w:r>
      <w:r w:rsidR="007E0D86" w:rsidRPr="00C84374">
        <w:t xml:space="preserve">. </w:t>
      </w:r>
      <w:r w:rsidR="0081297B">
        <w:t>L</w:t>
      </w:r>
      <w:r w:rsidR="007E0D86" w:rsidRPr="00C84374">
        <w:t xml:space="preserve">ai šo </w:t>
      </w:r>
      <w:r w:rsidR="009E62AD">
        <w:t>svārstīgumu</w:t>
      </w:r>
      <w:r w:rsidR="007E0D86" w:rsidRPr="00C84374">
        <w:t xml:space="preserve"> „kompensētu”, ES tiek izmantots fiksētais nabadzības </w:t>
      </w:r>
      <w:r w:rsidR="009E62AD">
        <w:t>rādītājs</w:t>
      </w:r>
      <w:r w:rsidR="007E0D86" w:rsidRPr="00C84374">
        <w:t>, proti, nabadzības</w:t>
      </w:r>
      <w:r w:rsidR="009E62AD">
        <w:t xml:space="preserve"> riska</w:t>
      </w:r>
      <w:r w:rsidR="007E0D86" w:rsidRPr="00C84374">
        <w:t xml:space="preserve"> slieksnis konkrētajā gadā tiek nofiksēts</w:t>
      </w:r>
      <w:r w:rsidR="003852C0">
        <w:t xml:space="preserve"> (piemēram, </w:t>
      </w:r>
      <w:r w:rsidR="00BE3DD5">
        <w:t>2012.gadā nabadzības riska slieksnis ir 235</w:t>
      </w:r>
      <w:r w:rsidR="003852C0">
        <w:t xml:space="preserve"> </w:t>
      </w:r>
      <w:proofErr w:type="spellStart"/>
      <w:r w:rsidR="00D770F2" w:rsidRPr="00D770F2">
        <w:rPr>
          <w:i/>
          <w:iCs/>
        </w:rPr>
        <w:t>euro</w:t>
      </w:r>
      <w:proofErr w:type="spellEnd"/>
      <w:r w:rsidR="003852C0">
        <w:t>)</w:t>
      </w:r>
      <w:r w:rsidR="007E0D86" w:rsidRPr="00C84374">
        <w:t xml:space="preserve">, bet iedzīvotāju </w:t>
      </w:r>
      <w:r w:rsidR="0081297B">
        <w:t>īpatsvars</w:t>
      </w:r>
      <w:r w:rsidR="007E0D86" w:rsidRPr="00C84374">
        <w:t xml:space="preserve">, </w:t>
      </w:r>
      <w:r w:rsidR="009E62AD">
        <w:t xml:space="preserve">kuru ienākumi ir zemāki par </w:t>
      </w:r>
      <w:r w:rsidR="0081297B">
        <w:t>šo</w:t>
      </w:r>
      <w:r w:rsidR="009E62AD">
        <w:t xml:space="preserve"> </w:t>
      </w:r>
      <w:r w:rsidR="0081297B">
        <w:t xml:space="preserve">ienākumu </w:t>
      </w:r>
      <w:r w:rsidR="009E62AD">
        <w:t>slieksni,</w:t>
      </w:r>
      <w:r w:rsidR="007E0D86" w:rsidRPr="00C84374">
        <w:t xml:space="preserve"> tiek rēķināts</w:t>
      </w:r>
      <w:r w:rsidR="00BE3DD5">
        <w:t xml:space="preserve"> turpmākajiem gadiem</w:t>
      </w:r>
      <w:r w:rsidR="009E62AD">
        <w:t xml:space="preserve"> atbilstoši iedzīvotāju ikgadējiem </w:t>
      </w:r>
      <w:r w:rsidR="009E62AD" w:rsidRPr="003852C0">
        <w:t>ienākumiem</w:t>
      </w:r>
      <w:r w:rsidR="00BE3DD5">
        <w:t>, t.i., slieksnis paliek 2012.gada līmenī</w:t>
      </w:r>
      <w:r w:rsidR="00952081">
        <w:t>,</w:t>
      </w:r>
      <w:r w:rsidR="00BE3DD5">
        <w:t xml:space="preserve"> un mainās tikai iedzīvotāju </w:t>
      </w:r>
      <w:r w:rsidR="0081297B">
        <w:t>skaits</w:t>
      </w:r>
      <w:r w:rsidR="00BE3DD5">
        <w:t xml:space="preserve"> ar ienākumiem zem šī </w:t>
      </w:r>
      <w:r w:rsidR="0081297B">
        <w:t>ienākum</w:t>
      </w:r>
      <w:r w:rsidR="00F22BE6">
        <w:t>a</w:t>
      </w:r>
      <w:r w:rsidR="0081297B">
        <w:t xml:space="preserve"> sliekšņa</w:t>
      </w:r>
      <w:r w:rsidR="007E0D86" w:rsidRPr="003852C0">
        <w:rPr>
          <w:rStyle w:val="FootnoteReference"/>
        </w:rPr>
        <w:footnoteReference w:id="101"/>
      </w:r>
      <w:r w:rsidR="007E0D86" w:rsidRPr="003852C0">
        <w:t>.</w:t>
      </w:r>
      <w:r w:rsidR="00DF32FB" w:rsidRPr="003852C0">
        <w:t xml:space="preserve"> </w:t>
      </w:r>
      <w:r w:rsidR="00F22BE6">
        <w:t>Tāpat</w:t>
      </w:r>
      <w:r w:rsidR="00DF32FB">
        <w:t xml:space="preserve"> </w:t>
      </w:r>
      <w:r w:rsidR="0044296E">
        <w:t xml:space="preserve">ir </w:t>
      </w:r>
      <w:r w:rsidR="00DF32FB">
        <w:t>svarīgi ņemt vērā, vai iedzīvotāji, jo īpaši mērķa grupa, izprot šī rādītāja jēgu</w:t>
      </w:r>
      <w:r w:rsidR="0044296E">
        <w:t>,</w:t>
      </w:r>
      <w:r w:rsidR="00DF32FB">
        <w:t xml:space="preserve"> </w:t>
      </w:r>
      <w:r w:rsidR="0081297B">
        <w:t>zina</w:t>
      </w:r>
      <w:r w:rsidR="0044296E">
        <w:t xml:space="preserve">, </w:t>
      </w:r>
      <w:r w:rsidR="00DF32FB">
        <w:t xml:space="preserve">kā </w:t>
      </w:r>
      <w:proofErr w:type="gramStart"/>
      <w:r w:rsidR="00DF32FB">
        <w:t>tas darbojas</w:t>
      </w:r>
      <w:proofErr w:type="gramEnd"/>
      <w:r w:rsidR="001263D8">
        <w:t>,</w:t>
      </w:r>
      <w:r w:rsidR="00DF32FB">
        <w:t xml:space="preserve"> un </w:t>
      </w:r>
      <w:r w:rsidR="0044296E">
        <w:t>uzskata</w:t>
      </w:r>
      <w:r w:rsidR="00DF32FB">
        <w:t xml:space="preserve"> to par taisnīgu pieeju.</w:t>
      </w:r>
    </w:p>
    <w:p w:rsidR="008A625D" w:rsidRDefault="00DC407D" w:rsidP="00D22F3E">
      <w:pPr>
        <w:pStyle w:val="CommentText"/>
        <w:ind w:firstLine="720"/>
        <w:jc w:val="both"/>
        <w:rPr>
          <w:sz w:val="24"/>
          <w:szCs w:val="24"/>
        </w:rPr>
      </w:pPr>
      <w:r w:rsidRPr="00D22F3E">
        <w:rPr>
          <w:sz w:val="24"/>
          <w:szCs w:val="24"/>
        </w:rPr>
        <w:t xml:space="preserve">Izvēloties </w:t>
      </w:r>
      <w:r w:rsidR="00246956" w:rsidRPr="00D22F3E">
        <w:rPr>
          <w:sz w:val="24"/>
          <w:szCs w:val="24"/>
        </w:rPr>
        <w:t xml:space="preserve">šo </w:t>
      </w:r>
      <w:r w:rsidRPr="00D22F3E">
        <w:rPr>
          <w:sz w:val="24"/>
          <w:szCs w:val="24"/>
        </w:rPr>
        <w:t>risinājuma variantu, jāņem vērā, ka minētie dat</w:t>
      </w:r>
      <w:r w:rsidR="00246956" w:rsidRPr="00D22F3E">
        <w:rPr>
          <w:sz w:val="24"/>
          <w:szCs w:val="24"/>
        </w:rPr>
        <w:t xml:space="preserve">i tiks iegūti, aprēķināti un </w:t>
      </w:r>
      <w:r w:rsidR="00E210AD" w:rsidRPr="00D22F3E">
        <w:rPr>
          <w:sz w:val="24"/>
          <w:szCs w:val="24"/>
        </w:rPr>
        <w:t xml:space="preserve">būs </w:t>
      </w:r>
      <w:r w:rsidRPr="00D22F3E">
        <w:rPr>
          <w:sz w:val="24"/>
          <w:szCs w:val="24"/>
        </w:rPr>
        <w:t>publiski pieejami aptuveni ar viena gada nobīdi. Proti, dati par 2012.gadu ir pieejami, sākot ar 2014.gada februāri</w:t>
      </w:r>
      <w:r w:rsidR="00246956" w:rsidRPr="00D22F3E">
        <w:rPr>
          <w:sz w:val="24"/>
          <w:szCs w:val="24"/>
        </w:rPr>
        <w:t>. Tas nozīmē, ka dati par 2014.gadu būs pieejami 2016.gada janvārī vai februārī</w:t>
      </w:r>
      <w:r w:rsidRPr="00D22F3E">
        <w:rPr>
          <w:sz w:val="24"/>
          <w:szCs w:val="24"/>
        </w:rPr>
        <w:t xml:space="preserve">. </w:t>
      </w:r>
      <w:r w:rsidR="00E210AD" w:rsidRPr="00D22F3E">
        <w:rPr>
          <w:sz w:val="24"/>
          <w:szCs w:val="24"/>
        </w:rPr>
        <w:t>Taču, ņemot vērā esošās nabadzības riska sliekšņa pieauguma vai samazinājuma tendences</w:t>
      </w:r>
      <w:r w:rsidR="00F22BE6">
        <w:rPr>
          <w:sz w:val="24"/>
          <w:szCs w:val="24"/>
        </w:rPr>
        <w:t xml:space="preserve"> (skat. 11.tabulu)</w:t>
      </w:r>
      <w:r w:rsidR="00E210AD" w:rsidRPr="00D22F3E">
        <w:rPr>
          <w:sz w:val="24"/>
          <w:szCs w:val="24"/>
        </w:rPr>
        <w:t xml:space="preserve">, tas neradīs </w:t>
      </w:r>
      <w:r w:rsidR="00053B38">
        <w:rPr>
          <w:sz w:val="24"/>
          <w:szCs w:val="24"/>
        </w:rPr>
        <w:t xml:space="preserve">būtisku </w:t>
      </w:r>
      <w:r w:rsidR="00E210AD" w:rsidRPr="00D22F3E">
        <w:rPr>
          <w:sz w:val="24"/>
          <w:szCs w:val="24"/>
        </w:rPr>
        <w:t>ietekmi uz iedzīvotāju situāciju, plānojot pasākumus noteiktās rīcībpolitiku jomās</w:t>
      </w:r>
      <w:r w:rsidR="008A625D">
        <w:rPr>
          <w:sz w:val="24"/>
          <w:szCs w:val="24"/>
        </w:rPr>
        <w:t>.</w:t>
      </w:r>
    </w:p>
    <w:p w:rsidR="008A625D" w:rsidRDefault="008A625D" w:rsidP="00BD0F8B">
      <w:pPr>
        <w:pStyle w:val="CommentText"/>
        <w:ind w:firstLine="720"/>
        <w:jc w:val="right"/>
        <w:rPr>
          <w:sz w:val="24"/>
          <w:szCs w:val="24"/>
        </w:rPr>
      </w:pPr>
      <w:r>
        <w:rPr>
          <w:sz w:val="24"/>
          <w:szCs w:val="24"/>
        </w:rPr>
        <w:t>1</w:t>
      </w:r>
      <w:r w:rsidR="00BD0F8B">
        <w:rPr>
          <w:sz w:val="24"/>
          <w:szCs w:val="24"/>
        </w:rPr>
        <w:t>1</w:t>
      </w:r>
      <w:r>
        <w:rPr>
          <w:sz w:val="24"/>
          <w:szCs w:val="24"/>
        </w:rPr>
        <w:t>.tabula.</w:t>
      </w:r>
    </w:p>
    <w:tbl>
      <w:tblPr>
        <w:tblW w:w="0" w:type="auto"/>
        <w:jc w:val="center"/>
        <w:tblInd w:w="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5700"/>
      </w:tblGrid>
      <w:tr w:rsidR="008A625D" w:rsidTr="001244C4">
        <w:trPr>
          <w:jc w:val="center"/>
        </w:trPr>
        <w:tc>
          <w:tcPr>
            <w:tcW w:w="939" w:type="dxa"/>
            <w:shd w:val="clear" w:color="auto" w:fill="auto"/>
            <w:vAlign w:val="center"/>
          </w:tcPr>
          <w:p w:rsidR="008A625D" w:rsidRPr="001244C4" w:rsidRDefault="008A625D" w:rsidP="00D658F3">
            <w:pPr>
              <w:pStyle w:val="CommentText"/>
              <w:jc w:val="center"/>
              <w:rPr>
                <w:b/>
                <w:bCs/>
                <w:sz w:val="22"/>
                <w:szCs w:val="22"/>
              </w:rPr>
            </w:pPr>
            <w:r w:rsidRPr="001244C4">
              <w:rPr>
                <w:b/>
                <w:bCs/>
                <w:sz w:val="22"/>
                <w:szCs w:val="22"/>
              </w:rPr>
              <w:t>Gads</w:t>
            </w:r>
          </w:p>
        </w:tc>
        <w:tc>
          <w:tcPr>
            <w:tcW w:w="5700" w:type="dxa"/>
            <w:shd w:val="clear" w:color="auto" w:fill="auto"/>
            <w:vAlign w:val="center"/>
          </w:tcPr>
          <w:p w:rsidR="008A625D" w:rsidRPr="001244C4" w:rsidRDefault="00D658F3" w:rsidP="001244C4">
            <w:pPr>
              <w:pStyle w:val="CommentText"/>
              <w:jc w:val="center"/>
              <w:rPr>
                <w:b/>
                <w:bCs/>
                <w:sz w:val="22"/>
                <w:szCs w:val="22"/>
              </w:rPr>
            </w:pPr>
            <w:r w:rsidRPr="001244C4">
              <w:rPr>
                <w:b/>
                <w:bCs/>
                <w:sz w:val="22"/>
                <w:szCs w:val="22"/>
              </w:rPr>
              <w:t xml:space="preserve">40% no ekvivalentiem </w:t>
            </w:r>
            <w:r w:rsidR="001244C4" w:rsidRPr="001244C4">
              <w:rPr>
                <w:b/>
                <w:bCs/>
                <w:sz w:val="22"/>
                <w:szCs w:val="22"/>
              </w:rPr>
              <w:t>(1; 0.7; 0.5)</w:t>
            </w:r>
            <w:r w:rsidR="001244C4">
              <w:rPr>
                <w:b/>
                <w:bCs/>
                <w:sz w:val="22"/>
                <w:szCs w:val="22"/>
              </w:rPr>
              <w:t xml:space="preserve"> </w:t>
            </w:r>
            <w:r w:rsidRPr="001244C4">
              <w:rPr>
                <w:b/>
                <w:bCs/>
                <w:sz w:val="22"/>
                <w:szCs w:val="22"/>
              </w:rPr>
              <w:t xml:space="preserve">rīcībā esošiem ienākumiem vienas personas mājsaimniecībai, </w:t>
            </w:r>
            <w:proofErr w:type="spellStart"/>
            <w:r w:rsidRPr="001244C4">
              <w:rPr>
                <w:b/>
                <w:bCs/>
                <w:i/>
                <w:sz w:val="22"/>
                <w:szCs w:val="22"/>
              </w:rPr>
              <w:t>euro</w:t>
            </w:r>
            <w:proofErr w:type="spellEnd"/>
            <w:r w:rsidR="001244C4">
              <w:rPr>
                <w:b/>
                <w:bCs/>
                <w:i/>
                <w:sz w:val="22"/>
                <w:szCs w:val="22"/>
              </w:rPr>
              <w:t xml:space="preserve"> </w:t>
            </w:r>
          </w:p>
        </w:tc>
      </w:tr>
      <w:tr w:rsidR="0008767F" w:rsidTr="001244C4">
        <w:trPr>
          <w:jc w:val="center"/>
        </w:trPr>
        <w:tc>
          <w:tcPr>
            <w:tcW w:w="939" w:type="dxa"/>
            <w:shd w:val="clear" w:color="auto" w:fill="auto"/>
          </w:tcPr>
          <w:p w:rsidR="0008767F" w:rsidRPr="001244C4" w:rsidRDefault="0008767F" w:rsidP="004303BC">
            <w:pPr>
              <w:pStyle w:val="CommentText"/>
              <w:jc w:val="center"/>
              <w:rPr>
                <w:sz w:val="22"/>
                <w:szCs w:val="22"/>
              </w:rPr>
            </w:pPr>
            <w:r w:rsidRPr="001244C4">
              <w:rPr>
                <w:sz w:val="22"/>
                <w:szCs w:val="22"/>
              </w:rPr>
              <w:t>2009</w:t>
            </w:r>
          </w:p>
        </w:tc>
        <w:tc>
          <w:tcPr>
            <w:tcW w:w="5700" w:type="dxa"/>
            <w:shd w:val="clear" w:color="auto" w:fill="auto"/>
            <w:vAlign w:val="bottom"/>
          </w:tcPr>
          <w:p w:rsidR="0008767F" w:rsidRPr="001244C4" w:rsidRDefault="0008767F" w:rsidP="00A65A99">
            <w:pPr>
              <w:pStyle w:val="CommentText"/>
              <w:jc w:val="center"/>
              <w:rPr>
                <w:sz w:val="22"/>
                <w:szCs w:val="22"/>
              </w:rPr>
            </w:pPr>
            <w:r w:rsidRPr="001244C4">
              <w:rPr>
                <w:sz w:val="22"/>
                <w:szCs w:val="22"/>
              </w:rPr>
              <w:t>125</w:t>
            </w:r>
          </w:p>
        </w:tc>
      </w:tr>
      <w:tr w:rsidR="0008767F" w:rsidTr="001244C4">
        <w:trPr>
          <w:jc w:val="center"/>
        </w:trPr>
        <w:tc>
          <w:tcPr>
            <w:tcW w:w="939" w:type="dxa"/>
            <w:shd w:val="clear" w:color="auto" w:fill="auto"/>
          </w:tcPr>
          <w:p w:rsidR="0008767F" w:rsidRPr="001244C4" w:rsidRDefault="0008767F" w:rsidP="004303BC">
            <w:pPr>
              <w:pStyle w:val="CommentText"/>
              <w:jc w:val="center"/>
              <w:rPr>
                <w:sz w:val="22"/>
                <w:szCs w:val="22"/>
              </w:rPr>
            </w:pPr>
            <w:r w:rsidRPr="001244C4">
              <w:rPr>
                <w:sz w:val="22"/>
                <w:szCs w:val="22"/>
              </w:rPr>
              <w:t>2010</w:t>
            </w:r>
          </w:p>
        </w:tc>
        <w:tc>
          <w:tcPr>
            <w:tcW w:w="5700" w:type="dxa"/>
            <w:shd w:val="clear" w:color="auto" w:fill="auto"/>
            <w:vAlign w:val="bottom"/>
          </w:tcPr>
          <w:p w:rsidR="0008767F" w:rsidRPr="001244C4" w:rsidRDefault="0008767F" w:rsidP="00A65A99">
            <w:pPr>
              <w:pStyle w:val="CommentText"/>
              <w:jc w:val="center"/>
              <w:rPr>
                <w:sz w:val="22"/>
                <w:szCs w:val="22"/>
              </w:rPr>
            </w:pPr>
            <w:r w:rsidRPr="001244C4">
              <w:rPr>
                <w:sz w:val="22"/>
                <w:szCs w:val="22"/>
              </w:rPr>
              <w:t>119</w:t>
            </w:r>
          </w:p>
        </w:tc>
      </w:tr>
      <w:tr w:rsidR="0008767F" w:rsidTr="001244C4">
        <w:trPr>
          <w:jc w:val="center"/>
        </w:trPr>
        <w:tc>
          <w:tcPr>
            <w:tcW w:w="939" w:type="dxa"/>
            <w:shd w:val="clear" w:color="auto" w:fill="auto"/>
          </w:tcPr>
          <w:p w:rsidR="0008767F" w:rsidRPr="001244C4" w:rsidRDefault="0008767F" w:rsidP="004303BC">
            <w:pPr>
              <w:pStyle w:val="CommentText"/>
              <w:jc w:val="center"/>
              <w:rPr>
                <w:sz w:val="22"/>
                <w:szCs w:val="22"/>
              </w:rPr>
            </w:pPr>
            <w:r w:rsidRPr="001244C4">
              <w:rPr>
                <w:sz w:val="22"/>
                <w:szCs w:val="22"/>
              </w:rPr>
              <w:t>2011</w:t>
            </w:r>
          </w:p>
        </w:tc>
        <w:tc>
          <w:tcPr>
            <w:tcW w:w="5700" w:type="dxa"/>
            <w:shd w:val="clear" w:color="auto" w:fill="auto"/>
            <w:vAlign w:val="bottom"/>
          </w:tcPr>
          <w:p w:rsidR="0008767F" w:rsidRPr="001244C4" w:rsidRDefault="0008767F" w:rsidP="00A65A99">
            <w:pPr>
              <w:pStyle w:val="CommentText"/>
              <w:jc w:val="center"/>
              <w:rPr>
                <w:sz w:val="22"/>
                <w:szCs w:val="22"/>
              </w:rPr>
            </w:pPr>
            <w:r w:rsidRPr="001244C4">
              <w:rPr>
                <w:sz w:val="22"/>
                <w:szCs w:val="22"/>
              </w:rPr>
              <w:t>124</w:t>
            </w:r>
          </w:p>
        </w:tc>
      </w:tr>
      <w:tr w:rsidR="0008767F" w:rsidTr="001244C4">
        <w:trPr>
          <w:jc w:val="center"/>
        </w:trPr>
        <w:tc>
          <w:tcPr>
            <w:tcW w:w="939" w:type="dxa"/>
            <w:shd w:val="clear" w:color="auto" w:fill="auto"/>
          </w:tcPr>
          <w:p w:rsidR="0008767F" w:rsidRPr="001244C4" w:rsidRDefault="0008767F" w:rsidP="004303BC">
            <w:pPr>
              <w:pStyle w:val="CommentText"/>
              <w:jc w:val="center"/>
              <w:rPr>
                <w:sz w:val="22"/>
                <w:szCs w:val="22"/>
              </w:rPr>
            </w:pPr>
            <w:r w:rsidRPr="001244C4">
              <w:rPr>
                <w:sz w:val="22"/>
                <w:szCs w:val="22"/>
              </w:rPr>
              <w:lastRenderedPageBreak/>
              <w:t>2012</w:t>
            </w:r>
          </w:p>
        </w:tc>
        <w:tc>
          <w:tcPr>
            <w:tcW w:w="5700" w:type="dxa"/>
            <w:shd w:val="clear" w:color="auto" w:fill="auto"/>
          </w:tcPr>
          <w:p w:rsidR="0008767F" w:rsidRPr="001244C4" w:rsidRDefault="0008767F" w:rsidP="00A65A99">
            <w:pPr>
              <w:pStyle w:val="CommentText"/>
              <w:jc w:val="center"/>
              <w:rPr>
                <w:sz w:val="22"/>
                <w:szCs w:val="22"/>
              </w:rPr>
            </w:pPr>
            <w:r w:rsidRPr="001244C4">
              <w:rPr>
                <w:sz w:val="22"/>
                <w:szCs w:val="22"/>
              </w:rPr>
              <w:t>129</w:t>
            </w:r>
          </w:p>
        </w:tc>
      </w:tr>
    </w:tbl>
    <w:p w:rsidR="006305DF" w:rsidRPr="006305DF" w:rsidRDefault="006305DF" w:rsidP="006305DF">
      <w:pPr>
        <w:pStyle w:val="CommentText"/>
        <w:ind w:left="1440" w:firstLine="720"/>
        <w:jc w:val="both"/>
      </w:pPr>
      <w:r w:rsidRPr="006305DF">
        <w:t>Avots: CSP</w:t>
      </w:r>
    </w:p>
    <w:p w:rsidR="00DC407D" w:rsidRDefault="00F22BE6" w:rsidP="001244C4">
      <w:pPr>
        <w:pStyle w:val="CommentText"/>
        <w:ind w:firstLine="720"/>
        <w:jc w:val="both"/>
        <w:rPr>
          <w:sz w:val="24"/>
          <w:szCs w:val="24"/>
        </w:rPr>
      </w:pPr>
      <w:r>
        <w:rPr>
          <w:sz w:val="24"/>
          <w:szCs w:val="24"/>
        </w:rPr>
        <w:t>Vienlaicīgi ir jāņem vērā, ka šobrīd</w:t>
      </w:r>
      <w:r w:rsidR="00246956" w:rsidRPr="00D22F3E">
        <w:rPr>
          <w:sz w:val="24"/>
          <w:szCs w:val="24"/>
        </w:rPr>
        <w:t xml:space="preserve"> Centrālā statistikas </w:t>
      </w:r>
      <w:r w:rsidR="001244C4">
        <w:rPr>
          <w:sz w:val="24"/>
          <w:szCs w:val="24"/>
        </w:rPr>
        <w:t>pārvalde šos rādītājus aprēķina un publicē, piemērojot OECD modificēto ekvivalences skalu un citu procentuālo apmēru (60%)</w:t>
      </w:r>
      <w:r w:rsidR="00246956" w:rsidRPr="00D22F3E">
        <w:rPr>
          <w:sz w:val="24"/>
          <w:szCs w:val="24"/>
        </w:rPr>
        <w:t>. Tas nozīmē, ka, pirmkārt, būs nepieciešama vienošanās ar Centrālo statistikas pārvaldi par šo datu aprēķināšanu un public</w:t>
      </w:r>
      <w:r w:rsidR="00CD36DD">
        <w:rPr>
          <w:sz w:val="24"/>
          <w:szCs w:val="24"/>
        </w:rPr>
        <w:t>ēšanu. Otrkārt, būs nepieciešam</w:t>
      </w:r>
      <w:r w:rsidR="00246956" w:rsidRPr="00D22F3E">
        <w:rPr>
          <w:sz w:val="24"/>
          <w:szCs w:val="24"/>
        </w:rPr>
        <w:t xml:space="preserve">s plānot un īstenot </w:t>
      </w:r>
      <w:r w:rsidR="006305DF">
        <w:rPr>
          <w:sz w:val="24"/>
          <w:szCs w:val="24"/>
        </w:rPr>
        <w:t xml:space="preserve">visaptverošus </w:t>
      </w:r>
      <w:r w:rsidR="00246956" w:rsidRPr="00D22F3E">
        <w:rPr>
          <w:sz w:val="24"/>
          <w:szCs w:val="24"/>
        </w:rPr>
        <w:t>komunikācijas pasākumus, lai skaidrotu sadarbības partneriem un ieinteresētajām pusēm ne tikai minimālā ienākuma līmeņa noteikšanas kārtību, bet arī atšķirības starp ES piemēroto nabadzības riska slie</w:t>
      </w:r>
      <w:r w:rsidR="00E53B1B">
        <w:rPr>
          <w:sz w:val="24"/>
          <w:szCs w:val="24"/>
        </w:rPr>
        <w:t>ksni un Latvijas izvēlēto metodoloģiju</w:t>
      </w:r>
      <w:r w:rsidR="00CD36DD">
        <w:rPr>
          <w:sz w:val="24"/>
          <w:szCs w:val="24"/>
        </w:rPr>
        <w:t xml:space="preserve"> (skat. </w:t>
      </w:r>
      <w:r w:rsidR="00232E32">
        <w:rPr>
          <w:sz w:val="24"/>
          <w:szCs w:val="24"/>
        </w:rPr>
        <w:t>10</w:t>
      </w:r>
      <w:r w:rsidR="00CD36DD">
        <w:rPr>
          <w:sz w:val="24"/>
          <w:szCs w:val="24"/>
        </w:rPr>
        <w:t xml:space="preserve">.tabulā 40% OECD </w:t>
      </w:r>
      <w:r w:rsidR="00481C9E">
        <w:rPr>
          <w:sz w:val="24"/>
          <w:szCs w:val="24"/>
        </w:rPr>
        <w:t xml:space="preserve">ekvivalences skala </w:t>
      </w:r>
      <w:r w:rsidR="00CD36DD">
        <w:rPr>
          <w:sz w:val="24"/>
          <w:szCs w:val="24"/>
        </w:rPr>
        <w:t xml:space="preserve">un </w:t>
      </w:r>
      <w:r w:rsidR="006305DF">
        <w:rPr>
          <w:sz w:val="24"/>
          <w:szCs w:val="24"/>
        </w:rPr>
        <w:t xml:space="preserve">60% </w:t>
      </w:r>
      <w:r w:rsidR="00481C9E">
        <w:rPr>
          <w:sz w:val="24"/>
          <w:szCs w:val="24"/>
        </w:rPr>
        <w:t>OECD modificētā ekvivalences skala</w:t>
      </w:r>
      <w:r w:rsidR="00CD36DD">
        <w:rPr>
          <w:sz w:val="24"/>
          <w:szCs w:val="24"/>
        </w:rPr>
        <w:t>)</w:t>
      </w:r>
      <w:r w:rsidR="00E53B1B">
        <w:rPr>
          <w:sz w:val="24"/>
          <w:szCs w:val="24"/>
        </w:rPr>
        <w:t xml:space="preserve">, jo tā rezultātā ne tikai minimālā ienākuma līmenis jeb nabadzības riska slieksnis būs </w:t>
      </w:r>
      <w:r w:rsidR="000E396F">
        <w:rPr>
          <w:sz w:val="24"/>
          <w:szCs w:val="24"/>
        </w:rPr>
        <w:t>diferencēts</w:t>
      </w:r>
      <w:r w:rsidR="00E53B1B">
        <w:rPr>
          <w:sz w:val="24"/>
          <w:szCs w:val="24"/>
        </w:rPr>
        <w:t xml:space="preserve">, bet </w:t>
      </w:r>
      <w:r w:rsidR="000E396F">
        <w:rPr>
          <w:sz w:val="24"/>
          <w:szCs w:val="24"/>
        </w:rPr>
        <w:t xml:space="preserve">atšķirsies </w:t>
      </w:r>
      <w:r w:rsidR="00E53B1B">
        <w:rPr>
          <w:sz w:val="24"/>
          <w:szCs w:val="24"/>
        </w:rPr>
        <w:t xml:space="preserve">arī iedzīvotāju procentuālais īpatsvars, kuru ienākumi ir zemāki par </w:t>
      </w:r>
      <w:r w:rsidR="000E396F">
        <w:rPr>
          <w:sz w:val="24"/>
          <w:szCs w:val="24"/>
        </w:rPr>
        <w:t>attiecīgo</w:t>
      </w:r>
      <w:r w:rsidR="00E53B1B">
        <w:rPr>
          <w:sz w:val="24"/>
          <w:szCs w:val="24"/>
        </w:rPr>
        <w:t xml:space="preserve"> līmeni</w:t>
      </w:r>
      <w:r w:rsidR="000E396F">
        <w:rPr>
          <w:sz w:val="24"/>
          <w:szCs w:val="24"/>
        </w:rPr>
        <w:t xml:space="preserve"> jeb slieksni</w:t>
      </w:r>
      <w:r w:rsidR="00CD36DD">
        <w:rPr>
          <w:sz w:val="24"/>
          <w:szCs w:val="24"/>
        </w:rPr>
        <w:t xml:space="preserve">. </w:t>
      </w:r>
    </w:p>
    <w:p w:rsidR="006305DF" w:rsidRPr="006F68B0" w:rsidRDefault="006305DF" w:rsidP="006F68B0">
      <w:pPr>
        <w:pStyle w:val="CommentText"/>
        <w:ind w:firstLine="720"/>
        <w:jc w:val="both"/>
        <w:rPr>
          <w:sz w:val="24"/>
          <w:szCs w:val="24"/>
          <w:u w:val="single"/>
        </w:rPr>
      </w:pPr>
      <w:r w:rsidRPr="006F68B0">
        <w:rPr>
          <w:sz w:val="24"/>
          <w:szCs w:val="24"/>
          <w:u w:val="single"/>
        </w:rPr>
        <w:t xml:space="preserve">Atbalstot </w:t>
      </w:r>
      <w:r w:rsidR="006F68B0" w:rsidRPr="006F68B0">
        <w:rPr>
          <w:sz w:val="24"/>
          <w:szCs w:val="24"/>
          <w:u w:val="single"/>
        </w:rPr>
        <w:t xml:space="preserve">minēto minimālā ienākuma līmeņa noteikšanas metodoloģiju, LM piedāvā to </w:t>
      </w:r>
      <w:r w:rsidR="006F68B0" w:rsidRPr="00596ACB">
        <w:rPr>
          <w:b/>
          <w:bCs/>
          <w:sz w:val="24"/>
          <w:szCs w:val="24"/>
          <w:u w:val="single"/>
        </w:rPr>
        <w:t>sasaistīt ar</w:t>
      </w:r>
      <w:r w:rsidR="006F68B0" w:rsidRPr="006F68B0">
        <w:rPr>
          <w:sz w:val="24"/>
          <w:szCs w:val="24"/>
          <w:u w:val="single"/>
        </w:rPr>
        <w:t>:</w:t>
      </w:r>
    </w:p>
    <w:p w:rsidR="006F68B0" w:rsidRDefault="006F68B0" w:rsidP="009E6338">
      <w:pPr>
        <w:pStyle w:val="CommentText"/>
        <w:numPr>
          <w:ilvl w:val="1"/>
          <w:numId w:val="31"/>
        </w:numPr>
        <w:jc w:val="both"/>
        <w:rPr>
          <w:sz w:val="24"/>
          <w:szCs w:val="24"/>
        </w:rPr>
      </w:pPr>
      <w:r w:rsidRPr="009E6338">
        <w:rPr>
          <w:b/>
          <w:bCs/>
          <w:sz w:val="24"/>
          <w:szCs w:val="24"/>
        </w:rPr>
        <w:t>darbaspēka nodok</w:t>
      </w:r>
      <w:r w:rsidR="004464B9" w:rsidRPr="009E6338">
        <w:rPr>
          <w:b/>
          <w:bCs/>
          <w:sz w:val="24"/>
          <w:szCs w:val="24"/>
        </w:rPr>
        <w:t>ļiem</w:t>
      </w:r>
      <w:r>
        <w:rPr>
          <w:sz w:val="24"/>
          <w:szCs w:val="24"/>
        </w:rPr>
        <w:t xml:space="preserve">, </w:t>
      </w:r>
      <w:r w:rsidR="009E6338">
        <w:rPr>
          <w:sz w:val="24"/>
          <w:szCs w:val="24"/>
        </w:rPr>
        <w:t>lai palielinātu ienākumus strādājo</w:t>
      </w:r>
      <w:r w:rsidR="001E69CF">
        <w:rPr>
          <w:sz w:val="24"/>
          <w:szCs w:val="24"/>
        </w:rPr>
        <w:t>šajiem ar zemu</w:t>
      </w:r>
      <w:r w:rsidR="009E6338">
        <w:rPr>
          <w:sz w:val="24"/>
          <w:szCs w:val="24"/>
        </w:rPr>
        <w:t xml:space="preserve"> darba atalgojumu; </w:t>
      </w:r>
    </w:p>
    <w:p w:rsidR="006F68B0" w:rsidRDefault="004464B9" w:rsidP="004464B9">
      <w:pPr>
        <w:pStyle w:val="CommentText"/>
        <w:numPr>
          <w:ilvl w:val="1"/>
          <w:numId w:val="31"/>
        </w:numPr>
        <w:jc w:val="both"/>
        <w:rPr>
          <w:sz w:val="24"/>
          <w:szCs w:val="24"/>
        </w:rPr>
      </w:pPr>
      <w:r w:rsidRPr="009E6338">
        <w:rPr>
          <w:b/>
          <w:bCs/>
          <w:sz w:val="24"/>
          <w:szCs w:val="24"/>
        </w:rPr>
        <w:t>sociālo</w:t>
      </w:r>
      <w:r w:rsidR="006F68B0" w:rsidRPr="009E6338">
        <w:rPr>
          <w:b/>
          <w:bCs/>
          <w:sz w:val="24"/>
          <w:szCs w:val="24"/>
        </w:rPr>
        <w:t xml:space="preserve"> palīdz</w:t>
      </w:r>
      <w:r w:rsidRPr="009E6338">
        <w:rPr>
          <w:b/>
          <w:bCs/>
          <w:sz w:val="24"/>
          <w:szCs w:val="24"/>
        </w:rPr>
        <w:t>ību</w:t>
      </w:r>
      <w:r w:rsidR="006F68B0">
        <w:rPr>
          <w:sz w:val="24"/>
          <w:szCs w:val="24"/>
        </w:rPr>
        <w:t>,</w:t>
      </w:r>
      <w:r w:rsidR="009E6338">
        <w:rPr>
          <w:sz w:val="24"/>
          <w:szCs w:val="24"/>
        </w:rPr>
        <w:t xml:space="preserve"> </w:t>
      </w:r>
      <w:r w:rsidR="00FB0855">
        <w:rPr>
          <w:sz w:val="24"/>
          <w:szCs w:val="24"/>
        </w:rPr>
        <w:t xml:space="preserve">lai </w:t>
      </w:r>
      <w:r w:rsidR="009E6338">
        <w:rPr>
          <w:sz w:val="24"/>
          <w:szCs w:val="24"/>
        </w:rPr>
        <w:t>palielinātu atbalstu nabadzīgākajiem iedzīvotājiem;</w:t>
      </w:r>
    </w:p>
    <w:p w:rsidR="006F68B0" w:rsidRDefault="006F68B0" w:rsidP="006F68B0">
      <w:pPr>
        <w:pStyle w:val="CommentText"/>
        <w:numPr>
          <w:ilvl w:val="1"/>
          <w:numId w:val="31"/>
        </w:numPr>
        <w:jc w:val="both"/>
        <w:rPr>
          <w:sz w:val="24"/>
          <w:szCs w:val="24"/>
        </w:rPr>
      </w:pPr>
      <w:r w:rsidRPr="009E6338">
        <w:rPr>
          <w:b/>
          <w:bCs/>
          <w:sz w:val="24"/>
          <w:szCs w:val="24"/>
        </w:rPr>
        <w:t>valsts sociālajiem pabalstiem</w:t>
      </w:r>
      <w:r>
        <w:rPr>
          <w:sz w:val="24"/>
          <w:szCs w:val="24"/>
        </w:rPr>
        <w:t>,</w:t>
      </w:r>
      <w:r w:rsidR="009E6338">
        <w:rPr>
          <w:sz w:val="24"/>
          <w:szCs w:val="24"/>
        </w:rPr>
        <w:t xml:space="preserve"> lai sniegtu atbalstu lielākiem sociālajiem riskiem pakļautajām iedzīvotāju grupām;</w:t>
      </w:r>
    </w:p>
    <w:p w:rsidR="006F68B0" w:rsidRDefault="006F68B0" w:rsidP="00405007">
      <w:pPr>
        <w:pStyle w:val="CommentText"/>
        <w:numPr>
          <w:ilvl w:val="1"/>
          <w:numId w:val="31"/>
        </w:numPr>
        <w:jc w:val="both"/>
        <w:rPr>
          <w:sz w:val="24"/>
          <w:szCs w:val="24"/>
        </w:rPr>
      </w:pPr>
      <w:r w:rsidRPr="009E6338">
        <w:rPr>
          <w:b/>
          <w:bCs/>
          <w:sz w:val="24"/>
          <w:szCs w:val="24"/>
        </w:rPr>
        <w:t xml:space="preserve">minimālo </w:t>
      </w:r>
      <w:r w:rsidR="00405007">
        <w:rPr>
          <w:b/>
          <w:bCs/>
          <w:sz w:val="24"/>
          <w:szCs w:val="24"/>
        </w:rPr>
        <w:t>valsts</w:t>
      </w:r>
      <w:r w:rsidRPr="009E6338">
        <w:rPr>
          <w:b/>
          <w:bCs/>
          <w:sz w:val="24"/>
          <w:szCs w:val="24"/>
        </w:rPr>
        <w:t xml:space="preserve"> pensiju</w:t>
      </w:r>
      <w:r>
        <w:rPr>
          <w:sz w:val="24"/>
          <w:szCs w:val="24"/>
        </w:rPr>
        <w:t>,</w:t>
      </w:r>
      <w:r w:rsidR="009E6338">
        <w:rPr>
          <w:sz w:val="24"/>
          <w:szCs w:val="24"/>
        </w:rPr>
        <w:t xml:space="preserve"> lai uzlabotu pensionāru ar </w:t>
      </w:r>
      <w:r w:rsidR="001C73AF">
        <w:rPr>
          <w:sz w:val="24"/>
          <w:szCs w:val="24"/>
        </w:rPr>
        <w:t>minimālajiem</w:t>
      </w:r>
      <w:r w:rsidR="009E6338">
        <w:rPr>
          <w:sz w:val="24"/>
          <w:szCs w:val="24"/>
        </w:rPr>
        <w:t xml:space="preserve"> ienākumiem situāciju;</w:t>
      </w:r>
    </w:p>
    <w:p w:rsidR="006F68B0" w:rsidRDefault="004464B9" w:rsidP="006F68B0">
      <w:pPr>
        <w:pStyle w:val="CommentText"/>
        <w:numPr>
          <w:ilvl w:val="1"/>
          <w:numId w:val="31"/>
        </w:numPr>
        <w:jc w:val="both"/>
        <w:rPr>
          <w:sz w:val="24"/>
          <w:szCs w:val="24"/>
        </w:rPr>
      </w:pPr>
      <w:r w:rsidRPr="009E6338">
        <w:rPr>
          <w:b/>
          <w:bCs/>
          <w:sz w:val="24"/>
          <w:szCs w:val="24"/>
        </w:rPr>
        <w:t>bezdarbnieka pabalstu</w:t>
      </w:r>
      <w:r w:rsidR="009E6338">
        <w:rPr>
          <w:sz w:val="24"/>
          <w:szCs w:val="24"/>
        </w:rPr>
        <w:t>, lai sniegtu adekvātu atbalstu iedzīvotājiem, kur palikuši bez darba</w:t>
      </w:r>
      <w:r w:rsidR="006F68B0">
        <w:rPr>
          <w:sz w:val="24"/>
          <w:szCs w:val="24"/>
        </w:rPr>
        <w:t>.</w:t>
      </w:r>
    </w:p>
    <w:p w:rsidR="004A1163" w:rsidRDefault="006F68B0" w:rsidP="00FB0855">
      <w:pPr>
        <w:pStyle w:val="CommentText"/>
        <w:ind w:left="1260"/>
        <w:jc w:val="both"/>
      </w:pPr>
      <w:r>
        <w:t xml:space="preserve"> </w:t>
      </w:r>
    </w:p>
    <w:p w:rsidR="009746C6" w:rsidRDefault="00BD0F8B" w:rsidP="00BD0F8B">
      <w:pPr>
        <w:jc w:val="right"/>
      </w:pPr>
      <w:r>
        <w:t xml:space="preserve"> 12.tabula. </w:t>
      </w:r>
    </w:p>
    <w:p w:rsidR="0005334A" w:rsidRDefault="00F20DF1" w:rsidP="0005334A">
      <w:pPr>
        <w:jc w:val="center"/>
        <w:rPr>
          <w:b/>
        </w:rPr>
      </w:pPr>
      <w:r w:rsidRPr="000018DD">
        <w:rPr>
          <w:b/>
        </w:rPr>
        <w:t>Risinājumi noteiktām mērķa grupām ienākumu palielināšanai</w:t>
      </w:r>
      <w:r w:rsidR="0005334A">
        <w:rPr>
          <w:b/>
        </w:rPr>
        <w:t xml:space="preserve"> </w:t>
      </w:r>
    </w:p>
    <w:p w:rsidR="00F20DF1" w:rsidRDefault="0005334A" w:rsidP="0005334A">
      <w:pPr>
        <w:jc w:val="center"/>
        <w:rPr>
          <w:b/>
        </w:rPr>
      </w:pPr>
      <w:r>
        <w:rPr>
          <w:b/>
        </w:rPr>
        <w:t>sasaistē ar minimālā ienākuma līmeni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7639"/>
      </w:tblGrid>
      <w:tr w:rsidR="00FB0855" w:rsidRPr="00FB0855" w:rsidTr="004303BC">
        <w:tc>
          <w:tcPr>
            <w:tcW w:w="1648" w:type="dxa"/>
            <w:shd w:val="clear" w:color="auto" w:fill="C0C0C0"/>
          </w:tcPr>
          <w:p w:rsidR="00FB0855" w:rsidRPr="004303BC" w:rsidRDefault="00FB0855" w:rsidP="004303BC">
            <w:pPr>
              <w:jc w:val="both"/>
              <w:rPr>
                <w:b/>
                <w:bCs/>
              </w:rPr>
            </w:pPr>
            <w:r w:rsidRPr="004303BC">
              <w:rPr>
                <w:b/>
                <w:bCs/>
              </w:rPr>
              <w:t>Mērķa grupa</w:t>
            </w:r>
          </w:p>
        </w:tc>
        <w:tc>
          <w:tcPr>
            <w:tcW w:w="7639" w:type="dxa"/>
            <w:shd w:val="clear" w:color="auto" w:fill="C0C0C0"/>
          </w:tcPr>
          <w:p w:rsidR="00FB0855" w:rsidRPr="002007EA" w:rsidRDefault="002007EA" w:rsidP="004303BC">
            <w:pPr>
              <w:jc w:val="both"/>
            </w:pPr>
            <w:r w:rsidRPr="006D2C6C">
              <w:rPr>
                <w:b/>
                <w:sz w:val="20"/>
                <w:szCs w:val="22"/>
              </w:rPr>
              <w:t>STRĀDĀJOŠIE AR ZEMU ATALGOJUMU</w:t>
            </w:r>
          </w:p>
        </w:tc>
      </w:tr>
      <w:tr w:rsidR="00FB0855" w:rsidRPr="00FB0855" w:rsidTr="004303BC">
        <w:tc>
          <w:tcPr>
            <w:tcW w:w="1648" w:type="dxa"/>
            <w:shd w:val="clear" w:color="auto" w:fill="auto"/>
          </w:tcPr>
          <w:p w:rsidR="00FB0855" w:rsidRPr="00FB0855" w:rsidRDefault="00FB0855" w:rsidP="004303BC">
            <w:pPr>
              <w:jc w:val="both"/>
            </w:pPr>
            <w:r w:rsidRPr="00FB0855">
              <w:t xml:space="preserve">Esošā situācija </w:t>
            </w:r>
          </w:p>
        </w:tc>
        <w:tc>
          <w:tcPr>
            <w:tcW w:w="7639" w:type="dxa"/>
            <w:shd w:val="clear" w:color="auto" w:fill="auto"/>
          </w:tcPr>
          <w:p w:rsidR="00FB0855" w:rsidRPr="00FB0855" w:rsidRDefault="00404C13" w:rsidP="004303BC">
            <w:pPr>
              <w:jc w:val="both"/>
            </w:pPr>
            <w:r>
              <w:t>Zem</w:t>
            </w:r>
            <w:r w:rsidR="002007EA">
              <w:t>ai</w:t>
            </w:r>
            <w:r>
              <w:t xml:space="preserve">s IIN neapliekamais minimums (75 </w:t>
            </w:r>
            <w:proofErr w:type="spellStart"/>
            <w:r w:rsidRPr="004303BC">
              <w:rPr>
                <w:i/>
                <w:iCs/>
              </w:rPr>
              <w:t>euro</w:t>
            </w:r>
            <w:proofErr w:type="spellEnd"/>
            <w:r>
              <w:t xml:space="preserve"> mēnesī)</w:t>
            </w:r>
            <w:r w:rsidR="002007EA">
              <w:t xml:space="preserve"> </w:t>
            </w:r>
            <w:r>
              <w:t>rada nabadzības slazdu</w:t>
            </w:r>
            <w:r w:rsidR="002007EA">
              <w:t>, mazinot motivāciju strādāt par zemu atalgojumu.</w:t>
            </w:r>
            <w:r>
              <w:t xml:space="preserve"> </w:t>
            </w:r>
          </w:p>
        </w:tc>
      </w:tr>
      <w:tr w:rsidR="00FB0855" w:rsidRPr="00FB0855" w:rsidTr="004303BC">
        <w:tc>
          <w:tcPr>
            <w:tcW w:w="1648" w:type="dxa"/>
            <w:tcBorders>
              <w:bottom w:val="single" w:sz="4" w:space="0" w:color="auto"/>
            </w:tcBorders>
            <w:shd w:val="clear" w:color="auto" w:fill="auto"/>
          </w:tcPr>
          <w:p w:rsidR="00FB0855" w:rsidRPr="00FB0855" w:rsidRDefault="00DA0615" w:rsidP="004303BC">
            <w:pPr>
              <w:jc w:val="both"/>
            </w:pPr>
            <w:r>
              <w:t xml:space="preserve">Risinājums </w:t>
            </w:r>
          </w:p>
        </w:tc>
        <w:tc>
          <w:tcPr>
            <w:tcW w:w="7639" w:type="dxa"/>
            <w:tcBorders>
              <w:bottom w:val="single" w:sz="4" w:space="0" w:color="auto"/>
            </w:tcBorders>
            <w:shd w:val="clear" w:color="auto" w:fill="auto"/>
          </w:tcPr>
          <w:p w:rsidR="00FB0855" w:rsidRPr="004303BC" w:rsidRDefault="002007EA" w:rsidP="00D95828">
            <w:pPr>
              <w:jc w:val="both"/>
              <w:rPr>
                <w:highlight w:val="yellow"/>
              </w:rPr>
            </w:pPr>
            <w:r>
              <w:t>S</w:t>
            </w:r>
            <w:r w:rsidR="00404C13" w:rsidRPr="000D651E">
              <w:t xml:space="preserve">amazināt </w:t>
            </w:r>
            <w:r w:rsidR="00D90F4E">
              <w:t xml:space="preserve">darbaspēka </w:t>
            </w:r>
            <w:r w:rsidR="00404C13" w:rsidRPr="000D651E">
              <w:t>nodokļu slogu darba ņēmējiem ar zemu atalgojumu (ar algu zem vidējās)</w:t>
            </w:r>
            <w:r>
              <w:t>, palielinot IIN</w:t>
            </w:r>
            <w:r w:rsidR="00404C13" w:rsidRPr="000D651E">
              <w:t xml:space="preserve"> neaplie</w:t>
            </w:r>
            <w:r w:rsidR="00D95828">
              <w:t>kamo minimumu</w:t>
            </w:r>
            <w:r w:rsidR="00404C13" w:rsidRPr="000D651E">
              <w:t>.</w:t>
            </w:r>
          </w:p>
        </w:tc>
      </w:tr>
      <w:tr w:rsidR="00FB0855" w:rsidRPr="00FB0855" w:rsidTr="004303BC">
        <w:tc>
          <w:tcPr>
            <w:tcW w:w="1648" w:type="dxa"/>
            <w:shd w:val="clear" w:color="auto" w:fill="C0C0C0"/>
          </w:tcPr>
          <w:p w:rsidR="00FB0855" w:rsidRPr="004303BC" w:rsidRDefault="00FB0855" w:rsidP="004303BC">
            <w:pPr>
              <w:jc w:val="both"/>
              <w:rPr>
                <w:b/>
                <w:bCs/>
              </w:rPr>
            </w:pPr>
            <w:r w:rsidRPr="004303BC">
              <w:rPr>
                <w:b/>
                <w:bCs/>
              </w:rPr>
              <w:t>Mērķa grupa</w:t>
            </w:r>
          </w:p>
        </w:tc>
        <w:tc>
          <w:tcPr>
            <w:tcW w:w="7639" w:type="dxa"/>
            <w:shd w:val="clear" w:color="auto" w:fill="C0C0C0"/>
          </w:tcPr>
          <w:p w:rsidR="00FB0855" w:rsidRPr="007E6292" w:rsidRDefault="00D90F4E" w:rsidP="004303BC">
            <w:pPr>
              <w:jc w:val="both"/>
              <w:rPr>
                <w:sz w:val="20"/>
                <w:szCs w:val="20"/>
              </w:rPr>
            </w:pPr>
            <w:r w:rsidRPr="007E6292">
              <w:rPr>
                <w:b/>
                <w:sz w:val="20"/>
                <w:szCs w:val="20"/>
              </w:rPr>
              <w:t xml:space="preserve">IEDZĪVOTĀJI </w:t>
            </w:r>
            <w:r w:rsidR="00CE4653" w:rsidRPr="007E6292">
              <w:rPr>
                <w:b/>
                <w:sz w:val="20"/>
                <w:szCs w:val="20"/>
              </w:rPr>
              <w:t xml:space="preserve">AR VISZEMĀKAJIEM IENĀKUMIEM </w:t>
            </w:r>
          </w:p>
        </w:tc>
      </w:tr>
      <w:tr w:rsidR="00952081" w:rsidRPr="00FB0855" w:rsidTr="004303BC">
        <w:tc>
          <w:tcPr>
            <w:tcW w:w="1648" w:type="dxa"/>
            <w:vMerge w:val="restart"/>
            <w:shd w:val="clear" w:color="auto" w:fill="auto"/>
          </w:tcPr>
          <w:p w:rsidR="00952081" w:rsidRPr="00FB0855" w:rsidRDefault="00952081" w:rsidP="004303BC">
            <w:pPr>
              <w:jc w:val="both"/>
            </w:pPr>
            <w:r w:rsidRPr="00FB0855">
              <w:t xml:space="preserve">Esošā situācija </w:t>
            </w:r>
          </w:p>
        </w:tc>
        <w:tc>
          <w:tcPr>
            <w:tcW w:w="7639" w:type="dxa"/>
            <w:shd w:val="clear" w:color="auto" w:fill="auto"/>
          </w:tcPr>
          <w:p w:rsidR="00952081" w:rsidRPr="001162E4" w:rsidRDefault="00952081" w:rsidP="001162E4">
            <w:pPr>
              <w:jc w:val="both"/>
              <w:rPr>
                <w:rFonts w:eastAsia="Calibri"/>
                <w:color w:val="000000"/>
                <w:lang w:eastAsia="lv-LV"/>
              </w:rPr>
            </w:pPr>
            <w:r w:rsidRPr="008423CE">
              <w:rPr>
                <w:bCs/>
              </w:rPr>
              <w:t xml:space="preserve">GMI līmenis (50 </w:t>
            </w:r>
            <w:proofErr w:type="spellStart"/>
            <w:r w:rsidRPr="008423CE">
              <w:rPr>
                <w:bCs/>
                <w:i/>
                <w:iCs/>
              </w:rPr>
              <w:t>euro</w:t>
            </w:r>
            <w:proofErr w:type="spellEnd"/>
            <w:r w:rsidRPr="008423CE">
              <w:rPr>
                <w:b/>
              </w:rPr>
              <w:t xml:space="preserve"> </w:t>
            </w:r>
            <w:r w:rsidRPr="008423CE">
              <w:t xml:space="preserve">apmērā) un pabalsts tā nodrošināšanai </w:t>
            </w:r>
            <w:r w:rsidR="008423CE" w:rsidRPr="008423CE">
              <w:rPr>
                <w:rFonts w:eastAsia="Calibri"/>
                <w:color w:val="000000"/>
                <w:lang w:eastAsia="lv-LV"/>
              </w:rPr>
              <w:t>mini</w:t>
            </w:r>
            <w:r w:rsidR="001162E4">
              <w:rPr>
                <w:rFonts w:eastAsia="Calibri"/>
                <w:color w:val="000000"/>
                <w:lang w:eastAsia="lv-LV"/>
              </w:rPr>
              <w:t xml:space="preserve">māli uzlabo personas situāciju, bet </w:t>
            </w:r>
            <w:r w:rsidR="008423CE" w:rsidRPr="008423CE">
              <w:rPr>
                <w:rFonts w:eastAsia="Calibri"/>
                <w:color w:val="000000"/>
                <w:lang w:eastAsia="lv-LV"/>
              </w:rPr>
              <w:t xml:space="preserve">nemazina nabadzības </w:t>
            </w:r>
            <w:r w:rsidR="001162E4">
              <w:rPr>
                <w:rFonts w:eastAsia="Calibri"/>
                <w:color w:val="000000"/>
                <w:lang w:eastAsia="lv-LV"/>
              </w:rPr>
              <w:t>dziļumu</w:t>
            </w:r>
            <w:r w:rsidR="008423CE" w:rsidRPr="008423CE">
              <w:rPr>
                <w:rFonts w:eastAsia="Calibri"/>
                <w:color w:val="000000"/>
                <w:lang w:eastAsia="lv-LV"/>
              </w:rPr>
              <w:t xml:space="preserve"> trūcīgajiem iedzīvotājiem.</w:t>
            </w:r>
          </w:p>
        </w:tc>
      </w:tr>
      <w:tr w:rsidR="00952081" w:rsidRPr="00FB0855" w:rsidTr="004303BC">
        <w:tc>
          <w:tcPr>
            <w:tcW w:w="1648" w:type="dxa"/>
            <w:vMerge/>
            <w:shd w:val="clear" w:color="auto" w:fill="auto"/>
          </w:tcPr>
          <w:p w:rsidR="00952081" w:rsidRPr="00FB0855" w:rsidRDefault="00952081" w:rsidP="004303BC">
            <w:pPr>
              <w:jc w:val="both"/>
            </w:pPr>
          </w:p>
        </w:tc>
        <w:tc>
          <w:tcPr>
            <w:tcW w:w="7639" w:type="dxa"/>
            <w:shd w:val="clear" w:color="auto" w:fill="auto"/>
          </w:tcPr>
          <w:p w:rsidR="00952081" w:rsidRPr="004303BC" w:rsidRDefault="00952081" w:rsidP="004303BC">
            <w:pPr>
              <w:jc w:val="both"/>
              <w:rPr>
                <w:bCs/>
              </w:rPr>
            </w:pPr>
            <w:r w:rsidRPr="00952081">
              <w:t>Dzīvokļa pabalsta apmēri un to piešķiršanas kritēriji katrā pašvaldībā ir atšķirīgi, nostādot iedzīvotājus nevienlīdzīgā situācijā, risinot ar mājokļa izdevumiem saistītos jautājumus</w:t>
            </w:r>
            <w:r w:rsidR="008423CE">
              <w:rPr>
                <w:rStyle w:val="FootnoteReference"/>
              </w:rPr>
              <w:footnoteReference w:id="102"/>
            </w:r>
            <w:r w:rsidRPr="00952081">
              <w:t>.</w:t>
            </w:r>
          </w:p>
        </w:tc>
      </w:tr>
      <w:tr w:rsidR="00952081" w:rsidRPr="00FB0855" w:rsidTr="004303BC">
        <w:tc>
          <w:tcPr>
            <w:tcW w:w="1648" w:type="dxa"/>
            <w:vMerge w:val="restart"/>
            <w:shd w:val="clear" w:color="auto" w:fill="auto"/>
          </w:tcPr>
          <w:p w:rsidR="00952081" w:rsidRPr="00FB0855" w:rsidRDefault="00952081" w:rsidP="004303BC">
            <w:pPr>
              <w:jc w:val="both"/>
            </w:pPr>
            <w:r>
              <w:t xml:space="preserve">Risinājumi </w:t>
            </w:r>
          </w:p>
        </w:tc>
        <w:tc>
          <w:tcPr>
            <w:tcW w:w="7639" w:type="dxa"/>
            <w:shd w:val="clear" w:color="auto" w:fill="auto"/>
          </w:tcPr>
          <w:p w:rsidR="00952081" w:rsidRPr="00952081" w:rsidRDefault="00952081" w:rsidP="004303BC">
            <w:pPr>
              <w:jc w:val="both"/>
            </w:pPr>
            <w:r w:rsidRPr="00952081">
              <w:t>Palielināt GMI līmeni līdz minimālajam ienākuma līmenim pirmajai personai mājsaimniecībā (pārējām attiecīgi – 0</w:t>
            </w:r>
            <w:r>
              <w:t>.</w:t>
            </w:r>
            <w:r w:rsidRPr="00952081">
              <w:t>7 un 0</w:t>
            </w:r>
            <w:r>
              <w:t>.</w:t>
            </w:r>
            <w:r w:rsidRPr="00952081">
              <w:t>5)</w:t>
            </w:r>
            <w:r>
              <w:t xml:space="preserve">, </w:t>
            </w:r>
            <w:r w:rsidRPr="00952081">
              <w:t>nosakot pakāpenisku GMI pabalsta samazināšanas trajektoriju un atceļot esošos trūcīgās un maznodrošinātās personas ienākumu līmeņus.</w:t>
            </w:r>
          </w:p>
        </w:tc>
      </w:tr>
      <w:tr w:rsidR="00952081" w:rsidRPr="00FB0855" w:rsidTr="004303BC">
        <w:tc>
          <w:tcPr>
            <w:tcW w:w="1648" w:type="dxa"/>
            <w:vMerge/>
            <w:shd w:val="clear" w:color="auto" w:fill="auto"/>
          </w:tcPr>
          <w:p w:rsidR="00952081" w:rsidRDefault="00952081" w:rsidP="004303BC">
            <w:pPr>
              <w:jc w:val="both"/>
            </w:pPr>
          </w:p>
        </w:tc>
        <w:tc>
          <w:tcPr>
            <w:tcW w:w="7639" w:type="dxa"/>
            <w:shd w:val="clear" w:color="auto" w:fill="auto"/>
          </w:tcPr>
          <w:p w:rsidR="00952081" w:rsidRPr="00952081" w:rsidRDefault="00DE3604" w:rsidP="004303BC">
            <w:pPr>
              <w:jc w:val="both"/>
            </w:pPr>
            <w:r>
              <w:t xml:space="preserve">Veikt novērtējumu par </w:t>
            </w:r>
            <w:r w:rsidR="00952081" w:rsidRPr="00952081">
              <w:t xml:space="preserve">valsts un pašvaldību nodrošinātajiem atvieglojumiem trūcīgām un maznodrošinātām personām, </w:t>
            </w:r>
            <w:r>
              <w:t>izanalizējot</w:t>
            </w:r>
            <w:r w:rsidR="00952081" w:rsidRPr="00952081">
              <w:t xml:space="preserve"> to efektivitāti</w:t>
            </w:r>
            <w:r>
              <w:t xml:space="preserve"> un </w:t>
            </w:r>
            <w:r>
              <w:lastRenderedPageBreak/>
              <w:t>lietderību</w:t>
            </w:r>
            <w:r w:rsidR="00952081" w:rsidRPr="00952081">
              <w:t>.</w:t>
            </w:r>
          </w:p>
        </w:tc>
      </w:tr>
      <w:tr w:rsidR="00952081" w:rsidRPr="00FB0855" w:rsidTr="004303BC">
        <w:tc>
          <w:tcPr>
            <w:tcW w:w="1648" w:type="dxa"/>
            <w:vMerge/>
            <w:shd w:val="clear" w:color="auto" w:fill="auto"/>
          </w:tcPr>
          <w:p w:rsidR="00952081" w:rsidRDefault="00952081" w:rsidP="004303BC">
            <w:pPr>
              <w:jc w:val="both"/>
            </w:pPr>
          </w:p>
        </w:tc>
        <w:tc>
          <w:tcPr>
            <w:tcW w:w="7639" w:type="dxa"/>
            <w:shd w:val="clear" w:color="auto" w:fill="auto"/>
          </w:tcPr>
          <w:p w:rsidR="00952081" w:rsidRPr="00952081" w:rsidRDefault="00952081" w:rsidP="004303BC">
            <w:pPr>
              <w:jc w:val="both"/>
            </w:pPr>
            <w:r w:rsidRPr="00952081">
              <w:t>Pārskatīt materiālās situācijas izvērtējuma kritērijus, lai novērstu situāciju, kad dēļ atšķ</w:t>
            </w:r>
            <w:r w:rsidR="0099679D">
              <w:t>irīgiem materiālās situācijas iz</w:t>
            </w:r>
            <w:r w:rsidRPr="00952081">
              <w:t>vērtējuma nosacījumiem iedzīvotāji ar līdzvērtīgiem ienākumiem un materiālo situāciju vienā pašvaldībā ir tiesīgi pretendēt uz atbalstu, bet otrā – nav. Vienlaicīgi nepieciešams izvērtēt ienākumus, kurus ņem un kurus neņem vērā, mājsaimniecībai pretendējot uz atbalstu, izveidojot labvēlīgākus nosacījumus tām mājsaimniecībām, kuras ir pakļautas augstam nabadzības riskam, piemēram, viena vecāka ģimenes un daudzbērnu ģimenes, ģimenes, kurās ir personas ar invaliditāti.</w:t>
            </w:r>
          </w:p>
        </w:tc>
      </w:tr>
      <w:tr w:rsidR="00952081" w:rsidRPr="00FB0855" w:rsidTr="004303BC">
        <w:tc>
          <w:tcPr>
            <w:tcW w:w="1648" w:type="dxa"/>
            <w:vMerge/>
            <w:shd w:val="clear" w:color="auto" w:fill="auto"/>
          </w:tcPr>
          <w:p w:rsidR="00952081" w:rsidRDefault="00952081" w:rsidP="004303BC">
            <w:pPr>
              <w:jc w:val="both"/>
            </w:pPr>
          </w:p>
        </w:tc>
        <w:tc>
          <w:tcPr>
            <w:tcW w:w="7639" w:type="dxa"/>
            <w:shd w:val="clear" w:color="auto" w:fill="auto"/>
          </w:tcPr>
          <w:p w:rsidR="00952081" w:rsidRPr="00952081" w:rsidRDefault="00952081" w:rsidP="004303BC">
            <w:pPr>
              <w:jc w:val="both"/>
            </w:pPr>
            <w:r w:rsidRPr="00952081">
              <w:t xml:space="preserve">Pārskatīt tiesību aktos noteiktos sociālās palīdzības klientu līdzdarbības mehānismus un to piemērošanu pašvaldībās, lai esošajiem vai potenciālajiem sociālās palīdzības saņēmējiem veicinātu </w:t>
            </w:r>
            <w:r w:rsidR="0099679D">
              <w:t xml:space="preserve">un uzlabotu </w:t>
            </w:r>
            <w:r w:rsidRPr="00952081">
              <w:t>motivāciju aktīvi iesaistīties savas situācijas uzlabošanā.</w:t>
            </w:r>
          </w:p>
        </w:tc>
      </w:tr>
      <w:tr w:rsidR="00952081" w:rsidRPr="00FB0855" w:rsidTr="004303BC">
        <w:tc>
          <w:tcPr>
            <w:tcW w:w="1648" w:type="dxa"/>
            <w:vMerge/>
            <w:shd w:val="clear" w:color="auto" w:fill="auto"/>
          </w:tcPr>
          <w:p w:rsidR="00952081" w:rsidRDefault="00952081" w:rsidP="004303BC">
            <w:pPr>
              <w:jc w:val="both"/>
            </w:pPr>
          </w:p>
        </w:tc>
        <w:tc>
          <w:tcPr>
            <w:tcW w:w="7639" w:type="dxa"/>
            <w:shd w:val="clear" w:color="auto" w:fill="auto"/>
          </w:tcPr>
          <w:p w:rsidR="00952081" w:rsidRPr="00952081" w:rsidRDefault="00952081" w:rsidP="004303BC">
            <w:pPr>
              <w:jc w:val="both"/>
            </w:pPr>
            <w:r w:rsidRPr="00952081">
              <w:t xml:space="preserve">Noteikt dzīvokļa pabalsta definīciju jeb saturu, tā piešķiršanas kritērijus un apmēru </w:t>
            </w:r>
            <w:r w:rsidR="0099679D">
              <w:t>vai</w:t>
            </w:r>
            <w:r w:rsidRPr="00952081">
              <w:t xml:space="preserve"> aprēķināšanas kārtību. </w:t>
            </w:r>
          </w:p>
        </w:tc>
      </w:tr>
      <w:tr w:rsidR="00FB0855" w:rsidRPr="00FB0855" w:rsidTr="004303BC">
        <w:tc>
          <w:tcPr>
            <w:tcW w:w="1648" w:type="dxa"/>
            <w:shd w:val="clear" w:color="auto" w:fill="C0C0C0"/>
          </w:tcPr>
          <w:p w:rsidR="00FB0855" w:rsidRPr="004303BC" w:rsidRDefault="00FB0855" w:rsidP="004303BC">
            <w:pPr>
              <w:jc w:val="both"/>
              <w:rPr>
                <w:b/>
                <w:bCs/>
              </w:rPr>
            </w:pPr>
            <w:r w:rsidRPr="004303BC">
              <w:rPr>
                <w:b/>
                <w:bCs/>
              </w:rPr>
              <w:t>Mērķa grupa</w:t>
            </w:r>
          </w:p>
        </w:tc>
        <w:tc>
          <w:tcPr>
            <w:tcW w:w="7639" w:type="dxa"/>
            <w:shd w:val="clear" w:color="auto" w:fill="C0C0C0"/>
          </w:tcPr>
          <w:p w:rsidR="00FB0855" w:rsidRPr="007E6292" w:rsidRDefault="00EC0076" w:rsidP="004303BC">
            <w:pPr>
              <w:jc w:val="both"/>
              <w:rPr>
                <w:sz w:val="20"/>
                <w:szCs w:val="20"/>
              </w:rPr>
            </w:pPr>
            <w:r w:rsidRPr="007E6292">
              <w:rPr>
                <w:b/>
                <w:bCs/>
                <w:sz w:val="20"/>
                <w:szCs w:val="20"/>
              </w:rPr>
              <w:t xml:space="preserve">PENSIONĀRI AR </w:t>
            </w:r>
            <w:r w:rsidR="00405007">
              <w:rPr>
                <w:b/>
                <w:bCs/>
                <w:sz w:val="20"/>
                <w:szCs w:val="20"/>
              </w:rPr>
              <w:t>MINIMĀL</w:t>
            </w:r>
            <w:r w:rsidR="005E4A60" w:rsidRPr="007E6292">
              <w:rPr>
                <w:b/>
                <w:bCs/>
                <w:sz w:val="20"/>
                <w:szCs w:val="20"/>
              </w:rPr>
              <w:t xml:space="preserve">IEM </w:t>
            </w:r>
            <w:r w:rsidRPr="007E6292">
              <w:rPr>
                <w:b/>
                <w:bCs/>
                <w:sz w:val="20"/>
                <w:szCs w:val="20"/>
              </w:rPr>
              <w:t>PENSIJU APMĒRIEM</w:t>
            </w:r>
          </w:p>
        </w:tc>
      </w:tr>
      <w:tr w:rsidR="00FB0855" w:rsidRPr="00FB0855" w:rsidTr="004303BC">
        <w:tc>
          <w:tcPr>
            <w:tcW w:w="1648" w:type="dxa"/>
            <w:shd w:val="clear" w:color="auto" w:fill="auto"/>
          </w:tcPr>
          <w:p w:rsidR="00FB0855" w:rsidRPr="00FB0855" w:rsidRDefault="00FB0855" w:rsidP="004303BC">
            <w:pPr>
              <w:jc w:val="both"/>
            </w:pPr>
            <w:r w:rsidRPr="00FB0855">
              <w:t xml:space="preserve">Esošā situācija </w:t>
            </w:r>
          </w:p>
        </w:tc>
        <w:tc>
          <w:tcPr>
            <w:tcW w:w="7639" w:type="dxa"/>
            <w:shd w:val="clear" w:color="auto" w:fill="auto"/>
          </w:tcPr>
          <w:p w:rsidR="00FB0855" w:rsidRPr="00FB0855" w:rsidRDefault="00404C13" w:rsidP="004303BC">
            <w:pPr>
              <w:jc w:val="both"/>
            </w:pPr>
            <w:r w:rsidRPr="004303BC">
              <w:rPr>
                <w:rFonts w:eastAsia="Calibri"/>
                <w:color w:val="000000"/>
                <w:lang w:eastAsia="lv-LV"/>
              </w:rPr>
              <w:t xml:space="preserve">Šobrīd minimālā </w:t>
            </w:r>
            <w:r w:rsidR="00405007">
              <w:rPr>
                <w:rFonts w:eastAsia="Calibri"/>
                <w:color w:val="000000"/>
                <w:lang w:eastAsia="lv-LV"/>
              </w:rPr>
              <w:t>valsts</w:t>
            </w:r>
            <w:r w:rsidRPr="004303BC">
              <w:rPr>
                <w:rFonts w:eastAsia="Calibri"/>
                <w:color w:val="000000"/>
                <w:lang w:eastAsia="lv-LV"/>
              </w:rPr>
              <w:t xml:space="preserve"> pensija tiek noteikta, pamatojoties uz valsts sociālā nodrošinājuma pabalsta</w:t>
            </w:r>
            <w:r w:rsidRPr="004303BC">
              <w:rPr>
                <w:rFonts w:eastAsia="Calibri"/>
                <w:b/>
                <w:bCs/>
                <w:color w:val="000000"/>
                <w:lang w:eastAsia="lv-LV"/>
              </w:rPr>
              <w:t xml:space="preserve"> </w:t>
            </w:r>
            <w:r w:rsidRPr="004303BC">
              <w:rPr>
                <w:rFonts w:eastAsia="Calibri"/>
                <w:color w:val="000000"/>
                <w:lang w:eastAsia="lv-LV"/>
              </w:rPr>
              <w:t>apmēru</w:t>
            </w:r>
            <w:r w:rsidR="00F14060" w:rsidRPr="004303BC">
              <w:rPr>
                <w:rFonts w:eastAsia="Calibri"/>
                <w:color w:val="000000"/>
                <w:lang w:eastAsia="lv-LV"/>
              </w:rPr>
              <w:t xml:space="preserve"> (64,03 </w:t>
            </w:r>
            <w:proofErr w:type="spellStart"/>
            <w:r w:rsidR="00F14060" w:rsidRPr="004303BC">
              <w:rPr>
                <w:rFonts w:eastAsia="Calibri"/>
                <w:i/>
                <w:color w:val="000000"/>
                <w:lang w:eastAsia="lv-LV"/>
              </w:rPr>
              <w:t>euro</w:t>
            </w:r>
            <w:proofErr w:type="spellEnd"/>
            <w:r w:rsidR="00F14060" w:rsidRPr="004303BC">
              <w:rPr>
                <w:rFonts w:eastAsia="Calibri"/>
                <w:color w:val="000000"/>
                <w:lang w:eastAsia="lv-LV"/>
              </w:rPr>
              <w:t>)</w:t>
            </w:r>
            <w:r w:rsidRPr="004303BC">
              <w:rPr>
                <w:rFonts w:eastAsia="Calibri"/>
                <w:color w:val="000000"/>
                <w:lang w:eastAsia="lv-LV"/>
              </w:rPr>
              <w:t xml:space="preserve">, </w:t>
            </w:r>
            <w:r w:rsidRPr="004303BC">
              <w:rPr>
                <w:rFonts w:eastAsia="Calibri"/>
                <w:lang w:eastAsia="lv-LV"/>
              </w:rPr>
              <w:t xml:space="preserve">tam piemērojot attiecīgos koeficientus, ņemot vērā personas apdrošināšanas stāža ilgumu. </w:t>
            </w:r>
            <w:r w:rsidR="007F750F">
              <w:rPr>
                <w:rFonts w:eastAsia="Calibri"/>
                <w:lang w:eastAsia="lv-LV"/>
              </w:rPr>
              <w:t>Pensiju</w:t>
            </w:r>
            <w:r w:rsidRPr="004303BC">
              <w:rPr>
                <w:rFonts w:eastAsia="Calibri"/>
                <w:lang w:eastAsia="lv-LV"/>
              </w:rPr>
              <w:t xml:space="preserve"> saņēmējiem galvenais ienākumu avots ir pensija un pensionāru iespējas strādāt ir ierobežotas, kā rezultātā daļa pensijas vecuma cilvēki ir viena no iedzīvotāju grupām, kura ir pakļauta dziļas materiālās nenodrošinātības riskam</w:t>
            </w:r>
            <w:r w:rsidR="00550EC3" w:rsidRPr="004303BC">
              <w:rPr>
                <w:rFonts w:eastAsia="Calibri"/>
                <w:lang w:eastAsia="lv-LV"/>
              </w:rPr>
              <w:t xml:space="preserve"> dēļ to zemajiem ienākumiem</w:t>
            </w:r>
            <w:r w:rsidRPr="004303BC">
              <w:rPr>
                <w:rFonts w:eastAsia="Calibri"/>
                <w:lang w:eastAsia="lv-LV"/>
              </w:rPr>
              <w:t>.</w:t>
            </w:r>
          </w:p>
        </w:tc>
      </w:tr>
      <w:tr w:rsidR="00FB0855" w:rsidRPr="00FB0855" w:rsidTr="004303BC">
        <w:tc>
          <w:tcPr>
            <w:tcW w:w="1648" w:type="dxa"/>
            <w:tcBorders>
              <w:bottom w:val="single" w:sz="4" w:space="0" w:color="auto"/>
            </w:tcBorders>
            <w:shd w:val="clear" w:color="auto" w:fill="auto"/>
          </w:tcPr>
          <w:p w:rsidR="00FB0855" w:rsidRPr="00FB0855" w:rsidRDefault="00EC0076" w:rsidP="004303BC">
            <w:pPr>
              <w:jc w:val="both"/>
            </w:pPr>
            <w:r>
              <w:t xml:space="preserve">Risinājums </w:t>
            </w:r>
          </w:p>
        </w:tc>
        <w:tc>
          <w:tcPr>
            <w:tcW w:w="7639" w:type="dxa"/>
            <w:tcBorders>
              <w:bottom w:val="single" w:sz="4" w:space="0" w:color="auto"/>
            </w:tcBorders>
            <w:shd w:val="clear" w:color="auto" w:fill="auto"/>
          </w:tcPr>
          <w:p w:rsidR="00FB0855" w:rsidRPr="00FB0855" w:rsidRDefault="00635A15" w:rsidP="004303BC">
            <w:pPr>
              <w:jc w:val="both"/>
            </w:pPr>
            <w:r w:rsidRPr="00635A15">
              <w:rPr>
                <w:rFonts w:eastAsia="Calibri"/>
                <w:lang w:eastAsia="lv-LV"/>
              </w:rPr>
              <w:t>Minim</w:t>
            </w:r>
            <w:r>
              <w:rPr>
                <w:rFonts w:eastAsia="Calibri"/>
                <w:lang w:eastAsia="lv-LV"/>
              </w:rPr>
              <w:t xml:space="preserve">ālo pensijas </w:t>
            </w:r>
            <w:r w:rsidR="00405007">
              <w:rPr>
                <w:rFonts w:eastAsia="Calibri"/>
                <w:lang w:eastAsia="lv-LV"/>
              </w:rPr>
              <w:t xml:space="preserve">vai valsts sociālā nodrošinājuma pabalsta </w:t>
            </w:r>
            <w:r>
              <w:rPr>
                <w:rFonts w:eastAsia="Calibri"/>
                <w:lang w:eastAsia="lv-LV"/>
              </w:rPr>
              <w:t>apmēru</w:t>
            </w:r>
            <w:r w:rsidR="00404C13" w:rsidRPr="00635A15">
              <w:rPr>
                <w:rFonts w:eastAsia="Calibri"/>
                <w:lang w:eastAsia="lv-LV"/>
              </w:rPr>
              <w:t xml:space="preserve"> palielināt līdz noteiktajam minimālā ienākuma līmenim.</w:t>
            </w:r>
          </w:p>
        </w:tc>
      </w:tr>
      <w:tr w:rsidR="008B7622" w:rsidRPr="00FB0855" w:rsidTr="004303BC">
        <w:tc>
          <w:tcPr>
            <w:tcW w:w="1648" w:type="dxa"/>
            <w:tcBorders>
              <w:bottom w:val="single" w:sz="4" w:space="0" w:color="auto"/>
            </w:tcBorders>
            <w:shd w:val="clear" w:color="auto" w:fill="BFBFBF"/>
          </w:tcPr>
          <w:p w:rsidR="008B7622" w:rsidRPr="004303BC" w:rsidRDefault="008B7622" w:rsidP="004303BC">
            <w:pPr>
              <w:jc w:val="both"/>
              <w:rPr>
                <w:b/>
                <w:bCs/>
              </w:rPr>
            </w:pPr>
            <w:r w:rsidRPr="004303BC">
              <w:rPr>
                <w:b/>
                <w:bCs/>
              </w:rPr>
              <w:t>Mērķa grupa</w:t>
            </w:r>
          </w:p>
        </w:tc>
        <w:tc>
          <w:tcPr>
            <w:tcW w:w="7639" w:type="dxa"/>
            <w:tcBorders>
              <w:bottom w:val="single" w:sz="4" w:space="0" w:color="auto"/>
            </w:tcBorders>
            <w:shd w:val="clear" w:color="auto" w:fill="BFBFBF"/>
          </w:tcPr>
          <w:p w:rsidR="008B7622" w:rsidRPr="007E6292" w:rsidRDefault="008B7622" w:rsidP="004303BC">
            <w:pPr>
              <w:jc w:val="both"/>
              <w:rPr>
                <w:b/>
                <w:bCs/>
                <w:sz w:val="20"/>
                <w:szCs w:val="20"/>
              </w:rPr>
            </w:pPr>
            <w:r w:rsidRPr="007E6292">
              <w:rPr>
                <w:b/>
                <w:bCs/>
                <w:sz w:val="20"/>
                <w:szCs w:val="20"/>
              </w:rPr>
              <w:t>ĢIMENES AR BĒRNIEM, TAI SKAITĀ BĒRNIEM AR INVALIDITĀTI UN CELIAKIJU, AIZBILDŅI UN AUDŽUĢIMENES, PERSONAS AR INVALIDITĀTI, ČERNOBIĻAS ATOMELEKTROSTACIJAS AVĀRIJAS SEKU LIKVIDĒŠANAS DALĪBNIEKI</w:t>
            </w:r>
            <w:r w:rsidRPr="007E6292">
              <w:rPr>
                <w:rStyle w:val="st"/>
                <w:b/>
                <w:bCs/>
                <w:sz w:val="20"/>
                <w:szCs w:val="20"/>
              </w:rPr>
              <w:t xml:space="preserve"> VAI VIŅA ĢIMENE,</w:t>
            </w:r>
            <w:r w:rsidRPr="007E6292">
              <w:rPr>
                <w:b/>
                <w:bCs/>
                <w:sz w:val="20"/>
                <w:szCs w:val="20"/>
              </w:rPr>
              <w:t xml:space="preserve"> LATVIJAS NEATKARĪBAS ATGŪŠANAS PROCESĀ BOJĀ GĀJUŠO PERSONU BĒRNI</w:t>
            </w:r>
          </w:p>
        </w:tc>
      </w:tr>
      <w:tr w:rsidR="008B7622" w:rsidRPr="00FB0855" w:rsidTr="004303BC">
        <w:tc>
          <w:tcPr>
            <w:tcW w:w="1648" w:type="dxa"/>
            <w:tcBorders>
              <w:bottom w:val="single" w:sz="4" w:space="0" w:color="auto"/>
            </w:tcBorders>
            <w:shd w:val="clear" w:color="auto" w:fill="auto"/>
          </w:tcPr>
          <w:p w:rsidR="008B7622" w:rsidRPr="00FB0855" w:rsidRDefault="008B7622" w:rsidP="004303BC">
            <w:pPr>
              <w:jc w:val="both"/>
            </w:pPr>
            <w:r w:rsidRPr="00FB0855">
              <w:t xml:space="preserve">Esošā situācija </w:t>
            </w:r>
          </w:p>
        </w:tc>
        <w:tc>
          <w:tcPr>
            <w:tcW w:w="7639" w:type="dxa"/>
            <w:tcBorders>
              <w:bottom w:val="single" w:sz="4" w:space="0" w:color="auto"/>
            </w:tcBorders>
            <w:shd w:val="clear" w:color="auto" w:fill="auto"/>
          </w:tcPr>
          <w:p w:rsidR="008B7622" w:rsidRPr="00FB0855" w:rsidRDefault="00DF049D" w:rsidP="004303BC">
            <w:pPr>
              <w:jc w:val="both"/>
            </w:pPr>
            <w:r>
              <w:t>Valsts sociālie p</w:t>
            </w:r>
            <w:r w:rsidR="008B7622">
              <w:t>abalsti šīm mērķa grupām tiek piešķirti bez ienākuma izvērtējuma, ta</w:t>
            </w:r>
            <w:r>
              <w:t>i skaitā turīgajām ģimenēm un indivīdiem. Turklāt arī daļa pašvaldību sociālo pabalstu tiek piešķirti mājsaimniecību veidiem bez ienākumu izvērtēju</w:t>
            </w:r>
            <w:r w:rsidR="00635A15">
              <w:t>ma, kā rezultātā 96,9</w:t>
            </w:r>
            <w:r w:rsidR="00405007">
              <w:t>% gadījumos</w:t>
            </w:r>
            <w:r>
              <w:t xml:space="preserve"> nabadzīgākie iedzīvotāji aizvien p</w:t>
            </w:r>
            <w:r w:rsidR="00405007">
              <w:t>aliek nabadzības riskam pakļauti</w:t>
            </w:r>
            <w:r>
              <w:t xml:space="preserve"> dēļ neadekvāti zemā un nepietiekamā ienākumu atbalsta. </w:t>
            </w:r>
          </w:p>
        </w:tc>
      </w:tr>
      <w:tr w:rsidR="008B7622" w:rsidRPr="00FB0855" w:rsidTr="004303BC">
        <w:tc>
          <w:tcPr>
            <w:tcW w:w="1648" w:type="dxa"/>
            <w:tcBorders>
              <w:bottom w:val="single" w:sz="4" w:space="0" w:color="auto"/>
            </w:tcBorders>
            <w:shd w:val="clear" w:color="auto" w:fill="auto"/>
          </w:tcPr>
          <w:p w:rsidR="008B7622" w:rsidRPr="00FB0855" w:rsidRDefault="008B7622" w:rsidP="004303BC">
            <w:pPr>
              <w:jc w:val="both"/>
            </w:pPr>
            <w:r>
              <w:t>Risinājums</w:t>
            </w:r>
          </w:p>
        </w:tc>
        <w:tc>
          <w:tcPr>
            <w:tcW w:w="7639" w:type="dxa"/>
            <w:tcBorders>
              <w:bottom w:val="single" w:sz="4" w:space="0" w:color="auto"/>
            </w:tcBorders>
            <w:shd w:val="clear" w:color="auto" w:fill="auto"/>
          </w:tcPr>
          <w:p w:rsidR="008B7622" w:rsidRPr="00FB0855" w:rsidRDefault="008B7622" w:rsidP="004303BC">
            <w:pPr>
              <w:jc w:val="both"/>
            </w:pPr>
            <w:r>
              <w:t>I</w:t>
            </w:r>
            <w:r w:rsidRPr="00173C5B">
              <w:t>zvērtēt esošos valsts sociālo pabalstu apmērus, to noteikšanas mērķus un efektivitāti attiecībā</w:t>
            </w:r>
            <w:r>
              <w:t xml:space="preserve"> uz noteiktām sociālo pabalstu saņēmēju mērķgrupām, un, kur nepieciešams,</w:t>
            </w:r>
            <w:r w:rsidRPr="00AB0DDF">
              <w:t xml:space="preserve"> </w:t>
            </w:r>
            <w:r>
              <w:t>sasaistīt</w:t>
            </w:r>
            <w:r w:rsidRPr="00AB0DDF">
              <w:t xml:space="preserve"> ar minimāl</w:t>
            </w:r>
            <w:r>
              <w:t>ā</w:t>
            </w:r>
            <w:r w:rsidRPr="00AB0DDF">
              <w:t xml:space="preserve"> ienākuma līmeni</w:t>
            </w:r>
            <w:r>
              <w:t xml:space="preserve"> un plānotajām izmaiņām </w:t>
            </w:r>
            <w:r w:rsidR="00635A15">
              <w:t>darbaspēku nodokļu sistēmā un sociālajā palīdzībā</w:t>
            </w:r>
            <w:r>
              <w:t xml:space="preserve">. </w:t>
            </w:r>
          </w:p>
        </w:tc>
      </w:tr>
      <w:tr w:rsidR="008B7622" w:rsidRPr="00FB0855" w:rsidTr="004303BC">
        <w:tc>
          <w:tcPr>
            <w:tcW w:w="1648" w:type="dxa"/>
            <w:shd w:val="clear" w:color="auto" w:fill="C0C0C0"/>
          </w:tcPr>
          <w:p w:rsidR="008B7622" w:rsidRPr="004303BC" w:rsidRDefault="008B7622" w:rsidP="004303BC">
            <w:pPr>
              <w:jc w:val="both"/>
              <w:rPr>
                <w:b/>
                <w:bCs/>
              </w:rPr>
            </w:pPr>
            <w:r w:rsidRPr="004303BC">
              <w:rPr>
                <w:b/>
                <w:bCs/>
              </w:rPr>
              <w:t>Mērķa grupa</w:t>
            </w:r>
          </w:p>
        </w:tc>
        <w:tc>
          <w:tcPr>
            <w:tcW w:w="7639" w:type="dxa"/>
            <w:shd w:val="clear" w:color="auto" w:fill="C0C0C0"/>
          </w:tcPr>
          <w:p w:rsidR="008B7622" w:rsidRPr="007E6292" w:rsidRDefault="008B7622" w:rsidP="004303BC">
            <w:pPr>
              <w:jc w:val="both"/>
              <w:rPr>
                <w:sz w:val="20"/>
                <w:szCs w:val="20"/>
              </w:rPr>
            </w:pPr>
            <w:r w:rsidRPr="007E6292">
              <w:rPr>
                <w:b/>
                <w:sz w:val="20"/>
                <w:szCs w:val="20"/>
              </w:rPr>
              <w:t>BEZDARBNIEKI</w:t>
            </w:r>
          </w:p>
        </w:tc>
      </w:tr>
      <w:tr w:rsidR="008B7622" w:rsidRPr="00FB0855" w:rsidTr="004303BC">
        <w:tc>
          <w:tcPr>
            <w:tcW w:w="1648" w:type="dxa"/>
            <w:shd w:val="clear" w:color="auto" w:fill="auto"/>
          </w:tcPr>
          <w:p w:rsidR="008B7622" w:rsidRPr="00FB0855" w:rsidRDefault="008B7622" w:rsidP="004303BC">
            <w:pPr>
              <w:jc w:val="both"/>
            </w:pPr>
            <w:r w:rsidRPr="00FB0855">
              <w:t xml:space="preserve">Esošā situācija </w:t>
            </w:r>
          </w:p>
        </w:tc>
        <w:tc>
          <w:tcPr>
            <w:tcW w:w="7639" w:type="dxa"/>
            <w:shd w:val="clear" w:color="auto" w:fill="auto"/>
          </w:tcPr>
          <w:p w:rsidR="008B7622" w:rsidRPr="00FB0855" w:rsidRDefault="008B7622" w:rsidP="004303BC">
            <w:pPr>
              <w:jc w:val="both"/>
            </w:pPr>
            <w:r>
              <w:rPr>
                <w:lang w:eastAsia="lv-LV"/>
              </w:rPr>
              <w:t>Latvijā</w:t>
            </w:r>
            <w:r w:rsidRPr="0063727B">
              <w:rPr>
                <w:lang w:eastAsia="lv-LV"/>
              </w:rPr>
              <w:t xml:space="preserve"> bezdarbnieka pabalstam nav noteikts minimālais un </w:t>
            </w:r>
            <w:r>
              <w:rPr>
                <w:lang w:eastAsia="lv-LV"/>
              </w:rPr>
              <w:t>maksimālais apmēra ierobežojums, t</w:t>
            </w:r>
            <w:r w:rsidRPr="0063727B">
              <w:rPr>
                <w:lang w:eastAsia="lv-LV"/>
              </w:rPr>
              <w:t>ādējādi sistēma mazāk aizsargā zemo algu saņēmējus</w:t>
            </w:r>
            <w:r>
              <w:rPr>
                <w:lang w:eastAsia="lv-LV"/>
              </w:rPr>
              <w:t>, par ko liecina arī bezdarbnieku augstais nabadzības riska indekss.</w:t>
            </w:r>
          </w:p>
        </w:tc>
      </w:tr>
      <w:tr w:rsidR="008B7622" w:rsidRPr="00FB0855" w:rsidTr="004303BC">
        <w:tc>
          <w:tcPr>
            <w:tcW w:w="1648" w:type="dxa"/>
            <w:tcBorders>
              <w:bottom w:val="single" w:sz="4" w:space="0" w:color="auto"/>
            </w:tcBorders>
            <w:shd w:val="clear" w:color="auto" w:fill="auto"/>
          </w:tcPr>
          <w:p w:rsidR="008B7622" w:rsidRPr="00FB0855" w:rsidRDefault="008B7622" w:rsidP="004303BC">
            <w:pPr>
              <w:jc w:val="both"/>
            </w:pPr>
            <w:r>
              <w:t xml:space="preserve">Risinājums </w:t>
            </w:r>
          </w:p>
        </w:tc>
        <w:tc>
          <w:tcPr>
            <w:tcW w:w="7639" w:type="dxa"/>
            <w:tcBorders>
              <w:bottom w:val="single" w:sz="4" w:space="0" w:color="auto"/>
            </w:tcBorders>
            <w:shd w:val="clear" w:color="auto" w:fill="auto"/>
          </w:tcPr>
          <w:p w:rsidR="008B7622" w:rsidRPr="00FB0855" w:rsidRDefault="008B7622" w:rsidP="00481C9E">
            <w:pPr>
              <w:jc w:val="both"/>
            </w:pPr>
            <w:r>
              <w:t xml:space="preserve">Izvērtēt iespēju noteikt bezdarbnieka pabalsta minimālo un maksimālo apmēra ierobežojumu, </w:t>
            </w:r>
            <w:r w:rsidR="00481C9E">
              <w:t>ņemot vērā</w:t>
            </w:r>
            <w:r>
              <w:t xml:space="preserve"> minimālā ienākuma līmeni.</w:t>
            </w:r>
          </w:p>
        </w:tc>
      </w:tr>
    </w:tbl>
    <w:p w:rsidR="00B574E0" w:rsidRPr="001A0541" w:rsidRDefault="00FB0855" w:rsidP="001951C3">
      <w:pPr>
        <w:jc w:val="both"/>
      </w:pPr>
      <w:r>
        <w:rPr>
          <w:highlight w:val="yellow"/>
        </w:rPr>
        <w:t xml:space="preserve"> </w:t>
      </w:r>
    </w:p>
    <w:p w:rsidR="00A44D70" w:rsidRPr="001A0541" w:rsidRDefault="001134B1" w:rsidP="00581893">
      <w:pPr>
        <w:pBdr>
          <w:top w:val="single" w:sz="4" w:space="1" w:color="auto"/>
          <w:left w:val="single" w:sz="4" w:space="4" w:color="auto"/>
          <w:bottom w:val="single" w:sz="4" w:space="1" w:color="auto"/>
          <w:right w:val="single" w:sz="4" w:space="4" w:color="auto"/>
        </w:pBdr>
        <w:shd w:val="clear" w:color="auto" w:fill="EEECE1"/>
        <w:jc w:val="both"/>
      </w:pPr>
      <w:r>
        <w:rPr>
          <w:b/>
        </w:rPr>
        <w:t>2</w:t>
      </w:r>
      <w:r w:rsidR="001951C3" w:rsidRPr="001A0541">
        <w:rPr>
          <w:b/>
        </w:rPr>
        <w:t xml:space="preserve">. </w:t>
      </w:r>
      <w:r>
        <w:rPr>
          <w:b/>
        </w:rPr>
        <w:t>risinājums</w:t>
      </w:r>
      <w:r w:rsidR="001951C3" w:rsidRPr="001A0541">
        <w:t xml:space="preserve">: </w:t>
      </w:r>
      <w:r w:rsidR="002344EF">
        <w:t xml:space="preserve">Papildus pirmajam risinājumam izstrādāt jaunu </w:t>
      </w:r>
      <w:r w:rsidR="002344EF" w:rsidRPr="00B30E3F">
        <w:t>pilna iztikas minimuma patēriņa preču un pakalpojumu groz</w:t>
      </w:r>
      <w:r w:rsidR="002344EF">
        <w:t>u</w:t>
      </w:r>
      <w:r w:rsidR="00581893">
        <w:t xml:space="preserve"> dažādiem </w:t>
      </w:r>
      <w:r w:rsidR="00581893" w:rsidRPr="00087F85">
        <w:t>mājsaimniecību veidiem teritoriāl</w:t>
      </w:r>
      <w:r w:rsidR="00087F85" w:rsidRPr="00087F85">
        <w:t>ajā griezumā.</w:t>
      </w:r>
    </w:p>
    <w:p w:rsidR="00DC407D" w:rsidRPr="001A0541" w:rsidRDefault="00DC407D" w:rsidP="001951C3">
      <w:pPr>
        <w:jc w:val="both"/>
      </w:pPr>
    </w:p>
    <w:p w:rsidR="00087F85" w:rsidRDefault="00E120AE" w:rsidP="00E304CF">
      <w:pPr>
        <w:pStyle w:val="BodyTextIndent"/>
        <w:spacing w:after="0" w:line="240" w:lineRule="auto"/>
        <w:ind w:left="0" w:firstLine="720"/>
        <w:jc w:val="both"/>
        <w:rPr>
          <w:rFonts w:ascii="Times New Roman" w:hAnsi="Times New Roman"/>
          <w:sz w:val="24"/>
          <w:szCs w:val="24"/>
        </w:rPr>
      </w:pPr>
      <w:bookmarkStart w:id="41" w:name="_Toc336348639"/>
      <w:bookmarkEnd w:id="37"/>
      <w:bookmarkEnd w:id="38"/>
      <w:bookmarkEnd w:id="39"/>
      <w:bookmarkEnd w:id="40"/>
      <w:r w:rsidRPr="002B4071">
        <w:rPr>
          <w:rFonts w:ascii="Times New Roman" w:hAnsi="Times New Roman"/>
          <w:sz w:val="24"/>
          <w:szCs w:val="24"/>
        </w:rPr>
        <w:t>Papi</w:t>
      </w:r>
      <w:r>
        <w:rPr>
          <w:rFonts w:ascii="Times New Roman" w:hAnsi="Times New Roman"/>
          <w:sz w:val="24"/>
          <w:szCs w:val="24"/>
        </w:rPr>
        <w:t>ldus 1.variantā piedāvātajai</w:t>
      </w:r>
      <w:r w:rsidRPr="002B4071">
        <w:rPr>
          <w:rFonts w:ascii="Times New Roman" w:hAnsi="Times New Roman"/>
          <w:sz w:val="24"/>
          <w:szCs w:val="24"/>
        </w:rPr>
        <w:t xml:space="preserve"> minimālā ienākuma līmeņa noteikšanas metodoloģijai un piemērošanai </w:t>
      </w:r>
      <w:r>
        <w:rPr>
          <w:rFonts w:ascii="Times New Roman" w:hAnsi="Times New Roman"/>
          <w:sz w:val="24"/>
          <w:szCs w:val="24"/>
        </w:rPr>
        <w:t>tiek</w:t>
      </w:r>
      <w:r w:rsidRPr="002B4071">
        <w:rPr>
          <w:rFonts w:ascii="Times New Roman" w:hAnsi="Times New Roman"/>
          <w:sz w:val="24"/>
          <w:szCs w:val="24"/>
        </w:rPr>
        <w:t xml:space="preserve"> </w:t>
      </w:r>
      <w:r>
        <w:rPr>
          <w:rFonts w:ascii="Times New Roman" w:hAnsi="Times New Roman"/>
          <w:sz w:val="24"/>
          <w:szCs w:val="24"/>
        </w:rPr>
        <w:t>piedāvāts izstrādāt</w:t>
      </w:r>
      <w:r w:rsidRPr="002B4071">
        <w:rPr>
          <w:rFonts w:ascii="Times New Roman" w:hAnsi="Times New Roman"/>
          <w:sz w:val="24"/>
          <w:szCs w:val="24"/>
        </w:rPr>
        <w:t xml:space="preserve"> </w:t>
      </w:r>
      <w:r>
        <w:rPr>
          <w:rFonts w:ascii="Times New Roman" w:hAnsi="Times New Roman"/>
          <w:sz w:val="24"/>
          <w:szCs w:val="24"/>
        </w:rPr>
        <w:t>arī jaunu</w:t>
      </w:r>
      <w:r w:rsidRPr="002B4071">
        <w:rPr>
          <w:rFonts w:ascii="Times New Roman" w:hAnsi="Times New Roman"/>
          <w:sz w:val="24"/>
          <w:szCs w:val="24"/>
        </w:rPr>
        <w:t xml:space="preserve"> iztikas minimuma groz</w:t>
      </w:r>
      <w:r>
        <w:rPr>
          <w:rFonts w:ascii="Times New Roman" w:hAnsi="Times New Roman"/>
          <w:sz w:val="24"/>
          <w:szCs w:val="24"/>
        </w:rPr>
        <w:t>u. Iztikas minimuma izstrādes nepieciešamību īpaši akcentē sociālie partneri un NVO</w:t>
      </w:r>
      <w:r w:rsidRPr="002B4071">
        <w:rPr>
          <w:rFonts w:ascii="Times New Roman" w:hAnsi="Times New Roman"/>
          <w:sz w:val="24"/>
          <w:szCs w:val="24"/>
        </w:rPr>
        <w:t xml:space="preserve">. </w:t>
      </w:r>
      <w:r>
        <w:rPr>
          <w:rFonts w:ascii="Times New Roman" w:hAnsi="Times New Roman"/>
          <w:sz w:val="24"/>
          <w:szCs w:val="24"/>
        </w:rPr>
        <w:t>Piemēram, Labklājības ministrijas Sociālās iekļaušanas politikas koordinācijas komitejas sēdēs</w:t>
      </w:r>
      <w:r>
        <w:rPr>
          <w:rStyle w:val="FootnoteReference"/>
          <w:rFonts w:ascii="Times New Roman" w:hAnsi="Times New Roman"/>
          <w:sz w:val="24"/>
          <w:szCs w:val="24"/>
        </w:rPr>
        <w:footnoteReference w:id="103"/>
      </w:r>
      <w:r>
        <w:rPr>
          <w:rFonts w:ascii="Times New Roman" w:hAnsi="Times New Roman"/>
          <w:sz w:val="24"/>
          <w:szCs w:val="24"/>
        </w:rPr>
        <w:t xml:space="preserve"> nereti šo jautājumu ir aktualizējis </w:t>
      </w:r>
      <w:r w:rsidR="00087F85">
        <w:rPr>
          <w:rFonts w:ascii="Times New Roman" w:hAnsi="Times New Roman"/>
          <w:sz w:val="24"/>
          <w:szCs w:val="24"/>
        </w:rPr>
        <w:t>Latvijas Brīvo arodbiedrību savienības</w:t>
      </w:r>
      <w:r>
        <w:rPr>
          <w:rFonts w:ascii="Times New Roman" w:hAnsi="Times New Roman"/>
          <w:sz w:val="24"/>
          <w:szCs w:val="24"/>
        </w:rPr>
        <w:t xml:space="preserve"> pārstāvis, uzsverot iztikas minimuma nozīmi un nepieciešamību, īpaši pēc tā aprēķina pārtraukšanas ar 2014.gada 1.janvāri. Ņemot vērā, ka līdzšinējie minimālie ienākuma līmeņi vai nabadzības riska sliekšņi nav bijuši pamatoti un balstīti uz konkrētiem to noteikšanas kritērijiem, kā arī plānotajām izmaiņām dažādās rīcībpolitikās, sasaistot tās ar jauno minimālā ienākuma līmeni, būtu </w:t>
      </w:r>
      <w:r w:rsidR="00E304CF">
        <w:rPr>
          <w:rFonts w:ascii="Times New Roman" w:hAnsi="Times New Roman"/>
          <w:sz w:val="24"/>
          <w:szCs w:val="24"/>
        </w:rPr>
        <w:t>lietderīgi</w:t>
      </w:r>
      <w:proofErr w:type="gramStart"/>
      <w:r w:rsidR="00E304CF">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ieviestās izmaiņas izvērtēt attiecībā pret rādītāju, kas palīdzētu novērtēt to ietekmi un efektivitāti uz iedzīvotāju ienākumiem un </w:t>
      </w:r>
      <w:r w:rsidR="00E740BD">
        <w:rPr>
          <w:rFonts w:ascii="Times New Roman" w:hAnsi="Times New Roman"/>
          <w:sz w:val="24"/>
          <w:szCs w:val="24"/>
        </w:rPr>
        <w:t xml:space="preserve">to </w:t>
      </w:r>
      <w:r>
        <w:rPr>
          <w:rFonts w:ascii="Times New Roman" w:hAnsi="Times New Roman"/>
          <w:sz w:val="24"/>
          <w:szCs w:val="24"/>
        </w:rPr>
        <w:t>sociālo situāciju. Tāpēc Labklājības ministrija atbalsta šāda i</w:t>
      </w:r>
      <w:r w:rsidR="00087F85">
        <w:rPr>
          <w:rFonts w:ascii="Times New Roman" w:hAnsi="Times New Roman"/>
          <w:sz w:val="24"/>
          <w:szCs w:val="24"/>
        </w:rPr>
        <w:t xml:space="preserve">ztikas minimuma groza izstrādi. Turklāt, ņemot vērā, ka iztikas minimuma groza saturs var atšķirties gan no mājsaimniecībā dzīvojošo </w:t>
      </w:r>
      <w:r w:rsidR="00492D5C">
        <w:rPr>
          <w:rFonts w:ascii="Times New Roman" w:hAnsi="Times New Roman"/>
          <w:sz w:val="24"/>
          <w:szCs w:val="24"/>
        </w:rPr>
        <w:t xml:space="preserve">personu </w:t>
      </w:r>
      <w:r w:rsidR="00087F85">
        <w:rPr>
          <w:rFonts w:ascii="Times New Roman" w:hAnsi="Times New Roman"/>
          <w:sz w:val="24"/>
          <w:szCs w:val="24"/>
        </w:rPr>
        <w:t>vecuma un skaita, gan arī dzīvesvietas (pilsēta vai lauki), tad tiek piedāvāts izstrādāt iztikas minimuma grozus</w:t>
      </w:r>
      <w:r w:rsidR="00E304CF">
        <w:rPr>
          <w:rFonts w:ascii="Times New Roman" w:hAnsi="Times New Roman"/>
          <w:sz w:val="24"/>
          <w:szCs w:val="24"/>
        </w:rPr>
        <w:t xml:space="preserve"> gan</w:t>
      </w:r>
      <w:r w:rsidR="00087F85">
        <w:rPr>
          <w:rFonts w:ascii="Times New Roman" w:hAnsi="Times New Roman"/>
          <w:sz w:val="24"/>
          <w:szCs w:val="24"/>
        </w:rPr>
        <w:t xml:space="preserve"> dažādiem mājsaimniecību veidiem</w:t>
      </w:r>
      <w:r w:rsidR="00E304CF">
        <w:rPr>
          <w:rFonts w:ascii="Times New Roman" w:hAnsi="Times New Roman"/>
          <w:sz w:val="24"/>
          <w:szCs w:val="24"/>
        </w:rPr>
        <w:t>, gan</w:t>
      </w:r>
      <w:r w:rsidR="00087F85">
        <w:rPr>
          <w:rFonts w:ascii="Times New Roman" w:hAnsi="Times New Roman"/>
          <w:sz w:val="24"/>
          <w:szCs w:val="24"/>
        </w:rPr>
        <w:t xml:space="preserve"> teritoriālajā griezumā. </w:t>
      </w:r>
    </w:p>
    <w:p w:rsidR="00E120AE" w:rsidRDefault="00087F85" w:rsidP="00E304CF">
      <w:pPr>
        <w:pStyle w:val="BodyTextIndent"/>
        <w:spacing w:after="0" w:line="240" w:lineRule="auto"/>
        <w:ind w:left="0" w:firstLine="437"/>
        <w:jc w:val="both"/>
        <w:rPr>
          <w:rFonts w:ascii="Times New Roman" w:hAnsi="Times New Roman"/>
          <w:sz w:val="24"/>
          <w:szCs w:val="24"/>
        </w:rPr>
      </w:pPr>
      <w:r>
        <w:rPr>
          <w:rFonts w:ascii="Times New Roman" w:hAnsi="Times New Roman"/>
          <w:sz w:val="24"/>
          <w:szCs w:val="24"/>
        </w:rPr>
        <w:t xml:space="preserve">Vienlaikus </w:t>
      </w:r>
      <w:r w:rsidR="00E120AE">
        <w:rPr>
          <w:rFonts w:ascii="Times New Roman" w:hAnsi="Times New Roman"/>
          <w:sz w:val="24"/>
          <w:szCs w:val="24"/>
        </w:rPr>
        <w:t xml:space="preserve">vēlreiz </w:t>
      </w:r>
      <w:r>
        <w:rPr>
          <w:rFonts w:ascii="Times New Roman" w:hAnsi="Times New Roman"/>
          <w:sz w:val="24"/>
          <w:szCs w:val="24"/>
        </w:rPr>
        <w:t xml:space="preserve">tiek akcentētas iztikas minimuma izstrādes un piemērošanas </w:t>
      </w:r>
      <w:r w:rsidR="00E120AE">
        <w:rPr>
          <w:rFonts w:ascii="Times New Roman" w:hAnsi="Times New Roman"/>
          <w:sz w:val="24"/>
          <w:szCs w:val="24"/>
        </w:rPr>
        <w:t>priekšrocības un trūkum</w:t>
      </w:r>
      <w:r>
        <w:rPr>
          <w:rFonts w:ascii="Times New Roman" w:hAnsi="Times New Roman"/>
          <w:sz w:val="24"/>
          <w:szCs w:val="24"/>
        </w:rPr>
        <w:t>i</w:t>
      </w:r>
      <w:r w:rsidR="00EA0F78">
        <w:rPr>
          <w:rStyle w:val="FootnoteReference"/>
          <w:rFonts w:ascii="Times New Roman" w:hAnsi="Times New Roman"/>
          <w:sz w:val="24"/>
          <w:szCs w:val="24"/>
        </w:rPr>
        <w:footnoteReference w:id="104"/>
      </w:r>
      <w:r w:rsidR="00E120AE">
        <w:rPr>
          <w:rFonts w:ascii="Times New Roman" w:hAnsi="Times New Roman"/>
          <w:sz w:val="24"/>
          <w:szCs w:val="24"/>
        </w:rPr>
        <w:t xml:space="preserve">. </w:t>
      </w:r>
    </w:p>
    <w:p w:rsidR="00E120AE" w:rsidRPr="002B4071" w:rsidRDefault="00E120AE" w:rsidP="00E304CF">
      <w:pPr>
        <w:pStyle w:val="BodyTextIndent"/>
        <w:spacing w:after="0" w:line="240" w:lineRule="auto"/>
        <w:ind w:left="0" w:firstLine="437"/>
        <w:jc w:val="both"/>
        <w:rPr>
          <w:rFonts w:ascii="Times New Roman" w:hAnsi="Times New Roman"/>
          <w:sz w:val="24"/>
          <w:szCs w:val="24"/>
        </w:rPr>
      </w:pPr>
      <w:r>
        <w:rPr>
          <w:rFonts w:ascii="Times New Roman" w:hAnsi="Times New Roman"/>
          <w:sz w:val="24"/>
          <w:szCs w:val="24"/>
        </w:rPr>
        <w:t>Iztikas minimuma</w:t>
      </w:r>
      <w:r w:rsidRPr="002B4071">
        <w:rPr>
          <w:rFonts w:ascii="Times New Roman" w:hAnsi="Times New Roman"/>
          <w:sz w:val="24"/>
          <w:szCs w:val="24"/>
        </w:rPr>
        <w:t xml:space="preserve"> </w:t>
      </w:r>
      <w:r w:rsidRPr="00AA7D7C">
        <w:rPr>
          <w:rFonts w:ascii="Times New Roman" w:hAnsi="Times New Roman"/>
          <w:b/>
          <w:sz w:val="24"/>
          <w:szCs w:val="24"/>
        </w:rPr>
        <w:t>priekšrocības</w:t>
      </w:r>
      <w:r w:rsidRPr="002B4071">
        <w:rPr>
          <w:rFonts w:ascii="Times New Roman" w:hAnsi="Times New Roman"/>
          <w:sz w:val="24"/>
          <w:szCs w:val="24"/>
        </w:rPr>
        <w:t xml:space="preserve"> ir:</w:t>
      </w:r>
    </w:p>
    <w:p w:rsidR="00E120AE" w:rsidRPr="002B4071" w:rsidRDefault="00FF40D8" w:rsidP="00E304CF">
      <w:pPr>
        <w:pStyle w:val="Default"/>
        <w:numPr>
          <w:ilvl w:val="0"/>
          <w:numId w:val="11"/>
        </w:numPr>
        <w:ind w:left="420"/>
        <w:jc w:val="both"/>
        <w:rPr>
          <w:rStyle w:val="Emphasis"/>
          <w:bCs/>
          <w:i w:val="0"/>
          <w:iCs w:val="0"/>
          <w:color w:val="auto"/>
          <w:shd w:val="clear" w:color="auto" w:fill="FFFFFF"/>
        </w:rPr>
      </w:pPr>
      <w:r w:rsidRPr="00AA7D7C">
        <w:rPr>
          <w:rStyle w:val="Emphasis"/>
          <w:bCs/>
          <w:i w:val="0"/>
          <w:iCs w:val="0"/>
          <w:color w:val="auto"/>
          <w:u w:val="single"/>
          <w:shd w:val="clear" w:color="auto" w:fill="FFFFFF"/>
        </w:rPr>
        <w:t>Skaidra izpratne un</w:t>
      </w:r>
      <w:r w:rsidR="00E120AE" w:rsidRPr="00AA7D7C">
        <w:rPr>
          <w:rStyle w:val="Emphasis"/>
          <w:bCs/>
          <w:i w:val="0"/>
          <w:iCs w:val="0"/>
          <w:color w:val="auto"/>
          <w:u w:val="single"/>
          <w:shd w:val="clear" w:color="auto" w:fill="FFFFFF"/>
        </w:rPr>
        <w:t xml:space="preserve"> </w:t>
      </w:r>
      <w:r w:rsidRPr="00AA7D7C">
        <w:rPr>
          <w:rStyle w:val="Emphasis"/>
          <w:bCs/>
          <w:i w:val="0"/>
          <w:iCs w:val="0"/>
          <w:color w:val="auto"/>
          <w:u w:val="single"/>
          <w:shd w:val="clear" w:color="auto" w:fill="FFFFFF"/>
        </w:rPr>
        <w:t xml:space="preserve">spēcīga </w:t>
      </w:r>
      <w:r w:rsidR="00E120AE" w:rsidRPr="00AA7D7C">
        <w:rPr>
          <w:rStyle w:val="Emphasis"/>
          <w:bCs/>
          <w:i w:val="0"/>
          <w:iCs w:val="0"/>
          <w:color w:val="auto"/>
          <w:u w:val="single"/>
          <w:shd w:val="clear" w:color="auto" w:fill="FFFFFF"/>
        </w:rPr>
        <w:t>normatīvā interpretācija</w:t>
      </w:r>
      <w:r>
        <w:rPr>
          <w:rStyle w:val="Emphasis"/>
          <w:bCs/>
          <w:i w:val="0"/>
          <w:iCs w:val="0"/>
          <w:color w:val="auto"/>
          <w:shd w:val="clear" w:color="auto" w:fill="FFFFFF"/>
        </w:rPr>
        <w:t xml:space="preserve">. Preču un pakalpojumu grozs un tā aprēķinātā </w:t>
      </w:r>
      <w:r w:rsidR="0020611D">
        <w:rPr>
          <w:rStyle w:val="Emphasis"/>
          <w:bCs/>
          <w:i w:val="0"/>
          <w:iCs w:val="0"/>
          <w:color w:val="auto"/>
          <w:shd w:val="clear" w:color="auto" w:fill="FFFFFF"/>
        </w:rPr>
        <w:t xml:space="preserve">absolūtā </w:t>
      </w:r>
      <w:r>
        <w:rPr>
          <w:rStyle w:val="Emphasis"/>
          <w:bCs/>
          <w:i w:val="0"/>
          <w:iCs w:val="0"/>
          <w:color w:val="auto"/>
          <w:shd w:val="clear" w:color="auto" w:fill="FFFFFF"/>
        </w:rPr>
        <w:t xml:space="preserve">vērtība ir </w:t>
      </w:r>
      <w:r w:rsidR="00E304CF">
        <w:rPr>
          <w:rStyle w:val="Emphasis"/>
          <w:bCs/>
          <w:i w:val="0"/>
          <w:iCs w:val="0"/>
          <w:color w:val="auto"/>
          <w:shd w:val="clear" w:color="auto" w:fill="FFFFFF"/>
        </w:rPr>
        <w:t xml:space="preserve">viegli </w:t>
      </w:r>
      <w:r>
        <w:rPr>
          <w:rStyle w:val="Emphasis"/>
          <w:bCs/>
          <w:i w:val="0"/>
          <w:iCs w:val="0"/>
          <w:color w:val="auto"/>
          <w:shd w:val="clear" w:color="auto" w:fill="FFFFFF"/>
        </w:rPr>
        <w:t>saprotama pretēji relatīvajam nabadzības slieksnim, ko</w:t>
      </w:r>
      <w:r w:rsidR="00E120AE" w:rsidRPr="002B4071">
        <w:rPr>
          <w:rStyle w:val="Emphasis"/>
          <w:bCs/>
          <w:i w:val="0"/>
          <w:iCs w:val="0"/>
          <w:color w:val="auto"/>
          <w:shd w:val="clear" w:color="auto" w:fill="FFFFFF"/>
        </w:rPr>
        <w:t xml:space="preserve"> </w:t>
      </w:r>
      <w:r>
        <w:rPr>
          <w:rStyle w:val="Emphasis"/>
          <w:bCs/>
          <w:i w:val="0"/>
          <w:iCs w:val="0"/>
          <w:color w:val="auto"/>
          <w:shd w:val="clear" w:color="auto" w:fill="FFFFFF"/>
        </w:rPr>
        <w:t>nosaka</w:t>
      </w:r>
      <w:r w:rsidR="00E120AE">
        <w:rPr>
          <w:rStyle w:val="Emphasis"/>
          <w:bCs/>
          <w:i w:val="0"/>
          <w:iCs w:val="0"/>
          <w:color w:val="auto"/>
          <w:shd w:val="clear" w:color="auto" w:fill="FFFFFF"/>
        </w:rPr>
        <w:t xml:space="preserve"> procentuālā līmenī</w:t>
      </w:r>
      <w:r>
        <w:rPr>
          <w:rStyle w:val="Emphasis"/>
          <w:bCs/>
          <w:i w:val="0"/>
          <w:iCs w:val="0"/>
          <w:color w:val="auto"/>
          <w:shd w:val="clear" w:color="auto" w:fill="FFFFFF"/>
        </w:rPr>
        <w:t xml:space="preserve"> no attiecīgās valsts iedzīvotāju ekvivalentajiem ienākumiem</w:t>
      </w:r>
      <w:r w:rsidR="00E120AE" w:rsidRPr="002B4071">
        <w:rPr>
          <w:rStyle w:val="Emphasis"/>
          <w:bCs/>
          <w:i w:val="0"/>
          <w:iCs w:val="0"/>
          <w:color w:val="auto"/>
          <w:shd w:val="clear" w:color="auto" w:fill="FFFFFF"/>
        </w:rPr>
        <w:t>;</w:t>
      </w:r>
    </w:p>
    <w:p w:rsidR="00E120AE" w:rsidRPr="002B4071" w:rsidRDefault="00E120AE" w:rsidP="00E304CF">
      <w:pPr>
        <w:pStyle w:val="Default"/>
        <w:numPr>
          <w:ilvl w:val="0"/>
          <w:numId w:val="11"/>
        </w:numPr>
        <w:ind w:left="420"/>
        <w:jc w:val="both"/>
        <w:rPr>
          <w:rStyle w:val="Emphasis"/>
          <w:bCs/>
          <w:i w:val="0"/>
          <w:iCs w:val="0"/>
          <w:color w:val="auto"/>
          <w:shd w:val="clear" w:color="auto" w:fill="FFFFFF"/>
        </w:rPr>
      </w:pPr>
      <w:r w:rsidRPr="00FF40D8">
        <w:rPr>
          <w:rStyle w:val="Emphasis"/>
          <w:bCs/>
          <w:i w:val="0"/>
          <w:iCs w:val="0"/>
          <w:color w:val="auto"/>
          <w:shd w:val="clear" w:color="auto" w:fill="FFFFFF"/>
        </w:rPr>
        <w:t>ļauj</w:t>
      </w:r>
      <w:r w:rsidRPr="00FF40D8">
        <w:rPr>
          <w:rStyle w:val="Emphasis"/>
          <w:b/>
          <w:bCs/>
          <w:i w:val="0"/>
          <w:iCs w:val="0"/>
          <w:color w:val="auto"/>
          <w:shd w:val="clear" w:color="auto" w:fill="FFFFFF"/>
        </w:rPr>
        <w:t xml:space="preserve"> </w:t>
      </w:r>
      <w:r w:rsidRPr="00AA7D7C">
        <w:rPr>
          <w:rStyle w:val="Emphasis"/>
          <w:bCs/>
          <w:i w:val="0"/>
          <w:iCs w:val="0"/>
          <w:color w:val="auto"/>
          <w:u w:val="single"/>
          <w:shd w:val="clear" w:color="auto" w:fill="FFFFFF"/>
        </w:rPr>
        <w:t>novērtēt relatīvā nabadzības sliekšņa derīgumu</w:t>
      </w:r>
      <w:r w:rsidRPr="002B4071">
        <w:rPr>
          <w:rStyle w:val="Emphasis"/>
          <w:bCs/>
          <w:i w:val="0"/>
          <w:iCs w:val="0"/>
          <w:color w:val="auto"/>
          <w:shd w:val="clear" w:color="auto" w:fill="FFFFFF"/>
        </w:rPr>
        <w:t xml:space="preserve"> (</w:t>
      </w:r>
      <w:proofErr w:type="spellStart"/>
      <w:r w:rsidRPr="002B4071">
        <w:rPr>
          <w:rStyle w:val="Emphasis"/>
          <w:bCs/>
          <w:i w:val="0"/>
          <w:iCs w:val="0"/>
          <w:color w:val="auto"/>
          <w:shd w:val="clear" w:color="auto" w:fill="FFFFFF"/>
        </w:rPr>
        <w:t>validity</w:t>
      </w:r>
      <w:proofErr w:type="spellEnd"/>
      <w:r w:rsidRPr="002B4071">
        <w:rPr>
          <w:rStyle w:val="Emphasis"/>
          <w:bCs/>
          <w:i w:val="0"/>
          <w:iCs w:val="0"/>
          <w:color w:val="auto"/>
          <w:shd w:val="clear" w:color="auto" w:fill="FFFFFF"/>
        </w:rPr>
        <w:t>)</w:t>
      </w:r>
      <w:r w:rsidR="00FF40D8">
        <w:rPr>
          <w:rStyle w:val="Emphasis"/>
          <w:bCs/>
          <w:i w:val="0"/>
          <w:iCs w:val="0"/>
          <w:color w:val="auto"/>
          <w:shd w:val="clear" w:color="auto" w:fill="FFFFFF"/>
        </w:rPr>
        <w:t>. Tas</w:t>
      </w:r>
      <w:r w:rsidR="00E304CF">
        <w:rPr>
          <w:rStyle w:val="Emphasis"/>
          <w:bCs/>
          <w:i w:val="0"/>
          <w:iCs w:val="0"/>
          <w:color w:val="auto"/>
          <w:shd w:val="clear" w:color="auto" w:fill="FFFFFF"/>
        </w:rPr>
        <w:t xml:space="preserve"> nozīmē, ka papildus relatīvaja</w:t>
      </w:r>
      <w:r w:rsidR="00FF40D8">
        <w:rPr>
          <w:rStyle w:val="Emphasis"/>
          <w:bCs/>
          <w:i w:val="0"/>
          <w:iCs w:val="0"/>
          <w:color w:val="auto"/>
          <w:shd w:val="clear" w:color="auto" w:fill="FFFFFF"/>
        </w:rPr>
        <w:t>m nabadzība</w:t>
      </w:r>
      <w:r w:rsidR="00E304CF">
        <w:rPr>
          <w:rStyle w:val="Emphasis"/>
          <w:bCs/>
          <w:i w:val="0"/>
          <w:iCs w:val="0"/>
          <w:color w:val="auto"/>
          <w:shd w:val="clear" w:color="auto" w:fill="FFFFFF"/>
        </w:rPr>
        <w:t>s slieksnim</w:t>
      </w:r>
      <w:r w:rsidR="00FF40D8">
        <w:rPr>
          <w:rStyle w:val="Emphasis"/>
          <w:bCs/>
          <w:i w:val="0"/>
          <w:iCs w:val="0"/>
          <w:color w:val="auto"/>
          <w:shd w:val="clear" w:color="auto" w:fill="FFFFFF"/>
        </w:rPr>
        <w:t xml:space="preserve"> ar iztikas minimuma </w:t>
      </w:r>
      <w:r w:rsidR="00191B19">
        <w:rPr>
          <w:rStyle w:val="Emphasis"/>
          <w:bCs/>
          <w:i w:val="0"/>
          <w:iCs w:val="0"/>
          <w:color w:val="auto"/>
          <w:shd w:val="clear" w:color="auto" w:fill="FFFFFF"/>
        </w:rPr>
        <w:t>palīdzību ir iespēja novērtēt tās</w:t>
      </w:r>
      <w:r w:rsidR="00FF40D8">
        <w:rPr>
          <w:rStyle w:val="Emphasis"/>
          <w:bCs/>
          <w:i w:val="0"/>
          <w:iCs w:val="0"/>
          <w:color w:val="auto"/>
          <w:shd w:val="clear" w:color="auto" w:fill="FFFFFF"/>
        </w:rPr>
        <w:t xml:space="preserve"> pamatotību; </w:t>
      </w:r>
    </w:p>
    <w:p w:rsidR="00E120AE" w:rsidRPr="002B4071" w:rsidRDefault="00E120AE" w:rsidP="00E304CF">
      <w:pPr>
        <w:pStyle w:val="Default"/>
        <w:numPr>
          <w:ilvl w:val="0"/>
          <w:numId w:val="11"/>
        </w:numPr>
        <w:ind w:left="420"/>
        <w:jc w:val="both"/>
        <w:rPr>
          <w:rStyle w:val="Emphasis"/>
          <w:bCs/>
          <w:i w:val="0"/>
          <w:iCs w:val="0"/>
          <w:color w:val="auto"/>
          <w:shd w:val="clear" w:color="auto" w:fill="FFFFFF"/>
        </w:rPr>
      </w:pPr>
      <w:r w:rsidRPr="002B4071">
        <w:rPr>
          <w:rStyle w:val="Emphasis"/>
          <w:bCs/>
          <w:i w:val="0"/>
          <w:iCs w:val="0"/>
          <w:color w:val="auto"/>
          <w:shd w:val="clear" w:color="auto" w:fill="FFFFFF"/>
        </w:rPr>
        <w:t xml:space="preserve">ļauj </w:t>
      </w:r>
      <w:r w:rsidRPr="00AA7D7C">
        <w:rPr>
          <w:rStyle w:val="Emphasis"/>
          <w:bCs/>
          <w:i w:val="0"/>
          <w:iCs w:val="0"/>
          <w:color w:val="auto"/>
          <w:u w:val="single"/>
          <w:shd w:val="clear" w:color="auto" w:fill="FFFFFF"/>
        </w:rPr>
        <w:t>novērtēt minimālo ienākumu adekvātumu</w:t>
      </w:r>
      <w:r w:rsidRPr="002B4071">
        <w:rPr>
          <w:rStyle w:val="Emphasis"/>
          <w:bCs/>
          <w:i w:val="0"/>
          <w:iCs w:val="0"/>
          <w:color w:val="auto"/>
          <w:shd w:val="clear" w:color="auto" w:fill="FFFFFF"/>
        </w:rPr>
        <w:t xml:space="preserve"> </w:t>
      </w:r>
      <w:r w:rsidR="00FF40D8">
        <w:rPr>
          <w:rStyle w:val="Emphasis"/>
          <w:bCs/>
          <w:i w:val="0"/>
          <w:iCs w:val="0"/>
          <w:color w:val="auto"/>
          <w:shd w:val="clear" w:color="auto" w:fill="FFFFFF"/>
        </w:rPr>
        <w:t>sociālās aizsardzības kontekstā. Proti, aprēķināto preču un pakalpojumu kopējā vērtība ļauj salīdzināt, cik adekvāti un pietiekami vai neadekvāti un nepietiekami ir sociālās aizsardzības pasākumi;</w:t>
      </w:r>
    </w:p>
    <w:p w:rsidR="00E120AE" w:rsidRPr="002B4071" w:rsidRDefault="00E120AE" w:rsidP="00E304CF">
      <w:pPr>
        <w:pStyle w:val="Default"/>
        <w:numPr>
          <w:ilvl w:val="0"/>
          <w:numId w:val="11"/>
        </w:numPr>
        <w:ind w:left="420"/>
        <w:jc w:val="both"/>
        <w:rPr>
          <w:rStyle w:val="Emphasis"/>
          <w:bCs/>
          <w:i w:val="0"/>
          <w:iCs w:val="0"/>
          <w:color w:val="auto"/>
          <w:shd w:val="clear" w:color="auto" w:fill="FFFFFF"/>
        </w:rPr>
      </w:pPr>
      <w:r w:rsidRPr="00AA7D7C">
        <w:rPr>
          <w:rStyle w:val="Emphasis"/>
          <w:bCs/>
          <w:i w:val="0"/>
          <w:iCs w:val="0"/>
          <w:color w:val="auto"/>
          <w:u w:val="single"/>
          <w:shd w:val="clear" w:color="auto" w:fill="FFFFFF"/>
        </w:rPr>
        <w:t>palīdz noteikt papildus nepieciešamo ienākuma atbalstu</w:t>
      </w:r>
      <w:r w:rsidRPr="002B4071">
        <w:rPr>
          <w:rStyle w:val="Emphasis"/>
          <w:bCs/>
          <w:i w:val="0"/>
          <w:iCs w:val="0"/>
          <w:color w:val="auto"/>
          <w:shd w:val="clear" w:color="auto" w:fill="FFFFFF"/>
        </w:rPr>
        <w:t xml:space="preserve"> un var sniegt padomus finanšu un parādu jautājumā</w:t>
      </w:r>
      <w:r w:rsidR="00191B19">
        <w:rPr>
          <w:rStyle w:val="Emphasis"/>
          <w:bCs/>
          <w:i w:val="0"/>
          <w:iCs w:val="0"/>
          <w:color w:val="auto"/>
          <w:shd w:val="clear" w:color="auto" w:fill="FFFFFF"/>
        </w:rPr>
        <w:t xml:space="preserve"> (piemēram, fin</w:t>
      </w:r>
      <w:r w:rsidR="002B3D58">
        <w:rPr>
          <w:rStyle w:val="Emphasis"/>
          <w:bCs/>
          <w:i w:val="0"/>
          <w:iCs w:val="0"/>
          <w:color w:val="auto"/>
          <w:shd w:val="clear" w:color="auto" w:fill="FFFFFF"/>
        </w:rPr>
        <w:t>anšu</w:t>
      </w:r>
      <w:r w:rsidR="00191B19">
        <w:rPr>
          <w:rStyle w:val="Emphasis"/>
          <w:bCs/>
          <w:i w:val="0"/>
          <w:iCs w:val="0"/>
          <w:color w:val="auto"/>
          <w:shd w:val="clear" w:color="auto" w:fill="FFFFFF"/>
        </w:rPr>
        <w:t xml:space="preserve"> līdzekļu plānošanā, lai nenonāktu parādos)</w:t>
      </w:r>
      <w:r w:rsidRPr="002B4071">
        <w:rPr>
          <w:rStyle w:val="Emphasis"/>
          <w:bCs/>
          <w:i w:val="0"/>
          <w:iCs w:val="0"/>
          <w:color w:val="auto"/>
          <w:shd w:val="clear" w:color="auto" w:fill="FFFFFF"/>
        </w:rPr>
        <w:t>;</w:t>
      </w:r>
    </w:p>
    <w:p w:rsidR="00E120AE" w:rsidRPr="002B4071" w:rsidRDefault="00E120AE" w:rsidP="00E304CF">
      <w:pPr>
        <w:pStyle w:val="Default"/>
        <w:numPr>
          <w:ilvl w:val="0"/>
          <w:numId w:val="11"/>
        </w:numPr>
        <w:ind w:left="420"/>
        <w:jc w:val="both"/>
        <w:rPr>
          <w:rStyle w:val="Emphasis"/>
          <w:bCs/>
          <w:i w:val="0"/>
          <w:iCs w:val="0"/>
          <w:color w:val="auto"/>
          <w:shd w:val="clear" w:color="auto" w:fill="FFFFFF"/>
        </w:rPr>
      </w:pPr>
      <w:r w:rsidRPr="00AA7D7C">
        <w:rPr>
          <w:rStyle w:val="Emphasis"/>
          <w:bCs/>
          <w:i w:val="0"/>
          <w:iCs w:val="0"/>
          <w:color w:val="auto"/>
          <w:u w:val="single"/>
          <w:shd w:val="clear" w:color="auto" w:fill="FFFFFF"/>
        </w:rPr>
        <w:t>palīdz veidot efektīvu un adekvātu ienākumu atbalstu</w:t>
      </w:r>
      <w:r w:rsidRPr="002B4071">
        <w:rPr>
          <w:rStyle w:val="Emphasis"/>
          <w:bCs/>
          <w:i w:val="0"/>
          <w:iCs w:val="0"/>
          <w:color w:val="auto"/>
          <w:shd w:val="clear" w:color="auto" w:fill="FFFFFF"/>
        </w:rPr>
        <w:t xml:space="preserve">, ņemot vērā indivīda vajadzības un institucionālo kontekstu. </w:t>
      </w:r>
    </w:p>
    <w:p w:rsidR="00E120AE" w:rsidRPr="002B4071" w:rsidRDefault="00E120AE" w:rsidP="000A6456">
      <w:pPr>
        <w:pStyle w:val="BodyTextIndent"/>
        <w:spacing w:after="0" w:line="240" w:lineRule="auto"/>
        <w:ind w:left="0" w:firstLine="420"/>
        <w:jc w:val="both"/>
        <w:rPr>
          <w:rFonts w:ascii="Times New Roman" w:hAnsi="Times New Roman"/>
          <w:sz w:val="24"/>
          <w:szCs w:val="24"/>
        </w:rPr>
      </w:pPr>
      <w:r w:rsidRPr="002B4071">
        <w:rPr>
          <w:rFonts w:ascii="Times New Roman" w:hAnsi="Times New Roman"/>
          <w:sz w:val="24"/>
          <w:szCs w:val="24"/>
        </w:rPr>
        <w:t xml:space="preserve">Tomēr praksē iztikas minimuma grozus aicina neizmantot pabalstu piešķiršanā, ņemot vērā šādus </w:t>
      </w:r>
      <w:r>
        <w:rPr>
          <w:rFonts w:ascii="Times New Roman" w:hAnsi="Times New Roman"/>
          <w:sz w:val="24"/>
          <w:szCs w:val="24"/>
        </w:rPr>
        <w:t>konstatētos</w:t>
      </w:r>
      <w:r w:rsidRPr="002B4071">
        <w:rPr>
          <w:rFonts w:ascii="Times New Roman" w:hAnsi="Times New Roman"/>
          <w:sz w:val="24"/>
          <w:szCs w:val="24"/>
        </w:rPr>
        <w:t xml:space="preserve"> </w:t>
      </w:r>
      <w:r w:rsidRPr="00AA7D7C">
        <w:rPr>
          <w:rFonts w:ascii="Times New Roman" w:hAnsi="Times New Roman"/>
          <w:b/>
          <w:sz w:val="24"/>
          <w:szCs w:val="24"/>
        </w:rPr>
        <w:t>trūkumus</w:t>
      </w:r>
      <w:r w:rsidRPr="002B4071">
        <w:rPr>
          <w:rFonts w:ascii="Times New Roman" w:hAnsi="Times New Roman"/>
          <w:sz w:val="24"/>
          <w:szCs w:val="24"/>
        </w:rPr>
        <w:t>:</w:t>
      </w:r>
    </w:p>
    <w:p w:rsidR="00E120AE" w:rsidRPr="002B4071" w:rsidRDefault="00E120AE" w:rsidP="000A6456">
      <w:pPr>
        <w:pStyle w:val="Default"/>
        <w:numPr>
          <w:ilvl w:val="0"/>
          <w:numId w:val="11"/>
        </w:numPr>
        <w:ind w:left="420"/>
        <w:jc w:val="both"/>
        <w:rPr>
          <w:rStyle w:val="Emphasis"/>
          <w:bCs/>
          <w:i w:val="0"/>
          <w:iCs w:val="0"/>
          <w:color w:val="auto"/>
          <w:shd w:val="clear" w:color="auto" w:fill="FFFFFF"/>
        </w:rPr>
      </w:pPr>
      <w:r w:rsidRPr="00AA7D7C">
        <w:rPr>
          <w:rStyle w:val="Emphasis"/>
          <w:bCs/>
          <w:i w:val="0"/>
          <w:iCs w:val="0"/>
          <w:color w:val="auto"/>
          <w:u w:val="single"/>
          <w:shd w:val="clear" w:color="auto" w:fill="FFFFFF"/>
        </w:rPr>
        <w:t>risks patvaļīgi (brīvi vienojoties) noteikt dažādus elementus</w:t>
      </w:r>
      <w:r>
        <w:rPr>
          <w:rStyle w:val="Emphasis"/>
          <w:bCs/>
          <w:i w:val="0"/>
          <w:iCs w:val="0"/>
          <w:color w:val="auto"/>
          <w:shd w:val="clear" w:color="auto" w:fill="FFFFFF"/>
        </w:rPr>
        <w:t xml:space="preserve"> preču un pakalpojumu grozā</w:t>
      </w:r>
      <w:r w:rsidR="002B3D58">
        <w:rPr>
          <w:rStyle w:val="Emphasis"/>
          <w:bCs/>
          <w:i w:val="0"/>
          <w:iCs w:val="0"/>
          <w:color w:val="auto"/>
          <w:shd w:val="clear" w:color="auto" w:fill="FFFFFF"/>
        </w:rPr>
        <w:t xml:space="preserve"> (subjektivitātes faktors)</w:t>
      </w:r>
      <w:r w:rsidRPr="002B4071">
        <w:rPr>
          <w:rStyle w:val="Emphasis"/>
          <w:bCs/>
          <w:i w:val="0"/>
          <w:iCs w:val="0"/>
          <w:color w:val="auto"/>
          <w:shd w:val="clear" w:color="auto" w:fill="FFFFFF"/>
        </w:rPr>
        <w:t>, tāpēc ir nepieciešams labs teorētiskais un metodoloģiskais ietvars;</w:t>
      </w:r>
    </w:p>
    <w:p w:rsidR="00E120AE" w:rsidRPr="002B4071" w:rsidRDefault="00E120AE" w:rsidP="000A6456">
      <w:pPr>
        <w:pStyle w:val="Default"/>
        <w:numPr>
          <w:ilvl w:val="0"/>
          <w:numId w:val="11"/>
        </w:numPr>
        <w:ind w:left="420"/>
        <w:jc w:val="both"/>
        <w:rPr>
          <w:rStyle w:val="Emphasis"/>
          <w:bCs/>
          <w:i w:val="0"/>
          <w:iCs w:val="0"/>
          <w:color w:val="auto"/>
          <w:shd w:val="clear" w:color="auto" w:fill="FFFFFF"/>
        </w:rPr>
      </w:pPr>
      <w:r w:rsidRPr="00AA7D7C">
        <w:rPr>
          <w:rStyle w:val="Emphasis"/>
          <w:bCs/>
          <w:i w:val="0"/>
          <w:iCs w:val="0"/>
          <w:color w:val="auto"/>
          <w:u w:val="single"/>
          <w:shd w:val="clear" w:color="auto" w:fill="FFFFFF"/>
        </w:rPr>
        <w:t xml:space="preserve">laikietilpīga </w:t>
      </w:r>
      <w:r w:rsidR="003F5614" w:rsidRPr="00AA7D7C">
        <w:rPr>
          <w:rStyle w:val="Emphasis"/>
          <w:bCs/>
          <w:i w:val="0"/>
          <w:iCs w:val="0"/>
          <w:color w:val="auto"/>
          <w:u w:val="single"/>
          <w:shd w:val="clear" w:color="auto" w:fill="FFFFFF"/>
        </w:rPr>
        <w:t xml:space="preserve">un finansiāli dārga </w:t>
      </w:r>
      <w:r w:rsidRPr="00AA7D7C">
        <w:rPr>
          <w:rStyle w:val="Emphasis"/>
          <w:bCs/>
          <w:i w:val="0"/>
          <w:iCs w:val="0"/>
          <w:color w:val="auto"/>
          <w:u w:val="single"/>
          <w:shd w:val="clear" w:color="auto" w:fill="FFFFFF"/>
        </w:rPr>
        <w:t>metode</w:t>
      </w:r>
      <w:r w:rsidR="003364A7">
        <w:rPr>
          <w:rStyle w:val="Emphasis"/>
          <w:bCs/>
          <w:i w:val="0"/>
          <w:iCs w:val="0"/>
          <w:color w:val="auto"/>
          <w:shd w:val="clear" w:color="auto" w:fill="FFFFFF"/>
        </w:rPr>
        <w:t>. Iztikas minimuma groza izstrāde ir finansiāli un laika ziņā ietilpīga nabadzības mērīšanas metode, ko sa</w:t>
      </w:r>
      <w:r w:rsidR="003F5614">
        <w:rPr>
          <w:rStyle w:val="Emphasis"/>
          <w:bCs/>
          <w:i w:val="0"/>
          <w:iCs w:val="0"/>
          <w:color w:val="auto"/>
          <w:shd w:val="clear" w:color="auto" w:fill="FFFFFF"/>
        </w:rPr>
        <w:t xml:space="preserve">biedrība neizprot un nepieņem. Turklāt tās pielietojamība ir atbilstoša tikai tad, ja šis grozs tiek regulāri pārskatīts un aktualizēts atbilstoši sociālās un ekonomiskās vides izmaiņām, kas savukārt prasa regulārus papildus resursus; </w:t>
      </w:r>
    </w:p>
    <w:p w:rsidR="00E120AE" w:rsidRPr="002B4071" w:rsidRDefault="00E120AE" w:rsidP="000A6456">
      <w:pPr>
        <w:pStyle w:val="Default"/>
        <w:numPr>
          <w:ilvl w:val="0"/>
          <w:numId w:val="11"/>
        </w:numPr>
        <w:ind w:left="420"/>
        <w:jc w:val="both"/>
        <w:rPr>
          <w:rStyle w:val="Emphasis"/>
          <w:bCs/>
          <w:i w:val="0"/>
          <w:iCs w:val="0"/>
          <w:color w:val="auto"/>
          <w:shd w:val="clear" w:color="auto" w:fill="FFFFFF"/>
        </w:rPr>
      </w:pPr>
      <w:r w:rsidRPr="003364A7">
        <w:rPr>
          <w:rStyle w:val="Emphasis"/>
          <w:bCs/>
          <w:i w:val="0"/>
          <w:iCs w:val="0"/>
          <w:color w:val="auto"/>
          <w:shd w:val="clear" w:color="auto" w:fill="FFFFFF"/>
        </w:rPr>
        <w:t>risks, ka</w:t>
      </w:r>
      <w:r w:rsidRPr="002B4071">
        <w:rPr>
          <w:rStyle w:val="Emphasis"/>
          <w:bCs/>
          <w:i w:val="0"/>
          <w:iCs w:val="0"/>
          <w:color w:val="auto"/>
          <w:shd w:val="clear" w:color="auto" w:fill="FFFFFF"/>
        </w:rPr>
        <w:t xml:space="preserve"> iekļautās preces un pakalpojumi tiks norādīti kā </w:t>
      </w:r>
      <w:r w:rsidRPr="00AA7D7C">
        <w:rPr>
          <w:rStyle w:val="Emphasis"/>
          <w:bCs/>
          <w:i w:val="0"/>
          <w:iCs w:val="0"/>
          <w:color w:val="auto"/>
          <w:u w:val="single"/>
          <w:shd w:val="clear" w:color="auto" w:fill="FFFFFF"/>
        </w:rPr>
        <w:t>nepieciešamie elementi pieņemamas dzīves normas sasniegšanai,</w:t>
      </w:r>
      <w:r w:rsidRPr="002B4071">
        <w:rPr>
          <w:rStyle w:val="Emphasis"/>
          <w:bCs/>
          <w:i w:val="0"/>
          <w:iCs w:val="0"/>
          <w:color w:val="auto"/>
          <w:shd w:val="clear" w:color="auto" w:fill="FFFFFF"/>
        </w:rPr>
        <w:t xml:space="preserve"> un tas tiks lietots kā </w:t>
      </w:r>
      <w:r w:rsidRPr="00AA7D7C">
        <w:rPr>
          <w:rStyle w:val="Emphasis"/>
          <w:bCs/>
          <w:i w:val="0"/>
          <w:iCs w:val="0"/>
          <w:color w:val="auto"/>
          <w:u w:val="single"/>
          <w:shd w:val="clear" w:color="auto" w:fill="FFFFFF"/>
        </w:rPr>
        <w:t>obligāts priekšraksts</w:t>
      </w:r>
      <w:r w:rsidR="003364A7">
        <w:rPr>
          <w:rStyle w:val="Emphasis"/>
          <w:bCs/>
          <w:i w:val="0"/>
          <w:iCs w:val="0"/>
          <w:color w:val="auto"/>
          <w:shd w:val="clear" w:color="auto" w:fill="FFFFFF"/>
        </w:rPr>
        <w:t xml:space="preserve">. Kā tika minēts 1.1.1. apakšnodaļā </w:t>
      </w:r>
      <w:r w:rsidR="003364A7">
        <w:t xml:space="preserve">iztikas minimuma grozi tiek izstrādāti tikai </w:t>
      </w:r>
      <w:r w:rsidR="003364A7" w:rsidRPr="003364A7">
        <w:rPr>
          <w:u w:val="single"/>
        </w:rPr>
        <w:t xml:space="preserve">tipiskākajiem </w:t>
      </w:r>
      <w:r w:rsidR="003364A7" w:rsidRPr="003364A7">
        <w:rPr>
          <w:u w:val="single"/>
        </w:rPr>
        <w:lastRenderedPageBreak/>
        <w:t>mājsaimniecību modeļiem</w:t>
      </w:r>
      <w:r w:rsidR="003364A7">
        <w:t xml:space="preserve">, kuri dzīvo </w:t>
      </w:r>
      <w:r w:rsidR="003364A7" w:rsidRPr="003364A7">
        <w:rPr>
          <w:u w:val="single"/>
        </w:rPr>
        <w:t>skaidri noteiktos apstākļos</w:t>
      </w:r>
      <w:r w:rsidR="003364A7">
        <w:t>. Taču ģimeņu un indivīdu situācijas ir ļoti atšķirīgas, un iztikas minimuma grozi neaptver virkni mainīgos un indivīda dzīvi ietekmējošos faktorus</w:t>
      </w:r>
      <w:r w:rsidR="00763421">
        <w:t>;</w:t>
      </w:r>
    </w:p>
    <w:p w:rsidR="00E120AE" w:rsidRPr="002B4071" w:rsidRDefault="00E120AE" w:rsidP="000A6456">
      <w:pPr>
        <w:pStyle w:val="Default"/>
        <w:numPr>
          <w:ilvl w:val="0"/>
          <w:numId w:val="11"/>
        </w:numPr>
        <w:ind w:left="420"/>
        <w:jc w:val="both"/>
        <w:rPr>
          <w:rStyle w:val="Emphasis"/>
          <w:bCs/>
          <w:i w:val="0"/>
          <w:iCs w:val="0"/>
          <w:color w:val="auto"/>
          <w:shd w:val="clear" w:color="auto" w:fill="FFFFFF"/>
        </w:rPr>
      </w:pPr>
      <w:r>
        <w:rPr>
          <w:rStyle w:val="Emphasis"/>
          <w:bCs/>
          <w:i w:val="0"/>
          <w:iCs w:val="0"/>
          <w:color w:val="auto"/>
          <w:shd w:val="clear" w:color="auto" w:fill="FFFFFF"/>
        </w:rPr>
        <w:t xml:space="preserve">risks, ka </w:t>
      </w:r>
      <w:r w:rsidR="00763421">
        <w:rPr>
          <w:rStyle w:val="Emphasis"/>
          <w:bCs/>
          <w:i w:val="0"/>
          <w:iCs w:val="0"/>
          <w:color w:val="auto"/>
          <w:shd w:val="clear" w:color="auto" w:fill="FFFFFF"/>
        </w:rPr>
        <w:t xml:space="preserve">aprēķinātie </w:t>
      </w:r>
      <w:r>
        <w:rPr>
          <w:rStyle w:val="Emphasis"/>
          <w:bCs/>
          <w:i w:val="0"/>
          <w:iCs w:val="0"/>
          <w:color w:val="auto"/>
          <w:shd w:val="clear" w:color="auto" w:fill="FFFFFF"/>
        </w:rPr>
        <w:t>iztikas minimuma</w:t>
      </w:r>
      <w:r w:rsidRPr="002B4071">
        <w:rPr>
          <w:rStyle w:val="Emphasis"/>
          <w:bCs/>
          <w:i w:val="0"/>
          <w:iCs w:val="0"/>
          <w:color w:val="auto"/>
          <w:shd w:val="clear" w:color="auto" w:fill="FFFFFF"/>
        </w:rPr>
        <w:t xml:space="preserve"> apmēri tiks </w:t>
      </w:r>
      <w:r w:rsidRPr="00AA7D7C">
        <w:rPr>
          <w:rStyle w:val="Emphasis"/>
          <w:bCs/>
          <w:i w:val="0"/>
          <w:iCs w:val="0"/>
          <w:color w:val="auto"/>
          <w:u w:val="single"/>
          <w:shd w:val="clear" w:color="auto" w:fill="FFFFFF"/>
        </w:rPr>
        <w:t>„akli” izmantoti kā nabadzības sliekšņi</w:t>
      </w:r>
      <w:r w:rsidR="00057E2A" w:rsidRPr="00057E2A">
        <w:rPr>
          <w:rStyle w:val="Emphasis"/>
          <w:bCs/>
          <w:i w:val="0"/>
          <w:iCs w:val="0"/>
          <w:color w:val="auto"/>
          <w:shd w:val="clear" w:color="auto" w:fill="FFFFFF"/>
        </w:rPr>
        <w:t>,</w:t>
      </w:r>
      <w:r w:rsidRPr="00057E2A">
        <w:rPr>
          <w:rStyle w:val="Emphasis"/>
          <w:bCs/>
          <w:i w:val="0"/>
          <w:iCs w:val="0"/>
          <w:color w:val="auto"/>
          <w:shd w:val="clear" w:color="auto" w:fill="FFFFFF"/>
        </w:rPr>
        <w:t xml:space="preserve"> </w:t>
      </w:r>
      <w:r>
        <w:rPr>
          <w:rStyle w:val="Emphasis"/>
          <w:bCs/>
          <w:i w:val="0"/>
          <w:iCs w:val="0"/>
          <w:color w:val="auto"/>
          <w:shd w:val="clear" w:color="auto" w:fill="FFFFFF"/>
        </w:rPr>
        <w:t>līdzīgi kā tas bija iepriekšējā iztikas minimuma aprēķināšanas laikā</w:t>
      </w:r>
      <w:r w:rsidR="00763421">
        <w:rPr>
          <w:rStyle w:val="Emphasis"/>
          <w:bCs/>
          <w:i w:val="0"/>
          <w:iCs w:val="0"/>
          <w:color w:val="auto"/>
          <w:shd w:val="clear" w:color="auto" w:fill="FFFFFF"/>
        </w:rPr>
        <w:t>. Minētais sasaucas ar iepriekšējo argumentu par dažādajām indivīdu un ģimeņu situācijām, kā rezultātā, iztikas minimuma vērtību</w:t>
      </w:r>
      <w:r w:rsidR="00763421" w:rsidRPr="00763421">
        <w:rPr>
          <w:rStyle w:val="Emphasis"/>
          <w:bCs/>
          <w:i w:val="0"/>
          <w:iCs w:val="0"/>
          <w:color w:val="auto"/>
          <w:shd w:val="clear" w:color="auto" w:fill="FFFFFF"/>
        </w:rPr>
        <w:t xml:space="preserve"> </w:t>
      </w:r>
      <w:r w:rsidR="00763421">
        <w:rPr>
          <w:rStyle w:val="Emphasis"/>
          <w:bCs/>
          <w:i w:val="0"/>
          <w:iCs w:val="0"/>
          <w:color w:val="auto"/>
          <w:shd w:val="clear" w:color="auto" w:fill="FFFFFF"/>
        </w:rPr>
        <w:t>izmantojot kā nabadzības slieksni, nesasaistot to ar kontekstu un vidi, kurā konkrētais indivīds vai ģimene dzīvo un strādā un neņemot vērā tā situācijas raksturojumu, tas var radīt virspusēju priekšstatu un nepilnīgu izpratni par iedzīvotāju sociālo situāciju kopumā, noved</w:t>
      </w:r>
      <w:r w:rsidR="00057E2A">
        <w:rPr>
          <w:rStyle w:val="Emphasis"/>
          <w:bCs/>
          <w:i w:val="0"/>
          <w:iCs w:val="0"/>
          <w:color w:val="auto"/>
          <w:shd w:val="clear" w:color="auto" w:fill="FFFFFF"/>
        </w:rPr>
        <w:t>ot</w:t>
      </w:r>
      <w:r w:rsidR="00763421">
        <w:rPr>
          <w:rStyle w:val="Emphasis"/>
          <w:bCs/>
          <w:i w:val="0"/>
          <w:iCs w:val="0"/>
          <w:color w:val="auto"/>
          <w:shd w:val="clear" w:color="auto" w:fill="FFFFFF"/>
        </w:rPr>
        <w:t xml:space="preserve"> pie neproduktīva un neefektīva problēmas risināšanas veida; </w:t>
      </w:r>
    </w:p>
    <w:p w:rsidR="00E120AE" w:rsidRPr="003F5614" w:rsidRDefault="00E120AE" w:rsidP="000A6456">
      <w:pPr>
        <w:pStyle w:val="Default"/>
        <w:numPr>
          <w:ilvl w:val="0"/>
          <w:numId w:val="11"/>
        </w:numPr>
        <w:ind w:left="420"/>
        <w:jc w:val="both"/>
        <w:rPr>
          <w:bCs/>
          <w:color w:val="auto"/>
          <w:shd w:val="clear" w:color="auto" w:fill="FFFFFF"/>
        </w:rPr>
      </w:pPr>
      <w:r w:rsidRPr="002B4071">
        <w:rPr>
          <w:rStyle w:val="Emphasis"/>
          <w:bCs/>
          <w:i w:val="0"/>
          <w:color w:val="auto"/>
          <w:shd w:val="clear" w:color="auto" w:fill="FFFFFF"/>
        </w:rPr>
        <w:t xml:space="preserve">risks, </w:t>
      </w:r>
      <w:r>
        <w:rPr>
          <w:rStyle w:val="Emphasis"/>
          <w:bCs/>
          <w:i w:val="0"/>
          <w:color w:val="auto"/>
          <w:shd w:val="clear" w:color="auto" w:fill="FFFFFF"/>
        </w:rPr>
        <w:t>ka iztikas minimums</w:t>
      </w:r>
      <w:r w:rsidRPr="002B4071">
        <w:rPr>
          <w:rStyle w:val="Emphasis"/>
          <w:bCs/>
          <w:i w:val="0"/>
          <w:color w:val="auto"/>
          <w:shd w:val="clear" w:color="auto" w:fill="FFFFFF"/>
        </w:rPr>
        <w:t xml:space="preserve"> var tikt </w:t>
      </w:r>
      <w:r w:rsidRPr="00AA7D7C">
        <w:rPr>
          <w:rStyle w:val="Emphasis"/>
          <w:bCs/>
          <w:i w:val="0"/>
          <w:color w:val="auto"/>
          <w:u w:val="single"/>
          <w:shd w:val="clear" w:color="auto" w:fill="FFFFFF"/>
        </w:rPr>
        <w:t>pakļauts politiskām manipulācijām</w:t>
      </w:r>
      <w:r>
        <w:rPr>
          <w:rStyle w:val="Emphasis"/>
          <w:bCs/>
          <w:i w:val="0"/>
          <w:color w:val="auto"/>
          <w:shd w:val="clear" w:color="auto" w:fill="FFFFFF"/>
        </w:rPr>
        <w:t>,</w:t>
      </w:r>
      <w:r w:rsidRPr="002B4071">
        <w:rPr>
          <w:rStyle w:val="Emphasis"/>
          <w:bCs/>
          <w:i w:val="0"/>
          <w:color w:val="auto"/>
          <w:shd w:val="clear" w:color="auto" w:fill="FFFFFF"/>
        </w:rPr>
        <w:t xml:space="preserve"> ja tas kā robežvērtība tiek izmantots </w:t>
      </w:r>
      <w:r>
        <w:rPr>
          <w:rStyle w:val="Emphasis"/>
          <w:bCs/>
          <w:i w:val="0"/>
          <w:color w:val="auto"/>
          <w:shd w:val="clear" w:color="auto" w:fill="FFFFFF"/>
        </w:rPr>
        <w:t>rīcīb</w:t>
      </w:r>
      <w:r w:rsidRPr="002B4071">
        <w:rPr>
          <w:rStyle w:val="Emphasis"/>
          <w:bCs/>
          <w:i w:val="0"/>
          <w:color w:val="auto"/>
          <w:shd w:val="clear" w:color="auto" w:fill="FFFFFF"/>
        </w:rPr>
        <w:t>politikas veidošanā</w:t>
      </w:r>
      <w:r w:rsidR="00763421">
        <w:rPr>
          <w:rStyle w:val="Emphasis"/>
          <w:bCs/>
          <w:i w:val="0"/>
          <w:iCs w:val="0"/>
          <w:color w:val="auto"/>
          <w:shd w:val="clear" w:color="auto" w:fill="FFFFFF"/>
        </w:rPr>
        <w:t xml:space="preserve">, jo tā rezultātā var tikt mazināta motivācija strādāt. Proti, ja iztikas minimuma grozu apmēri ir līdzvērtīgi vai pārsniedz minimālo darba algu, tad stimuli un motivācija strādāt </w:t>
      </w:r>
      <w:r w:rsidR="00057E2A">
        <w:rPr>
          <w:rStyle w:val="Emphasis"/>
          <w:bCs/>
          <w:i w:val="0"/>
          <w:iCs w:val="0"/>
          <w:color w:val="auto"/>
          <w:shd w:val="clear" w:color="auto" w:fill="FFFFFF"/>
        </w:rPr>
        <w:t>ievērojami samazinās</w:t>
      </w:r>
      <w:r w:rsidR="003F5614">
        <w:rPr>
          <w:rStyle w:val="Emphasis"/>
          <w:bCs/>
          <w:i w:val="0"/>
          <w:iCs w:val="0"/>
          <w:color w:val="auto"/>
          <w:shd w:val="clear" w:color="auto" w:fill="FFFFFF"/>
        </w:rPr>
        <w:t>.</w:t>
      </w:r>
    </w:p>
    <w:p w:rsidR="00F63D78" w:rsidRDefault="00F63D78" w:rsidP="00F63D78">
      <w:pPr>
        <w:ind w:firstLine="360"/>
        <w:jc w:val="both"/>
      </w:pPr>
      <w:r>
        <w:t>Ņ</w:t>
      </w:r>
      <w:r w:rsidR="00763421">
        <w:t xml:space="preserve">emot vērā minētās priekšrocības un trūkumus, kas ir saistīti ar iztikas minimuma groziem, lemjot par šāda groza izstrādes </w:t>
      </w:r>
      <w:r>
        <w:t>nepieciešamību</w:t>
      </w:r>
      <w:r w:rsidR="00763421">
        <w:t xml:space="preserve">, vienlaicīgi ir jāizstrādā </w:t>
      </w:r>
      <w:r>
        <w:t>komunikācijas</w:t>
      </w:r>
      <w:r w:rsidR="002B3D58">
        <w:t xml:space="preserve"> pasākumu plāns</w:t>
      </w:r>
      <w:r w:rsidR="00763421">
        <w:t xml:space="preserve">, kas būtu vērsti uz </w:t>
      </w:r>
      <w:r>
        <w:t xml:space="preserve">visu ieinteresēto pušu </w:t>
      </w:r>
      <w:r w:rsidR="00763421">
        <w:t>izpratnes</w:t>
      </w:r>
      <w:r>
        <w:t xml:space="preserve"> paaugstināšanu </w:t>
      </w:r>
      <w:r w:rsidR="00763421">
        <w:t xml:space="preserve">par šīs metodes </w:t>
      </w:r>
      <w:r>
        <w:t xml:space="preserve">aprēķināšanas un noteikšanas stiprajām un vājajām pusēm. </w:t>
      </w:r>
    </w:p>
    <w:p w:rsidR="004A1163" w:rsidRDefault="00E120AE" w:rsidP="004A1163">
      <w:pPr>
        <w:ind w:firstLine="540"/>
        <w:jc w:val="both"/>
      </w:pPr>
      <w:r>
        <w:t>Projekta izstrāde iztikas minimuma aprēķināšanas metodoloģijas sagatavošanai plānota, sākot ar 2017.gadu pēc tam, kad spēkā stājušās izmaiņas noteiktajās jomās, pamatojoties uz no</w:t>
      </w:r>
      <w:r w:rsidR="00057E2A">
        <w:t>teikto minimālā ienākuma līmeni. Iztikas minimuma</w:t>
      </w:r>
      <w:r>
        <w:t xml:space="preserve"> </w:t>
      </w:r>
      <w:r w:rsidR="002B3D58">
        <w:t>regulāra aprēķināšana</w:t>
      </w:r>
      <w:r>
        <w:t xml:space="preserve"> </w:t>
      </w:r>
      <w:r w:rsidR="00057E2A">
        <w:t xml:space="preserve">prognozējama </w:t>
      </w:r>
      <w:r w:rsidR="002B3D58">
        <w:t>no 2018.gada</w:t>
      </w:r>
      <w:r>
        <w:t>.</w:t>
      </w:r>
    </w:p>
    <w:p w:rsidR="004A1163" w:rsidRDefault="004A1163" w:rsidP="004A1163">
      <w:pPr>
        <w:ind w:firstLine="540"/>
        <w:jc w:val="both"/>
      </w:pPr>
    </w:p>
    <w:p w:rsidR="004A1163" w:rsidRPr="001A0541" w:rsidRDefault="004A1163" w:rsidP="004A1163">
      <w:pPr>
        <w:pBdr>
          <w:top w:val="single" w:sz="4" w:space="1" w:color="auto"/>
          <w:left w:val="single" w:sz="4" w:space="4" w:color="auto"/>
          <w:bottom w:val="single" w:sz="4" w:space="1" w:color="auto"/>
          <w:right w:val="single" w:sz="4" w:space="4" w:color="auto"/>
        </w:pBdr>
        <w:shd w:val="clear" w:color="auto" w:fill="EEECE1"/>
        <w:jc w:val="both"/>
      </w:pPr>
      <w:r w:rsidRPr="004A1163">
        <w:rPr>
          <w:b/>
        </w:rPr>
        <w:t>3.</w:t>
      </w:r>
      <w:r>
        <w:rPr>
          <w:b/>
        </w:rPr>
        <w:t xml:space="preserve"> </w:t>
      </w:r>
      <w:r w:rsidRPr="004A1163">
        <w:rPr>
          <w:b/>
        </w:rPr>
        <w:t>risinājums</w:t>
      </w:r>
      <w:r>
        <w:t>: Esošo situāciju nemainīt, saglabājot spēkā esošo minimālo ienākumu līmeņu noteikšanas</w:t>
      </w:r>
      <w:r w:rsidR="00481C9E">
        <w:t xml:space="preserve"> un piemērošanas</w:t>
      </w:r>
      <w:r>
        <w:t xml:space="preserve"> kārtību. </w:t>
      </w:r>
    </w:p>
    <w:p w:rsidR="00B574E0" w:rsidRDefault="00B574E0" w:rsidP="00481C9E">
      <w:pPr>
        <w:ind w:firstLine="540"/>
        <w:jc w:val="both"/>
      </w:pPr>
    </w:p>
    <w:p w:rsidR="00481C9E" w:rsidRDefault="00481C9E" w:rsidP="00481C9E">
      <w:pPr>
        <w:ind w:firstLine="540"/>
        <w:jc w:val="both"/>
      </w:pPr>
      <w:r>
        <w:t xml:space="preserve">Piedāvātās reformas minimālo ienākumu sistēmā Latvijā ir visaptverošas un progresīvas. To ieviešana prasīs gan </w:t>
      </w:r>
      <w:r w:rsidR="001533E1">
        <w:t>administratīvo</w:t>
      </w:r>
      <w:r>
        <w:t xml:space="preserve"> resursu </w:t>
      </w:r>
      <w:r w:rsidR="001533E1">
        <w:t xml:space="preserve">ieguldījumu </w:t>
      </w:r>
      <w:r>
        <w:t xml:space="preserve">(īpaši pašvaldībām), gan papildus finanšu līdzekļus, gan arī nepieciešamību veikt plašu sabiedrības skaidrojošo darbu, lai veicinātu izpratni par izmaiņu nepieciešamību, to ieguvumiem un piemērošanas nosacījumiem. Komunikācijas </w:t>
      </w:r>
      <w:r w:rsidR="001533E1">
        <w:t>loma</w:t>
      </w:r>
      <w:r>
        <w:t xml:space="preserve"> ir īpaši svar</w:t>
      </w:r>
      <w:r w:rsidR="001533E1">
        <w:t>īga</w:t>
      </w:r>
      <w:r>
        <w:t xml:space="preserve">, pretējā gadījumā, nepanākot izpratni par šīs reformas ieguvumiem, to ieviešana praksē var izrādīties problemātiska. </w:t>
      </w:r>
    </w:p>
    <w:p w:rsidR="00481C9E" w:rsidRDefault="00481C9E" w:rsidP="00481C9E">
      <w:pPr>
        <w:ind w:firstLine="540"/>
        <w:jc w:val="both"/>
      </w:pPr>
      <w:r>
        <w:t>Neveicot izmaiņas esošo minimālo ienākumu līmeņu noteikšanās un piemērošanā, Latvijā turpināsies eso</w:t>
      </w:r>
      <w:r w:rsidR="001533E1">
        <w:t>šo</w:t>
      </w:r>
      <w:r>
        <w:t xml:space="preserve"> nabadzības un ienākumu nevienlīdzības tendenču tālāka attīstība. Saglabājoties relatīvi lielam nabadzības riskam pakļauto iedzīvotāju skaitam un nepietiekami progresīvai ienākumu pārdalei, pastāv šādi riski:</w:t>
      </w:r>
    </w:p>
    <w:p w:rsidR="004A1163" w:rsidRDefault="004A1163" w:rsidP="004A1163">
      <w:pPr>
        <w:numPr>
          <w:ilvl w:val="0"/>
          <w:numId w:val="49"/>
        </w:numPr>
        <w:jc w:val="both"/>
      </w:pPr>
      <w:r>
        <w:t xml:space="preserve">Nemainīgi augstie ienākumu nevienlīdzības rādītāji un nabadzības riskam pakļauto iedzīvotāju īpatsvars ne tikai negatīvi ietekmē iedzīvotāju dzīves kvalitāti (nespēja apmierināt pamatvajadzības, apgrūtināta vai ierobežota pieeja pakalpojumiem u.c.), bet rada arī nevēlamu ietekmi uz tautsaimniecības attīstību (saražotā IKP apjoms samazinās, jo netiek pilnā mērā izmantots darbspējas vecuma cilvēku potenciāls), demogrāfisko attīstību (iedzīvotāju emigrācija, zema dzimstība), indivīdu drošību; </w:t>
      </w:r>
    </w:p>
    <w:p w:rsidR="004A1163" w:rsidRDefault="004A1163" w:rsidP="004A1163">
      <w:pPr>
        <w:numPr>
          <w:ilvl w:val="0"/>
          <w:numId w:val="49"/>
        </w:numPr>
        <w:jc w:val="both"/>
      </w:pPr>
      <w:r>
        <w:t>grūtības izpildīt Latvijas valdības politiskās apņemšanās samazināt nabadzību, tādējādi vēl vairāk pazeminot uzticības līmeni Saeimai, valdībai un valsts pārvaldei;</w:t>
      </w:r>
    </w:p>
    <w:p w:rsidR="004A1163" w:rsidRDefault="004A1163" w:rsidP="004A1163">
      <w:pPr>
        <w:numPr>
          <w:ilvl w:val="0"/>
          <w:numId w:val="49"/>
        </w:numPr>
        <w:jc w:val="both"/>
      </w:pPr>
      <w:r>
        <w:t>Eiropas Padomes rekomendāciju nabadzības mazināšanas jomā neizpilde;</w:t>
      </w:r>
    </w:p>
    <w:p w:rsidR="004A1163" w:rsidRDefault="004A1163" w:rsidP="004A1163">
      <w:pPr>
        <w:numPr>
          <w:ilvl w:val="0"/>
          <w:numId w:val="49"/>
        </w:numPr>
        <w:jc w:val="both"/>
      </w:pPr>
      <w:r>
        <w:t xml:space="preserve">citu starptautisko institūciju (piemēram, Starptautiskais Valūtas </w:t>
      </w:r>
      <w:r w:rsidRPr="004E6B93">
        <w:t xml:space="preserve">fonds, Globālās konkurētspējas indekss, dažādas starptautiska līmeņa </w:t>
      </w:r>
      <w:proofErr w:type="spellStart"/>
      <w:r w:rsidRPr="004E6B93">
        <w:t>domnīcas</w:t>
      </w:r>
      <w:proofErr w:type="spellEnd"/>
      <w:r w:rsidRPr="004E6B93">
        <w:t xml:space="preserve"> u.c.</w:t>
      </w:r>
      <w:r>
        <w:t>) un pētnieku kritiskais vērtējums par valsts sociālekonomisko situāciju un tā ietekmi uz konkurētspēju, tā rezultātā zaudējot investīciju piesaistes un eksporta iespējas.</w:t>
      </w:r>
    </w:p>
    <w:p w:rsidR="005A601C" w:rsidRDefault="00F63D78" w:rsidP="00E87FA8">
      <w:pPr>
        <w:pStyle w:val="Heading1"/>
        <w:numPr>
          <w:ilvl w:val="0"/>
          <w:numId w:val="31"/>
        </w:numPr>
      </w:pPr>
      <w:r>
        <w:br w:type="page"/>
      </w:r>
      <w:bookmarkStart w:id="42" w:name="_Toc401572485"/>
      <w:r w:rsidR="005A601C" w:rsidRPr="009229EA">
        <w:lastRenderedPageBreak/>
        <w:t>Risinājuma variantu ietekme uz valsts un pašvaldību budžetiem</w:t>
      </w:r>
      <w:bookmarkEnd w:id="41"/>
      <w:bookmarkEnd w:id="42"/>
    </w:p>
    <w:p w:rsidR="00854407" w:rsidRDefault="00854407" w:rsidP="00E64B19">
      <w:pPr>
        <w:ind w:firstLine="540"/>
        <w:jc w:val="both"/>
        <w:rPr>
          <w:bCs/>
        </w:rPr>
      </w:pPr>
      <w:r w:rsidRPr="00187302">
        <w:rPr>
          <w:bCs/>
        </w:rPr>
        <w:t xml:space="preserve">Minimālā ienākuma līmeņa noteikšana </w:t>
      </w:r>
      <w:r>
        <w:rPr>
          <w:bCs/>
        </w:rPr>
        <w:t xml:space="preserve">ir pirmais solis, lai veidotu uz pierādījumiem balstītu, ilgtspējīgu un modernu sociālās drošības sistēmu un šajā posmā </w:t>
      </w:r>
      <w:r w:rsidR="00E64B19">
        <w:rPr>
          <w:bCs/>
        </w:rPr>
        <w:t xml:space="preserve">tas </w:t>
      </w:r>
      <w:r>
        <w:rPr>
          <w:bCs/>
        </w:rPr>
        <w:t>papildus</w:t>
      </w:r>
      <w:r w:rsidRPr="00187302">
        <w:rPr>
          <w:bCs/>
        </w:rPr>
        <w:t xml:space="preserve"> izdevumus</w:t>
      </w:r>
      <w:r>
        <w:rPr>
          <w:bCs/>
        </w:rPr>
        <w:t xml:space="preserve"> ne valsts, ne pašvaldību budžetiem</w:t>
      </w:r>
      <w:r w:rsidRPr="00187302">
        <w:rPr>
          <w:bCs/>
        </w:rPr>
        <w:t xml:space="preserve"> </w:t>
      </w:r>
      <w:r>
        <w:rPr>
          <w:bCs/>
        </w:rPr>
        <w:t xml:space="preserve">nerada, kamēr </w:t>
      </w:r>
      <w:r w:rsidR="00E64B19">
        <w:rPr>
          <w:bCs/>
        </w:rPr>
        <w:t>minimālā ienākuma līmenis</w:t>
      </w:r>
      <w:r w:rsidR="00067D4D">
        <w:rPr>
          <w:bCs/>
        </w:rPr>
        <w:t xml:space="preserve"> </w:t>
      </w:r>
      <w:r>
        <w:rPr>
          <w:bCs/>
        </w:rPr>
        <w:t xml:space="preserve">nav piesaistīts noteiktai sistēmai un konkrētam tās elementam. Tomēr jāņem vērā, ka minimālā ienākuma līmeņa izmantošana rīcībpolitiku pilnveidē ir nepieciešama un ir ļoti svarīga, lai mērķi – samazināt nabadzību un ienākumu nevienlīdzību – reāli arī sasniegtu, pretējā gadījumā tā paliek vienīgi deklaratīva apņemšanās bez reālas ietekmes uz iedzīvotāju situāciju. </w:t>
      </w:r>
    </w:p>
    <w:p w:rsidR="00DB48A3" w:rsidRDefault="00373CBA" w:rsidP="00CE722E">
      <w:pPr>
        <w:ind w:firstLine="540"/>
        <w:jc w:val="both"/>
        <w:rPr>
          <w:bCs/>
        </w:rPr>
      </w:pPr>
      <w:r>
        <w:rPr>
          <w:bCs/>
        </w:rPr>
        <w:t xml:space="preserve"> </w:t>
      </w:r>
      <w:r w:rsidR="00CE722E">
        <w:rPr>
          <w:bCs/>
        </w:rPr>
        <w:t>I</w:t>
      </w:r>
      <w:r w:rsidR="00DB48A3">
        <w:rPr>
          <w:bCs/>
        </w:rPr>
        <w:t xml:space="preserve">zmaiņas noteiktajās jomās tiek piedāvātas ieviest no 2017.gada, ņemot vērā </w:t>
      </w:r>
      <w:r w:rsidR="00392A9E">
        <w:rPr>
          <w:bCs/>
        </w:rPr>
        <w:t>šādus</w:t>
      </w:r>
      <w:r w:rsidR="00DB48A3">
        <w:rPr>
          <w:bCs/>
        </w:rPr>
        <w:t xml:space="preserve"> </w:t>
      </w:r>
      <w:r w:rsidR="00DB48A3" w:rsidRPr="0007086B">
        <w:rPr>
          <w:bCs/>
        </w:rPr>
        <w:t>apsvērumus:</w:t>
      </w:r>
    </w:p>
    <w:p w:rsidR="00431DD2" w:rsidRDefault="00431DD2" w:rsidP="00431DD2">
      <w:pPr>
        <w:ind w:firstLine="540"/>
        <w:jc w:val="right"/>
        <w:rPr>
          <w:bCs/>
        </w:rPr>
      </w:pPr>
      <w:r>
        <w:rPr>
          <w:bCs/>
        </w:rPr>
        <w:t xml:space="preserve">13.tabula.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380"/>
        <w:gridCol w:w="6379"/>
      </w:tblGrid>
      <w:tr w:rsidR="00067D4D" w:rsidRPr="00AC44D8" w:rsidTr="00AC44D8">
        <w:tc>
          <w:tcPr>
            <w:tcW w:w="528" w:type="dxa"/>
            <w:shd w:val="clear" w:color="auto" w:fill="F2F2F2"/>
          </w:tcPr>
          <w:p w:rsidR="00067D4D" w:rsidRPr="00AC44D8" w:rsidRDefault="00067D4D" w:rsidP="00AC44D8">
            <w:pPr>
              <w:jc w:val="both"/>
              <w:rPr>
                <w:bCs/>
              </w:rPr>
            </w:pPr>
          </w:p>
        </w:tc>
        <w:tc>
          <w:tcPr>
            <w:tcW w:w="2380" w:type="dxa"/>
            <w:shd w:val="clear" w:color="auto" w:fill="F2F2F2"/>
          </w:tcPr>
          <w:p w:rsidR="00067D4D" w:rsidRPr="00AC44D8" w:rsidRDefault="00DC1928" w:rsidP="00AC44D8">
            <w:pPr>
              <w:jc w:val="center"/>
              <w:rPr>
                <w:b/>
              </w:rPr>
            </w:pPr>
            <w:r w:rsidRPr="00AC44D8">
              <w:rPr>
                <w:b/>
              </w:rPr>
              <w:t>Vēlamais rezultāts</w:t>
            </w:r>
          </w:p>
        </w:tc>
        <w:tc>
          <w:tcPr>
            <w:tcW w:w="6379" w:type="dxa"/>
            <w:shd w:val="clear" w:color="auto" w:fill="F2F2F2"/>
          </w:tcPr>
          <w:p w:rsidR="00067D4D" w:rsidRPr="00AC44D8" w:rsidRDefault="00DC1928" w:rsidP="00AC44D8">
            <w:pPr>
              <w:jc w:val="center"/>
              <w:rPr>
                <w:b/>
              </w:rPr>
            </w:pPr>
            <w:r w:rsidRPr="00AC44D8">
              <w:rPr>
                <w:b/>
              </w:rPr>
              <w:t>Situācijas apraksts</w:t>
            </w:r>
          </w:p>
        </w:tc>
      </w:tr>
      <w:tr w:rsidR="00067D4D" w:rsidRPr="00AC44D8" w:rsidTr="00AC44D8">
        <w:tc>
          <w:tcPr>
            <w:tcW w:w="528" w:type="dxa"/>
            <w:shd w:val="clear" w:color="auto" w:fill="auto"/>
          </w:tcPr>
          <w:p w:rsidR="00067D4D" w:rsidRPr="00AC44D8" w:rsidRDefault="00067D4D" w:rsidP="00AC44D8">
            <w:pPr>
              <w:jc w:val="both"/>
              <w:rPr>
                <w:bCs/>
              </w:rPr>
            </w:pPr>
            <w:r w:rsidRPr="00AC44D8">
              <w:rPr>
                <w:bCs/>
              </w:rPr>
              <w:t>1.</w:t>
            </w:r>
          </w:p>
        </w:tc>
        <w:tc>
          <w:tcPr>
            <w:tcW w:w="2380" w:type="dxa"/>
            <w:shd w:val="clear" w:color="auto" w:fill="auto"/>
          </w:tcPr>
          <w:p w:rsidR="00067D4D" w:rsidRPr="00AC44D8" w:rsidRDefault="00B212D8" w:rsidP="00AC44D8">
            <w:pPr>
              <w:jc w:val="both"/>
              <w:rPr>
                <w:bCs/>
              </w:rPr>
            </w:pPr>
            <w:r w:rsidRPr="00AC44D8">
              <w:rPr>
                <w:bCs/>
              </w:rPr>
              <w:t xml:space="preserve">Izmaiņas tiek ieviestas vienlaicīgi, lai nepanāktu pretēju vēlamo rezultātu.  </w:t>
            </w:r>
          </w:p>
        </w:tc>
        <w:tc>
          <w:tcPr>
            <w:tcW w:w="6379" w:type="dxa"/>
            <w:shd w:val="clear" w:color="auto" w:fill="auto"/>
          </w:tcPr>
          <w:p w:rsidR="00067D4D" w:rsidRPr="00AC44D8" w:rsidRDefault="00DC1928" w:rsidP="00AC44D8">
            <w:pPr>
              <w:jc w:val="both"/>
              <w:rPr>
                <w:bCs/>
              </w:rPr>
            </w:pPr>
            <w:r w:rsidRPr="00AC44D8">
              <w:rPr>
                <w:bCs/>
              </w:rPr>
              <w:t>N</w:t>
            </w:r>
            <w:r w:rsidR="00B212D8" w:rsidRPr="00AC44D8">
              <w:rPr>
                <w:bCs/>
              </w:rPr>
              <w:t>oteikto pasākumu vienlaicīga ieviešana ir būtiska, lai neizveidotos situācija, kad viena sistēma rada ievērojami labvēlīgākus nosacījumus nekā cita, tādējādi panākot pretēju plānoto rezultātu gan uz indivīda situāciju, gan uz valsts vai pašvaldību budžetiem. Piemēram, ieviešot izmaiņas tikai sociālajā palīdzībā, neīstenojot nepieciešamos pasākumus attiecībā uz darbaspēka nodokļu samazinājumu, tas var radīt nevēlamus stimulus vairāk pretendēt uz sociālo palīdzību, palielinot ēnu ekonomikas īpatsvaru un samazinot vēlmi būt nodarbinātiem. Tas nav pieļaujams, apzinoties esošo situāciju, kad vienlaicīgi pastāv kā darbaspēka rezerves, tā darbaspēka trūkums.</w:t>
            </w:r>
          </w:p>
        </w:tc>
      </w:tr>
      <w:tr w:rsidR="00067D4D" w:rsidRPr="00AC44D8" w:rsidTr="00AC44D8">
        <w:tc>
          <w:tcPr>
            <w:tcW w:w="528" w:type="dxa"/>
            <w:shd w:val="clear" w:color="auto" w:fill="auto"/>
          </w:tcPr>
          <w:p w:rsidR="00067D4D" w:rsidRPr="00AC44D8" w:rsidRDefault="00067D4D" w:rsidP="00AC44D8">
            <w:pPr>
              <w:jc w:val="both"/>
              <w:rPr>
                <w:bCs/>
              </w:rPr>
            </w:pPr>
            <w:r w:rsidRPr="00AC44D8">
              <w:rPr>
                <w:bCs/>
              </w:rPr>
              <w:t>2.</w:t>
            </w:r>
          </w:p>
        </w:tc>
        <w:tc>
          <w:tcPr>
            <w:tcW w:w="2380" w:type="dxa"/>
            <w:shd w:val="clear" w:color="auto" w:fill="auto"/>
          </w:tcPr>
          <w:p w:rsidR="00067D4D" w:rsidRPr="00AC44D8" w:rsidRDefault="00DC1928" w:rsidP="00AC44D8">
            <w:pPr>
              <w:jc w:val="both"/>
              <w:rPr>
                <w:bCs/>
              </w:rPr>
            </w:pPr>
            <w:r w:rsidRPr="00AC44D8">
              <w:rPr>
                <w:bCs/>
              </w:rPr>
              <w:t xml:space="preserve">Saprotama </w:t>
            </w:r>
            <w:r w:rsidR="00183916" w:rsidRPr="00AC44D8">
              <w:rPr>
                <w:bCs/>
              </w:rPr>
              <w:t>noteikto</w:t>
            </w:r>
            <w:r w:rsidRPr="00AC44D8">
              <w:rPr>
                <w:bCs/>
              </w:rPr>
              <w:t xml:space="preserve"> politikas pasākumu virzība, lai savlaicīgi plānotu nepieciešamās finanses un rīcību</w:t>
            </w:r>
            <w:r w:rsidR="00533D7A">
              <w:rPr>
                <w:bCs/>
              </w:rPr>
              <w:t xml:space="preserve"> un izprastu plānoto izmaiņu mērķus un ieguvumus</w:t>
            </w:r>
            <w:r w:rsidRPr="00AC44D8">
              <w:rPr>
                <w:bCs/>
              </w:rPr>
              <w:t xml:space="preserve">. </w:t>
            </w:r>
          </w:p>
        </w:tc>
        <w:tc>
          <w:tcPr>
            <w:tcW w:w="6379" w:type="dxa"/>
            <w:shd w:val="clear" w:color="auto" w:fill="auto"/>
          </w:tcPr>
          <w:p w:rsidR="00067D4D" w:rsidRPr="00AC44D8" w:rsidRDefault="00DC1928" w:rsidP="00AC44D8">
            <w:pPr>
              <w:jc w:val="both"/>
              <w:rPr>
                <w:bCs/>
              </w:rPr>
            </w:pPr>
            <w:r w:rsidRPr="00AC44D8">
              <w:rPr>
                <w:bCs/>
              </w:rPr>
              <w:t>P</w:t>
            </w:r>
            <w:r w:rsidR="00B212D8" w:rsidRPr="00AC44D8">
              <w:rPr>
                <w:bCs/>
              </w:rPr>
              <w:t xml:space="preserve">iedāvātie priekšlikumi veikt izmaiņas konkrētajās jomās, sasaistot noteiktus ienākumu apmērus ar minimālā ienākuma līmeni, nav balstīti uz padziļinātu situācijas un attiecīgo sistēmu kopumā ietekmes izvērtējumu. Proti, kā tika minēts iepriekš, padziļināta situācijas izpēte attiecībā uz sociālo palīdzību, valsts sociālajiem pabalstiem, minimālajām vecuma pensijām, kā arī bezdarbnieka pabalsta minimālajiem </w:t>
            </w:r>
            <w:r w:rsidR="00533D7A">
              <w:rPr>
                <w:bCs/>
              </w:rPr>
              <w:t xml:space="preserve">un maksimālajiem </w:t>
            </w:r>
            <w:r w:rsidR="00B212D8" w:rsidRPr="00AC44D8">
              <w:rPr>
                <w:bCs/>
              </w:rPr>
              <w:t>apmēriem tiks veikta līdz 2015.gada decembrim, piedāvājot risinājumus konstatēto un identificēto trūkumu novēršanai. Tādējādi 2016.gads ir nepieciešams, lai izstrādātu attiecīgos normatīvā akta projektus, tos saskaņojot ar visām iesaistītajām pusēm. Turklāt minētais laiks ir nepieciešams, lai visi, uz kuriem minētās izmaiņas attieksies</w:t>
            </w:r>
            <w:r w:rsidR="00533D7A">
              <w:rPr>
                <w:bCs/>
              </w:rPr>
              <w:t xml:space="preserve"> (pašvaldības, iedzīvotāji)</w:t>
            </w:r>
            <w:r w:rsidR="00B212D8" w:rsidRPr="00AC44D8">
              <w:rPr>
                <w:bCs/>
              </w:rPr>
              <w:t xml:space="preserve">, varētu savlaicīgi plānot savas rīcības un finanses. Ātra, nepārdomāta un nesaskaņota plānoto izmaiņu ieviešana var radīt pretēju rezultātu. Piemēram, ir vairāki </w:t>
            </w:r>
            <w:r w:rsidR="00533D7A">
              <w:rPr>
                <w:bCs/>
              </w:rPr>
              <w:t>gadījumi</w:t>
            </w:r>
            <w:r w:rsidR="00B212D8" w:rsidRPr="00AC44D8">
              <w:rPr>
                <w:bCs/>
              </w:rPr>
              <w:t xml:space="preserve">, kad tiesību aktos noteiktās tiesību normas </w:t>
            </w:r>
            <w:r w:rsidR="00533D7A" w:rsidRPr="00AC44D8">
              <w:rPr>
                <w:bCs/>
              </w:rPr>
              <w:t xml:space="preserve">praksē </w:t>
            </w:r>
            <w:r w:rsidR="00B212D8" w:rsidRPr="00AC44D8">
              <w:rPr>
                <w:bCs/>
              </w:rPr>
              <w:t>netiek piemērotas vai tiek piemērotas nepilnīgi, kam, protams, var būt dažādi iemesli, tomēr kā viens no tiem ir minams izpratnes trūkums, kā noteikto tiesību normu piemērot vai kā</w:t>
            </w:r>
            <w:r w:rsidR="00533D7A">
              <w:rPr>
                <w:bCs/>
              </w:rPr>
              <w:t>pēc tas ir nepieciešams. Tā kā</w:t>
            </w:r>
            <w:r w:rsidR="00B212D8" w:rsidRPr="00AC44D8">
              <w:rPr>
                <w:bCs/>
              </w:rPr>
              <w:t xml:space="preserve"> izmaiņas skars ļoti plašu iesaistīto pušu loku, tāpēc pasākumi ir, pirmkārt, jāizstrādā sadarbībā ar visām ieinteresētajām pusēm (piemēram, pašvaldībām) un, otrkārt, ir jāīsteno visaptverošas komunikācijas aktivitātes, lai sabiedrība </w:t>
            </w:r>
            <w:r w:rsidR="00B212D8" w:rsidRPr="00AC44D8">
              <w:rPr>
                <w:bCs/>
              </w:rPr>
              <w:lastRenderedPageBreak/>
              <w:t>un pārējās ietekmes puses būtu ne tikai informētas par plāniem, bet arī izprastu plānoto izmaiņu mērķus un ieguvumus.</w:t>
            </w:r>
          </w:p>
        </w:tc>
      </w:tr>
      <w:tr w:rsidR="00067D4D" w:rsidRPr="00AC44D8" w:rsidTr="00AC44D8">
        <w:tc>
          <w:tcPr>
            <w:tcW w:w="528" w:type="dxa"/>
            <w:shd w:val="clear" w:color="auto" w:fill="auto"/>
          </w:tcPr>
          <w:p w:rsidR="00067D4D" w:rsidRPr="00AC44D8" w:rsidRDefault="00067D4D" w:rsidP="00AC44D8">
            <w:pPr>
              <w:jc w:val="both"/>
              <w:rPr>
                <w:bCs/>
              </w:rPr>
            </w:pPr>
            <w:r w:rsidRPr="00AC44D8">
              <w:rPr>
                <w:bCs/>
              </w:rPr>
              <w:lastRenderedPageBreak/>
              <w:t>3.</w:t>
            </w:r>
          </w:p>
        </w:tc>
        <w:tc>
          <w:tcPr>
            <w:tcW w:w="2380" w:type="dxa"/>
            <w:shd w:val="clear" w:color="auto" w:fill="auto"/>
          </w:tcPr>
          <w:p w:rsidR="00067D4D" w:rsidRPr="00AC44D8" w:rsidRDefault="008E0FC3" w:rsidP="00AC44D8">
            <w:pPr>
              <w:jc w:val="both"/>
              <w:rPr>
                <w:bCs/>
              </w:rPr>
            </w:pPr>
            <w:r w:rsidRPr="00AC44D8">
              <w:rPr>
                <w:bCs/>
              </w:rPr>
              <w:t>Reāls nepieciešamā finansējuma saņemšanas termiņš.</w:t>
            </w:r>
          </w:p>
        </w:tc>
        <w:tc>
          <w:tcPr>
            <w:tcW w:w="6379" w:type="dxa"/>
            <w:shd w:val="clear" w:color="auto" w:fill="auto"/>
          </w:tcPr>
          <w:p w:rsidR="00067D4D" w:rsidRPr="00AC44D8" w:rsidRDefault="00B212D8" w:rsidP="00AC44D8">
            <w:pPr>
              <w:jc w:val="both"/>
              <w:rPr>
                <w:bCs/>
              </w:rPr>
            </w:pPr>
            <w:r w:rsidRPr="00AC44D8">
              <w:rPr>
                <w:bCs/>
              </w:rPr>
              <w:t>Eiropas Padomes rekomendācijas (2014) Latvijai ietver gan nabadzības mazināšanu, gan fiskālās situācijas stabilu saglabāšanu, tāpēc ir svarīgi sabalansēt abu rekomendāciju ieviešanu. Izstrādājot likumu „Par vidēja termiņa budžeta ietvaru 2014., 2015. un 2016.gadam”, tika sadalīta ne tikai 2014.gada fiskālā telpa, bet arī visa 2015.gada fiskālā telpa un būtiska daļa no 2016.gada fiskālās telpas</w:t>
            </w:r>
            <w:r w:rsidRPr="00AC44D8">
              <w:rPr>
                <w:rStyle w:val="FootnoteReference"/>
                <w:bCs/>
              </w:rPr>
              <w:footnoteReference w:id="105"/>
            </w:r>
            <w:r w:rsidRPr="00AC44D8">
              <w:rPr>
                <w:bCs/>
              </w:rPr>
              <w:t xml:space="preserve">. Ņemot to vērā, kā arī to, ka visu izmaiņu ieviešana prasīs būtiskus valsts un pašvaldību finanšu izdevumus un/ vai finanšu resursu pārstrukturēšanu, padarot atbalstu mērķētāku, tiek piedāvāts visus pasākumus īstenot no 2017.gada, tādējādi jau savlaicīgi rezervējot nepieciešamos finanšu resursus nabadzības un ienākumu nevienlīdzības mazināšanai. </w:t>
            </w:r>
          </w:p>
        </w:tc>
      </w:tr>
    </w:tbl>
    <w:p w:rsidR="00067D4D" w:rsidRDefault="00067D4D" w:rsidP="00CE722E">
      <w:pPr>
        <w:ind w:firstLine="540"/>
        <w:jc w:val="both"/>
        <w:rPr>
          <w:bCs/>
        </w:rPr>
      </w:pPr>
    </w:p>
    <w:p w:rsidR="00841BBD" w:rsidRDefault="007A5964" w:rsidP="00331B1D">
      <w:pPr>
        <w:ind w:firstLine="420"/>
        <w:jc w:val="both"/>
        <w:rPr>
          <w:bCs/>
        </w:rPr>
      </w:pPr>
      <w:r>
        <w:rPr>
          <w:bCs/>
        </w:rPr>
        <w:t xml:space="preserve">Lai novērtētu </w:t>
      </w:r>
      <w:r w:rsidR="00360DE1">
        <w:rPr>
          <w:bCs/>
        </w:rPr>
        <w:t>indikatīvās</w:t>
      </w:r>
      <w:r>
        <w:rPr>
          <w:bCs/>
        </w:rPr>
        <w:t xml:space="preserve"> izmaksas, kas radīsies piedāvāto izmaiņu ieviešanai, </w:t>
      </w:r>
      <w:r w:rsidR="00211366">
        <w:rPr>
          <w:bCs/>
        </w:rPr>
        <w:t>14.tabulā</w:t>
      </w:r>
      <w:r>
        <w:rPr>
          <w:bCs/>
        </w:rPr>
        <w:t xml:space="preserve"> sniegta informācija par esošās sistēmas finansēšanas principiem, </w:t>
      </w:r>
      <w:r w:rsidR="00E62CA1">
        <w:rPr>
          <w:bCs/>
        </w:rPr>
        <w:t xml:space="preserve">kur iespējams, </w:t>
      </w:r>
      <w:r>
        <w:rPr>
          <w:bCs/>
        </w:rPr>
        <w:t>norādot izmaksas pie esošajiem nosacījumiem, un sniegts, kur iesp</w:t>
      </w:r>
      <w:r w:rsidR="00211366">
        <w:rPr>
          <w:bCs/>
        </w:rPr>
        <w:t>ējams, provizorisks nepieciešamo</w:t>
      </w:r>
      <w:r>
        <w:rPr>
          <w:bCs/>
        </w:rPr>
        <w:t xml:space="preserve"> finanšu </w:t>
      </w:r>
      <w:r w:rsidR="00211366">
        <w:rPr>
          <w:bCs/>
        </w:rPr>
        <w:t>līdzekļu apmērs</w:t>
      </w:r>
      <w:r>
        <w:rPr>
          <w:bCs/>
        </w:rPr>
        <w:t xml:space="preserve"> no 2017.gada.</w:t>
      </w:r>
    </w:p>
    <w:p w:rsidR="001533E1" w:rsidRDefault="001533E1" w:rsidP="00331B1D">
      <w:pPr>
        <w:ind w:firstLine="420"/>
        <w:jc w:val="both"/>
        <w:rPr>
          <w:bCs/>
        </w:rPr>
      </w:pPr>
    </w:p>
    <w:p w:rsidR="00360DE1" w:rsidRDefault="00211366" w:rsidP="00331B1D">
      <w:pPr>
        <w:ind w:firstLine="420"/>
        <w:jc w:val="both"/>
      </w:pPr>
      <w:r>
        <w:rPr>
          <w:bCs/>
        </w:rPr>
        <w:t>J</w:t>
      </w:r>
      <w:r w:rsidR="00360DE1">
        <w:rPr>
          <w:bCs/>
        </w:rPr>
        <w:t xml:space="preserve">āuzsver, ka </w:t>
      </w:r>
      <w:r w:rsidR="00360DE1" w:rsidRPr="00211366">
        <w:rPr>
          <w:b/>
          <w:bCs/>
        </w:rPr>
        <w:t>detalizēts finanšu ietekmes izvērtējums uz valsts un pašvaldību budžetiem tiks veikts</w:t>
      </w:r>
      <w:r w:rsidRPr="00211366">
        <w:rPr>
          <w:b/>
          <w:bCs/>
        </w:rPr>
        <w:t xml:space="preserve">, izstrādājot </w:t>
      </w:r>
      <w:r w:rsidRPr="00211366">
        <w:rPr>
          <w:b/>
          <w:i/>
        </w:rPr>
        <w:t>Plānu minimālā ienākuma līmeņa ieviešanai</w:t>
      </w:r>
      <w:r w:rsidRPr="00211366">
        <w:rPr>
          <w:b/>
        </w:rPr>
        <w:t xml:space="preserve">, kur finansiālā ietekme tiks aprēķināta, ņemot vērā </w:t>
      </w:r>
      <w:r w:rsidRPr="00211366">
        <w:rPr>
          <w:b/>
          <w:u w:val="single"/>
        </w:rPr>
        <w:t>visas izmaiņas noteiktajās jomās</w:t>
      </w:r>
      <w:r w:rsidRPr="00211366">
        <w:rPr>
          <w:b/>
        </w:rPr>
        <w:t xml:space="preserve">. 14.tabulā ir </w:t>
      </w:r>
      <w:r w:rsidR="001533E1">
        <w:rPr>
          <w:b/>
        </w:rPr>
        <w:t xml:space="preserve">norādīta </w:t>
      </w:r>
      <w:r w:rsidRPr="00211366">
        <w:rPr>
          <w:b/>
        </w:rPr>
        <w:t xml:space="preserve">indikatīvā finanšu ietekme tikai attiecībā uz konkrēto jomu, nevis </w:t>
      </w:r>
      <w:r>
        <w:rPr>
          <w:b/>
        </w:rPr>
        <w:t xml:space="preserve">vērtējot </w:t>
      </w:r>
      <w:r w:rsidRPr="00211366">
        <w:rPr>
          <w:b/>
        </w:rPr>
        <w:t>vis</w:t>
      </w:r>
      <w:r>
        <w:rPr>
          <w:b/>
        </w:rPr>
        <w:t>as</w:t>
      </w:r>
      <w:r w:rsidRPr="00211366">
        <w:rPr>
          <w:b/>
        </w:rPr>
        <w:t xml:space="preserve"> jom</w:t>
      </w:r>
      <w:r>
        <w:rPr>
          <w:b/>
        </w:rPr>
        <w:t>as</w:t>
      </w:r>
      <w:r w:rsidRPr="00211366">
        <w:rPr>
          <w:b/>
        </w:rPr>
        <w:t xml:space="preserve"> kop</w:t>
      </w:r>
      <w:r>
        <w:rPr>
          <w:b/>
        </w:rPr>
        <w:t>um</w:t>
      </w:r>
      <w:r w:rsidRPr="00211366">
        <w:rPr>
          <w:b/>
        </w:rPr>
        <w:t>ā.</w:t>
      </w:r>
      <w:r>
        <w:t xml:space="preserve"> </w:t>
      </w:r>
    </w:p>
    <w:p w:rsidR="00431DD2" w:rsidRDefault="00572419" w:rsidP="00572419">
      <w:pPr>
        <w:jc w:val="right"/>
        <w:rPr>
          <w:bCs/>
        </w:rPr>
      </w:pPr>
      <w:r>
        <w:rPr>
          <w:bCs/>
        </w:rPr>
        <w:t xml:space="preserve">14.tabula.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6799"/>
      </w:tblGrid>
      <w:tr w:rsidR="00C76FB2" w:rsidRPr="00AC44D8" w:rsidTr="00AC44D8">
        <w:tc>
          <w:tcPr>
            <w:tcW w:w="9287" w:type="dxa"/>
            <w:gridSpan w:val="2"/>
            <w:shd w:val="clear" w:color="auto" w:fill="F2F2F2"/>
          </w:tcPr>
          <w:p w:rsidR="00C76FB2" w:rsidRPr="00AC44D8" w:rsidRDefault="00C76FB2" w:rsidP="00AC44D8">
            <w:pPr>
              <w:jc w:val="center"/>
              <w:rPr>
                <w:bCs/>
              </w:rPr>
            </w:pPr>
            <w:r w:rsidRPr="00AC44D8">
              <w:rPr>
                <w:b/>
                <w:bCs/>
              </w:rPr>
              <w:t>IIN neapliekamais minimums</w:t>
            </w:r>
          </w:p>
        </w:tc>
      </w:tr>
      <w:tr w:rsidR="00C76FB2" w:rsidRPr="00572419" w:rsidTr="00AC44D8">
        <w:tc>
          <w:tcPr>
            <w:tcW w:w="2488" w:type="dxa"/>
            <w:shd w:val="clear" w:color="auto" w:fill="auto"/>
          </w:tcPr>
          <w:p w:rsidR="00C76FB2" w:rsidRPr="00AC44D8" w:rsidRDefault="00C76FB2" w:rsidP="00AC44D8">
            <w:pPr>
              <w:rPr>
                <w:bCs/>
              </w:rPr>
            </w:pPr>
            <w:r w:rsidRPr="00AC44D8">
              <w:rPr>
                <w:bCs/>
              </w:rPr>
              <w:t xml:space="preserve">Esošā situācija </w:t>
            </w:r>
          </w:p>
        </w:tc>
        <w:tc>
          <w:tcPr>
            <w:tcW w:w="6799" w:type="dxa"/>
            <w:shd w:val="clear" w:color="auto" w:fill="auto"/>
          </w:tcPr>
          <w:p w:rsidR="00C76FB2" w:rsidRPr="00572419" w:rsidRDefault="00C76FB2" w:rsidP="00AC44D8">
            <w:pPr>
              <w:jc w:val="both"/>
            </w:pPr>
            <w:r w:rsidRPr="00572419">
              <w:t>Neapliekamais minimums</w:t>
            </w:r>
            <w:r>
              <w:t xml:space="preserve"> ir fiziskas personas ienākumu daļa, kuru neapliek ar IIN nodokli, tādējādi palielinot strādājošo neto ienākumus. IIN nonāk valsts un pašvaldību budžetos attiecīgajās </w:t>
            </w:r>
            <w:r w:rsidRPr="00110C79">
              <w:t>proporcijās: 20% valsts un 80%</w:t>
            </w:r>
            <w:r>
              <w:t xml:space="preserve"> pašvaldību budžetā</w:t>
            </w:r>
            <w:r>
              <w:rPr>
                <w:rStyle w:val="FootnoteReference"/>
              </w:rPr>
              <w:footnoteReference w:id="106"/>
            </w:r>
            <w:r>
              <w:t xml:space="preserve">. Tādējādi, palielinot ar IIN nepaliekamā minimuma apmēru, zemāki ieņēmumi būs gan valsts, gan pašvaldību budžetos, taču īpaši tas skars pašvaldību ieņēmumus. Lai gan ieņēmumu samazinājumu varētu kompensēt mazāks nepieciešamais atbalsts no valsts un pašvaldību sociālā atbalsta sistēmām.  </w:t>
            </w:r>
          </w:p>
        </w:tc>
      </w:tr>
      <w:tr w:rsidR="00C76FB2" w:rsidRPr="00AC44D8" w:rsidTr="00AC44D8">
        <w:tc>
          <w:tcPr>
            <w:tcW w:w="2488" w:type="dxa"/>
            <w:shd w:val="clear" w:color="auto" w:fill="auto"/>
          </w:tcPr>
          <w:p w:rsidR="00C76FB2" w:rsidRPr="00AC44D8" w:rsidRDefault="00C76FB2" w:rsidP="00AC44D8">
            <w:pPr>
              <w:rPr>
                <w:bCs/>
              </w:rPr>
            </w:pPr>
            <w:r w:rsidRPr="00AC44D8">
              <w:rPr>
                <w:bCs/>
              </w:rPr>
              <w:t xml:space="preserve">Piedāvātais risinājums </w:t>
            </w:r>
          </w:p>
        </w:tc>
        <w:tc>
          <w:tcPr>
            <w:tcW w:w="6799" w:type="dxa"/>
            <w:shd w:val="clear" w:color="auto" w:fill="auto"/>
          </w:tcPr>
          <w:p w:rsidR="00C76FB2" w:rsidRPr="00AC44D8" w:rsidRDefault="001533E1" w:rsidP="001533E1">
            <w:pPr>
              <w:rPr>
                <w:bCs/>
              </w:rPr>
            </w:pPr>
            <w:r>
              <w:t>IIN n</w:t>
            </w:r>
            <w:r w:rsidR="00C76FB2">
              <w:t>ea</w:t>
            </w:r>
            <w:r>
              <w:t>p</w:t>
            </w:r>
            <w:r w:rsidR="00C76FB2">
              <w:t xml:space="preserve">liekamo minimumu palielināt no 75 </w:t>
            </w:r>
            <w:proofErr w:type="spellStart"/>
            <w:r w:rsidR="00C76FB2" w:rsidRPr="00AC44D8">
              <w:rPr>
                <w:i/>
                <w:iCs/>
              </w:rPr>
              <w:t>euro</w:t>
            </w:r>
            <w:proofErr w:type="spellEnd"/>
            <w:r w:rsidR="00C76FB2">
              <w:t xml:space="preserve"> līdz 129 </w:t>
            </w:r>
            <w:proofErr w:type="spellStart"/>
            <w:r w:rsidR="00C76FB2" w:rsidRPr="00AC44D8">
              <w:rPr>
                <w:i/>
                <w:iCs/>
              </w:rPr>
              <w:t>euro</w:t>
            </w:r>
            <w:proofErr w:type="spellEnd"/>
            <w:r w:rsidR="00C76FB2" w:rsidRPr="00AC44D8">
              <w:rPr>
                <w:i/>
                <w:iCs/>
              </w:rPr>
              <w:t>.</w:t>
            </w:r>
          </w:p>
        </w:tc>
      </w:tr>
      <w:tr w:rsidR="00C76FB2" w:rsidRPr="00AC44D8" w:rsidTr="00AC44D8">
        <w:tc>
          <w:tcPr>
            <w:tcW w:w="2488" w:type="dxa"/>
            <w:shd w:val="clear" w:color="auto" w:fill="auto"/>
          </w:tcPr>
          <w:p w:rsidR="00C76FB2" w:rsidRPr="00AC44D8" w:rsidRDefault="00C76FB2" w:rsidP="00AC44D8">
            <w:pPr>
              <w:rPr>
                <w:bCs/>
              </w:rPr>
            </w:pPr>
            <w:r w:rsidRPr="00AC44D8">
              <w:rPr>
                <w:bCs/>
              </w:rPr>
              <w:t>Esošais izlietotais finansējums un saņēmēju skaits</w:t>
            </w:r>
          </w:p>
        </w:tc>
        <w:tc>
          <w:tcPr>
            <w:tcW w:w="6799" w:type="dxa"/>
            <w:shd w:val="clear" w:color="auto" w:fill="auto"/>
          </w:tcPr>
          <w:p w:rsidR="00C76FB2" w:rsidRPr="00A51135" w:rsidRDefault="00A51135" w:rsidP="00A51135">
            <w:pPr>
              <w:jc w:val="both"/>
              <w:rPr>
                <w:bCs/>
              </w:rPr>
            </w:pPr>
            <w:r>
              <w:rPr>
                <w:rFonts w:eastAsia="Calibri"/>
                <w:color w:val="000000"/>
                <w:lang w:eastAsia="lv-LV"/>
              </w:rPr>
              <w:t xml:space="preserve">2013.gadā IIN neapliekamā minimuma </w:t>
            </w:r>
            <w:r w:rsidRPr="00A51135">
              <w:rPr>
                <w:rFonts w:eastAsia="Calibri"/>
                <w:color w:val="000000"/>
                <w:lang w:eastAsia="lv-LV"/>
              </w:rPr>
              <w:t xml:space="preserve">saņēmēju skaits bija 752 294 fiziskās personas, savukārt šīm fiziskajām personām piemērotais </w:t>
            </w:r>
            <w:r>
              <w:rPr>
                <w:rFonts w:eastAsia="Calibri"/>
                <w:color w:val="000000"/>
                <w:lang w:eastAsia="lv-LV"/>
              </w:rPr>
              <w:t>IIN</w:t>
            </w:r>
            <w:r w:rsidRPr="00A51135">
              <w:rPr>
                <w:rFonts w:eastAsia="Calibri"/>
                <w:color w:val="000000"/>
                <w:lang w:eastAsia="lv-LV"/>
              </w:rPr>
              <w:t xml:space="preserve"> </w:t>
            </w:r>
            <w:r>
              <w:rPr>
                <w:rFonts w:eastAsia="Calibri"/>
                <w:color w:val="000000"/>
                <w:lang w:eastAsia="lv-LV"/>
              </w:rPr>
              <w:t xml:space="preserve">neapliekamā minimuma </w:t>
            </w:r>
            <w:r w:rsidRPr="00A51135">
              <w:rPr>
                <w:rFonts w:eastAsia="Calibri"/>
                <w:color w:val="000000"/>
                <w:lang w:eastAsia="lv-LV"/>
              </w:rPr>
              <w:t xml:space="preserve">apmērs bija 492 859 657,28 </w:t>
            </w:r>
            <w:proofErr w:type="spellStart"/>
            <w:r w:rsidRPr="00A51135">
              <w:rPr>
                <w:rFonts w:eastAsia="Calibri"/>
                <w:i/>
                <w:color w:val="000000"/>
                <w:lang w:eastAsia="lv-LV"/>
              </w:rPr>
              <w:t>euro</w:t>
            </w:r>
            <w:proofErr w:type="spellEnd"/>
            <w:r w:rsidRPr="00A51135">
              <w:rPr>
                <w:rFonts w:eastAsia="Calibri"/>
                <w:color w:val="000000"/>
                <w:lang w:eastAsia="lv-LV"/>
              </w:rPr>
              <w:t>.</w:t>
            </w:r>
            <w:r>
              <w:rPr>
                <w:rFonts w:eastAsia="Calibri"/>
                <w:color w:val="000000"/>
                <w:lang w:eastAsia="lv-LV"/>
              </w:rPr>
              <w:t xml:space="preserve"> Attiecīgi</w:t>
            </w:r>
            <w:r w:rsidRPr="00A51135">
              <w:rPr>
                <w:rFonts w:eastAsia="Calibri"/>
                <w:color w:val="000000"/>
                <w:lang w:eastAsia="lv-LV"/>
              </w:rPr>
              <w:t xml:space="preserve"> negūtie ieņēmumi 2013.gadā</w:t>
            </w:r>
            <w:r>
              <w:rPr>
                <w:rFonts w:eastAsia="Calibri"/>
                <w:color w:val="000000"/>
                <w:lang w:eastAsia="lv-LV"/>
              </w:rPr>
              <w:t xml:space="preserve"> veidoja 118 286 317,75 </w:t>
            </w:r>
            <w:proofErr w:type="spellStart"/>
            <w:r w:rsidRPr="00A51135">
              <w:rPr>
                <w:rFonts w:eastAsia="Calibri"/>
                <w:i/>
                <w:color w:val="000000"/>
                <w:lang w:eastAsia="lv-LV"/>
              </w:rPr>
              <w:t>euro</w:t>
            </w:r>
            <w:proofErr w:type="spellEnd"/>
            <w:r>
              <w:rPr>
                <w:rFonts w:eastAsia="Calibri"/>
                <w:color w:val="000000"/>
                <w:lang w:eastAsia="lv-LV"/>
              </w:rPr>
              <w:t>.</w:t>
            </w:r>
          </w:p>
        </w:tc>
      </w:tr>
      <w:tr w:rsidR="00C76FB2" w:rsidRPr="008911F4" w:rsidTr="00AC44D8">
        <w:tc>
          <w:tcPr>
            <w:tcW w:w="2488" w:type="dxa"/>
            <w:shd w:val="clear" w:color="auto" w:fill="auto"/>
          </w:tcPr>
          <w:p w:rsidR="00C76FB2" w:rsidRPr="00AC44D8" w:rsidRDefault="00C76FB2" w:rsidP="00AC44D8">
            <w:pPr>
              <w:rPr>
                <w:bCs/>
              </w:rPr>
            </w:pPr>
            <w:r w:rsidRPr="00AC44D8">
              <w:rPr>
                <w:bCs/>
              </w:rPr>
              <w:t>Nepieciešamie finanšu līdzekļi</w:t>
            </w:r>
            <w:r w:rsidR="00ED609E">
              <w:rPr>
                <w:bCs/>
              </w:rPr>
              <w:t xml:space="preserve"> (indikatīvi)</w:t>
            </w:r>
          </w:p>
        </w:tc>
        <w:tc>
          <w:tcPr>
            <w:tcW w:w="6799" w:type="dxa"/>
            <w:shd w:val="clear" w:color="auto" w:fill="auto"/>
          </w:tcPr>
          <w:p w:rsidR="001533E1" w:rsidRDefault="00C76FB2" w:rsidP="00AC44D8">
            <w:pPr>
              <w:jc w:val="both"/>
            </w:pPr>
            <w:r w:rsidRPr="008911F4">
              <w:t xml:space="preserve">Nepaliekamo minimumu palielinot no 75 </w:t>
            </w:r>
            <w:proofErr w:type="spellStart"/>
            <w:r w:rsidRPr="00AC44D8">
              <w:rPr>
                <w:i/>
                <w:iCs/>
              </w:rPr>
              <w:t>euro</w:t>
            </w:r>
            <w:proofErr w:type="spellEnd"/>
            <w:r w:rsidRPr="008911F4">
              <w:t xml:space="preserve"> līdz 129 </w:t>
            </w:r>
            <w:proofErr w:type="spellStart"/>
            <w:r w:rsidRPr="00AC44D8">
              <w:rPr>
                <w:i/>
                <w:iCs/>
              </w:rPr>
              <w:t>euro</w:t>
            </w:r>
            <w:proofErr w:type="spellEnd"/>
            <w:r w:rsidRPr="008911F4">
              <w:t xml:space="preserve">, tas samazinās ieņēmumus </w:t>
            </w:r>
            <w:r w:rsidR="00331B1D" w:rsidRPr="008911F4">
              <w:t xml:space="preserve">2017.gada </w:t>
            </w:r>
            <w:r w:rsidRPr="008911F4">
              <w:t xml:space="preserve">kopbudžetā par 86,6 milj. </w:t>
            </w:r>
            <w:proofErr w:type="spellStart"/>
            <w:r w:rsidRPr="00AC44D8">
              <w:rPr>
                <w:i/>
                <w:iCs/>
              </w:rPr>
              <w:t>euro</w:t>
            </w:r>
            <w:proofErr w:type="spellEnd"/>
            <w:r w:rsidRPr="008911F4">
              <w:t xml:space="preserve"> (pilna gada ietekme ir -</w:t>
            </w:r>
            <w:r>
              <w:t xml:space="preserve"> </w:t>
            </w:r>
            <w:r w:rsidRPr="008911F4">
              <w:t xml:space="preserve">94,4 </w:t>
            </w:r>
            <w:proofErr w:type="spellStart"/>
            <w:r w:rsidRPr="008911F4">
              <w:t>milj.</w:t>
            </w:r>
            <w:r w:rsidRPr="00AC44D8">
              <w:rPr>
                <w:i/>
                <w:iCs/>
              </w:rPr>
              <w:t>euro</w:t>
            </w:r>
            <w:proofErr w:type="spellEnd"/>
            <w:r w:rsidRPr="00AC44D8">
              <w:rPr>
                <w:rStyle w:val="FootnoteReference"/>
                <w:i/>
                <w:iCs/>
              </w:rPr>
              <w:footnoteReference w:id="107"/>
            </w:r>
            <w:r w:rsidRPr="008911F4">
              <w:t>).</w:t>
            </w:r>
          </w:p>
          <w:p w:rsidR="00B574E0" w:rsidRPr="008911F4" w:rsidRDefault="00B574E0" w:rsidP="00AC44D8">
            <w:pPr>
              <w:jc w:val="both"/>
            </w:pPr>
          </w:p>
        </w:tc>
      </w:tr>
      <w:tr w:rsidR="00572419" w:rsidRPr="00AC44D8" w:rsidTr="00AC44D8">
        <w:tc>
          <w:tcPr>
            <w:tcW w:w="9287" w:type="dxa"/>
            <w:gridSpan w:val="2"/>
            <w:shd w:val="clear" w:color="auto" w:fill="F2F2F2"/>
          </w:tcPr>
          <w:p w:rsidR="00572419" w:rsidRPr="00AC44D8" w:rsidRDefault="00572419" w:rsidP="00AC44D8">
            <w:pPr>
              <w:jc w:val="center"/>
              <w:rPr>
                <w:b/>
              </w:rPr>
            </w:pPr>
            <w:r w:rsidRPr="00AC44D8">
              <w:rPr>
                <w:b/>
              </w:rPr>
              <w:lastRenderedPageBreak/>
              <w:t>Sociālā palīdzība</w:t>
            </w:r>
          </w:p>
        </w:tc>
      </w:tr>
      <w:tr w:rsidR="00572419" w:rsidRPr="00AC44D8" w:rsidTr="00AC44D8">
        <w:trPr>
          <w:trHeight w:val="1015"/>
        </w:trPr>
        <w:tc>
          <w:tcPr>
            <w:tcW w:w="2488" w:type="dxa"/>
            <w:shd w:val="clear" w:color="auto" w:fill="auto"/>
          </w:tcPr>
          <w:p w:rsidR="00572419" w:rsidRPr="00AC44D8" w:rsidRDefault="00572419" w:rsidP="00572419">
            <w:pPr>
              <w:rPr>
                <w:bCs/>
              </w:rPr>
            </w:pPr>
            <w:r w:rsidRPr="00AC44D8">
              <w:rPr>
                <w:bCs/>
              </w:rPr>
              <w:t xml:space="preserve">Esošā situācija </w:t>
            </w:r>
          </w:p>
        </w:tc>
        <w:tc>
          <w:tcPr>
            <w:tcW w:w="6799" w:type="dxa"/>
            <w:shd w:val="clear" w:color="auto" w:fill="auto"/>
          </w:tcPr>
          <w:p w:rsidR="00572419" w:rsidRPr="00AC44D8" w:rsidRDefault="00572419" w:rsidP="00AC44D8">
            <w:pPr>
              <w:jc w:val="both"/>
              <w:rPr>
                <w:bCs/>
              </w:rPr>
            </w:pPr>
            <w:r w:rsidRPr="00572419">
              <w:t>Sociālā palīdzība</w:t>
            </w:r>
            <w:r w:rsidRPr="00974B4D">
              <w:t xml:space="preserve"> </w:t>
            </w:r>
            <w:r>
              <w:t>tiek finansēta no pašvaldību budžetiem. Valsts noteiktie obligāti izmaksājamie pabalsti ir pabalsts GMI līmeņa nodrošināšanai, dzīvokļa pabalsts un vienreizējs pabalsts krīzes situācijā.</w:t>
            </w:r>
          </w:p>
        </w:tc>
      </w:tr>
      <w:tr w:rsidR="00572419" w:rsidRPr="00AC44D8" w:rsidTr="00AC44D8">
        <w:tc>
          <w:tcPr>
            <w:tcW w:w="2488" w:type="dxa"/>
            <w:shd w:val="clear" w:color="auto" w:fill="auto"/>
          </w:tcPr>
          <w:p w:rsidR="00572419" w:rsidRPr="00AC44D8" w:rsidRDefault="00572419" w:rsidP="00572419">
            <w:pPr>
              <w:rPr>
                <w:bCs/>
              </w:rPr>
            </w:pPr>
            <w:r w:rsidRPr="00AC44D8">
              <w:rPr>
                <w:bCs/>
              </w:rPr>
              <w:t xml:space="preserve">Piedāvātais risinājums </w:t>
            </w:r>
          </w:p>
        </w:tc>
        <w:tc>
          <w:tcPr>
            <w:tcW w:w="6799" w:type="dxa"/>
            <w:shd w:val="clear" w:color="auto" w:fill="auto"/>
          </w:tcPr>
          <w:p w:rsidR="00572419" w:rsidRPr="00AC44D8" w:rsidRDefault="00572419" w:rsidP="001533E1">
            <w:pPr>
              <w:jc w:val="both"/>
              <w:rPr>
                <w:bCs/>
              </w:rPr>
            </w:pPr>
            <w:r>
              <w:t xml:space="preserve">Palielināt esošo GMI līmeni no 50 </w:t>
            </w:r>
            <w:proofErr w:type="spellStart"/>
            <w:r w:rsidRPr="00AC44D8">
              <w:rPr>
                <w:i/>
                <w:iCs/>
              </w:rPr>
              <w:t>euro</w:t>
            </w:r>
            <w:proofErr w:type="spellEnd"/>
            <w:r>
              <w:t xml:space="preserve"> līdz 129 </w:t>
            </w:r>
            <w:proofErr w:type="spellStart"/>
            <w:r w:rsidRPr="00AC44D8">
              <w:rPr>
                <w:i/>
                <w:iCs/>
              </w:rPr>
              <w:t>euro</w:t>
            </w:r>
            <w:proofErr w:type="spellEnd"/>
            <w:r w:rsidRPr="00AC44D8">
              <w:rPr>
                <w:i/>
                <w:iCs/>
              </w:rPr>
              <w:t xml:space="preserve"> </w:t>
            </w:r>
            <w:r>
              <w:t>pirmajam mājsaimniecības loceklim, pārējie</w:t>
            </w:r>
            <w:r w:rsidR="00B70C98">
              <w:t>m</w:t>
            </w:r>
            <w:r>
              <w:t xml:space="preserve"> piemērojot </w:t>
            </w:r>
            <w:r w:rsidR="001533E1">
              <w:t xml:space="preserve">attiecīgās ekvivalences skalas, vienlaicīgi izvērtējot valsts līdzfinansējuma ieviešanu GMI pabalsta nodrošināšanā. </w:t>
            </w:r>
          </w:p>
        </w:tc>
      </w:tr>
      <w:tr w:rsidR="00572419" w:rsidRPr="00AC44D8" w:rsidTr="00AC44D8">
        <w:tc>
          <w:tcPr>
            <w:tcW w:w="2488" w:type="dxa"/>
            <w:shd w:val="clear" w:color="auto" w:fill="auto"/>
          </w:tcPr>
          <w:p w:rsidR="00572419" w:rsidRPr="00AC44D8" w:rsidRDefault="00572419" w:rsidP="00572419">
            <w:pPr>
              <w:rPr>
                <w:bCs/>
              </w:rPr>
            </w:pPr>
            <w:r w:rsidRPr="00AC44D8">
              <w:rPr>
                <w:bCs/>
              </w:rPr>
              <w:t>Esošais izlietotais finansējums un saņēmēju skaits</w:t>
            </w:r>
          </w:p>
        </w:tc>
        <w:tc>
          <w:tcPr>
            <w:tcW w:w="6799" w:type="dxa"/>
            <w:shd w:val="clear" w:color="auto" w:fill="auto"/>
          </w:tcPr>
          <w:p w:rsidR="00572419" w:rsidRPr="00AC44D8" w:rsidRDefault="00572419" w:rsidP="00AC44D8">
            <w:pPr>
              <w:jc w:val="both"/>
              <w:rPr>
                <w:bCs/>
              </w:rPr>
            </w:pPr>
            <w:r>
              <w:t xml:space="preserve">Pašvaldību izlietotie līdzekļi GMI pabalsta izmaksai 2013.gadā veidoja 13,5 milj. </w:t>
            </w:r>
            <w:proofErr w:type="spellStart"/>
            <w:r w:rsidRPr="00AC44D8">
              <w:rPr>
                <w:i/>
                <w:iCs/>
              </w:rPr>
              <w:t>euro</w:t>
            </w:r>
            <w:proofErr w:type="spellEnd"/>
            <w:r w:rsidRPr="00AC44D8">
              <w:rPr>
                <w:i/>
                <w:iCs/>
              </w:rPr>
              <w:t xml:space="preserve"> </w:t>
            </w:r>
            <w:r>
              <w:t>gadā, izmaksājot GMI pabalstu 64 408 iedzīvotājiem.</w:t>
            </w:r>
          </w:p>
        </w:tc>
      </w:tr>
      <w:tr w:rsidR="00572419" w:rsidRPr="00AC44D8" w:rsidTr="00AC44D8">
        <w:tc>
          <w:tcPr>
            <w:tcW w:w="2488" w:type="dxa"/>
            <w:shd w:val="clear" w:color="auto" w:fill="auto"/>
          </w:tcPr>
          <w:p w:rsidR="00572419" w:rsidRPr="00AC44D8" w:rsidRDefault="00572419" w:rsidP="00572419">
            <w:pPr>
              <w:rPr>
                <w:bCs/>
              </w:rPr>
            </w:pPr>
            <w:r w:rsidRPr="00AC44D8">
              <w:rPr>
                <w:bCs/>
              </w:rPr>
              <w:t>Nepieciešami</w:t>
            </w:r>
            <w:r w:rsidR="00414405" w:rsidRPr="00AC44D8">
              <w:rPr>
                <w:bCs/>
              </w:rPr>
              <w:t>e</w:t>
            </w:r>
            <w:r w:rsidRPr="00AC44D8">
              <w:rPr>
                <w:bCs/>
              </w:rPr>
              <w:t xml:space="preserve"> </w:t>
            </w:r>
            <w:r w:rsidR="00414405" w:rsidRPr="00AC44D8">
              <w:rPr>
                <w:bCs/>
              </w:rPr>
              <w:t xml:space="preserve">finanšu </w:t>
            </w:r>
            <w:r w:rsidRPr="00AC44D8">
              <w:rPr>
                <w:bCs/>
              </w:rPr>
              <w:t>līdzekļi</w:t>
            </w:r>
          </w:p>
        </w:tc>
        <w:tc>
          <w:tcPr>
            <w:tcW w:w="6799" w:type="dxa"/>
            <w:shd w:val="clear" w:color="auto" w:fill="auto"/>
          </w:tcPr>
          <w:p w:rsidR="00572419" w:rsidRPr="00AC44D8" w:rsidRDefault="00572419" w:rsidP="001533E1">
            <w:pPr>
              <w:jc w:val="both"/>
              <w:rPr>
                <w:bCs/>
              </w:rPr>
            </w:pPr>
            <w:r>
              <w:t xml:space="preserve">Palielinot GMI līmeni, piemērojot noteiktās </w:t>
            </w:r>
            <w:r w:rsidR="00B54A84">
              <w:t>ekvivalences skalas (1; 0.7; 0.7</w:t>
            </w:r>
            <w:r>
              <w:t>), pašvaldību izdevumi palielinātos par 3</w:t>
            </w:r>
            <w:r w:rsidR="001A335C">
              <w:t>7,9</w:t>
            </w:r>
            <w:r>
              <w:t xml:space="preserve"> milj. </w:t>
            </w:r>
            <w:proofErr w:type="spellStart"/>
            <w:r w:rsidRPr="00AC44D8">
              <w:rPr>
                <w:i/>
                <w:iCs/>
              </w:rPr>
              <w:t>euro</w:t>
            </w:r>
            <w:proofErr w:type="spellEnd"/>
            <w:r w:rsidRPr="00AC44D8">
              <w:rPr>
                <w:i/>
                <w:iCs/>
              </w:rPr>
              <w:t xml:space="preserve"> </w:t>
            </w:r>
            <w:r>
              <w:t xml:space="preserve">gadā. </w:t>
            </w:r>
          </w:p>
        </w:tc>
      </w:tr>
      <w:tr w:rsidR="00360DE1" w:rsidRPr="008911F4" w:rsidTr="00FF2680">
        <w:tc>
          <w:tcPr>
            <w:tcW w:w="2488" w:type="dxa"/>
            <w:shd w:val="clear" w:color="auto" w:fill="auto"/>
          </w:tcPr>
          <w:p w:rsidR="00360DE1" w:rsidRPr="00AC44D8" w:rsidRDefault="00360DE1" w:rsidP="00FF2680">
            <w:pPr>
              <w:rPr>
                <w:bCs/>
              </w:rPr>
            </w:pPr>
            <w:r>
              <w:rPr>
                <w:bCs/>
              </w:rPr>
              <w:t>Finansiālā</w:t>
            </w:r>
            <w:r w:rsidR="00211366">
              <w:rPr>
                <w:bCs/>
              </w:rPr>
              <w:t>s</w:t>
            </w:r>
            <w:r>
              <w:rPr>
                <w:bCs/>
              </w:rPr>
              <w:t xml:space="preserve"> ietekme</w:t>
            </w:r>
            <w:r w:rsidR="00211366">
              <w:rPr>
                <w:bCs/>
              </w:rPr>
              <w:t>s detalizēts aprēķins</w:t>
            </w:r>
          </w:p>
        </w:tc>
        <w:tc>
          <w:tcPr>
            <w:tcW w:w="6799" w:type="dxa"/>
            <w:shd w:val="clear" w:color="auto" w:fill="auto"/>
          </w:tcPr>
          <w:p w:rsidR="00360DE1" w:rsidRPr="00ED609E" w:rsidRDefault="00E1460B" w:rsidP="00E1460B">
            <w:pPr>
              <w:jc w:val="both"/>
            </w:pPr>
            <w:r>
              <w:t>Sociālajā palīdzībā veikto izmaiņu i</w:t>
            </w:r>
            <w:r w:rsidR="00211366" w:rsidRPr="00360DE1">
              <w:t xml:space="preserve">etekme uz valsts un pašvaldību budžetiem tiks vērtēta, izstrādājot </w:t>
            </w:r>
            <w:r w:rsidR="00211366" w:rsidRPr="00360DE1">
              <w:rPr>
                <w:i/>
              </w:rPr>
              <w:t>Plānu minimālā ienākuma līmeņa ieviešanai</w:t>
            </w:r>
            <w:r w:rsidR="00211366">
              <w:t>.</w:t>
            </w:r>
          </w:p>
        </w:tc>
      </w:tr>
      <w:tr w:rsidR="005A78D1" w:rsidRPr="00AC44D8" w:rsidTr="00AC44D8">
        <w:tc>
          <w:tcPr>
            <w:tcW w:w="9287" w:type="dxa"/>
            <w:gridSpan w:val="2"/>
            <w:shd w:val="clear" w:color="auto" w:fill="F2F2F2"/>
          </w:tcPr>
          <w:p w:rsidR="005A78D1" w:rsidRPr="00AC44D8" w:rsidRDefault="005A78D1" w:rsidP="00AC44D8">
            <w:pPr>
              <w:jc w:val="center"/>
              <w:rPr>
                <w:bCs/>
              </w:rPr>
            </w:pPr>
            <w:r w:rsidRPr="00AC44D8">
              <w:rPr>
                <w:b/>
                <w:bCs/>
              </w:rPr>
              <w:t>Minimālās pensijas</w:t>
            </w:r>
          </w:p>
        </w:tc>
      </w:tr>
      <w:tr w:rsidR="00572419" w:rsidRPr="00AC44D8" w:rsidTr="00AC44D8">
        <w:tc>
          <w:tcPr>
            <w:tcW w:w="2488" w:type="dxa"/>
            <w:shd w:val="clear" w:color="auto" w:fill="auto"/>
          </w:tcPr>
          <w:p w:rsidR="00572419" w:rsidRPr="00AC44D8" w:rsidRDefault="00572419" w:rsidP="00A01D5E">
            <w:pPr>
              <w:rPr>
                <w:bCs/>
              </w:rPr>
            </w:pPr>
            <w:r w:rsidRPr="00AC44D8">
              <w:rPr>
                <w:bCs/>
              </w:rPr>
              <w:t xml:space="preserve">Esošā situācija </w:t>
            </w:r>
          </w:p>
        </w:tc>
        <w:tc>
          <w:tcPr>
            <w:tcW w:w="6799" w:type="dxa"/>
            <w:shd w:val="clear" w:color="auto" w:fill="auto"/>
          </w:tcPr>
          <w:p w:rsidR="00572419" w:rsidRPr="005A78D1" w:rsidRDefault="005A78D1" w:rsidP="00AC44D8">
            <w:pPr>
              <w:jc w:val="both"/>
            </w:pPr>
            <w:r w:rsidRPr="005A78D1">
              <w:t>Minimālās pensijas</w:t>
            </w:r>
            <w:r>
              <w:t xml:space="preserve"> tiek finansētas no valsts speciālā apdrošināšanas budžeta un tās veidojas, pamatojoties uz indivīda veikto apdrošināšanas iemaksu apmēru un darba stāža ilgumu jeb nostrādātajiem gadiem. </w:t>
            </w:r>
          </w:p>
        </w:tc>
      </w:tr>
      <w:tr w:rsidR="00572419" w:rsidRPr="00AC44D8" w:rsidTr="00AC44D8">
        <w:tc>
          <w:tcPr>
            <w:tcW w:w="2488" w:type="dxa"/>
            <w:shd w:val="clear" w:color="auto" w:fill="auto"/>
          </w:tcPr>
          <w:p w:rsidR="00572419" w:rsidRPr="00AC44D8" w:rsidRDefault="00572419" w:rsidP="00A01D5E">
            <w:pPr>
              <w:rPr>
                <w:bCs/>
              </w:rPr>
            </w:pPr>
            <w:r w:rsidRPr="00AC44D8">
              <w:rPr>
                <w:bCs/>
              </w:rPr>
              <w:t xml:space="preserve">Piedāvātais risinājums </w:t>
            </w:r>
          </w:p>
        </w:tc>
        <w:tc>
          <w:tcPr>
            <w:tcW w:w="6799" w:type="dxa"/>
            <w:shd w:val="clear" w:color="auto" w:fill="auto"/>
          </w:tcPr>
          <w:p w:rsidR="00572419" w:rsidRPr="00AC44D8" w:rsidRDefault="005E726C" w:rsidP="00572419">
            <w:pPr>
              <w:rPr>
                <w:bCs/>
              </w:rPr>
            </w:pPr>
            <w:r w:rsidRPr="00AC44D8">
              <w:rPr>
                <w:bCs/>
              </w:rPr>
              <w:t xml:space="preserve">Palielināt minimālās pensijas apmēru līdz 129 </w:t>
            </w:r>
            <w:proofErr w:type="spellStart"/>
            <w:r w:rsidRPr="00AC44D8">
              <w:rPr>
                <w:bCs/>
                <w:i/>
                <w:iCs/>
              </w:rPr>
              <w:t>euro</w:t>
            </w:r>
            <w:proofErr w:type="spellEnd"/>
            <w:r w:rsidRPr="00AC44D8">
              <w:rPr>
                <w:bCs/>
              </w:rPr>
              <w:t>.</w:t>
            </w:r>
          </w:p>
        </w:tc>
      </w:tr>
      <w:tr w:rsidR="00572419" w:rsidRPr="00AC44D8" w:rsidTr="00AC44D8">
        <w:tc>
          <w:tcPr>
            <w:tcW w:w="2488" w:type="dxa"/>
            <w:shd w:val="clear" w:color="auto" w:fill="auto"/>
          </w:tcPr>
          <w:p w:rsidR="00572419" w:rsidRPr="00AC44D8" w:rsidRDefault="00572419" w:rsidP="00A01D5E">
            <w:pPr>
              <w:rPr>
                <w:bCs/>
              </w:rPr>
            </w:pPr>
            <w:r w:rsidRPr="00AC44D8">
              <w:rPr>
                <w:bCs/>
              </w:rPr>
              <w:t>Esošais izlietotais finansējums un saņēmēju skaits</w:t>
            </w:r>
          </w:p>
        </w:tc>
        <w:tc>
          <w:tcPr>
            <w:tcW w:w="6799" w:type="dxa"/>
            <w:shd w:val="clear" w:color="auto" w:fill="auto"/>
          </w:tcPr>
          <w:p w:rsidR="00572419" w:rsidRPr="00AC44D8" w:rsidRDefault="00275697" w:rsidP="00AC44D8">
            <w:pPr>
              <w:jc w:val="both"/>
              <w:rPr>
                <w:bCs/>
              </w:rPr>
            </w:pPr>
            <w:r>
              <w:t xml:space="preserve">2014.gada </w:t>
            </w:r>
            <w:r w:rsidR="00D43CD3">
              <w:t>jūnijā</w:t>
            </w:r>
            <w:r>
              <w:t xml:space="preserve"> pensijas (vecuma, invaliditātes, izdienas, apgādnieka zaudējuma un darbspēju zaudējuma) ar piemaksām, kuru apmēri bija zem 129 </w:t>
            </w:r>
            <w:proofErr w:type="spellStart"/>
            <w:r w:rsidRPr="00AC44D8">
              <w:rPr>
                <w:i/>
                <w:iCs/>
              </w:rPr>
              <w:t>euro</w:t>
            </w:r>
            <w:proofErr w:type="spellEnd"/>
            <w:r w:rsidR="00D43CD3">
              <w:t>, saņēma 70 511</w:t>
            </w:r>
            <w:r>
              <w:t xml:space="preserve"> cilvēki.</w:t>
            </w:r>
          </w:p>
        </w:tc>
      </w:tr>
      <w:tr w:rsidR="00572419" w:rsidRPr="00AC44D8" w:rsidTr="00AC44D8">
        <w:tc>
          <w:tcPr>
            <w:tcW w:w="2488" w:type="dxa"/>
            <w:shd w:val="clear" w:color="auto" w:fill="auto"/>
          </w:tcPr>
          <w:p w:rsidR="00572419" w:rsidRPr="00AC44D8" w:rsidRDefault="00414405" w:rsidP="00A01D5E">
            <w:pPr>
              <w:rPr>
                <w:bCs/>
              </w:rPr>
            </w:pPr>
            <w:r w:rsidRPr="00AC44D8">
              <w:rPr>
                <w:bCs/>
              </w:rPr>
              <w:t>Nepieciešamie finanšu līdzekļi</w:t>
            </w:r>
          </w:p>
        </w:tc>
        <w:tc>
          <w:tcPr>
            <w:tcW w:w="6799" w:type="dxa"/>
            <w:shd w:val="clear" w:color="auto" w:fill="auto"/>
          </w:tcPr>
          <w:p w:rsidR="00572419" w:rsidRPr="00AC44D8" w:rsidRDefault="00275697" w:rsidP="00AC44D8">
            <w:pPr>
              <w:jc w:val="both"/>
              <w:rPr>
                <w:bCs/>
              </w:rPr>
            </w:pPr>
            <w:r>
              <w:t xml:space="preserve">Ja minimālo pensiju apmēri tiek palielināti līdz piedāvātajam minimālā ienākuma līmenim, t.i., 129 </w:t>
            </w:r>
            <w:proofErr w:type="spellStart"/>
            <w:r w:rsidRPr="00AC44D8">
              <w:rPr>
                <w:i/>
                <w:iCs/>
              </w:rPr>
              <w:t>euro</w:t>
            </w:r>
            <w:proofErr w:type="spellEnd"/>
            <w:r>
              <w:t xml:space="preserve">, tad papildus ir </w:t>
            </w:r>
            <w:r w:rsidRPr="00A923BD">
              <w:t xml:space="preserve">nepieciešami </w:t>
            </w:r>
            <w:r w:rsidR="00A923BD" w:rsidRPr="00A923BD">
              <w:t>35,7</w:t>
            </w:r>
            <w:r w:rsidRPr="00A923BD">
              <w:t xml:space="preserve"> milj.</w:t>
            </w:r>
            <w:r>
              <w:t xml:space="preserve"> </w:t>
            </w:r>
            <w:proofErr w:type="spellStart"/>
            <w:r w:rsidRPr="00AC44D8">
              <w:rPr>
                <w:i/>
                <w:iCs/>
              </w:rPr>
              <w:t>euro</w:t>
            </w:r>
            <w:proofErr w:type="spellEnd"/>
            <w:r>
              <w:t xml:space="preserve"> gadā.</w:t>
            </w:r>
            <w:r w:rsidR="005E726C">
              <w:t xml:space="preserve"> Savukārt, ja palielina valsts sociālā nodrošinājuma pabalsta apmēru no 64 </w:t>
            </w:r>
            <w:proofErr w:type="spellStart"/>
            <w:r w:rsidR="005E726C" w:rsidRPr="00AC44D8">
              <w:rPr>
                <w:i/>
                <w:iCs/>
              </w:rPr>
              <w:t>euro</w:t>
            </w:r>
            <w:proofErr w:type="spellEnd"/>
            <w:r w:rsidR="005E726C">
              <w:t xml:space="preserve"> līdz 129 </w:t>
            </w:r>
            <w:proofErr w:type="spellStart"/>
            <w:r w:rsidR="005E726C" w:rsidRPr="00AC44D8">
              <w:rPr>
                <w:i/>
                <w:iCs/>
              </w:rPr>
              <w:t>euro</w:t>
            </w:r>
            <w:proofErr w:type="spellEnd"/>
            <w:r w:rsidR="005E726C">
              <w:t xml:space="preserve">, kā rezultātā pieaugtu ne tikai vecuma pensijas, bet arī </w:t>
            </w:r>
            <w:proofErr w:type="gramStart"/>
            <w:r w:rsidR="005E726C">
              <w:t>citi pensiju</w:t>
            </w:r>
            <w:proofErr w:type="gramEnd"/>
            <w:r w:rsidR="005E726C">
              <w:t xml:space="preserve"> un pabalstu</w:t>
            </w:r>
            <w:r w:rsidR="005E726C">
              <w:rPr>
                <w:rStyle w:val="FootnoteReference"/>
              </w:rPr>
              <w:footnoteReference w:id="108"/>
            </w:r>
            <w:r w:rsidR="005E726C">
              <w:t xml:space="preserve"> apmēri, kuri izriet no minētā pabalsta, tad papildus gadā ir </w:t>
            </w:r>
            <w:r w:rsidR="005E726C" w:rsidRPr="00A923BD">
              <w:t xml:space="preserve">nepieciešami </w:t>
            </w:r>
            <w:r w:rsidR="00A923BD" w:rsidRPr="00A923BD">
              <w:t>91,3</w:t>
            </w:r>
            <w:r w:rsidR="005E726C" w:rsidRPr="00A923BD">
              <w:t xml:space="preserve"> milj. </w:t>
            </w:r>
            <w:proofErr w:type="spellStart"/>
            <w:r w:rsidR="005E726C" w:rsidRPr="00AC44D8">
              <w:rPr>
                <w:i/>
                <w:iCs/>
              </w:rPr>
              <w:t>euro</w:t>
            </w:r>
            <w:proofErr w:type="spellEnd"/>
            <w:r w:rsidR="005E726C" w:rsidRPr="00AC44D8">
              <w:rPr>
                <w:i/>
                <w:iCs/>
              </w:rPr>
              <w:t>.</w:t>
            </w:r>
          </w:p>
        </w:tc>
      </w:tr>
      <w:tr w:rsidR="00211366" w:rsidRPr="008911F4" w:rsidTr="00FF2680">
        <w:tc>
          <w:tcPr>
            <w:tcW w:w="2488" w:type="dxa"/>
            <w:shd w:val="clear" w:color="auto" w:fill="auto"/>
          </w:tcPr>
          <w:p w:rsidR="00211366" w:rsidRPr="00AC44D8" w:rsidRDefault="00211366" w:rsidP="00FF2680">
            <w:pPr>
              <w:rPr>
                <w:bCs/>
              </w:rPr>
            </w:pPr>
            <w:r>
              <w:rPr>
                <w:bCs/>
              </w:rPr>
              <w:t>Finansiālās ietekmes detalizēts aprēķins</w:t>
            </w:r>
          </w:p>
        </w:tc>
        <w:tc>
          <w:tcPr>
            <w:tcW w:w="6799" w:type="dxa"/>
            <w:shd w:val="clear" w:color="auto" w:fill="auto"/>
          </w:tcPr>
          <w:p w:rsidR="00211366" w:rsidRPr="00ED609E" w:rsidRDefault="00E1460B" w:rsidP="00271068">
            <w:pPr>
              <w:jc w:val="both"/>
            </w:pPr>
            <w:r>
              <w:t>Minimālo pensiju jomā veikto izmaiņu i</w:t>
            </w:r>
            <w:r w:rsidR="00211366" w:rsidRPr="00360DE1">
              <w:t xml:space="preserve">etekme uz valsts </w:t>
            </w:r>
            <w:r w:rsidR="00271068">
              <w:t>budžetu</w:t>
            </w:r>
            <w:r w:rsidR="00211366" w:rsidRPr="00360DE1">
              <w:t xml:space="preserve"> tiks vērtēta, izstrādājot </w:t>
            </w:r>
            <w:r w:rsidR="00211366" w:rsidRPr="00360DE1">
              <w:rPr>
                <w:i/>
              </w:rPr>
              <w:t>Plānu minimālā ienākuma līmeņa ieviešanai</w:t>
            </w:r>
            <w:r w:rsidR="00211366">
              <w:t>.</w:t>
            </w:r>
          </w:p>
        </w:tc>
      </w:tr>
      <w:tr w:rsidR="00275697" w:rsidRPr="00AC44D8" w:rsidTr="00AC44D8">
        <w:tc>
          <w:tcPr>
            <w:tcW w:w="9287" w:type="dxa"/>
            <w:gridSpan w:val="2"/>
            <w:shd w:val="clear" w:color="auto" w:fill="F2F2F2"/>
          </w:tcPr>
          <w:p w:rsidR="00275697" w:rsidRPr="00AC44D8" w:rsidRDefault="00275697" w:rsidP="00AC44D8">
            <w:pPr>
              <w:jc w:val="center"/>
              <w:rPr>
                <w:bCs/>
              </w:rPr>
            </w:pPr>
            <w:r w:rsidRPr="00AC44D8">
              <w:rPr>
                <w:b/>
                <w:bCs/>
              </w:rPr>
              <w:t>Bezdarbnieka pabalsts</w:t>
            </w:r>
          </w:p>
        </w:tc>
      </w:tr>
      <w:tr w:rsidR="00572419" w:rsidRPr="00AC44D8" w:rsidTr="00AC44D8">
        <w:tc>
          <w:tcPr>
            <w:tcW w:w="2488" w:type="dxa"/>
            <w:shd w:val="clear" w:color="auto" w:fill="auto"/>
          </w:tcPr>
          <w:p w:rsidR="00572419" w:rsidRPr="00AC44D8" w:rsidRDefault="00572419" w:rsidP="00A01D5E">
            <w:pPr>
              <w:rPr>
                <w:bCs/>
              </w:rPr>
            </w:pPr>
            <w:r w:rsidRPr="00AC44D8">
              <w:rPr>
                <w:bCs/>
              </w:rPr>
              <w:t xml:space="preserve">Esošā situācija </w:t>
            </w:r>
          </w:p>
        </w:tc>
        <w:tc>
          <w:tcPr>
            <w:tcW w:w="6799" w:type="dxa"/>
            <w:shd w:val="clear" w:color="auto" w:fill="auto"/>
          </w:tcPr>
          <w:p w:rsidR="00572419" w:rsidRPr="005A78D1" w:rsidRDefault="005A78D1" w:rsidP="00AC44D8">
            <w:pPr>
              <w:jc w:val="both"/>
            </w:pPr>
            <w:r w:rsidRPr="00275697">
              <w:t>Bezdarbnieka pabalsts</w:t>
            </w:r>
            <w:r>
              <w:t xml:space="preserve"> tiek </w:t>
            </w:r>
            <w:r w:rsidRPr="00275697">
              <w:t xml:space="preserve">finansēts no valsts speciālā apdrošināšanas budžeta, un tā apmērs ir atkarīgs no indivīda veikto apdrošināšanas iemaksu apmēra un darba stāža ilguma. </w:t>
            </w:r>
          </w:p>
        </w:tc>
      </w:tr>
      <w:tr w:rsidR="00572419" w:rsidRPr="00AC44D8" w:rsidTr="00AC44D8">
        <w:tc>
          <w:tcPr>
            <w:tcW w:w="2488" w:type="dxa"/>
            <w:shd w:val="clear" w:color="auto" w:fill="auto"/>
          </w:tcPr>
          <w:p w:rsidR="00572419" w:rsidRPr="00AC44D8" w:rsidRDefault="00572419" w:rsidP="00A01D5E">
            <w:pPr>
              <w:rPr>
                <w:bCs/>
              </w:rPr>
            </w:pPr>
            <w:r w:rsidRPr="00AC44D8">
              <w:rPr>
                <w:bCs/>
              </w:rPr>
              <w:t xml:space="preserve">Piedāvātais risinājums </w:t>
            </w:r>
          </w:p>
        </w:tc>
        <w:tc>
          <w:tcPr>
            <w:tcW w:w="6799" w:type="dxa"/>
            <w:shd w:val="clear" w:color="auto" w:fill="auto"/>
          </w:tcPr>
          <w:p w:rsidR="00572419" w:rsidRPr="00AC44D8" w:rsidRDefault="00A923BD" w:rsidP="001533E1">
            <w:pPr>
              <w:jc w:val="both"/>
              <w:rPr>
                <w:bCs/>
              </w:rPr>
            </w:pPr>
            <w:r w:rsidRPr="00AC44D8">
              <w:rPr>
                <w:bCs/>
              </w:rPr>
              <w:t xml:space="preserve">Noteikt minimālo un maksimālo bezdarbnieka pabalsta apmēra ierobežojumu, </w:t>
            </w:r>
            <w:r w:rsidR="001533E1">
              <w:rPr>
                <w:bCs/>
              </w:rPr>
              <w:t>ņemot vērā</w:t>
            </w:r>
            <w:r w:rsidRPr="00AC44D8">
              <w:rPr>
                <w:bCs/>
              </w:rPr>
              <w:t xml:space="preserve"> minimālā ienākuma līmeni.</w:t>
            </w:r>
          </w:p>
        </w:tc>
      </w:tr>
      <w:tr w:rsidR="00572419" w:rsidRPr="00AC44D8" w:rsidTr="00AC44D8">
        <w:tc>
          <w:tcPr>
            <w:tcW w:w="2488" w:type="dxa"/>
            <w:shd w:val="clear" w:color="auto" w:fill="auto"/>
          </w:tcPr>
          <w:p w:rsidR="00572419" w:rsidRPr="00AC44D8" w:rsidRDefault="00572419" w:rsidP="00A01D5E">
            <w:pPr>
              <w:rPr>
                <w:bCs/>
              </w:rPr>
            </w:pPr>
            <w:r w:rsidRPr="00AC44D8">
              <w:rPr>
                <w:bCs/>
              </w:rPr>
              <w:t>Esošais izlietotais finansējums un saņēmēju skaits</w:t>
            </w:r>
          </w:p>
        </w:tc>
        <w:tc>
          <w:tcPr>
            <w:tcW w:w="6799" w:type="dxa"/>
            <w:shd w:val="clear" w:color="auto" w:fill="auto"/>
          </w:tcPr>
          <w:p w:rsidR="00572419" w:rsidRPr="00AC44D8" w:rsidRDefault="00A923BD" w:rsidP="00AC44D8">
            <w:pPr>
              <w:jc w:val="both"/>
              <w:rPr>
                <w:bCs/>
              </w:rPr>
            </w:pPr>
            <w:r w:rsidRPr="00275697">
              <w:t xml:space="preserve">2014.gada jūnijā bezdarbnieka pabalsta saņēmēju skaits ar apmēru līdz 129 </w:t>
            </w:r>
            <w:proofErr w:type="spellStart"/>
            <w:r w:rsidRPr="00C92602">
              <w:rPr>
                <w:i/>
                <w:iCs/>
              </w:rPr>
              <w:t>euro</w:t>
            </w:r>
            <w:proofErr w:type="spellEnd"/>
            <w:r w:rsidRPr="00275697">
              <w:t xml:space="preserve"> bija 7235 un to v</w:t>
            </w:r>
            <w:r w:rsidR="00262512">
              <w:t>idējais piešķirtais apmērs – 82,</w:t>
            </w:r>
            <w:r w:rsidRPr="00275697">
              <w:t xml:space="preserve">75 </w:t>
            </w:r>
            <w:proofErr w:type="spellStart"/>
            <w:r w:rsidRPr="00AC44D8">
              <w:rPr>
                <w:i/>
                <w:iCs/>
              </w:rPr>
              <w:t>euro</w:t>
            </w:r>
            <w:proofErr w:type="spellEnd"/>
            <w:r w:rsidRPr="00275697">
              <w:t>.</w:t>
            </w:r>
          </w:p>
        </w:tc>
      </w:tr>
      <w:tr w:rsidR="00572419" w:rsidRPr="00AC44D8" w:rsidTr="00AC44D8">
        <w:tc>
          <w:tcPr>
            <w:tcW w:w="2488" w:type="dxa"/>
            <w:shd w:val="clear" w:color="auto" w:fill="auto"/>
          </w:tcPr>
          <w:p w:rsidR="00572419" w:rsidRPr="00AC44D8" w:rsidRDefault="00414405" w:rsidP="00A01D5E">
            <w:pPr>
              <w:rPr>
                <w:bCs/>
              </w:rPr>
            </w:pPr>
            <w:r w:rsidRPr="00AC44D8">
              <w:rPr>
                <w:bCs/>
              </w:rPr>
              <w:t>Nepieciešamie finanšu līdzekļi</w:t>
            </w:r>
          </w:p>
        </w:tc>
        <w:tc>
          <w:tcPr>
            <w:tcW w:w="6799" w:type="dxa"/>
            <w:shd w:val="clear" w:color="auto" w:fill="auto"/>
          </w:tcPr>
          <w:p w:rsidR="00572419" w:rsidRPr="00AC44D8" w:rsidRDefault="00262512" w:rsidP="001533E1">
            <w:pPr>
              <w:jc w:val="both"/>
              <w:rPr>
                <w:bCs/>
              </w:rPr>
            </w:pPr>
            <w:r>
              <w:t>P</w:t>
            </w:r>
            <w:r w:rsidRPr="00275697">
              <w:t xml:space="preserve">irms veikt aprēķinus par nepieciešamo finansējumu bezdarbnieka pabalsta palielināšanai vai tā sasaistei ar minimālā ienākuma līmeni, ir jāveic </w:t>
            </w:r>
            <w:r w:rsidR="001533E1">
              <w:t>padziļināta</w:t>
            </w:r>
            <w:r w:rsidRPr="00275697">
              <w:t xml:space="preserve"> analīze par bezdarbnieka pabalsta noteikšanas</w:t>
            </w:r>
            <w:r>
              <w:t xml:space="preserve"> </w:t>
            </w:r>
            <w:r>
              <w:lastRenderedPageBreak/>
              <w:t>kritērijiem un to ietekmi uz bezdarbnieku situāciju, kur ļoti būtiski ir jautājumi saistībā ar motivāciju strād</w:t>
            </w:r>
            <w:r w:rsidR="005F3657">
              <w:t xml:space="preserve">āt un stimuliem maksāt nodokļus. </w:t>
            </w:r>
          </w:p>
        </w:tc>
      </w:tr>
      <w:tr w:rsidR="00211366" w:rsidRPr="008911F4" w:rsidTr="00FF2680">
        <w:tc>
          <w:tcPr>
            <w:tcW w:w="2488" w:type="dxa"/>
            <w:shd w:val="clear" w:color="auto" w:fill="auto"/>
          </w:tcPr>
          <w:p w:rsidR="00211366" w:rsidRPr="00AC44D8" w:rsidRDefault="00211366" w:rsidP="00FF2680">
            <w:pPr>
              <w:rPr>
                <w:bCs/>
              </w:rPr>
            </w:pPr>
            <w:r>
              <w:rPr>
                <w:bCs/>
              </w:rPr>
              <w:lastRenderedPageBreak/>
              <w:t>Finansiālās ietekmes detalizēts aprēķins</w:t>
            </w:r>
          </w:p>
        </w:tc>
        <w:tc>
          <w:tcPr>
            <w:tcW w:w="6799" w:type="dxa"/>
            <w:shd w:val="clear" w:color="auto" w:fill="auto"/>
          </w:tcPr>
          <w:p w:rsidR="00211366" w:rsidRPr="00ED609E" w:rsidRDefault="00E1460B" w:rsidP="00271068">
            <w:pPr>
              <w:jc w:val="both"/>
            </w:pPr>
            <w:r>
              <w:t>Izmaiņu bezdarbnieka pabalsta noteikšanas nosacījumos i</w:t>
            </w:r>
            <w:r w:rsidR="00211366" w:rsidRPr="00360DE1">
              <w:t xml:space="preserve">etekme uz valsts </w:t>
            </w:r>
            <w:r w:rsidR="00271068">
              <w:t>budžetu</w:t>
            </w:r>
            <w:r w:rsidR="00211366" w:rsidRPr="00360DE1">
              <w:t xml:space="preserve"> tiks vērtēta, izstrādājot </w:t>
            </w:r>
            <w:r w:rsidR="00211366" w:rsidRPr="00360DE1">
              <w:rPr>
                <w:i/>
              </w:rPr>
              <w:t>Plānu minimālā ienākuma līmeņa ieviešanai</w:t>
            </w:r>
            <w:r w:rsidR="00211366">
              <w:t>.</w:t>
            </w:r>
          </w:p>
        </w:tc>
      </w:tr>
      <w:tr w:rsidR="002463E2" w:rsidRPr="00AC44D8" w:rsidTr="00AC44D8">
        <w:tc>
          <w:tcPr>
            <w:tcW w:w="9287" w:type="dxa"/>
            <w:gridSpan w:val="2"/>
            <w:shd w:val="clear" w:color="auto" w:fill="F2F2F2"/>
          </w:tcPr>
          <w:p w:rsidR="002463E2" w:rsidRPr="00AC44D8" w:rsidRDefault="002463E2" w:rsidP="00AC44D8">
            <w:pPr>
              <w:jc w:val="center"/>
              <w:rPr>
                <w:bCs/>
              </w:rPr>
            </w:pPr>
            <w:r w:rsidRPr="00AC44D8">
              <w:rPr>
                <w:b/>
                <w:bCs/>
              </w:rPr>
              <w:t>Valsts sociālie pabalsti</w:t>
            </w:r>
          </w:p>
        </w:tc>
      </w:tr>
      <w:tr w:rsidR="005A78D1" w:rsidRPr="00AC44D8" w:rsidTr="00AC44D8">
        <w:tc>
          <w:tcPr>
            <w:tcW w:w="2488" w:type="dxa"/>
            <w:shd w:val="clear" w:color="auto" w:fill="auto"/>
          </w:tcPr>
          <w:p w:rsidR="005A78D1" w:rsidRPr="00AC44D8" w:rsidRDefault="005A78D1" w:rsidP="00A01D5E">
            <w:pPr>
              <w:rPr>
                <w:bCs/>
              </w:rPr>
            </w:pPr>
            <w:r w:rsidRPr="00AC44D8">
              <w:rPr>
                <w:bCs/>
              </w:rPr>
              <w:t xml:space="preserve">Esošā situācija </w:t>
            </w:r>
          </w:p>
        </w:tc>
        <w:tc>
          <w:tcPr>
            <w:tcW w:w="6799" w:type="dxa"/>
            <w:shd w:val="clear" w:color="auto" w:fill="auto"/>
          </w:tcPr>
          <w:p w:rsidR="005A78D1" w:rsidRPr="005A78D1" w:rsidRDefault="005A78D1" w:rsidP="00AC44D8">
            <w:pPr>
              <w:jc w:val="both"/>
            </w:pPr>
            <w:r w:rsidRPr="002463E2">
              <w:t>Valsts sociālie pabalsti</w:t>
            </w:r>
            <w:r>
              <w:t xml:space="preserve"> tiek izmaksāti no valsts pamatbudžeta. </w:t>
            </w:r>
          </w:p>
        </w:tc>
      </w:tr>
      <w:tr w:rsidR="005A78D1" w:rsidRPr="00AC44D8" w:rsidTr="00AC44D8">
        <w:tc>
          <w:tcPr>
            <w:tcW w:w="2488" w:type="dxa"/>
            <w:shd w:val="clear" w:color="auto" w:fill="auto"/>
          </w:tcPr>
          <w:p w:rsidR="005A78D1" w:rsidRPr="00AC44D8" w:rsidRDefault="005A78D1" w:rsidP="00A01D5E">
            <w:pPr>
              <w:rPr>
                <w:bCs/>
              </w:rPr>
            </w:pPr>
            <w:r w:rsidRPr="00AC44D8">
              <w:rPr>
                <w:bCs/>
              </w:rPr>
              <w:t xml:space="preserve">Piedāvātais risinājums </w:t>
            </w:r>
          </w:p>
        </w:tc>
        <w:tc>
          <w:tcPr>
            <w:tcW w:w="6799" w:type="dxa"/>
            <w:shd w:val="clear" w:color="auto" w:fill="auto"/>
          </w:tcPr>
          <w:p w:rsidR="005A78D1" w:rsidRPr="00AC44D8" w:rsidRDefault="002463E2" w:rsidP="001533E1">
            <w:pPr>
              <w:jc w:val="both"/>
              <w:rPr>
                <w:bCs/>
              </w:rPr>
            </w:pPr>
            <w:r w:rsidRPr="00AC44D8">
              <w:rPr>
                <w:bCs/>
              </w:rPr>
              <w:t>Palielināt</w:t>
            </w:r>
            <w:r w:rsidR="002D6AAC">
              <w:rPr>
                <w:bCs/>
              </w:rPr>
              <w:t xml:space="preserve">, kur </w:t>
            </w:r>
            <w:proofErr w:type="gramStart"/>
            <w:r w:rsidR="002D6AAC">
              <w:rPr>
                <w:bCs/>
              </w:rPr>
              <w:t>un</w:t>
            </w:r>
            <w:proofErr w:type="gramEnd"/>
            <w:r w:rsidR="002D6AAC">
              <w:rPr>
                <w:bCs/>
              </w:rPr>
              <w:t xml:space="preserve"> ja nepieciešams,</w:t>
            </w:r>
            <w:r w:rsidRPr="00AC44D8">
              <w:rPr>
                <w:bCs/>
              </w:rPr>
              <w:t xml:space="preserve"> valsts noteikto pabalstu apmērus</w:t>
            </w:r>
            <w:r w:rsidR="001533E1">
              <w:rPr>
                <w:bCs/>
              </w:rPr>
              <w:t>, ņemot vērā</w:t>
            </w:r>
            <w:r w:rsidRPr="00AC44D8">
              <w:rPr>
                <w:bCs/>
              </w:rPr>
              <w:t xml:space="preserve"> minimālā ienākuma līmeni.</w:t>
            </w:r>
          </w:p>
        </w:tc>
      </w:tr>
      <w:tr w:rsidR="005A78D1" w:rsidRPr="00AC44D8" w:rsidTr="00AC44D8">
        <w:tc>
          <w:tcPr>
            <w:tcW w:w="2488" w:type="dxa"/>
            <w:shd w:val="clear" w:color="auto" w:fill="auto"/>
          </w:tcPr>
          <w:p w:rsidR="005A78D1" w:rsidRPr="00AC44D8" w:rsidRDefault="005A78D1" w:rsidP="00A01D5E">
            <w:pPr>
              <w:rPr>
                <w:bCs/>
              </w:rPr>
            </w:pPr>
            <w:r w:rsidRPr="00AC44D8">
              <w:rPr>
                <w:bCs/>
              </w:rPr>
              <w:t>Esošais izlietotais finansējums un saņēmēju skaits</w:t>
            </w:r>
          </w:p>
        </w:tc>
        <w:tc>
          <w:tcPr>
            <w:tcW w:w="6799" w:type="dxa"/>
            <w:shd w:val="clear" w:color="auto" w:fill="auto"/>
          </w:tcPr>
          <w:p w:rsidR="005A78D1" w:rsidRPr="00AC44D8" w:rsidRDefault="002463E2" w:rsidP="00AC44D8">
            <w:pPr>
              <w:jc w:val="both"/>
              <w:rPr>
                <w:bCs/>
              </w:rPr>
            </w:pPr>
            <w:r>
              <w:t xml:space="preserve">2013.gadā valsts sociālajiem pabalstiem tika izlietoti 153,7 milj. </w:t>
            </w:r>
            <w:proofErr w:type="spellStart"/>
            <w:r w:rsidRPr="00AC44D8">
              <w:rPr>
                <w:i/>
                <w:iCs/>
              </w:rPr>
              <w:t>euro</w:t>
            </w:r>
            <w:proofErr w:type="spellEnd"/>
            <w:r>
              <w:t>.</w:t>
            </w:r>
            <w:r w:rsidR="002D6AAC">
              <w:t xml:space="preserve"> 2014.gada 1.pusgadā vidējais pabalsta saņēmēju skaits 174,6 tūkst. iedzīvotāju.</w:t>
            </w:r>
          </w:p>
        </w:tc>
      </w:tr>
      <w:tr w:rsidR="005A78D1" w:rsidRPr="00AC44D8" w:rsidTr="00AC44D8">
        <w:tc>
          <w:tcPr>
            <w:tcW w:w="2488" w:type="dxa"/>
            <w:shd w:val="clear" w:color="auto" w:fill="auto"/>
          </w:tcPr>
          <w:p w:rsidR="005A78D1" w:rsidRPr="00AC44D8" w:rsidRDefault="00414405" w:rsidP="00A01D5E">
            <w:pPr>
              <w:rPr>
                <w:bCs/>
              </w:rPr>
            </w:pPr>
            <w:r w:rsidRPr="00AC44D8">
              <w:rPr>
                <w:bCs/>
              </w:rPr>
              <w:t>Nepieciešamie finanšu līdzekļi</w:t>
            </w:r>
          </w:p>
        </w:tc>
        <w:tc>
          <w:tcPr>
            <w:tcW w:w="6799" w:type="dxa"/>
            <w:shd w:val="clear" w:color="auto" w:fill="auto"/>
          </w:tcPr>
          <w:p w:rsidR="005A78D1" w:rsidRPr="00AC44D8" w:rsidRDefault="002463E2" w:rsidP="001533E1">
            <w:pPr>
              <w:jc w:val="both"/>
              <w:rPr>
                <w:bCs/>
              </w:rPr>
            </w:pPr>
            <w:r>
              <w:t>Aprēķināt potenciā</w:t>
            </w:r>
            <w:r w:rsidR="00DD7083">
              <w:t xml:space="preserve">lo ietekmi šobrīd nav iespējams, jo </w:t>
            </w:r>
            <w:r>
              <w:t>to varēs veikt tikai pēc visu valsts sociālo pabalstu izvērtējuma.</w:t>
            </w:r>
            <w:r w:rsidR="005F3657">
              <w:t xml:space="preserve"> </w:t>
            </w:r>
          </w:p>
        </w:tc>
      </w:tr>
      <w:tr w:rsidR="00211366" w:rsidRPr="008911F4" w:rsidTr="00FF2680">
        <w:tc>
          <w:tcPr>
            <w:tcW w:w="2488" w:type="dxa"/>
            <w:shd w:val="clear" w:color="auto" w:fill="auto"/>
          </w:tcPr>
          <w:p w:rsidR="00211366" w:rsidRPr="00AC44D8" w:rsidRDefault="00211366" w:rsidP="00FF2680">
            <w:pPr>
              <w:rPr>
                <w:bCs/>
              </w:rPr>
            </w:pPr>
            <w:r>
              <w:rPr>
                <w:bCs/>
              </w:rPr>
              <w:t>Finansiālās ietekmes detalizēts aprēķins</w:t>
            </w:r>
          </w:p>
        </w:tc>
        <w:tc>
          <w:tcPr>
            <w:tcW w:w="6799" w:type="dxa"/>
            <w:shd w:val="clear" w:color="auto" w:fill="auto"/>
          </w:tcPr>
          <w:p w:rsidR="00211366" w:rsidRPr="00ED609E" w:rsidRDefault="00E1460B" w:rsidP="00062939">
            <w:pPr>
              <w:jc w:val="both"/>
            </w:pPr>
            <w:r>
              <w:t>Izm</w:t>
            </w:r>
            <w:r w:rsidR="00062939">
              <w:t>aiņu</w:t>
            </w:r>
            <w:r>
              <w:t xml:space="preserve"> valsts sociālo pabalstu jomā i</w:t>
            </w:r>
            <w:r w:rsidR="00211366" w:rsidRPr="00360DE1">
              <w:t>etekme uz valsts budžet</w:t>
            </w:r>
            <w:r w:rsidR="00062939">
              <w:t>u</w:t>
            </w:r>
            <w:r w:rsidR="00211366" w:rsidRPr="00360DE1">
              <w:t xml:space="preserve"> tiks vērtēta, izstrādājot </w:t>
            </w:r>
            <w:r w:rsidR="00211366" w:rsidRPr="00360DE1">
              <w:rPr>
                <w:i/>
              </w:rPr>
              <w:t>Plānu minimālā ienākuma līmeņa ieviešanai</w:t>
            </w:r>
            <w:r w:rsidR="00211366">
              <w:t>.</w:t>
            </w:r>
          </w:p>
        </w:tc>
      </w:tr>
      <w:tr w:rsidR="00A862C2" w:rsidRPr="00AC44D8" w:rsidTr="00AC44D8">
        <w:tc>
          <w:tcPr>
            <w:tcW w:w="9287" w:type="dxa"/>
            <w:gridSpan w:val="2"/>
            <w:shd w:val="clear" w:color="auto" w:fill="F2F2F2"/>
          </w:tcPr>
          <w:p w:rsidR="00A862C2" w:rsidRPr="00AC44D8" w:rsidRDefault="00A862C2" w:rsidP="00AC44D8">
            <w:pPr>
              <w:jc w:val="center"/>
              <w:rPr>
                <w:b/>
              </w:rPr>
            </w:pPr>
            <w:r w:rsidRPr="00AC44D8">
              <w:rPr>
                <w:b/>
              </w:rPr>
              <w:t xml:space="preserve">Provizoriskās izmaksas saistībā ar izmaiņām sociālajā palīdzībā, darbaspēku nodokļu un minimālās </w:t>
            </w:r>
            <w:r w:rsidR="00282DE7">
              <w:rPr>
                <w:b/>
              </w:rPr>
              <w:t>valsts</w:t>
            </w:r>
            <w:r w:rsidRPr="00AC44D8">
              <w:rPr>
                <w:b/>
              </w:rPr>
              <w:t xml:space="preserve"> pensijas </w:t>
            </w:r>
            <w:r w:rsidR="00031FD3">
              <w:rPr>
                <w:b/>
              </w:rPr>
              <w:t>jomā</w:t>
            </w:r>
          </w:p>
        </w:tc>
      </w:tr>
      <w:tr w:rsidR="005A78D1" w:rsidRPr="00AC44D8" w:rsidTr="00AC44D8">
        <w:tc>
          <w:tcPr>
            <w:tcW w:w="2488" w:type="dxa"/>
            <w:shd w:val="clear" w:color="auto" w:fill="auto"/>
          </w:tcPr>
          <w:p w:rsidR="005A78D1" w:rsidRPr="00AC44D8" w:rsidRDefault="005A78D1" w:rsidP="00211366">
            <w:pPr>
              <w:rPr>
                <w:bCs/>
              </w:rPr>
            </w:pPr>
            <w:r w:rsidRPr="00AC44D8">
              <w:rPr>
                <w:bCs/>
              </w:rPr>
              <w:t xml:space="preserve">Kopā </w:t>
            </w:r>
            <w:r w:rsidR="00414405" w:rsidRPr="00AC44D8">
              <w:rPr>
                <w:bCs/>
              </w:rPr>
              <w:t>nepieciešamie (</w:t>
            </w:r>
            <w:r w:rsidR="00211366">
              <w:rPr>
                <w:bCs/>
              </w:rPr>
              <w:t>indikatīvie</w:t>
            </w:r>
            <w:r w:rsidR="00414405" w:rsidRPr="00AC44D8">
              <w:rPr>
                <w:bCs/>
              </w:rPr>
              <w:t>) finanšu līdzekļi</w:t>
            </w:r>
          </w:p>
        </w:tc>
        <w:tc>
          <w:tcPr>
            <w:tcW w:w="6799" w:type="dxa"/>
            <w:shd w:val="clear" w:color="auto" w:fill="auto"/>
          </w:tcPr>
          <w:p w:rsidR="005A78D1" w:rsidRPr="00AC44D8" w:rsidRDefault="00C6377E" w:rsidP="00211366">
            <w:pPr>
              <w:jc w:val="both"/>
              <w:rPr>
                <w:bCs/>
              </w:rPr>
            </w:pPr>
            <w:r w:rsidRPr="00AC44D8">
              <w:rPr>
                <w:bCs/>
              </w:rPr>
              <w:t xml:space="preserve">2017.gadā: </w:t>
            </w:r>
            <w:r w:rsidR="00211366">
              <w:rPr>
                <w:bCs/>
              </w:rPr>
              <w:t xml:space="preserve">no </w:t>
            </w:r>
            <w:r w:rsidRPr="00AC44D8">
              <w:rPr>
                <w:b/>
                <w:bCs/>
                <w:u w:val="single"/>
              </w:rPr>
              <w:t>160,2</w:t>
            </w:r>
            <w:r w:rsidR="005A78D1" w:rsidRPr="00AC44D8">
              <w:rPr>
                <w:b/>
                <w:bCs/>
                <w:u w:val="single"/>
              </w:rPr>
              <w:t xml:space="preserve"> milj. </w:t>
            </w:r>
            <w:proofErr w:type="spellStart"/>
            <w:r w:rsidR="005A78D1" w:rsidRPr="00AC44D8">
              <w:rPr>
                <w:b/>
                <w:bCs/>
                <w:i/>
                <w:iCs/>
                <w:u w:val="single"/>
              </w:rPr>
              <w:t>euro</w:t>
            </w:r>
            <w:proofErr w:type="spellEnd"/>
            <w:r w:rsidR="005A78D1" w:rsidRPr="00AC44D8">
              <w:rPr>
                <w:bCs/>
              </w:rPr>
              <w:t xml:space="preserve"> </w:t>
            </w:r>
            <w:r w:rsidR="00211366">
              <w:rPr>
                <w:b/>
                <w:bCs/>
                <w:u w:val="single"/>
              </w:rPr>
              <w:t>līdz</w:t>
            </w:r>
            <w:r w:rsidR="005A78D1" w:rsidRPr="00AC44D8">
              <w:rPr>
                <w:b/>
                <w:bCs/>
                <w:u w:val="single"/>
              </w:rPr>
              <w:t xml:space="preserve"> </w:t>
            </w:r>
            <w:r w:rsidRPr="00AC44D8">
              <w:rPr>
                <w:b/>
                <w:bCs/>
                <w:u w:val="single"/>
              </w:rPr>
              <w:t>215,8</w:t>
            </w:r>
            <w:r w:rsidR="005A78D1" w:rsidRPr="00AC44D8">
              <w:rPr>
                <w:b/>
                <w:bCs/>
                <w:u w:val="single"/>
              </w:rPr>
              <w:t xml:space="preserve"> milj. </w:t>
            </w:r>
            <w:proofErr w:type="spellStart"/>
            <w:r w:rsidR="005A78D1" w:rsidRPr="00AC44D8">
              <w:rPr>
                <w:b/>
                <w:bCs/>
                <w:i/>
                <w:iCs/>
                <w:u w:val="single"/>
              </w:rPr>
              <w:t>euro</w:t>
            </w:r>
            <w:proofErr w:type="spellEnd"/>
            <w:r w:rsidRPr="00AC44D8">
              <w:rPr>
                <w:bCs/>
              </w:rPr>
              <w:t>.</w:t>
            </w:r>
          </w:p>
        </w:tc>
      </w:tr>
    </w:tbl>
    <w:p w:rsidR="00572419" w:rsidRDefault="00572419" w:rsidP="00572419">
      <w:pPr>
        <w:rPr>
          <w:bCs/>
        </w:rPr>
      </w:pPr>
    </w:p>
    <w:p w:rsidR="00A40BA0" w:rsidRDefault="007821A7" w:rsidP="00DD7083">
      <w:pPr>
        <w:jc w:val="both"/>
        <w:rPr>
          <w:color w:val="000000"/>
        </w:rPr>
      </w:pPr>
      <w:r w:rsidRPr="001C1E6C">
        <w:rPr>
          <w:color w:val="000000"/>
        </w:rPr>
        <w:t xml:space="preserve">Bez iepriekšminētā tiek piedāvāts izstrādāt jaunu </w:t>
      </w:r>
      <w:r w:rsidRPr="001C1E6C">
        <w:rPr>
          <w:b/>
          <w:color w:val="000000"/>
        </w:rPr>
        <w:t>iztikas minimuma grozu</w:t>
      </w:r>
      <w:r w:rsidRPr="001C1E6C">
        <w:rPr>
          <w:color w:val="000000"/>
        </w:rPr>
        <w:t xml:space="preserve">. </w:t>
      </w:r>
      <w:r w:rsidR="001153BE" w:rsidRPr="001C1E6C">
        <w:rPr>
          <w:color w:val="000000"/>
        </w:rPr>
        <w:t xml:space="preserve">Tā izstrādei ir plānots piesaistīt </w:t>
      </w:r>
      <w:r w:rsidR="001C1E6C" w:rsidRPr="001C1E6C">
        <w:rPr>
          <w:rFonts w:eastAsia="Calibri"/>
          <w:color w:val="000000"/>
        </w:rPr>
        <w:t xml:space="preserve">Eiropas </w:t>
      </w:r>
      <w:r w:rsidR="00C90671">
        <w:rPr>
          <w:rFonts w:eastAsia="Calibri"/>
          <w:color w:val="000000"/>
        </w:rPr>
        <w:t>Savienības</w:t>
      </w:r>
      <w:r w:rsidR="001C1E6C" w:rsidRPr="001C1E6C">
        <w:rPr>
          <w:rFonts w:eastAsia="Calibri"/>
          <w:color w:val="000000"/>
        </w:rPr>
        <w:t xml:space="preserve"> investīciju fonda 2014.-2020.gada plānošanas perioda ietvaros plānot</w:t>
      </w:r>
      <w:r w:rsidR="00EA0A2C">
        <w:rPr>
          <w:rFonts w:eastAsia="Calibri"/>
          <w:color w:val="000000"/>
        </w:rPr>
        <w:t>os</w:t>
      </w:r>
      <w:r w:rsidR="001C1E6C" w:rsidRPr="001C1E6C">
        <w:rPr>
          <w:rFonts w:eastAsia="Calibri"/>
          <w:color w:val="000000"/>
        </w:rPr>
        <w:t xml:space="preserve"> </w:t>
      </w:r>
      <w:r w:rsidR="001153BE" w:rsidRPr="001C1E6C">
        <w:rPr>
          <w:color w:val="000000"/>
        </w:rPr>
        <w:t>līdzekļus</w:t>
      </w:r>
      <w:r w:rsidR="00DD7083">
        <w:rPr>
          <w:color w:val="000000"/>
        </w:rPr>
        <w:t xml:space="preserve"> no 2017.gada</w:t>
      </w:r>
      <w:r w:rsidR="001533E1">
        <w:rPr>
          <w:color w:val="000000"/>
        </w:rPr>
        <w:t>, tāpēc š</w:t>
      </w:r>
      <w:r w:rsidR="00DD7083">
        <w:rPr>
          <w:color w:val="000000"/>
        </w:rPr>
        <w:t>ajā posmā nav iespējams aprēķināt nepieciešamos</w:t>
      </w:r>
      <w:r w:rsidR="001153BE" w:rsidRPr="001C1E6C">
        <w:rPr>
          <w:color w:val="000000"/>
        </w:rPr>
        <w:t xml:space="preserve"> </w:t>
      </w:r>
      <w:r w:rsidR="00DD7083">
        <w:rPr>
          <w:color w:val="000000"/>
        </w:rPr>
        <w:t xml:space="preserve">finanšu </w:t>
      </w:r>
      <w:r w:rsidR="001533E1">
        <w:rPr>
          <w:color w:val="000000"/>
        </w:rPr>
        <w:t>līdzekļus iztikas minimuma groza izstrādei</w:t>
      </w:r>
      <w:r w:rsidR="00DD7083">
        <w:rPr>
          <w:color w:val="000000"/>
        </w:rPr>
        <w:t>.</w:t>
      </w:r>
    </w:p>
    <w:p w:rsidR="009F3CBE" w:rsidRDefault="009F3CBE" w:rsidP="00A40BA0">
      <w:pPr>
        <w:jc w:val="both"/>
        <w:rPr>
          <w:color w:val="000000"/>
        </w:rPr>
      </w:pPr>
    </w:p>
    <w:p w:rsidR="001851E1" w:rsidRPr="001C1E6C" w:rsidRDefault="001851E1" w:rsidP="00A40BA0">
      <w:pPr>
        <w:jc w:val="both"/>
        <w:rPr>
          <w:color w:val="000000"/>
        </w:rPr>
      </w:pPr>
      <w:r>
        <w:rPr>
          <w:color w:val="000000"/>
        </w:rPr>
        <w:br w:type="page"/>
      </w:r>
    </w:p>
    <w:p w:rsidR="005A601C" w:rsidRPr="00EC5351" w:rsidRDefault="005A601C" w:rsidP="00B00E99">
      <w:pPr>
        <w:pStyle w:val="Heading1"/>
        <w:numPr>
          <w:ilvl w:val="0"/>
          <w:numId w:val="31"/>
        </w:numPr>
        <w:ind w:left="426"/>
      </w:pPr>
      <w:bookmarkStart w:id="43" w:name="_Toc336348640"/>
      <w:bookmarkStart w:id="44" w:name="_Toc401572486"/>
      <w:r w:rsidRPr="00EC5351">
        <w:lastRenderedPageBreak/>
        <w:t>Turpmākā rīcība</w:t>
      </w:r>
      <w:bookmarkEnd w:id="43"/>
      <w:bookmarkEnd w:id="44"/>
    </w:p>
    <w:p w:rsidR="00D12355" w:rsidRDefault="00D12355" w:rsidP="00D43346">
      <w:pPr>
        <w:pStyle w:val="ListParagraph"/>
        <w:spacing w:after="120"/>
        <w:ind w:left="0"/>
        <w:jc w:val="both"/>
        <w:rPr>
          <w:rFonts w:ascii="Times New Roman" w:hAnsi="Times New Roman"/>
        </w:rPr>
      </w:pPr>
      <w:r w:rsidRPr="00D43346">
        <w:rPr>
          <w:rFonts w:ascii="Times New Roman" w:hAnsi="Times New Roman"/>
          <w:u w:val="single"/>
        </w:rPr>
        <w:t>Atbalstīt koncepcijā ietverto 2.risinājumu</w:t>
      </w:r>
      <w:r w:rsidRPr="00EC5351">
        <w:rPr>
          <w:rFonts w:ascii="Times New Roman" w:hAnsi="Times New Roman"/>
        </w:rPr>
        <w:t>: minimālā ienākumu līmeni noteikt 40% apmērā no rīcībā esošo ienākumu mediānas pārrēķinātas uz ekvivalento patērētāju, piemērojot ekvivalence</w:t>
      </w:r>
      <w:r w:rsidR="00AA18E7">
        <w:rPr>
          <w:rFonts w:ascii="Times New Roman" w:hAnsi="Times New Roman"/>
        </w:rPr>
        <w:t>s skalu (1; 0.7; 0.7</w:t>
      </w:r>
      <w:r w:rsidRPr="00D43346">
        <w:rPr>
          <w:rFonts w:ascii="Times New Roman" w:hAnsi="Times New Roman"/>
        </w:rPr>
        <w:t xml:space="preserve">) un izstrādāt pilna iztikas minimuma patēriņa preču un pakalpojumu grozu </w:t>
      </w:r>
      <w:r w:rsidR="00D43346" w:rsidRPr="00D43346">
        <w:rPr>
          <w:rFonts w:ascii="Times New Roman" w:hAnsi="Times New Roman"/>
        </w:rPr>
        <w:t xml:space="preserve">dažādiem mājsaimniecību veidiem </w:t>
      </w:r>
      <w:r w:rsidR="000413BD">
        <w:rPr>
          <w:rFonts w:ascii="Times New Roman" w:hAnsi="Times New Roman"/>
        </w:rPr>
        <w:t>teritoriālajā griezumā</w:t>
      </w:r>
      <w:r w:rsidR="00D43346">
        <w:rPr>
          <w:rFonts w:ascii="Times New Roman" w:hAnsi="Times New Roman"/>
        </w:rPr>
        <w:t>.</w:t>
      </w:r>
    </w:p>
    <w:p w:rsidR="00BB429C" w:rsidRDefault="00BB429C" w:rsidP="00D43346">
      <w:pPr>
        <w:pStyle w:val="ListParagraph"/>
        <w:spacing w:after="120"/>
        <w:ind w:left="0"/>
        <w:jc w:val="both"/>
        <w:rPr>
          <w:rFonts w:ascii="Times New Roman" w:hAnsi="Times New Roman"/>
        </w:rPr>
      </w:pPr>
    </w:p>
    <w:p w:rsidR="00BB429C" w:rsidRDefault="00BB429C" w:rsidP="00BB429C">
      <w:pPr>
        <w:pStyle w:val="ListParagraph"/>
        <w:spacing w:after="120"/>
        <w:ind w:left="0"/>
        <w:jc w:val="right"/>
        <w:rPr>
          <w:rFonts w:ascii="Times New Roman" w:hAnsi="Times New Roman"/>
        </w:rPr>
      </w:pPr>
      <w:r>
        <w:rPr>
          <w:rFonts w:ascii="Times New Roman" w:hAnsi="Times New Roman"/>
        </w:rPr>
        <w:t>1</w:t>
      </w:r>
      <w:r w:rsidR="00DC5EF6">
        <w:rPr>
          <w:rFonts w:ascii="Times New Roman" w:hAnsi="Times New Roman"/>
        </w:rPr>
        <w:t>5</w:t>
      </w:r>
      <w:r>
        <w:rPr>
          <w:rFonts w:ascii="Times New Roman" w:hAnsi="Times New Roman"/>
        </w:rPr>
        <w:t>.tabula.</w:t>
      </w:r>
    </w:p>
    <w:p w:rsidR="00BB429C" w:rsidRPr="001851E1" w:rsidRDefault="00963188" w:rsidP="00937423">
      <w:pPr>
        <w:pStyle w:val="ListParagraph"/>
        <w:spacing w:after="120"/>
        <w:ind w:left="0"/>
        <w:jc w:val="center"/>
        <w:rPr>
          <w:rFonts w:ascii="Times New Roman" w:hAnsi="Times New Roman"/>
          <w:b/>
        </w:rPr>
      </w:pPr>
      <w:r w:rsidRPr="001851E1">
        <w:rPr>
          <w:rFonts w:ascii="Times New Roman" w:hAnsi="Times New Roman"/>
          <w:b/>
        </w:rPr>
        <w:t>Piedāvāto risinājumu ieviešanai</w:t>
      </w:r>
      <w:r w:rsidR="001851E1" w:rsidRPr="001851E1">
        <w:rPr>
          <w:rFonts w:ascii="Times New Roman" w:hAnsi="Times New Roman"/>
          <w:b/>
        </w:rPr>
        <w:t xml:space="preserve"> nepi</w:t>
      </w:r>
      <w:r w:rsidR="00937423">
        <w:rPr>
          <w:rFonts w:ascii="Times New Roman" w:hAnsi="Times New Roman"/>
          <w:b/>
        </w:rPr>
        <w:t>e</w:t>
      </w:r>
      <w:r w:rsidR="001851E1" w:rsidRPr="001851E1">
        <w:rPr>
          <w:rFonts w:ascii="Times New Roman" w:hAnsi="Times New Roman"/>
          <w:b/>
        </w:rPr>
        <w:t>ciešamā rīcība un ieviešanas termiņi</w:t>
      </w:r>
    </w:p>
    <w:tbl>
      <w:tblPr>
        <w:tblW w:w="8977" w:type="dxa"/>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633"/>
        <w:gridCol w:w="2694"/>
        <w:gridCol w:w="1714"/>
        <w:gridCol w:w="1936"/>
      </w:tblGrid>
      <w:tr w:rsidR="00BB429C" w:rsidRPr="00B862E1" w:rsidTr="00DC5EF6">
        <w:trPr>
          <w:jc w:val="center"/>
        </w:trPr>
        <w:tc>
          <w:tcPr>
            <w:tcW w:w="2633" w:type="dxa"/>
            <w:shd w:val="clear" w:color="auto" w:fill="4F81BD"/>
            <w:vAlign w:val="center"/>
          </w:tcPr>
          <w:p w:rsidR="00BB429C" w:rsidRPr="00DC5EF6" w:rsidRDefault="00DC5EF6" w:rsidP="00DC5EF6">
            <w:pPr>
              <w:jc w:val="center"/>
              <w:rPr>
                <w:b/>
                <w:bCs/>
              </w:rPr>
            </w:pPr>
            <w:r w:rsidRPr="00DC5EF6">
              <w:rPr>
                <w:b/>
                <w:bCs/>
              </w:rPr>
              <w:t>Plānoto izmaiņu virzieni</w:t>
            </w:r>
          </w:p>
        </w:tc>
        <w:tc>
          <w:tcPr>
            <w:tcW w:w="2694" w:type="dxa"/>
            <w:shd w:val="clear" w:color="auto" w:fill="4F81BD"/>
            <w:vAlign w:val="center"/>
          </w:tcPr>
          <w:p w:rsidR="00BB429C" w:rsidRPr="004303BC" w:rsidRDefault="00BB429C" w:rsidP="00DC5EF6">
            <w:pPr>
              <w:jc w:val="center"/>
              <w:rPr>
                <w:b/>
                <w:bCs/>
              </w:rPr>
            </w:pPr>
            <w:r w:rsidRPr="004303BC">
              <w:rPr>
                <w:b/>
                <w:bCs/>
              </w:rPr>
              <w:t>Pirms normatīvā akta izstrādes</w:t>
            </w:r>
          </w:p>
        </w:tc>
        <w:tc>
          <w:tcPr>
            <w:tcW w:w="1714" w:type="dxa"/>
            <w:shd w:val="clear" w:color="auto" w:fill="4F81BD"/>
            <w:vAlign w:val="center"/>
          </w:tcPr>
          <w:p w:rsidR="00BB429C" w:rsidRPr="004303BC" w:rsidRDefault="00BB429C" w:rsidP="00DC5EF6">
            <w:pPr>
              <w:jc w:val="center"/>
              <w:rPr>
                <w:b/>
                <w:bCs/>
              </w:rPr>
            </w:pPr>
            <w:r w:rsidRPr="004303BC">
              <w:rPr>
                <w:b/>
                <w:bCs/>
              </w:rPr>
              <w:t>Normatīvā akta projekta iesniegšana MK</w:t>
            </w:r>
          </w:p>
        </w:tc>
        <w:tc>
          <w:tcPr>
            <w:tcW w:w="1936" w:type="dxa"/>
            <w:shd w:val="clear" w:color="auto" w:fill="4F81BD"/>
            <w:vAlign w:val="center"/>
          </w:tcPr>
          <w:p w:rsidR="00BB429C" w:rsidRPr="004303BC" w:rsidRDefault="00BB429C" w:rsidP="00DC5EF6">
            <w:pPr>
              <w:jc w:val="center"/>
              <w:rPr>
                <w:b/>
                <w:bCs/>
              </w:rPr>
            </w:pPr>
            <w:r w:rsidRPr="004303BC">
              <w:rPr>
                <w:b/>
                <w:bCs/>
              </w:rPr>
              <w:t>Spēkā stāšanās datums</w:t>
            </w:r>
          </w:p>
        </w:tc>
      </w:tr>
      <w:tr w:rsidR="00BB429C" w:rsidRPr="00B862E1" w:rsidTr="00D438C6">
        <w:trPr>
          <w:jc w:val="center"/>
        </w:trPr>
        <w:tc>
          <w:tcPr>
            <w:tcW w:w="2633" w:type="dxa"/>
            <w:tcBorders>
              <w:top w:val="single" w:sz="8" w:space="0" w:color="4F81BD"/>
              <w:left w:val="single" w:sz="8" w:space="0" w:color="4F81BD"/>
              <w:bottom w:val="single" w:sz="8" w:space="0" w:color="4F81BD"/>
            </w:tcBorders>
            <w:shd w:val="clear" w:color="auto" w:fill="auto"/>
            <w:vAlign w:val="center"/>
          </w:tcPr>
          <w:p w:rsidR="00BB429C" w:rsidRPr="004303BC" w:rsidRDefault="00BB429C" w:rsidP="004303BC">
            <w:pPr>
              <w:spacing w:before="120" w:after="120"/>
              <w:rPr>
                <w:b/>
                <w:bCs/>
              </w:rPr>
            </w:pPr>
            <w:r w:rsidRPr="004303BC">
              <w:rPr>
                <w:b/>
                <w:bCs/>
              </w:rPr>
              <w:t>Minimālā ienākuma līmenis</w:t>
            </w:r>
          </w:p>
        </w:tc>
        <w:tc>
          <w:tcPr>
            <w:tcW w:w="2694" w:type="dxa"/>
            <w:tcBorders>
              <w:top w:val="single" w:sz="8" w:space="0" w:color="4F81BD"/>
              <w:bottom w:val="single" w:sz="8" w:space="0" w:color="4F81BD"/>
            </w:tcBorders>
            <w:shd w:val="clear" w:color="auto" w:fill="auto"/>
            <w:vAlign w:val="center"/>
          </w:tcPr>
          <w:p w:rsidR="00BB429C" w:rsidRPr="00B862E1" w:rsidRDefault="00BB429C" w:rsidP="00963188">
            <w:r w:rsidRPr="00B862E1">
              <w:t>Koncepcija:</w:t>
            </w:r>
          </w:p>
          <w:p w:rsidR="00BB429C" w:rsidRPr="00B862E1" w:rsidRDefault="00BB429C" w:rsidP="00DC5EF6">
            <w:r w:rsidRPr="00B862E1">
              <w:t xml:space="preserve">2014.gada </w:t>
            </w:r>
            <w:r w:rsidR="00DC5EF6">
              <w:t>17.oktobris</w:t>
            </w:r>
          </w:p>
        </w:tc>
        <w:tc>
          <w:tcPr>
            <w:tcW w:w="1714" w:type="dxa"/>
            <w:tcBorders>
              <w:top w:val="single" w:sz="8" w:space="0" w:color="4F81BD"/>
              <w:bottom w:val="single" w:sz="8" w:space="0" w:color="4F81BD"/>
            </w:tcBorders>
            <w:shd w:val="clear" w:color="auto" w:fill="auto"/>
          </w:tcPr>
          <w:p w:rsidR="00BB429C" w:rsidRPr="00B862E1" w:rsidRDefault="00BB429C" w:rsidP="004303BC">
            <w:pPr>
              <w:spacing w:before="120" w:after="120"/>
            </w:pPr>
            <w:r w:rsidRPr="00B862E1">
              <w:t>2015.gada 1.jūlijs</w:t>
            </w:r>
          </w:p>
        </w:tc>
        <w:tc>
          <w:tcPr>
            <w:tcW w:w="1936" w:type="dxa"/>
            <w:tcBorders>
              <w:top w:val="single" w:sz="8" w:space="0" w:color="4F81BD"/>
              <w:bottom w:val="single" w:sz="8" w:space="0" w:color="4F81BD"/>
              <w:right w:val="single" w:sz="8" w:space="0" w:color="4F81BD"/>
            </w:tcBorders>
            <w:shd w:val="clear" w:color="auto" w:fill="auto"/>
          </w:tcPr>
          <w:p w:rsidR="00BB429C" w:rsidRPr="00B862E1" w:rsidRDefault="00BB429C" w:rsidP="004303BC">
            <w:pPr>
              <w:spacing w:before="120" w:after="120"/>
            </w:pPr>
            <w:r w:rsidRPr="00B862E1">
              <w:t>2016.gada 1.janvāris</w:t>
            </w:r>
          </w:p>
        </w:tc>
      </w:tr>
      <w:tr w:rsidR="00BB429C" w:rsidRPr="00B862E1" w:rsidTr="00D438C6">
        <w:trPr>
          <w:jc w:val="center"/>
        </w:trPr>
        <w:tc>
          <w:tcPr>
            <w:tcW w:w="2633" w:type="dxa"/>
            <w:shd w:val="clear" w:color="auto" w:fill="auto"/>
            <w:vAlign w:val="center"/>
          </w:tcPr>
          <w:p w:rsidR="00BB429C" w:rsidRPr="004303BC" w:rsidRDefault="00BB429C" w:rsidP="004303BC">
            <w:pPr>
              <w:spacing w:before="120" w:after="120"/>
              <w:rPr>
                <w:b/>
                <w:bCs/>
              </w:rPr>
            </w:pPr>
            <w:r w:rsidRPr="004303BC">
              <w:rPr>
                <w:b/>
                <w:bCs/>
              </w:rPr>
              <w:t xml:space="preserve">IIN neapliekamais minimums </w:t>
            </w:r>
          </w:p>
        </w:tc>
        <w:tc>
          <w:tcPr>
            <w:tcW w:w="2694" w:type="dxa"/>
            <w:shd w:val="clear" w:color="auto" w:fill="auto"/>
            <w:vAlign w:val="center"/>
          </w:tcPr>
          <w:p w:rsidR="00BB429C" w:rsidRPr="00B862E1" w:rsidRDefault="00BB429C" w:rsidP="00963188"/>
        </w:tc>
        <w:tc>
          <w:tcPr>
            <w:tcW w:w="1714" w:type="dxa"/>
            <w:vMerge w:val="restart"/>
            <w:shd w:val="clear" w:color="auto" w:fill="auto"/>
            <w:vAlign w:val="center"/>
          </w:tcPr>
          <w:p w:rsidR="00BB429C" w:rsidRPr="00B862E1" w:rsidRDefault="00BB429C" w:rsidP="00BF32BE">
            <w:pPr>
              <w:spacing w:before="120" w:after="120"/>
            </w:pPr>
            <w:r w:rsidRPr="00B862E1">
              <w:t>2016.gada 1.</w:t>
            </w:r>
            <w:r w:rsidR="00BF32BE">
              <w:t>oktobris</w:t>
            </w:r>
          </w:p>
        </w:tc>
        <w:tc>
          <w:tcPr>
            <w:tcW w:w="1936" w:type="dxa"/>
            <w:vMerge w:val="restart"/>
            <w:shd w:val="clear" w:color="auto" w:fill="auto"/>
            <w:vAlign w:val="center"/>
          </w:tcPr>
          <w:p w:rsidR="00BB429C" w:rsidRPr="00B862E1" w:rsidRDefault="00BB429C" w:rsidP="004303BC">
            <w:pPr>
              <w:spacing w:before="120" w:after="120"/>
            </w:pPr>
            <w:r w:rsidRPr="00B862E1">
              <w:t>2017.gada 1.janvāris</w:t>
            </w:r>
          </w:p>
        </w:tc>
      </w:tr>
      <w:tr w:rsidR="00DC5EF6" w:rsidRPr="00B862E1" w:rsidTr="00FF2680">
        <w:trPr>
          <w:jc w:val="center"/>
        </w:trPr>
        <w:tc>
          <w:tcPr>
            <w:tcW w:w="2633" w:type="dxa"/>
            <w:tcBorders>
              <w:top w:val="single" w:sz="8" w:space="0" w:color="4F81BD"/>
              <w:left w:val="single" w:sz="8" w:space="0" w:color="4F81BD"/>
              <w:bottom w:val="single" w:sz="8" w:space="0" w:color="4F81BD"/>
            </w:tcBorders>
            <w:shd w:val="clear" w:color="auto" w:fill="auto"/>
            <w:vAlign w:val="center"/>
          </w:tcPr>
          <w:p w:rsidR="00DC5EF6" w:rsidRPr="004303BC" w:rsidRDefault="00DC5EF6" w:rsidP="00DC5EF6">
            <w:pPr>
              <w:spacing w:before="120" w:after="120"/>
              <w:rPr>
                <w:b/>
                <w:bCs/>
              </w:rPr>
            </w:pPr>
            <w:r>
              <w:rPr>
                <w:b/>
                <w:bCs/>
              </w:rPr>
              <w:t>Sociālā palīdzība</w:t>
            </w:r>
          </w:p>
        </w:tc>
        <w:tc>
          <w:tcPr>
            <w:tcW w:w="2694" w:type="dxa"/>
            <w:vMerge w:val="restart"/>
            <w:tcBorders>
              <w:top w:val="single" w:sz="8" w:space="0" w:color="4F81BD"/>
            </w:tcBorders>
            <w:shd w:val="clear" w:color="auto" w:fill="auto"/>
            <w:vAlign w:val="center"/>
          </w:tcPr>
          <w:p w:rsidR="00DC5EF6" w:rsidRPr="00B862E1" w:rsidRDefault="00DC5EF6" w:rsidP="00963188">
            <w:r>
              <w:t>Plāns</w:t>
            </w:r>
            <w:r w:rsidRPr="00B862E1">
              <w:t>:</w:t>
            </w:r>
          </w:p>
          <w:p w:rsidR="00DC5EF6" w:rsidRPr="00B862E1" w:rsidRDefault="00DC5EF6" w:rsidP="00BF32BE">
            <w:r w:rsidRPr="00B862E1">
              <w:t>201</w:t>
            </w:r>
            <w:r w:rsidR="00BF32BE">
              <w:t xml:space="preserve">6.gada </w:t>
            </w:r>
            <w:r w:rsidRPr="00B862E1">
              <w:t>1.</w:t>
            </w:r>
            <w:r w:rsidR="00BF32BE">
              <w:t>aprīlis</w:t>
            </w:r>
          </w:p>
        </w:tc>
        <w:tc>
          <w:tcPr>
            <w:tcW w:w="1714" w:type="dxa"/>
            <w:vMerge/>
            <w:tcBorders>
              <w:top w:val="single" w:sz="8" w:space="0" w:color="4F81BD"/>
              <w:bottom w:val="single" w:sz="8" w:space="0" w:color="4F81BD"/>
            </w:tcBorders>
            <w:shd w:val="clear" w:color="auto" w:fill="auto"/>
          </w:tcPr>
          <w:p w:rsidR="00DC5EF6" w:rsidRPr="00B862E1" w:rsidRDefault="00DC5EF6" w:rsidP="004303BC">
            <w:pPr>
              <w:spacing w:before="120" w:after="120"/>
            </w:pPr>
          </w:p>
        </w:tc>
        <w:tc>
          <w:tcPr>
            <w:tcW w:w="1936" w:type="dxa"/>
            <w:vMerge/>
            <w:tcBorders>
              <w:top w:val="single" w:sz="8" w:space="0" w:color="4F81BD"/>
              <w:bottom w:val="single" w:sz="8" w:space="0" w:color="4F81BD"/>
              <w:right w:val="single" w:sz="8" w:space="0" w:color="4F81BD"/>
            </w:tcBorders>
            <w:shd w:val="clear" w:color="auto" w:fill="auto"/>
          </w:tcPr>
          <w:p w:rsidR="00DC5EF6" w:rsidRPr="00B862E1" w:rsidRDefault="00DC5EF6" w:rsidP="004303BC">
            <w:pPr>
              <w:spacing w:before="120" w:after="120"/>
            </w:pPr>
          </w:p>
        </w:tc>
      </w:tr>
      <w:tr w:rsidR="00DC5EF6" w:rsidRPr="00B862E1" w:rsidTr="00D438C6">
        <w:trPr>
          <w:jc w:val="center"/>
        </w:trPr>
        <w:tc>
          <w:tcPr>
            <w:tcW w:w="2633" w:type="dxa"/>
            <w:shd w:val="clear" w:color="auto" w:fill="auto"/>
            <w:vAlign w:val="center"/>
          </w:tcPr>
          <w:p w:rsidR="00DC5EF6" w:rsidRPr="004303BC" w:rsidRDefault="00DC5EF6" w:rsidP="008E043A">
            <w:pPr>
              <w:spacing w:before="120" w:after="120"/>
              <w:rPr>
                <w:b/>
                <w:bCs/>
              </w:rPr>
            </w:pPr>
            <w:r>
              <w:rPr>
                <w:b/>
                <w:bCs/>
              </w:rPr>
              <w:t>Minimālā pensija</w:t>
            </w:r>
          </w:p>
        </w:tc>
        <w:tc>
          <w:tcPr>
            <w:tcW w:w="2694" w:type="dxa"/>
            <w:vMerge/>
            <w:shd w:val="clear" w:color="auto" w:fill="auto"/>
            <w:vAlign w:val="center"/>
          </w:tcPr>
          <w:p w:rsidR="00DC5EF6" w:rsidRPr="00B862E1" w:rsidRDefault="00DC5EF6" w:rsidP="00963188"/>
        </w:tc>
        <w:tc>
          <w:tcPr>
            <w:tcW w:w="1714" w:type="dxa"/>
            <w:vMerge/>
            <w:shd w:val="clear" w:color="auto" w:fill="auto"/>
          </w:tcPr>
          <w:p w:rsidR="00DC5EF6" w:rsidRPr="00B862E1" w:rsidRDefault="00DC5EF6" w:rsidP="004303BC">
            <w:pPr>
              <w:spacing w:before="120" w:after="120"/>
            </w:pPr>
          </w:p>
        </w:tc>
        <w:tc>
          <w:tcPr>
            <w:tcW w:w="1936" w:type="dxa"/>
            <w:vMerge/>
            <w:shd w:val="clear" w:color="auto" w:fill="auto"/>
          </w:tcPr>
          <w:p w:rsidR="00DC5EF6" w:rsidRPr="00B862E1" w:rsidRDefault="00DC5EF6" w:rsidP="004303BC">
            <w:pPr>
              <w:spacing w:before="120" w:after="120"/>
            </w:pPr>
          </w:p>
        </w:tc>
      </w:tr>
      <w:tr w:rsidR="00DC5EF6" w:rsidRPr="00B862E1" w:rsidTr="00FF2680">
        <w:trPr>
          <w:jc w:val="center"/>
        </w:trPr>
        <w:tc>
          <w:tcPr>
            <w:tcW w:w="2633" w:type="dxa"/>
            <w:tcBorders>
              <w:top w:val="single" w:sz="8" w:space="0" w:color="4F81BD"/>
              <w:left w:val="single" w:sz="8" w:space="0" w:color="4F81BD"/>
              <w:bottom w:val="single" w:sz="8" w:space="0" w:color="4F81BD"/>
            </w:tcBorders>
            <w:shd w:val="clear" w:color="auto" w:fill="auto"/>
            <w:vAlign w:val="center"/>
          </w:tcPr>
          <w:p w:rsidR="00DC5EF6" w:rsidRPr="004303BC" w:rsidRDefault="00DC5EF6" w:rsidP="00DC5EF6">
            <w:pPr>
              <w:spacing w:before="120" w:after="120"/>
              <w:rPr>
                <w:b/>
                <w:bCs/>
              </w:rPr>
            </w:pPr>
            <w:r>
              <w:rPr>
                <w:b/>
                <w:bCs/>
              </w:rPr>
              <w:t>Bezdarbnieka pabalsts</w:t>
            </w:r>
          </w:p>
        </w:tc>
        <w:tc>
          <w:tcPr>
            <w:tcW w:w="2694" w:type="dxa"/>
            <w:vMerge/>
            <w:shd w:val="clear" w:color="auto" w:fill="auto"/>
            <w:vAlign w:val="center"/>
          </w:tcPr>
          <w:p w:rsidR="00DC5EF6" w:rsidRPr="00B862E1" w:rsidRDefault="00DC5EF6" w:rsidP="00963188"/>
        </w:tc>
        <w:tc>
          <w:tcPr>
            <w:tcW w:w="1714" w:type="dxa"/>
            <w:vMerge/>
            <w:tcBorders>
              <w:top w:val="single" w:sz="8" w:space="0" w:color="4F81BD"/>
              <w:bottom w:val="single" w:sz="8" w:space="0" w:color="4F81BD"/>
            </w:tcBorders>
            <w:shd w:val="clear" w:color="auto" w:fill="auto"/>
          </w:tcPr>
          <w:p w:rsidR="00DC5EF6" w:rsidRPr="00B862E1" w:rsidRDefault="00DC5EF6" w:rsidP="004303BC">
            <w:pPr>
              <w:spacing w:before="120" w:after="120"/>
            </w:pPr>
          </w:p>
        </w:tc>
        <w:tc>
          <w:tcPr>
            <w:tcW w:w="1936" w:type="dxa"/>
            <w:vMerge/>
            <w:tcBorders>
              <w:top w:val="single" w:sz="8" w:space="0" w:color="4F81BD"/>
              <w:bottom w:val="single" w:sz="8" w:space="0" w:color="4F81BD"/>
              <w:right w:val="single" w:sz="8" w:space="0" w:color="4F81BD"/>
            </w:tcBorders>
            <w:shd w:val="clear" w:color="auto" w:fill="auto"/>
          </w:tcPr>
          <w:p w:rsidR="00DC5EF6" w:rsidRPr="00B862E1" w:rsidRDefault="00DC5EF6" w:rsidP="004303BC">
            <w:pPr>
              <w:spacing w:before="120" w:after="120"/>
            </w:pPr>
          </w:p>
        </w:tc>
      </w:tr>
      <w:tr w:rsidR="00DC5EF6" w:rsidRPr="00B862E1" w:rsidTr="00D438C6">
        <w:trPr>
          <w:jc w:val="center"/>
        </w:trPr>
        <w:tc>
          <w:tcPr>
            <w:tcW w:w="2633" w:type="dxa"/>
            <w:shd w:val="clear" w:color="auto" w:fill="auto"/>
            <w:vAlign w:val="center"/>
          </w:tcPr>
          <w:p w:rsidR="00DC5EF6" w:rsidRPr="004303BC" w:rsidRDefault="00DC5EF6" w:rsidP="00DC5EF6">
            <w:pPr>
              <w:spacing w:before="120" w:after="120"/>
              <w:rPr>
                <w:b/>
                <w:bCs/>
              </w:rPr>
            </w:pPr>
            <w:r>
              <w:rPr>
                <w:b/>
                <w:bCs/>
              </w:rPr>
              <w:t>Valsts sociālie pabalsti</w:t>
            </w:r>
          </w:p>
        </w:tc>
        <w:tc>
          <w:tcPr>
            <w:tcW w:w="2694" w:type="dxa"/>
            <w:vMerge/>
            <w:shd w:val="clear" w:color="auto" w:fill="auto"/>
            <w:vAlign w:val="center"/>
          </w:tcPr>
          <w:p w:rsidR="00DC5EF6" w:rsidRPr="00B862E1" w:rsidRDefault="00DC5EF6" w:rsidP="00963188"/>
        </w:tc>
        <w:tc>
          <w:tcPr>
            <w:tcW w:w="1714" w:type="dxa"/>
            <w:vMerge/>
            <w:shd w:val="clear" w:color="auto" w:fill="auto"/>
          </w:tcPr>
          <w:p w:rsidR="00DC5EF6" w:rsidRPr="00B862E1" w:rsidRDefault="00DC5EF6" w:rsidP="004303BC">
            <w:pPr>
              <w:spacing w:before="120" w:after="120"/>
            </w:pPr>
          </w:p>
        </w:tc>
        <w:tc>
          <w:tcPr>
            <w:tcW w:w="1936" w:type="dxa"/>
            <w:vMerge/>
            <w:shd w:val="clear" w:color="auto" w:fill="auto"/>
          </w:tcPr>
          <w:p w:rsidR="00DC5EF6" w:rsidRPr="00B862E1" w:rsidRDefault="00DC5EF6" w:rsidP="004303BC">
            <w:pPr>
              <w:spacing w:before="120" w:after="120"/>
            </w:pPr>
          </w:p>
        </w:tc>
      </w:tr>
      <w:tr w:rsidR="00BB429C" w:rsidRPr="00B862E1" w:rsidTr="00885132">
        <w:trPr>
          <w:jc w:val="center"/>
        </w:trPr>
        <w:tc>
          <w:tcPr>
            <w:tcW w:w="2633" w:type="dxa"/>
            <w:tcBorders>
              <w:top w:val="single" w:sz="8" w:space="0" w:color="4F81BD"/>
              <w:left w:val="single" w:sz="8" w:space="0" w:color="4F81BD"/>
              <w:bottom w:val="single" w:sz="8" w:space="0" w:color="4F81BD"/>
            </w:tcBorders>
            <w:shd w:val="clear" w:color="auto" w:fill="auto"/>
            <w:vAlign w:val="center"/>
          </w:tcPr>
          <w:p w:rsidR="00BB429C" w:rsidRPr="004303BC" w:rsidRDefault="00BB429C" w:rsidP="004303BC">
            <w:pPr>
              <w:spacing w:before="120" w:after="120"/>
              <w:rPr>
                <w:b/>
                <w:bCs/>
              </w:rPr>
            </w:pPr>
            <w:r w:rsidRPr="004303BC">
              <w:rPr>
                <w:b/>
                <w:bCs/>
              </w:rPr>
              <w:t xml:space="preserve">Iztikas minimuma grozs </w:t>
            </w:r>
          </w:p>
        </w:tc>
        <w:tc>
          <w:tcPr>
            <w:tcW w:w="2694" w:type="dxa"/>
            <w:tcBorders>
              <w:top w:val="single" w:sz="8" w:space="0" w:color="4F81BD"/>
              <w:bottom w:val="single" w:sz="8" w:space="0" w:color="4F81BD"/>
            </w:tcBorders>
            <w:shd w:val="clear" w:color="auto" w:fill="auto"/>
            <w:vAlign w:val="center"/>
          </w:tcPr>
          <w:p w:rsidR="00885132" w:rsidRDefault="00C4644D" w:rsidP="00963188">
            <w:r>
              <w:t>Projekta izstrāde</w:t>
            </w:r>
            <w:r w:rsidR="00885132">
              <w:t xml:space="preserve"> un ieviešana</w:t>
            </w:r>
            <w:r>
              <w:t xml:space="preserve">: </w:t>
            </w:r>
          </w:p>
          <w:p w:rsidR="00BB429C" w:rsidRPr="00B862E1" w:rsidRDefault="00C4644D" w:rsidP="00963188">
            <w:r>
              <w:t>2017.gada 31.decembris</w:t>
            </w:r>
          </w:p>
        </w:tc>
        <w:tc>
          <w:tcPr>
            <w:tcW w:w="1714" w:type="dxa"/>
            <w:tcBorders>
              <w:top w:val="single" w:sz="8" w:space="0" w:color="4F81BD"/>
              <w:bottom w:val="single" w:sz="8" w:space="0" w:color="4F81BD"/>
            </w:tcBorders>
            <w:shd w:val="clear" w:color="auto" w:fill="auto"/>
            <w:vAlign w:val="center"/>
          </w:tcPr>
          <w:p w:rsidR="00BB429C" w:rsidRPr="00B862E1" w:rsidRDefault="00885132" w:rsidP="00885132">
            <w:pPr>
              <w:spacing w:before="120" w:after="120"/>
              <w:jc w:val="center"/>
            </w:pPr>
            <w:r>
              <w:t>-</w:t>
            </w:r>
          </w:p>
        </w:tc>
        <w:tc>
          <w:tcPr>
            <w:tcW w:w="1936" w:type="dxa"/>
            <w:tcBorders>
              <w:top w:val="single" w:sz="8" w:space="0" w:color="4F81BD"/>
              <w:bottom w:val="single" w:sz="8" w:space="0" w:color="4F81BD"/>
              <w:right w:val="single" w:sz="8" w:space="0" w:color="4F81BD"/>
            </w:tcBorders>
            <w:shd w:val="clear" w:color="auto" w:fill="auto"/>
          </w:tcPr>
          <w:p w:rsidR="00BB429C" w:rsidRPr="00B862E1" w:rsidRDefault="00EA0848" w:rsidP="004303BC">
            <w:pPr>
              <w:spacing w:before="120" w:after="120"/>
            </w:pPr>
            <w:r>
              <w:t>2018</w:t>
            </w:r>
            <w:r w:rsidR="00DC5EF6">
              <w:t>.gada 1.janvāris</w:t>
            </w:r>
          </w:p>
        </w:tc>
      </w:tr>
    </w:tbl>
    <w:p w:rsidR="00F00B91" w:rsidRDefault="00F00B91" w:rsidP="005A601C">
      <w:pPr>
        <w:ind w:firstLine="720"/>
        <w:jc w:val="both"/>
      </w:pPr>
    </w:p>
    <w:p w:rsidR="00F00B91" w:rsidRDefault="00F00B91" w:rsidP="005A601C">
      <w:pPr>
        <w:ind w:firstLine="720"/>
        <w:jc w:val="both"/>
      </w:pPr>
    </w:p>
    <w:p w:rsidR="00B862E1" w:rsidRDefault="00B862E1" w:rsidP="005A601C">
      <w:pPr>
        <w:ind w:firstLine="720"/>
        <w:jc w:val="both"/>
      </w:pPr>
    </w:p>
    <w:p w:rsidR="00B862E1" w:rsidRPr="00925C58" w:rsidRDefault="00B862E1" w:rsidP="005A601C">
      <w:pPr>
        <w:ind w:firstLine="720"/>
        <w:jc w:val="both"/>
      </w:pPr>
    </w:p>
    <w:p w:rsidR="00C407D6" w:rsidRDefault="005A601C" w:rsidP="005A601C">
      <w:r w:rsidRPr="00925C58">
        <w:t>Labklājības ministr</w:t>
      </w:r>
      <w:r w:rsidR="00516194">
        <w:t>s</w:t>
      </w:r>
      <w:r w:rsidRPr="00925C58">
        <w:tab/>
      </w:r>
      <w:r w:rsidRPr="00925C58">
        <w:tab/>
      </w:r>
      <w:proofErr w:type="gramStart"/>
      <w:r w:rsidRPr="00925C58">
        <w:t xml:space="preserve">                       </w:t>
      </w:r>
      <w:proofErr w:type="gramEnd"/>
      <w:r w:rsidR="00A72E6F">
        <w:tab/>
      </w:r>
      <w:r w:rsidR="00A72E6F">
        <w:tab/>
      </w:r>
      <w:r w:rsidRPr="00925C58">
        <w:t xml:space="preserve">     </w:t>
      </w:r>
      <w:r w:rsidR="00161DE8">
        <w:tab/>
      </w:r>
      <w:r w:rsidR="00161DE8">
        <w:tab/>
      </w:r>
      <w:r w:rsidR="00161DE8">
        <w:tab/>
      </w:r>
      <w:r w:rsidR="00161DE8">
        <w:tab/>
        <w:t>U.Augulis</w:t>
      </w:r>
      <w:r w:rsidRPr="00925C58">
        <w:tab/>
      </w:r>
    </w:p>
    <w:p w:rsidR="00C407D6" w:rsidRDefault="00C407D6" w:rsidP="005A601C"/>
    <w:p w:rsidR="00C407D6" w:rsidRDefault="00C407D6" w:rsidP="005A601C"/>
    <w:p w:rsidR="00C407D6" w:rsidRDefault="00C407D6" w:rsidP="005A601C"/>
    <w:p w:rsidR="00B574E0" w:rsidRDefault="00B574E0" w:rsidP="005A601C"/>
    <w:p w:rsidR="00B574E0" w:rsidRDefault="00B574E0" w:rsidP="005A601C"/>
    <w:p w:rsidR="00B574E0" w:rsidRDefault="00B574E0" w:rsidP="005A601C"/>
    <w:p w:rsidR="00A72E6F" w:rsidRDefault="005A601C" w:rsidP="005A601C">
      <w:r w:rsidRPr="00925C58">
        <w:t xml:space="preserve">  </w:t>
      </w:r>
    </w:p>
    <w:p w:rsidR="005A601C" w:rsidRPr="00925C58" w:rsidRDefault="005A601C" w:rsidP="005A601C">
      <w:r w:rsidRPr="00925C58">
        <w:t xml:space="preserve">    </w:t>
      </w:r>
    </w:p>
    <w:p w:rsidR="00323FF6" w:rsidRPr="007E67C0" w:rsidRDefault="00323FF6" w:rsidP="005A601C">
      <w:pPr>
        <w:pStyle w:val="Footer"/>
        <w:rPr>
          <w:bCs/>
          <w:sz w:val="16"/>
          <w:szCs w:val="16"/>
        </w:rPr>
      </w:pPr>
      <w:r w:rsidRPr="007E67C0">
        <w:rPr>
          <w:bCs/>
          <w:sz w:val="16"/>
          <w:szCs w:val="16"/>
        </w:rPr>
        <w:t>201</w:t>
      </w:r>
      <w:r w:rsidR="00516194" w:rsidRPr="007E67C0">
        <w:rPr>
          <w:bCs/>
          <w:sz w:val="16"/>
          <w:szCs w:val="16"/>
        </w:rPr>
        <w:t>4</w:t>
      </w:r>
      <w:r w:rsidR="00B574E0">
        <w:rPr>
          <w:bCs/>
          <w:sz w:val="16"/>
          <w:szCs w:val="16"/>
        </w:rPr>
        <w:t>.10</w:t>
      </w:r>
      <w:r w:rsidRPr="007E67C0">
        <w:rPr>
          <w:bCs/>
          <w:sz w:val="16"/>
          <w:szCs w:val="16"/>
        </w:rPr>
        <w:t>.</w:t>
      </w:r>
      <w:r w:rsidR="00AA18E7">
        <w:rPr>
          <w:bCs/>
          <w:sz w:val="16"/>
          <w:szCs w:val="16"/>
        </w:rPr>
        <w:t>20</w:t>
      </w:r>
      <w:r w:rsidRPr="00033821">
        <w:rPr>
          <w:bCs/>
          <w:sz w:val="16"/>
          <w:szCs w:val="16"/>
        </w:rPr>
        <w:t xml:space="preserve">. </w:t>
      </w:r>
      <w:r w:rsidR="00AA18E7">
        <w:rPr>
          <w:bCs/>
          <w:sz w:val="16"/>
          <w:szCs w:val="16"/>
        </w:rPr>
        <w:t>12</w:t>
      </w:r>
      <w:r w:rsidRPr="00033821">
        <w:rPr>
          <w:bCs/>
          <w:sz w:val="16"/>
          <w:szCs w:val="16"/>
        </w:rPr>
        <w:t>:</w:t>
      </w:r>
      <w:r w:rsidR="00AA18E7">
        <w:rPr>
          <w:bCs/>
          <w:sz w:val="16"/>
          <w:szCs w:val="16"/>
        </w:rPr>
        <w:t>30</w:t>
      </w:r>
    </w:p>
    <w:p w:rsidR="005A601C" w:rsidRPr="007E67C0" w:rsidRDefault="00D74CF6" w:rsidP="005A601C">
      <w:pPr>
        <w:pStyle w:val="Footer"/>
        <w:rPr>
          <w:sz w:val="16"/>
          <w:szCs w:val="16"/>
        </w:rPr>
      </w:pPr>
      <w:r>
        <w:rPr>
          <w:bCs/>
          <w:sz w:val="16"/>
          <w:szCs w:val="16"/>
        </w:rPr>
        <w:t>17025</w:t>
      </w:r>
    </w:p>
    <w:p w:rsidR="005A601C" w:rsidRPr="007E67C0" w:rsidRDefault="0043246D" w:rsidP="005A601C">
      <w:pPr>
        <w:rPr>
          <w:sz w:val="16"/>
          <w:szCs w:val="16"/>
        </w:rPr>
      </w:pPr>
      <w:r w:rsidRPr="007E67C0">
        <w:rPr>
          <w:sz w:val="16"/>
          <w:szCs w:val="16"/>
        </w:rPr>
        <w:t>E.Kūla, 67021692</w:t>
      </w:r>
    </w:p>
    <w:p w:rsidR="00A511BC" w:rsidRPr="009229EA" w:rsidRDefault="0043246D">
      <w:r w:rsidRPr="007E67C0">
        <w:rPr>
          <w:sz w:val="16"/>
          <w:szCs w:val="16"/>
        </w:rPr>
        <w:t>Evija</w:t>
      </w:r>
      <w:r w:rsidR="005A601C" w:rsidRPr="007E67C0">
        <w:rPr>
          <w:sz w:val="16"/>
          <w:szCs w:val="16"/>
        </w:rPr>
        <w:t>.</w:t>
      </w:r>
      <w:r w:rsidR="007D4E2F" w:rsidRPr="007E67C0">
        <w:rPr>
          <w:sz w:val="16"/>
          <w:szCs w:val="16"/>
        </w:rPr>
        <w:t>Ku</w:t>
      </w:r>
      <w:r w:rsidRPr="007E67C0">
        <w:rPr>
          <w:sz w:val="16"/>
          <w:szCs w:val="16"/>
        </w:rPr>
        <w:t>la</w:t>
      </w:r>
      <w:r w:rsidR="005A601C" w:rsidRPr="007E67C0">
        <w:rPr>
          <w:sz w:val="16"/>
          <w:szCs w:val="16"/>
        </w:rPr>
        <w:t>@lm.gov.lv</w:t>
      </w:r>
    </w:p>
    <w:sectPr w:rsidR="00A511BC" w:rsidRPr="009229EA" w:rsidSect="00F44425">
      <w:headerReference w:type="even" r:id="rId25"/>
      <w:headerReference w:type="default" r:id="rId26"/>
      <w:footerReference w:type="default" r:id="rId27"/>
      <w:footerReference w:type="first" r:id="rId28"/>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D6" w:rsidRDefault="00401ED6" w:rsidP="005A601C">
      <w:r>
        <w:separator/>
      </w:r>
    </w:p>
  </w:endnote>
  <w:endnote w:type="continuationSeparator" w:id="0">
    <w:p w:rsidR="00401ED6" w:rsidRDefault="00401ED6" w:rsidP="005A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D6" w:rsidRPr="00EB7E6A" w:rsidRDefault="008265FA" w:rsidP="009B341F">
    <w:pPr>
      <w:pStyle w:val="Footer"/>
      <w:rPr>
        <w:sz w:val="20"/>
        <w:szCs w:val="20"/>
      </w:rPr>
    </w:pPr>
    <w:r>
      <w:rPr>
        <w:sz w:val="20"/>
        <w:szCs w:val="20"/>
      </w:rPr>
      <w:t>LMkonc_</w:t>
    </w:r>
    <w:r w:rsidR="00FF19FC">
      <w:rPr>
        <w:sz w:val="20"/>
        <w:szCs w:val="20"/>
      </w:rPr>
      <w:t>20</w:t>
    </w:r>
    <w:r>
      <w:rPr>
        <w:sz w:val="20"/>
        <w:szCs w:val="20"/>
      </w:rPr>
      <w:t>10</w:t>
    </w:r>
    <w:r w:rsidRPr="003847AC">
      <w:rPr>
        <w:sz w:val="20"/>
        <w:szCs w:val="20"/>
      </w:rPr>
      <w:t>14</w:t>
    </w:r>
    <w:r w:rsidR="00401ED6" w:rsidRPr="00EB7E6A">
      <w:rPr>
        <w:sz w:val="20"/>
        <w:szCs w:val="20"/>
      </w:rPr>
      <w:t>; Koncepcija „Par minimālā ienākuma līmeņa noteikšanu”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D6" w:rsidRPr="003847AC" w:rsidRDefault="008265FA">
    <w:pPr>
      <w:pStyle w:val="Footer"/>
      <w:rPr>
        <w:sz w:val="20"/>
        <w:szCs w:val="20"/>
      </w:rPr>
    </w:pPr>
    <w:r>
      <w:rPr>
        <w:sz w:val="20"/>
        <w:szCs w:val="20"/>
      </w:rPr>
      <w:t>LMkonc_</w:t>
    </w:r>
    <w:r w:rsidR="00D74CF6">
      <w:rPr>
        <w:sz w:val="20"/>
        <w:szCs w:val="20"/>
      </w:rPr>
      <w:t>2</w:t>
    </w:r>
    <w:r>
      <w:rPr>
        <w:sz w:val="20"/>
        <w:szCs w:val="20"/>
      </w:rPr>
      <w:t>010</w:t>
    </w:r>
    <w:r w:rsidR="00401ED6" w:rsidRPr="003847AC">
      <w:rPr>
        <w:sz w:val="20"/>
        <w:szCs w:val="20"/>
      </w:rPr>
      <w:t>14; Koncepcija „Par minimālā ienākuma līmeņa noteikšanu”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D6" w:rsidRDefault="00401ED6" w:rsidP="005A601C">
      <w:r>
        <w:separator/>
      </w:r>
    </w:p>
  </w:footnote>
  <w:footnote w:type="continuationSeparator" w:id="0">
    <w:p w:rsidR="00401ED6" w:rsidRDefault="00401ED6" w:rsidP="005A601C">
      <w:r>
        <w:continuationSeparator/>
      </w:r>
    </w:p>
  </w:footnote>
  <w:footnote w:id="1">
    <w:p w:rsidR="00401ED6" w:rsidRPr="00554EED" w:rsidRDefault="00401ED6" w:rsidP="009C06AA">
      <w:pPr>
        <w:pStyle w:val="FootnoteText"/>
        <w:jc w:val="both"/>
      </w:pPr>
      <w:r w:rsidRPr="00554EED">
        <w:rPr>
          <w:rStyle w:val="FootnoteReference"/>
        </w:rPr>
        <w:footnoteRef/>
      </w:r>
      <w:r w:rsidRPr="00554EED">
        <w:t xml:space="preserve"> Nabadzības riska indekss ir iedzīvotāju īpatsvars (procentos) zem izraudzītā nabadzības riska sliekšņa</w:t>
      </w:r>
      <w:r>
        <w:t>.</w:t>
      </w:r>
    </w:p>
  </w:footnote>
  <w:footnote w:id="2">
    <w:p w:rsidR="00401ED6" w:rsidRPr="00554EED" w:rsidRDefault="00401ED6" w:rsidP="007C6F3F">
      <w:pPr>
        <w:pStyle w:val="FootnoteText"/>
        <w:jc w:val="both"/>
      </w:pPr>
      <w:r w:rsidRPr="00554EED">
        <w:rPr>
          <w:rStyle w:val="FootnoteReference"/>
        </w:rPr>
        <w:footnoteRef/>
      </w:r>
      <w:r w:rsidRPr="00554EED">
        <w:t xml:space="preserve"> </w:t>
      </w:r>
      <w:r w:rsidRPr="00B8710F">
        <w:t>Tiek uzskatīts, ka persona dzīvo mājsaimniecībā ar zemu darba intensitāti, ja visu tās darbspējas (18 – 59 gadu) vecuma mājsaimniecības locekļu pārskata periodā nostrādāto mēnešu skaita attiecība pret kopējo mēnešu skaitu, ko mājsaimniecības locekļi teorētiski varēja nostrādāt, ir zem 20%</w:t>
      </w:r>
      <w:r w:rsidRPr="00554EED">
        <w:t>.</w:t>
      </w:r>
    </w:p>
  </w:footnote>
  <w:footnote w:id="3">
    <w:p w:rsidR="00401ED6" w:rsidRPr="00554EED" w:rsidRDefault="00401ED6" w:rsidP="009C06AA">
      <w:pPr>
        <w:pStyle w:val="FootnoteText"/>
        <w:jc w:val="both"/>
      </w:pPr>
      <w:r w:rsidRPr="00554EED">
        <w:rPr>
          <w:rStyle w:val="FootnoteReference"/>
        </w:rPr>
        <w:footnoteRef/>
      </w:r>
      <w:r w:rsidRPr="00554EED">
        <w:t xml:space="preserve"> Dziļa materiālā nenodrošinātība raksturo personas, kurām piemīt </w:t>
      </w:r>
      <w:r w:rsidRPr="00554EED">
        <w:rPr>
          <w:u w:val="single"/>
        </w:rPr>
        <w:t>vismaz četras</w:t>
      </w:r>
      <w:r w:rsidRPr="00554EED">
        <w:t xml:space="preserve"> no materiālās nenodrošinātības pazīmēm: finansiālu iespēju trūkums 1) segt komunālos maksājumus, īri vai atmaksāt kredītu, 2) finansiāli atļauties uzturēt mājokli siltu, 3) segt pēkšņus, neparedzētus izdevumus no pašu līdzekļiem, 4) ēst gaļu, putnu gaļu vai zivis katru otro dienu, 5) katru gadu vienu nedēļu doties brīvdienās ārpus mājām, 6) lietot savām vajadzībām vieglo auto, 7) veļas mazgājamo mašīnu, 8) krāsu televizoru, 9) telefonu.</w:t>
      </w:r>
    </w:p>
  </w:footnote>
  <w:footnote w:id="4">
    <w:p w:rsidR="00401ED6" w:rsidRDefault="00401ED6">
      <w:pPr>
        <w:pStyle w:val="FootnoteText"/>
      </w:pPr>
      <w:r>
        <w:rPr>
          <w:rStyle w:val="FootnoteReference"/>
        </w:rPr>
        <w:footnoteRef/>
      </w:r>
      <w:r>
        <w:t xml:space="preserve"> Latvijas Nacionālais attīstības plāns 2014.-2020.gadam, </w:t>
      </w:r>
      <w:proofErr w:type="spellStart"/>
      <w:r>
        <w:t>Pārresoru</w:t>
      </w:r>
      <w:proofErr w:type="spellEnd"/>
      <w:r>
        <w:t xml:space="preserve"> koordinācijas centrs (2012), 37 lp. </w:t>
      </w:r>
    </w:p>
  </w:footnote>
  <w:footnote w:id="5">
    <w:p w:rsidR="00401ED6" w:rsidRDefault="00401ED6">
      <w:pPr>
        <w:pStyle w:val="FootnoteText"/>
      </w:pPr>
      <w:r>
        <w:rPr>
          <w:rStyle w:val="FootnoteReference"/>
        </w:rPr>
        <w:footnoteRef/>
      </w:r>
      <w:r>
        <w:t xml:space="preserve"> Turpat, 40 lp.</w:t>
      </w:r>
    </w:p>
  </w:footnote>
  <w:footnote w:id="6">
    <w:p w:rsidR="00401ED6" w:rsidRPr="00554EED" w:rsidRDefault="00401ED6" w:rsidP="009C06AA">
      <w:pPr>
        <w:pStyle w:val="FootnoteText"/>
        <w:jc w:val="both"/>
        <w:rPr>
          <w:lang w:val="fr-FR"/>
        </w:rPr>
      </w:pPr>
      <w:r w:rsidRPr="00554EED">
        <w:rPr>
          <w:rStyle w:val="FootnoteReference"/>
        </w:rPr>
        <w:footnoteRef/>
      </w:r>
      <w:r w:rsidRPr="00554EED">
        <w:t xml:space="preserve"> Eiropas Parlamenta 2010. gada 20. oktobra rezolūcija par minimālā ienākuma nozīmi nabadzības apkarošanā un integrējošas sabiedrības attīstības veicināšanā Eiropā (2010/2039(INI)), </w:t>
      </w:r>
      <w:hyperlink r:id="rId1">
        <w:r w:rsidRPr="00554EED">
          <w:rPr>
            <w:rStyle w:val="Hyperlink"/>
          </w:rPr>
          <w:t>OV C 70E, 8.3.2012., 8.–18. lpp.</w:t>
        </w:r>
      </w:hyperlink>
    </w:p>
  </w:footnote>
  <w:footnote w:id="7">
    <w:p w:rsidR="00401ED6" w:rsidRPr="00554EED" w:rsidRDefault="00401ED6" w:rsidP="00DE22B4">
      <w:pPr>
        <w:pStyle w:val="FootnoteText"/>
        <w:jc w:val="both"/>
      </w:pPr>
      <w:r w:rsidRPr="00554EED">
        <w:rPr>
          <w:rStyle w:val="FootnoteReference"/>
        </w:rPr>
        <w:footnoteRef/>
      </w:r>
      <w:r w:rsidRPr="00554EED">
        <w:t xml:space="preserve"> </w:t>
      </w:r>
      <w:proofErr w:type="spellStart"/>
      <w:r w:rsidRPr="00F07F6F">
        <w:rPr>
          <w:iCs/>
        </w:rPr>
        <w:t>Euro</w:t>
      </w:r>
      <w:r w:rsidRPr="00554EED">
        <w:t>pean</w:t>
      </w:r>
      <w:proofErr w:type="spellEnd"/>
      <w:r w:rsidRPr="00554EED">
        <w:t xml:space="preserve"> </w:t>
      </w:r>
      <w:proofErr w:type="spellStart"/>
      <w:r w:rsidRPr="00554EED">
        <w:t>Economic</w:t>
      </w:r>
      <w:proofErr w:type="spellEnd"/>
      <w:r w:rsidRPr="00554EED">
        <w:t xml:space="preserve"> </w:t>
      </w:r>
      <w:proofErr w:type="spellStart"/>
      <w:r w:rsidRPr="00554EED">
        <w:t>and</w:t>
      </w:r>
      <w:proofErr w:type="spellEnd"/>
      <w:r w:rsidRPr="00554EED">
        <w:t xml:space="preserve"> </w:t>
      </w:r>
      <w:proofErr w:type="spellStart"/>
      <w:r w:rsidRPr="00554EED">
        <w:t>Social</w:t>
      </w:r>
      <w:proofErr w:type="spellEnd"/>
      <w:r w:rsidRPr="00554EED">
        <w:t xml:space="preserve"> </w:t>
      </w:r>
      <w:proofErr w:type="spellStart"/>
      <w:r w:rsidRPr="00554EED">
        <w:t>Committee</w:t>
      </w:r>
      <w:proofErr w:type="spellEnd"/>
      <w:r w:rsidRPr="00554EED">
        <w:t>, SOC/482 „</w:t>
      </w:r>
      <w:proofErr w:type="spellStart"/>
      <w:r w:rsidRPr="00F07F6F">
        <w:rPr>
          <w:iCs/>
        </w:rPr>
        <w:t>Euro</w:t>
      </w:r>
      <w:r w:rsidRPr="00554EED">
        <w:t>opean</w:t>
      </w:r>
      <w:proofErr w:type="spellEnd"/>
      <w:r w:rsidRPr="00554EED">
        <w:t xml:space="preserve"> </w:t>
      </w:r>
      <w:proofErr w:type="spellStart"/>
      <w:r w:rsidRPr="00554EED">
        <w:t>minimum</w:t>
      </w:r>
      <w:proofErr w:type="spellEnd"/>
      <w:r w:rsidRPr="00554EED">
        <w:t xml:space="preserve"> </w:t>
      </w:r>
      <w:proofErr w:type="spellStart"/>
      <w:r w:rsidRPr="00554EED">
        <w:t>income</w:t>
      </w:r>
      <w:proofErr w:type="spellEnd"/>
      <w:r w:rsidRPr="00554EED">
        <w:t xml:space="preserve"> </w:t>
      </w:r>
      <w:proofErr w:type="spellStart"/>
      <w:r w:rsidRPr="00554EED">
        <w:t>and</w:t>
      </w:r>
      <w:proofErr w:type="spellEnd"/>
      <w:r w:rsidRPr="00554EED">
        <w:t xml:space="preserve"> </w:t>
      </w:r>
      <w:proofErr w:type="spellStart"/>
      <w:r w:rsidRPr="00554EED">
        <w:t>poverty</w:t>
      </w:r>
      <w:proofErr w:type="spellEnd"/>
      <w:r w:rsidRPr="00554EED">
        <w:t xml:space="preserve"> </w:t>
      </w:r>
      <w:proofErr w:type="spellStart"/>
      <w:r w:rsidRPr="00554EED">
        <w:t>indicators</w:t>
      </w:r>
      <w:proofErr w:type="spellEnd"/>
      <w:r w:rsidRPr="00554EED">
        <w:t xml:space="preserve">”, 10 </w:t>
      </w:r>
      <w:proofErr w:type="spellStart"/>
      <w:r w:rsidRPr="00554EED">
        <w:t>December</w:t>
      </w:r>
      <w:proofErr w:type="spellEnd"/>
      <w:r w:rsidRPr="00554EED">
        <w:t xml:space="preserve"> 2013. Pieejams </w:t>
      </w:r>
      <w:hyperlink r:id="rId2" w:history="1">
        <w:r w:rsidRPr="00554EED">
          <w:rPr>
            <w:rStyle w:val="Hyperlink"/>
          </w:rPr>
          <w:t>http://www.eesc.</w:t>
        </w:r>
        <w:r w:rsidRPr="00BD0F8B">
          <w:rPr>
            <w:rStyle w:val="Hyperlink"/>
            <w:i/>
            <w:iCs/>
          </w:rPr>
          <w:t>euro</w:t>
        </w:r>
        <w:r w:rsidRPr="00554EED">
          <w:rPr>
            <w:rStyle w:val="Hyperlink"/>
          </w:rPr>
          <w:t>opa.eu/?i=portal.en.soc-opinions.26780</w:t>
        </w:r>
      </w:hyperlink>
      <w:r w:rsidRPr="00554EED">
        <w:t xml:space="preserve">. Skatīts 08.07.2014. </w:t>
      </w:r>
    </w:p>
  </w:footnote>
  <w:footnote w:id="8">
    <w:p w:rsidR="00401ED6" w:rsidRPr="00554EED" w:rsidRDefault="00401ED6" w:rsidP="009C06AA">
      <w:pPr>
        <w:pStyle w:val="FootnoteText"/>
        <w:jc w:val="both"/>
      </w:pPr>
      <w:r w:rsidRPr="00554EED">
        <w:rPr>
          <w:rStyle w:val="FootnoteReference"/>
        </w:rPr>
        <w:footnoteRef/>
      </w:r>
      <w:r w:rsidRPr="00554EED">
        <w:t xml:space="preserve"> </w:t>
      </w:r>
      <w:r w:rsidRPr="00554EED">
        <w:rPr>
          <w:rStyle w:val="hps"/>
        </w:rPr>
        <w:t xml:space="preserve">Pasaules Bankas pētījums </w:t>
      </w:r>
      <w:r w:rsidRPr="00554EED">
        <w:t>„Latvija: kurš ir bezdarbnieks, ekonomiski neaktīvais vai trūcīgais?”</w:t>
      </w:r>
      <w:r>
        <w:t>, 14 lpp</w:t>
      </w:r>
      <w:r w:rsidRPr="00554EED">
        <w:t xml:space="preserve">. Pieejams </w:t>
      </w:r>
      <w:hyperlink r:id="rId3" w:history="1">
        <w:r w:rsidRPr="007F49EB">
          <w:rPr>
            <w:rStyle w:val="Hyperlink"/>
          </w:rPr>
          <w:t>http://www.lm.gov.lv/upload/aktualitates/latvia_compwbs.pdf</w:t>
        </w:r>
      </w:hyperlink>
      <w:r w:rsidRPr="00554EED">
        <w:t>.</w:t>
      </w:r>
      <w:r>
        <w:t xml:space="preserve"> </w:t>
      </w:r>
      <w:r w:rsidRPr="00554EED">
        <w:t>Skatīts 08.07.2014.</w:t>
      </w:r>
    </w:p>
  </w:footnote>
  <w:footnote w:id="9">
    <w:p w:rsidR="00401ED6" w:rsidRDefault="00401ED6" w:rsidP="009C06AA">
      <w:pPr>
        <w:pStyle w:val="FootnoteText"/>
        <w:jc w:val="both"/>
      </w:pPr>
      <w:r w:rsidRPr="00554EED">
        <w:rPr>
          <w:rStyle w:val="FootnoteReference"/>
        </w:rPr>
        <w:footnoteRef/>
      </w:r>
      <w:r w:rsidRPr="00554EED">
        <w:t xml:space="preserve"> </w:t>
      </w:r>
      <w:r>
        <w:t>Turpat, 20.lpp</w:t>
      </w:r>
      <w:r w:rsidRPr="00554EED">
        <w:t>. Skatīts 08.07.2014.</w:t>
      </w:r>
      <w:r>
        <w:t xml:space="preserve"> </w:t>
      </w:r>
    </w:p>
  </w:footnote>
  <w:footnote w:id="10">
    <w:p w:rsidR="00401ED6" w:rsidRDefault="00401ED6" w:rsidP="00614191">
      <w:pPr>
        <w:pStyle w:val="FootnoteText"/>
        <w:jc w:val="both"/>
      </w:pPr>
      <w:r>
        <w:rPr>
          <w:rStyle w:val="FootnoteReference"/>
        </w:rPr>
        <w:footnoteRef/>
      </w:r>
      <w:r>
        <w:t xml:space="preserve"> Sociālie transferti: </w:t>
      </w:r>
      <w:r w:rsidRPr="0067799F">
        <w:t>pensijas un pabalsti</w:t>
      </w:r>
      <w:r>
        <w:t xml:space="preserve"> (valsts, pašvaldību</w:t>
      </w:r>
      <w:r w:rsidRPr="00DE2D06">
        <w:t xml:space="preserve"> </w:t>
      </w:r>
      <w:r w:rsidRPr="0067799F">
        <w:t>izmaksātie</w:t>
      </w:r>
      <w:r>
        <w:t>)</w:t>
      </w:r>
      <w:r w:rsidRPr="0067799F">
        <w:t>, uzturlīdzekļi bērniem, stipendijas, sociālās apdrošināšanas pabalsti un kompensāc</w:t>
      </w:r>
      <w:r>
        <w:t xml:space="preserve">ijas, tai skaitā arī citu valstu. Centrālās statistikas pārvaldes mājas lapa </w:t>
      </w:r>
      <w:hyperlink r:id="rId4" w:history="1">
        <w:r>
          <w:rPr>
            <w:rStyle w:val="Hyperlink"/>
          </w:rPr>
          <w:t>http://www.csb.gov.lv/statistikas-temas/termini/socialie-transferti-36002.html</w:t>
        </w:r>
      </w:hyperlink>
      <w:r>
        <w:t>. Skatīts 30.05.2014.</w:t>
      </w:r>
    </w:p>
  </w:footnote>
  <w:footnote w:id="11">
    <w:p w:rsidR="00401ED6" w:rsidRDefault="00401ED6">
      <w:pPr>
        <w:pStyle w:val="FootnoteText"/>
      </w:pPr>
      <w:r>
        <w:rPr>
          <w:rStyle w:val="FootnoteReference"/>
        </w:rPr>
        <w:footnoteRef/>
      </w:r>
      <w:r>
        <w:t xml:space="preserve"> 18.06.2014. sēdes protokols pieejams, sekojot šai LM mājas lapas vietnei </w:t>
      </w:r>
      <w:hyperlink r:id="rId5" w:history="1">
        <w:r w:rsidRPr="005A6E30">
          <w:rPr>
            <w:rStyle w:val="Hyperlink"/>
          </w:rPr>
          <w:t>http://www.lm.gov.lv/text/2676</w:t>
        </w:r>
      </w:hyperlink>
      <w:r>
        <w:t xml:space="preserve">. </w:t>
      </w:r>
    </w:p>
  </w:footnote>
  <w:footnote w:id="12">
    <w:p w:rsidR="00401ED6" w:rsidRDefault="00401ED6">
      <w:pPr>
        <w:pStyle w:val="FootnoteText"/>
      </w:pPr>
      <w:r>
        <w:rPr>
          <w:rStyle w:val="FootnoteReference"/>
        </w:rPr>
        <w:footnoteRef/>
      </w:r>
      <w:r>
        <w:t xml:space="preserve"> 02.07.2014. sēdes protokols pieejams, sekojot šai LM mājas lapas vietnei </w:t>
      </w:r>
      <w:hyperlink r:id="rId6" w:history="1">
        <w:r w:rsidRPr="005A6E30">
          <w:rPr>
            <w:rStyle w:val="Hyperlink"/>
          </w:rPr>
          <w:t>http://www.lm.gov.lv/text/1654</w:t>
        </w:r>
      </w:hyperlink>
      <w:r>
        <w:t xml:space="preserve">. </w:t>
      </w:r>
    </w:p>
  </w:footnote>
  <w:footnote w:id="13">
    <w:p w:rsidR="00401ED6" w:rsidRDefault="00401ED6">
      <w:pPr>
        <w:pStyle w:val="FootnoteText"/>
      </w:pPr>
      <w:r>
        <w:rPr>
          <w:rStyle w:val="FootnoteReference"/>
        </w:rPr>
        <w:footnoteRef/>
      </w:r>
      <w:r>
        <w:t xml:space="preserve"> Informācija pieejama, sekojot šai LM mājas lapas vietnei </w:t>
      </w:r>
      <w:hyperlink r:id="rId7" w:history="1">
        <w:r w:rsidRPr="005A6E30">
          <w:rPr>
            <w:rStyle w:val="Hyperlink"/>
          </w:rPr>
          <w:t>http://www.lm.gov.lv/text/1789</w:t>
        </w:r>
      </w:hyperlink>
      <w:r>
        <w:t xml:space="preserve">. </w:t>
      </w:r>
    </w:p>
  </w:footnote>
  <w:footnote w:id="14">
    <w:p w:rsidR="00401ED6" w:rsidRPr="0030185F" w:rsidRDefault="00401ED6" w:rsidP="00A32D69">
      <w:pPr>
        <w:pStyle w:val="FootnoteText"/>
        <w:jc w:val="both"/>
        <w:rPr>
          <w:sz w:val="18"/>
        </w:rPr>
      </w:pPr>
      <w:r>
        <w:rPr>
          <w:rStyle w:val="FootnoteReference"/>
        </w:rPr>
        <w:footnoteRef/>
      </w:r>
      <w:r>
        <w:t xml:space="preserve"> Apstiprināts MK 2013.gada 10.decembrī. Pieejams </w:t>
      </w:r>
      <w:hyperlink r:id="rId8" w:history="1">
        <w:r w:rsidRPr="00E4429E">
          <w:rPr>
            <w:rStyle w:val="Hyperlink"/>
            <w:sz w:val="18"/>
          </w:rPr>
          <w:t>http://www.lm.gov.lv/upload/aktualitates2/lmzino_211113.pdf</w:t>
        </w:r>
      </w:hyperlink>
      <w:r>
        <w:rPr>
          <w:sz w:val="18"/>
        </w:rPr>
        <w:t xml:space="preserve">. </w:t>
      </w:r>
    </w:p>
  </w:footnote>
  <w:footnote w:id="15">
    <w:p w:rsidR="00401ED6" w:rsidRDefault="00401ED6" w:rsidP="00A32D69">
      <w:pPr>
        <w:pStyle w:val="FootnoteText"/>
        <w:jc w:val="both"/>
      </w:pPr>
      <w:r>
        <w:rPr>
          <w:rStyle w:val="FootnoteReference"/>
        </w:rPr>
        <w:footnoteRef/>
      </w:r>
      <w:r>
        <w:t xml:space="preserve"> Minimālā ienākuma līmenis un nabadzības riska slieksnis nav uztverami kā sinonīmi, jo katram ir savs mērķis, noteikšanas un izmantošanas nolūks. </w:t>
      </w:r>
    </w:p>
  </w:footnote>
  <w:footnote w:id="16">
    <w:p w:rsidR="00401ED6" w:rsidRDefault="00401ED6" w:rsidP="00477A9B">
      <w:pPr>
        <w:pStyle w:val="FootnoteText"/>
        <w:jc w:val="both"/>
      </w:pPr>
      <w:r>
        <w:rPr>
          <w:rStyle w:val="FootnoteReference"/>
        </w:rPr>
        <w:footnoteRef/>
      </w:r>
      <w:r>
        <w:t xml:space="preserve"> Dati sniegti par 2012.gadu, jo nabadzības riska sliekšņa rādītājs par 2013.gadu būs pieejams 2015.gada janvārī/februārī. </w:t>
      </w:r>
    </w:p>
  </w:footnote>
  <w:footnote w:id="17">
    <w:p w:rsidR="00401ED6" w:rsidRPr="00616FDC" w:rsidRDefault="00401ED6" w:rsidP="00616FDC">
      <w:pPr>
        <w:jc w:val="both"/>
        <w:rPr>
          <w:sz w:val="20"/>
          <w:szCs w:val="20"/>
        </w:rPr>
      </w:pPr>
      <w:r w:rsidRPr="00616FDC">
        <w:rPr>
          <w:rStyle w:val="FootnoteReference"/>
          <w:sz w:val="20"/>
          <w:szCs w:val="20"/>
        </w:rPr>
        <w:footnoteRef/>
      </w:r>
      <w:r w:rsidRPr="00616FDC">
        <w:rPr>
          <w:sz w:val="20"/>
          <w:szCs w:val="20"/>
        </w:rPr>
        <w:t xml:space="preserve"> </w:t>
      </w:r>
      <w:r w:rsidRPr="00616FDC">
        <w:rPr>
          <w:rStyle w:val="Emphasis"/>
          <w:bCs/>
          <w:i w:val="0"/>
          <w:iCs w:val="0"/>
          <w:sz w:val="20"/>
          <w:szCs w:val="20"/>
          <w:shd w:val="clear" w:color="auto" w:fill="FFFFFF"/>
        </w:rPr>
        <w:t>Eiropas Ekonomikas</w:t>
      </w:r>
      <w:r w:rsidRPr="00616FDC">
        <w:rPr>
          <w:rStyle w:val="apple-converted-space"/>
          <w:sz w:val="20"/>
          <w:szCs w:val="20"/>
          <w:shd w:val="clear" w:color="auto" w:fill="FFFFFF"/>
        </w:rPr>
        <w:t> </w:t>
      </w:r>
      <w:r w:rsidRPr="00616FDC">
        <w:rPr>
          <w:sz w:val="20"/>
          <w:szCs w:val="20"/>
          <w:shd w:val="clear" w:color="auto" w:fill="FFFFFF"/>
        </w:rPr>
        <w:t>un</w:t>
      </w:r>
      <w:r w:rsidRPr="00616FDC">
        <w:rPr>
          <w:rStyle w:val="apple-converted-space"/>
          <w:sz w:val="20"/>
          <w:szCs w:val="20"/>
          <w:shd w:val="clear" w:color="auto" w:fill="FFFFFF"/>
        </w:rPr>
        <w:t> </w:t>
      </w:r>
      <w:r w:rsidRPr="00616FDC">
        <w:rPr>
          <w:rStyle w:val="Emphasis"/>
          <w:bCs/>
          <w:i w:val="0"/>
          <w:iCs w:val="0"/>
          <w:sz w:val="20"/>
          <w:szCs w:val="20"/>
          <w:shd w:val="clear" w:color="auto" w:fill="FFFFFF"/>
        </w:rPr>
        <w:t>sociālo lietu komitejas atzinums</w:t>
      </w:r>
      <w:r w:rsidRPr="00616FDC">
        <w:rPr>
          <w:rStyle w:val="apple-converted-space"/>
          <w:sz w:val="20"/>
          <w:szCs w:val="20"/>
          <w:shd w:val="clear" w:color="auto" w:fill="FFFFFF"/>
        </w:rPr>
        <w:t> </w:t>
      </w:r>
      <w:r w:rsidRPr="00616FDC">
        <w:rPr>
          <w:sz w:val="20"/>
          <w:szCs w:val="20"/>
          <w:shd w:val="clear" w:color="auto" w:fill="FFFFFF"/>
        </w:rPr>
        <w:t>par tematu “Minimālais ienākums Eiropā” (pašiniciatīvas</w:t>
      </w:r>
      <w:r w:rsidRPr="00616FDC">
        <w:rPr>
          <w:rStyle w:val="apple-converted-space"/>
          <w:sz w:val="20"/>
          <w:szCs w:val="20"/>
          <w:shd w:val="clear" w:color="auto" w:fill="FFFFFF"/>
        </w:rPr>
        <w:t> </w:t>
      </w:r>
      <w:r w:rsidRPr="00616FDC">
        <w:rPr>
          <w:rStyle w:val="Emphasis"/>
          <w:bCs/>
          <w:i w:val="0"/>
          <w:iCs w:val="0"/>
          <w:sz w:val="20"/>
          <w:szCs w:val="20"/>
          <w:shd w:val="clear" w:color="auto" w:fill="FFFFFF"/>
        </w:rPr>
        <w:t>atzinums</w:t>
      </w:r>
      <w:r w:rsidRPr="00616FDC">
        <w:rPr>
          <w:sz w:val="20"/>
          <w:szCs w:val="20"/>
          <w:shd w:val="clear" w:color="auto" w:fill="FFFFFF"/>
        </w:rPr>
        <w:t>).</w:t>
      </w:r>
      <w:r w:rsidRPr="00616FDC">
        <w:rPr>
          <w:rStyle w:val="apple-converted-space"/>
          <w:sz w:val="20"/>
          <w:szCs w:val="20"/>
          <w:shd w:val="clear" w:color="auto" w:fill="FFFFFF"/>
        </w:rPr>
        <w:t> </w:t>
      </w:r>
      <w:r w:rsidRPr="00616FDC">
        <w:rPr>
          <w:sz w:val="20"/>
          <w:szCs w:val="20"/>
          <w:shd w:val="clear" w:color="auto" w:fill="FFFFFF"/>
        </w:rPr>
        <w:t xml:space="preserve"> </w:t>
      </w:r>
      <w:r w:rsidRPr="00616FDC">
        <w:rPr>
          <w:sz w:val="20"/>
          <w:szCs w:val="20"/>
        </w:rPr>
        <w:t xml:space="preserve">Briselē, 2013. gada 10. Decembrī. SOC/482. Pieejams </w:t>
      </w:r>
      <w:hyperlink r:id="rId9" w:history="1">
        <w:r w:rsidRPr="007F49EB">
          <w:rPr>
            <w:rStyle w:val="Hyperlink"/>
            <w:sz w:val="20"/>
            <w:szCs w:val="20"/>
          </w:rPr>
          <w:t>http://www.eesc.</w:t>
        </w:r>
        <w:r w:rsidRPr="007F49EB">
          <w:rPr>
            <w:rStyle w:val="Hyperlink"/>
            <w:iCs/>
            <w:sz w:val="20"/>
            <w:szCs w:val="20"/>
          </w:rPr>
          <w:t>eur</w:t>
        </w:r>
        <w:r w:rsidRPr="007F49EB">
          <w:rPr>
            <w:rStyle w:val="Hyperlink"/>
            <w:sz w:val="20"/>
            <w:szCs w:val="20"/>
          </w:rPr>
          <w:t>opa.eu/?i=portal.en.soc-opinions.26780</w:t>
        </w:r>
      </w:hyperlink>
      <w:r w:rsidRPr="00616FDC">
        <w:rPr>
          <w:sz w:val="20"/>
          <w:szCs w:val="20"/>
        </w:rPr>
        <w:t>.</w:t>
      </w:r>
      <w:r>
        <w:rPr>
          <w:sz w:val="20"/>
          <w:szCs w:val="20"/>
        </w:rPr>
        <w:t xml:space="preserve"> </w:t>
      </w:r>
      <w:r w:rsidRPr="00616FDC">
        <w:rPr>
          <w:sz w:val="20"/>
          <w:szCs w:val="20"/>
        </w:rPr>
        <w:t xml:space="preserve">Skatīts 31.05.2014. </w:t>
      </w:r>
    </w:p>
  </w:footnote>
  <w:footnote w:id="18">
    <w:p w:rsidR="00401ED6" w:rsidRDefault="00401ED6" w:rsidP="00EC1CB9">
      <w:pPr>
        <w:pStyle w:val="FootnoteText"/>
        <w:jc w:val="both"/>
      </w:pPr>
      <w:r>
        <w:rPr>
          <w:rStyle w:val="FootnoteReference"/>
        </w:rPr>
        <w:footnoteRef/>
      </w:r>
      <w:r>
        <w:t xml:space="preserve"> Kūla, E. Iztikas minimums kā </w:t>
      </w:r>
      <w:proofErr w:type="spellStart"/>
      <w:r>
        <w:t>cilvēkdrošības</w:t>
      </w:r>
      <w:proofErr w:type="spellEnd"/>
      <w:r>
        <w:t xml:space="preserve"> faktors.  Krājums „Sociālā </w:t>
      </w:r>
      <w:proofErr w:type="spellStart"/>
      <w:r>
        <w:t>cilvēkdrošība</w:t>
      </w:r>
      <w:proofErr w:type="spellEnd"/>
      <w:r>
        <w:t xml:space="preserve">:  spēju attīstība, sadarbība, iekļaušana” (2013). 21 lpp.  </w:t>
      </w:r>
      <w:proofErr w:type="spellStart"/>
      <w:r>
        <w:t>atb.red</w:t>
      </w:r>
      <w:proofErr w:type="spellEnd"/>
      <w:r>
        <w:t xml:space="preserve">. F. </w:t>
      </w:r>
      <w:proofErr w:type="spellStart"/>
      <w:r>
        <w:t>Rajevska</w:t>
      </w:r>
      <w:proofErr w:type="spellEnd"/>
      <w:r>
        <w:t>. ISBN 978-9984-45-609-6.</w:t>
      </w:r>
    </w:p>
  </w:footnote>
  <w:footnote w:id="19">
    <w:p w:rsidR="00401ED6" w:rsidRDefault="00401ED6" w:rsidP="002C30F1">
      <w:pPr>
        <w:pStyle w:val="FootnoteText"/>
        <w:jc w:val="both"/>
      </w:pPr>
      <w:r w:rsidRPr="00084A51">
        <w:rPr>
          <w:rStyle w:val="FootnoteReference"/>
        </w:rPr>
        <w:footnoteRef/>
      </w:r>
      <w:r w:rsidRPr="00084A51">
        <w:t xml:space="preserve"> MK 25.02.2003 noteikumi Nr. 97</w:t>
      </w:r>
      <w:r>
        <w:t xml:space="preserve"> „Kārtība, kādā ģimene vai atsevišķi dzīvojoša persona atzīstama par trūcīgu”</w:t>
      </w:r>
      <w:r w:rsidRPr="00084A51">
        <w:t xml:space="preserve"> /spēku zaudējis/</w:t>
      </w:r>
    </w:p>
  </w:footnote>
  <w:footnote w:id="20">
    <w:p w:rsidR="00401ED6" w:rsidRPr="00CC1291" w:rsidRDefault="00401ED6" w:rsidP="002C30F1">
      <w:pPr>
        <w:jc w:val="both"/>
        <w:rPr>
          <w:sz w:val="20"/>
          <w:szCs w:val="20"/>
        </w:rPr>
      </w:pPr>
      <w:r w:rsidRPr="00CC1291">
        <w:rPr>
          <w:rStyle w:val="FootnoteReference"/>
          <w:sz w:val="20"/>
          <w:szCs w:val="20"/>
        </w:rPr>
        <w:footnoteRef/>
      </w:r>
      <w:r w:rsidRPr="00CC1291">
        <w:rPr>
          <w:sz w:val="20"/>
          <w:szCs w:val="20"/>
        </w:rPr>
        <w:t xml:space="preserve"> </w:t>
      </w:r>
      <w:proofErr w:type="spellStart"/>
      <w:r w:rsidRPr="00CC1291">
        <w:rPr>
          <w:rStyle w:val="Strong"/>
          <w:b w:val="0"/>
          <w:sz w:val="20"/>
          <w:szCs w:val="20"/>
        </w:rPr>
        <w:t>G</w:t>
      </w:r>
      <w:r w:rsidRPr="00CC1291">
        <w:rPr>
          <w:sz w:val="20"/>
          <w:szCs w:val="20"/>
        </w:rPr>
        <w:t>assmann</w:t>
      </w:r>
      <w:proofErr w:type="spellEnd"/>
      <w:r w:rsidRPr="00CC1291">
        <w:rPr>
          <w:sz w:val="20"/>
          <w:szCs w:val="20"/>
        </w:rPr>
        <w:t>, F. (2000). „</w:t>
      </w:r>
      <w:proofErr w:type="spellStart"/>
      <w:r w:rsidRPr="00CC1291">
        <w:rPr>
          <w:sz w:val="20"/>
          <w:szCs w:val="20"/>
        </w:rPr>
        <w:t>On</w:t>
      </w:r>
      <w:proofErr w:type="spellEnd"/>
      <w:r w:rsidRPr="00CC1291">
        <w:rPr>
          <w:sz w:val="20"/>
          <w:szCs w:val="20"/>
        </w:rPr>
        <w:t xml:space="preserve"> </w:t>
      </w:r>
      <w:proofErr w:type="spellStart"/>
      <w:r w:rsidRPr="00CC1291">
        <w:rPr>
          <w:sz w:val="20"/>
          <w:szCs w:val="20"/>
        </w:rPr>
        <w:t>the</w:t>
      </w:r>
      <w:proofErr w:type="spellEnd"/>
      <w:r w:rsidRPr="00CC1291">
        <w:rPr>
          <w:sz w:val="20"/>
          <w:szCs w:val="20"/>
        </w:rPr>
        <w:t xml:space="preserve"> </w:t>
      </w:r>
      <w:proofErr w:type="spellStart"/>
      <w:r w:rsidRPr="00CC1291">
        <w:rPr>
          <w:sz w:val="20"/>
          <w:szCs w:val="20"/>
        </w:rPr>
        <w:t>verge</w:t>
      </w:r>
      <w:proofErr w:type="spellEnd"/>
      <w:r w:rsidRPr="00CC1291">
        <w:rPr>
          <w:sz w:val="20"/>
          <w:szCs w:val="20"/>
        </w:rPr>
        <w:t xml:space="preserve"> </w:t>
      </w:r>
      <w:proofErr w:type="spellStart"/>
      <w:r w:rsidRPr="00CC1291">
        <w:rPr>
          <w:sz w:val="20"/>
          <w:szCs w:val="20"/>
        </w:rPr>
        <w:t>of</w:t>
      </w:r>
      <w:proofErr w:type="spellEnd"/>
      <w:r w:rsidRPr="00CC1291">
        <w:rPr>
          <w:sz w:val="20"/>
          <w:szCs w:val="20"/>
        </w:rPr>
        <w:t xml:space="preserve"> </w:t>
      </w:r>
      <w:proofErr w:type="spellStart"/>
      <w:r w:rsidRPr="00CC1291">
        <w:rPr>
          <w:sz w:val="20"/>
          <w:szCs w:val="20"/>
        </w:rPr>
        <w:t>poverty</w:t>
      </w:r>
      <w:proofErr w:type="spellEnd"/>
      <w:r w:rsidRPr="00CC1291">
        <w:rPr>
          <w:sz w:val="20"/>
          <w:szCs w:val="20"/>
        </w:rPr>
        <w:t xml:space="preserve">: </w:t>
      </w:r>
      <w:proofErr w:type="spellStart"/>
      <w:r w:rsidRPr="00CC1291">
        <w:rPr>
          <w:sz w:val="20"/>
          <w:szCs w:val="20"/>
        </w:rPr>
        <w:t>welfare</w:t>
      </w:r>
      <w:proofErr w:type="spellEnd"/>
      <w:r w:rsidRPr="00CC1291">
        <w:rPr>
          <w:sz w:val="20"/>
          <w:szCs w:val="20"/>
        </w:rPr>
        <w:t xml:space="preserve"> </w:t>
      </w:r>
      <w:proofErr w:type="spellStart"/>
      <w:r w:rsidRPr="00CC1291">
        <w:rPr>
          <w:sz w:val="20"/>
          <w:szCs w:val="20"/>
        </w:rPr>
        <w:t>and</w:t>
      </w:r>
      <w:proofErr w:type="spellEnd"/>
      <w:r w:rsidRPr="00CC1291">
        <w:rPr>
          <w:sz w:val="20"/>
          <w:szCs w:val="20"/>
        </w:rPr>
        <w:t xml:space="preserve"> </w:t>
      </w:r>
      <w:proofErr w:type="spellStart"/>
      <w:r w:rsidRPr="00CC1291">
        <w:rPr>
          <w:sz w:val="20"/>
          <w:szCs w:val="20"/>
        </w:rPr>
        <w:t>economic</w:t>
      </w:r>
      <w:proofErr w:type="spellEnd"/>
      <w:r w:rsidRPr="00CC1291">
        <w:rPr>
          <w:sz w:val="20"/>
          <w:szCs w:val="20"/>
        </w:rPr>
        <w:t xml:space="preserve"> </w:t>
      </w:r>
      <w:proofErr w:type="spellStart"/>
      <w:r w:rsidRPr="00CC1291">
        <w:rPr>
          <w:sz w:val="20"/>
          <w:szCs w:val="20"/>
        </w:rPr>
        <w:t>transition</w:t>
      </w:r>
      <w:proofErr w:type="spellEnd"/>
      <w:r w:rsidRPr="00CC1291">
        <w:rPr>
          <w:sz w:val="20"/>
          <w:szCs w:val="20"/>
        </w:rPr>
        <w:t xml:space="preserve"> </w:t>
      </w:r>
      <w:proofErr w:type="spellStart"/>
      <w:r w:rsidRPr="00CC1291">
        <w:rPr>
          <w:sz w:val="20"/>
          <w:szCs w:val="20"/>
        </w:rPr>
        <w:t>in</w:t>
      </w:r>
      <w:proofErr w:type="spellEnd"/>
      <w:r>
        <w:rPr>
          <w:sz w:val="20"/>
          <w:szCs w:val="20"/>
        </w:rPr>
        <w:t xml:space="preserve"> </w:t>
      </w:r>
      <w:proofErr w:type="spellStart"/>
      <w:r>
        <w:rPr>
          <w:sz w:val="20"/>
          <w:szCs w:val="20"/>
        </w:rPr>
        <w:t>Latvia</w:t>
      </w:r>
      <w:proofErr w:type="spellEnd"/>
      <w:r>
        <w:rPr>
          <w:sz w:val="20"/>
          <w:szCs w:val="20"/>
        </w:rPr>
        <w:t xml:space="preserve">,” </w:t>
      </w:r>
      <w:r w:rsidRPr="00CC1291">
        <w:rPr>
          <w:sz w:val="20"/>
          <w:szCs w:val="20"/>
        </w:rPr>
        <w:t>52 lpp</w:t>
      </w:r>
      <w:r>
        <w:rPr>
          <w:sz w:val="20"/>
          <w:szCs w:val="20"/>
        </w:rPr>
        <w:t xml:space="preserve">, </w:t>
      </w:r>
      <w:proofErr w:type="spellStart"/>
      <w:r>
        <w:rPr>
          <w:sz w:val="20"/>
          <w:szCs w:val="20"/>
        </w:rPr>
        <w:t>Maastricht</w:t>
      </w:r>
      <w:proofErr w:type="spellEnd"/>
      <w:r>
        <w:rPr>
          <w:sz w:val="20"/>
          <w:szCs w:val="20"/>
        </w:rPr>
        <w:t xml:space="preserve"> </w:t>
      </w:r>
      <w:proofErr w:type="spellStart"/>
      <w:r>
        <w:rPr>
          <w:sz w:val="20"/>
          <w:szCs w:val="20"/>
        </w:rPr>
        <w:t>University</w:t>
      </w:r>
      <w:proofErr w:type="spellEnd"/>
      <w:r>
        <w:rPr>
          <w:sz w:val="20"/>
          <w:szCs w:val="20"/>
        </w:rPr>
        <w:t>.</w:t>
      </w:r>
    </w:p>
  </w:footnote>
  <w:footnote w:id="21">
    <w:p w:rsidR="00401ED6" w:rsidRDefault="00401ED6" w:rsidP="002C30F1">
      <w:pPr>
        <w:pStyle w:val="FootnoteText"/>
        <w:jc w:val="both"/>
      </w:pPr>
      <w:r>
        <w:rPr>
          <w:rStyle w:val="FootnoteReference"/>
        </w:rPr>
        <w:footnoteRef/>
      </w:r>
      <w:r>
        <w:t xml:space="preserve"> Latvijas Republikas Ministru Padomes 1992. gada 22.maija lēmums Nr.188 „Par izmaiņām minimālajā darba samaksā un pabalstu un stipendiju apmēriem”. </w:t>
      </w:r>
    </w:p>
  </w:footnote>
  <w:footnote w:id="22">
    <w:p w:rsidR="00401ED6" w:rsidRDefault="00401ED6" w:rsidP="002C30F1">
      <w:pPr>
        <w:pStyle w:val="FootnoteText"/>
        <w:jc w:val="both"/>
      </w:pPr>
      <w:r>
        <w:rPr>
          <w:rStyle w:val="FootnoteReference"/>
        </w:rPr>
        <w:footnoteRef/>
      </w:r>
      <w:r>
        <w:t xml:space="preserve"> </w:t>
      </w:r>
      <w:r w:rsidRPr="00F0527B">
        <w:t>Latvijas Republikas Ministru Padomes 1992.</w:t>
      </w:r>
      <w:r>
        <w:t>gada 24.decembra</w:t>
      </w:r>
      <w:r w:rsidRPr="00F0527B">
        <w:t xml:space="preserve"> lēmums Nr.</w:t>
      </w:r>
      <w:r>
        <w:t>550 „Par krīzes iztikas minimuma apstiprināšanu”.</w:t>
      </w:r>
    </w:p>
  </w:footnote>
  <w:footnote w:id="23">
    <w:p w:rsidR="00401ED6" w:rsidRPr="001216EA" w:rsidRDefault="00401ED6" w:rsidP="002C30F1">
      <w:pPr>
        <w:pStyle w:val="FootnoteText"/>
        <w:jc w:val="both"/>
      </w:pPr>
      <w:r w:rsidRPr="00B93FB9">
        <w:rPr>
          <w:rStyle w:val="FootnoteReference"/>
        </w:rPr>
        <w:footnoteRef/>
      </w:r>
      <w:r w:rsidRPr="00B93FB9">
        <w:t xml:space="preserve"> Maize, gaļa, olas, piens, zivs, cukurs, eļļa un margarīns, kartupeļi, dārzeņi, augļi un ogas</w:t>
      </w:r>
      <w:r>
        <w:t>.</w:t>
      </w:r>
    </w:p>
  </w:footnote>
  <w:footnote w:id="24">
    <w:p w:rsidR="00401ED6" w:rsidRDefault="00401ED6" w:rsidP="002C30F1">
      <w:pPr>
        <w:pStyle w:val="FootnoteText"/>
        <w:jc w:val="both"/>
      </w:pPr>
      <w:r>
        <w:rPr>
          <w:rStyle w:val="FootnoteReference"/>
        </w:rPr>
        <w:footnoteRef/>
      </w:r>
      <w:r>
        <w:t xml:space="preserve"> </w:t>
      </w:r>
      <w:proofErr w:type="spellStart"/>
      <w:r w:rsidRPr="00CC1291">
        <w:rPr>
          <w:rStyle w:val="Strong"/>
          <w:b w:val="0"/>
        </w:rPr>
        <w:t>G</w:t>
      </w:r>
      <w:r w:rsidRPr="00CC1291">
        <w:t>assmann</w:t>
      </w:r>
      <w:proofErr w:type="spellEnd"/>
      <w:r w:rsidRPr="00CC1291">
        <w:t>, F. (2000). „</w:t>
      </w:r>
      <w:proofErr w:type="spellStart"/>
      <w:r w:rsidRPr="00CC1291">
        <w:t>On</w:t>
      </w:r>
      <w:proofErr w:type="spellEnd"/>
      <w:r w:rsidRPr="00CC1291">
        <w:t xml:space="preserve"> </w:t>
      </w:r>
      <w:proofErr w:type="spellStart"/>
      <w:r w:rsidRPr="00CC1291">
        <w:t>the</w:t>
      </w:r>
      <w:proofErr w:type="spellEnd"/>
      <w:r w:rsidRPr="00CC1291">
        <w:t xml:space="preserve"> </w:t>
      </w:r>
      <w:proofErr w:type="spellStart"/>
      <w:r w:rsidRPr="00CC1291">
        <w:t>verge</w:t>
      </w:r>
      <w:proofErr w:type="spellEnd"/>
      <w:r w:rsidRPr="00CC1291">
        <w:t xml:space="preserve"> </w:t>
      </w:r>
      <w:proofErr w:type="spellStart"/>
      <w:r w:rsidRPr="00CC1291">
        <w:t>of</w:t>
      </w:r>
      <w:proofErr w:type="spellEnd"/>
      <w:r w:rsidRPr="00CC1291">
        <w:t xml:space="preserve"> </w:t>
      </w:r>
      <w:proofErr w:type="spellStart"/>
      <w:r w:rsidRPr="00CC1291">
        <w:t>poverty</w:t>
      </w:r>
      <w:proofErr w:type="spellEnd"/>
      <w:r w:rsidRPr="00CC1291">
        <w:t xml:space="preserve">: </w:t>
      </w:r>
      <w:proofErr w:type="spellStart"/>
      <w:r w:rsidRPr="00CC1291">
        <w:t>welfare</w:t>
      </w:r>
      <w:proofErr w:type="spellEnd"/>
      <w:r w:rsidRPr="00CC1291">
        <w:t xml:space="preserve"> </w:t>
      </w:r>
      <w:proofErr w:type="spellStart"/>
      <w:r w:rsidRPr="00CC1291">
        <w:t>and</w:t>
      </w:r>
      <w:proofErr w:type="spellEnd"/>
      <w:r w:rsidRPr="00CC1291">
        <w:t xml:space="preserve"> </w:t>
      </w:r>
      <w:proofErr w:type="spellStart"/>
      <w:r w:rsidRPr="00CC1291">
        <w:t>economic</w:t>
      </w:r>
      <w:proofErr w:type="spellEnd"/>
      <w:r w:rsidRPr="00CC1291">
        <w:t xml:space="preserve"> </w:t>
      </w:r>
      <w:proofErr w:type="spellStart"/>
      <w:r w:rsidRPr="00CC1291">
        <w:t>transition</w:t>
      </w:r>
      <w:proofErr w:type="spellEnd"/>
      <w:r w:rsidRPr="00CC1291">
        <w:t xml:space="preserve"> </w:t>
      </w:r>
      <w:proofErr w:type="spellStart"/>
      <w:r w:rsidRPr="00CC1291">
        <w:t>in</w:t>
      </w:r>
      <w:proofErr w:type="spellEnd"/>
      <w:r w:rsidRPr="00CC1291">
        <w:t xml:space="preserve"> </w:t>
      </w:r>
      <w:proofErr w:type="spellStart"/>
      <w:r w:rsidRPr="00CC1291">
        <w:t>Latvia</w:t>
      </w:r>
      <w:proofErr w:type="spellEnd"/>
      <w:r w:rsidRPr="00CC1291">
        <w:t>,” 5</w:t>
      </w:r>
      <w:r>
        <w:t>3</w:t>
      </w:r>
      <w:r w:rsidRPr="00CC1291">
        <w:t xml:space="preserve"> lpp</w:t>
      </w:r>
      <w:r>
        <w:t xml:space="preserve">, </w:t>
      </w:r>
      <w:proofErr w:type="spellStart"/>
      <w:r w:rsidRPr="00CC1291">
        <w:t>Maastricht</w:t>
      </w:r>
      <w:proofErr w:type="spellEnd"/>
      <w:r w:rsidRPr="00CC1291">
        <w:t xml:space="preserve"> </w:t>
      </w:r>
      <w:proofErr w:type="spellStart"/>
      <w:r w:rsidRPr="00CC1291">
        <w:t>University</w:t>
      </w:r>
      <w:proofErr w:type="spellEnd"/>
      <w:r w:rsidRPr="00CC1291">
        <w:t xml:space="preserve">. </w:t>
      </w:r>
    </w:p>
  </w:footnote>
  <w:footnote w:id="25">
    <w:p w:rsidR="00401ED6" w:rsidRDefault="00401ED6" w:rsidP="002C30F1">
      <w:pPr>
        <w:pStyle w:val="FootnoteText"/>
        <w:jc w:val="both"/>
      </w:pPr>
      <w:r>
        <w:rPr>
          <w:rStyle w:val="FootnoteReference"/>
        </w:rPr>
        <w:footnoteRef/>
      </w:r>
      <w:r>
        <w:t xml:space="preserve"> Kūla, E. Iztikas minimums kā </w:t>
      </w:r>
      <w:proofErr w:type="spellStart"/>
      <w:r>
        <w:t>cilvēkdrošības</w:t>
      </w:r>
      <w:proofErr w:type="spellEnd"/>
      <w:r>
        <w:t xml:space="preserve"> faktors.  Krājums „Sociālā </w:t>
      </w:r>
      <w:proofErr w:type="spellStart"/>
      <w:r>
        <w:t>cilvēkdrošība</w:t>
      </w:r>
      <w:proofErr w:type="spellEnd"/>
      <w:r>
        <w:t xml:space="preserve">:  spēju attīstība, sadarbība, iekļaušana” (2013). 21 lpp.  </w:t>
      </w:r>
      <w:proofErr w:type="spellStart"/>
      <w:r>
        <w:t>atb.red</w:t>
      </w:r>
      <w:proofErr w:type="spellEnd"/>
      <w:r>
        <w:t xml:space="preserve">. F. </w:t>
      </w:r>
      <w:proofErr w:type="spellStart"/>
      <w:r>
        <w:t>Rajevska</w:t>
      </w:r>
      <w:proofErr w:type="spellEnd"/>
      <w:r>
        <w:t>. ISBN 978-9984-45-609-6.</w:t>
      </w:r>
    </w:p>
  </w:footnote>
  <w:footnote w:id="26">
    <w:p w:rsidR="00401ED6" w:rsidRDefault="00401ED6" w:rsidP="002C30F1">
      <w:pPr>
        <w:pStyle w:val="FootnoteText"/>
        <w:jc w:val="both"/>
      </w:pPr>
      <w:r>
        <w:rPr>
          <w:rStyle w:val="FootnoteReference"/>
        </w:rPr>
        <w:footnoteRef/>
      </w:r>
      <w:r>
        <w:t xml:space="preserve"> </w:t>
      </w:r>
      <w:r>
        <w:rPr>
          <w:bCs/>
        </w:rPr>
        <w:t xml:space="preserve">No angļu valodas </w:t>
      </w:r>
      <w:r w:rsidRPr="00887A34">
        <w:rPr>
          <w:bCs/>
          <w:i/>
        </w:rPr>
        <w:t xml:space="preserve">reference </w:t>
      </w:r>
      <w:proofErr w:type="spellStart"/>
      <w:r w:rsidRPr="00887A34">
        <w:rPr>
          <w:bCs/>
          <w:i/>
        </w:rPr>
        <w:t>budgets</w:t>
      </w:r>
      <w:proofErr w:type="spellEnd"/>
      <w:r>
        <w:rPr>
          <w:bCs/>
        </w:rPr>
        <w:t xml:space="preserve"> ir preču un pakalpojumu grozs, kas atspoguļo noteiktu dzīves standartu konkrētajā valstī vai </w:t>
      </w:r>
      <w:r w:rsidRPr="005331F4">
        <w:rPr>
          <w:bCs/>
        </w:rPr>
        <w:t>reģionā</w:t>
      </w:r>
      <w:r>
        <w:rPr>
          <w:bCs/>
        </w:rPr>
        <w:t>; analogs Latvijas iztikas minimuma grozam.</w:t>
      </w:r>
    </w:p>
  </w:footnote>
  <w:footnote w:id="27">
    <w:p w:rsidR="00401ED6" w:rsidRDefault="00401ED6" w:rsidP="0084348B">
      <w:pPr>
        <w:pStyle w:val="FootnoteText"/>
        <w:jc w:val="both"/>
      </w:pPr>
      <w:r>
        <w:rPr>
          <w:rStyle w:val="FootnoteReference"/>
        </w:rPr>
        <w:footnoteRef/>
      </w:r>
      <w:proofErr w:type="spellStart"/>
      <w:r>
        <w:t>European</w:t>
      </w:r>
      <w:proofErr w:type="spellEnd"/>
      <w:r>
        <w:t xml:space="preserve"> </w:t>
      </w:r>
      <w:proofErr w:type="spellStart"/>
      <w:r>
        <w:t>Commission</w:t>
      </w:r>
      <w:proofErr w:type="spellEnd"/>
      <w:r>
        <w:t xml:space="preserve"> „Pilot Project </w:t>
      </w:r>
      <w:proofErr w:type="spellStart"/>
      <w:r>
        <w:t>for</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a </w:t>
      </w:r>
      <w:proofErr w:type="spellStart"/>
      <w:r>
        <w:t>common</w:t>
      </w:r>
      <w:proofErr w:type="spellEnd"/>
      <w:r>
        <w:t xml:space="preserve"> </w:t>
      </w:r>
      <w:proofErr w:type="spellStart"/>
      <w:r>
        <w:t>methodology</w:t>
      </w:r>
      <w:proofErr w:type="spellEnd"/>
      <w:r>
        <w:t xml:space="preserve"> </w:t>
      </w:r>
      <w:proofErr w:type="spellStart"/>
      <w:r>
        <w:t>on</w:t>
      </w:r>
      <w:proofErr w:type="spellEnd"/>
      <w:r>
        <w:t xml:space="preserve"> reference </w:t>
      </w:r>
      <w:proofErr w:type="spellStart"/>
      <w:r>
        <w:t>budgets</w:t>
      </w:r>
      <w:proofErr w:type="spellEnd"/>
      <w:r>
        <w:t xml:space="preserve"> </w:t>
      </w:r>
      <w:proofErr w:type="spellStart"/>
      <w:r>
        <w:t>in</w:t>
      </w:r>
      <w:proofErr w:type="spellEnd"/>
      <w:r>
        <w:t xml:space="preserve"> </w:t>
      </w:r>
      <w:proofErr w:type="spellStart"/>
      <w:r>
        <w:t>Europe</w:t>
      </w:r>
      <w:proofErr w:type="spellEnd"/>
      <w:r>
        <w:t xml:space="preserve">” (2014), 10 lpp. </w:t>
      </w:r>
    </w:p>
    <w:p w:rsidR="00401ED6" w:rsidRDefault="00401ED6" w:rsidP="0084348B">
      <w:pPr>
        <w:pStyle w:val="FootnoteText"/>
        <w:jc w:val="both"/>
      </w:pPr>
      <w:r>
        <w:t xml:space="preserve">Vairāk informācijas </w:t>
      </w:r>
      <w:hyperlink r:id="rId10" w:history="1">
        <w:r w:rsidRPr="005D0ADB">
          <w:rPr>
            <w:rStyle w:val="Hyperlink"/>
          </w:rPr>
          <w:t>http://ec.</w:t>
        </w:r>
        <w:r w:rsidRPr="005D0ADB">
          <w:rPr>
            <w:rStyle w:val="Hyperlink"/>
            <w:iCs/>
          </w:rPr>
          <w:t>eur</w:t>
        </w:r>
        <w:r w:rsidRPr="005D0ADB">
          <w:rPr>
            <w:rStyle w:val="Hyperlink"/>
          </w:rPr>
          <w:t>opa.eu/social/main.jsp?catId=625&amp;langId=en&amp;callId=382&amp;furtherCalls=yes</w:t>
        </w:r>
      </w:hyperlink>
    </w:p>
  </w:footnote>
  <w:footnote w:id="28">
    <w:p w:rsidR="00401ED6" w:rsidRDefault="00401ED6" w:rsidP="0084348B">
      <w:pPr>
        <w:pStyle w:val="FootnoteText"/>
        <w:jc w:val="both"/>
      </w:pPr>
      <w:r>
        <w:rPr>
          <w:rStyle w:val="FootnoteReference"/>
        </w:rPr>
        <w:footnoteRef/>
      </w:r>
      <w:r>
        <w:t xml:space="preserve"> Kūla, E. Iztikas minimums kā </w:t>
      </w:r>
      <w:proofErr w:type="spellStart"/>
      <w:r>
        <w:t>cilvēkdrošības</w:t>
      </w:r>
      <w:proofErr w:type="spellEnd"/>
      <w:r>
        <w:t xml:space="preserve"> faktors.  Krājums „Sociālā </w:t>
      </w:r>
      <w:proofErr w:type="spellStart"/>
      <w:r>
        <w:t>cilvēkdrošība</w:t>
      </w:r>
      <w:proofErr w:type="spellEnd"/>
      <w:r>
        <w:t xml:space="preserve">:  spēju attīstība, sadarbība, iekļaušana” (2013). 21 lpp.  </w:t>
      </w:r>
      <w:proofErr w:type="spellStart"/>
      <w:r>
        <w:t>atb.red</w:t>
      </w:r>
      <w:proofErr w:type="spellEnd"/>
      <w:r>
        <w:t xml:space="preserve">. F. </w:t>
      </w:r>
      <w:proofErr w:type="spellStart"/>
      <w:r>
        <w:t>Rajevska</w:t>
      </w:r>
      <w:proofErr w:type="spellEnd"/>
      <w:r>
        <w:t>. ISBN 978-9984-45-609-6</w:t>
      </w:r>
    </w:p>
  </w:footnote>
  <w:footnote w:id="29">
    <w:p w:rsidR="00401ED6" w:rsidRPr="00371968" w:rsidRDefault="00401ED6" w:rsidP="0006183C">
      <w:pPr>
        <w:pStyle w:val="FootnoteText"/>
        <w:jc w:val="both"/>
      </w:pPr>
      <w:r w:rsidRPr="00371968">
        <w:rPr>
          <w:rStyle w:val="FootnoteReference"/>
        </w:rPr>
        <w:footnoteRef/>
      </w:r>
      <w:r w:rsidRPr="00371968">
        <w:t xml:space="preserve"> </w:t>
      </w:r>
      <w:proofErr w:type="spellStart"/>
      <w:r>
        <w:t>European</w:t>
      </w:r>
      <w:proofErr w:type="spellEnd"/>
      <w:r>
        <w:t xml:space="preserve"> </w:t>
      </w:r>
      <w:proofErr w:type="spellStart"/>
      <w:r>
        <w:t>Commission</w:t>
      </w:r>
      <w:proofErr w:type="spellEnd"/>
      <w:r>
        <w:t xml:space="preserve"> „Pilot Project </w:t>
      </w:r>
      <w:proofErr w:type="spellStart"/>
      <w:r>
        <w:t>for</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a </w:t>
      </w:r>
      <w:proofErr w:type="spellStart"/>
      <w:r>
        <w:t>common</w:t>
      </w:r>
      <w:proofErr w:type="spellEnd"/>
      <w:r>
        <w:t xml:space="preserve"> </w:t>
      </w:r>
      <w:proofErr w:type="spellStart"/>
      <w:r>
        <w:t>methodology</w:t>
      </w:r>
      <w:proofErr w:type="spellEnd"/>
      <w:r>
        <w:t xml:space="preserve"> </w:t>
      </w:r>
      <w:proofErr w:type="spellStart"/>
      <w:r>
        <w:t>on</w:t>
      </w:r>
      <w:proofErr w:type="spellEnd"/>
      <w:r>
        <w:t xml:space="preserve"> reference </w:t>
      </w:r>
      <w:proofErr w:type="spellStart"/>
      <w:r>
        <w:t>budgets</w:t>
      </w:r>
      <w:proofErr w:type="spellEnd"/>
      <w:r>
        <w:t xml:space="preserve"> </w:t>
      </w:r>
      <w:proofErr w:type="spellStart"/>
      <w:r>
        <w:t>in</w:t>
      </w:r>
      <w:proofErr w:type="spellEnd"/>
      <w:r>
        <w:t xml:space="preserve"> </w:t>
      </w:r>
      <w:proofErr w:type="spellStart"/>
      <w:r>
        <w:t>Europe</w:t>
      </w:r>
      <w:proofErr w:type="spellEnd"/>
      <w:r>
        <w:t>” (2014),</w:t>
      </w:r>
      <w:r w:rsidRPr="00371968">
        <w:t xml:space="preserve"> 13</w:t>
      </w:r>
      <w:r>
        <w:t>.</w:t>
      </w:r>
      <w:r w:rsidRPr="00371968">
        <w:t>-14</w:t>
      </w:r>
      <w:r>
        <w:t>.</w:t>
      </w:r>
      <w:r w:rsidRPr="00371968">
        <w:t xml:space="preserve">lpp. </w:t>
      </w:r>
    </w:p>
  </w:footnote>
  <w:footnote w:id="30">
    <w:p w:rsidR="00401ED6" w:rsidRPr="00371968" w:rsidRDefault="00401ED6" w:rsidP="00A303FA">
      <w:pPr>
        <w:pStyle w:val="FootnoteText"/>
        <w:jc w:val="both"/>
      </w:pPr>
      <w:r w:rsidRPr="00371968">
        <w:rPr>
          <w:rStyle w:val="FootnoteReference"/>
        </w:rPr>
        <w:footnoteRef/>
      </w:r>
      <w:r w:rsidRPr="00371968">
        <w:t xml:space="preserve"> MK </w:t>
      </w:r>
      <w:r>
        <w:t>18.11.</w:t>
      </w:r>
      <w:r w:rsidRPr="00371968">
        <w:t xml:space="preserve">1993. noteikumi Nr.19 „Par kārtību, kādā ģimenes atzīstamas par trūcīgām” un </w:t>
      </w:r>
      <w:r>
        <w:t>MK</w:t>
      </w:r>
      <w:r w:rsidRPr="00371968">
        <w:t xml:space="preserve"> </w:t>
      </w:r>
      <w:r>
        <w:t>26.03.</w:t>
      </w:r>
      <w:proofErr w:type="gramStart"/>
      <w:r>
        <w:t>1996. noteikumi</w:t>
      </w:r>
      <w:proofErr w:type="gramEnd"/>
      <w:r w:rsidRPr="00371968">
        <w:t xml:space="preserve"> Nr.75 „Noteikumi par trūcīgo ģimeņu sociālās palīdzības pabalstu un trūcīgo ģimeņu materiālā stāvokļa novērtēšanu” /zaudējuši spēku/</w:t>
      </w:r>
    </w:p>
  </w:footnote>
  <w:footnote w:id="31">
    <w:p w:rsidR="00401ED6" w:rsidRPr="00371968" w:rsidRDefault="00401ED6">
      <w:pPr>
        <w:pStyle w:val="FootnoteText"/>
      </w:pPr>
      <w:r w:rsidRPr="00371968">
        <w:rPr>
          <w:rStyle w:val="FootnoteReference"/>
        </w:rPr>
        <w:footnoteRef/>
      </w:r>
      <w:r w:rsidRPr="00371968">
        <w:t xml:space="preserve"> Turpat. </w:t>
      </w:r>
    </w:p>
  </w:footnote>
  <w:footnote w:id="32">
    <w:p w:rsidR="00401ED6" w:rsidRPr="00371968" w:rsidRDefault="00401ED6" w:rsidP="004C685B">
      <w:pPr>
        <w:pStyle w:val="ListParagraph"/>
        <w:ind w:left="0"/>
        <w:jc w:val="both"/>
        <w:rPr>
          <w:rFonts w:ascii="Times New Roman" w:hAnsi="Times New Roman"/>
          <w:sz w:val="20"/>
          <w:szCs w:val="20"/>
        </w:rPr>
      </w:pPr>
      <w:r w:rsidRPr="00371968">
        <w:rPr>
          <w:rStyle w:val="FootnoteReference"/>
          <w:rFonts w:ascii="Times New Roman" w:hAnsi="Times New Roman"/>
          <w:sz w:val="20"/>
          <w:szCs w:val="20"/>
        </w:rPr>
        <w:footnoteRef/>
      </w:r>
      <w:r w:rsidRPr="00371968">
        <w:rPr>
          <w:rFonts w:ascii="Times New Roman" w:hAnsi="Times New Roman"/>
          <w:sz w:val="20"/>
          <w:szCs w:val="20"/>
        </w:rPr>
        <w:t xml:space="preserve"> MK 25.02.2003. noteikumi Nr. 97 „Kārtība, kādā ģimene vai atsevišķi dzīvojoša persona atzīstama par trūcīgu“</w:t>
      </w:r>
      <w:r>
        <w:rPr>
          <w:rFonts w:ascii="Times New Roman" w:hAnsi="Times New Roman"/>
          <w:sz w:val="20"/>
          <w:szCs w:val="20"/>
        </w:rPr>
        <w:t xml:space="preserve"> </w:t>
      </w:r>
      <w:r w:rsidRPr="00371968">
        <w:rPr>
          <w:rFonts w:ascii="Times New Roman" w:hAnsi="Times New Roman"/>
          <w:sz w:val="20"/>
          <w:szCs w:val="20"/>
        </w:rPr>
        <w:t>/zaud</w:t>
      </w:r>
      <w:r>
        <w:rPr>
          <w:rFonts w:ascii="Times New Roman" w:hAnsi="Times New Roman"/>
          <w:sz w:val="20"/>
          <w:szCs w:val="20"/>
        </w:rPr>
        <w:t>ējis</w:t>
      </w:r>
      <w:r w:rsidRPr="00371968">
        <w:rPr>
          <w:rFonts w:ascii="Times New Roman" w:hAnsi="Times New Roman"/>
          <w:sz w:val="20"/>
          <w:szCs w:val="20"/>
        </w:rPr>
        <w:t xml:space="preserve"> spēku/; MK 03.03.2009. noteikumi Nr.214 „Noteikumi par ģimenes vai atsevišķi dzīvojošas personas atzīšanu par trūcīgu“ /zaud</w:t>
      </w:r>
      <w:r>
        <w:rPr>
          <w:rFonts w:ascii="Times New Roman" w:hAnsi="Times New Roman"/>
          <w:sz w:val="20"/>
          <w:szCs w:val="20"/>
        </w:rPr>
        <w:t>ējis</w:t>
      </w:r>
      <w:r w:rsidRPr="00371968">
        <w:rPr>
          <w:rFonts w:ascii="Times New Roman" w:hAnsi="Times New Roman"/>
          <w:sz w:val="20"/>
          <w:szCs w:val="20"/>
        </w:rPr>
        <w:t xml:space="preserve"> spēku/</w:t>
      </w:r>
      <w:r>
        <w:rPr>
          <w:rFonts w:ascii="Times New Roman" w:hAnsi="Times New Roman"/>
          <w:sz w:val="20"/>
          <w:szCs w:val="20"/>
        </w:rPr>
        <w:t>;</w:t>
      </w:r>
      <w:r w:rsidRPr="00371968">
        <w:rPr>
          <w:rFonts w:ascii="Times New Roman" w:hAnsi="Times New Roman"/>
          <w:sz w:val="20"/>
          <w:szCs w:val="20"/>
        </w:rPr>
        <w:t xml:space="preserve"> MK 30.03.2010.noteikumi Nr.299 „Noteikumi par ģimenes vai atsevišķi dzīvojošas pe</w:t>
      </w:r>
      <w:r>
        <w:rPr>
          <w:rFonts w:ascii="Times New Roman" w:hAnsi="Times New Roman"/>
          <w:sz w:val="20"/>
          <w:szCs w:val="20"/>
        </w:rPr>
        <w:t>rsonas atzīšanu par trūcīgu”” /spēkā esošs/</w:t>
      </w:r>
    </w:p>
  </w:footnote>
  <w:footnote w:id="33">
    <w:p w:rsidR="00401ED6" w:rsidRDefault="00401ED6" w:rsidP="00B432C5">
      <w:pPr>
        <w:pStyle w:val="FootnoteText"/>
        <w:jc w:val="both"/>
      </w:pPr>
      <w:r w:rsidRPr="00371968">
        <w:rPr>
          <w:rStyle w:val="FootnoteReference"/>
        </w:rPr>
        <w:footnoteRef/>
      </w:r>
      <w:r w:rsidRPr="00371968">
        <w:t xml:space="preserve"> </w:t>
      </w:r>
      <w:r>
        <w:t>MK 21.12.</w:t>
      </w:r>
      <w:r w:rsidRPr="00371968">
        <w:t>2010</w:t>
      </w:r>
      <w:r>
        <w:t>.</w:t>
      </w:r>
      <w:r w:rsidRPr="00371968">
        <w:t xml:space="preserve"> noteikumi Nr.1140 „Grozījumi MK 2010.gada 30.marta noteikumos Nr.299 „Noteikumi par ģimenes vai atsevišķi dzīvojošas personas atzīšanu par trūcīgu””.</w:t>
      </w:r>
      <w:r>
        <w:t xml:space="preserve">  </w:t>
      </w:r>
    </w:p>
  </w:footnote>
  <w:footnote w:id="34">
    <w:p w:rsidR="00401ED6" w:rsidRPr="005847AC" w:rsidRDefault="00401ED6" w:rsidP="00CE1EEE">
      <w:pPr>
        <w:autoSpaceDE w:val="0"/>
        <w:autoSpaceDN w:val="0"/>
        <w:adjustRightInd w:val="0"/>
        <w:jc w:val="both"/>
        <w:rPr>
          <w:color w:val="000000"/>
          <w:sz w:val="20"/>
          <w:szCs w:val="20"/>
        </w:rPr>
      </w:pPr>
      <w:r w:rsidRPr="00762E03">
        <w:rPr>
          <w:rStyle w:val="FootnoteReference"/>
          <w:sz w:val="20"/>
          <w:szCs w:val="20"/>
        </w:rPr>
        <w:footnoteRef/>
      </w:r>
      <w:r w:rsidRPr="00762E03">
        <w:rPr>
          <w:sz w:val="20"/>
          <w:szCs w:val="20"/>
        </w:rPr>
        <w:t xml:space="preserve"> </w:t>
      </w:r>
      <w:r>
        <w:rPr>
          <w:color w:val="000000"/>
          <w:sz w:val="20"/>
          <w:szCs w:val="20"/>
        </w:rPr>
        <w:t>MK</w:t>
      </w:r>
      <w:r w:rsidRPr="00762E03">
        <w:rPr>
          <w:color w:val="000000"/>
          <w:sz w:val="20"/>
          <w:szCs w:val="20"/>
        </w:rPr>
        <w:t xml:space="preserve"> noteikumu projekts „Grozījumi </w:t>
      </w:r>
      <w:r w:rsidRPr="00762E03">
        <w:rPr>
          <w:sz w:val="20"/>
          <w:szCs w:val="20"/>
        </w:rPr>
        <w:t xml:space="preserve">Ministru kabineta 2010.gada 30.marta noteikumos Nr.299 “Noteikumi par ģimenes vai atsevišķi dzīvojošas personas atzīšanu par trūcīgu”” izstrādāts, pamatojoties uz </w:t>
      </w:r>
      <w:r>
        <w:rPr>
          <w:color w:val="000000"/>
          <w:sz w:val="20"/>
          <w:szCs w:val="20"/>
        </w:rPr>
        <w:t>MK</w:t>
      </w:r>
      <w:r w:rsidRPr="00762E03">
        <w:rPr>
          <w:color w:val="000000"/>
          <w:sz w:val="20"/>
          <w:szCs w:val="20"/>
        </w:rPr>
        <w:t xml:space="preserve"> </w:t>
      </w:r>
      <w:r>
        <w:rPr>
          <w:color w:val="000000"/>
          <w:sz w:val="20"/>
          <w:szCs w:val="20"/>
        </w:rPr>
        <w:t>19.11.</w:t>
      </w:r>
      <w:r w:rsidRPr="00762E03">
        <w:rPr>
          <w:color w:val="000000"/>
          <w:sz w:val="20"/>
          <w:szCs w:val="20"/>
        </w:rPr>
        <w:t xml:space="preserve">2010. sēdē (prot. Nr.65, 2.§ 48.punkts) saistībā ar 2011.gada valsts budžetā īstenojamiem fiskālās konsolidācijas pasākumiem </w:t>
      </w:r>
      <w:r>
        <w:rPr>
          <w:color w:val="000000"/>
          <w:sz w:val="20"/>
          <w:szCs w:val="20"/>
        </w:rPr>
        <w:t>LM</w:t>
      </w:r>
      <w:r w:rsidRPr="00762E03">
        <w:rPr>
          <w:color w:val="000000"/>
          <w:sz w:val="20"/>
          <w:szCs w:val="20"/>
        </w:rPr>
        <w:t xml:space="preserve"> uzdoto uzdevumu - sagatavot grozījumus normatīvajos aktos, nosakot, ka trūcīgas ģimenes (personas) statusa noteikšanai 2011. un 2012.gadam tiek piemērota 90 latu robeža.</w:t>
      </w:r>
      <w:r w:rsidRPr="005847AC">
        <w:rPr>
          <w:color w:val="000000"/>
          <w:sz w:val="20"/>
          <w:szCs w:val="20"/>
        </w:rPr>
        <w:t xml:space="preserve"> </w:t>
      </w:r>
    </w:p>
  </w:footnote>
  <w:footnote w:id="35">
    <w:p w:rsidR="00401ED6" w:rsidRDefault="00401ED6" w:rsidP="00890AC0">
      <w:pPr>
        <w:pStyle w:val="FootnoteText"/>
      </w:pPr>
      <w:r>
        <w:rPr>
          <w:rStyle w:val="FootnoteReference"/>
        </w:rPr>
        <w:footnoteRef/>
      </w:r>
      <w:r>
        <w:t xml:space="preserve"> Likuma „Par palīdzību dzīvokļa jautājumu risināšanā” 14.panta sestā daļa un likuma „Par dzīvojamo telpu īri” 36.</w:t>
      </w:r>
      <w:r w:rsidRPr="0058415A">
        <w:rPr>
          <w:i/>
        </w:rPr>
        <w:t>prim</w:t>
      </w:r>
      <w:r>
        <w:t xml:space="preserve"> panta otrā daļa.</w:t>
      </w:r>
    </w:p>
  </w:footnote>
  <w:footnote w:id="36">
    <w:p w:rsidR="00401ED6" w:rsidRPr="00084A51" w:rsidRDefault="00401ED6" w:rsidP="000F6BCA">
      <w:pPr>
        <w:pStyle w:val="FootnoteText"/>
        <w:jc w:val="both"/>
      </w:pPr>
      <w:r w:rsidRPr="00B731CE">
        <w:rPr>
          <w:rStyle w:val="FootnoteReference"/>
        </w:rPr>
        <w:footnoteRef/>
      </w:r>
      <w:r w:rsidRPr="00B731CE">
        <w:t xml:space="preserve"> </w:t>
      </w:r>
      <w:r w:rsidRPr="00B731CE">
        <w:rPr>
          <w:lang w:val="cs-CZ"/>
        </w:rPr>
        <w:t>„Sākotnējās ietekmes (ex-ante) novērtējums par iecerētajām strukturālajām reformām sociālās palīdzības politikas jomā“ (2014), SIA „KPMG Baltics“</w:t>
      </w:r>
      <w:r>
        <w:rPr>
          <w:lang w:val="cs-CZ"/>
        </w:rPr>
        <w:t xml:space="preserve">. „Gala ziņojums </w:t>
      </w:r>
      <w:r w:rsidRPr="00B62D84">
        <w:t xml:space="preserve">par </w:t>
      </w:r>
      <w:proofErr w:type="spellStart"/>
      <w:r w:rsidRPr="00B62D84">
        <w:t>optimālākajiem</w:t>
      </w:r>
      <w:proofErr w:type="spellEnd"/>
      <w:r w:rsidRPr="00B62D84">
        <w:t xml:space="preserve"> risinājuma </w:t>
      </w:r>
      <w:r w:rsidRPr="00084A51">
        <w:t>variantiem sociālās palīdzības sistēmas izmaiņām un no pārējām sistēmām nepieciešamajiem atbalsta pasākumiem un piedāvāto variantu ietekmes uz valsts un pašvaldību budžetiem novērtējums”</w:t>
      </w:r>
      <w:r>
        <w:t xml:space="preserve">, </w:t>
      </w:r>
      <w:r w:rsidRPr="00084A51">
        <w:rPr>
          <w:lang w:val="cs-CZ"/>
        </w:rPr>
        <w:t>6</w:t>
      </w:r>
      <w:r>
        <w:rPr>
          <w:lang w:val="cs-CZ"/>
        </w:rPr>
        <w:t>.</w:t>
      </w:r>
      <w:r w:rsidRPr="00084A51">
        <w:rPr>
          <w:lang w:val="cs-CZ"/>
        </w:rPr>
        <w:t xml:space="preserve">lpp. </w:t>
      </w:r>
      <w:r w:rsidRPr="00084A51">
        <w:t xml:space="preserve">Pieejams LM mājas lapā, sekojot šai vietnei </w:t>
      </w:r>
      <w:hyperlink r:id="rId11" w:history="1">
        <w:r w:rsidRPr="00084A51">
          <w:rPr>
            <w:rStyle w:val="Hyperlink"/>
          </w:rPr>
          <w:t>http://www.lm.gov.lv/text/2744</w:t>
        </w:r>
      </w:hyperlink>
      <w:r w:rsidRPr="00084A51">
        <w:t xml:space="preserve">. </w:t>
      </w:r>
    </w:p>
  </w:footnote>
  <w:footnote w:id="37">
    <w:p w:rsidR="00401ED6" w:rsidRPr="00084A51" w:rsidRDefault="00401ED6">
      <w:pPr>
        <w:pStyle w:val="FootnoteText"/>
      </w:pPr>
      <w:r w:rsidRPr="00084A51">
        <w:rPr>
          <w:rStyle w:val="FootnoteReference"/>
        </w:rPr>
        <w:footnoteRef/>
      </w:r>
      <w:r w:rsidRPr="00084A51">
        <w:t xml:space="preserve"> Turpat, 7 lpp. </w:t>
      </w:r>
    </w:p>
  </w:footnote>
  <w:footnote w:id="38">
    <w:p w:rsidR="00401ED6" w:rsidRPr="00371968" w:rsidRDefault="00401ED6" w:rsidP="00371968">
      <w:pPr>
        <w:jc w:val="both"/>
        <w:rPr>
          <w:sz w:val="20"/>
          <w:szCs w:val="20"/>
        </w:rPr>
      </w:pPr>
      <w:r w:rsidRPr="00371968">
        <w:rPr>
          <w:rStyle w:val="FootnoteReference"/>
          <w:sz w:val="20"/>
          <w:szCs w:val="20"/>
        </w:rPr>
        <w:footnoteRef/>
      </w:r>
      <w:r w:rsidRPr="00371968">
        <w:rPr>
          <w:sz w:val="20"/>
          <w:szCs w:val="20"/>
        </w:rPr>
        <w:t xml:space="preserve"> Labklājības ministrija (1998). </w:t>
      </w:r>
      <w:r>
        <w:rPr>
          <w:sz w:val="20"/>
          <w:szCs w:val="20"/>
        </w:rPr>
        <w:t>„</w:t>
      </w:r>
      <w:r w:rsidRPr="00371968">
        <w:rPr>
          <w:sz w:val="20"/>
          <w:szCs w:val="20"/>
        </w:rPr>
        <w:t>Baltā grāmata. Latvija: sociālās labklājības sistēmas reformu projekts</w:t>
      </w:r>
      <w:r>
        <w:rPr>
          <w:sz w:val="20"/>
          <w:szCs w:val="20"/>
        </w:rPr>
        <w:t>”, 2 lpp.</w:t>
      </w:r>
      <w:r w:rsidRPr="00371968">
        <w:rPr>
          <w:sz w:val="20"/>
          <w:szCs w:val="20"/>
        </w:rPr>
        <w:t xml:space="preserve"> Sociālās palīdzības sistēmas administrēšana. Rīga.</w:t>
      </w:r>
    </w:p>
  </w:footnote>
  <w:footnote w:id="39">
    <w:p w:rsidR="00401ED6" w:rsidRDefault="00401ED6" w:rsidP="00371968">
      <w:pPr>
        <w:pStyle w:val="NormalWeb"/>
        <w:spacing w:before="0" w:beforeAutospacing="0" w:after="0" w:afterAutospacing="0"/>
        <w:jc w:val="both"/>
      </w:pPr>
      <w:r w:rsidRPr="00084A51">
        <w:rPr>
          <w:rStyle w:val="FootnoteReference"/>
        </w:rPr>
        <w:footnoteRef/>
      </w:r>
      <w:r w:rsidRPr="00084A51">
        <w:t xml:space="preserve"> </w:t>
      </w:r>
      <w:r w:rsidRPr="00084A51">
        <w:rPr>
          <w:sz w:val="20"/>
          <w:szCs w:val="20"/>
        </w:rPr>
        <w:t>1) trūcīgo ģimeņu sociālās</w:t>
      </w:r>
      <w:r>
        <w:rPr>
          <w:sz w:val="20"/>
          <w:szCs w:val="20"/>
        </w:rPr>
        <w:t xml:space="preserve"> palīdzības pabalsts; 2) dzīvokļa pabalsts; 3) pabalsts aprūpei; 4) apbedīšanas pabalsts. /Likums „Par sociālo palīdzību”; zaudējis spēku ar 01.01.2003./ </w:t>
      </w:r>
    </w:p>
  </w:footnote>
  <w:footnote w:id="40">
    <w:p w:rsidR="00401ED6" w:rsidRDefault="00401ED6" w:rsidP="00371968">
      <w:pPr>
        <w:pStyle w:val="FootnoteText"/>
        <w:jc w:val="both"/>
      </w:pPr>
      <w:r w:rsidRPr="00084A51">
        <w:rPr>
          <w:rStyle w:val="FootnoteReference"/>
        </w:rPr>
        <w:footnoteRef/>
      </w:r>
      <w:r w:rsidRPr="00084A51">
        <w:t xml:space="preserve"> MK 17.06.2009.</w:t>
      </w:r>
      <w:r>
        <w:t>noteikumi Nr.550 „Kārtība, kādā aprēķināms, piešķirams, izmaksājams pabalsts garantētā minimālā ienākumu līmeņa nodrošināšanai un slēdzama vienošanās par līdzdarbību”.</w:t>
      </w:r>
    </w:p>
  </w:footnote>
  <w:footnote w:id="41">
    <w:p w:rsidR="00401ED6" w:rsidRDefault="00401ED6" w:rsidP="000A7DDC">
      <w:pPr>
        <w:pStyle w:val="FootnoteText"/>
      </w:pPr>
      <w:r>
        <w:rPr>
          <w:rStyle w:val="FootnoteReference"/>
        </w:rPr>
        <w:footnoteRef/>
      </w:r>
      <w:r>
        <w:t xml:space="preserve"> MK 18.12.2012. noteikumu „Noteikumi par garantēto minimālo ienākumu līmeni” 2.punkts.</w:t>
      </w:r>
    </w:p>
  </w:footnote>
  <w:footnote w:id="42">
    <w:p w:rsidR="00401ED6" w:rsidRPr="00E95208" w:rsidRDefault="00401ED6" w:rsidP="00E95208">
      <w:pPr>
        <w:jc w:val="both"/>
        <w:rPr>
          <w:sz w:val="20"/>
          <w:szCs w:val="20"/>
        </w:rPr>
      </w:pPr>
      <w:r w:rsidRPr="00E95208">
        <w:rPr>
          <w:rStyle w:val="FootnoteReference"/>
          <w:sz w:val="20"/>
          <w:szCs w:val="20"/>
        </w:rPr>
        <w:footnoteRef/>
      </w:r>
      <w:r w:rsidRPr="00E95208">
        <w:rPr>
          <w:sz w:val="20"/>
          <w:szCs w:val="20"/>
        </w:rPr>
        <w:t xml:space="preserve"> 119 pašvaldību sociālo dienestu aptauja par pašvaldības domes noteikto GMI līmeni dažādām iedzīvotāju grupām 2012.gadā un 2013.gadā notika laikā no 2013.gada 24.janvāra līdz 4.februārim. Sasniegtā </w:t>
      </w:r>
      <w:proofErr w:type="spellStart"/>
      <w:r w:rsidRPr="00E95208">
        <w:rPr>
          <w:sz w:val="20"/>
          <w:szCs w:val="20"/>
        </w:rPr>
        <w:t>respondence</w:t>
      </w:r>
      <w:proofErr w:type="spellEnd"/>
      <w:r w:rsidRPr="00E95208">
        <w:rPr>
          <w:sz w:val="20"/>
          <w:szCs w:val="20"/>
        </w:rPr>
        <w:t xml:space="preserve"> 100%. Aptaujas rezultāti pieejami LM mājas lapā, sekojot šai vietnei </w:t>
      </w:r>
      <w:hyperlink r:id="rId12" w:history="1">
        <w:r w:rsidRPr="00E95208">
          <w:rPr>
            <w:rStyle w:val="Hyperlink"/>
            <w:sz w:val="20"/>
            <w:szCs w:val="20"/>
          </w:rPr>
          <w:t>http://www.lm.gov.lv/upload/invaliditate/gmi_aptauja_feb07102013.pdf</w:t>
        </w:r>
      </w:hyperlink>
      <w:r w:rsidRPr="00E95208">
        <w:rPr>
          <w:sz w:val="20"/>
          <w:szCs w:val="20"/>
        </w:rPr>
        <w:t xml:space="preserve">. </w:t>
      </w:r>
    </w:p>
  </w:footnote>
  <w:footnote w:id="43">
    <w:p w:rsidR="00401ED6" w:rsidRPr="00084A51" w:rsidRDefault="00401ED6" w:rsidP="009F1A16">
      <w:pPr>
        <w:pStyle w:val="FootnoteText"/>
        <w:jc w:val="both"/>
      </w:pPr>
      <w:r w:rsidRPr="00B731CE">
        <w:rPr>
          <w:rStyle w:val="FootnoteReference"/>
        </w:rPr>
        <w:footnoteRef/>
      </w:r>
      <w:r w:rsidRPr="00B731CE">
        <w:t xml:space="preserve"> </w:t>
      </w:r>
      <w:r w:rsidRPr="00B731CE">
        <w:rPr>
          <w:lang w:val="cs-CZ"/>
        </w:rPr>
        <w:t>„Sākotnējās ietekmes (ex-ante) novērtējums par iecerētajām strukturālajām reformām sociālās palīdzības politikas jomā“ (2014), SIA „KPMG Baltics“</w:t>
      </w:r>
      <w:r>
        <w:rPr>
          <w:lang w:val="cs-CZ"/>
        </w:rPr>
        <w:t xml:space="preserve">; „Gala ziņojums </w:t>
      </w:r>
      <w:r w:rsidRPr="00B62D84">
        <w:t xml:space="preserve">gala ziņojums par </w:t>
      </w:r>
      <w:proofErr w:type="spellStart"/>
      <w:r w:rsidRPr="00B62D84">
        <w:t>optimālākajiem</w:t>
      </w:r>
      <w:proofErr w:type="spellEnd"/>
      <w:r w:rsidRPr="00B62D84">
        <w:t xml:space="preserve"> risinājuma </w:t>
      </w:r>
      <w:r w:rsidRPr="00084A51">
        <w:t>variantiem sociālās palīdzības sistēmas izmaiņām un no pārējām sistēmām nepieciešamajiem atbalsta pasākumiem un piedāvāto variantu ietekmes uz valsts un pašvaldību budžetiem novērtējums”</w:t>
      </w:r>
      <w:r>
        <w:t xml:space="preserve">, </w:t>
      </w:r>
      <w:r w:rsidRPr="00084A51">
        <w:rPr>
          <w:lang w:val="cs-CZ"/>
        </w:rPr>
        <w:t xml:space="preserve">6 lpp. </w:t>
      </w:r>
      <w:r w:rsidRPr="00084A51">
        <w:t xml:space="preserve">Pieejams LM mājas lapā, sekojot šai vietnei </w:t>
      </w:r>
      <w:hyperlink r:id="rId13" w:history="1">
        <w:r w:rsidRPr="00084A51">
          <w:rPr>
            <w:rStyle w:val="Hyperlink"/>
          </w:rPr>
          <w:t>http://www.lm.gov.lv/text/2744</w:t>
        </w:r>
      </w:hyperlink>
      <w:r w:rsidRPr="00084A51">
        <w:t xml:space="preserve">. </w:t>
      </w:r>
    </w:p>
  </w:footnote>
  <w:footnote w:id="44">
    <w:p w:rsidR="00401ED6" w:rsidRPr="002D04B1" w:rsidRDefault="00401ED6" w:rsidP="00762E03">
      <w:pPr>
        <w:pStyle w:val="FootnoteText"/>
        <w:jc w:val="both"/>
      </w:pPr>
      <w:r w:rsidRPr="002D04B1">
        <w:rPr>
          <w:rStyle w:val="FootnoteReference"/>
        </w:rPr>
        <w:footnoteRef/>
      </w:r>
      <w:r w:rsidRPr="002D04B1">
        <w:t xml:space="preserve"> Angļu valodā </w:t>
      </w:r>
      <w:proofErr w:type="spellStart"/>
      <w:r w:rsidRPr="002D04B1">
        <w:rPr>
          <w:i/>
        </w:rPr>
        <w:t>Open</w:t>
      </w:r>
      <w:proofErr w:type="spellEnd"/>
      <w:r w:rsidRPr="002D04B1">
        <w:rPr>
          <w:i/>
        </w:rPr>
        <w:t xml:space="preserve"> </w:t>
      </w:r>
      <w:proofErr w:type="spellStart"/>
      <w:r w:rsidRPr="002D04B1">
        <w:rPr>
          <w:i/>
        </w:rPr>
        <w:t>method</w:t>
      </w:r>
      <w:proofErr w:type="spellEnd"/>
      <w:r w:rsidRPr="002D04B1">
        <w:rPr>
          <w:i/>
        </w:rPr>
        <w:t xml:space="preserve"> </w:t>
      </w:r>
      <w:proofErr w:type="spellStart"/>
      <w:r w:rsidRPr="002D04B1">
        <w:rPr>
          <w:i/>
        </w:rPr>
        <w:t>of</w:t>
      </w:r>
      <w:proofErr w:type="spellEnd"/>
      <w:r w:rsidRPr="002D04B1">
        <w:rPr>
          <w:i/>
        </w:rPr>
        <w:t xml:space="preserve"> </w:t>
      </w:r>
      <w:proofErr w:type="spellStart"/>
      <w:r w:rsidRPr="002D04B1">
        <w:rPr>
          <w:i/>
        </w:rPr>
        <w:t>coordination</w:t>
      </w:r>
      <w:proofErr w:type="spellEnd"/>
      <w:r>
        <w:t xml:space="preserve">. Vairāk informācijas šeit </w:t>
      </w:r>
      <w:hyperlink r:id="rId14" w:history="1">
        <w:r w:rsidRPr="001B460F">
          <w:rPr>
            <w:rStyle w:val="Hyperlink"/>
          </w:rPr>
          <w:t>http://ec.</w:t>
        </w:r>
        <w:r w:rsidRPr="00BD0F8B">
          <w:rPr>
            <w:rStyle w:val="Hyperlink"/>
            <w:i/>
            <w:iCs/>
          </w:rPr>
          <w:t>euro</w:t>
        </w:r>
        <w:r w:rsidRPr="001B460F">
          <w:rPr>
            <w:rStyle w:val="Hyperlink"/>
          </w:rPr>
          <w:t>opa.eu/invest-in-research/coordination/coordination01_en.htm</w:t>
        </w:r>
      </w:hyperlink>
      <w:r>
        <w:t xml:space="preserve">. </w:t>
      </w:r>
    </w:p>
  </w:footnote>
  <w:footnote w:id="45">
    <w:p w:rsidR="00401ED6" w:rsidRPr="002D04B1" w:rsidRDefault="00401ED6" w:rsidP="005F1470">
      <w:pPr>
        <w:pStyle w:val="FootnoteText"/>
        <w:jc w:val="both"/>
      </w:pPr>
      <w:r w:rsidRPr="002D04B1">
        <w:rPr>
          <w:rStyle w:val="FootnoteReference"/>
        </w:rPr>
        <w:footnoteRef/>
      </w:r>
      <w:r w:rsidRPr="002D04B1">
        <w:t xml:space="preserve"> Informācija par ES sociālās iekļaušanas indikatoriem pieejama šeit </w:t>
      </w:r>
      <w:hyperlink r:id="rId15" w:history="1">
        <w:r w:rsidRPr="001B460F">
          <w:rPr>
            <w:rStyle w:val="Hyperlink"/>
          </w:rPr>
          <w:t>http://ec.</w:t>
        </w:r>
        <w:r w:rsidRPr="00BD0F8B">
          <w:rPr>
            <w:rStyle w:val="Hyperlink"/>
            <w:i/>
            <w:iCs/>
          </w:rPr>
          <w:t>euro</w:t>
        </w:r>
        <w:r w:rsidRPr="001B460F">
          <w:rPr>
            <w:rStyle w:val="Hyperlink"/>
          </w:rPr>
          <w:t>opa.eu/social/main.jsp?catId=756&amp;langId=en</w:t>
        </w:r>
      </w:hyperlink>
      <w:r>
        <w:t xml:space="preserve"> </w:t>
      </w:r>
    </w:p>
  </w:footnote>
  <w:footnote w:id="46">
    <w:p w:rsidR="00401ED6" w:rsidRDefault="00401ED6" w:rsidP="005F1470">
      <w:pPr>
        <w:pStyle w:val="FootnoteText"/>
        <w:jc w:val="both"/>
      </w:pPr>
      <w:r>
        <w:rPr>
          <w:rStyle w:val="FootnoteReference"/>
        </w:rPr>
        <w:footnoteRef/>
      </w:r>
      <w:r>
        <w:t xml:space="preserve"> CSP mājas lapa </w:t>
      </w:r>
      <w:hyperlink r:id="rId16" w:history="1">
        <w:r>
          <w:rPr>
            <w:rStyle w:val="Hyperlink"/>
          </w:rPr>
          <w:t>http://www.csb.gov.lv/statistikas-temas/metodologija/nabadzibas-ienakumu-nevienlidziba-36833.html?order=title&amp;sort=asc</w:t>
        </w:r>
      </w:hyperlink>
      <w:r>
        <w:t>. Skatīts 30.05.2014.</w:t>
      </w:r>
    </w:p>
  </w:footnote>
  <w:footnote w:id="47">
    <w:p w:rsidR="00401ED6" w:rsidRDefault="00401ED6" w:rsidP="005F1470">
      <w:pPr>
        <w:pStyle w:val="FootnoteText"/>
        <w:jc w:val="both"/>
      </w:pPr>
      <w:r>
        <w:rPr>
          <w:rStyle w:val="FootnoteReference"/>
        </w:rPr>
        <w:footnoteRef/>
      </w:r>
      <w:r>
        <w:t xml:space="preserve"> CSP mājas lapa </w:t>
      </w:r>
      <w:hyperlink r:id="rId17" w:history="1">
        <w:r>
          <w:rPr>
            <w:rStyle w:val="Hyperlink"/>
          </w:rPr>
          <w:t>http://www.csb.gov.lv/statistikas-temas/termini/mediana-39000.html</w:t>
        </w:r>
      </w:hyperlink>
      <w:r>
        <w:t>. Skatīts 30.05.2014.</w:t>
      </w:r>
    </w:p>
  </w:footnote>
  <w:footnote w:id="48">
    <w:p w:rsidR="00401ED6" w:rsidRPr="00554EED" w:rsidRDefault="00401ED6" w:rsidP="00554EED">
      <w:pPr>
        <w:jc w:val="both"/>
        <w:rPr>
          <w:kern w:val="36"/>
          <w:sz w:val="20"/>
          <w:szCs w:val="20"/>
          <w:lang w:eastAsia="lv-LV"/>
        </w:rPr>
      </w:pPr>
      <w:r w:rsidRPr="00554EED">
        <w:rPr>
          <w:rStyle w:val="FootnoteReference"/>
          <w:sz w:val="20"/>
          <w:szCs w:val="20"/>
        </w:rPr>
        <w:footnoteRef/>
      </w:r>
      <w:r w:rsidRPr="00554EED">
        <w:rPr>
          <w:sz w:val="20"/>
          <w:szCs w:val="20"/>
        </w:rPr>
        <w:t xml:space="preserve"> </w:t>
      </w:r>
      <w:proofErr w:type="spellStart"/>
      <w:r w:rsidRPr="00554EED">
        <w:rPr>
          <w:sz w:val="20"/>
          <w:szCs w:val="20"/>
        </w:rPr>
        <w:t>Besharov</w:t>
      </w:r>
      <w:proofErr w:type="spellEnd"/>
      <w:r w:rsidRPr="00554EED">
        <w:rPr>
          <w:sz w:val="20"/>
          <w:szCs w:val="20"/>
        </w:rPr>
        <w:t xml:space="preserve"> J., </w:t>
      </w:r>
      <w:proofErr w:type="spellStart"/>
      <w:r w:rsidRPr="00554EED">
        <w:rPr>
          <w:sz w:val="20"/>
          <w:szCs w:val="20"/>
        </w:rPr>
        <w:t>Couch</w:t>
      </w:r>
      <w:proofErr w:type="spellEnd"/>
      <w:r w:rsidRPr="00554EED">
        <w:rPr>
          <w:sz w:val="20"/>
          <w:szCs w:val="20"/>
        </w:rPr>
        <w:t xml:space="preserve"> A., </w:t>
      </w:r>
      <w:proofErr w:type="spellStart"/>
      <w:r w:rsidRPr="00554EED">
        <w:rPr>
          <w:sz w:val="20"/>
          <w:szCs w:val="20"/>
        </w:rPr>
        <w:t>Besharov</w:t>
      </w:r>
      <w:proofErr w:type="spellEnd"/>
      <w:r w:rsidRPr="00554EED">
        <w:rPr>
          <w:sz w:val="20"/>
          <w:szCs w:val="20"/>
        </w:rPr>
        <w:t xml:space="preserve"> J., </w:t>
      </w:r>
      <w:proofErr w:type="spellStart"/>
      <w:r w:rsidRPr="00554EED">
        <w:rPr>
          <w:sz w:val="20"/>
          <w:szCs w:val="20"/>
        </w:rPr>
        <w:t>Couch</w:t>
      </w:r>
      <w:proofErr w:type="spellEnd"/>
      <w:r w:rsidRPr="00554EED">
        <w:rPr>
          <w:sz w:val="20"/>
          <w:szCs w:val="20"/>
        </w:rPr>
        <w:t xml:space="preserve"> A., (2012). </w:t>
      </w:r>
      <w:proofErr w:type="spellStart"/>
      <w:r w:rsidRPr="00554EED">
        <w:rPr>
          <w:sz w:val="20"/>
          <w:szCs w:val="20"/>
        </w:rPr>
        <w:t>Counting</w:t>
      </w:r>
      <w:proofErr w:type="spellEnd"/>
      <w:r w:rsidRPr="00554EED">
        <w:rPr>
          <w:sz w:val="20"/>
          <w:szCs w:val="20"/>
        </w:rPr>
        <w:t xml:space="preserve"> </w:t>
      </w:r>
      <w:proofErr w:type="spellStart"/>
      <w:r w:rsidRPr="00554EED">
        <w:rPr>
          <w:sz w:val="20"/>
          <w:szCs w:val="20"/>
        </w:rPr>
        <w:t>the</w:t>
      </w:r>
      <w:proofErr w:type="spellEnd"/>
      <w:r w:rsidRPr="00554EED">
        <w:rPr>
          <w:sz w:val="20"/>
          <w:szCs w:val="20"/>
        </w:rPr>
        <w:t xml:space="preserve"> </w:t>
      </w:r>
      <w:proofErr w:type="spellStart"/>
      <w:r w:rsidRPr="00554EED">
        <w:rPr>
          <w:sz w:val="20"/>
          <w:szCs w:val="20"/>
        </w:rPr>
        <w:t>Poor</w:t>
      </w:r>
      <w:proofErr w:type="spellEnd"/>
      <w:r w:rsidRPr="00554EED">
        <w:rPr>
          <w:sz w:val="20"/>
          <w:szCs w:val="20"/>
        </w:rPr>
        <w:t xml:space="preserve">: </w:t>
      </w:r>
      <w:proofErr w:type="spellStart"/>
      <w:r w:rsidRPr="00554EED">
        <w:rPr>
          <w:sz w:val="20"/>
          <w:szCs w:val="20"/>
        </w:rPr>
        <w:t>New</w:t>
      </w:r>
      <w:proofErr w:type="spellEnd"/>
      <w:r w:rsidRPr="00554EED">
        <w:rPr>
          <w:sz w:val="20"/>
          <w:szCs w:val="20"/>
        </w:rPr>
        <w:t xml:space="preserve"> </w:t>
      </w:r>
      <w:proofErr w:type="spellStart"/>
      <w:r w:rsidRPr="00554EED">
        <w:rPr>
          <w:sz w:val="20"/>
          <w:szCs w:val="20"/>
        </w:rPr>
        <w:t>Thinking</w:t>
      </w:r>
      <w:proofErr w:type="spellEnd"/>
      <w:r w:rsidRPr="00554EED">
        <w:rPr>
          <w:sz w:val="20"/>
          <w:szCs w:val="20"/>
        </w:rPr>
        <w:t xml:space="preserve"> </w:t>
      </w:r>
      <w:proofErr w:type="spellStart"/>
      <w:r w:rsidRPr="00554EED">
        <w:rPr>
          <w:sz w:val="20"/>
          <w:szCs w:val="20"/>
        </w:rPr>
        <w:t>About</w:t>
      </w:r>
      <w:proofErr w:type="spellEnd"/>
      <w:r w:rsidRPr="00554EED">
        <w:rPr>
          <w:sz w:val="20"/>
          <w:szCs w:val="20"/>
        </w:rPr>
        <w:t xml:space="preserve"> </w:t>
      </w:r>
      <w:proofErr w:type="spellStart"/>
      <w:r w:rsidRPr="000F6BCA">
        <w:rPr>
          <w:sz w:val="20"/>
          <w:szCs w:val="20"/>
        </w:rPr>
        <w:t>Euro</w:t>
      </w:r>
      <w:r w:rsidRPr="00554EED">
        <w:rPr>
          <w:sz w:val="20"/>
          <w:szCs w:val="20"/>
        </w:rPr>
        <w:t>opean</w:t>
      </w:r>
      <w:proofErr w:type="spellEnd"/>
      <w:r w:rsidRPr="00554EED">
        <w:rPr>
          <w:sz w:val="20"/>
          <w:szCs w:val="20"/>
        </w:rPr>
        <w:t xml:space="preserve"> </w:t>
      </w:r>
      <w:proofErr w:type="spellStart"/>
      <w:r w:rsidRPr="00554EED">
        <w:rPr>
          <w:sz w:val="20"/>
          <w:szCs w:val="20"/>
        </w:rPr>
        <w:t>Poverty</w:t>
      </w:r>
      <w:proofErr w:type="spellEnd"/>
      <w:r w:rsidRPr="00554EED">
        <w:rPr>
          <w:sz w:val="20"/>
          <w:szCs w:val="20"/>
        </w:rPr>
        <w:t xml:space="preserve"> </w:t>
      </w:r>
      <w:proofErr w:type="spellStart"/>
      <w:r w:rsidRPr="00554EED">
        <w:rPr>
          <w:sz w:val="20"/>
          <w:szCs w:val="20"/>
        </w:rPr>
        <w:t>Measures</w:t>
      </w:r>
      <w:proofErr w:type="spellEnd"/>
      <w:r w:rsidRPr="00554EED">
        <w:rPr>
          <w:sz w:val="20"/>
          <w:szCs w:val="20"/>
        </w:rPr>
        <w:t xml:space="preserve"> </w:t>
      </w:r>
      <w:proofErr w:type="spellStart"/>
      <w:r w:rsidRPr="00554EED">
        <w:rPr>
          <w:sz w:val="20"/>
          <w:szCs w:val="20"/>
        </w:rPr>
        <w:t>and</w:t>
      </w:r>
      <w:proofErr w:type="spellEnd"/>
      <w:r w:rsidRPr="00554EED">
        <w:rPr>
          <w:sz w:val="20"/>
          <w:szCs w:val="20"/>
        </w:rPr>
        <w:t xml:space="preserve"> </w:t>
      </w:r>
      <w:proofErr w:type="spellStart"/>
      <w:r w:rsidRPr="00554EED">
        <w:rPr>
          <w:sz w:val="20"/>
          <w:szCs w:val="20"/>
        </w:rPr>
        <w:t>Lessons</w:t>
      </w:r>
      <w:proofErr w:type="spellEnd"/>
      <w:r w:rsidRPr="00554EED">
        <w:rPr>
          <w:sz w:val="20"/>
          <w:szCs w:val="20"/>
        </w:rPr>
        <w:t xml:space="preserve"> </w:t>
      </w:r>
      <w:proofErr w:type="spellStart"/>
      <w:r w:rsidRPr="00554EED">
        <w:rPr>
          <w:sz w:val="20"/>
          <w:szCs w:val="20"/>
        </w:rPr>
        <w:t>for</w:t>
      </w:r>
      <w:proofErr w:type="spellEnd"/>
      <w:r w:rsidRPr="00554EED">
        <w:rPr>
          <w:sz w:val="20"/>
          <w:szCs w:val="20"/>
        </w:rPr>
        <w:t xml:space="preserve"> </w:t>
      </w:r>
      <w:proofErr w:type="spellStart"/>
      <w:r w:rsidRPr="00554EED">
        <w:rPr>
          <w:sz w:val="20"/>
          <w:szCs w:val="20"/>
        </w:rPr>
        <w:t>the</w:t>
      </w:r>
      <w:proofErr w:type="spellEnd"/>
      <w:r w:rsidRPr="00554EED">
        <w:rPr>
          <w:sz w:val="20"/>
          <w:szCs w:val="20"/>
        </w:rPr>
        <w:t xml:space="preserve"> </w:t>
      </w:r>
      <w:proofErr w:type="spellStart"/>
      <w:r w:rsidRPr="00554EED">
        <w:rPr>
          <w:sz w:val="20"/>
          <w:szCs w:val="20"/>
        </w:rPr>
        <w:t>United</w:t>
      </w:r>
      <w:proofErr w:type="spellEnd"/>
      <w:r w:rsidRPr="00554EED">
        <w:rPr>
          <w:sz w:val="20"/>
          <w:szCs w:val="20"/>
        </w:rPr>
        <w:t xml:space="preserve"> </w:t>
      </w:r>
      <w:proofErr w:type="spellStart"/>
      <w:r w:rsidRPr="00554EED">
        <w:rPr>
          <w:sz w:val="20"/>
          <w:szCs w:val="20"/>
        </w:rPr>
        <w:t>States</w:t>
      </w:r>
      <w:proofErr w:type="spellEnd"/>
      <w:r w:rsidRPr="00554EED">
        <w:rPr>
          <w:sz w:val="20"/>
          <w:szCs w:val="20"/>
        </w:rPr>
        <w:t xml:space="preserve">” </w:t>
      </w:r>
      <w:hyperlink r:id="rId18" w:history="1">
        <w:r w:rsidRPr="00554EED">
          <w:rPr>
            <w:rStyle w:val="Hyperlink"/>
            <w:bCs/>
            <w:kern w:val="36"/>
            <w:sz w:val="20"/>
            <w:szCs w:val="20"/>
            <w:lang w:eastAsia="lv-LV"/>
          </w:rPr>
          <w:t>http://books.google.lv/books?id=sEr3ipZZ7yIC&amp;hl=lv&amp;source=gbs_navlinks_s</w:t>
        </w:r>
      </w:hyperlink>
      <w:r w:rsidRPr="00554EED">
        <w:rPr>
          <w:rStyle w:val="Hyperlink"/>
          <w:bCs/>
          <w:kern w:val="36"/>
          <w:sz w:val="20"/>
          <w:szCs w:val="20"/>
          <w:lang w:eastAsia="lv-LV"/>
        </w:rPr>
        <w:t xml:space="preserve">. </w:t>
      </w:r>
      <w:r>
        <w:rPr>
          <w:rStyle w:val="Hyperlink"/>
          <w:bCs/>
          <w:color w:val="auto"/>
          <w:kern w:val="36"/>
          <w:sz w:val="20"/>
          <w:szCs w:val="20"/>
          <w:u w:val="none"/>
          <w:lang w:eastAsia="lv-LV"/>
        </w:rPr>
        <w:t>7.lpp.</w:t>
      </w:r>
    </w:p>
  </w:footnote>
  <w:footnote w:id="49">
    <w:p w:rsidR="00401ED6" w:rsidRDefault="00401ED6" w:rsidP="005F1470">
      <w:pPr>
        <w:pStyle w:val="FootnoteText"/>
        <w:jc w:val="both"/>
      </w:pPr>
      <w:r>
        <w:rPr>
          <w:rStyle w:val="FootnoteReference"/>
        </w:rPr>
        <w:footnoteRef/>
      </w:r>
      <w:r>
        <w:t xml:space="preserve"> OECD </w:t>
      </w:r>
      <w:proofErr w:type="spellStart"/>
      <w:r>
        <w:t>note</w:t>
      </w:r>
      <w:proofErr w:type="spellEnd"/>
      <w:r>
        <w:t xml:space="preserve"> „</w:t>
      </w:r>
      <w:proofErr w:type="spellStart"/>
      <w:r>
        <w:t>What</w:t>
      </w:r>
      <w:proofErr w:type="spellEnd"/>
      <w:r>
        <w:t xml:space="preserve"> </w:t>
      </w:r>
      <w:proofErr w:type="spellStart"/>
      <w:r>
        <w:t>are</w:t>
      </w:r>
      <w:proofErr w:type="spellEnd"/>
      <w:r>
        <w:t xml:space="preserve"> </w:t>
      </w:r>
      <w:proofErr w:type="spellStart"/>
      <w:r>
        <w:t>equivalence</w:t>
      </w:r>
      <w:proofErr w:type="spellEnd"/>
      <w:r>
        <w:t xml:space="preserve"> </w:t>
      </w:r>
      <w:proofErr w:type="spellStart"/>
      <w:r>
        <w:t>scales</w:t>
      </w:r>
      <w:proofErr w:type="spellEnd"/>
      <w:r>
        <w:t xml:space="preserve">?”. Skatīts 30.05.2014. </w:t>
      </w:r>
    </w:p>
  </w:footnote>
  <w:footnote w:id="50">
    <w:p w:rsidR="00401ED6" w:rsidRDefault="00401ED6" w:rsidP="005F1470">
      <w:pPr>
        <w:pStyle w:val="FootnoteText"/>
        <w:jc w:val="both"/>
      </w:pPr>
      <w:r>
        <w:rPr>
          <w:rStyle w:val="FootnoteReference"/>
        </w:rPr>
        <w:footnoteRef/>
      </w:r>
      <w:r>
        <w:t xml:space="preserve"> Turpat. </w:t>
      </w:r>
    </w:p>
  </w:footnote>
  <w:footnote w:id="51">
    <w:p w:rsidR="00401ED6" w:rsidRDefault="00401ED6" w:rsidP="003854B7">
      <w:pPr>
        <w:pStyle w:val="FootnoteText"/>
        <w:jc w:val="both"/>
      </w:pPr>
      <w:r>
        <w:rPr>
          <w:rStyle w:val="FootnoteReference"/>
        </w:rPr>
        <w:footnoteRef/>
      </w:r>
      <w:r>
        <w:t xml:space="preserve"> </w:t>
      </w:r>
      <w:r>
        <w:rPr>
          <w:iCs/>
        </w:rPr>
        <w:t>EUR</w:t>
      </w:r>
      <w:r>
        <w:t xml:space="preserve">OSTAT ekvivalences skalu ir modificējis, piemērojot zemākas vērtības mājsaimniecības locekļiem virs un zem 14 gadiem. </w:t>
      </w:r>
    </w:p>
  </w:footnote>
  <w:footnote w:id="52">
    <w:p w:rsidR="00401ED6" w:rsidRDefault="00401ED6">
      <w:pPr>
        <w:pStyle w:val="FootnoteText"/>
      </w:pPr>
      <w:r>
        <w:rPr>
          <w:rStyle w:val="FootnoteReference"/>
        </w:rPr>
        <w:footnoteRef/>
      </w:r>
      <w:r>
        <w:t xml:space="preserve"> Skat. sadaļas 1.1.2., 1.1.3., 1.1.4.</w:t>
      </w:r>
    </w:p>
  </w:footnote>
  <w:footnote w:id="53">
    <w:p w:rsidR="00401ED6" w:rsidRDefault="00401ED6">
      <w:pPr>
        <w:pStyle w:val="FootnoteText"/>
      </w:pPr>
      <w:r>
        <w:rPr>
          <w:rStyle w:val="FootnoteReference"/>
        </w:rPr>
        <w:footnoteRef/>
      </w:r>
      <w:r>
        <w:t xml:space="preserve"> ES piemērotā skala, aprēķinot nabadzības riska slieksni.</w:t>
      </w:r>
    </w:p>
  </w:footnote>
  <w:footnote w:id="54">
    <w:p w:rsidR="00401ED6" w:rsidRDefault="00401ED6" w:rsidP="00554EED">
      <w:pPr>
        <w:pStyle w:val="CommentText"/>
        <w:jc w:val="both"/>
      </w:pPr>
      <w:r>
        <w:rPr>
          <w:rStyle w:val="FootnoteReference"/>
        </w:rPr>
        <w:footnoteRef/>
      </w:r>
      <w:r>
        <w:t xml:space="preserve"> A</w:t>
      </w:r>
      <w:r w:rsidRPr="00E54C78">
        <w:t>psekojum</w:t>
      </w:r>
      <w:r>
        <w:t>s</w:t>
      </w:r>
      <w:r w:rsidRPr="00E54C78">
        <w:t xml:space="preserve"> "Eiropas Savienības statistika par iedzīvotāju ienākumiem un dzīves apstākļiem" (</w:t>
      </w:r>
      <w:proofErr w:type="spellStart"/>
      <w:r w:rsidRPr="00850FD6">
        <w:rPr>
          <w:i/>
        </w:rPr>
        <w:t>The</w:t>
      </w:r>
      <w:proofErr w:type="spellEnd"/>
      <w:r w:rsidRPr="00850FD6">
        <w:rPr>
          <w:i/>
        </w:rPr>
        <w:t xml:space="preserve"> </w:t>
      </w:r>
      <w:proofErr w:type="spellStart"/>
      <w:r w:rsidRPr="00BD0F8B">
        <w:rPr>
          <w:i/>
          <w:iCs/>
        </w:rPr>
        <w:t>Eur</w:t>
      </w:r>
      <w:r w:rsidRPr="00850FD6">
        <w:rPr>
          <w:i/>
        </w:rPr>
        <w:t>opean</w:t>
      </w:r>
      <w:proofErr w:type="spellEnd"/>
      <w:r w:rsidRPr="00850FD6">
        <w:rPr>
          <w:i/>
        </w:rPr>
        <w:t xml:space="preserve"> </w:t>
      </w:r>
      <w:proofErr w:type="spellStart"/>
      <w:r w:rsidRPr="00850FD6">
        <w:rPr>
          <w:i/>
        </w:rPr>
        <w:t>Union</w:t>
      </w:r>
      <w:proofErr w:type="spellEnd"/>
      <w:r w:rsidRPr="00850FD6">
        <w:rPr>
          <w:i/>
        </w:rPr>
        <w:t xml:space="preserve"> </w:t>
      </w:r>
      <w:proofErr w:type="spellStart"/>
      <w:r w:rsidRPr="00850FD6">
        <w:rPr>
          <w:i/>
        </w:rPr>
        <w:t>Statistics</w:t>
      </w:r>
      <w:proofErr w:type="spellEnd"/>
      <w:r w:rsidRPr="00850FD6">
        <w:rPr>
          <w:i/>
        </w:rPr>
        <w:t xml:space="preserve"> </w:t>
      </w:r>
      <w:proofErr w:type="spellStart"/>
      <w:r w:rsidRPr="00850FD6">
        <w:rPr>
          <w:i/>
        </w:rPr>
        <w:t>on</w:t>
      </w:r>
      <w:proofErr w:type="spellEnd"/>
      <w:r w:rsidRPr="00850FD6">
        <w:rPr>
          <w:i/>
        </w:rPr>
        <w:t xml:space="preserve"> </w:t>
      </w:r>
      <w:proofErr w:type="spellStart"/>
      <w:r w:rsidRPr="00850FD6">
        <w:rPr>
          <w:i/>
        </w:rPr>
        <w:t>Income</w:t>
      </w:r>
      <w:proofErr w:type="spellEnd"/>
      <w:r w:rsidRPr="00850FD6">
        <w:rPr>
          <w:i/>
        </w:rPr>
        <w:t xml:space="preserve"> </w:t>
      </w:r>
      <w:proofErr w:type="spellStart"/>
      <w:r w:rsidRPr="00850FD6">
        <w:rPr>
          <w:i/>
        </w:rPr>
        <w:t>and</w:t>
      </w:r>
      <w:proofErr w:type="spellEnd"/>
      <w:r w:rsidRPr="00850FD6">
        <w:rPr>
          <w:i/>
        </w:rPr>
        <w:t xml:space="preserve"> </w:t>
      </w:r>
      <w:proofErr w:type="spellStart"/>
      <w:r w:rsidRPr="00850FD6">
        <w:rPr>
          <w:i/>
        </w:rPr>
        <w:t>Living</w:t>
      </w:r>
      <w:proofErr w:type="spellEnd"/>
      <w:r w:rsidRPr="00850FD6">
        <w:rPr>
          <w:i/>
        </w:rPr>
        <w:t xml:space="preserve"> </w:t>
      </w:r>
      <w:proofErr w:type="spellStart"/>
      <w:r w:rsidRPr="00850FD6">
        <w:rPr>
          <w:i/>
        </w:rPr>
        <w:t>Conditions</w:t>
      </w:r>
      <w:proofErr w:type="spellEnd"/>
      <w:r w:rsidRPr="00E54C78">
        <w:t>, saīsinājums – EU-SILC).</w:t>
      </w:r>
      <w:r>
        <w:t xml:space="preserve"> </w:t>
      </w:r>
      <w:r w:rsidRPr="006B4459">
        <w:t>Viens no EU-SILC apsekojuma galvenajiem izpētes objektiem ir mājsaimniecību gada i</w:t>
      </w:r>
      <w:r>
        <w:t>enākumi – to sastāvs un līmenis.</w:t>
      </w:r>
    </w:p>
  </w:footnote>
  <w:footnote w:id="55">
    <w:p w:rsidR="00401ED6" w:rsidRDefault="00401ED6" w:rsidP="00062890">
      <w:pPr>
        <w:pStyle w:val="FootnoteText"/>
        <w:jc w:val="both"/>
      </w:pPr>
      <w:r>
        <w:rPr>
          <w:rStyle w:val="FootnoteReference"/>
        </w:rPr>
        <w:footnoteRef/>
      </w:r>
      <w:r>
        <w:t xml:space="preserve"> </w:t>
      </w:r>
      <w:r w:rsidRPr="00B8710F">
        <w:t>EUROSTAT atšķirībā no CSP publicē EU-SILC datus ar atsauci uz apsekojuma norises gadu</w:t>
      </w:r>
      <w:proofErr w:type="gramStart"/>
      <w:r w:rsidRPr="00B8710F">
        <w:t xml:space="preserve"> nevis</w:t>
      </w:r>
      <w:proofErr w:type="gramEnd"/>
      <w:r w:rsidRPr="00B8710F">
        <w:t xml:space="preserve"> ienākumu pārskata periodu, tāpēc 2012.gada dati atspoguļo situāciju 2011.gadā (ar dažu valstu izņēmumu)</w:t>
      </w:r>
      <w:r>
        <w:t>.</w:t>
      </w:r>
    </w:p>
  </w:footnote>
  <w:footnote w:id="56">
    <w:p w:rsidR="00401ED6" w:rsidRDefault="00401ED6">
      <w:pPr>
        <w:pStyle w:val="FootnoteText"/>
      </w:pPr>
      <w:r w:rsidRPr="00572A31">
        <w:rPr>
          <w:rStyle w:val="FootnoteReference"/>
        </w:rPr>
        <w:footnoteRef/>
      </w:r>
      <w:r w:rsidRPr="00572A31">
        <w:t xml:space="preserve"> </w:t>
      </w:r>
      <w:r w:rsidRPr="00524B2E">
        <w:t>EURO</w:t>
      </w:r>
      <w:r>
        <w:t xml:space="preserve">STAT </w:t>
      </w:r>
      <w:proofErr w:type="spellStart"/>
      <w:r w:rsidRPr="00572A31">
        <w:t>Task</w:t>
      </w:r>
      <w:proofErr w:type="spellEnd"/>
      <w:r w:rsidRPr="00572A31">
        <w:t xml:space="preserve"> </w:t>
      </w:r>
      <w:proofErr w:type="spellStart"/>
      <w:r w:rsidRPr="00572A31">
        <w:t>force</w:t>
      </w:r>
      <w:proofErr w:type="spellEnd"/>
      <w:r w:rsidRPr="00572A31">
        <w:t xml:space="preserve"> </w:t>
      </w:r>
      <w:proofErr w:type="spellStart"/>
      <w:r w:rsidRPr="00572A31">
        <w:t>on</w:t>
      </w:r>
      <w:proofErr w:type="spellEnd"/>
      <w:r w:rsidRPr="00572A31">
        <w:t xml:space="preserve"> </w:t>
      </w:r>
      <w:proofErr w:type="spellStart"/>
      <w:r w:rsidRPr="00572A31">
        <w:t>poverty</w:t>
      </w:r>
      <w:proofErr w:type="spellEnd"/>
      <w:r w:rsidRPr="00572A31">
        <w:t xml:space="preserve"> </w:t>
      </w:r>
      <w:proofErr w:type="spellStart"/>
      <w:r w:rsidRPr="00572A31">
        <w:t>and</w:t>
      </w:r>
      <w:proofErr w:type="spellEnd"/>
      <w:r w:rsidRPr="00572A31">
        <w:t xml:space="preserve"> </w:t>
      </w:r>
      <w:proofErr w:type="spellStart"/>
      <w:r w:rsidRPr="00572A31">
        <w:t>social</w:t>
      </w:r>
      <w:proofErr w:type="spellEnd"/>
      <w:r w:rsidRPr="00572A31">
        <w:t xml:space="preserve"> </w:t>
      </w:r>
      <w:proofErr w:type="spellStart"/>
      <w:r w:rsidRPr="00572A31">
        <w:t>exclusion</w:t>
      </w:r>
      <w:proofErr w:type="spellEnd"/>
      <w:r>
        <w:t xml:space="preserve"> (1998).</w:t>
      </w:r>
    </w:p>
  </w:footnote>
  <w:footnote w:id="57">
    <w:p w:rsidR="00401ED6" w:rsidRPr="00554EED" w:rsidRDefault="00401ED6" w:rsidP="007D37C0">
      <w:pPr>
        <w:jc w:val="both"/>
        <w:rPr>
          <w:kern w:val="36"/>
          <w:sz w:val="20"/>
          <w:szCs w:val="20"/>
          <w:lang w:eastAsia="lv-LV"/>
        </w:rPr>
      </w:pPr>
      <w:r>
        <w:rPr>
          <w:rStyle w:val="FootnoteReference"/>
        </w:rPr>
        <w:footnoteRef/>
      </w:r>
      <w:r>
        <w:t xml:space="preserve"> </w:t>
      </w:r>
      <w:proofErr w:type="spellStart"/>
      <w:r w:rsidRPr="00554EED">
        <w:rPr>
          <w:sz w:val="20"/>
          <w:szCs w:val="20"/>
        </w:rPr>
        <w:t>Besharov</w:t>
      </w:r>
      <w:proofErr w:type="spellEnd"/>
      <w:r w:rsidRPr="00554EED">
        <w:rPr>
          <w:sz w:val="20"/>
          <w:szCs w:val="20"/>
        </w:rPr>
        <w:t xml:space="preserve"> J., </w:t>
      </w:r>
      <w:proofErr w:type="spellStart"/>
      <w:r w:rsidRPr="00554EED">
        <w:rPr>
          <w:sz w:val="20"/>
          <w:szCs w:val="20"/>
        </w:rPr>
        <w:t>Couch</w:t>
      </w:r>
      <w:proofErr w:type="spellEnd"/>
      <w:r w:rsidRPr="00554EED">
        <w:rPr>
          <w:sz w:val="20"/>
          <w:szCs w:val="20"/>
        </w:rPr>
        <w:t xml:space="preserve"> A., </w:t>
      </w:r>
      <w:proofErr w:type="spellStart"/>
      <w:r w:rsidRPr="00554EED">
        <w:rPr>
          <w:sz w:val="20"/>
          <w:szCs w:val="20"/>
        </w:rPr>
        <w:t>Besharov</w:t>
      </w:r>
      <w:proofErr w:type="spellEnd"/>
      <w:r w:rsidRPr="00554EED">
        <w:rPr>
          <w:sz w:val="20"/>
          <w:szCs w:val="20"/>
        </w:rPr>
        <w:t xml:space="preserve"> J., </w:t>
      </w:r>
      <w:proofErr w:type="spellStart"/>
      <w:r w:rsidRPr="00554EED">
        <w:rPr>
          <w:sz w:val="20"/>
          <w:szCs w:val="20"/>
        </w:rPr>
        <w:t>Couch</w:t>
      </w:r>
      <w:proofErr w:type="spellEnd"/>
      <w:r w:rsidRPr="00554EED">
        <w:rPr>
          <w:sz w:val="20"/>
          <w:szCs w:val="20"/>
        </w:rPr>
        <w:t xml:space="preserve"> A., (2012). </w:t>
      </w:r>
      <w:proofErr w:type="spellStart"/>
      <w:r w:rsidRPr="00554EED">
        <w:rPr>
          <w:sz w:val="20"/>
          <w:szCs w:val="20"/>
        </w:rPr>
        <w:t>Counting</w:t>
      </w:r>
      <w:proofErr w:type="spellEnd"/>
      <w:r w:rsidRPr="00554EED">
        <w:rPr>
          <w:sz w:val="20"/>
          <w:szCs w:val="20"/>
        </w:rPr>
        <w:t xml:space="preserve"> </w:t>
      </w:r>
      <w:proofErr w:type="spellStart"/>
      <w:r w:rsidRPr="00554EED">
        <w:rPr>
          <w:sz w:val="20"/>
          <w:szCs w:val="20"/>
        </w:rPr>
        <w:t>the</w:t>
      </w:r>
      <w:proofErr w:type="spellEnd"/>
      <w:r w:rsidRPr="00554EED">
        <w:rPr>
          <w:sz w:val="20"/>
          <w:szCs w:val="20"/>
        </w:rPr>
        <w:t xml:space="preserve"> </w:t>
      </w:r>
      <w:proofErr w:type="spellStart"/>
      <w:r w:rsidRPr="00554EED">
        <w:rPr>
          <w:sz w:val="20"/>
          <w:szCs w:val="20"/>
        </w:rPr>
        <w:t>Poor</w:t>
      </w:r>
      <w:proofErr w:type="spellEnd"/>
      <w:r w:rsidRPr="00554EED">
        <w:rPr>
          <w:sz w:val="20"/>
          <w:szCs w:val="20"/>
        </w:rPr>
        <w:t xml:space="preserve">: </w:t>
      </w:r>
      <w:proofErr w:type="spellStart"/>
      <w:r w:rsidRPr="00554EED">
        <w:rPr>
          <w:sz w:val="20"/>
          <w:szCs w:val="20"/>
        </w:rPr>
        <w:t>New</w:t>
      </w:r>
      <w:proofErr w:type="spellEnd"/>
      <w:r w:rsidRPr="00554EED">
        <w:rPr>
          <w:sz w:val="20"/>
          <w:szCs w:val="20"/>
        </w:rPr>
        <w:t xml:space="preserve"> </w:t>
      </w:r>
      <w:proofErr w:type="spellStart"/>
      <w:r w:rsidRPr="00554EED">
        <w:rPr>
          <w:sz w:val="20"/>
          <w:szCs w:val="20"/>
        </w:rPr>
        <w:t>Thinking</w:t>
      </w:r>
      <w:proofErr w:type="spellEnd"/>
      <w:r w:rsidRPr="00554EED">
        <w:rPr>
          <w:sz w:val="20"/>
          <w:szCs w:val="20"/>
        </w:rPr>
        <w:t xml:space="preserve"> </w:t>
      </w:r>
      <w:proofErr w:type="spellStart"/>
      <w:r w:rsidRPr="00554EED">
        <w:rPr>
          <w:sz w:val="20"/>
          <w:szCs w:val="20"/>
        </w:rPr>
        <w:t>About</w:t>
      </w:r>
      <w:proofErr w:type="spellEnd"/>
      <w:r w:rsidRPr="00554EED">
        <w:rPr>
          <w:sz w:val="20"/>
          <w:szCs w:val="20"/>
        </w:rPr>
        <w:t xml:space="preserve"> </w:t>
      </w:r>
      <w:proofErr w:type="spellStart"/>
      <w:r w:rsidRPr="00524B2E">
        <w:rPr>
          <w:sz w:val="20"/>
          <w:szCs w:val="20"/>
        </w:rPr>
        <w:t>Euro</w:t>
      </w:r>
      <w:r w:rsidRPr="00554EED">
        <w:rPr>
          <w:sz w:val="20"/>
          <w:szCs w:val="20"/>
        </w:rPr>
        <w:t>pean</w:t>
      </w:r>
      <w:proofErr w:type="spellEnd"/>
      <w:r w:rsidRPr="00554EED">
        <w:rPr>
          <w:sz w:val="20"/>
          <w:szCs w:val="20"/>
        </w:rPr>
        <w:t xml:space="preserve"> </w:t>
      </w:r>
      <w:proofErr w:type="spellStart"/>
      <w:r w:rsidRPr="00554EED">
        <w:rPr>
          <w:sz w:val="20"/>
          <w:szCs w:val="20"/>
        </w:rPr>
        <w:t>Poverty</w:t>
      </w:r>
      <w:proofErr w:type="spellEnd"/>
      <w:r w:rsidRPr="00554EED">
        <w:rPr>
          <w:sz w:val="20"/>
          <w:szCs w:val="20"/>
        </w:rPr>
        <w:t xml:space="preserve"> </w:t>
      </w:r>
      <w:proofErr w:type="spellStart"/>
      <w:r w:rsidRPr="00554EED">
        <w:rPr>
          <w:sz w:val="20"/>
          <w:szCs w:val="20"/>
        </w:rPr>
        <w:t>Measures</w:t>
      </w:r>
      <w:proofErr w:type="spellEnd"/>
      <w:r w:rsidRPr="00554EED">
        <w:rPr>
          <w:sz w:val="20"/>
          <w:szCs w:val="20"/>
        </w:rPr>
        <w:t xml:space="preserve"> </w:t>
      </w:r>
      <w:proofErr w:type="spellStart"/>
      <w:r w:rsidRPr="00554EED">
        <w:rPr>
          <w:sz w:val="20"/>
          <w:szCs w:val="20"/>
        </w:rPr>
        <w:t>and</w:t>
      </w:r>
      <w:proofErr w:type="spellEnd"/>
      <w:r w:rsidRPr="00554EED">
        <w:rPr>
          <w:sz w:val="20"/>
          <w:szCs w:val="20"/>
        </w:rPr>
        <w:t xml:space="preserve"> </w:t>
      </w:r>
      <w:proofErr w:type="spellStart"/>
      <w:r w:rsidRPr="00554EED">
        <w:rPr>
          <w:sz w:val="20"/>
          <w:szCs w:val="20"/>
        </w:rPr>
        <w:t>Lessons</w:t>
      </w:r>
      <w:proofErr w:type="spellEnd"/>
      <w:r w:rsidRPr="00554EED">
        <w:rPr>
          <w:sz w:val="20"/>
          <w:szCs w:val="20"/>
        </w:rPr>
        <w:t xml:space="preserve"> </w:t>
      </w:r>
      <w:proofErr w:type="spellStart"/>
      <w:r w:rsidRPr="00554EED">
        <w:rPr>
          <w:sz w:val="20"/>
          <w:szCs w:val="20"/>
        </w:rPr>
        <w:t>for</w:t>
      </w:r>
      <w:proofErr w:type="spellEnd"/>
      <w:r w:rsidRPr="00554EED">
        <w:rPr>
          <w:sz w:val="20"/>
          <w:szCs w:val="20"/>
        </w:rPr>
        <w:t xml:space="preserve"> </w:t>
      </w:r>
      <w:proofErr w:type="spellStart"/>
      <w:r w:rsidRPr="00554EED">
        <w:rPr>
          <w:sz w:val="20"/>
          <w:szCs w:val="20"/>
        </w:rPr>
        <w:t>the</w:t>
      </w:r>
      <w:proofErr w:type="spellEnd"/>
      <w:r w:rsidRPr="00554EED">
        <w:rPr>
          <w:sz w:val="20"/>
          <w:szCs w:val="20"/>
        </w:rPr>
        <w:t xml:space="preserve"> </w:t>
      </w:r>
      <w:proofErr w:type="spellStart"/>
      <w:r w:rsidRPr="00554EED">
        <w:rPr>
          <w:sz w:val="20"/>
          <w:szCs w:val="20"/>
        </w:rPr>
        <w:t>United</w:t>
      </w:r>
      <w:proofErr w:type="spellEnd"/>
      <w:r w:rsidRPr="00554EED">
        <w:rPr>
          <w:sz w:val="20"/>
          <w:szCs w:val="20"/>
        </w:rPr>
        <w:t xml:space="preserve"> </w:t>
      </w:r>
      <w:proofErr w:type="spellStart"/>
      <w:r w:rsidRPr="00554EED">
        <w:rPr>
          <w:sz w:val="20"/>
          <w:szCs w:val="20"/>
        </w:rPr>
        <w:t>States</w:t>
      </w:r>
      <w:proofErr w:type="spellEnd"/>
      <w:r w:rsidRPr="00554EED">
        <w:rPr>
          <w:sz w:val="20"/>
          <w:szCs w:val="20"/>
        </w:rPr>
        <w:t xml:space="preserve">” </w:t>
      </w:r>
      <w:hyperlink r:id="rId19" w:history="1">
        <w:r w:rsidRPr="00554EED">
          <w:rPr>
            <w:rStyle w:val="Hyperlink"/>
            <w:bCs/>
            <w:kern w:val="36"/>
            <w:sz w:val="20"/>
            <w:szCs w:val="20"/>
            <w:lang w:eastAsia="lv-LV"/>
          </w:rPr>
          <w:t>http://books.google.lv/books?id=sEr3ipZZ7yIC&amp;hl=lv&amp;source=gbs_navlinks_s</w:t>
        </w:r>
      </w:hyperlink>
      <w:r w:rsidRPr="00554EED">
        <w:rPr>
          <w:rStyle w:val="Hyperlink"/>
          <w:bCs/>
          <w:kern w:val="36"/>
          <w:sz w:val="20"/>
          <w:szCs w:val="20"/>
          <w:lang w:eastAsia="lv-LV"/>
        </w:rPr>
        <w:t xml:space="preserve">. </w:t>
      </w:r>
      <w:r>
        <w:rPr>
          <w:rStyle w:val="Hyperlink"/>
          <w:bCs/>
          <w:color w:val="auto"/>
          <w:kern w:val="36"/>
          <w:sz w:val="20"/>
          <w:szCs w:val="20"/>
          <w:u w:val="none"/>
          <w:lang w:eastAsia="lv-LV"/>
        </w:rPr>
        <w:t xml:space="preserve">  21 lpp.</w:t>
      </w:r>
    </w:p>
    <w:p w:rsidR="00401ED6" w:rsidRDefault="00401ED6" w:rsidP="007D37C0">
      <w:pPr>
        <w:pStyle w:val="FootnoteText"/>
        <w:jc w:val="both"/>
      </w:pPr>
      <w:r>
        <w:rPr>
          <w:rStyle w:val="FootnoteReference"/>
        </w:rPr>
        <w:footnoteRef/>
      </w:r>
      <w:r>
        <w:t xml:space="preserve"> OECD </w:t>
      </w:r>
      <w:proofErr w:type="spellStart"/>
      <w:r>
        <w:t>note</w:t>
      </w:r>
      <w:proofErr w:type="spellEnd"/>
      <w:r>
        <w:t xml:space="preserve"> „</w:t>
      </w:r>
      <w:proofErr w:type="spellStart"/>
      <w:r>
        <w:t>What</w:t>
      </w:r>
      <w:proofErr w:type="spellEnd"/>
      <w:r>
        <w:t xml:space="preserve"> </w:t>
      </w:r>
      <w:proofErr w:type="spellStart"/>
      <w:r>
        <w:t>are</w:t>
      </w:r>
      <w:proofErr w:type="spellEnd"/>
      <w:r>
        <w:t xml:space="preserve"> </w:t>
      </w:r>
      <w:proofErr w:type="spellStart"/>
      <w:r>
        <w:t>equivalence</w:t>
      </w:r>
      <w:proofErr w:type="spellEnd"/>
      <w:r>
        <w:t xml:space="preserve"> </w:t>
      </w:r>
      <w:proofErr w:type="spellStart"/>
      <w:r>
        <w:t>scales</w:t>
      </w:r>
      <w:proofErr w:type="spellEnd"/>
      <w:r>
        <w:t>?”. Skatīts 30.05.2014.</w:t>
      </w:r>
    </w:p>
  </w:footnote>
  <w:footnote w:id="58">
    <w:p w:rsidR="00401ED6" w:rsidRDefault="00401ED6" w:rsidP="007D37C0">
      <w:pPr>
        <w:pStyle w:val="FootnoteText"/>
        <w:jc w:val="both"/>
      </w:pPr>
      <w:r>
        <w:rPr>
          <w:rStyle w:val="FootnoteReference"/>
        </w:rPr>
        <w:footnoteRef/>
      </w:r>
      <w:r>
        <w:t xml:space="preserve"> </w:t>
      </w:r>
      <w:r w:rsidRPr="00554EED">
        <w:rPr>
          <w:rStyle w:val="hps"/>
        </w:rPr>
        <w:t xml:space="preserve">Pasaules Bankas pētījums </w:t>
      </w:r>
      <w:r w:rsidRPr="00554EED">
        <w:t>„Latvija: kurš ir bezdarbnieks, ekonomiski neaktīvais vai trūcīgais?”</w:t>
      </w:r>
      <w:r>
        <w:t>, 14 lpp</w:t>
      </w:r>
      <w:r w:rsidRPr="00554EED">
        <w:t xml:space="preserve">. Pieejams </w:t>
      </w:r>
      <w:hyperlink r:id="rId20" w:history="1">
        <w:r w:rsidRPr="007F49EB">
          <w:rPr>
            <w:rStyle w:val="Hyperlink"/>
          </w:rPr>
          <w:t>http://www.lm.gov.lv/upload/aktualitates/latvia_compwbs.pdf</w:t>
        </w:r>
      </w:hyperlink>
      <w:r w:rsidRPr="00554EED">
        <w:t>.</w:t>
      </w:r>
      <w:r>
        <w:t xml:space="preserve"> </w:t>
      </w:r>
      <w:r w:rsidRPr="00554EED">
        <w:t>Skatīts 08.07.2014.</w:t>
      </w:r>
    </w:p>
  </w:footnote>
  <w:footnote w:id="59">
    <w:p w:rsidR="00401ED6" w:rsidRPr="00A170B0" w:rsidRDefault="00401ED6" w:rsidP="00A170B0">
      <w:pPr>
        <w:jc w:val="both"/>
        <w:rPr>
          <w:sz w:val="20"/>
          <w:szCs w:val="20"/>
        </w:rPr>
      </w:pPr>
      <w:r w:rsidRPr="00A170B0">
        <w:rPr>
          <w:rStyle w:val="FootnoteReference"/>
          <w:sz w:val="20"/>
          <w:szCs w:val="20"/>
        </w:rPr>
        <w:footnoteRef/>
      </w:r>
      <w:r w:rsidRPr="00A170B0">
        <w:rPr>
          <w:sz w:val="20"/>
          <w:szCs w:val="20"/>
        </w:rPr>
        <w:t xml:space="preserve"> </w:t>
      </w:r>
      <w:proofErr w:type="spellStart"/>
      <w:r w:rsidRPr="00A170B0">
        <w:rPr>
          <w:sz w:val="20"/>
          <w:szCs w:val="20"/>
        </w:rPr>
        <w:t>Estivils</w:t>
      </w:r>
      <w:proofErr w:type="spellEnd"/>
      <w:r>
        <w:rPr>
          <w:sz w:val="20"/>
          <w:szCs w:val="20"/>
        </w:rPr>
        <w:t>,</w:t>
      </w:r>
      <w:r w:rsidRPr="00A170B0">
        <w:rPr>
          <w:sz w:val="20"/>
          <w:szCs w:val="20"/>
        </w:rPr>
        <w:t xml:space="preserve"> citēts pēc Lāce T., (2012)</w:t>
      </w:r>
      <w:r>
        <w:rPr>
          <w:sz w:val="20"/>
          <w:szCs w:val="20"/>
        </w:rPr>
        <w:t>.</w:t>
      </w:r>
      <w:r w:rsidRPr="00A170B0">
        <w:rPr>
          <w:sz w:val="20"/>
          <w:szCs w:val="20"/>
        </w:rPr>
        <w:t xml:space="preserve"> </w:t>
      </w:r>
      <w:r>
        <w:rPr>
          <w:sz w:val="20"/>
          <w:szCs w:val="20"/>
        </w:rPr>
        <w:t>„</w:t>
      </w:r>
      <w:r w:rsidRPr="00A170B0">
        <w:rPr>
          <w:sz w:val="20"/>
          <w:szCs w:val="20"/>
        </w:rPr>
        <w:t>Sociālā atstumtība Latvijā: situācijas raksturojums un politikas ana</w:t>
      </w:r>
      <w:r>
        <w:rPr>
          <w:sz w:val="20"/>
          <w:szCs w:val="20"/>
        </w:rPr>
        <w:t>līze. Monogrāfija Rīga: Zinātne”,</w:t>
      </w:r>
      <w:r w:rsidRPr="00A170B0">
        <w:rPr>
          <w:sz w:val="20"/>
          <w:szCs w:val="20"/>
        </w:rPr>
        <w:t xml:space="preserve"> 16</w:t>
      </w:r>
      <w:r>
        <w:rPr>
          <w:sz w:val="20"/>
          <w:szCs w:val="20"/>
        </w:rPr>
        <w:t xml:space="preserve"> lp.</w:t>
      </w:r>
    </w:p>
  </w:footnote>
  <w:footnote w:id="60">
    <w:p w:rsidR="00401ED6" w:rsidRDefault="00401ED6" w:rsidP="007D37C0">
      <w:pPr>
        <w:pStyle w:val="FootnoteText"/>
        <w:jc w:val="both"/>
      </w:pPr>
      <w:r>
        <w:rPr>
          <w:rStyle w:val="FootnoteReference"/>
        </w:rPr>
        <w:footnoteRef/>
      </w:r>
      <w:r>
        <w:t xml:space="preserve"> Sociālie transferti: </w:t>
      </w:r>
      <w:r w:rsidRPr="0067799F">
        <w:t>pensijas un pabalsti</w:t>
      </w:r>
      <w:r>
        <w:t xml:space="preserve"> (valsts, pašvaldību)</w:t>
      </w:r>
      <w:r w:rsidRPr="0067799F">
        <w:t>, izmaksātie uzturlīdzekļi bērniem, stipendijas, sociālās apdrošināšanas pabalsti un kompensāc</w:t>
      </w:r>
      <w:r>
        <w:t xml:space="preserve">ijas, tai skaitā arī citu valstu. Centrālās statistikas pārvaldes mājas lapa </w:t>
      </w:r>
      <w:hyperlink r:id="rId21" w:history="1">
        <w:r>
          <w:rPr>
            <w:rStyle w:val="Hyperlink"/>
          </w:rPr>
          <w:t>http://www.csb.gov.lv/statistikas-temas/termini/socialie-transferti-36002.html</w:t>
        </w:r>
      </w:hyperlink>
      <w:r>
        <w:t xml:space="preserve">. Skatīts 30.05.2014. </w:t>
      </w:r>
    </w:p>
  </w:footnote>
  <w:footnote w:id="61">
    <w:p w:rsidR="00401ED6" w:rsidRPr="004154F7" w:rsidRDefault="00401ED6" w:rsidP="001E7206">
      <w:pPr>
        <w:pStyle w:val="FootnoteText"/>
        <w:jc w:val="both"/>
        <w:rPr>
          <w:strike/>
        </w:rPr>
      </w:pPr>
      <w:r w:rsidRPr="001E7206">
        <w:rPr>
          <w:rStyle w:val="FootnoteReference"/>
        </w:rPr>
        <w:footnoteRef/>
      </w:r>
      <w:r w:rsidRPr="001E7206">
        <w:t xml:space="preserve"> </w:t>
      </w:r>
      <w:r w:rsidRPr="001E7206">
        <w:rPr>
          <w:sz w:val="18"/>
          <w:szCs w:val="18"/>
          <w:lang w:eastAsia="lv-LV"/>
        </w:rPr>
        <w:t xml:space="preserve">Vecuma pensijas, invaliditātes pensijas, apgādnieka zaudējuma </w:t>
      </w:r>
      <w:r>
        <w:rPr>
          <w:sz w:val="18"/>
          <w:szCs w:val="18"/>
          <w:lang w:eastAsia="lv-LV"/>
        </w:rPr>
        <w:t>pensijas</w:t>
      </w:r>
      <w:r w:rsidRPr="001E7206">
        <w:rPr>
          <w:sz w:val="18"/>
          <w:szCs w:val="18"/>
          <w:lang w:eastAsia="lv-LV"/>
        </w:rPr>
        <w:t>, slimības pabalsts, apbedīšanas pabalsts, darbā nodarītā kaitējuma atlīdzība, bezdarbnieka pabalsts, maternitātes pabalsts, paternitātes pabalsts, vecāku pabalsts, atlīdzība par darbspēju zaudējumu; atlīdzība par apgādnieka zaudējumu, pārējie pabalsti, tai skaitā: pabalsts pensijas saņēmēja nāves gadījumā pārdzīvojušam laulātajam, Augstākās Padomes deputātu pensijas, pensijas saskaņā ar speciāliem lēmumiem, izdienas pensijas, kaitējuma atlīdzība Černobiļas AES avārija</w:t>
      </w:r>
      <w:r>
        <w:rPr>
          <w:sz w:val="18"/>
          <w:szCs w:val="18"/>
          <w:lang w:eastAsia="lv-LV"/>
        </w:rPr>
        <w:t>s rezultātā cietušajām personām</w:t>
      </w:r>
      <w:r w:rsidRPr="001E7206">
        <w:rPr>
          <w:sz w:val="18"/>
          <w:szCs w:val="18"/>
          <w:lang w:eastAsia="lv-LV"/>
        </w:rPr>
        <w:t>.</w:t>
      </w:r>
    </w:p>
  </w:footnote>
  <w:footnote w:id="62">
    <w:p w:rsidR="00401ED6" w:rsidRPr="00267A82" w:rsidRDefault="00401ED6" w:rsidP="001E7206">
      <w:pPr>
        <w:pStyle w:val="FootnoteText"/>
        <w:jc w:val="both"/>
        <w:rPr>
          <w:sz w:val="18"/>
          <w:szCs w:val="18"/>
        </w:rPr>
      </w:pPr>
      <w:r w:rsidRPr="00267A82">
        <w:rPr>
          <w:rStyle w:val="FootnoteReference"/>
          <w:sz w:val="18"/>
          <w:szCs w:val="18"/>
        </w:rPr>
        <w:footnoteRef/>
      </w:r>
      <w:r w:rsidRPr="00267A82">
        <w:rPr>
          <w:sz w:val="18"/>
          <w:szCs w:val="18"/>
        </w:rPr>
        <w:t xml:space="preserve"> </w:t>
      </w:r>
      <w:r>
        <w:rPr>
          <w:sz w:val="18"/>
          <w:szCs w:val="18"/>
          <w:lang w:eastAsia="lv-LV"/>
        </w:rPr>
        <w:t>B</w:t>
      </w:r>
      <w:r w:rsidRPr="006459D5">
        <w:rPr>
          <w:sz w:val="18"/>
          <w:szCs w:val="18"/>
          <w:lang w:eastAsia="lv-LV"/>
        </w:rPr>
        <w:t>ērnu kopšanas pabalsts</w:t>
      </w:r>
      <w:r w:rsidRPr="00267A82">
        <w:rPr>
          <w:sz w:val="18"/>
          <w:szCs w:val="18"/>
          <w:lang w:eastAsia="lv-LV"/>
        </w:rPr>
        <w:t xml:space="preserve"> (t.sk. b</w:t>
      </w:r>
      <w:r w:rsidRPr="006459D5">
        <w:rPr>
          <w:sz w:val="18"/>
          <w:szCs w:val="18"/>
          <w:lang w:eastAsia="lv-LV"/>
        </w:rPr>
        <w:t>ērna invalīda kopšanas pabalsts</w:t>
      </w:r>
      <w:r w:rsidRPr="00267A82">
        <w:rPr>
          <w:sz w:val="18"/>
          <w:szCs w:val="18"/>
          <w:lang w:eastAsia="lv-LV"/>
        </w:rPr>
        <w:t>), ģ</w:t>
      </w:r>
      <w:r w:rsidRPr="006459D5">
        <w:rPr>
          <w:sz w:val="18"/>
          <w:szCs w:val="18"/>
          <w:lang w:eastAsia="lv-LV"/>
        </w:rPr>
        <w:t>imenes valsts pabalsts</w:t>
      </w:r>
      <w:r>
        <w:rPr>
          <w:sz w:val="18"/>
          <w:szCs w:val="18"/>
          <w:lang w:eastAsia="lv-LV"/>
        </w:rPr>
        <w:t>,</w:t>
      </w:r>
      <w:r w:rsidRPr="00267A82">
        <w:rPr>
          <w:sz w:val="18"/>
          <w:szCs w:val="18"/>
          <w:lang w:eastAsia="lv-LV"/>
        </w:rPr>
        <w:t xml:space="preserve"> p</w:t>
      </w:r>
      <w:r w:rsidRPr="006459D5">
        <w:rPr>
          <w:sz w:val="18"/>
          <w:szCs w:val="18"/>
          <w:lang w:eastAsia="lv-LV"/>
        </w:rPr>
        <w:t>iemaksa pie ģimenes valsts pabalsta par bērnu invalīdu</w:t>
      </w:r>
      <w:r>
        <w:rPr>
          <w:sz w:val="18"/>
          <w:szCs w:val="18"/>
          <w:lang w:eastAsia="lv-LV"/>
        </w:rPr>
        <w:t>,</w:t>
      </w:r>
      <w:r w:rsidRPr="00267A82">
        <w:rPr>
          <w:sz w:val="18"/>
          <w:szCs w:val="18"/>
          <w:lang w:eastAsia="lv-LV"/>
        </w:rPr>
        <w:t xml:space="preserve"> b</w:t>
      </w:r>
      <w:r w:rsidRPr="006459D5">
        <w:rPr>
          <w:sz w:val="18"/>
          <w:szCs w:val="18"/>
          <w:lang w:eastAsia="lv-LV"/>
        </w:rPr>
        <w:t>ērna piedzimšanas pabalsts</w:t>
      </w:r>
      <w:r w:rsidRPr="00267A82">
        <w:rPr>
          <w:sz w:val="18"/>
          <w:szCs w:val="18"/>
          <w:lang w:eastAsia="lv-LV"/>
        </w:rPr>
        <w:t>, v</w:t>
      </w:r>
      <w:r w:rsidRPr="006459D5">
        <w:rPr>
          <w:sz w:val="18"/>
          <w:szCs w:val="18"/>
          <w:lang w:eastAsia="lv-LV"/>
        </w:rPr>
        <w:t>alsts sociālā nodrošinājuma pabalsts</w:t>
      </w:r>
      <w:r w:rsidRPr="00267A82">
        <w:rPr>
          <w:sz w:val="18"/>
          <w:szCs w:val="18"/>
          <w:lang w:eastAsia="lv-LV"/>
        </w:rPr>
        <w:t>, p</w:t>
      </w:r>
      <w:r w:rsidRPr="006459D5">
        <w:rPr>
          <w:sz w:val="18"/>
          <w:szCs w:val="18"/>
          <w:lang w:eastAsia="lv-LV"/>
        </w:rPr>
        <w:t>abalsts un atlīdzība aizbildnim un audžuģimenei</w:t>
      </w:r>
      <w:r w:rsidRPr="00267A82">
        <w:rPr>
          <w:sz w:val="18"/>
          <w:szCs w:val="18"/>
          <w:lang w:eastAsia="lv-LV"/>
        </w:rPr>
        <w:t xml:space="preserve"> (</w:t>
      </w:r>
      <w:r w:rsidRPr="006459D5">
        <w:rPr>
          <w:i/>
          <w:iCs/>
          <w:sz w:val="18"/>
          <w:szCs w:val="18"/>
          <w:lang w:eastAsia="lv-LV"/>
        </w:rPr>
        <w:t>tai skaitā:</w:t>
      </w:r>
      <w:r w:rsidRPr="00267A82">
        <w:rPr>
          <w:i/>
          <w:iCs/>
          <w:sz w:val="18"/>
          <w:szCs w:val="18"/>
          <w:lang w:eastAsia="lv-LV"/>
        </w:rPr>
        <w:t xml:space="preserve"> </w:t>
      </w:r>
      <w:r w:rsidRPr="00267A82">
        <w:rPr>
          <w:sz w:val="18"/>
          <w:szCs w:val="18"/>
          <w:lang w:eastAsia="lv-LV"/>
        </w:rPr>
        <w:t>p</w:t>
      </w:r>
      <w:r w:rsidRPr="006459D5">
        <w:rPr>
          <w:sz w:val="18"/>
          <w:szCs w:val="18"/>
          <w:lang w:eastAsia="lv-LV"/>
        </w:rPr>
        <w:t>abalsts aizbildnim par bērna uzturēšanu</w:t>
      </w:r>
      <w:r w:rsidRPr="00267A82">
        <w:rPr>
          <w:sz w:val="18"/>
          <w:szCs w:val="18"/>
          <w:lang w:eastAsia="lv-LV"/>
        </w:rPr>
        <w:t>, a</w:t>
      </w:r>
      <w:r w:rsidRPr="006459D5">
        <w:rPr>
          <w:sz w:val="18"/>
          <w:szCs w:val="18"/>
          <w:lang w:eastAsia="lv-LV"/>
        </w:rPr>
        <w:t>tlīdzība par aizbildņa pienākumu pildīšanu</w:t>
      </w:r>
      <w:r w:rsidRPr="00267A82">
        <w:rPr>
          <w:sz w:val="18"/>
          <w:szCs w:val="18"/>
          <w:lang w:eastAsia="lv-LV"/>
        </w:rPr>
        <w:t>, a</w:t>
      </w:r>
      <w:r w:rsidRPr="006459D5">
        <w:rPr>
          <w:sz w:val="18"/>
          <w:szCs w:val="18"/>
          <w:lang w:eastAsia="lv-LV"/>
        </w:rPr>
        <w:t>tlīdzība par audžuģimenes pienākumu pildīšanu</w:t>
      </w:r>
      <w:r>
        <w:rPr>
          <w:sz w:val="18"/>
          <w:szCs w:val="18"/>
          <w:lang w:eastAsia="lv-LV"/>
        </w:rPr>
        <w:t>)</w:t>
      </w:r>
      <w:r w:rsidRPr="00267A82">
        <w:rPr>
          <w:sz w:val="18"/>
          <w:szCs w:val="18"/>
          <w:lang w:eastAsia="lv-LV"/>
        </w:rPr>
        <w:t>, p</w:t>
      </w:r>
      <w:r w:rsidRPr="006459D5">
        <w:rPr>
          <w:sz w:val="18"/>
          <w:szCs w:val="18"/>
          <w:lang w:eastAsia="lv-LV"/>
        </w:rPr>
        <w:t>abalsts invalīdam, kuram nepieciešama īpaša kopšana</w:t>
      </w:r>
      <w:r w:rsidRPr="00267A82">
        <w:rPr>
          <w:sz w:val="18"/>
          <w:szCs w:val="18"/>
          <w:lang w:eastAsia="lv-LV"/>
        </w:rPr>
        <w:t>, p</w:t>
      </w:r>
      <w:r w:rsidRPr="006459D5">
        <w:rPr>
          <w:sz w:val="18"/>
          <w:szCs w:val="18"/>
          <w:lang w:eastAsia="lv-LV"/>
        </w:rPr>
        <w:t>ārējie pabalsti un kompensācijas</w:t>
      </w:r>
      <w:r w:rsidRPr="00267A82">
        <w:rPr>
          <w:sz w:val="18"/>
          <w:szCs w:val="18"/>
          <w:lang w:eastAsia="lv-LV"/>
        </w:rPr>
        <w:t xml:space="preserve">, </w:t>
      </w:r>
      <w:r>
        <w:rPr>
          <w:i/>
          <w:iCs/>
          <w:sz w:val="18"/>
          <w:szCs w:val="18"/>
          <w:lang w:eastAsia="lv-LV"/>
        </w:rPr>
        <w:t>t.sk.</w:t>
      </w:r>
      <w:r w:rsidRPr="006459D5">
        <w:rPr>
          <w:i/>
          <w:iCs/>
          <w:sz w:val="18"/>
          <w:szCs w:val="18"/>
          <w:lang w:eastAsia="lv-LV"/>
        </w:rPr>
        <w:t>:</w:t>
      </w:r>
      <w:r w:rsidRPr="00267A82">
        <w:rPr>
          <w:i/>
          <w:iCs/>
          <w:sz w:val="18"/>
          <w:szCs w:val="18"/>
          <w:lang w:eastAsia="lv-LV"/>
        </w:rPr>
        <w:t xml:space="preserve"> </w:t>
      </w:r>
      <w:r w:rsidRPr="00267A82">
        <w:rPr>
          <w:sz w:val="18"/>
          <w:szCs w:val="18"/>
          <w:lang w:eastAsia="lv-LV"/>
        </w:rPr>
        <w:t>v</w:t>
      </w:r>
      <w:r w:rsidRPr="006459D5">
        <w:rPr>
          <w:sz w:val="18"/>
          <w:szCs w:val="18"/>
          <w:lang w:eastAsia="lv-LV"/>
        </w:rPr>
        <w:t xml:space="preserve">alsts sociālais pabalsts Černobiļas AES </w:t>
      </w:r>
      <w:r w:rsidRPr="00267A82">
        <w:rPr>
          <w:sz w:val="18"/>
          <w:szCs w:val="18"/>
          <w:lang w:eastAsia="lv-LV"/>
        </w:rPr>
        <w:t>avārijas</w:t>
      </w:r>
      <w:r w:rsidRPr="006459D5">
        <w:rPr>
          <w:sz w:val="18"/>
          <w:szCs w:val="18"/>
          <w:lang w:eastAsia="lv-LV"/>
        </w:rPr>
        <w:t xml:space="preserve"> seku likvidēšanas dalībniekiem un mirušo Černobiļas AES avārijas seku likvidēšanas dalībnieku ģimenēm</w:t>
      </w:r>
      <w:r w:rsidRPr="00267A82">
        <w:rPr>
          <w:sz w:val="18"/>
          <w:szCs w:val="18"/>
          <w:lang w:eastAsia="lv-LV"/>
        </w:rPr>
        <w:t>, p</w:t>
      </w:r>
      <w:r w:rsidRPr="006459D5">
        <w:rPr>
          <w:sz w:val="18"/>
          <w:szCs w:val="18"/>
          <w:lang w:eastAsia="lv-LV"/>
        </w:rPr>
        <w:t>abalsts transporta izdevumu kompensēšanai invalīdiem, kuriem ir pārvietošanās grūtības</w:t>
      </w:r>
      <w:r w:rsidRPr="00267A82">
        <w:rPr>
          <w:sz w:val="18"/>
          <w:szCs w:val="18"/>
          <w:lang w:eastAsia="lv-LV"/>
        </w:rPr>
        <w:t>, v</w:t>
      </w:r>
      <w:r w:rsidRPr="006459D5">
        <w:rPr>
          <w:sz w:val="18"/>
          <w:szCs w:val="18"/>
          <w:lang w:eastAsia="lv-LV"/>
        </w:rPr>
        <w:t>alsts speciālais pabalsts Latvijas neatkarības atgūšanas procesā bojāgājušo personu bērniem</w:t>
      </w:r>
      <w:r w:rsidRPr="00267A82">
        <w:rPr>
          <w:sz w:val="18"/>
          <w:szCs w:val="18"/>
          <w:lang w:eastAsia="lv-LV"/>
        </w:rPr>
        <w:t>, p</w:t>
      </w:r>
      <w:r w:rsidRPr="006459D5">
        <w:rPr>
          <w:sz w:val="18"/>
          <w:szCs w:val="18"/>
          <w:lang w:eastAsia="lv-LV"/>
        </w:rPr>
        <w:t>abalsts ar celiakiju slimiem bērniem</w:t>
      </w:r>
      <w:r w:rsidRPr="00267A82">
        <w:rPr>
          <w:sz w:val="18"/>
          <w:szCs w:val="18"/>
          <w:lang w:eastAsia="lv-LV"/>
        </w:rPr>
        <w:t>, a</w:t>
      </w:r>
      <w:r w:rsidRPr="006459D5">
        <w:rPr>
          <w:sz w:val="18"/>
          <w:szCs w:val="18"/>
          <w:lang w:eastAsia="lv-LV"/>
        </w:rPr>
        <w:t>pbedīšanas pabalsts</w:t>
      </w:r>
      <w:r w:rsidRPr="00267A82">
        <w:rPr>
          <w:sz w:val="18"/>
          <w:szCs w:val="18"/>
          <w:lang w:eastAsia="lv-LV"/>
        </w:rPr>
        <w:t>, a</w:t>
      </w:r>
      <w:r w:rsidRPr="006459D5">
        <w:rPr>
          <w:sz w:val="18"/>
          <w:szCs w:val="18"/>
          <w:lang w:eastAsia="lv-LV"/>
        </w:rPr>
        <w:t>tlīdzība par adopciju</w:t>
      </w:r>
      <w:r w:rsidRPr="00267A82">
        <w:rPr>
          <w:sz w:val="18"/>
          <w:szCs w:val="18"/>
          <w:lang w:eastAsia="lv-LV"/>
        </w:rPr>
        <w:t>, a</w:t>
      </w:r>
      <w:r w:rsidRPr="006459D5">
        <w:rPr>
          <w:sz w:val="18"/>
          <w:szCs w:val="18"/>
          <w:lang w:eastAsia="lv-LV"/>
        </w:rPr>
        <w:t>tlīdzība par adoptējamā bērna aprūpi</w:t>
      </w:r>
      <w:r>
        <w:rPr>
          <w:sz w:val="18"/>
          <w:szCs w:val="18"/>
          <w:lang w:eastAsia="lv-LV"/>
        </w:rPr>
        <w:t xml:space="preserve">. </w:t>
      </w:r>
    </w:p>
  </w:footnote>
  <w:footnote w:id="63">
    <w:p w:rsidR="00401ED6" w:rsidRPr="006050C0" w:rsidRDefault="00401ED6" w:rsidP="006050C0">
      <w:pPr>
        <w:jc w:val="both"/>
        <w:rPr>
          <w:rFonts w:ascii="Arial" w:hAnsi="Arial" w:cs="Arial"/>
          <w:sz w:val="16"/>
          <w:szCs w:val="16"/>
        </w:rPr>
      </w:pPr>
      <w:r w:rsidRPr="006050C0">
        <w:rPr>
          <w:rStyle w:val="FootnoteReference"/>
          <w:sz w:val="18"/>
          <w:szCs w:val="18"/>
        </w:rPr>
        <w:footnoteRef/>
      </w:r>
      <w:r w:rsidRPr="006050C0">
        <w:rPr>
          <w:sz w:val="18"/>
          <w:szCs w:val="18"/>
        </w:rPr>
        <w:t xml:space="preserve"> </w:t>
      </w:r>
      <w:r>
        <w:rPr>
          <w:sz w:val="18"/>
          <w:szCs w:val="18"/>
        </w:rPr>
        <w:t xml:space="preserve">Sociālās palīdzības pabalsti, kas izmaksāti, </w:t>
      </w:r>
      <w:r w:rsidRPr="001E7206">
        <w:rPr>
          <w:sz w:val="18"/>
          <w:szCs w:val="18"/>
          <w:u w:val="single"/>
        </w:rPr>
        <w:t>pamatojoties uz personas ienākumu izvērtējumu</w:t>
      </w:r>
      <w:r>
        <w:rPr>
          <w:sz w:val="18"/>
          <w:szCs w:val="18"/>
        </w:rPr>
        <w:t>: p</w:t>
      </w:r>
      <w:r w:rsidRPr="006050C0">
        <w:rPr>
          <w:sz w:val="18"/>
          <w:szCs w:val="18"/>
        </w:rPr>
        <w:t>abalsts GMI līmeņa nodrošināšanai, dzīvokļa pabalsts, pašvaldības saistošajos noteikumos noteiktie citi sociālās palīdzības pabalsti ģimenes (personas) pamatvajadzību nodrošināšanai</w:t>
      </w:r>
      <w:r>
        <w:rPr>
          <w:sz w:val="18"/>
          <w:szCs w:val="18"/>
        </w:rPr>
        <w:t xml:space="preserve"> (ēdienam, apģērbam, veselības aprūpei, obligātajai izglītībai). Vienreizējs pabalsts ārkārtas situācijā un pārējie pašvaldību izmaksātie </w:t>
      </w:r>
      <w:r w:rsidRPr="001E7206">
        <w:rPr>
          <w:sz w:val="18"/>
          <w:szCs w:val="18"/>
          <w:u w:val="single"/>
        </w:rPr>
        <w:t>pabalsti, kas izmaksāti bez ienākumu izvērtējuma</w:t>
      </w:r>
      <w:r>
        <w:rPr>
          <w:sz w:val="18"/>
          <w:szCs w:val="18"/>
        </w:rPr>
        <w:t xml:space="preserve">: pabalsts </w:t>
      </w:r>
      <w:r w:rsidRPr="00C6710D">
        <w:rPr>
          <w:sz w:val="18"/>
          <w:szCs w:val="18"/>
        </w:rPr>
        <w:t>bārenim un bez vecāku gādības palikušam bērnam pēc ārpusģimenes aprūpes beigšanās</w:t>
      </w:r>
      <w:r>
        <w:rPr>
          <w:sz w:val="18"/>
          <w:szCs w:val="18"/>
        </w:rPr>
        <w:t xml:space="preserve"> (</w:t>
      </w:r>
      <w:r w:rsidRPr="00C6710D">
        <w:rPr>
          <w:sz w:val="18"/>
          <w:szCs w:val="18"/>
        </w:rPr>
        <w:t>vienreizējs pabalsts patstāvīgas dzīves uzsākšanai</w:t>
      </w:r>
      <w:r>
        <w:rPr>
          <w:sz w:val="18"/>
          <w:szCs w:val="18"/>
        </w:rPr>
        <w:t xml:space="preserve">, </w:t>
      </w:r>
      <w:r w:rsidRPr="00C6710D">
        <w:rPr>
          <w:sz w:val="18"/>
          <w:szCs w:val="18"/>
        </w:rPr>
        <w:t>vienreizējs pabalsts sadzīves priekšmetu un mīkstā inventāra iegādei</w:t>
      </w:r>
      <w:r>
        <w:rPr>
          <w:sz w:val="18"/>
          <w:szCs w:val="18"/>
        </w:rPr>
        <w:t xml:space="preserve">, </w:t>
      </w:r>
      <w:r w:rsidRPr="00C6710D">
        <w:rPr>
          <w:sz w:val="18"/>
          <w:szCs w:val="18"/>
        </w:rPr>
        <w:t>dzīvojamās telpas ikmēneša īres izdevumu segšanai</w:t>
      </w:r>
      <w:r>
        <w:rPr>
          <w:sz w:val="18"/>
          <w:szCs w:val="18"/>
        </w:rPr>
        <w:t xml:space="preserve">, </w:t>
      </w:r>
      <w:r w:rsidRPr="00C6710D">
        <w:rPr>
          <w:sz w:val="18"/>
          <w:szCs w:val="18"/>
        </w:rPr>
        <w:t>ikmēneša izdevumu segšana, ja persona turpina mācības</w:t>
      </w:r>
      <w:r>
        <w:rPr>
          <w:sz w:val="18"/>
          <w:szCs w:val="18"/>
        </w:rPr>
        <w:t xml:space="preserve">, </w:t>
      </w:r>
      <w:r w:rsidRPr="00C6710D">
        <w:rPr>
          <w:sz w:val="18"/>
          <w:szCs w:val="18"/>
        </w:rPr>
        <w:t>psihosociāls un materiāls atbalsts pilngadību sasniegušā bērna integrēšanai sabiedrībā</w:t>
      </w:r>
      <w:r>
        <w:rPr>
          <w:sz w:val="18"/>
          <w:szCs w:val="18"/>
        </w:rPr>
        <w:t xml:space="preserve">, </w:t>
      </w:r>
      <w:r w:rsidRPr="00C6710D">
        <w:rPr>
          <w:sz w:val="18"/>
          <w:szCs w:val="18"/>
        </w:rPr>
        <w:t>pabalsts audžuģimenei</w:t>
      </w:r>
      <w:r>
        <w:rPr>
          <w:sz w:val="18"/>
          <w:szCs w:val="18"/>
        </w:rPr>
        <w:t xml:space="preserve">, </w:t>
      </w:r>
      <w:r w:rsidRPr="00C6710D">
        <w:rPr>
          <w:sz w:val="18"/>
          <w:szCs w:val="18"/>
        </w:rPr>
        <w:t>ikmēneša pabalsts bērna uzturam</w:t>
      </w:r>
      <w:r>
        <w:rPr>
          <w:sz w:val="18"/>
          <w:szCs w:val="18"/>
        </w:rPr>
        <w:t>), citi atbalsta pasākumi un kompensācijas iedzīvotājiem.</w:t>
      </w:r>
    </w:p>
  </w:footnote>
  <w:footnote w:id="64">
    <w:p w:rsidR="00401ED6" w:rsidRDefault="00401ED6" w:rsidP="00C95976">
      <w:pPr>
        <w:pStyle w:val="FootnoteText"/>
        <w:jc w:val="both"/>
      </w:pPr>
      <w:r>
        <w:rPr>
          <w:rStyle w:val="FootnoteReference"/>
        </w:rPr>
        <w:footnoteRef/>
      </w:r>
      <w:r>
        <w:t xml:space="preserve"> Saskaņā ar Sociālo pakalpojumu un sociālās palīdzības likumu, sociālā palīdzība ir naudas vai mantisks pabalsts, kuru piešķiršana balstās uz materiālo resursu novērtēšanu personām (ģimenēm), kurām trūkst līdzekļu pamatvajadzību apmierināšanai (1.panta 17.punkts).  </w:t>
      </w:r>
    </w:p>
  </w:footnote>
  <w:footnote w:id="65">
    <w:p w:rsidR="00401ED6" w:rsidRDefault="00401ED6" w:rsidP="00947B0B">
      <w:pPr>
        <w:pStyle w:val="FootnoteText"/>
        <w:jc w:val="both"/>
      </w:pPr>
      <w:r>
        <w:rPr>
          <w:rStyle w:val="FootnoteReference"/>
        </w:rPr>
        <w:footnoteRef/>
      </w:r>
      <w:r>
        <w:t xml:space="preserve"> </w:t>
      </w:r>
      <w:r w:rsidRPr="00B731CE">
        <w:rPr>
          <w:lang w:val="cs-CZ"/>
        </w:rPr>
        <w:t>„Sākotnējās ietekmes (ex-ante) novērtējums par iecerētajām strukturālajām reformām sociālās palīdzības politikas jomā“ (2014), SIA „KPMG Baltics“</w:t>
      </w:r>
      <w:r>
        <w:rPr>
          <w:lang w:val="cs-CZ"/>
        </w:rPr>
        <w:t xml:space="preserve">; „Gala ziņojums </w:t>
      </w:r>
      <w:r w:rsidRPr="00B62D84">
        <w:t xml:space="preserve">gala ziņojums par </w:t>
      </w:r>
      <w:proofErr w:type="spellStart"/>
      <w:r w:rsidRPr="00B62D84">
        <w:t>optimālākajiem</w:t>
      </w:r>
      <w:proofErr w:type="spellEnd"/>
      <w:r w:rsidRPr="00B62D84">
        <w:t xml:space="preserve"> risinājuma variantiem sociālās palīdzības sistēmas izmaiņām un no pārējām sistēmām nepieciešamajiem atbalsta pasākumiem un piedāvāto variantu ietekmes uz valsts un pašvaldību budžetiem novērtējums</w:t>
      </w:r>
      <w:r>
        <w:t>”, 8.</w:t>
      </w:r>
      <w:r>
        <w:rPr>
          <w:lang w:val="cs-CZ"/>
        </w:rPr>
        <w:t>lpp</w:t>
      </w:r>
      <w:r w:rsidRPr="00B731CE">
        <w:rPr>
          <w:lang w:val="cs-CZ"/>
        </w:rPr>
        <w:t xml:space="preserve">. </w:t>
      </w:r>
      <w:r w:rsidRPr="00B731CE">
        <w:t xml:space="preserve">Pieejams LM mājas lapā, sekojot šai vietnei </w:t>
      </w:r>
      <w:hyperlink r:id="rId22" w:history="1">
        <w:r w:rsidRPr="00B731CE">
          <w:rPr>
            <w:rStyle w:val="Hyperlink"/>
          </w:rPr>
          <w:t>http://www.lm.gov.lv/text/2744</w:t>
        </w:r>
      </w:hyperlink>
      <w:r w:rsidRPr="00B731CE">
        <w:t xml:space="preserve">. </w:t>
      </w:r>
    </w:p>
  </w:footnote>
  <w:footnote w:id="66">
    <w:p w:rsidR="00401ED6" w:rsidRDefault="00401ED6" w:rsidP="001A3ED8">
      <w:pPr>
        <w:pStyle w:val="FootnoteText"/>
        <w:jc w:val="both"/>
      </w:pPr>
      <w:r>
        <w:rPr>
          <w:rStyle w:val="FootnoteReference"/>
        </w:rPr>
        <w:footnoteRef/>
      </w:r>
      <w:r>
        <w:t xml:space="preserve"> </w:t>
      </w:r>
      <w:proofErr w:type="spellStart"/>
      <w:r w:rsidRPr="003369AA">
        <w:t>Kvintile</w:t>
      </w:r>
      <w:proofErr w:type="spellEnd"/>
      <w:r w:rsidRPr="003369AA">
        <w:t xml:space="preserve"> (EU-SILC apsekojums) - viena piektā daļa (20%) no apsekoto mājsaimniecību skaita, kuras sagrupētas pieaugošā secībā pēc to rīcībā esošajiem ienākumiem uz vienu mājsaimniecības locekli.</w:t>
      </w:r>
    </w:p>
  </w:footnote>
  <w:footnote w:id="67">
    <w:p w:rsidR="00401ED6" w:rsidRDefault="00401ED6" w:rsidP="00371968">
      <w:pPr>
        <w:pStyle w:val="FootnoteText"/>
        <w:jc w:val="both"/>
      </w:pPr>
      <w:r>
        <w:rPr>
          <w:rStyle w:val="FootnoteReference"/>
        </w:rPr>
        <w:footnoteRef/>
      </w:r>
      <w:r>
        <w:t xml:space="preserve"> </w:t>
      </w:r>
      <w:r w:rsidRPr="00554EED">
        <w:rPr>
          <w:rStyle w:val="hps"/>
        </w:rPr>
        <w:t xml:space="preserve">Pasaules Bankas pētījums </w:t>
      </w:r>
      <w:r w:rsidRPr="00554EED">
        <w:t>„Latvija: kurš ir bezdarbnieks, ekonomiski neaktīvais vai trūcīgais?”</w:t>
      </w:r>
      <w:r>
        <w:t>, 11 lpp</w:t>
      </w:r>
      <w:r w:rsidRPr="00554EED">
        <w:t xml:space="preserve">. Pieejams </w:t>
      </w:r>
      <w:hyperlink r:id="rId23" w:history="1">
        <w:r w:rsidRPr="007F49EB">
          <w:rPr>
            <w:rStyle w:val="Hyperlink"/>
          </w:rPr>
          <w:t>http://www.lm.gov.lv/upload/aktualitates/latvia_compwbs.pdf</w:t>
        </w:r>
      </w:hyperlink>
      <w:r w:rsidRPr="00554EED">
        <w:t>.</w:t>
      </w:r>
      <w:r>
        <w:t xml:space="preserve"> </w:t>
      </w:r>
      <w:r w:rsidRPr="00554EED">
        <w:t>Skatīts 08.07.2014.</w:t>
      </w:r>
    </w:p>
  </w:footnote>
  <w:footnote w:id="68">
    <w:p w:rsidR="00401ED6" w:rsidRDefault="00401ED6">
      <w:pPr>
        <w:pStyle w:val="FootnoteText"/>
      </w:pPr>
      <w:r>
        <w:rPr>
          <w:rStyle w:val="FootnoteReference"/>
        </w:rPr>
        <w:footnoteRef/>
      </w:r>
      <w:r>
        <w:t xml:space="preserve"> Turpat, 109 lpp. </w:t>
      </w:r>
    </w:p>
  </w:footnote>
  <w:footnote w:id="69">
    <w:p w:rsidR="00401ED6" w:rsidRDefault="00401ED6" w:rsidP="009F75E6">
      <w:pPr>
        <w:pStyle w:val="FootnoteText"/>
      </w:pPr>
      <w:r>
        <w:rPr>
          <w:rStyle w:val="FootnoteReference"/>
        </w:rPr>
        <w:footnoteRef/>
      </w:r>
      <w:r>
        <w:t xml:space="preserve"> Turpat, 15 lpp.</w:t>
      </w:r>
    </w:p>
  </w:footnote>
  <w:footnote w:id="70">
    <w:p w:rsidR="00401ED6" w:rsidRPr="00501601" w:rsidRDefault="00401ED6" w:rsidP="00502E3A">
      <w:pPr>
        <w:autoSpaceDE w:val="0"/>
        <w:autoSpaceDN w:val="0"/>
        <w:adjustRightInd w:val="0"/>
        <w:jc w:val="both"/>
        <w:rPr>
          <w:sz w:val="20"/>
          <w:szCs w:val="20"/>
        </w:rPr>
      </w:pPr>
      <w:r>
        <w:rPr>
          <w:rStyle w:val="FootnoteReference"/>
        </w:rPr>
        <w:footnoteRef/>
      </w:r>
      <w:r>
        <w:t xml:space="preserve"> </w:t>
      </w:r>
      <w:proofErr w:type="spellStart"/>
      <w:r w:rsidRPr="00501601">
        <w:rPr>
          <w:sz w:val="20"/>
          <w:szCs w:val="20"/>
        </w:rPr>
        <w:t>Hoeller</w:t>
      </w:r>
      <w:proofErr w:type="spellEnd"/>
      <w:r w:rsidRPr="00501601">
        <w:rPr>
          <w:sz w:val="20"/>
          <w:szCs w:val="20"/>
        </w:rPr>
        <w:t xml:space="preserve">, P. </w:t>
      </w:r>
      <w:proofErr w:type="spellStart"/>
      <w:r w:rsidRPr="00501601">
        <w:rPr>
          <w:i/>
          <w:iCs/>
          <w:sz w:val="20"/>
          <w:szCs w:val="20"/>
        </w:rPr>
        <w:t>et</w:t>
      </w:r>
      <w:proofErr w:type="spellEnd"/>
      <w:r w:rsidRPr="00501601">
        <w:rPr>
          <w:i/>
          <w:iCs/>
          <w:sz w:val="20"/>
          <w:szCs w:val="20"/>
        </w:rPr>
        <w:t xml:space="preserve"> </w:t>
      </w:r>
      <w:proofErr w:type="spellStart"/>
      <w:r w:rsidRPr="00501601">
        <w:rPr>
          <w:i/>
          <w:iCs/>
          <w:sz w:val="20"/>
          <w:szCs w:val="20"/>
        </w:rPr>
        <w:t>al</w:t>
      </w:r>
      <w:proofErr w:type="spellEnd"/>
      <w:r w:rsidRPr="00501601">
        <w:rPr>
          <w:i/>
          <w:iCs/>
          <w:sz w:val="20"/>
          <w:szCs w:val="20"/>
        </w:rPr>
        <w:t xml:space="preserve">. </w:t>
      </w:r>
      <w:r w:rsidRPr="00501601">
        <w:rPr>
          <w:sz w:val="20"/>
          <w:szCs w:val="20"/>
        </w:rPr>
        <w:t xml:space="preserve">(2012), “Less </w:t>
      </w:r>
      <w:proofErr w:type="spellStart"/>
      <w:r w:rsidRPr="00501601">
        <w:rPr>
          <w:sz w:val="20"/>
          <w:szCs w:val="20"/>
        </w:rPr>
        <w:t>Income</w:t>
      </w:r>
      <w:proofErr w:type="spellEnd"/>
      <w:r w:rsidRPr="00501601">
        <w:rPr>
          <w:sz w:val="20"/>
          <w:szCs w:val="20"/>
        </w:rPr>
        <w:t xml:space="preserve"> </w:t>
      </w:r>
      <w:proofErr w:type="spellStart"/>
      <w:r w:rsidRPr="00501601">
        <w:rPr>
          <w:sz w:val="20"/>
          <w:szCs w:val="20"/>
        </w:rPr>
        <w:t>Inequality</w:t>
      </w:r>
      <w:proofErr w:type="spellEnd"/>
      <w:r w:rsidRPr="00501601">
        <w:rPr>
          <w:sz w:val="20"/>
          <w:szCs w:val="20"/>
        </w:rPr>
        <w:t xml:space="preserve"> </w:t>
      </w:r>
      <w:proofErr w:type="spellStart"/>
      <w:r w:rsidRPr="00501601">
        <w:rPr>
          <w:sz w:val="20"/>
          <w:szCs w:val="20"/>
        </w:rPr>
        <w:t>and</w:t>
      </w:r>
      <w:proofErr w:type="spellEnd"/>
      <w:r w:rsidRPr="00501601">
        <w:rPr>
          <w:sz w:val="20"/>
          <w:szCs w:val="20"/>
        </w:rPr>
        <w:t xml:space="preserve"> More </w:t>
      </w:r>
      <w:proofErr w:type="spellStart"/>
      <w:r w:rsidRPr="00501601">
        <w:rPr>
          <w:sz w:val="20"/>
          <w:szCs w:val="20"/>
        </w:rPr>
        <w:t>Growth</w:t>
      </w:r>
      <w:proofErr w:type="spellEnd"/>
      <w:r w:rsidRPr="00501601">
        <w:rPr>
          <w:sz w:val="20"/>
          <w:szCs w:val="20"/>
        </w:rPr>
        <w:t xml:space="preserve"> – </w:t>
      </w:r>
      <w:proofErr w:type="spellStart"/>
      <w:r w:rsidRPr="00501601">
        <w:rPr>
          <w:sz w:val="20"/>
          <w:szCs w:val="20"/>
        </w:rPr>
        <w:t>Are</w:t>
      </w:r>
      <w:proofErr w:type="spellEnd"/>
      <w:r w:rsidRPr="00501601">
        <w:rPr>
          <w:sz w:val="20"/>
          <w:szCs w:val="20"/>
        </w:rPr>
        <w:t xml:space="preserve"> </w:t>
      </w:r>
      <w:proofErr w:type="spellStart"/>
      <w:r w:rsidRPr="00501601">
        <w:rPr>
          <w:sz w:val="20"/>
          <w:szCs w:val="20"/>
        </w:rPr>
        <w:t>They</w:t>
      </w:r>
      <w:proofErr w:type="spellEnd"/>
      <w:r w:rsidRPr="00501601">
        <w:rPr>
          <w:sz w:val="20"/>
          <w:szCs w:val="20"/>
        </w:rPr>
        <w:t xml:space="preserve"> </w:t>
      </w:r>
      <w:proofErr w:type="spellStart"/>
      <w:r w:rsidRPr="00501601">
        <w:rPr>
          <w:sz w:val="20"/>
          <w:szCs w:val="20"/>
        </w:rPr>
        <w:t>Compatible</w:t>
      </w:r>
      <w:proofErr w:type="spellEnd"/>
      <w:r w:rsidRPr="00501601">
        <w:rPr>
          <w:sz w:val="20"/>
          <w:szCs w:val="20"/>
        </w:rPr>
        <w:t xml:space="preserve">? </w:t>
      </w:r>
      <w:proofErr w:type="spellStart"/>
      <w:r w:rsidRPr="00501601">
        <w:rPr>
          <w:sz w:val="20"/>
          <w:szCs w:val="20"/>
        </w:rPr>
        <w:t>Part</w:t>
      </w:r>
      <w:proofErr w:type="spellEnd"/>
      <w:r w:rsidRPr="00501601">
        <w:rPr>
          <w:sz w:val="20"/>
          <w:szCs w:val="20"/>
        </w:rPr>
        <w:t xml:space="preserve"> 1. </w:t>
      </w:r>
      <w:proofErr w:type="spellStart"/>
      <w:r w:rsidRPr="00501601">
        <w:rPr>
          <w:sz w:val="20"/>
          <w:szCs w:val="20"/>
        </w:rPr>
        <w:t>Mapping</w:t>
      </w:r>
      <w:proofErr w:type="spellEnd"/>
      <w:r w:rsidRPr="00501601">
        <w:rPr>
          <w:sz w:val="20"/>
          <w:szCs w:val="20"/>
        </w:rPr>
        <w:t xml:space="preserve"> </w:t>
      </w:r>
      <w:proofErr w:type="spellStart"/>
      <w:r w:rsidRPr="00501601">
        <w:rPr>
          <w:sz w:val="20"/>
          <w:szCs w:val="20"/>
        </w:rPr>
        <w:t>Income</w:t>
      </w:r>
      <w:proofErr w:type="spellEnd"/>
      <w:r w:rsidRPr="00501601">
        <w:rPr>
          <w:sz w:val="20"/>
          <w:szCs w:val="20"/>
        </w:rPr>
        <w:t xml:space="preserve"> </w:t>
      </w:r>
      <w:proofErr w:type="spellStart"/>
      <w:r w:rsidRPr="00501601">
        <w:rPr>
          <w:sz w:val="20"/>
          <w:szCs w:val="20"/>
        </w:rPr>
        <w:t>Inequality</w:t>
      </w:r>
      <w:proofErr w:type="spellEnd"/>
      <w:r w:rsidRPr="00501601">
        <w:rPr>
          <w:sz w:val="20"/>
          <w:szCs w:val="20"/>
        </w:rPr>
        <w:t xml:space="preserve"> </w:t>
      </w:r>
      <w:proofErr w:type="spellStart"/>
      <w:r w:rsidRPr="00501601">
        <w:rPr>
          <w:sz w:val="20"/>
          <w:szCs w:val="20"/>
        </w:rPr>
        <w:t>Across</w:t>
      </w:r>
      <w:proofErr w:type="spellEnd"/>
      <w:r w:rsidRPr="00501601">
        <w:rPr>
          <w:sz w:val="20"/>
          <w:szCs w:val="20"/>
        </w:rPr>
        <w:t xml:space="preserve"> </w:t>
      </w:r>
      <w:proofErr w:type="spellStart"/>
      <w:r w:rsidRPr="00501601">
        <w:rPr>
          <w:sz w:val="20"/>
          <w:szCs w:val="20"/>
        </w:rPr>
        <w:t>the</w:t>
      </w:r>
      <w:proofErr w:type="spellEnd"/>
      <w:r w:rsidRPr="00501601">
        <w:rPr>
          <w:sz w:val="20"/>
          <w:szCs w:val="20"/>
        </w:rPr>
        <w:t xml:space="preserve"> OECD”, </w:t>
      </w:r>
      <w:r w:rsidRPr="00501601">
        <w:rPr>
          <w:i/>
          <w:iCs/>
          <w:sz w:val="20"/>
          <w:szCs w:val="20"/>
        </w:rPr>
        <w:t xml:space="preserve">OECD </w:t>
      </w:r>
      <w:proofErr w:type="spellStart"/>
      <w:r w:rsidRPr="00501601">
        <w:rPr>
          <w:i/>
          <w:iCs/>
          <w:sz w:val="20"/>
          <w:szCs w:val="20"/>
        </w:rPr>
        <w:t>Economics</w:t>
      </w:r>
      <w:proofErr w:type="spellEnd"/>
      <w:r w:rsidRPr="00501601">
        <w:rPr>
          <w:i/>
          <w:iCs/>
          <w:sz w:val="20"/>
          <w:szCs w:val="20"/>
        </w:rPr>
        <w:t xml:space="preserve"> </w:t>
      </w:r>
      <w:proofErr w:type="spellStart"/>
      <w:r w:rsidRPr="00501601">
        <w:rPr>
          <w:i/>
          <w:iCs/>
          <w:sz w:val="20"/>
          <w:szCs w:val="20"/>
        </w:rPr>
        <w:t>Department</w:t>
      </w:r>
      <w:proofErr w:type="spellEnd"/>
      <w:r w:rsidRPr="00501601">
        <w:rPr>
          <w:i/>
          <w:iCs/>
          <w:sz w:val="20"/>
          <w:szCs w:val="20"/>
        </w:rPr>
        <w:t xml:space="preserve"> </w:t>
      </w:r>
      <w:proofErr w:type="spellStart"/>
      <w:r w:rsidRPr="00501601">
        <w:rPr>
          <w:i/>
          <w:iCs/>
          <w:sz w:val="20"/>
          <w:szCs w:val="20"/>
        </w:rPr>
        <w:t>Working</w:t>
      </w:r>
      <w:proofErr w:type="spellEnd"/>
      <w:r w:rsidRPr="00501601">
        <w:rPr>
          <w:i/>
          <w:iCs/>
          <w:sz w:val="20"/>
          <w:szCs w:val="20"/>
        </w:rPr>
        <w:t xml:space="preserve"> </w:t>
      </w:r>
      <w:proofErr w:type="spellStart"/>
      <w:r w:rsidRPr="00501601">
        <w:rPr>
          <w:i/>
          <w:iCs/>
          <w:sz w:val="20"/>
          <w:szCs w:val="20"/>
        </w:rPr>
        <w:t>Papers</w:t>
      </w:r>
      <w:proofErr w:type="spellEnd"/>
      <w:r w:rsidRPr="00501601">
        <w:rPr>
          <w:sz w:val="20"/>
          <w:szCs w:val="20"/>
        </w:rPr>
        <w:t xml:space="preserve">, No. 924, OECD </w:t>
      </w:r>
      <w:proofErr w:type="spellStart"/>
      <w:r w:rsidRPr="00501601">
        <w:rPr>
          <w:sz w:val="20"/>
          <w:szCs w:val="20"/>
        </w:rPr>
        <w:t>Publishing</w:t>
      </w:r>
      <w:proofErr w:type="spellEnd"/>
      <w:r w:rsidRPr="00501601">
        <w:rPr>
          <w:sz w:val="20"/>
          <w:szCs w:val="20"/>
        </w:rPr>
        <w:t>.</w:t>
      </w:r>
      <w:r>
        <w:rPr>
          <w:sz w:val="20"/>
          <w:szCs w:val="20"/>
        </w:rPr>
        <w:t xml:space="preserve"> Pieejam</w:t>
      </w:r>
      <w:r w:rsidRPr="00C407D6">
        <w:rPr>
          <w:sz w:val="20"/>
          <w:szCs w:val="20"/>
        </w:rPr>
        <w:t xml:space="preserve">s </w:t>
      </w:r>
      <w:hyperlink r:id="rId24" w:history="1">
        <w:r w:rsidRPr="00C407D6">
          <w:rPr>
            <w:rStyle w:val="Hyperlink"/>
            <w:sz w:val="20"/>
            <w:szCs w:val="20"/>
          </w:rPr>
          <w:t>http://dx.doi.org/10.1787/5k9h297wxbnr-en</w:t>
        </w:r>
      </w:hyperlink>
      <w:r>
        <w:rPr>
          <w:sz w:val="20"/>
          <w:szCs w:val="20"/>
        </w:rPr>
        <w:t xml:space="preserve"> </w:t>
      </w:r>
    </w:p>
  </w:footnote>
  <w:footnote w:id="71">
    <w:p w:rsidR="00401ED6" w:rsidRDefault="00401ED6" w:rsidP="00502E3A">
      <w:pPr>
        <w:pStyle w:val="FootnoteText"/>
        <w:jc w:val="both"/>
      </w:pPr>
      <w:r>
        <w:rPr>
          <w:rStyle w:val="FootnoteReference"/>
        </w:rPr>
        <w:footnoteRef/>
      </w:r>
      <w:r>
        <w:t xml:space="preserve"> </w:t>
      </w:r>
      <w:r>
        <w:rPr>
          <w:rStyle w:val="field-content"/>
        </w:rPr>
        <w:t xml:space="preserve">Džini </w:t>
      </w:r>
      <w:r>
        <w:t xml:space="preserve">koeficents </w:t>
      </w:r>
      <w:r>
        <w:rPr>
          <w:rStyle w:val="field-content"/>
        </w:rPr>
        <w:t>r</w:t>
      </w:r>
      <w:r w:rsidRPr="004649DA">
        <w:t>aksturo ienākumu nevienlīdzību</w:t>
      </w:r>
      <w:r>
        <w:t>, k</w:t>
      </w:r>
      <w:r w:rsidRPr="004649DA">
        <w:t>as variē no 0 līdz 100. Džini koeficients ir 0, ja pastāv absolūta ienākumu vienlīdzība (t.i., visiem iedzīvotājiem ir vienādi ienākumi), bet, jo vairāk tas tuvojas 100, jo lielāka ir ienākumu nevienlīdzība.</w:t>
      </w:r>
      <w:r>
        <w:t xml:space="preserve"> CSP</w:t>
      </w:r>
      <w:r w:rsidRPr="000603A8">
        <w:t xml:space="preserve"> </w:t>
      </w:r>
      <w:hyperlink r:id="rId25" w:history="1">
        <w:r w:rsidRPr="000603A8">
          <w:rPr>
            <w:rStyle w:val="Hyperlink"/>
          </w:rPr>
          <w:t>http://www.csb.gov.lv/statistikas-temas/metodologija/materiala-nenodrosinatiba-37053.html</w:t>
        </w:r>
      </w:hyperlink>
      <w:r w:rsidRPr="000603A8">
        <w:t>. Skatīts 14.01.2013.</w:t>
      </w:r>
    </w:p>
  </w:footnote>
  <w:footnote w:id="72">
    <w:p w:rsidR="00401ED6" w:rsidRPr="00E07B10" w:rsidRDefault="00401ED6" w:rsidP="00502E3A">
      <w:pPr>
        <w:jc w:val="both"/>
        <w:rPr>
          <w:sz w:val="20"/>
          <w:szCs w:val="20"/>
        </w:rPr>
      </w:pPr>
      <w:r w:rsidRPr="00E07B10">
        <w:rPr>
          <w:rStyle w:val="FootnoteReference"/>
          <w:sz w:val="20"/>
          <w:szCs w:val="20"/>
        </w:rPr>
        <w:footnoteRef/>
      </w:r>
      <w:r w:rsidRPr="00E07B10">
        <w:rPr>
          <w:sz w:val="20"/>
          <w:szCs w:val="20"/>
        </w:rPr>
        <w:t xml:space="preserve"> </w:t>
      </w:r>
      <w:proofErr w:type="spellStart"/>
      <w:r w:rsidRPr="00E07B10">
        <w:rPr>
          <w:sz w:val="20"/>
          <w:szCs w:val="20"/>
        </w:rPr>
        <w:t>Gasmane</w:t>
      </w:r>
      <w:proofErr w:type="spellEnd"/>
      <w:r w:rsidRPr="00E07B10">
        <w:rPr>
          <w:sz w:val="20"/>
          <w:szCs w:val="20"/>
        </w:rPr>
        <w:t xml:space="preserve">, F. (2002). Pārejas periodu 10 gadu sociālā realitāte. Sociālās politikas pētījumu sērija „Labklājības sistēmas reforma – šodien un nākotnē”. 55-65 lpp. Latvijas Republikas Labklājības ministrija un Apvienoto Nāciju attīstības programma, Rīga. </w:t>
      </w:r>
    </w:p>
  </w:footnote>
  <w:footnote w:id="73">
    <w:p w:rsidR="00401ED6" w:rsidRDefault="00401ED6" w:rsidP="00C407D6">
      <w:pPr>
        <w:pStyle w:val="FootnoteText"/>
        <w:jc w:val="both"/>
      </w:pPr>
      <w:r>
        <w:rPr>
          <w:rStyle w:val="FootnoteReference"/>
        </w:rPr>
        <w:footnoteRef/>
      </w:r>
      <w:r>
        <w:t xml:space="preserve"> </w:t>
      </w:r>
      <w:r w:rsidRPr="0079189C">
        <w:t xml:space="preserve">Ringold, </w:t>
      </w:r>
      <w:proofErr w:type="spellStart"/>
      <w:r w:rsidRPr="0079189C">
        <w:t>Kasek</w:t>
      </w:r>
      <w:proofErr w:type="spellEnd"/>
      <w:r w:rsidRPr="0079189C">
        <w:t xml:space="preserve"> &amp; </w:t>
      </w:r>
      <w:proofErr w:type="spellStart"/>
      <w:r w:rsidRPr="0079189C">
        <w:t>Rydvalova</w:t>
      </w:r>
      <w:proofErr w:type="spellEnd"/>
      <w:r w:rsidRPr="0079189C">
        <w:t xml:space="preserve">, 2007: 36, citēts pēc </w:t>
      </w:r>
      <w:r w:rsidRPr="0079189C">
        <w:rPr>
          <w:rStyle w:val="Emphasis"/>
          <w:bCs/>
          <w:shd w:val="clear" w:color="auto" w:fill="FFFFFF"/>
        </w:rPr>
        <w:t xml:space="preserve">Mareks </w:t>
      </w:r>
      <w:proofErr w:type="spellStart"/>
      <w:r w:rsidRPr="0079189C">
        <w:rPr>
          <w:rStyle w:val="Emphasis"/>
          <w:bCs/>
          <w:shd w:val="clear" w:color="auto" w:fill="FFFFFF"/>
        </w:rPr>
        <w:t>Niklass</w:t>
      </w:r>
      <w:proofErr w:type="spellEnd"/>
      <w:r w:rsidRPr="0079189C">
        <w:rPr>
          <w:rStyle w:val="Emphasis"/>
          <w:bCs/>
          <w:shd w:val="clear" w:color="auto" w:fill="FFFFFF"/>
        </w:rPr>
        <w:t>, promocijas darbs „Jauniešu ar zemu izglītību</w:t>
      </w:r>
      <w:r w:rsidRPr="0079189C">
        <w:rPr>
          <w:rStyle w:val="apple-converted-space"/>
          <w:shd w:val="clear" w:color="auto" w:fill="FFFFFF"/>
        </w:rPr>
        <w:t> </w:t>
      </w:r>
      <w:r w:rsidRPr="0079189C">
        <w:rPr>
          <w:shd w:val="clear" w:color="auto" w:fill="FFFFFF"/>
        </w:rPr>
        <w:t>iekļaušanās darba tirgū”</w:t>
      </w:r>
      <w:r>
        <w:rPr>
          <w:shd w:val="clear" w:color="auto" w:fill="FFFFFF"/>
        </w:rPr>
        <w:t xml:space="preserve">, 44 lpp. </w:t>
      </w:r>
    </w:p>
  </w:footnote>
  <w:footnote w:id="74">
    <w:p w:rsidR="00401ED6" w:rsidRDefault="00401ED6" w:rsidP="00C407D6">
      <w:pPr>
        <w:pStyle w:val="FootnoteText"/>
        <w:jc w:val="both"/>
      </w:pPr>
      <w:r>
        <w:rPr>
          <w:rStyle w:val="FootnoteReference"/>
        </w:rPr>
        <w:footnoteRef/>
      </w:r>
      <w:r>
        <w:t xml:space="preserve"> Turpat, </w:t>
      </w:r>
      <w:proofErr w:type="spellStart"/>
      <w:r w:rsidRPr="0079189C">
        <w:t>Turton</w:t>
      </w:r>
      <w:proofErr w:type="spellEnd"/>
      <w:r w:rsidRPr="0079189C">
        <w:t>, 2001: 289</w:t>
      </w:r>
    </w:p>
  </w:footnote>
  <w:footnote w:id="75">
    <w:p w:rsidR="00401ED6" w:rsidRDefault="00401ED6" w:rsidP="00C407D6">
      <w:pPr>
        <w:pStyle w:val="FootnoteText"/>
        <w:jc w:val="both"/>
      </w:pPr>
      <w:r>
        <w:rPr>
          <w:rStyle w:val="FootnoteReference"/>
        </w:rPr>
        <w:footnoteRef/>
      </w:r>
      <w:r>
        <w:t xml:space="preserve"> </w:t>
      </w:r>
      <w:r w:rsidRPr="00554EED">
        <w:rPr>
          <w:rStyle w:val="hps"/>
        </w:rPr>
        <w:t xml:space="preserve">Pasaules Bankas pētījums </w:t>
      </w:r>
      <w:r w:rsidRPr="00554EED">
        <w:t>„Latvija: kurš ir bezdarbnieks, ekonomiski neaktīvais vai trūcīgais?”</w:t>
      </w:r>
      <w:r>
        <w:t>, 50 lpp</w:t>
      </w:r>
      <w:r w:rsidRPr="00554EED">
        <w:t xml:space="preserve">. Pieejams </w:t>
      </w:r>
      <w:hyperlink r:id="rId26" w:history="1">
        <w:r w:rsidRPr="007F49EB">
          <w:rPr>
            <w:rStyle w:val="Hyperlink"/>
          </w:rPr>
          <w:t>http://www.lm.gov.lv/upload/aktualitates/latvia_compwbs.pdf</w:t>
        </w:r>
      </w:hyperlink>
      <w:r w:rsidRPr="00554EED">
        <w:t>.</w:t>
      </w:r>
      <w:r>
        <w:t xml:space="preserve"> </w:t>
      </w:r>
      <w:r w:rsidRPr="00554EED">
        <w:t>Skatīts 08.07.2014.</w:t>
      </w:r>
    </w:p>
  </w:footnote>
  <w:footnote w:id="76">
    <w:p w:rsidR="00401ED6" w:rsidRDefault="00401ED6" w:rsidP="00C407D6">
      <w:pPr>
        <w:pStyle w:val="FootnoteText"/>
        <w:jc w:val="both"/>
      </w:pPr>
      <w:r>
        <w:rPr>
          <w:rStyle w:val="FootnoteReference"/>
        </w:rPr>
        <w:footnoteRef/>
      </w:r>
      <w:r>
        <w:t xml:space="preserve"> </w:t>
      </w:r>
      <w:r w:rsidRPr="00B731CE">
        <w:rPr>
          <w:lang w:val="cs-CZ"/>
        </w:rPr>
        <w:t>„Sākotnējās ietekmes (ex-ante) novērtējums par iecerētajām strukturālajām reformām sociālās palīdzības politikas jomā“ (2014), SIA „KPMG Baltics“</w:t>
      </w:r>
      <w:r>
        <w:rPr>
          <w:lang w:val="cs-CZ"/>
        </w:rPr>
        <w:t xml:space="preserve">; „Gala ziņojums </w:t>
      </w:r>
      <w:r w:rsidRPr="00B62D84">
        <w:t xml:space="preserve">gala ziņojums par </w:t>
      </w:r>
      <w:proofErr w:type="spellStart"/>
      <w:r w:rsidRPr="00B62D84">
        <w:t>optimālākajiem</w:t>
      </w:r>
      <w:proofErr w:type="spellEnd"/>
      <w:r w:rsidRPr="00B62D84">
        <w:t xml:space="preserve"> risinājuma variantiem sociālās palīdzības sistēmas izmaiņām un no pārējām sistēmām nepieciešamajiem atbalsta pasākumiem un piedāvāto variantu ietekmes uz valsts un pašvaldību budžetiem novērtējums</w:t>
      </w:r>
      <w:r>
        <w:t>”, 10.</w:t>
      </w:r>
      <w:r>
        <w:rPr>
          <w:lang w:val="cs-CZ"/>
        </w:rPr>
        <w:t>lpp</w:t>
      </w:r>
      <w:r w:rsidRPr="00B731CE">
        <w:rPr>
          <w:lang w:val="cs-CZ"/>
        </w:rPr>
        <w:t xml:space="preserve">. </w:t>
      </w:r>
      <w:r w:rsidRPr="00B731CE">
        <w:t xml:space="preserve">Pieejams LM mājas lapā, sekojot šai vietnei </w:t>
      </w:r>
      <w:hyperlink r:id="rId27" w:history="1">
        <w:r w:rsidRPr="00B731CE">
          <w:rPr>
            <w:rStyle w:val="Hyperlink"/>
          </w:rPr>
          <w:t>http://www.lm.gov.lv/text/2744</w:t>
        </w:r>
      </w:hyperlink>
      <w:r w:rsidRPr="00B731CE">
        <w:t xml:space="preserve">. </w:t>
      </w:r>
    </w:p>
  </w:footnote>
  <w:footnote w:id="77">
    <w:p w:rsidR="00401ED6" w:rsidRPr="002927B3" w:rsidRDefault="00401ED6" w:rsidP="002927B3">
      <w:pPr>
        <w:pStyle w:val="FootnoteText"/>
        <w:jc w:val="both"/>
      </w:pPr>
      <w:r w:rsidRPr="002927B3">
        <w:rPr>
          <w:rStyle w:val="FootnoteReference"/>
        </w:rPr>
        <w:footnoteRef/>
      </w:r>
      <w:r w:rsidRPr="002927B3">
        <w:t xml:space="preserve"> </w:t>
      </w:r>
      <w:r w:rsidRPr="002927B3">
        <w:rPr>
          <w:bCs/>
          <w:lang w:eastAsia="lv-LV"/>
        </w:rPr>
        <w:t xml:space="preserve">Baltijas Starptautiskā ekonomikas politikas studiju centra (BICEPS) „Pētījums nodokļu sistēmas pilnveidošanas jomā”(2014). </w:t>
      </w:r>
    </w:p>
  </w:footnote>
  <w:footnote w:id="78">
    <w:p w:rsidR="00401ED6" w:rsidRPr="004B403D" w:rsidRDefault="00401ED6" w:rsidP="00D374D7">
      <w:pPr>
        <w:pStyle w:val="FootnoteText"/>
        <w:jc w:val="both"/>
        <w:rPr>
          <w:szCs w:val="24"/>
          <w:lang w:val="it-IT"/>
        </w:rPr>
      </w:pPr>
      <w:r w:rsidRPr="00EC4EFD">
        <w:rPr>
          <w:rStyle w:val="FootnoteReference"/>
          <w:szCs w:val="24"/>
        </w:rPr>
        <w:footnoteRef/>
      </w:r>
      <w:r w:rsidRPr="004B403D">
        <w:rPr>
          <w:szCs w:val="24"/>
          <w:lang w:val="it-IT"/>
        </w:rPr>
        <w:t xml:space="preserve"> </w:t>
      </w:r>
      <w:r w:rsidRPr="00D374D7">
        <w:rPr>
          <w:szCs w:val="24"/>
          <w:lang w:val="it-IT"/>
        </w:rPr>
        <w:t>E</w:t>
      </w:r>
      <w:proofErr w:type="spellStart"/>
      <w:r w:rsidRPr="00D374D7">
        <w:t>fektīva</w:t>
      </w:r>
      <w:proofErr w:type="spellEnd"/>
      <w:r w:rsidRPr="00D374D7">
        <w:t xml:space="preserve"> nodokļu robežlikme (METR).</w:t>
      </w:r>
      <w:r w:rsidRPr="00C12CCA">
        <w:t xml:space="preserve"> METR mēra neliela ieņēmumu pieauguma proporciju, kas tiek zaudēta papildu nodokļu maksājumu vai neiegūto pabalstu dēļ. </w:t>
      </w:r>
      <w:r w:rsidRPr="004B403D">
        <w:rPr>
          <w:noProof/>
          <w:szCs w:val="24"/>
          <w:lang w:val="it-IT"/>
        </w:rPr>
        <w:t xml:space="preserve">Jara &amp; Tumino (2013) definē augstu </w:t>
      </w:r>
      <w:r>
        <w:rPr>
          <w:noProof/>
          <w:szCs w:val="24"/>
          <w:lang w:val="it-IT"/>
        </w:rPr>
        <w:t>METR kā METR, kas pārsniedz 50% (avots: BICEPS pētījums 47 lp.).</w:t>
      </w:r>
    </w:p>
  </w:footnote>
  <w:footnote w:id="79">
    <w:p w:rsidR="00401ED6" w:rsidRPr="00C62884" w:rsidRDefault="00401ED6" w:rsidP="00502E3A">
      <w:pPr>
        <w:pStyle w:val="FootnoteText"/>
        <w:jc w:val="both"/>
        <w:rPr>
          <w:b/>
        </w:rPr>
      </w:pPr>
      <w:r>
        <w:rPr>
          <w:rStyle w:val="FootnoteReference"/>
        </w:rPr>
        <w:footnoteRef/>
      </w:r>
      <w:r>
        <w:t xml:space="preserve"> </w:t>
      </w:r>
      <w:proofErr w:type="spellStart"/>
      <w:r>
        <w:rPr>
          <w:rFonts w:eastAsia="Calibri"/>
          <w:lang w:eastAsia="lv-LV"/>
        </w:rPr>
        <w:t>E</w:t>
      </w:r>
      <w:r w:rsidRPr="00C62884">
        <w:rPr>
          <w:rFonts w:eastAsia="Calibri"/>
          <w:lang w:eastAsia="lv-LV"/>
        </w:rPr>
        <w:t>conomic</w:t>
      </w:r>
      <w:proofErr w:type="spellEnd"/>
      <w:r w:rsidRPr="00C62884">
        <w:rPr>
          <w:rFonts w:eastAsia="Calibri"/>
          <w:lang w:eastAsia="lv-LV"/>
        </w:rPr>
        <w:t xml:space="preserve"> </w:t>
      </w:r>
      <w:proofErr w:type="spellStart"/>
      <w:r w:rsidRPr="00C62884">
        <w:rPr>
          <w:rFonts w:eastAsia="Calibri"/>
          <w:lang w:eastAsia="lv-LV"/>
        </w:rPr>
        <w:t>policy</w:t>
      </w:r>
      <w:proofErr w:type="spellEnd"/>
      <w:r w:rsidRPr="00C62884">
        <w:rPr>
          <w:rFonts w:eastAsia="Calibri"/>
          <w:lang w:eastAsia="lv-LV"/>
        </w:rPr>
        <w:t xml:space="preserve"> </w:t>
      </w:r>
      <w:proofErr w:type="spellStart"/>
      <w:r w:rsidRPr="00C62884">
        <w:rPr>
          <w:rFonts w:eastAsia="Calibri"/>
          <w:lang w:eastAsia="lv-LV"/>
        </w:rPr>
        <w:t>reforms</w:t>
      </w:r>
      <w:proofErr w:type="spellEnd"/>
      <w:r w:rsidRPr="00C62884">
        <w:rPr>
          <w:rFonts w:eastAsia="Calibri"/>
          <w:lang w:eastAsia="lv-LV"/>
        </w:rPr>
        <w:t xml:space="preserve"> 2012: </w:t>
      </w:r>
      <w:proofErr w:type="spellStart"/>
      <w:r w:rsidRPr="00C62884">
        <w:rPr>
          <w:rFonts w:eastAsia="Calibri"/>
          <w:lang w:eastAsia="lv-LV"/>
        </w:rPr>
        <w:t>going</w:t>
      </w:r>
      <w:proofErr w:type="spellEnd"/>
      <w:r w:rsidRPr="00C62884">
        <w:rPr>
          <w:rFonts w:eastAsia="Calibri"/>
          <w:lang w:eastAsia="lv-LV"/>
        </w:rPr>
        <w:t xml:space="preserve"> </w:t>
      </w:r>
      <w:proofErr w:type="spellStart"/>
      <w:r w:rsidRPr="00C62884">
        <w:rPr>
          <w:rFonts w:eastAsia="Calibri"/>
          <w:lang w:eastAsia="lv-LV"/>
        </w:rPr>
        <w:t>for</w:t>
      </w:r>
      <w:proofErr w:type="spellEnd"/>
      <w:r w:rsidRPr="00C62884">
        <w:rPr>
          <w:rFonts w:eastAsia="Calibri"/>
          <w:lang w:eastAsia="lv-LV"/>
        </w:rPr>
        <w:t xml:space="preserve"> </w:t>
      </w:r>
      <w:proofErr w:type="spellStart"/>
      <w:r w:rsidRPr="00C62884">
        <w:rPr>
          <w:rFonts w:eastAsia="Calibri"/>
          <w:lang w:eastAsia="lv-LV"/>
        </w:rPr>
        <w:t>growth</w:t>
      </w:r>
      <w:proofErr w:type="spellEnd"/>
      <w:r w:rsidRPr="00C62884">
        <w:rPr>
          <w:rFonts w:eastAsia="Calibri"/>
          <w:lang w:eastAsia="lv-LV"/>
        </w:rPr>
        <w:t xml:space="preserve"> © OECD 2012, </w:t>
      </w:r>
      <w:proofErr w:type="spellStart"/>
      <w:r w:rsidRPr="00C62884">
        <w:rPr>
          <w:rFonts w:eastAsia="Calibri"/>
          <w:lang w:eastAsia="lv-LV"/>
        </w:rPr>
        <w:t>Part</w:t>
      </w:r>
      <w:proofErr w:type="spellEnd"/>
      <w:r w:rsidRPr="00C62884">
        <w:rPr>
          <w:rFonts w:eastAsia="Calibri"/>
          <w:lang w:eastAsia="lv-LV"/>
        </w:rPr>
        <w:t xml:space="preserve"> 2, </w:t>
      </w:r>
      <w:proofErr w:type="spellStart"/>
      <w:r w:rsidRPr="00C62884">
        <w:rPr>
          <w:rFonts w:eastAsia="Calibri"/>
          <w:lang w:eastAsia="lv-LV"/>
        </w:rPr>
        <w:t>Chapter</w:t>
      </w:r>
      <w:proofErr w:type="spellEnd"/>
      <w:r w:rsidRPr="00C62884">
        <w:rPr>
          <w:rFonts w:eastAsia="Calibri"/>
          <w:lang w:eastAsia="lv-LV"/>
        </w:rPr>
        <w:t xml:space="preserve"> 5 </w:t>
      </w:r>
      <w:r w:rsidRPr="00C62884">
        <w:t>„</w:t>
      </w:r>
      <w:proofErr w:type="spellStart"/>
      <w:r w:rsidRPr="00C62884">
        <w:rPr>
          <w:rFonts w:eastAsia="Calibri"/>
          <w:bCs/>
          <w:lang w:eastAsia="lv-LV"/>
        </w:rPr>
        <w:t>Reducing</w:t>
      </w:r>
      <w:proofErr w:type="spellEnd"/>
      <w:r w:rsidRPr="00C62884">
        <w:rPr>
          <w:rFonts w:eastAsia="Calibri"/>
          <w:bCs/>
          <w:lang w:eastAsia="lv-LV"/>
        </w:rPr>
        <w:t xml:space="preserve"> </w:t>
      </w:r>
      <w:proofErr w:type="spellStart"/>
      <w:r w:rsidRPr="00C62884">
        <w:rPr>
          <w:rFonts w:eastAsia="Calibri"/>
          <w:bCs/>
          <w:lang w:eastAsia="lv-LV"/>
        </w:rPr>
        <w:t>income</w:t>
      </w:r>
      <w:proofErr w:type="spellEnd"/>
      <w:r w:rsidRPr="00C62884">
        <w:rPr>
          <w:rFonts w:eastAsia="Calibri"/>
          <w:bCs/>
          <w:lang w:eastAsia="lv-LV"/>
        </w:rPr>
        <w:t xml:space="preserve"> </w:t>
      </w:r>
      <w:proofErr w:type="spellStart"/>
      <w:r w:rsidRPr="00C62884">
        <w:rPr>
          <w:rFonts w:eastAsia="Calibri"/>
          <w:bCs/>
          <w:lang w:eastAsia="lv-LV"/>
        </w:rPr>
        <w:t>inequality</w:t>
      </w:r>
      <w:proofErr w:type="spellEnd"/>
      <w:r w:rsidRPr="00C62884">
        <w:rPr>
          <w:rFonts w:eastAsia="Calibri"/>
          <w:bCs/>
          <w:lang w:eastAsia="lv-LV"/>
        </w:rPr>
        <w:t xml:space="preserve"> </w:t>
      </w:r>
      <w:proofErr w:type="spellStart"/>
      <w:r w:rsidRPr="00C62884">
        <w:rPr>
          <w:rFonts w:eastAsia="Calibri"/>
          <w:bCs/>
          <w:lang w:eastAsia="lv-LV"/>
        </w:rPr>
        <w:t>while</w:t>
      </w:r>
      <w:proofErr w:type="spellEnd"/>
      <w:r w:rsidRPr="00C62884">
        <w:rPr>
          <w:rFonts w:eastAsia="Calibri"/>
          <w:bCs/>
          <w:lang w:eastAsia="lv-LV"/>
        </w:rPr>
        <w:t xml:space="preserve"> </w:t>
      </w:r>
      <w:proofErr w:type="spellStart"/>
      <w:r w:rsidRPr="00C62884">
        <w:rPr>
          <w:rFonts w:eastAsia="Calibri"/>
          <w:bCs/>
          <w:lang w:eastAsia="lv-LV"/>
        </w:rPr>
        <w:t>boosting</w:t>
      </w:r>
      <w:proofErr w:type="spellEnd"/>
      <w:r w:rsidRPr="00C62884">
        <w:rPr>
          <w:rFonts w:eastAsia="Calibri"/>
          <w:bCs/>
          <w:lang w:eastAsia="lv-LV"/>
        </w:rPr>
        <w:t xml:space="preserve"> </w:t>
      </w:r>
      <w:proofErr w:type="spellStart"/>
      <w:r w:rsidRPr="00C62884">
        <w:rPr>
          <w:rFonts w:eastAsia="Calibri"/>
          <w:bCs/>
          <w:lang w:eastAsia="lv-LV"/>
        </w:rPr>
        <w:t>economic</w:t>
      </w:r>
      <w:proofErr w:type="spellEnd"/>
      <w:r w:rsidRPr="00C62884">
        <w:rPr>
          <w:rFonts w:eastAsia="Calibri"/>
          <w:bCs/>
          <w:lang w:eastAsia="lv-LV"/>
        </w:rPr>
        <w:t xml:space="preserve"> </w:t>
      </w:r>
      <w:proofErr w:type="spellStart"/>
      <w:r w:rsidRPr="00C62884">
        <w:rPr>
          <w:rFonts w:eastAsia="Calibri"/>
          <w:bCs/>
          <w:lang w:eastAsia="lv-LV"/>
        </w:rPr>
        <w:t>growth</w:t>
      </w:r>
      <w:proofErr w:type="spellEnd"/>
      <w:r w:rsidRPr="00C62884">
        <w:rPr>
          <w:rFonts w:eastAsia="Calibri"/>
          <w:bCs/>
          <w:lang w:eastAsia="lv-LV"/>
        </w:rPr>
        <w:t xml:space="preserve">: </w:t>
      </w:r>
      <w:proofErr w:type="spellStart"/>
      <w:r w:rsidRPr="00C62884">
        <w:rPr>
          <w:rFonts w:eastAsia="Calibri"/>
          <w:bCs/>
          <w:lang w:eastAsia="lv-LV"/>
        </w:rPr>
        <w:t>Can</w:t>
      </w:r>
      <w:proofErr w:type="spellEnd"/>
      <w:r w:rsidRPr="00C62884">
        <w:rPr>
          <w:rFonts w:eastAsia="Calibri"/>
          <w:bCs/>
          <w:lang w:eastAsia="lv-LV"/>
        </w:rPr>
        <w:t xml:space="preserve"> it </w:t>
      </w:r>
      <w:proofErr w:type="spellStart"/>
      <w:r w:rsidRPr="00C62884">
        <w:rPr>
          <w:rFonts w:eastAsia="Calibri"/>
          <w:bCs/>
          <w:lang w:eastAsia="lv-LV"/>
        </w:rPr>
        <w:t>be</w:t>
      </w:r>
      <w:proofErr w:type="spellEnd"/>
      <w:r w:rsidRPr="00C62884">
        <w:rPr>
          <w:rFonts w:eastAsia="Calibri"/>
          <w:bCs/>
          <w:lang w:eastAsia="lv-LV"/>
        </w:rPr>
        <w:t xml:space="preserve"> </w:t>
      </w:r>
      <w:proofErr w:type="spellStart"/>
      <w:r w:rsidRPr="00C62884">
        <w:rPr>
          <w:rFonts w:eastAsia="Calibri"/>
          <w:bCs/>
          <w:lang w:eastAsia="lv-LV"/>
        </w:rPr>
        <w:t>done</w:t>
      </w:r>
      <w:proofErr w:type="spellEnd"/>
      <w:r w:rsidRPr="00C62884">
        <w:rPr>
          <w:rFonts w:eastAsia="Calibri"/>
          <w:bCs/>
          <w:lang w:eastAsia="lv-LV"/>
        </w:rPr>
        <w:t>?”, 184 lpp</w:t>
      </w:r>
      <w:r>
        <w:rPr>
          <w:rFonts w:eastAsia="Calibri"/>
          <w:bCs/>
          <w:lang w:eastAsia="lv-LV"/>
        </w:rPr>
        <w:t xml:space="preserve">. Pieejams </w:t>
      </w:r>
      <w:hyperlink r:id="rId28" w:history="1">
        <w:r w:rsidRPr="00FA3813">
          <w:rPr>
            <w:rStyle w:val="Hyperlink"/>
            <w:rFonts w:eastAsia="Calibri"/>
            <w:lang w:eastAsia="lv-LV"/>
          </w:rPr>
          <w:t>http://www.oecd.org/eco/labour/49421421.pdf</w:t>
        </w:r>
      </w:hyperlink>
      <w:r>
        <w:rPr>
          <w:rFonts w:eastAsia="Calibri"/>
          <w:bCs/>
          <w:lang w:eastAsia="lv-LV"/>
        </w:rPr>
        <w:t xml:space="preserve">. Skatīts 16.07.2014. </w:t>
      </w:r>
    </w:p>
  </w:footnote>
  <w:footnote w:id="80">
    <w:p w:rsidR="00401ED6" w:rsidRPr="007E088E" w:rsidRDefault="00401ED6" w:rsidP="00502E3A">
      <w:pPr>
        <w:pStyle w:val="FootnoteText"/>
        <w:jc w:val="both"/>
      </w:pPr>
      <w:r w:rsidRPr="007E088E">
        <w:rPr>
          <w:rStyle w:val="FootnoteReference"/>
        </w:rPr>
        <w:footnoteRef/>
      </w:r>
      <w:r w:rsidRPr="007E088E">
        <w:t xml:space="preserve"> Turpat. </w:t>
      </w:r>
    </w:p>
  </w:footnote>
  <w:footnote w:id="81">
    <w:p w:rsidR="00401ED6" w:rsidRPr="007E088E" w:rsidRDefault="00401ED6" w:rsidP="00502E3A">
      <w:pPr>
        <w:pStyle w:val="FootnoteText"/>
        <w:jc w:val="both"/>
      </w:pPr>
      <w:r w:rsidRPr="007E088E">
        <w:rPr>
          <w:rStyle w:val="FootnoteReference"/>
        </w:rPr>
        <w:footnoteRef/>
      </w:r>
      <w:r w:rsidRPr="007E088E">
        <w:t xml:space="preserve"> </w:t>
      </w:r>
      <w:r w:rsidRPr="00371968">
        <w:rPr>
          <w:bCs/>
        </w:rPr>
        <w:t>MK 16.03.2011. rīkojums Nr.111</w:t>
      </w:r>
      <w:r w:rsidRPr="007E088E">
        <w:t xml:space="preserve"> </w:t>
      </w:r>
      <w:r>
        <w:t>„Par Koncepciju</w:t>
      </w:r>
      <w:r w:rsidRPr="007E088E">
        <w:t xml:space="preserve"> par minimālās mēneša darba algas noteikšanu turpmākajiem gadiem”, Labklājības ministrija (2011)</w:t>
      </w:r>
      <w:r>
        <w:t>.</w:t>
      </w:r>
    </w:p>
  </w:footnote>
  <w:footnote w:id="82">
    <w:p w:rsidR="00401ED6" w:rsidRPr="00371968" w:rsidRDefault="00401ED6" w:rsidP="006810A5">
      <w:pPr>
        <w:pStyle w:val="FootnoteText"/>
        <w:jc w:val="both"/>
      </w:pPr>
      <w:r w:rsidRPr="00371968">
        <w:rPr>
          <w:rStyle w:val="FootnoteReference"/>
        </w:rPr>
        <w:footnoteRef/>
      </w:r>
      <w:r w:rsidRPr="00371968">
        <w:t xml:space="preserve"> </w:t>
      </w:r>
      <w:r w:rsidRPr="00371968">
        <w:rPr>
          <w:iCs/>
        </w:rPr>
        <w:t>Darba ienākumu sastāvā ir iekļauta darba alga, vienreizēja un sistemātiska atlīdzība, atlīdzība par valsts dienesta izpildi, regulārās un neregulārās prēmijas un piemaksas, atvaļinājuma, atlaišanas un citi pabalsti, kompensācija par neizmantoto atvaļinājumu atlaišanas gadījumā, slimības nauda (par darbnespējas lapu A), dāvanas un balvas, kuru kopējā vērtība taksācijas gadā pārsniedz minimālās mēnešalgas apmēru, darba devēja stipendijas, darba devēja samaksātās mācības, kas nav nepieciešamas amata pienākumu pildīšanai, darba devēja dotie labumi darbiniekam – izklaides</w:t>
      </w:r>
      <w:r w:rsidRPr="00371968">
        <w:t xml:space="preserve"> </w:t>
      </w:r>
      <w:r w:rsidRPr="00371968">
        <w:rPr>
          <w:iCs/>
        </w:rPr>
        <w:t>pasākumi, atpūtas ceļojumi un veselības uzlabošanas pasākumi, ja tos ir iespējams personificēt, citi darbinieka labā izdarītie darba devēja maksājumi vai labumi, ja šie izdevumi nav tieši saistīti ar darba devēja saimniecisko darbību vai nav apliecināti ar attaisnojuma dokumentiem.</w:t>
      </w:r>
    </w:p>
  </w:footnote>
  <w:footnote w:id="83">
    <w:p w:rsidR="00401ED6" w:rsidRPr="00371968" w:rsidRDefault="00401ED6" w:rsidP="00502E3A">
      <w:pPr>
        <w:jc w:val="both"/>
        <w:rPr>
          <w:sz w:val="20"/>
          <w:szCs w:val="20"/>
        </w:rPr>
      </w:pPr>
      <w:r w:rsidRPr="00371968">
        <w:rPr>
          <w:rStyle w:val="FootnoteReference"/>
          <w:sz w:val="20"/>
          <w:szCs w:val="20"/>
        </w:rPr>
        <w:footnoteRef/>
      </w:r>
      <w:r w:rsidRPr="00371968">
        <w:rPr>
          <w:sz w:val="20"/>
          <w:szCs w:val="20"/>
        </w:rPr>
        <w:t xml:space="preserve"> </w:t>
      </w:r>
      <w:proofErr w:type="spellStart"/>
      <w:r w:rsidRPr="00371968">
        <w:rPr>
          <w:sz w:val="20"/>
          <w:szCs w:val="20"/>
        </w:rPr>
        <w:t>In</w:t>
      </w:r>
      <w:proofErr w:type="spellEnd"/>
      <w:r w:rsidRPr="00371968">
        <w:rPr>
          <w:sz w:val="20"/>
          <w:szCs w:val="20"/>
        </w:rPr>
        <w:t xml:space="preserve"> </w:t>
      </w:r>
      <w:proofErr w:type="spellStart"/>
      <w:r w:rsidRPr="00371968">
        <w:rPr>
          <w:sz w:val="20"/>
          <w:szCs w:val="20"/>
        </w:rPr>
        <w:t>from</w:t>
      </w:r>
      <w:proofErr w:type="spellEnd"/>
      <w:r w:rsidRPr="00371968">
        <w:rPr>
          <w:sz w:val="20"/>
          <w:szCs w:val="20"/>
        </w:rPr>
        <w:t xml:space="preserve"> </w:t>
      </w:r>
      <w:proofErr w:type="spellStart"/>
      <w:r w:rsidRPr="00371968">
        <w:rPr>
          <w:sz w:val="20"/>
          <w:szCs w:val="20"/>
        </w:rPr>
        <w:t>the</w:t>
      </w:r>
      <w:proofErr w:type="spellEnd"/>
      <w:r w:rsidRPr="00371968">
        <w:rPr>
          <w:sz w:val="20"/>
          <w:szCs w:val="20"/>
        </w:rPr>
        <w:t xml:space="preserve"> </w:t>
      </w:r>
      <w:proofErr w:type="spellStart"/>
      <w:r w:rsidRPr="00371968">
        <w:rPr>
          <w:sz w:val="20"/>
          <w:szCs w:val="20"/>
        </w:rPr>
        <w:t>shadow</w:t>
      </w:r>
      <w:proofErr w:type="spellEnd"/>
      <w:r w:rsidRPr="00371968">
        <w:rPr>
          <w:sz w:val="20"/>
          <w:szCs w:val="20"/>
        </w:rPr>
        <w:t xml:space="preserve">: </w:t>
      </w:r>
      <w:proofErr w:type="spellStart"/>
      <w:r w:rsidRPr="00371968">
        <w:rPr>
          <w:sz w:val="20"/>
          <w:szCs w:val="20"/>
        </w:rPr>
        <w:t>integrating</w:t>
      </w:r>
      <w:proofErr w:type="spellEnd"/>
      <w:r w:rsidRPr="00371968">
        <w:rPr>
          <w:sz w:val="20"/>
          <w:szCs w:val="20"/>
        </w:rPr>
        <w:t xml:space="preserve"> </w:t>
      </w:r>
      <w:proofErr w:type="spellStart"/>
      <w:r w:rsidRPr="00371968">
        <w:rPr>
          <w:iCs/>
          <w:sz w:val="20"/>
          <w:szCs w:val="20"/>
        </w:rPr>
        <w:t>Eur</w:t>
      </w:r>
      <w:r w:rsidRPr="00371968">
        <w:rPr>
          <w:sz w:val="20"/>
          <w:szCs w:val="20"/>
        </w:rPr>
        <w:t>ope’s</w:t>
      </w:r>
      <w:proofErr w:type="spellEnd"/>
      <w:r w:rsidRPr="00371968">
        <w:rPr>
          <w:sz w:val="20"/>
          <w:szCs w:val="20"/>
        </w:rPr>
        <w:t xml:space="preserve"> </w:t>
      </w:r>
      <w:proofErr w:type="spellStart"/>
      <w:r w:rsidRPr="00371968">
        <w:rPr>
          <w:sz w:val="20"/>
          <w:szCs w:val="20"/>
        </w:rPr>
        <w:t>informal</w:t>
      </w:r>
      <w:proofErr w:type="spellEnd"/>
      <w:r w:rsidRPr="00371968">
        <w:rPr>
          <w:sz w:val="20"/>
          <w:szCs w:val="20"/>
        </w:rPr>
        <w:t xml:space="preserve"> </w:t>
      </w:r>
      <w:proofErr w:type="spellStart"/>
      <w:r w:rsidRPr="00371968">
        <w:rPr>
          <w:sz w:val="20"/>
          <w:szCs w:val="20"/>
        </w:rPr>
        <w:t>labor</w:t>
      </w:r>
      <w:proofErr w:type="spellEnd"/>
      <w:r w:rsidRPr="00371968">
        <w:rPr>
          <w:sz w:val="20"/>
          <w:szCs w:val="20"/>
        </w:rPr>
        <w:t xml:space="preserve"> / </w:t>
      </w:r>
      <w:proofErr w:type="spellStart"/>
      <w:r w:rsidRPr="00371968">
        <w:rPr>
          <w:sz w:val="20"/>
          <w:szCs w:val="20"/>
        </w:rPr>
        <w:t>Truman</w:t>
      </w:r>
      <w:proofErr w:type="spellEnd"/>
      <w:r w:rsidRPr="00371968">
        <w:rPr>
          <w:sz w:val="20"/>
          <w:szCs w:val="20"/>
        </w:rPr>
        <w:t xml:space="preserve"> Packard, </w:t>
      </w:r>
      <w:proofErr w:type="spellStart"/>
      <w:r w:rsidRPr="00371968">
        <w:rPr>
          <w:sz w:val="20"/>
          <w:szCs w:val="20"/>
        </w:rPr>
        <w:t>Johannes</w:t>
      </w:r>
      <w:proofErr w:type="spellEnd"/>
      <w:r w:rsidRPr="00371968">
        <w:rPr>
          <w:sz w:val="20"/>
          <w:szCs w:val="20"/>
        </w:rPr>
        <w:t xml:space="preserve"> </w:t>
      </w:r>
      <w:proofErr w:type="spellStart"/>
      <w:r w:rsidRPr="00371968">
        <w:rPr>
          <w:sz w:val="20"/>
          <w:szCs w:val="20"/>
        </w:rPr>
        <w:t>Koettl</w:t>
      </w:r>
      <w:proofErr w:type="spellEnd"/>
      <w:r w:rsidRPr="00371968">
        <w:rPr>
          <w:sz w:val="20"/>
          <w:szCs w:val="20"/>
        </w:rPr>
        <w:t xml:space="preserve">, </w:t>
      </w:r>
      <w:proofErr w:type="spellStart"/>
      <w:r w:rsidRPr="00371968">
        <w:rPr>
          <w:sz w:val="20"/>
          <w:szCs w:val="20"/>
        </w:rPr>
        <w:t>Claudio</w:t>
      </w:r>
      <w:proofErr w:type="spellEnd"/>
      <w:r w:rsidRPr="00371968">
        <w:rPr>
          <w:sz w:val="20"/>
          <w:szCs w:val="20"/>
        </w:rPr>
        <w:t xml:space="preserve"> Montenegro.(2012), 25 lpp. Pieejams </w:t>
      </w:r>
      <w:hyperlink r:id="rId29" w:history="1">
        <w:r w:rsidRPr="00371968">
          <w:rPr>
            <w:rStyle w:val="Hyperlink"/>
            <w:sz w:val="20"/>
            <w:szCs w:val="20"/>
          </w:rPr>
          <w:t>https://openknowledge.worldbank.org/bitstream/handle/10986/9377/706020PUB0EPI0067902B09780821395493.pdf?sequence=1</w:t>
        </w:r>
      </w:hyperlink>
    </w:p>
  </w:footnote>
  <w:footnote w:id="84">
    <w:p w:rsidR="00401ED6" w:rsidRPr="00371968" w:rsidRDefault="00401ED6" w:rsidP="00502E3A">
      <w:pPr>
        <w:pStyle w:val="FootnoteText"/>
        <w:jc w:val="both"/>
      </w:pPr>
      <w:r w:rsidRPr="00371968">
        <w:rPr>
          <w:rStyle w:val="FootnoteReference"/>
        </w:rPr>
        <w:footnoteRef/>
      </w:r>
      <w:r w:rsidRPr="00371968">
        <w:t xml:space="preserve"> Turpat, 46.lp.</w:t>
      </w:r>
    </w:p>
  </w:footnote>
  <w:footnote w:id="85">
    <w:p w:rsidR="00401ED6" w:rsidRPr="00371968" w:rsidRDefault="00401ED6" w:rsidP="00371968">
      <w:pPr>
        <w:pStyle w:val="FootnoteText"/>
        <w:tabs>
          <w:tab w:val="left" w:pos="0"/>
        </w:tabs>
        <w:jc w:val="both"/>
      </w:pPr>
      <w:r w:rsidRPr="00371968">
        <w:rPr>
          <w:rStyle w:val="FootnoteReference"/>
        </w:rPr>
        <w:footnoteRef/>
      </w:r>
      <w:r w:rsidRPr="00371968">
        <w:t xml:space="preserve"> Darbaspēka nodokļi</w:t>
      </w:r>
      <w:r w:rsidRPr="00371968">
        <w:rPr>
          <w:b/>
        </w:rPr>
        <w:t xml:space="preserve"> – </w:t>
      </w:r>
      <w:r w:rsidRPr="00371968">
        <w:t>nodokļu un maksājumu kopums, kurā ietilpst gan darba devēja, gan darba ņēmēja VSAOI un IIN, ņemot vērā neapliekamo minimumu un nodokļa atvieglojumu par apgādībā esošām personām, nodokļa papildu atvieglojumus un atsevišķus attaisnotos izdevumus</w:t>
      </w:r>
    </w:p>
  </w:footnote>
  <w:footnote w:id="86">
    <w:p w:rsidR="00401ED6" w:rsidRPr="00371968" w:rsidRDefault="00401ED6" w:rsidP="00371968">
      <w:pPr>
        <w:jc w:val="both"/>
        <w:rPr>
          <w:smallCaps/>
          <w:color w:val="000000"/>
          <w:sz w:val="20"/>
          <w:szCs w:val="20"/>
        </w:rPr>
      </w:pPr>
      <w:r w:rsidRPr="00371968">
        <w:rPr>
          <w:rStyle w:val="FootnoteReference"/>
          <w:sz w:val="20"/>
          <w:szCs w:val="20"/>
        </w:rPr>
        <w:footnoteRef/>
      </w:r>
      <w:r w:rsidRPr="00371968">
        <w:rPr>
          <w:sz w:val="20"/>
          <w:szCs w:val="20"/>
        </w:rPr>
        <w:t xml:space="preserve"> Finanšu ministrijas informatīvais ziņojums </w:t>
      </w:r>
      <w:r w:rsidRPr="00371968">
        <w:rPr>
          <w:iCs/>
          <w:sz w:val="20"/>
          <w:szCs w:val="20"/>
        </w:rPr>
        <w:t>„Darbaspēka nodokļu izmaiņas ienākumu nevienlīdzības mazināšanai – veikto izmaiņu novērtējums un priekšlikumi tālākai rīcībai” (projekts uz 26.06.2014.).</w:t>
      </w:r>
    </w:p>
  </w:footnote>
  <w:footnote w:id="87">
    <w:p w:rsidR="00401ED6" w:rsidRPr="00EB0F0E" w:rsidRDefault="00401ED6" w:rsidP="00502E3A">
      <w:pPr>
        <w:pStyle w:val="FootnoteText"/>
        <w:tabs>
          <w:tab w:val="left" w:pos="0"/>
        </w:tabs>
        <w:jc w:val="both"/>
      </w:pPr>
      <w:r w:rsidRPr="00EB0F0E">
        <w:rPr>
          <w:rStyle w:val="FootnoteReference"/>
        </w:rPr>
        <w:footnoteRef/>
      </w:r>
      <w:r w:rsidRPr="00EB0F0E">
        <w:t xml:space="preserve"> </w:t>
      </w:r>
      <w:r w:rsidRPr="0052601A">
        <w:t>Nodokļa plaisa jeb ķīlis</w:t>
      </w:r>
      <w:r w:rsidRPr="00EB0F0E">
        <w:t xml:space="preserve"> (</w:t>
      </w:r>
      <w:proofErr w:type="spellStart"/>
      <w:r w:rsidRPr="000404B1">
        <w:rPr>
          <w:i/>
        </w:rPr>
        <w:t>tax</w:t>
      </w:r>
      <w:proofErr w:type="spellEnd"/>
      <w:r w:rsidRPr="000404B1">
        <w:rPr>
          <w:i/>
        </w:rPr>
        <w:t xml:space="preserve"> </w:t>
      </w:r>
      <w:proofErr w:type="spellStart"/>
      <w:r w:rsidRPr="000404B1">
        <w:rPr>
          <w:i/>
        </w:rPr>
        <w:t>wedge</w:t>
      </w:r>
      <w:proofErr w:type="spellEnd"/>
      <w:r w:rsidRPr="00EB0F0E">
        <w:t>) – atšķirība starp darba devēja darbaspēka iz</w:t>
      </w:r>
      <w:r w:rsidRPr="00EB0F0E">
        <w:softHyphen/>
        <w:t>maksām un nodarbinātā neto darba samaksu. To aprēķina kā darba nodokļu (IIN un darba ņē</w:t>
      </w:r>
      <w:r w:rsidRPr="00EB0F0E">
        <w:softHyphen/>
        <w:t>mēja un darba devēja VSAOI) procentuālo attiecību pret kopējām darbaspēka izmaksām. Kopējās darbaspēka izmaksas veido darba algas pirms nodokļu nomaksas un darba devēja VSAOI summa.</w:t>
      </w:r>
      <w:r w:rsidRPr="00EB0F0E">
        <w:rPr>
          <w:rStyle w:val="FootnoteReference"/>
        </w:rPr>
        <w:t xml:space="preserve"> </w:t>
      </w:r>
      <w:r w:rsidRPr="00EB0F0E">
        <w:t xml:space="preserve">Šis rādītājs raksturo </w:t>
      </w:r>
      <w:r w:rsidRPr="00EB0F0E">
        <w:rPr>
          <w:bCs/>
          <w:color w:val="000000"/>
          <w:lang w:eastAsia="lv-LV"/>
        </w:rPr>
        <w:t>starpību starp darba ņēmēja nopelnīto</w:t>
      </w:r>
      <w:proofErr w:type="gramStart"/>
      <w:r w:rsidRPr="00EB0F0E">
        <w:rPr>
          <w:bCs/>
          <w:color w:val="000000"/>
          <w:lang w:eastAsia="lv-LV"/>
        </w:rPr>
        <w:t xml:space="preserve"> un</w:t>
      </w:r>
      <w:proofErr w:type="gramEnd"/>
      <w:r w:rsidRPr="00EB0F0E">
        <w:rPr>
          <w:bCs/>
          <w:color w:val="000000"/>
          <w:lang w:eastAsia="lv-LV"/>
        </w:rPr>
        <w:t xml:space="preserve"> to cik šis darbaspēks izmaksā darba devējam.</w:t>
      </w:r>
    </w:p>
  </w:footnote>
  <w:footnote w:id="88">
    <w:p w:rsidR="00401ED6" w:rsidRDefault="00401ED6" w:rsidP="00116EAC">
      <w:pPr>
        <w:pStyle w:val="FootnoteText"/>
        <w:jc w:val="both"/>
      </w:pPr>
      <w:r>
        <w:rPr>
          <w:rStyle w:val="FootnoteReference"/>
        </w:rPr>
        <w:footnoteRef/>
      </w:r>
      <w:r>
        <w:t xml:space="preserve"> </w:t>
      </w:r>
      <w:r w:rsidRPr="002927B3">
        <w:rPr>
          <w:bCs/>
          <w:lang w:eastAsia="lv-LV"/>
        </w:rPr>
        <w:t>Baltijas Starptautiskā ekonomikas politikas studiju centra (BICEPS) „Pētījums nodokļu sistē</w:t>
      </w:r>
      <w:r>
        <w:rPr>
          <w:bCs/>
          <w:lang w:eastAsia="lv-LV"/>
        </w:rPr>
        <w:t xml:space="preserve">mas pilnveidošanas jomā”(2014), </w:t>
      </w:r>
      <w:r>
        <w:t xml:space="preserve">61 lp. </w:t>
      </w:r>
    </w:p>
  </w:footnote>
  <w:footnote w:id="89">
    <w:p w:rsidR="00401ED6" w:rsidRPr="000944D4" w:rsidRDefault="00401ED6" w:rsidP="001244CF">
      <w:pPr>
        <w:pStyle w:val="FootnoteText"/>
        <w:jc w:val="both"/>
      </w:pPr>
      <w:r w:rsidRPr="000944D4">
        <w:rPr>
          <w:rStyle w:val="FootnoteReference"/>
        </w:rPr>
        <w:footnoteRef/>
      </w:r>
      <w:r w:rsidRPr="000944D4">
        <w:t xml:space="preserve"> </w:t>
      </w:r>
      <w:proofErr w:type="spellStart"/>
      <w:r w:rsidRPr="000944D4">
        <w:rPr>
          <w:iCs/>
        </w:rPr>
        <w:t>Laes</w:t>
      </w:r>
      <w:proofErr w:type="spellEnd"/>
      <w:r w:rsidRPr="000944D4">
        <w:rPr>
          <w:iCs/>
        </w:rPr>
        <w:t xml:space="preserve">, T. (2013). </w:t>
      </w:r>
      <w:proofErr w:type="spellStart"/>
      <w:r w:rsidRPr="000944D4">
        <w:rPr>
          <w:bCs/>
          <w:iCs/>
        </w:rPr>
        <w:t>The</w:t>
      </w:r>
      <w:proofErr w:type="spellEnd"/>
      <w:r w:rsidRPr="000944D4">
        <w:rPr>
          <w:bCs/>
          <w:iCs/>
        </w:rPr>
        <w:t xml:space="preserve"> </w:t>
      </w:r>
      <w:proofErr w:type="spellStart"/>
      <w:r w:rsidRPr="000944D4">
        <w:rPr>
          <w:bCs/>
          <w:iCs/>
        </w:rPr>
        <w:t>individual</w:t>
      </w:r>
      <w:proofErr w:type="spellEnd"/>
      <w:r w:rsidRPr="000944D4">
        <w:rPr>
          <w:bCs/>
          <w:iCs/>
        </w:rPr>
        <w:t xml:space="preserve"> </w:t>
      </w:r>
      <w:proofErr w:type="spellStart"/>
      <w:r w:rsidRPr="000944D4">
        <w:rPr>
          <w:bCs/>
          <w:iCs/>
        </w:rPr>
        <w:t>and</w:t>
      </w:r>
      <w:proofErr w:type="spellEnd"/>
      <w:r w:rsidRPr="000944D4">
        <w:rPr>
          <w:bCs/>
          <w:iCs/>
        </w:rPr>
        <w:t xml:space="preserve"> </w:t>
      </w:r>
      <w:proofErr w:type="spellStart"/>
      <w:r w:rsidRPr="000944D4">
        <w:rPr>
          <w:bCs/>
          <w:iCs/>
        </w:rPr>
        <w:t>social</w:t>
      </w:r>
      <w:proofErr w:type="spellEnd"/>
      <w:r w:rsidRPr="000944D4">
        <w:rPr>
          <w:bCs/>
          <w:iCs/>
        </w:rPr>
        <w:t xml:space="preserve"> </w:t>
      </w:r>
      <w:proofErr w:type="spellStart"/>
      <w:r w:rsidRPr="000944D4">
        <w:rPr>
          <w:bCs/>
          <w:iCs/>
        </w:rPr>
        <w:t>nature</w:t>
      </w:r>
      <w:proofErr w:type="spellEnd"/>
      <w:r w:rsidRPr="000944D4">
        <w:rPr>
          <w:bCs/>
          <w:iCs/>
        </w:rPr>
        <w:t xml:space="preserve"> </w:t>
      </w:r>
      <w:proofErr w:type="spellStart"/>
      <w:r w:rsidRPr="000944D4">
        <w:rPr>
          <w:bCs/>
          <w:iCs/>
        </w:rPr>
        <w:t>of</w:t>
      </w:r>
      <w:proofErr w:type="spellEnd"/>
      <w:r w:rsidRPr="000944D4">
        <w:rPr>
          <w:bCs/>
          <w:iCs/>
        </w:rPr>
        <w:t xml:space="preserve"> </w:t>
      </w:r>
      <w:proofErr w:type="spellStart"/>
      <w:r w:rsidRPr="000944D4">
        <w:rPr>
          <w:bCs/>
          <w:iCs/>
        </w:rPr>
        <w:t>poverty</w:t>
      </w:r>
      <w:proofErr w:type="spellEnd"/>
      <w:r w:rsidRPr="000944D4">
        <w:rPr>
          <w:bCs/>
          <w:iCs/>
        </w:rPr>
        <w:t xml:space="preserve">. </w:t>
      </w:r>
      <w:r w:rsidRPr="000944D4">
        <w:rPr>
          <w:rFonts w:eastAsia="ArialMT"/>
        </w:rPr>
        <w:t xml:space="preserve">1/13. </w:t>
      </w:r>
      <w:proofErr w:type="spellStart"/>
      <w:r w:rsidRPr="000944D4">
        <w:rPr>
          <w:rFonts w:eastAsia="ArialMT"/>
          <w:iCs/>
        </w:rPr>
        <w:t>Qarterly</w:t>
      </w:r>
      <w:proofErr w:type="spellEnd"/>
      <w:r w:rsidRPr="000944D4">
        <w:rPr>
          <w:rFonts w:eastAsia="ArialMT"/>
          <w:iCs/>
        </w:rPr>
        <w:t xml:space="preserve"> </w:t>
      </w:r>
      <w:proofErr w:type="spellStart"/>
      <w:r w:rsidRPr="000944D4">
        <w:rPr>
          <w:rFonts w:eastAsia="ArialMT"/>
          <w:iCs/>
        </w:rPr>
        <w:t>bulletin</w:t>
      </w:r>
      <w:proofErr w:type="spellEnd"/>
      <w:r w:rsidRPr="000944D4">
        <w:rPr>
          <w:rFonts w:eastAsia="ArialMT"/>
          <w:iCs/>
        </w:rPr>
        <w:t xml:space="preserve"> </w:t>
      </w:r>
      <w:proofErr w:type="spellStart"/>
      <w:r w:rsidRPr="000944D4">
        <w:rPr>
          <w:rFonts w:eastAsia="ArialMT"/>
          <w:iCs/>
        </w:rPr>
        <w:t>of</w:t>
      </w:r>
      <w:proofErr w:type="spellEnd"/>
      <w:r w:rsidRPr="000944D4">
        <w:rPr>
          <w:rFonts w:eastAsia="ArialMT"/>
          <w:iCs/>
        </w:rPr>
        <w:t xml:space="preserve"> </w:t>
      </w:r>
      <w:proofErr w:type="spellStart"/>
      <w:r w:rsidRPr="000944D4">
        <w:rPr>
          <w:rFonts w:eastAsia="ArialMT"/>
          <w:iCs/>
        </w:rPr>
        <w:t>statistics</w:t>
      </w:r>
      <w:proofErr w:type="spellEnd"/>
      <w:r w:rsidRPr="000944D4">
        <w:rPr>
          <w:rFonts w:eastAsia="ArialMT"/>
          <w:iCs/>
        </w:rPr>
        <w:t xml:space="preserve"> </w:t>
      </w:r>
      <w:proofErr w:type="spellStart"/>
      <w:r w:rsidRPr="000944D4">
        <w:rPr>
          <w:rFonts w:eastAsia="ArialMT"/>
          <w:iCs/>
        </w:rPr>
        <w:t>Estonia</w:t>
      </w:r>
      <w:proofErr w:type="spellEnd"/>
      <w:r w:rsidRPr="000944D4">
        <w:rPr>
          <w:iCs/>
        </w:rPr>
        <w:t xml:space="preserve">. Pieejams </w:t>
      </w:r>
      <w:hyperlink r:id="rId30" w:history="1">
        <w:r w:rsidRPr="000944D4">
          <w:rPr>
            <w:rStyle w:val="Hyperlink"/>
          </w:rPr>
          <w:t>www.stat.ee/dokumendid/68625</w:t>
        </w:r>
      </w:hyperlink>
      <w:r w:rsidRPr="000944D4">
        <w:rPr>
          <w:rStyle w:val="HTMLCite"/>
        </w:rPr>
        <w:t xml:space="preserve">. </w:t>
      </w:r>
      <w:r w:rsidRPr="000944D4">
        <w:rPr>
          <w:rStyle w:val="HTMLCite"/>
          <w:i w:val="0"/>
        </w:rPr>
        <w:t>Skatīts 04.07.2014.</w:t>
      </w:r>
    </w:p>
  </w:footnote>
  <w:footnote w:id="90">
    <w:p w:rsidR="00401ED6" w:rsidRDefault="00401ED6" w:rsidP="001244CF">
      <w:pPr>
        <w:pStyle w:val="FootnoteText"/>
      </w:pPr>
      <w:r>
        <w:rPr>
          <w:rStyle w:val="FootnoteReference"/>
        </w:rPr>
        <w:footnoteRef/>
      </w:r>
      <w:r>
        <w:t xml:space="preserve"> </w:t>
      </w:r>
      <w:proofErr w:type="spellStart"/>
      <w:r>
        <w:t>Estonian</w:t>
      </w:r>
      <w:proofErr w:type="spellEnd"/>
      <w:r>
        <w:t xml:space="preserve"> </w:t>
      </w:r>
      <w:proofErr w:type="spellStart"/>
      <w:r>
        <w:t>Information</w:t>
      </w:r>
      <w:proofErr w:type="spellEnd"/>
      <w:r>
        <w:t xml:space="preserve"> </w:t>
      </w:r>
      <w:proofErr w:type="spellStart"/>
      <w:r>
        <w:t>System</w:t>
      </w:r>
      <w:proofErr w:type="spellEnd"/>
      <w:r>
        <w:t xml:space="preserve"> </w:t>
      </w:r>
      <w:proofErr w:type="spellStart"/>
      <w:r>
        <w:t>Authority</w:t>
      </w:r>
      <w:proofErr w:type="spellEnd"/>
      <w:r>
        <w:t xml:space="preserve"> </w:t>
      </w:r>
      <w:hyperlink r:id="rId31" w:history="1">
        <w:r w:rsidRPr="00BD4E07">
          <w:rPr>
            <w:rStyle w:val="Hyperlink"/>
          </w:rPr>
          <w:t>https://www.eesti.ee/eng/toetused_ja_sotsiaalabi/toetused_ja_huvitised/toimetulekutoetus</w:t>
        </w:r>
      </w:hyperlink>
      <w:r>
        <w:t xml:space="preserve">. </w:t>
      </w:r>
      <w:r w:rsidRPr="000944D4">
        <w:rPr>
          <w:rStyle w:val="HTMLCite"/>
          <w:i w:val="0"/>
        </w:rPr>
        <w:t>Skatīts 04.07.2014.</w:t>
      </w:r>
    </w:p>
  </w:footnote>
  <w:footnote w:id="91">
    <w:p w:rsidR="00401ED6" w:rsidRPr="00BD4E07" w:rsidRDefault="00401ED6" w:rsidP="001244CF">
      <w:pPr>
        <w:pStyle w:val="Heading1"/>
        <w:spacing w:before="0" w:beforeAutospacing="0" w:after="0" w:afterAutospacing="0"/>
        <w:jc w:val="both"/>
        <w:rPr>
          <w:sz w:val="20"/>
          <w:szCs w:val="20"/>
        </w:rPr>
      </w:pPr>
      <w:r w:rsidRPr="00BD4E07">
        <w:rPr>
          <w:rStyle w:val="FootnoteReference"/>
          <w:sz w:val="20"/>
          <w:szCs w:val="20"/>
        </w:rPr>
        <w:footnoteRef/>
      </w:r>
      <w:r w:rsidRPr="00BD4E07">
        <w:t xml:space="preserve"> </w:t>
      </w:r>
      <w:r w:rsidRPr="00A20D75">
        <w:rPr>
          <w:b w:val="0"/>
          <w:bCs w:val="0"/>
          <w:sz w:val="20"/>
          <w:szCs w:val="44"/>
        </w:rPr>
        <w:t xml:space="preserve">OECD </w:t>
      </w:r>
      <w:proofErr w:type="spellStart"/>
      <w:r w:rsidRPr="00A20D75">
        <w:rPr>
          <w:b w:val="0"/>
          <w:bCs w:val="0"/>
          <w:sz w:val="20"/>
          <w:szCs w:val="44"/>
        </w:rPr>
        <w:t>Economics</w:t>
      </w:r>
      <w:proofErr w:type="spellEnd"/>
      <w:r w:rsidRPr="00A20D75">
        <w:rPr>
          <w:b w:val="0"/>
          <w:bCs w:val="0"/>
          <w:sz w:val="20"/>
          <w:szCs w:val="44"/>
        </w:rPr>
        <w:t xml:space="preserve"> </w:t>
      </w:r>
      <w:proofErr w:type="spellStart"/>
      <w:r w:rsidRPr="00A20D75">
        <w:rPr>
          <w:b w:val="0"/>
          <w:bCs w:val="0"/>
          <w:sz w:val="20"/>
          <w:szCs w:val="44"/>
        </w:rPr>
        <w:t>Department</w:t>
      </w:r>
      <w:proofErr w:type="spellEnd"/>
      <w:r w:rsidRPr="00A20D75">
        <w:rPr>
          <w:b w:val="0"/>
          <w:bCs w:val="0"/>
          <w:sz w:val="20"/>
          <w:szCs w:val="44"/>
        </w:rPr>
        <w:t xml:space="preserve"> </w:t>
      </w:r>
      <w:proofErr w:type="spellStart"/>
      <w:r w:rsidRPr="00A20D75">
        <w:rPr>
          <w:b w:val="0"/>
          <w:bCs w:val="0"/>
          <w:sz w:val="20"/>
          <w:szCs w:val="44"/>
        </w:rPr>
        <w:t>Working</w:t>
      </w:r>
      <w:proofErr w:type="spellEnd"/>
      <w:r w:rsidRPr="00A20D75">
        <w:rPr>
          <w:b w:val="0"/>
          <w:bCs w:val="0"/>
          <w:sz w:val="20"/>
          <w:szCs w:val="44"/>
        </w:rPr>
        <w:t xml:space="preserve"> </w:t>
      </w:r>
      <w:proofErr w:type="spellStart"/>
      <w:r w:rsidRPr="00A20D75">
        <w:rPr>
          <w:b w:val="0"/>
          <w:bCs w:val="0"/>
          <w:sz w:val="20"/>
          <w:szCs w:val="44"/>
        </w:rPr>
        <w:t>Papers</w:t>
      </w:r>
      <w:proofErr w:type="spellEnd"/>
      <w:r w:rsidRPr="00A20D75">
        <w:rPr>
          <w:b w:val="0"/>
          <w:bCs w:val="0"/>
          <w:sz w:val="20"/>
          <w:szCs w:val="44"/>
        </w:rPr>
        <w:t xml:space="preserve"> „</w:t>
      </w:r>
      <w:proofErr w:type="spellStart"/>
      <w:r w:rsidRPr="00A20D75">
        <w:rPr>
          <w:b w:val="0"/>
          <w:bCs w:val="0"/>
          <w:sz w:val="20"/>
          <w:szCs w:val="44"/>
        </w:rPr>
        <w:t>Reducing</w:t>
      </w:r>
      <w:proofErr w:type="spellEnd"/>
      <w:r w:rsidRPr="00A20D75">
        <w:rPr>
          <w:b w:val="0"/>
          <w:bCs w:val="0"/>
          <w:sz w:val="20"/>
          <w:szCs w:val="44"/>
        </w:rPr>
        <w:t xml:space="preserve"> </w:t>
      </w:r>
      <w:proofErr w:type="spellStart"/>
      <w:r w:rsidRPr="00A20D75">
        <w:rPr>
          <w:b w:val="0"/>
          <w:bCs w:val="0"/>
          <w:sz w:val="20"/>
          <w:szCs w:val="44"/>
        </w:rPr>
        <w:t>Poverty</w:t>
      </w:r>
      <w:proofErr w:type="spellEnd"/>
      <w:r w:rsidRPr="00A20D75">
        <w:rPr>
          <w:b w:val="0"/>
          <w:bCs w:val="0"/>
          <w:sz w:val="20"/>
          <w:szCs w:val="44"/>
        </w:rPr>
        <w:t xml:space="preserve"> </w:t>
      </w:r>
      <w:proofErr w:type="spellStart"/>
      <w:r w:rsidRPr="00A20D75">
        <w:rPr>
          <w:b w:val="0"/>
          <w:bCs w:val="0"/>
          <w:sz w:val="20"/>
          <w:szCs w:val="44"/>
        </w:rPr>
        <w:t>in</w:t>
      </w:r>
      <w:proofErr w:type="spellEnd"/>
      <w:r w:rsidRPr="00A20D75">
        <w:rPr>
          <w:b w:val="0"/>
          <w:bCs w:val="0"/>
          <w:sz w:val="20"/>
          <w:szCs w:val="44"/>
        </w:rPr>
        <w:t xml:space="preserve"> </w:t>
      </w:r>
      <w:proofErr w:type="spellStart"/>
      <w:r w:rsidRPr="00A20D75">
        <w:rPr>
          <w:b w:val="0"/>
          <w:bCs w:val="0"/>
          <w:sz w:val="20"/>
          <w:szCs w:val="44"/>
        </w:rPr>
        <w:t>Estonia</w:t>
      </w:r>
      <w:proofErr w:type="spellEnd"/>
      <w:r w:rsidRPr="00A20D75">
        <w:rPr>
          <w:b w:val="0"/>
          <w:bCs w:val="0"/>
          <w:sz w:val="20"/>
          <w:szCs w:val="44"/>
        </w:rPr>
        <w:t xml:space="preserve"> </w:t>
      </w:r>
      <w:proofErr w:type="spellStart"/>
      <w:r w:rsidRPr="00A20D75">
        <w:rPr>
          <w:b w:val="0"/>
          <w:bCs w:val="0"/>
          <w:sz w:val="20"/>
          <w:szCs w:val="44"/>
        </w:rPr>
        <w:t>Through</w:t>
      </w:r>
      <w:proofErr w:type="spellEnd"/>
      <w:r w:rsidRPr="00A20D75">
        <w:rPr>
          <w:b w:val="0"/>
          <w:bCs w:val="0"/>
          <w:sz w:val="20"/>
          <w:szCs w:val="44"/>
        </w:rPr>
        <w:t xml:space="preserve"> </w:t>
      </w:r>
      <w:proofErr w:type="spellStart"/>
      <w:r w:rsidRPr="00A20D75">
        <w:rPr>
          <w:b w:val="0"/>
          <w:bCs w:val="0"/>
          <w:sz w:val="20"/>
          <w:szCs w:val="44"/>
        </w:rPr>
        <w:t>Activation</w:t>
      </w:r>
      <w:proofErr w:type="spellEnd"/>
      <w:r w:rsidRPr="00A20D75">
        <w:rPr>
          <w:b w:val="0"/>
          <w:bCs w:val="0"/>
          <w:sz w:val="20"/>
          <w:szCs w:val="44"/>
        </w:rPr>
        <w:t xml:space="preserve"> </w:t>
      </w:r>
      <w:proofErr w:type="spellStart"/>
      <w:r w:rsidRPr="00A20D75">
        <w:rPr>
          <w:b w:val="0"/>
          <w:bCs w:val="0"/>
          <w:sz w:val="20"/>
          <w:szCs w:val="44"/>
        </w:rPr>
        <w:t>and</w:t>
      </w:r>
      <w:proofErr w:type="spellEnd"/>
      <w:r w:rsidRPr="00A20D75">
        <w:rPr>
          <w:b w:val="0"/>
          <w:bCs w:val="0"/>
          <w:sz w:val="20"/>
          <w:szCs w:val="44"/>
        </w:rPr>
        <w:t xml:space="preserve"> </w:t>
      </w:r>
      <w:proofErr w:type="spellStart"/>
      <w:r w:rsidRPr="00A20D75">
        <w:rPr>
          <w:b w:val="0"/>
          <w:bCs w:val="0"/>
          <w:sz w:val="20"/>
          <w:szCs w:val="44"/>
        </w:rPr>
        <w:t>Better</w:t>
      </w:r>
      <w:proofErr w:type="spellEnd"/>
      <w:r w:rsidRPr="00A20D75">
        <w:rPr>
          <w:b w:val="0"/>
          <w:bCs w:val="0"/>
          <w:sz w:val="20"/>
          <w:szCs w:val="44"/>
        </w:rPr>
        <w:t xml:space="preserve"> </w:t>
      </w:r>
      <w:proofErr w:type="spellStart"/>
      <w:r w:rsidRPr="00A20D75">
        <w:rPr>
          <w:b w:val="0"/>
          <w:bCs w:val="0"/>
          <w:sz w:val="20"/>
          <w:szCs w:val="44"/>
        </w:rPr>
        <w:t>Targeting</w:t>
      </w:r>
      <w:proofErr w:type="spellEnd"/>
      <w:r w:rsidRPr="00A20D75">
        <w:rPr>
          <w:b w:val="0"/>
          <w:bCs w:val="0"/>
          <w:sz w:val="20"/>
          <w:szCs w:val="44"/>
        </w:rPr>
        <w:t xml:space="preserve"> (2012)”. Pieejams</w:t>
      </w:r>
      <w:r>
        <w:rPr>
          <w:b w:val="0"/>
          <w:bCs w:val="0"/>
          <w:sz w:val="20"/>
          <w:szCs w:val="44"/>
        </w:rPr>
        <w:t>:</w:t>
      </w:r>
      <w:r w:rsidRPr="00A20D75">
        <w:rPr>
          <w:b w:val="0"/>
          <w:bCs w:val="0"/>
          <w:sz w:val="20"/>
          <w:szCs w:val="44"/>
        </w:rPr>
        <w:t xml:space="preserve"> </w:t>
      </w:r>
      <w:hyperlink r:id="rId32" w:anchor="page1" w:history="1">
        <w:r w:rsidRPr="00A20D75">
          <w:rPr>
            <w:b w:val="0"/>
            <w:bCs w:val="0"/>
            <w:sz w:val="20"/>
            <w:szCs w:val="44"/>
          </w:rPr>
          <w:t>http://www.keepeek.com/Digital-Asset-Management/oecd/economics/reducing-poverty-in-estonia-through-activation-and-better-targeting_5k8xb72v68bx-en#page1</w:t>
        </w:r>
      </w:hyperlink>
      <w:proofErr w:type="gramStart"/>
      <w:r>
        <w:rPr>
          <w:b w:val="0"/>
          <w:bCs w:val="0"/>
          <w:sz w:val="20"/>
          <w:szCs w:val="44"/>
        </w:rPr>
        <w:t xml:space="preserve"> </w:t>
      </w:r>
      <w:r w:rsidRPr="00A20D75">
        <w:rPr>
          <w:sz w:val="20"/>
          <w:szCs w:val="44"/>
        </w:rPr>
        <w:t xml:space="preserve"> </w:t>
      </w:r>
      <w:proofErr w:type="gramEnd"/>
    </w:p>
  </w:footnote>
  <w:footnote w:id="92">
    <w:p w:rsidR="00401ED6" w:rsidRDefault="00401ED6" w:rsidP="0047153C">
      <w:pPr>
        <w:pStyle w:val="FootnoteText"/>
        <w:jc w:val="both"/>
      </w:pPr>
      <w:r>
        <w:rPr>
          <w:rStyle w:val="FootnoteReference"/>
        </w:rPr>
        <w:footnoteRef/>
      </w:r>
      <w:r>
        <w:t xml:space="preserve"> MISSOC datu bāze. MISSOC </w:t>
      </w:r>
      <w:proofErr w:type="gramStart"/>
      <w:r>
        <w:t>(</w:t>
      </w:r>
      <w:proofErr w:type="gramEnd"/>
      <w:r>
        <w:t xml:space="preserve">saīsinājums no angļu val. </w:t>
      </w:r>
      <w:proofErr w:type="spellStart"/>
      <w:r w:rsidRPr="0047153C">
        <w:rPr>
          <w:rStyle w:val="st"/>
          <w:i/>
        </w:rPr>
        <w:t>Mutual</w:t>
      </w:r>
      <w:proofErr w:type="spellEnd"/>
      <w:r w:rsidRPr="0047153C">
        <w:rPr>
          <w:rStyle w:val="st"/>
          <w:i/>
        </w:rPr>
        <w:t xml:space="preserve"> </w:t>
      </w:r>
      <w:proofErr w:type="spellStart"/>
      <w:r w:rsidRPr="0047153C">
        <w:rPr>
          <w:rStyle w:val="st"/>
          <w:i/>
        </w:rPr>
        <w:t>Information</w:t>
      </w:r>
      <w:proofErr w:type="spellEnd"/>
      <w:r w:rsidRPr="0047153C">
        <w:rPr>
          <w:rStyle w:val="st"/>
          <w:i/>
        </w:rPr>
        <w:t xml:space="preserve"> </w:t>
      </w:r>
      <w:proofErr w:type="spellStart"/>
      <w:r w:rsidRPr="0047153C">
        <w:rPr>
          <w:rStyle w:val="st"/>
          <w:i/>
        </w:rPr>
        <w:t>System</w:t>
      </w:r>
      <w:proofErr w:type="spellEnd"/>
      <w:r w:rsidRPr="0047153C">
        <w:rPr>
          <w:rStyle w:val="st"/>
          <w:i/>
        </w:rPr>
        <w:t xml:space="preserve"> </w:t>
      </w:r>
      <w:proofErr w:type="spellStart"/>
      <w:r w:rsidRPr="0047153C">
        <w:rPr>
          <w:rStyle w:val="st"/>
          <w:i/>
        </w:rPr>
        <w:t>on</w:t>
      </w:r>
      <w:proofErr w:type="spellEnd"/>
      <w:r w:rsidRPr="0047153C">
        <w:rPr>
          <w:rStyle w:val="st"/>
          <w:i/>
        </w:rPr>
        <w:t xml:space="preserve"> </w:t>
      </w:r>
      <w:proofErr w:type="spellStart"/>
      <w:r w:rsidRPr="0047153C">
        <w:rPr>
          <w:rStyle w:val="st"/>
          <w:i/>
        </w:rPr>
        <w:t>Social</w:t>
      </w:r>
      <w:proofErr w:type="spellEnd"/>
      <w:r w:rsidRPr="0047153C">
        <w:rPr>
          <w:rStyle w:val="st"/>
          <w:i/>
        </w:rPr>
        <w:t xml:space="preserve"> </w:t>
      </w:r>
      <w:proofErr w:type="spellStart"/>
      <w:r w:rsidRPr="0047153C">
        <w:rPr>
          <w:rStyle w:val="st"/>
          <w:i/>
        </w:rPr>
        <w:t>Protection</w:t>
      </w:r>
      <w:proofErr w:type="spellEnd"/>
      <w:r w:rsidRPr="0047153C">
        <w:rPr>
          <w:rStyle w:val="st"/>
          <w:i/>
        </w:rPr>
        <w:t>)</w:t>
      </w:r>
      <w:r>
        <w:rPr>
          <w:rStyle w:val="st"/>
        </w:rPr>
        <w:t xml:space="preserve"> </w:t>
      </w:r>
      <w:r>
        <w:t xml:space="preserve">ir ES izveidota informācijas sistēma, kurā dalībvalstis savstarpēji apmainās ar informāciju par sociālo aizsardzību. Tajā ir pieejama detalizēta, salīdzināma un regulāri atjaunināta informācija par valstu sociālās aizsardzības sistēmām. Vairāk informācijas </w:t>
      </w:r>
      <w:hyperlink r:id="rId33" w:history="1">
        <w:r w:rsidRPr="00A57FC7">
          <w:rPr>
            <w:rStyle w:val="Hyperlink"/>
          </w:rPr>
          <w:t>http://ec.europa.eu/social/main.jsp?langId=lv&amp;catId=815</w:t>
        </w:r>
      </w:hyperlink>
      <w:r>
        <w:t>.</w:t>
      </w:r>
    </w:p>
  </w:footnote>
  <w:footnote w:id="93">
    <w:p w:rsidR="00401ED6" w:rsidRDefault="00401ED6" w:rsidP="000A4097">
      <w:pPr>
        <w:pStyle w:val="FootnoteText"/>
        <w:jc w:val="both"/>
      </w:pPr>
      <w:r>
        <w:rPr>
          <w:rStyle w:val="FootnoteReference"/>
        </w:rPr>
        <w:footnoteRef/>
      </w:r>
      <w:r>
        <w:t xml:space="preserve"> Finanšu ministrijas informatīvais ziņojums </w:t>
      </w:r>
      <w:r w:rsidRPr="00DB48A3">
        <w:rPr>
          <w:iCs/>
        </w:rPr>
        <w:t>„Darbaspēka nodokļu izmaiņas ienākumu nevienlīdzības mazināšanai – veikto izmaiņu novērtējums un priekšlikumi tālākai rīcībai”</w:t>
      </w:r>
      <w:r>
        <w:rPr>
          <w:iCs/>
        </w:rPr>
        <w:t xml:space="preserve"> (projekts uz 26.06.2014.); 8.lpp.</w:t>
      </w:r>
    </w:p>
  </w:footnote>
  <w:footnote w:id="94">
    <w:p w:rsidR="00401ED6" w:rsidRPr="001958F4" w:rsidRDefault="00401ED6" w:rsidP="000A4097">
      <w:pPr>
        <w:pStyle w:val="BodyText"/>
        <w:tabs>
          <w:tab w:val="left" w:pos="720"/>
        </w:tabs>
        <w:suppressAutoHyphens/>
        <w:spacing w:after="0"/>
        <w:jc w:val="both"/>
        <w:rPr>
          <w:sz w:val="20"/>
          <w:szCs w:val="20"/>
          <w:lang w:val="lt-LT"/>
        </w:rPr>
      </w:pPr>
      <w:r w:rsidRPr="001958F4">
        <w:rPr>
          <w:rStyle w:val="FootnoteReference"/>
          <w:sz w:val="20"/>
          <w:szCs w:val="20"/>
        </w:rPr>
        <w:footnoteRef/>
      </w:r>
      <w:r w:rsidRPr="001958F4">
        <w:rPr>
          <w:sz w:val="20"/>
          <w:szCs w:val="20"/>
        </w:rPr>
        <w:t xml:space="preserve"> </w:t>
      </w:r>
      <w:r w:rsidRPr="001958F4">
        <w:rPr>
          <w:sz w:val="20"/>
          <w:szCs w:val="20"/>
          <w:lang w:val="lt-LT"/>
        </w:rPr>
        <w:t xml:space="preserve">Lazutka R., Poviliunas A. </w:t>
      </w:r>
      <w:r>
        <w:rPr>
          <w:sz w:val="20"/>
          <w:szCs w:val="20"/>
          <w:lang w:val="lt-LT"/>
        </w:rPr>
        <w:t>„</w:t>
      </w:r>
      <w:r w:rsidRPr="001958F4">
        <w:rPr>
          <w:sz w:val="20"/>
          <w:szCs w:val="20"/>
          <w:lang w:val="en-GB"/>
        </w:rPr>
        <w:t xml:space="preserve">Lithuania: Minimum Income Schemes. </w:t>
      </w:r>
      <w:proofErr w:type="gramStart"/>
      <w:r w:rsidRPr="001958F4">
        <w:rPr>
          <w:sz w:val="20"/>
          <w:szCs w:val="20"/>
          <w:lang w:val="en-GB"/>
        </w:rPr>
        <w:t>A Study of National Policies</w:t>
      </w:r>
      <w:r>
        <w:rPr>
          <w:sz w:val="20"/>
          <w:szCs w:val="20"/>
          <w:lang w:val="en-GB"/>
        </w:rPr>
        <w:t xml:space="preserve">”, European Commission, </w:t>
      </w:r>
      <w:r w:rsidRPr="001958F4">
        <w:rPr>
          <w:sz w:val="20"/>
          <w:szCs w:val="20"/>
          <w:lang w:val="en-GB"/>
        </w:rPr>
        <w:t>DG Employment, Social Affairs and Equal Opportunities</w:t>
      </w:r>
      <w:r>
        <w:rPr>
          <w:sz w:val="20"/>
          <w:szCs w:val="20"/>
          <w:lang w:val="lt-LT"/>
        </w:rPr>
        <w:t xml:space="preserve">, </w:t>
      </w:r>
      <w:r w:rsidRPr="001958F4">
        <w:rPr>
          <w:sz w:val="20"/>
          <w:szCs w:val="20"/>
          <w:lang w:val="lt-LT"/>
        </w:rPr>
        <w:t>2009</w:t>
      </w:r>
      <w:r>
        <w:rPr>
          <w:sz w:val="20"/>
          <w:szCs w:val="20"/>
          <w:lang w:val="lt-LT"/>
        </w:rPr>
        <w:t>, 5.lpp.</w:t>
      </w:r>
      <w:proofErr w:type="gramEnd"/>
      <w:r>
        <w:rPr>
          <w:sz w:val="20"/>
          <w:szCs w:val="20"/>
          <w:lang w:val="lt-LT"/>
        </w:rPr>
        <w:t xml:space="preserve"> </w:t>
      </w:r>
      <w:r>
        <w:rPr>
          <w:sz w:val="20"/>
          <w:szCs w:val="20"/>
          <w:lang w:val="lt-LT"/>
        </w:rPr>
        <w:t>Pieejams:</w:t>
      </w:r>
      <w:r w:rsidR="00221F61">
        <w:fldChar w:fldCharType="begin"/>
      </w:r>
      <w:r w:rsidR="00221F61">
        <w:instrText xml:space="preserve"> HYPERLINK "http://www.peer-review-social-inclusion.eu/network-of-independent-experts/2009/minimum-income-schemes" </w:instrText>
      </w:r>
      <w:r w:rsidR="00221F61">
        <w:fldChar w:fldCharType="separate"/>
      </w:r>
      <w:r w:rsidRPr="001958F4">
        <w:rPr>
          <w:rStyle w:val="Hyperlink"/>
          <w:sz w:val="20"/>
          <w:szCs w:val="20"/>
          <w:lang w:val="lt-LT"/>
        </w:rPr>
        <w:t>http://www.peer-review-social-inclusion.eu/network-of-independent-experts/2009/minimum-income-schemes</w:t>
      </w:r>
      <w:r w:rsidR="00221F61">
        <w:rPr>
          <w:rStyle w:val="Hyperlink"/>
          <w:sz w:val="20"/>
          <w:szCs w:val="20"/>
          <w:lang w:val="lt-LT"/>
        </w:rPr>
        <w:fldChar w:fldCharType="end"/>
      </w:r>
      <w:r w:rsidRPr="001958F4">
        <w:rPr>
          <w:sz w:val="20"/>
          <w:szCs w:val="20"/>
          <w:lang w:val="lt-LT"/>
        </w:rPr>
        <w:t>.</w:t>
      </w:r>
      <w:r>
        <w:rPr>
          <w:sz w:val="20"/>
          <w:szCs w:val="20"/>
          <w:lang w:val="lt-LT"/>
        </w:rPr>
        <w:t>S</w:t>
      </w:r>
      <w:r w:rsidRPr="001958F4">
        <w:rPr>
          <w:sz w:val="20"/>
          <w:szCs w:val="20"/>
          <w:lang w:val="lt-LT"/>
        </w:rPr>
        <w:t xml:space="preserve">katīts 18.07.2014. </w:t>
      </w:r>
      <w:r w:rsidRPr="001958F4">
        <w:rPr>
          <w:sz w:val="20"/>
          <w:szCs w:val="20"/>
        </w:rPr>
        <w:t xml:space="preserve"> </w:t>
      </w:r>
    </w:p>
  </w:footnote>
  <w:footnote w:id="95">
    <w:p w:rsidR="00401ED6" w:rsidRDefault="00401ED6" w:rsidP="005C6659">
      <w:pPr>
        <w:pStyle w:val="FootnoteText"/>
        <w:jc w:val="both"/>
      </w:pPr>
      <w:r>
        <w:rPr>
          <w:rStyle w:val="FootnoteReference"/>
        </w:rPr>
        <w:footnoteRef/>
      </w:r>
      <w:r>
        <w:t xml:space="preserve"> MISSOC datu bāze. </w:t>
      </w:r>
    </w:p>
  </w:footnote>
  <w:footnote w:id="96">
    <w:p w:rsidR="00401ED6" w:rsidRDefault="00401ED6" w:rsidP="0047153C">
      <w:pPr>
        <w:pStyle w:val="FootnoteText"/>
        <w:jc w:val="both"/>
      </w:pPr>
      <w:r>
        <w:rPr>
          <w:rStyle w:val="FootnoteReference"/>
        </w:rPr>
        <w:footnoteRef/>
      </w:r>
      <w:r>
        <w:t xml:space="preserve"> Finanšu ministrijas informatīvais ziņojums </w:t>
      </w:r>
      <w:r w:rsidRPr="00DB48A3">
        <w:rPr>
          <w:iCs/>
        </w:rPr>
        <w:t>„Darbaspēka nodokļu izmaiņas ienākumu nevienlīdzības mazināšanai – veikto izmaiņu novērtējums un priekšlikumi tālākai rīcībai”</w:t>
      </w:r>
      <w:r>
        <w:rPr>
          <w:iCs/>
        </w:rPr>
        <w:t xml:space="preserve"> (projekts uz 26.06.2014.); 8.lpp.</w:t>
      </w:r>
    </w:p>
  </w:footnote>
  <w:footnote w:id="97">
    <w:p w:rsidR="00401ED6" w:rsidRDefault="00401ED6" w:rsidP="00E56A67">
      <w:pPr>
        <w:pStyle w:val="FootnoteText"/>
      </w:pPr>
      <w:r>
        <w:rPr>
          <w:rStyle w:val="FootnoteReference"/>
        </w:rPr>
        <w:footnoteRef/>
      </w:r>
      <w:r>
        <w:t xml:space="preserve"> </w:t>
      </w:r>
      <w:r w:rsidRPr="00554EED">
        <w:rPr>
          <w:rStyle w:val="hps"/>
        </w:rPr>
        <w:t xml:space="preserve">Pasaules Bankas pētījums </w:t>
      </w:r>
      <w:r w:rsidRPr="00554EED">
        <w:t>„Latvija: kurš ir bezdarbnieks, ekonomiski neaktīvais vai trūcīgais?”</w:t>
      </w:r>
      <w:r>
        <w:t>, 44 lpp</w:t>
      </w:r>
      <w:r w:rsidRPr="00554EED">
        <w:t xml:space="preserve">. Pieejams </w:t>
      </w:r>
      <w:hyperlink r:id="rId34" w:history="1">
        <w:r w:rsidRPr="007F49EB">
          <w:rPr>
            <w:rStyle w:val="Hyperlink"/>
          </w:rPr>
          <w:t>http://www.lm.gov.lv/upload/aktualitates/latvia_compwbs.pdf</w:t>
        </w:r>
      </w:hyperlink>
      <w:r w:rsidRPr="00554EED">
        <w:t>.</w:t>
      </w:r>
      <w:r>
        <w:t xml:space="preserve"> </w:t>
      </w:r>
      <w:r w:rsidRPr="00554EED">
        <w:t>Skatīts 08.07.2014.</w:t>
      </w:r>
    </w:p>
  </w:footnote>
  <w:footnote w:id="98">
    <w:p w:rsidR="00401ED6" w:rsidRDefault="00401ED6" w:rsidP="00E56A67">
      <w:pPr>
        <w:pStyle w:val="FootnoteText"/>
      </w:pPr>
      <w:r>
        <w:rPr>
          <w:rStyle w:val="FootnoteReference"/>
        </w:rPr>
        <w:footnoteRef/>
      </w:r>
      <w:r>
        <w:t xml:space="preserve"> Turpat.  </w:t>
      </w:r>
    </w:p>
  </w:footnote>
  <w:footnote w:id="99">
    <w:p w:rsidR="00401ED6" w:rsidRPr="005E6119" w:rsidRDefault="00401ED6" w:rsidP="005E6119">
      <w:pPr>
        <w:jc w:val="both"/>
        <w:rPr>
          <w:iCs/>
          <w:sz w:val="20"/>
          <w:szCs w:val="20"/>
        </w:rPr>
      </w:pPr>
      <w:r w:rsidRPr="005E6119">
        <w:rPr>
          <w:rStyle w:val="FootnoteReference"/>
          <w:sz w:val="20"/>
          <w:szCs w:val="20"/>
        </w:rPr>
        <w:footnoteRef/>
      </w:r>
      <w:r w:rsidRPr="005E6119">
        <w:rPr>
          <w:sz w:val="20"/>
          <w:szCs w:val="20"/>
        </w:rPr>
        <w:t xml:space="preserve"> </w:t>
      </w:r>
      <w:proofErr w:type="spellStart"/>
      <w:r w:rsidRPr="005E6119">
        <w:rPr>
          <w:sz w:val="20"/>
          <w:szCs w:val="20"/>
        </w:rPr>
        <w:t>Ravallion</w:t>
      </w:r>
      <w:proofErr w:type="spellEnd"/>
      <w:r w:rsidRPr="005E6119">
        <w:rPr>
          <w:sz w:val="20"/>
          <w:szCs w:val="20"/>
        </w:rPr>
        <w:t xml:space="preserve">, M. (2010). </w:t>
      </w:r>
      <w:proofErr w:type="spellStart"/>
      <w:r w:rsidRPr="005E6119">
        <w:rPr>
          <w:sz w:val="20"/>
          <w:szCs w:val="20"/>
        </w:rPr>
        <w:t>Poverty</w:t>
      </w:r>
      <w:proofErr w:type="spellEnd"/>
      <w:r w:rsidRPr="005E6119">
        <w:rPr>
          <w:sz w:val="20"/>
          <w:szCs w:val="20"/>
        </w:rPr>
        <w:t xml:space="preserve"> </w:t>
      </w:r>
      <w:proofErr w:type="spellStart"/>
      <w:r w:rsidRPr="005E6119">
        <w:rPr>
          <w:sz w:val="20"/>
          <w:szCs w:val="20"/>
        </w:rPr>
        <w:t>Lines</w:t>
      </w:r>
      <w:proofErr w:type="spellEnd"/>
      <w:r w:rsidRPr="005E6119">
        <w:rPr>
          <w:sz w:val="20"/>
          <w:szCs w:val="20"/>
        </w:rPr>
        <w:t xml:space="preserve"> </w:t>
      </w:r>
      <w:proofErr w:type="spellStart"/>
      <w:r w:rsidRPr="005E6119">
        <w:rPr>
          <w:sz w:val="20"/>
          <w:szCs w:val="20"/>
        </w:rPr>
        <w:t>Across</w:t>
      </w:r>
      <w:proofErr w:type="spellEnd"/>
      <w:r w:rsidRPr="005E6119">
        <w:rPr>
          <w:sz w:val="20"/>
          <w:szCs w:val="20"/>
        </w:rPr>
        <w:t xml:space="preserve"> </w:t>
      </w:r>
      <w:proofErr w:type="spellStart"/>
      <w:r w:rsidRPr="005E6119">
        <w:rPr>
          <w:sz w:val="20"/>
          <w:szCs w:val="20"/>
        </w:rPr>
        <w:t>the</w:t>
      </w:r>
      <w:proofErr w:type="spellEnd"/>
      <w:r w:rsidRPr="005E6119">
        <w:rPr>
          <w:sz w:val="20"/>
          <w:szCs w:val="20"/>
        </w:rPr>
        <w:t xml:space="preserve"> </w:t>
      </w:r>
      <w:proofErr w:type="spellStart"/>
      <w:r w:rsidRPr="005E6119">
        <w:rPr>
          <w:sz w:val="20"/>
          <w:szCs w:val="20"/>
        </w:rPr>
        <w:t>World</w:t>
      </w:r>
      <w:proofErr w:type="spellEnd"/>
      <w:r w:rsidRPr="005E6119">
        <w:rPr>
          <w:sz w:val="20"/>
          <w:szCs w:val="20"/>
        </w:rPr>
        <w:t xml:space="preserve">. </w:t>
      </w:r>
      <w:proofErr w:type="spellStart"/>
      <w:r w:rsidRPr="005E6119">
        <w:rPr>
          <w:sz w:val="20"/>
          <w:szCs w:val="20"/>
        </w:rPr>
        <w:t>World</w:t>
      </w:r>
      <w:proofErr w:type="spellEnd"/>
      <w:r w:rsidRPr="005E6119">
        <w:rPr>
          <w:sz w:val="20"/>
          <w:szCs w:val="20"/>
        </w:rPr>
        <w:t xml:space="preserve"> </w:t>
      </w:r>
      <w:proofErr w:type="spellStart"/>
      <w:r w:rsidRPr="005E6119">
        <w:rPr>
          <w:sz w:val="20"/>
          <w:szCs w:val="20"/>
        </w:rPr>
        <w:t>Bank</w:t>
      </w:r>
      <w:proofErr w:type="spellEnd"/>
      <w:r w:rsidRPr="005E6119">
        <w:rPr>
          <w:sz w:val="20"/>
          <w:szCs w:val="20"/>
        </w:rPr>
        <w:t xml:space="preserve">, </w:t>
      </w:r>
      <w:proofErr w:type="spellStart"/>
      <w:r w:rsidRPr="005E6119">
        <w:rPr>
          <w:iCs/>
          <w:sz w:val="20"/>
          <w:szCs w:val="20"/>
        </w:rPr>
        <w:t>Policy</w:t>
      </w:r>
      <w:proofErr w:type="spellEnd"/>
      <w:r w:rsidRPr="005E6119">
        <w:rPr>
          <w:iCs/>
          <w:sz w:val="20"/>
          <w:szCs w:val="20"/>
        </w:rPr>
        <w:t xml:space="preserve"> </w:t>
      </w:r>
      <w:proofErr w:type="spellStart"/>
      <w:r w:rsidRPr="005E6119">
        <w:rPr>
          <w:iCs/>
          <w:sz w:val="20"/>
          <w:szCs w:val="20"/>
        </w:rPr>
        <w:t>Research</w:t>
      </w:r>
      <w:proofErr w:type="spellEnd"/>
      <w:r w:rsidRPr="005E6119">
        <w:rPr>
          <w:iCs/>
          <w:sz w:val="20"/>
          <w:szCs w:val="20"/>
        </w:rPr>
        <w:t xml:space="preserve"> </w:t>
      </w:r>
      <w:proofErr w:type="spellStart"/>
      <w:r w:rsidRPr="005E6119">
        <w:rPr>
          <w:iCs/>
          <w:sz w:val="20"/>
          <w:szCs w:val="20"/>
        </w:rPr>
        <w:t>Working</w:t>
      </w:r>
      <w:proofErr w:type="spellEnd"/>
      <w:r w:rsidRPr="005E6119">
        <w:rPr>
          <w:iCs/>
          <w:sz w:val="20"/>
          <w:szCs w:val="20"/>
        </w:rPr>
        <w:t xml:space="preserve"> Paper </w:t>
      </w:r>
      <w:r w:rsidRPr="005E6119">
        <w:rPr>
          <w:sz w:val="20"/>
          <w:szCs w:val="20"/>
        </w:rPr>
        <w:t xml:space="preserve">No.5284. </w:t>
      </w:r>
      <w:proofErr w:type="spellStart"/>
      <w:r w:rsidRPr="005E6119">
        <w:rPr>
          <w:sz w:val="20"/>
          <w:szCs w:val="20"/>
        </w:rPr>
        <w:t>Washington</w:t>
      </w:r>
      <w:proofErr w:type="spellEnd"/>
      <w:r w:rsidRPr="005E6119">
        <w:rPr>
          <w:sz w:val="20"/>
          <w:szCs w:val="20"/>
        </w:rPr>
        <w:t xml:space="preserve"> DC</w:t>
      </w:r>
      <w:r w:rsidRPr="005E6119">
        <w:rPr>
          <w:i/>
          <w:iCs/>
          <w:sz w:val="20"/>
          <w:szCs w:val="20"/>
        </w:rPr>
        <w:t xml:space="preserve">. </w:t>
      </w:r>
      <w:r w:rsidRPr="005E6119">
        <w:rPr>
          <w:iCs/>
          <w:sz w:val="20"/>
          <w:szCs w:val="20"/>
        </w:rPr>
        <w:t>Pieejams</w:t>
      </w:r>
      <w:r w:rsidRPr="005E6119">
        <w:rPr>
          <w:sz w:val="20"/>
          <w:szCs w:val="20"/>
        </w:rPr>
        <w:t xml:space="preserve"> </w:t>
      </w:r>
      <w:hyperlink r:id="rId35" w:history="1">
        <w:r w:rsidRPr="001B460F">
          <w:rPr>
            <w:rStyle w:val="Hyperlink"/>
            <w:iCs/>
            <w:sz w:val="20"/>
            <w:szCs w:val="20"/>
          </w:rPr>
          <w:t>http://www-wds.worldbank.org/servlet/WDSContentServer/WDSP/IB/2010/04/27/000158349_20100427143536/Rendered/PDF/WPS5284.pdf</w:t>
        </w:r>
      </w:hyperlink>
      <w:r>
        <w:rPr>
          <w:iCs/>
          <w:sz w:val="20"/>
          <w:szCs w:val="20"/>
        </w:rPr>
        <w:t xml:space="preserve">. </w:t>
      </w:r>
      <w:r w:rsidRPr="005E6119">
        <w:rPr>
          <w:iCs/>
          <w:sz w:val="20"/>
          <w:szCs w:val="20"/>
        </w:rPr>
        <w:t xml:space="preserve">Skatīts 24.05.2013. </w:t>
      </w:r>
    </w:p>
  </w:footnote>
  <w:footnote w:id="100">
    <w:p w:rsidR="00401ED6" w:rsidRDefault="00401ED6" w:rsidP="00040D89">
      <w:pPr>
        <w:pStyle w:val="FootnoteText"/>
      </w:pPr>
      <w:r>
        <w:rPr>
          <w:rStyle w:val="FootnoteReference"/>
        </w:rPr>
        <w:footnoteRef/>
      </w:r>
      <w:r>
        <w:t xml:space="preserve"> Turpat, 17 lpp.</w:t>
      </w:r>
    </w:p>
  </w:footnote>
  <w:footnote w:id="101">
    <w:p w:rsidR="00401ED6" w:rsidRDefault="00401ED6" w:rsidP="005E6119">
      <w:pPr>
        <w:pStyle w:val="FootnoteText"/>
        <w:jc w:val="both"/>
      </w:pPr>
      <w:r>
        <w:rPr>
          <w:rStyle w:val="FootnoteReference"/>
        </w:rPr>
        <w:footnoteRef/>
      </w:r>
      <w:r>
        <w:t xml:space="preserve"> I</w:t>
      </w:r>
      <w:r w:rsidRPr="00AD0342">
        <w:rPr>
          <w:szCs w:val="24"/>
        </w:rPr>
        <w:t xml:space="preserve">ndikators </w:t>
      </w:r>
      <w:r>
        <w:rPr>
          <w:szCs w:val="24"/>
        </w:rPr>
        <w:t>„</w:t>
      </w:r>
      <w:r w:rsidRPr="00AD0342">
        <w:rPr>
          <w:szCs w:val="24"/>
        </w:rPr>
        <w:t>nabadzības riska indekss, kas piesaistīts konkrētam laika posmam</w:t>
      </w:r>
      <w:r>
        <w:rPr>
          <w:szCs w:val="24"/>
        </w:rPr>
        <w:t xml:space="preserve">” (no angļu val. </w:t>
      </w:r>
      <w:proofErr w:type="spellStart"/>
      <w:r w:rsidRPr="00371968">
        <w:rPr>
          <w:i/>
          <w:szCs w:val="24"/>
        </w:rPr>
        <w:t>anchored</w:t>
      </w:r>
      <w:proofErr w:type="spellEnd"/>
      <w:r w:rsidRPr="00371968">
        <w:rPr>
          <w:i/>
          <w:szCs w:val="24"/>
        </w:rPr>
        <w:t xml:space="preserve"> </w:t>
      </w:r>
      <w:proofErr w:type="spellStart"/>
      <w:r w:rsidRPr="00371968">
        <w:rPr>
          <w:i/>
          <w:szCs w:val="24"/>
        </w:rPr>
        <w:t>at</w:t>
      </w:r>
      <w:proofErr w:type="spellEnd"/>
      <w:r w:rsidRPr="00371968">
        <w:rPr>
          <w:i/>
          <w:szCs w:val="24"/>
        </w:rPr>
        <w:t xml:space="preserve"> </w:t>
      </w:r>
      <w:proofErr w:type="spellStart"/>
      <w:r w:rsidRPr="00371968">
        <w:rPr>
          <w:i/>
          <w:szCs w:val="24"/>
        </w:rPr>
        <w:t>risk</w:t>
      </w:r>
      <w:proofErr w:type="spellEnd"/>
      <w:r w:rsidRPr="00371968">
        <w:rPr>
          <w:i/>
          <w:szCs w:val="24"/>
        </w:rPr>
        <w:t xml:space="preserve"> </w:t>
      </w:r>
      <w:proofErr w:type="spellStart"/>
      <w:r w:rsidRPr="00371968">
        <w:rPr>
          <w:i/>
          <w:szCs w:val="24"/>
        </w:rPr>
        <w:t>of</w:t>
      </w:r>
      <w:proofErr w:type="spellEnd"/>
      <w:r w:rsidRPr="00371968">
        <w:rPr>
          <w:i/>
          <w:szCs w:val="24"/>
        </w:rPr>
        <w:t xml:space="preserve"> </w:t>
      </w:r>
      <w:proofErr w:type="spellStart"/>
      <w:r w:rsidRPr="00371968">
        <w:rPr>
          <w:i/>
          <w:szCs w:val="24"/>
        </w:rPr>
        <w:t>poverty</w:t>
      </w:r>
      <w:proofErr w:type="spellEnd"/>
      <w:r w:rsidRPr="00371968">
        <w:rPr>
          <w:i/>
          <w:szCs w:val="24"/>
        </w:rPr>
        <w:t xml:space="preserve"> </w:t>
      </w:r>
      <w:proofErr w:type="spellStart"/>
      <w:r w:rsidRPr="00371968">
        <w:rPr>
          <w:i/>
          <w:szCs w:val="24"/>
        </w:rPr>
        <w:t>rate</w:t>
      </w:r>
      <w:proofErr w:type="spellEnd"/>
      <w:r>
        <w:rPr>
          <w:szCs w:val="24"/>
        </w:rPr>
        <w:t>).</w:t>
      </w:r>
    </w:p>
  </w:footnote>
  <w:footnote w:id="102">
    <w:p w:rsidR="00401ED6" w:rsidRDefault="00401ED6" w:rsidP="008423CE">
      <w:pPr>
        <w:pStyle w:val="FootnoteText"/>
        <w:jc w:val="both"/>
      </w:pPr>
      <w:r>
        <w:rPr>
          <w:rStyle w:val="FootnoteReference"/>
        </w:rPr>
        <w:footnoteRef/>
      </w:r>
      <w:r>
        <w:t xml:space="preserve"> </w:t>
      </w:r>
      <w:r w:rsidRPr="00B731CE">
        <w:rPr>
          <w:lang w:val="cs-CZ"/>
        </w:rPr>
        <w:t>„Sākotnējās ietekmes (ex-ante) novērtējums par iecerētajām strukturālajām reformām sociālās palīdzības politikas jomā“ (2014), SIA „KPMG Baltics“</w:t>
      </w:r>
      <w:r>
        <w:rPr>
          <w:lang w:val="cs-CZ"/>
        </w:rPr>
        <w:t xml:space="preserve">. „Gala ziņojums </w:t>
      </w:r>
      <w:r w:rsidRPr="00B62D84">
        <w:t xml:space="preserve">par </w:t>
      </w:r>
      <w:proofErr w:type="spellStart"/>
      <w:r w:rsidRPr="00B62D84">
        <w:t>optimālākajiem</w:t>
      </w:r>
      <w:proofErr w:type="spellEnd"/>
      <w:r w:rsidRPr="00B62D84">
        <w:t xml:space="preserve"> risinājuma </w:t>
      </w:r>
      <w:r w:rsidRPr="00084A51">
        <w:t>variantiem sociālās palīdzības sistēmas izmaiņām un no pārējām sistēmām nepieciešamajiem atbalsta pasākumiem un piedāvāto variantu ietekmes uz valsts un pašvaldību budžetiem novērtējums”</w:t>
      </w:r>
      <w:r>
        <w:t>, 7</w:t>
      </w:r>
      <w:r>
        <w:rPr>
          <w:lang w:val="cs-CZ"/>
        </w:rPr>
        <w:t>.</w:t>
      </w:r>
      <w:r w:rsidRPr="00084A51">
        <w:rPr>
          <w:lang w:val="cs-CZ"/>
        </w:rPr>
        <w:t xml:space="preserve">lpp. </w:t>
      </w:r>
      <w:r w:rsidRPr="00084A51">
        <w:t xml:space="preserve">Pieejams LM mājas lapā, sekojot šai vietnei </w:t>
      </w:r>
      <w:hyperlink r:id="rId36" w:history="1">
        <w:r w:rsidRPr="00084A51">
          <w:rPr>
            <w:rStyle w:val="Hyperlink"/>
          </w:rPr>
          <w:t>http://www.lm.gov.lv/text/2744</w:t>
        </w:r>
      </w:hyperlink>
      <w:r w:rsidRPr="00084A51">
        <w:t xml:space="preserve">. </w:t>
      </w:r>
    </w:p>
  </w:footnote>
  <w:footnote w:id="103">
    <w:p w:rsidR="00401ED6" w:rsidRDefault="00401ED6" w:rsidP="00E120AE">
      <w:pPr>
        <w:pStyle w:val="FootnoteText"/>
      </w:pPr>
      <w:r>
        <w:rPr>
          <w:rStyle w:val="FootnoteReference"/>
        </w:rPr>
        <w:footnoteRef/>
      </w:r>
      <w:r>
        <w:t xml:space="preserve"> Vairāk informācijas Labklājības ministrijas mājas lapā: </w:t>
      </w:r>
      <w:hyperlink r:id="rId37" w:history="1">
        <w:r w:rsidRPr="00634B4B">
          <w:rPr>
            <w:rStyle w:val="Hyperlink"/>
          </w:rPr>
          <w:t>http://www.lm.gov.lv/text/706</w:t>
        </w:r>
      </w:hyperlink>
      <w:r>
        <w:t xml:space="preserve"> </w:t>
      </w:r>
    </w:p>
  </w:footnote>
  <w:footnote w:id="104">
    <w:p w:rsidR="00401ED6" w:rsidRPr="0088712C" w:rsidRDefault="00401ED6" w:rsidP="001C1E6C">
      <w:pPr>
        <w:pStyle w:val="FootnoteText"/>
        <w:jc w:val="both"/>
      </w:pPr>
      <w:r w:rsidRPr="00EA0F78">
        <w:rPr>
          <w:rStyle w:val="FootnoteReference"/>
        </w:rPr>
        <w:footnoteRef/>
      </w:r>
      <w:r w:rsidRPr="00EA0F78">
        <w:t xml:space="preserve"> </w:t>
      </w:r>
      <w:proofErr w:type="spellStart"/>
      <w:r>
        <w:t>European</w:t>
      </w:r>
      <w:proofErr w:type="spellEnd"/>
      <w:r>
        <w:t xml:space="preserve"> </w:t>
      </w:r>
      <w:proofErr w:type="spellStart"/>
      <w:r>
        <w:t>Commission</w:t>
      </w:r>
      <w:proofErr w:type="spellEnd"/>
      <w:r>
        <w:t xml:space="preserve"> „Pilot Project </w:t>
      </w:r>
      <w:proofErr w:type="spellStart"/>
      <w:r>
        <w:t>for</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a </w:t>
      </w:r>
      <w:proofErr w:type="spellStart"/>
      <w:r>
        <w:t>common</w:t>
      </w:r>
      <w:proofErr w:type="spellEnd"/>
      <w:r>
        <w:t xml:space="preserve"> </w:t>
      </w:r>
      <w:proofErr w:type="spellStart"/>
      <w:r>
        <w:t>methodology</w:t>
      </w:r>
      <w:proofErr w:type="spellEnd"/>
      <w:r>
        <w:t xml:space="preserve"> </w:t>
      </w:r>
      <w:proofErr w:type="spellStart"/>
      <w:r>
        <w:t>on</w:t>
      </w:r>
      <w:proofErr w:type="spellEnd"/>
      <w:r>
        <w:t xml:space="preserve"> reference </w:t>
      </w:r>
      <w:proofErr w:type="spellStart"/>
      <w:r>
        <w:t>budgets</w:t>
      </w:r>
      <w:proofErr w:type="spellEnd"/>
      <w:r>
        <w:t xml:space="preserve"> </w:t>
      </w:r>
      <w:proofErr w:type="spellStart"/>
      <w:r>
        <w:t>in</w:t>
      </w:r>
      <w:proofErr w:type="spellEnd"/>
      <w:r>
        <w:t xml:space="preserve"> </w:t>
      </w:r>
      <w:proofErr w:type="spellStart"/>
      <w:r>
        <w:t>Europe</w:t>
      </w:r>
      <w:proofErr w:type="spellEnd"/>
      <w:r>
        <w:t xml:space="preserve">” (2014). Vairāk informācijas </w:t>
      </w:r>
      <w:hyperlink r:id="rId38" w:history="1">
        <w:r w:rsidRPr="007F49EB">
          <w:rPr>
            <w:rStyle w:val="Hyperlink"/>
          </w:rPr>
          <w:t>http://ec.</w:t>
        </w:r>
        <w:r w:rsidRPr="007F49EB">
          <w:rPr>
            <w:rStyle w:val="Hyperlink"/>
            <w:iCs/>
          </w:rPr>
          <w:t>eur</w:t>
        </w:r>
        <w:r w:rsidRPr="007F49EB">
          <w:rPr>
            <w:rStyle w:val="Hyperlink"/>
          </w:rPr>
          <w:t>opa.eu/social/main.jsp?catId=625&amp;langId=en&amp;callId=382&amp;furtherCalls=yes</w:t>
        </w:r>
      </w:hyperlink>
    </w:p>
  </w:footnote>
  <w:footnote w:id="105">
    <w:p w:rsidR="00401ED6" w:rsidRDefault="00401ED6" w:rsidP="00B212D8">
      <w:pPr>
        <w:pStyle w:val="FootnoteText"/>
        <w:jc w:val="both"/>
      </w:pPr>
      <w:r>
        <w:rPr>
          <w:rStyle w:val="FootnoteReference"/>
        </w:rPr>
        <w:footnoteRef/>
      </w:r>
      <w:r>
        <w:t xml:space="preserve"> Finanšu ministrijas informatīvais ziņojums </w:t>
      </w:r>
      <w:r w:rsidRPr="00DB48A3">
        <w:rPr>
          <w:iCs/>
        </w:rPr>
        <w:t>„Darbaspēka nodokļu izmaiņas ienākumu nevienlīdzības mazināšanai – veikto izmaiņu novērtējums un priekšlikumi tālākai rīcībai”</w:t>
      </w:r>
      <w:r>
        <w:rPr>
          <w:iCs/>
        </w:rPr>
        <w:t xml:space="preserve"> (projekts uz 26.06.2014.); 21 lpp.</w:t>
      </w:r>
    </w:p>
  </w:footnote>
  <w:footnote w:id="106">
    <w:p w:rsidR="00401ED6" w:rsidRDefault="00401ED6" w:rsidP="00C76FB2">
      <w:pPr>
        <w:pStyle w:val="FootnoteText"/>
      </w:pPr>
      <w:r>
        <w:rPr>
          <w:rStyle w:val="FootnoteReference"/>
        </w:rPr>
        <w:footnoteRef/>
      </w:r>
      <w:r>
        <w:t xml:space="preserve"> Likuma „Par valsts budžetu 2014.gadam” 17.pants.</w:t>
      </w:r>
    </w:p>
  </w:footnote>
  <w:footnote w:id="107">
    <w:p w:rsidR="00401ED6" w:rsidRPr="008911F4" w:rsidRDefault="00401ED6" w:rsidP="00C76FB2">
      <w:pPr>
        <w:pStyle w:val="FootnoteText"/>
        <w:jc w:val="both"/>
      </w:pPr>
      <w:r w:rsidRPr="008911F4">
        <w:rPr>
          <w:rStyle w:val="FootnoteReference"/>
        </w:rPr>
        <w:footnoteRef/>
      </w:r>
      <w:r w:rsidRPr="008911F4">
        <w:t xml:space="preserve"> Ietekme var mainīties atkarībā no izejošo datu atjaunošanas rezultātā veiktajām izmaiņām.</w:t>
      </w:r>
    </w:p>
  </w:footnote>
  <w:footnote w:id="108">
    <w:p w:rsidR="00401ED6" w:rsidRDefault="00401ED6" w:rsidP="005E726C">
      <w:pPr>
        <w:pStyle w:val="FootnoteText"/>
        <w:jc w:val="both"/>
      </w:pPr>
      <w:r>
        <w:rPr>
          <w:rStyle w:val="FootnoteReference"/>
        </w:rPr>
        <w:footnoteRef/>
      </w:r>
      <w:r>
        <w:t xml:space="preserve"> Invaliditātes pensijas, apgādnieka zaudējuma pensijas, apdrošināšanas atlīdzība par apgādnieka zaudējumu, kaitējuma atlīdzība, ja kaitējums nodarīts darbā līdz 01.01.1997.; apdrošināšanas atlīdzības par ārstēšanās un rehabilitācijas izdevumiem, apbedīšanas pabalsti.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D6" w:rsidRDefault="00401ED6" w:rsidP="004824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1ED6" w:rsidRDefault="00401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D6" w:rsidRDefault="00401ED6" w:rsidP="004824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4438">
      <w:rPr>
        <w:rStyle w:val="PageNumber"/>
        <w:noProof/>
      </w:rPr>
      <w:t>3</w:t>
    </w:r>
    <w:r>
      <w:rPr>
        <w:rStyle w:val="PageNumber"/>
      </w:rPr>
      <w:fldChar w:fldCharType="end"/>
    </w:r>
  </w:p>
  <w:p w:rsidR="00401ED6" w:rsidRDefault="00401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FA111A"/>
    <w:lvl w:ilvl="0">
      <w:start w:val="1"/>
      <w:numFmt w:val="decimal"/>
      <w:lvlText w:val="%1."/>
      <w:lvlJc w:val="left"/>
      <w:pPr>
        <w:tabs>
          <w:tab w:val="num" w:pos="1492"/>
        </w:tabs>
        <w:ind w:left="1492" w:hanging="360"/>
      </w:pPr>
    </w:lvl>
  </w:abstractNum>
  <w:abstractNum w:abstractNumId="1">
    <w:nsid w:val="FFFFFF7D"/>
    <w:multiLevelType w:val="singleLevel"/>
    <w:tmpl w:val="F6C0B0BE"/>
    <w:lvl w:ilvl="0">
      <w:start w:val="1"/>
      <w:numFmt w:val="decimal"/>
      <w:lvlText w:val="%1."/>
      <w:lvlJc w:val="left"/>
      <w:pPr>
        <w:tabs>
          <w:tab w:val="num" w:pos="1209"/>
        </w:tabs>
        <w:ind w:left="1209" w:hanging="360"/>
      </w:pPr>
    </w:lvl>
  </w:abstractNum>
  <w:abstractNum w:abstractNumId="2">
    <w:nsid w:val="FFFFFF7E"/>
    <w:multiLevelType w:val="singleLevel"/>
    <w:tmpl w:val="B282C5A6"/>
    <w:lvl w:ilvl="0">
      <w:start w:val="1"/>
      <w:numFmt w:val="decimal"/>
      <w:lvlText w:val="%1."/>
      <w:lvlJc w:val="left"/>
      <w:pPr>
        <w:tabs>
          <w:tab w:val="num" w:pos="926"/>
        </w:tabs>
        <w:ind w:left="926" w:hanging="360"/>
      </w:pPr>
    </w:lvl>
  </w:abstractNum>
  <w:abstractNum w:abstractNumId="3">
    <w:nsid w:val="FFFFFF7F"/>
    <w:multiLevelType w:val="singleLevel"/>
    <w:tmpl w:val="D0B2CA20"/>
    <w:lvl w:ilvl="0">
      <w:start w:val="1"/>
      <w:numFmt w:val="decimal"/>
      <w:lvlText w:val="%1."/>
      <w:lvlJc w:val="left"/>
      <w:pPr>
        <w:tabs>
          <w:tab w:val="num" w:pos="643"/>
        </w:tabs>
        <w:ind w:left="643" w:hanging="360"/>
      </w:pPr>
    </w:lvl>
  </w:abstractNum>
  <w:abstractNum w:abstractNumId="4">
    <w:nsid w:val="FFFFFF80"/>
    <w:multiLevelType w:val="singleLevel"/>
    <w:tmpl w:val="323476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8474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C821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88B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CCC4D0"/>
    <w:lvl w:ilvl="0">
      <w:start w:val="1"/>
      <w:numFmt w:val="decimal"/>
      <w:lvlText w:val="%1."/>
      <w:lvlJc w:val="left"/>
      <w:pPr>
        <w:tabs>
          <w:tab w:val="num" w:pos="360"/>
        </w:tabs>
        <w:ind w:left="360" w:hanging="360"/>
      </w:pPr>
    </w:lvl>
  </w:abstractNum>
  <w:abstractNum w:abstractNumId="9">
    <w:nsid w:val="FFFFFF89"/>
    <w:multiLevelType w:val="singleLevel"/>
    <w:tmpl w:val="FA3A4478"/>
    <w:lvl w:ilvl="0">
      <w:start w:val="1"/>
      <w:numFmt w:val="bullet"/>
      <w:lvlText w:val=""/>
      <w:lvlJc w:val="left"/>
      <w:pPr>
        <w:tabs>
          <w:tab w:val="num" w:pos="360"/>
        </w:tabs>
        <w:ind w:left="360" w:hanging="360"/>
      </w:pPr>
      <w:rPr>
        <w:rFonts w:ascii="Symbol" w:hAnsi="Symbol" w:hint="default"/>
      </w:rPr>
    </w:lvl>
  </w:abstractNum>
  <w:abstractNum w:abstractNumId="10">
    <w:nsid w:val="01E13280"/>
    <w:multiLevelType w:val="multilevel"/>
    <w:tmpl w:val="4A0AE8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40A1D61"/>
    <w:multiLevelType w:val="hybridMultilevel"/>
    <w:tmpl w:val="ADD2E1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5826A68"/>
    <w:multiLevelType w:val="hybridMultilevel"/>
    <w:tmpl w:val="71D22240"/>
    <w:lvl w:ilvl="0" w:tplc="04260011">
      <w:start w:val="1"/>
      <w:numFmt w:val="decimal"/>
      <w:lvlText w:val="%1)"/>
      <w:lvlJc w:val="left"/>
      <w:pPr>
        <w:ind w:left="1440" w:hanging="360"/>
      </w:pPr>
      <w:rPr>
        <w:rFonts w:cs="Times New Roman"/>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3">
    <w:nsid w:val="07F44984"/>
    <w:multiLevelType w:val="hybridMultilevel"/>
    <w:tmpl w:val="12F255B2"/>
    <w:lvl w:ilvl="0" w:tplc="9392BB96">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14716DFA"/>
    <w:multiLevelType w:val="hybridMultilevel"/>
    <w:tmpl w:val="E0607E4A"/>
    <w:lvl w:ilvl="0" w:tplc="4DA2AA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14B46CC1"/>
    <w:multiLevelType w:val="hybridMultilevel"/>
    <w:tmpl w:val="EA8A5428"/>
    <w:lvl w:ilvl="0" w:tplc="0426000F">
      <w:start w:val="1"/>
      <w:numFmt w:val="decimal"/>
      <w:lvlText w:val="%1."/>
      <w:lvlJc w:val="left"/>
      <w:pPr>
        <w:ind w:left="1740" w:hanging="102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159B019C"/>
    <w:multiLevelType w:val="hybridMultilevel"/>
    <w:tmpl w:val="A9CA4F20"/>
    <w:lvl w:ilvl="0" w:tplc="DFB84138">
      <w:start w:val="1"/>
      <w:numFmt w:val="decimal"/>
      <w:lvlText w:val="(%1)"/>
      <w:lvlJc w:val="left"/>
      <w:pPr>
        <w:ind w:left="720" w:hanging="360"/>
      </w:pPr>
      <w:rPr>
        <w:rFonts w:hint="default"/>
      </w:rPr>
    </w:lvl>
    <w:lvl w:ilvl="1" w:tplc="00BA5774">
      <w:start w:val="4"/>
      <w:numFmt w:val="decimal"/>
      <w:lvlText w:val="%2."/>
      <w:lvlJc w:val="left"/>
      <w:pPr>
        <w:tabs>
          <w:tab w:val="num" w:pos="1440"/>
        </w:tabs>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1A682C87"/>
    <w:multiLevelType w:val="hybridMultilevel"/>
    <w:tmpl w:val="F32C7818"/>
    <w:lvl w:ilvl="0" w:tplc="20DAC5D4">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18">
    <w:nsid w:val="1A6D0E60"/>
    <w:multiLevelType w:val="hybridMultilevel"/>
    <w:tmpl w:val="D21E82C6"/>
    <w:lvl w:ilvl="0" w:tplc="5796AC0C">
      <w:start w:val="2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1C034752"/>
    <w:multiLevelType w:val="hybridMultilevel"/>
    <w:tmpl w:val="122C9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DE34ACE"/>
    <w:multiLevelType w:val="hybridMultilevel"/>
    <w:tmpl w:val="C4B252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4BD23B0"/>
    <w:multiLevelType w:val="hybridMultilevel"/>
    <w:tmpl w:val="792AB342"/>
    <w:lvl w:ilvl="0" w:tplc="66CC2004">
      <w:start w:val="1"/>
      <w:numFmt w:val="upperRoman"/>
      <w:lvlText w:val="%1."/>
      <w:lvlJc w:val="left"/>
      <w:pPr>
        <w:ind w:left="1440" w:hanging="7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2D7D3D70"/>
    <w:multiLevelType w:val="hybridMultilevel"/>
    <w:tmpl w:val="4FB65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2E581B71"/>
    <w:multiLevelType w:val="hybridMultilevel"/>
    <w:tmpl w:val="AECE8E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65F10E5"/>
    <w:multiLevelType w:val="hybridMultilevel"/>
    <w:tmpl w:val="98AED5A4"/>
    <w:lvl w:ilvl="0" w:tplc="8B6648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9065D45"/>
    <w:multiLevelType w:val="hybridMultilevel"/>
    <w:tmpl w:val="D8108BF6"/>
    <w:lvl w:ilvl="0" w:tplc="04260011">
      <w:start w:val="1"/>
      <w:numFmt w:val="decimal"/>
      <w:lvlText w:val="%1)"/>
      <w:lvlJc w:val="left"/>
      <w:pPr>
        <w:ind w:left="720" w:hanging="360"/>
      </w:pPr>
      <w:rPr>
        <w:rFonts w:hint="default"/>
      </w:rPr>
    </w:lvl>
    <w:lvl w:ilvl="1" w:tplc="0426000F">
      <w:start w:val="1"/>
      <w:numFmt w:val="decimal"/>
      <w:lvlText w:val="%2."/>
      <w:lvlJc w:val="left"/>
      <w:pPr>
        <w:tabs>
          <w:tab w:val="num" w:pos="1440"/>
        </w:tabs>
        <w:ind w:left="1440" w:hanging="360"/>
      </w:pPr>
      <w:rPr>
        <w:rFonts w:hint="default"/>
      </w:rPr>
    </w:lvl>
    <w:lvl w:ilvl="2" w:tplc="7F8472A6">
      <w:start w:val="1"/>
      <w:numFmt w:val="decimal"/>
      <w:lvlText w:val="%3)"/>
      <w:lvlJc w:val="left"/>
      <w:pPr>
        <w:tabs>
          <w:tab w:val="num" w:pos="2160"/>
        </w:tabs>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9E42722"/>
    <w:multiLevelType w:val="hybridMultilevel"/>
    <w:tmpl w:val="DC680000"/>
    <w:lvl w:ilvl="0" w:tplc="20DAC5D4">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27">
    <w:nsid w:val="3D90105C"/>
    <w:multiLevelType w:val="multilevel"/>
    <w:tmpl w:val="CF684C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0356D92"/>
    <w:multiLevelType w:val="hybridMultilevel"/>
    <w:tmpl w:val="95BCF4E6"/>
    <w:lvl w:ilvl="0" w:tplc="A9304B7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38B71D9"/>
    <w:multiLevelType w:val="multilevel"/>
    <w:tmpl w:val="BBC2712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469F182F"/>
    <w:multiLevelType w:val="hybridMultilevel"/>
    <w:tmpl w:val="8D00C016"/>
    <w:lvl w:ilvl="0" w:tplc="A9304B78">
      <w:start w:val="1"/>
      <w:numFmt w:val="bullet"/>
      <w:lvlText w:val="-"/>
      <w:lvlJc w:val="left"/>
      <w:pPr>
        <w:ind w:left="720" w:hanging="360"/>
      </w:pPr>
      <w:rPr>
        <w:rFonts w:ascii="Symbol" w:hAnsi="Symbol" w:hint="default"/>
      </w:rPr>
    </w:lvl>
    <w:lvl w:ilvl="1" w:tplc="0426000F">
      <w:start w:val="1"/>
      <w:numFmt w:val="decimal"/>
      <w:lvlText w:val="%2."/>
      <w:lvlJc w:val="left"/>
      <w:pPr>
        <w:tabs>
          <w:tab w:val="num" w:pos="1440"/>
        </w:tabs>
        <w:ind w:left="1440" w:hanging="360"/>
      </w:pPr>
      <w:rPr>
        <w:rFonts w:hint="default"/>
      </w:rPr>
    </w:lvl>
    <w:lvl w:ilvl="2" w:tplc="7F8472A6">
      <w:start w:val="1"/>
      <w:numFmt w:val="decimal"/>
      <w:lvlText w:val="%3)"/>
      <w:lvlJc w:val="left"/>
      <w:pPr>
        <w:tabs>
          <w:tab w:val="num" w:pos="2160"/>
        </w:tabs>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6B42937"/>
    <w:multiLevelType w:val="multilevel"/>
    <w:tmpl w:val="CF684C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1E72EA"/>
    <w:multiLevelType w:val="hybridMultilevel"/>
    <w:tmpl w:val="C66A5BE6"/>
    <w:lvl w:ilvl="0" w:tplc="A9304B7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8940C59"/>
    <w:multiLevelType w:val="hybridMultilevel"/>
    <w:tmpl w:val="D59436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4DEA5F7E"/>
    <w:multiLevelType w:val="hybridMultilevel"/>
    <w:tmpl w:val="65D89432"/>
    <w:lvl w:ilvl="0" w:tplc="DFB8413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nsid w:val="52597137"/>
    <w:multiLevelType w:val="hybridMultilevel"/>
    <w:tmpl w:val="B1466B48"/>
    <w:lvl w:ilvl="0" w:tplc="A9304B7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3714AF3"/>
    <w:multiLevelType w:val="hybridMultilevel"/>
    <w:tmpl w:val="B52C0F30"/>
    <w:lvl w:ilvl="0" w:tplc="23BA2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5643004E"/>
    <w:multiLevelType w:val="hybridMultilevel"/>
    <w:tmpl w:val="B46E5972"/>
    <w:lvl w:ilvl="0" w:tplc="E6F4CAFE">
      <w:start w:val="1"/>
      <w:numFmt w:val="decimal"/>
      <w:lvlText w:val="(%1)"/>
      <w:lvlJc w:val="left"/>
      <w:pPr>
        <w:ind w:left="2580" w:hanging="114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nsid w:val="594A34C1"/>
    <w:multiLevelType w:val="hybridMultilevel"/>
    <w:tmpl w:val="0562F08E"/>
    <w:lvl w:ilvl="0" w:tplc="DFB84138">
      <w:start w:val="1"/>
      <w:numFmt w:val="decimal"/>
      <w:lvlText w:val="(%1)"/>
      <w:lvlJc w:val="left"/>
      <w:pPr>
        <w:ind w:left="720" w:hanging="360"/>
      </w:pPr>
      <w:rPr>
        <w:rFonts w:hint="default"/>
      </w:rPr>
    </w:lvl>
    <w:lvl w:ilvl="1" w:tplc="0426000F">
      <w:start w:val="1"/>
      <w:numFmt w:val="decimal"/>
      <w:lvlText w:val="%2."/>
      <w:lvlJc w:val="left"/>
      <w:pPr>
        <w:tabs>
          <w:tab w:val="num" w:pos="1440"/>
        </w:tabs>
        <w:ind w:left="1440" w:hanging="360"/>
      </w:pPr>
      <w:rPr>
        <w:rFonts w:hint="default"/>
      </w:rPr>
    </w:lvl>
    <w:lvl w:ilvl="2" w:tplc="7F8472A6">
      <w:start w:val="1"/>
      <w:numFmt w:val="decimal"/>
      <w:lvlText w:val="%3)"/>
      <w:lvlJc w:val="left"/>
      <w:pPr>
        <w:tabs>
          <w:tab w:val="num" w:pos="2160"/>
        </w:tabs>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A1802F1"/>
    <w:multiLevelType w:val="hybridMultilevel"/>
    <w:tmpl w:val="1CB81BC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0">
    <w:nsid w:val="5E8E25AB"/>
    <w:multiLevelType w:val="hybridMultilevel"/>
    <w:tmpl w:val="F3F6D0E6"/>
    <w:lvl w:ilvl="0" w:tplc="FE165DB0">
      <w:start w:val="1"/>
      <w:numFmt w:val="decimal"/>
      <w:lvlText w:val="%1."/>
      <w:lvlJc w:val="left"/>
      <w:pPr>
        <w:ind w:left="900" w:hanging="360"/>
      </w:pPr>
      <w:rPr>
        <w:rFonts w:ascii="Times New Roman" w:eastAsia="Times New Roman" w:hAnsi="Times New Roman" w:cs="Times New Roman"/>
      </w:rPr>
    </w:lvl>
    <w:lvl w:ilvl="1" w:tplc="8B42F94E">
      <w:start w:val="1"/>
      <w:numFmt w:val="decimal"/>
      <w:lvlText w:val="%2)"/>
      <w:lvlJc w:val="left"/>
      <w:pPr>
        <w:tabs>
          <w:tab w:val="num" w:pos="1620"/>
        </w:tabs>
        <w:ind w:left="1620" w:hanging="360"/>
      </w:pPr>
      <w:rPr>
        <w:rFonts w:hint="default"/>
      </w:r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1">
    <w:nsid w:val="60724E56"/>
    <w:multiLevelType w:val="hybridMultilevel"/>
    <w:tmpl w:val="EBB8797A"/>
    <w:lvl w:ilvl="0" w:tplc="FE165DB0">
      <w:start w:val="1"/>
      <w:numFmt w:val="decimal"/>
      <w:lvlText w:val="%1."/>
      <w:lvlJc w:val="left"/>
      <w:pPr>
        <w:ind w:left="90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7B54C80"/>
    <w:multiLevelType w:val="hybridMultilevel"/>
    <w:tmpl w:val="1CCE60F0"/>
    <w:lvl w:ilvl="0" w:tplc="835A8A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nsid w:val="6E57512B"/>
    <w:multiLevelType w:val="hybridMultilevel"/>
    <w:tmpl w:val="53CAC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1A46E9D"/>
    <w:multiLevelType w:val="hybridMultilevel"/>
    <w:tmpl w:val="98BE37AA"/>
    <w:lvl w:ilvl="0" w:tplc="DFB84138">
      <w:start w:val="1"/>
      <w:numFmt w:val="decimal"/>
      <w:lvlText w:val="(%1)"/>
      <w:lvlJc w:val="left"/>
      <w:pPr>
        <w:ind w:left="1440" w:hanging="360"/>
      </w:pPr>
      <w:rPr>
        <w:rFonts w:hint="default"/>
      </w:rPr>
    </w:lvl>
    <w:lvl w:ilvl="1" w:tplc="0426001B">
      <w:start w:val="1"/>
      <w:numFmt w:val="lowerRoman"/>
      <w:lvlText w:val="%2."/>
      <w:lvlJc w:val="righ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nsid w:val="76EB7473"/>
    <w:multiLevelType w:val="multilevel"/>
    <w:tmpl w:val="53BCD7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152266"/>
    <w:multiLevelType w:val="hybridMultilevel"/>
    <w:tmpl w:val="DA80E7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BB63EC9"/>
    <w:multiLevelType w:val="hybridMultilevel"/>
    <w:tmpl w:val="EFF89868"/>
    <w:lvl w:ilvl="0" w:tplc="A9304B7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EEF6A58"/>
    <w:multiLevelType w:val="multilevel"/>
    <w:tmpl w:val="FDAE8F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5"/>
  </w:num>
  <w:num w:numId="2">
    <w:abstractNumId w:val="39"/>
  </w:num>
  <w:num w:numId="3">
    <w:abstractNumId w:val="36"/>
  </w:num>
  <w:num w:numId="4">
    <w:abstractNumId w:val="3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34"/>
  </w:num>
  <w:num w:numId="9">
    <w:abstractNumId w:val="44"/>
  </w:num>
  <w:num w:numId="10">
    <w:abstractNumId w:val="37"/>
  </w:num>
  <w:num w:numId="11">
    <w:abstractNumId w:val="30"/>
  </w:num>
  <w:num w:numId="12">
    <w:abstractNumId w:val="35"/>
  </w:num>
  <w:num w:numId="13">
    <w:abstractNumId w:val="19"/>
  </w:num>
  <w:num w:numId="14">
    <w:abstractNumId w:val="28"/>
  </w:num>
  <w:num w:numId="15">
    <w:abstractNumId w:val="26"/>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7"/>
  </w:num>
  <w:num w:numId="29">
    <w:abstractNumId w:val="21"/>
  </w:num>
  <w:num w:numId="30">
    <w:abstractNumId w:val="17"/>
  </w:num>
  <w:num w:numId="31">
    <w:abstractNumId w:val="40"/>
  </w:num>
  <w:num w:numId="32">
    <w:abstractNumId w:val="20"/>
  </w:num>
  <w:num w:numId="33">
    <w:abstractNumId w:val="22"/>
  </w:num>
  <w:num w:numId="34">
    <w:abstractNumId w:val="18"/>
  </w:num>
  <w:num w:numId="35">
    <w:abstractNumId w:val="42"/>
  </w:num>
  <w:num w:numId="36">
    <w:abstractNumId w:val="46"/>
  </w:num>
  <w:num w:numId="37">
    <w:abstractNumId w:val="47"/>
  </w:num>
  <w:num w:numId="38">
    <w:abstractNumId w:val="13"/>
  </w:num>
  <w:num w:numId="39">
    <w:abstractNumId w:val="15"/>
  </w:num>
  <w:num w:numId="40">
    <w:abstractNumId w:val="29"/>
  </w:num>
  <w:num w:numId="41">
    <w:abstractNumId w:val="48"/>
  </w:num>
  <w:num w:numId="42">
    <w:abstractNumId w:val="43"/>
  </w:num>
  <w:num w:numId="43">
    <w:abstractNumId w:val="11"/>
  </w:num>
  <w:num w:numId="44">
    <w:abstractNumId w:val="25"/>
  </w:num>
  <w:num w:numId="45">
    <w:abstractNumId w:val="38"/>
  </w:num>
  <w:num w:numId="46">
    <w:abstractNumId w:val="33"/>
  </w:num>
  <w:num w:numId="47">
    <w:abstractNumId w:val="10"/>
  </w:num>
  <w:num w:numId="48">
    <w:abstractNumId w:val="41"/>
  </w:num>
  <w:num w:numId="49">
    <w:abstractNumId w:val="2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1C"/>
    <w:rsid w:val="000018B8"/>
    <w:rsid w:val="000018DD"/>
    <w:rsid w:val="000024CB"/>
    <w:rsid w:val="00003078"/>
    <w:rsid w:val="000034B1"/>
    <w:rsid w:val="000043B4"/>
    <w:rsid w:val="00004FC3"/>
    <w:rsid w:val="00006547"/>
    <w:rsid w:val="00007AB4"/>
    <w:rsid w:val="00011A8A"/>
    <w:rsid w:val="000129CD"/>
    <w:rsid w:val="000165E0"/>
    <w:rsid w:val="0001723D"/>
    <w:rsid w:val="00020629"/>
    <w:rsid w:val="00021093"/>
    <w:rsid w:val="00022D0A"/>
    <w:rsid w:val="00023082"/>
    <w:rsid w:val="00024652"/>
    <w:rsid w:val="0002514B"/>
    <w:rsid w:val="0002665A"/>
    <w:rsid w:val="00026749"/>
    <w:rsid w:val="00030584"/>
    <w:rsid w:val="00030FC6"/>
    <w:rsid w:val="00031FD3"/>
    <w:rsid w:val="00033821"/>
    <w:rsid w:val="00035D4D"/>
    <w:rsid w:val="00036C4C"/>
    <w:rsid w:val="000404B1"/>
    <w:rsid w:val="00040D89"/>
    <w:rsid w:val="000413BD"/>
    <w:rsid w:val="00041403"/>
    <w:rsid w:val="00042B04"/>
    <w:rsid w:val="00043FE0"/>
    <w:rsid w:val="00045AD9"/>
    <w:rsid w:val="000463F7"/>
    <w:rsid w:val="000519E6"/>
    <w:rsid w:val="0005334A"/>
    <w:rsid w:val="00053B38"/>
    <w:rsid w:val="00054398"/>
    <w:rsid w:val="00054C14"/>
    <w:rsid w:val="00054E07"/>
    <w:rsid w:val="000550A1"/>
    <w:rsid w:val="00056217"/>
    <w:rsid w:val="00056F85"/>
    <w:rsid w:val="00057286"/>
    <w:rsid w:val="00057E2A"/>
    <w:rsid w:val="0006183C"/>
    <w:rsid w:val="00062890"/>
    <w:rsid w:val="00062939"/>
    <w:rsid w:val="00062B7F"/>
    <w:rsid w:val="00062BEB"/>
    <w:rsid w:val="00063CCC"/>
    <w:rsid w:val="000666D0"/>
    <w:rsid w:val="00066D15"/>
    <w:rsid w:val="00067D4D"/>
    <w:rsid w:val="0007086B"/>
    <w:rsid w:val="00073B55"/>
    <w:rsid w:val="00073E72"/>
    <w:rsid w:val="00076FDB"/>
    <w:rsid w:val="000775FE"/>
    <w:rsid w:val="00081665"/>
    <w:rsid w:val="00081FA3"/>
    <w:rsid w:val="000827A6"/>
    <w:rsid w:val="00083DEB"/>
    <w:rsid w:val="00084A51"/>
    <w:rsid w:val="00084D22"/>
    <w:rsid w:val="00085A41"/>
    <w:rsid w:val="000871C2"/>
    <w:rsid w:val="0008767F"/>
    <w:rsid w:val="00087F85"/>
    <w:rsid w:val="00091E59"/>
    <w:rsid w:val="00092810"/>
    <w:rsid w:val="00092B93"/>
    <w:rsid w:val="00093E0A"/>
    <w:rsid w:val="00094A77"/>
    <w:rsid w:val="000955E4"/>
    <w:rsid w:val="00095B27"/>
    <w:rsid w:val="00096D92"/>
    <w:rsid w:val="000976B9"/>
    <w:rsid w:val="000A3796"/>
    <w:rsid w:val="000A4097"/>
    <w:rsid w:val="000A6456"/>
    <w:rsid w:val="000A7DDC"/>
    <w:rsid w:val="000A7EA0"/>
    <w:rsid w:val="000B435F"/>
    <w:rsid w:val="000C2643"/>
    <w:rsid w:val="000C3453"/>
    <w:rsid w:val="000C3A44"/>
    <w:rsid w:val="000C43FD"/>
    <w:rsid w:val="000C4D02"/>
    <w:rsid w:val="000C6DE1"/>
    <w:rsid w:val="000C7B7C"/>
    <w:rsid w:val="000D2E2D"/>
    <w:rsid w:val="000D3BA7"/>
    <w:rsid w:val="000D6123"/>
    <w:rsid w:val="000D651E"/>
    <w:rsid w:val="000D6F5B"/>
    <w:rsid w:val="000D7820"/>
    <w:rsid w:val="000E1240"/>
    <w:rsid w:val="000E2BCA"/>
    <w:rsid w:val="000E396F"/>
    <w:rsid w:val="000E514C"/>
    <w:rsid w:val="000F1D85"/>
    <w:rsid w:val="000F27C4"/>
    <w:rsid w:val="000F309C"/>
    <w:rsid w:val="000F31C8"/>
    <w:rsid w:val="000F3D53"/>
    <w:rsid w:val="000F5388"/>
    <w:rsid w:val="000F6BCA"/>
    <w:rsid w:val="000F6CD1"/>
    <w:rsid w:val="000F7C77"/>
    <w:rsid w:val="001000A4"/>
    <w:rsid w:val="0010224A"/>
    <w:rsid w:val="00105972"/>
    <w:rsid w:val="00106F4C"/>
    <w:rsid w:val="001102CD"/>
    <w:rsid w:val="00110C79"/>
    <w:rsid w:val="00111B1F"/>
    <w:rsid w:val="001134B1"/>
    <w:rsid w:val="001136DF"/>
    <w:rsid w:val="00113CB3"/>
    <w:rsid w:val="001153BE"/>
    <w:rsid w:val="001154E6"/>
    <w:rsid w:val="00115853"/>
    <w:rsid w:val="00115C2E"/>
    <w:rsid w:val="001162E4"/>
    <w:rsid w:val="001165CA"/>
    <w:rsid w:val="00116E4F"/>
    <w:rsid w:val="00116EAC"/>
    <w:rsid w:val="00120549"/>
    <w:rsid w:val="00121A69"/>
    <w:rsid w:val="00123464"/>
    <w:rsid w:val="00123C65"/>
    <w:rsid w:val="001244C4"/>
    <w:rsid w:val="001244CF"/>
    <w:rsid w:val="001244F4"/>
    <w:rsid w:val="001263D8"/>
    <w:rsid w:val="00126B2A"/>
    <w:rsid w:val="00127016"/>
    <w:rsid w:val="0012747D"/>
    <w:rsid w:val="00127742"/>
    <w:rsid w:val="0013108B"/>
    <w:rsid w:val="00132044"/>
    <w:rsid w:val="00134244"/>
    <w:rsid w:val="00134A40"/>
    <w:rsid w:val="001375A9"/>
    <w:rsid w:val="0014704E"/>
    <w:rsid w:val="00152F23"/>
    <w:rsid w:val="001533E1"/>
    <w:rsid w:val="00156333"/>
    <w:rsid w:val="001570FE"/>
    <w:rsid w:val="00161DE8"/>
    <w:rsid w:val="00162D45"/>
    <w:rsid w:val="001631DC"/>
    <w:rsid w:val="00163EA9"/>
    <w:rsid w:val="0016487D"/>
    <w:rsid w:val="00166B24"/>
    <w:rsid w:val="00166CE4"/>
    <w:rsid w:val="00167483"/>
    <w:rsid w:val="00167CB1"/>
    <w:rsid w:val="001708B6"/>
    <w:rsid w:val="001709BD"/>
    <w:rsid w:val="00172002"/>
    <w:rsid w:val="00173C5B"/>
    <w:rsid w:val="00174532"/>
    <w:rsid w:val="00176E0F"/>
    <w:rsid w:val="001800C1"/>
    <w:rsid w:val="00183916"/>
    <w:rsid w:val="0018409A"/>
    <w:rsid w:val="00184295"/>
    <w:rsid w:val="001851E1"/>
    <w:rsid w:val="00185D46"/>
    <w:rsid w:val="00187302"/>
    <w:rsid w:val="0018763A"/>
    <w:rsid w:val="00191B19"/>
    <w:rsid w:val="00192BC2"/>
    <w:rsid w:val="001951C3"/>
    <w:rsid w:val="001955F6"/>
    <w:rsid w:val="001958F4"/>
    <w:rsid w:val="001968F0"/>
    <w:rsid w:val="00197A26"/>
    <w:rsid w:val="00197FBB"/>
    <w:rsid w:val="001A0541"/>
    <w:rsid w:val="001A0EC3"/>
    <w:rsid w:val="001A335C"/>
    <w:rsid w:val="001A3ED8"/>
    <w:rsid w:val="001A457D"/>
    <w:rsid w:val="001A5BEF"/>
    <w:rsid w:val="001A6490"/>
    <w:rsid w:val="001A65A9"/>
    <w:rsid w:val="001B240A"/>
    <w:rsid w:val="001B6834"/>
    <w:rsid w:val="001B6E83"/>
    <w:rsid w:val="001B6FD5"/>
    <w:rsid w:val="001B771F"/>
    <w:rsid w:val="001B790C"/>
    <w:rsid w:val="001C1304"/>
    <w:rsid w:val="001C1E6C"/>
    <w:rsid w:val="001C3981"/>
    <w:rsid w:val="001C5E21"/>
    <w:rsid w:val="001C73AF"/>
    <w:rsid w:val="001C7D5F"/>
    <w:rsid w:val="001D05C9"/>
    <w:rsid w:val="001D1060"/>
    <w:rsid w:val="001D2D2A"/>
    <w:rsid w:val="001E41D4"/>
    <w:rsid w:val="001E4AE7"/>
    <w:rsid w:val="001E69CF"/>
    <w:rsid w:val="001E6F2F"/>
    <w:rsid w:val="001E7206"/>
    <w:rsid w:val="001E7726"/>
    <w:rsid w:val="001F00E3"/>
    <w:rsid w:val="001F0593"/>
    <w:rsid w:val="001F1A1E"/>
    <w:rsid w:val="001F22E4"/>
    <w:rsid w:val="001F5D9F"/>
    <w:rsid w:val="002007D6"/>
    <w:rsid w:val="002007EA"/>
    <w:rsid w:val="00200DFC"/>
    <w:rsid w:val="0020611D"/>
    <w:rsid w:val="002066F3"/>
    <w:rsid w:val="00210854"/>
    <w:rsid w:val="00211366"/>
    <w:rsid w:val="00214CEF"/>
    <w:rsid w:val="00216DDB"/>
    <w:rsid w:val="00220BBC"/>
    <w:rsid w:val="002218E0"/>
    <w:rsid w:val="00221F61"/>
    <w:rsid w:val="002250E7"/>
    <w:rsid w:val="00225B7D"/>
    <w:rsid w:val="00230FBC"/>
    <w:rsid w:val="00232BE3"/>
    <w:rsid w:val="00232E32"/>
    <w:rsid w:val="00233A9D"/>
    <w:rsid w:val="002344EF"/>
    <w:rsid w:val="00236E02"/>
    <w:rsid w:val="00240288"/>
    <w:rsid w:val="00240703"/>
    <w:rsid w:val="00241A4F"/>
    <w:rsid w:val="0024521D"/>
    <w:rsid w:val="002463E2"/>
    <w:rsid w:val="00246956"/>
    <w:rsid w:val="0025056C"/>
    <w:rsid w:val="002511D5"/>
    <w:rsid w:val="002511FB"/>
    <w:rsid w:val="002516BC"/>
    <w:rsid w:val="00253A3E"/>
    <w:rsid w:val="002562DD"/>
    <w:rsid w:val="0025718F"/>
    <w:rsid w:val="002574FE"/>
    <w:rsid w:val="00257EA2"/>
    <w:rsid w:val="00261AF7"/>
    <w:rsid w:val="00262512"/>
    <w:rsid w:val="00262839"/>
    <w:rsid w:val="002633B9"/>
    <w:rsid w:val="002636C2"/>
    <w:rsid w:val="0026552D"/>
    <w:rsid w:val="00265CD6"/>
    <w:rsid w:val="00266609"/>
    <w:rsid w:val="00267A42"/>
    <w:rsid w:val="00267A82"/>
    <w:rsid w:val="00267E44"/>
    <w:rsid w:val="00271068"/>
    <w:rsid w:val="002721D6"/>
    <w:rsid w:val="00274855"/>
    <w:rsid w:val="0027545A"/>
    <w:rsid w:val="00275697"/>
    <w:rsid w:val="00282DE7"/>
    <w:rsid w:val="00283309"/>
    <w:rsid w:val="00284BC3"/>
    <w:rsid w:val="0028599B"/>
    <w:rsid w:val="002909E5"/>
    <w:rsid w:val="002916B3"/>
    <w:rsid w:val="002927B3"/>
    <w:rsid w:val="00293E01"/>
    <w:rsid w:val="00294221"/>
    <w:rsid w:val="00295339"/>
    <w:rsid w:val="00297482"/>
    <w:rsid w:val="002A01E3"/>
    <w:rsid w:val="002A07B7"/>
    <w:rsid w:val="002A28DF"/>
    <w:rsid w:val="002A4B73"/>
    <w:rsid w:val="002A4C48"/>
    <w:rsid w:val="002A4D04"/>
    <w:rsid w:val="002A4D7C"/>
    <w:rsid w:val="002A5BAA"/>
    <w:rsid w:val="002A7EB6"/>
    <w:rsid w:val="002A7F90"/>
    <w:rsid w:val="002B3D58"/>
    <w:rsid w:val="002B4071"/>
    <w:rsid w:val="002B6DC1"/>
    <w:rsid w:val="002C15DB"/>
    <w:rsid w:val="002C1DEB"/>
    <w:rsid w:val="002C2BFB"/>
    <w:rsid w:val="002C2E54"/>
    <w:rsid w:val="002C30F1"/>
    <w:rsid w:val="002C77A3"/>
    <w:rsid w:val="002D0280"/>
    <w:rsid w:val="002D04B1"/>
    <w:rsid w:val="002D10D3"/>
    <w:rsid w:val="002D4C08"/>
    <w:rsid w:val="002D5675"/>
    <w:rsid w:val="002D57EF"/>
    <w:rsid w:val="002D6894"/>
    <w:rsid w:val="002D6AAC"/>
    <w:rsid w:val="002D6B7D"/>
    <w:rsid w:val="002D6D85"/>
    <w:rsid w:val="002E0B4D"/>
    <w:rsid w:val="002E167E"/>
    <w:rsid w:val="002E1AE3"/>
    <w:rsid w:val="002E6280"/>
    <w:rsid w:val="002E7045"/>
    <w:rsid w:val="002E78AE"/>
    <w:rsid w:val="002E7B31"/>
    <w:rsid w:val="002E7DD4"/>
    <w:rsid w:val="002F16A3"/>
    <w:rsid w:val="002F35B4"/>
    <w:rsid w:val="002F4185"/>
    <w:rsid w:val="002F431F"/>
    <w:rsid w:val="002F4B59"/>
    <w:rsid w:val="002F711D"/>
    <w:rsid w:val="00300318"/>
    <w:rsid w:val="0030166C"/>
    <w:rsid w:val="0030185F"/>
    <w:rsid w:val="00303BAE"/>
    <w:rsid w:val="00306FB5"/>
    <w:rsid w:val="00307A0C"/>
    <w:rsid w:val="003110B2"/>
    <w:rsid w:val="0031111C"/>
    <w:rsid w:val="00311F38"/>
    <w:rsid w:val="003136C4"/>
    <w:rsid w:val="00314F22"/>
    <w:rsid w:val="0031606A"/>
    <w:rsid w:val="003166F6"/>
    <w:rsid w:val="00321B57"/>
    <w:rsid w:val="00323FF6"/>
    <w:rsid w:val="0032472C"/>
    <w:rsid w:val="00324ECA"/>
    <w:rsid w:val="00330CF2"/>
    <w:rsid w:val="00331B1D"/>
    <w:rsid w:val="00332897"/>
    <w:rsid w:val="003364A7"/>
    <w:rsid w:val="003369AA"/>
    <w:rsid w:val="003370AA"/>
    <w:rsid w:val="00337406"/>
    <w:rsid w:val="00340851"/>
    <w:rsid w:val="00347B09"/>
    <w:rsid w:val="00350406"/>
    <w:rsid w:val="003517CE"/>
    <w:rsid w:val="00354337"/>
    <w:rsid w:val="003543DE"/>
    <w:rsid w:val="003549D1"/>
    <w:rsid w:val="003561E2"/>
    <w:rsid w:val="00356395"/>
    <w:rsid w:val="003600E9"/>
    <w:rsid w:val="00360DE1"/>
    <w:rsid w:val="003648BB"/>
    <w:rsid w:val="00367863"/>
    <w:rsid w:val="00371968"/>
    <w:rsid w:val="00371CC6"/>
    <w:rsid w:val="0037334E"/>
    <w:rsid w:val="00373CBA"/>
    <w:rsid w:val="00373F5E"/>
    <w:rsid w:val="00374F7B"/>
    <w:rsid w:val="003756A7"/>
    <w:rsid w:val="0038200B"/>
    <w:rsid w:val="0038224A"/>
    <w:rsid w:val="003845C5"/>
    <w:rsid w:val="003847AC"/>
    <w:rsid w:val="003852C0"/>
    <w:rsid w:val="003854B7"/>
    <w:rsid w:val="00392A9E"/>
    <w:rsid w:val="00393DF7"/>
    <w:rsid w:val="00393FA2"/>
    <w:rsid w:val="00395A18"/>
    <w:rsid w:val="003B06E7"/>
    <w:rsid w:val="003B0979"/>
    <w:rsid w:val="003B3792"/>
    <w:rsid w:val="003B514A"/>
    <w:rsid w:val="003B70A1"/>
    <w:rsid w:val="003B72A9"/>
    <w:rsid w:val="003B78BC"/>
    <w:rsid w:val="003C0FC3"/>
    <w:rsid w:val="003C2584"/>
    <w:rsid w:val="003C5002"/>
    <w:rsid w:val="003C613E"/>
    <w:rsid w:val="003C7374"/>
    <w:rsid w:val="003C78EA"/>
    <w:rsid w:val="003C79FA"/>
    <w:rsid w:val="003C7F9B"/>
    <w:rsid w:val="003D0CD8"/>
    <w:rsid w:val="003D1C82"/>
    <w:rsid w:val="003D2BDA"/>
    <w:rsid w:val="003D4D40"/>
    <w:rsid w:val="003E23F2"/>
    <w:rsid w:val="003E3487"/>
    <w:rsid w:val="003E3849"/>
    <w:rsid w:val="003E4753"/>
    <w:rsid w:val="003E6981"/>
    <w:rsid w:val="003E6FBD"/>
    <w:rsid w:val="003F20F8"/>
    <w:rsid w:val="003F2858"/>
    <w:rsid w:val="003F4467"/>
    <w:rsid w:val="003F4ABF"/>
    <w:rsid w:val="003F5614"/>
    <w:rsid w:val="003F6DF3"/>
    <w:rsid w:val="003F7B19"/>
    <w:rsid w:val="003F7EC8"/>
    <w:rsid w:val="00400581"/>
    <w:rsid w:val="0040060A"/>
    <w:rsid w:val="00401744"/>
    <w:rsid w:val="00401ED6"/>
    <w:rsid w:val="004024EA"/>
    <w:rsid w:val="0040289B"/>
    <w:rsid w:val="004035A0"/>
    <w:rsid w:val="00404C13"/>
    <w:rsid w:val="00405007"/>
    <w:rsid w:val="004052E6"/>
    <w:rsid w:val="00405756"/>
    <w:rsid w:val="00406746"/>
    <w:rsid w:val="00410C26"/>
    <w:rsid w:val="00410D8D"/>
    <w:rsid w:val="00411FA7"/>
    <w:rsid w:val="00413518"/>
    <w:rsid w:val="00414405"/>
    <w:rsid w:val="0041458C"/>
    <w:rsid w:val="00414FEC"/>
    <w:rsid w:val="0041630F"/>
    <w:rsid w:val="00420EF7"/>
    <w:rsid w:val="00423AA4"/>
    <w:rsid w:val="0042506F"/>
    <w:rsid w:val="00425236"/>
    <w:rsid w:val="00425526"/>
    <w:rsid w:val="00426BFD"/>
    <w:rsid w:val="004303BC"/>
    <w:rsid w:val="00431DD2"/>
    <w:rsid w:val="0043246D"/>
    <w:rsid w:val="0043303B"/>
    <w:rsid w:val="00435983"/>
    <w:rsid w:val="00436404"/>
    <w:rsid w:val="00440035"/>
    <w:rsid w:val="004419BB"/>
    <w:rsid w:val="004419EB"/>
    <w:rsid w:val="00441DE3"/>
    <w:rsid w:val="0044296E"/>
    <w:rsid w:val="004464B9"/>
    <w:rsid w:val="00451504"/>
    <w:rsid w:val="004532D6"/>
    <w:rsid w:val="004562BA"/>
    <w:rsid w:val="00457358"/>
    <w:rsid w:val="00460BF4"/>
    <w:rsid w:val="004615C3"/>
    <w:rsid w:val="004629CE"/>
    <w:rsid w:val="00462CFF"/>
    <w:rsid w:val="00463170"/>
    <w:rsid w:val="00463394"/>
    <w:rsid w:val="00463AB0"/>
    <w:rsid w:val="00464047"/>
    <w:rsid w:val="00464B66"/>
    <w:rsid w:val="0047153C"/>
    <w:rsid w:val="00474453"/>
    <w:rsid w:val="00474479"/>
    <w:rsid w:val="00475212"/>
    <w:rsid w:val="00477A9B"/>
    <w:rsid w:val="00481C9E"/>
    <w:rsid w:val="00481FC4"/>
    <w:rsid w:val="0048242F"/>
    <w:rsid w:val="0048382A"/>
    <w:rsid w:val="00483FA8"/>
    <w:rsid w:val="004844D5"/>
    <w:rsid w:val="004851FA"/>
    <w:rsid w:val="00487CD9"/>
    <w:rsid w:val="00490A3B"/>
    <w:rsid w:val="00490D43"/>
    <w:rsid w:val="0049166D"/>
    <w:rsid w:val="00492D5C"/>
    <w:rsid w:val="0049427A"/>
    <w:rsid w:val="00497095"/>
    <w:rsid w:val="00497210"/>
    <w:rsid w:val="004A00B4"/>
    <w:rsid w:val="004A1163"/>
    <w:rsid w:val="004A21F4"/>
    <w:rsid w:val="004A24E4"/>
    <w:rsid w:val="004A37E1"/>
    <w:rsid w:val="004A5003"/>
    <w:rsid w:val="004A7A8A"/>
    <w:rsid w:val="004B0530"/>
    <w:rsid w:val="004B06F8"/>
    <w:rsid w:val="004B1069"/>
    <w:rsid w:val="004B1193"/>
    <w:rsid w:val="004B1267"/>
    <w:rsid w:val="004B252E"/>
    <w:rsid w:val="004B2922"/>
    <w:rsid w:val="004B2C98"/>
    <w:rsid w:val="004B365F"/>
    <w:rsid w:val="004B37D9"/>
    <w:rsid w:val="004B6A05"/>
    <w:rsid w:val="004B7982"/>
    <w:rsid w:val="004C11E4"/>
    <w:rsid w:val="004C3186"/>
    <w:rsid w:val="004C3A28"/>
    <w:rsid w:val="004C5AA2"/>
    <w:rsid w:val="004C685B"/>
    <w:rsid w:val="004D0162"/>
    <w:rsid w:val="004D1D2D"/>
    <w:rsid w:val="004D259E"/>
    <w:rsid w:val="004D267C"/>
    <w:rsid w:val="004D5F9F"/>
    <w:rsid w:val="004D7F5E"/>
    <w:rsid w:val="004E129E"/>
    <w:rsid w:val="004E1A65"/>
    <w:rsid w:val="004E3534"/>
    <w:rsid w:val="004E4183"/>
    <w:rsid w:val="004E47C1"/>
    <w:rsid w:val="004E5873"/>
    <w:rsid w:val="004E5A2C"/>
    <w:rsid w:val="004E6B93"/>
    <w:rsid w:val="004E7116"/>
    <w:rsid w:val="004E7F86"/>
    <w:rsid w:val="004F065B"/>
    <w:rsid w:val="004F3BA0"/>
    <w:rsid w:val="00501515"/>
    <w:rsid w:val="00501A84"/>
    <w:rsid w:val="00502031"/>
    <w:rsid w:val="005027A0"/>
    <w:rsid w:val="00502E3A"/>
    <w:rsid w:val="00503861"/>
    <w:rsid w:val="0050604C"/>
    <w:rsid w:val="00510634"/>
    <w:rsid w:val="0051186F"/>
    <w:rsid w:val="00511D59"/>
    <w:rsid w:val="005152CE"/>
    <w:rsid w:val="0051581D"/>
    <w:rsid w:val="00516194"/>
    <w:rsid w:val="005164AE"/>
    <w:rsid w:val="005167C6"/>
    <w:rsid w:val="00522B88"/>
    <w:rsid w:val="00524B2E"/>
    <w:rsid w:val="00524E62"/>
    <w:rsid w:val="00525210"/>
    <w:rsid w:val="0052601A"/>
    <w:rsid w:val="00532338"/>
    <w:rsid w:val="005331F4"/>
    <w:rsid w:val="00533D7A"/>
    <w:rsid w:val="00534263"/>
    <w:rsid w:val="00535592"/>
    <w:rsid w:val="005355F0"/>
    <w:rsid w:val="00535FC4"/>
    <w:rsid w:val="005363E0"/>
    <w:rsid w:val="00536B05"/>
    <w:rsid w:val="00537AAD"/>
    <w:rsid w:val="00537C86"/>
    <w:rsid w:val="0054032F"/>
    <w:rsid w:val="0054081D"/>
    <w:rsid w:val="00541130"/>
    <w:rsid w:val="005416A2"/>
    <w:rsid w:val="00542385"/>
    <w:rsid w:val="00543E43"/>
    <w:rsid w:val="0054415B"/>
    <w:rsid w:val="00544D4F"/>
    <w:rsid w:val="00550EC3"/>
    <w:rsid w:val="00551ECD"/>
    <w:rsid w:val="005524A3"/>
    <w:rsid w:val="00554EED"/>
    <w:rsid w:val="00556255"/>
    <w:rsid w:val="00557E26"/>
    <w:rsid w:val="00562195"/>
    <w:rsid w:val="0056364F"/>
    <w:rsid w:val="005660DD"/>
    <w:rsid w:val="00572419"/>
    <w:rsid w:val="00572A31"/>
    <w:rsid w:val="005747B7"/>
    <w:rsid w:val="00574F17"/>
    <w:rsid w:val="00575651"/>
    <w:rsid w:val="00581893"/>
    <w:rsid w:val="00582235"/>
    <w:rsid w:val="0058381B"/>
    <w:rsid w:val="005847AC"/>
    <w:rsid w:val="005879D1"/>
    <w:rsid w:val="00592A51"/>
    <w:rsid w:val="00593542"/>
    <w:rsid w:val="005936A6"/>
    <w:rsid w:val="0059568B"/>
    <w:rsid w:val="00596024"/>
    <w:rsid w:val="00596716"/>
    <w:rsid w:val="00596ACB"/>
    <w:rsid w:val="00596D41"/>
    <w:rsid w:val="00597EAA"/>
    <w:rsid w:val="005A0416"/>
    <w:rsid w:val="005A3347"/>
    <w:rsid w:val="005A3991"/>
    <w:rsid w:val="005A4C7A"/>
    <w:rsid w:val="005A5FD5"/>
    <w:rsid w:val="005A601C"/>
    <w:rsid w:val="005A78D1"/>
    <w:rsid w:val="005B2452"/>
    <w:rsid w:val="005B498B"/>
    <w:rsid w:val="005B6A2E"/>
    <w:rsid w:val="005B70E9"/>
    <w:rsid w:val="005B7A34"/>
    <w:rsid w:val="005C388B"/>
    <w:rsid w:val="005C4E01"/>
    <w:rsid w:val="005C6659"/>
    <w:rsid w:val="005C787F"/>
    <w:rsid w:val="005C7E20"/>
    <w:rsid w:val="005D0592"/>
    <w:rsid w:val="005D0ADB"/>
    <w:rsid w:val="005D15D0"/>
    <w:rsid w:val="005D2630"/>
    <w:rsid w:val="005D3288"/>
    <w:rsid w:val="005D4368"/>
    <w:rsid w:val="005D4BE1"/>
    <w:rsid w:val="005D4C2E"/>
    <w:rsid w:val="005D6967"/>
    <w:rsid w:val="005D7125"/>
    <w:rsid w:val="005D78E5"/>
    <w:rsid w:val="005D7FCD"/>
    <w:rsid w:val="005E0D82"/>
    <w:rsid w:val="005E1924"/>
    <w:rsid w:val="005E29D9"/>
    <w:rsid w:val="005E2F17"/>
    <w:rsid w:val="005E3FAE"/>
    <w:rsid w:val="005E4A60"/>
    <w:rsid w:val="005E608D"/>
    <w:rsid w:val="005E6119"/>
    <w:rsid w:val="005E66D8"/>
    <w:rsid w:val="005E726C"/>
    <w:rsid w:val="005F0B72"/>
    <w:rsid w:val="005F0EB0"/>
    <w:rsid w:val="005F0FB9"/>
    <w:rsid w:val="005F1470"/>
    <w:rsid w:val="005F3657"/>
    <w:rsid w:val="005F3CC8"/>
    <w:rsid w:val="005F51D4"/>
    <w:rsid w:val="005F53FC"/>
    <w:rsid w:val="005F5F64"/>
    <w:rsid w:val="005F7E4D"/>
    <w:rsid w:val="00602450"/>
    <w:rsid w:val="00603591"/>
    <w:rsid w:val="00603965"/>
    <w:rsid w:val="006050C0"/>
    <w:rsid w:val="00606841"/>
    <w:rsid w:val="006073E6"/>
    <w:rsid w:val="00614191"/>
    <w:rsid w:val="00616FDC"/>
    <w:rsid w:val="006176E8"/>
    <w:rsid w:val="00617802"/>
    <w:rsid w:val="006208C2"/>
    <w:rsid w:val="00621380"/>
    <w:rsid w:val="00621403"/>
    <w:rsid w:val="00622CD3"/>
    <w:rsid w:val="00623D2D"/>
    <w:rsid w:val="00626C3F"/>
    <w:rsid w:val="006305DF"/>
    <w:rsid w:val="00635A15"/>
    <w:rsid w:val="00636D66"/>
    <w:rsid w:val="00641AAD"/>
    <w:rsid w:val="00645663"/>
    <w:rsid w:val="00645E4F"/>
    <w:rsid w:val="006466B8"/>
    <w:rsid w:val="00650EAE"/>
    <w:rsid w:val="00651C76"/>
    <w:rsid w:val="00652452"/>
    <w:rsid w:val="00657217"/>
    <w:rsid w:val="00657808"/>
    <w:rsid w:val="0066001D"/>
    <w:rsid w:val="00661F4E"/>
    <w:rsid w:val="006622E7"/>
    <w:rsid w:val="00670270"/>
    <w:rsid w:val="00672DDA"/>
    <w:rsid w:val="0067335D"/>
    <w:rsid w:val="00674272"/>
    <w:rsid w:val="00674B9D"/>
    <w:rsid w:val="00676AF4"/>
    <w:rsid w:val="0067799F"/>
    <w:rsid w:val="00680110"/>
    <w:rsid w:val="0068047E"/>
    <w:rsid w:val="006810A5"/>
    <w:rsid w:val="00681CB7"/>
    <w:rsid w:val="00681D20"/>
    <w:rsid w:val="00682F21"/>
    <w:rsid w:val="006833E9"/>
    <w:rsid w:val="00683C75"/>
    <w:rsid w:val="00685638"/>
    <w:rsid w:val="00686B1D"/>
    <w:rsid w:val="00687E88"/>
    <w:rsid w:val="006906B7"/>
    <w:rsid w:val="00693160"/>
    <w:rsid w:val="00695329"/>
    <w:rsid w:val="00695C52"/>
    <w:rsid w:val="00696549"/>
    <w:rsid w:val="006A025C"/>
    <w:rsid w:val="006A0572"/>
    <w:rsid w:val="006A1BF4"/>
    <w:rsid w:val="006A2CCD"/>
    <w:rsid w:val="006A2EB0"/>
    <w:rsid w:val="006A3E4E"/>
    <w:rsid w:val="006A4398"/>
    <w:rsid w:val="006A5D0C"/>
    <w:rsid w:val="006A5F4D"/>
    <w:rsid w:val="006A6F63"/>
    <w:rsid w:val="006A7B37"/>
    <w:rsid w:val="006B2215"/>
    <w:rsid w:val="006B34FC"/>
    <w:rsid w:val="006B36F2"/>
    <w:rsid w:val="006B3AD6"/>
    <w:rsid w:val="006B48AC"/>
    <w:rsid w:val="006B6DD3"/>
    <w:rsid w:val="006C4881"/>
    <w:rsid w:val="006C4CC6"/>
    <w:rsid w:val="006C5B46"/>
    <w:rsid w:val="006D089A"/>
    <w:rsid w:val="006D0984"/>
    <w:rsid w:val="006D19A3"/>
    <w:rsid w:val="006D2C6C"/>
    <w:rsid w:val="006D65A2"/>
    <w:rsid w:val="006D6CAB"/>
    <w:rsid w:val="006D7678"/>
    <w:rsid w:val="006D7B74"/>
    <w:rsid w:val="006D7C83"/>
    <w:rsid w:val="006E1F6A"/>
    <w:rsid w:val="006E2421"/>
    <w:rsid w:val="006E63B1"/>
    <w:rsid w:val="006E70B2"/>
    <w:rsid w:val="006E7AC7"/>
    <w:rsid w:val="006F07C1"/>
    <w:rsid w:val="006F2903"/>
    <w:rsid w:val="006F2BA9"/>
    <w:rsid w:val="006F2FA3"/>
    <w:rsid w:val="006F31EF"/>
    <w:rsid w:val="006F33D5"/>
    <w:rsid w:val="006F33F0"/>
    <w:rsid w:val="006F60CA"/>
    <w:rsid w:val="006F68B0"/>
    <w:rsid w:val="006F6CC0"/>
    <w:rsid w:val="006F740B"/>
    <w:rsid w:val="00700CF0"/>
    <w:rsid w:val="007032B9"/>
    <w:rsid w:val="00705548"/>
    <w:rsid w:val="0070586F"/>
    <w:rsid w:val="00706164"/>
    <w:rsid w:val="00710F40"/>
    <w:rsid w:val="00714C42"/>
    <w:rsid w:val="00716F60"/>
    <w:rsid w:val="00720D91"/>
    <w:rsid w:val="0072202C"/>
    <w:rsid w:val="00722594"/>
    <w:rsid w:val="00723F72"/>
    <w:rsid w:val="00724AB5"/>
    <w:rsid w:val="007256BE"/>
    <w:rsid w:val="00732DC4"/>
    <w:rsid w:val="0073301E"/>
    <w:rsid w:val="007330DC"/>
    <w:rsid w:val="007342D4"/>
    <w:rsid w:val="00734874"/>
    <w:rsid w:val="00735D40"/>
    <w:rsid w:val="0073725D"/>
    <w:rsid w:val="007374C3"/>
    <w:rsid w:val="00740408"/>
    <w:rsid w:val="007410F6"/>
    <w:rsid w:val="00745EAE"/>
    <w:rsid w:val="00750E7B"/>
    <w:rsid w:val="007524D7"/>
    <w:rsid w:val="007525FF"/>
    <w:rsid w:val="00752971"/>
    <w:rsid w:val="007531D2"/>
    <w:rsid w:val="007556B8"/>
    <w:rsid w:val="007558DB"/>
    <w:rsid w:val="007563A5"/>
    <w:rsid w:val="007563AB"/>
    <w:rsid w:val="00757751"/>
    <w:rsid w:val="00760825"/>
    <w:rsid w:val="00762652"/>
    <w:rsid w:val="00762DB7"/>
    <w:rsid w:val="00762E03"/>
    <w:rsid w:val="00763421"/>
    <w:rsid w:val="00765E4D"/>
    <w:rsid w:val="0076684E"/>
    <w:rsid w:val="00767485"/>
    <w:rsid w:val="00767F1C"/>
    <w:rsid w:val="00767F97"/>
    <w:rsid w:val="00770868"/>
    <w:rsid w:val="007716E7"/>
    <w:rsid w:val="00771739"/>
    <w:rsid w:val="00776FB2"/>
    <w:rsid w:val="00776FD2"/>
    <w:rsid w:val="00780C65"/>
    <w:rsid w:val="007817A7"/>
    <w:rsid w:val="00781DFA"/>
    <w:rsid w:val="007821A7"/>
    <w:rsid w:val="007851B7"/>
    <w:rsid w:val="00787C72"/>
    <w:rsid w:val="0079189C"/>
    <w:rsid w:val="0079294D"/>
    <w:rsid w:val="00792D63"/>
    <w:rsid w:val="00793531"/>
    <w:rsid w:val="00793D16"/>
    <w:rsid w:val="00797685"/>
    <w:rsid w:val="00797ACA"/>
    <w:rsid w:val="007A0849"/>
    <w:rsid w:val="007A4738"/>
    <w:rsid w:val="007A51F6"/>
    <w:rsid w:val="007A5964"/>
    <w:rsid w:val="007A60B2"/>
    <w:rsid w:val="007B0E99"/>
    <w:rsid w:val="007B1A85"/>
    <w:rsid w:val="007B2D72"/>
    <w:rsid w:val="007B430C"/>
    <w:rsid w:val="007B4F37"/>
    <w:rsid w:val="007B54D0"/>
    <w:rsid w:val="007B615F"/>
    <w:rsid w:val="007C0877"/>
    <w:rsid w:val="007C0E6F"/>
    <w:rsid w:val="007C1D76"/>
    <w:rsid w:val="007C1F93"/>
    <w:rsid w:val="007C3B6E"/>
    <w:rsid w:val="007C413B"/>
    <w:rsid w:val="007C415C"/>
    <w:rsid w:val="007C4189"/>
    <w:rsid w:val="007C54B6"/>
    <w:rsid w:val="007C67D4"/>
    <w:rsid w:val="007C6F3F"/>
    <w:rsid w:val="007D157A"/>
    <w:rsid w:val="007D2C12"/>
    <w:rsid w:val="007D37C0"/>
    <w:rsid w:val="007D4E2F"/>
    <w:rsid w:val="007D5474"/>
    <w:rsid w:val="007E0730"/>
    <w:rsid w:val="007E088E"/>
    <w:rsid w:val="007E0D86"/>
    <w:rsid w:val="007E2DDD"/>
    <w:rsid w:val="007E608F"/>
    <w:rsid w:val="007E6292"/>
    <w:rsid w:val="007E67C0"/>
    <w:rsid w:val="007E6E29"/>
    <w:rsid w:val="007F11A8"/>
    <w:rsid w:val="007F29DF"/>
    <w:rsid w:val="007F6050"/>
    <w:rsid w:val="007F750F"/>
    <w:rsid w:val="008002BB"/>
    <w:rsid w:val="0080033A"/>
    <w:rsid w:val="00800BA1"/>
    <w:rsid w:val="00803842"/>
    <w:rsid w:val="00803CF8"/>
    <w:rsid w:val="00803D75"/>
    <w:rsid w:val="00805721"/>
    <w:rsid w:val="008057C7"/>
    <w:rsid w:val="00805AE9"/>
    <w:rsid w:val="00807E8A"/>
    <w:rsid w:val="0081075C"/>
    <w:rsid w:val="00810BF9"/>
    <w:rsid w:val="0081297B"/>
    <w:rsid w:val="00812FA7"/>
    <w:rsid w:val="008160CD"/>
    <w:rsid w:val="00816AD1"/>
    <w:rsid w:val="0081732D"/>
    <w:rsid w:val="008175AF"/>
    <w:rsid w:val="00824DE9"/>
    <w:rsid w:val="00825152"/>
    <w:rsid w:val="008265FA"/>
    <w:rsid w:val="00833276"/>
    <w:rsid w:val="00836E56"/>
    <w:rsid w:val="00837C93"/>
    <w:rsid w:val="00840A49"/>
    <w:rsid w:val="00841354"/>
    <w:rsid w:val="00841BBD"/>
    <w:rsid w:val="008423CE"/>
    <w:rsid w:val="0084348B"/>
    <w:rsid w:val="00844204"/>
    <w:rsid w:val="0084615B"/>
    <w:rsid w:val="008500D1"/>
    <w:rsid w:val="00853945"/>
    <w:rsid w:val="00853FFF"/>
    <w:rsid w:val="00854407"/>
    <w:rsid w:val="00854AD9"/>
    <w:rsid w:val="0085510E"/>
    <w:rsid w:val="00855686"/>
    <w:rsid w:val="008556A2"/>
    <w:rsid w:val="008558F9"/>
    <w:rsid w:val="008578A4"/>
    <w:rsid w:val="008602E1"/>
    <w:rsid w:val="0086094D"/>
    <w:rsid w:val="00860EE3"/>
    <w:rsid w:val="00861043"/>
    <w:rsid w:val="0086382B"/>
    <w:rsid w:val="00865A47"/>
    <w:rsid w:val="0087525E"/>
    <w:rsid w:val="00880B36"/>
    <w:rsid w:val="008820A0"/>
    <w:rsid w:val="00885132"/>
    <w:rsid w:val="0088712C"/>
    <w:rsid w:val="0088766F"/>
    <w:rsid w:val="00887A34"/>
    <w:rsid w:val="00887DF7"/>
    <w:rsid w:val="00890AC0"/>
    <w:rsid w:val="008911F4"/>
    <w:rsid w:val="00891210"/>
    <w:rsid w:val="0089152C"/>
    <w:rsid w:val="0089283B"/>
    <w:rsid w:val="0089410C"/>
    <w:rsid w:val="0089431A"/>
    <w:rsid w:val="008963B7"/>
    <w:rsid w:val="00896715"/>
    <w:rsid w:val="00897673"/>
    <w:rsid w:val="008A023C"/>
    <w:rsid w:val="008A0E3D"/>
    <w:rsid w:val="008A0F02"/>
    <w:rsid w:val="008A330B"/>
    <w:rsid w:val="008A625D"/>
    <w:rsid w:val="008A63C8"/>
    <w:rsid w:val="008B08F5"/>
    <w:rsid w:val="008B0B68"/>
    <w:rsid w:val="008B2E90"/>
    <w:rsid w:val="008B5507"/>
    <w:rsid w:val="008B7622"/>
    <w:rsid w:val="008C13EC"/>
    <w:rsid w:val="008C2AB0"/>
    <w:rsid w:val="008C4793"/>
    <w:rsid w:val="008C5C95"/>
    <w:rsid w:val="008C70BB"/>
    <w:rsid w:val="008D10BD"/>
    <w:rsid w:val="008D1161"/>
    <w:rsid w:val="008D1D72"/>
    <w:rsid w:val="008D2C29"/>
    <w:rsid w:val="008D7C3B"/>
    <w:rsid w:val="008E043A"/>
    <w:rsid w:val="008E0FC3"/>
    <w:rsid w:val="008E346C"/>
    <w:rsid w:val="008E4237"/>
    <w:rsid w:val="008E6E9A"/>
    <w:rsid w:val="008E737F"/>
    <w:rsid w:val="008F0D3B"/>
    <w:rsid w:val="008F2261"/>
    <w:rsid w:val="008F702A"/>
    <w:rsid w:val="008F79DC"/>
    <w:rsid w:val="00900044"/>
    <w:rsid w:val="00901C39"/>
    <w:rsid w:val="00902B93"/>
    <w:rsid w:val="00903754"/>
    <w:rsid w:val="00905C72"/>
    <w:rsid w:val="009104A6"/>
    <w:rsid w:val="00911F50"/>
    <w:rsid w:val="00912A50"/>
    <w:rsid w:val="00912E51"/>
    <w:rsid w:val="00913975"/>
    <w:rsid w:val="00914D22"/>
    <w:rsid w:val="00916AF1"/>
    <w:rsid w:val="00921183"/>
    <w:rsid w:val="009229EA"/>
    <w:rsid w:val="00923798"/>
    <w:rsid w:val="00924DE4"/>
    <w:rsid w:val="00925C58"/>
    <w:rsid w:val="009274FD"/>
    <w:rsid w:val="00931841"/>
    <w:rsid w:val="00934373"/>
    <w:rsid w:val="009346BD"/>
    <w:rsid w:val="00934FA0"/>
    <w:rsid w:val="00935EB7"/>
    <w:rsid w:val="00936582"/>
    <w:rsid w:val="00937423"/>
    <w:rsid w:val="0093745C"/>
    <w:rsid w:val="00937789"/>
    <w:rsid w:val="00940A57"/>
    <w:rsid w:val="00940F15"/>
    <w:rsid w:val="00941152"/>
    <w:rsid w:val="009414D8"/>
    <w:rsid w:val="009459BC"/>
    <w:rsid w:val="009474AF"/>
    <w:rsid w:val="00947B0B"/>
    <w:rsid w:val="009506CA"/>
    <w:rsid w:val="009516AD"/>
    <w:rsid w:val="00952081"/>
    <w:rsid w:val="0095251D"/>
    <w:rsid w:val="009526BA"/>
    <w:rsid w:val="009527A0"/>
    <w:rsid w:val="00962908"/>
    <w:rsid w:val="00963188"/>
    <w:rsid w:val="009647AC"/>
    <w:rsid w:val="009661A3"/>
    <w:rsid w:val="00966A33"/>
    <w:rsid w:val="00967A01"/>
    <w:rsid w:val="00967F4D"/>
    <w:rsid w:val="00971442"/>
    <w:rsid w:val="009746C6"/>
    <w:rsid w:val="00974B4D"/>
    <w:rsid w:val="00976AB5"/>
    <w:rsid w:val="009770FA"/>
    <w:rsid w:val="00980841"/>
    <w:rsid w:val="00983D76"/>
    <w:rsid w:val="009859CE"/>
    <w:rsid w:val="00986703"/>
    <w:rsid w:val="00986DF9"/>
    <w:rsid w:val="00987B95"/>
    <w:rsid w:val="00987F2B"/>
    <w:rsid w:val="00993361"/>
    <w:rsid w:val="00993DE8"/>
    <w:rsid w:val="009941FA"/>
    <w:rsid w:val="00994D24"/>
    <w:rsid w:val="00994D65"/>
    <w:rsid w:val="0099679D"/>
    <w:rsid w:val="00996974"/>
    <w:rsid w:val="00996993"/>
    <w:rsid w:val="00997754"/>
    <w:rsid w:val="009A0131"/>
    <w:rsid w:val="009A0B22"/>
    <w:rsid w:val="009A1864"/>
    <w:rsid w:val="009A1FBD"/>
    <w:rsid w:val="009A2B94"/>
    <w:rsid w:val="009A40FB"/>
    <w:rsid w:val="009A5152"/>
    <w:rsid w:val="009A6634"/>
    <w:rsid w:val="009B341F"/>
    <w:rsid w:val="009B3623"/>
    <w:rsid w:val="009B3DA8"/>
    <w:rsid w:val="009B4705"/>
    <w:rsid w:val="009B7A2D"/>
    <w:rsid w:val="009C06AA"/>
    <w:rsid w:val="009C0ED8"/>
    <w:rsid w:val="009C1B56"/>
    <w:rsid w:val="009C3CC1"/>
    <w:rsid w:val="009C52E6"/>
    <w:rsid w:val="009C615B"/>
    <w:rsid w:val="009D28BC"/>
    <w:rsid w:val="009D3C5B"/>
    <w:rsid w:val="009D4DA3"/>
    <w:rsid w:val="009D59C9"/>
    <w:rsid w:val="009D7EE5"/>
    <w:rsid w:val="009E0905"/>
    <w:rsid w:val="009E256A"/>
    <w:rsid w:val="009E2CC1"/>
    <w:rsid w:val="009E3A0F"/>
    <w:rsid w:val="009E5256"/>
    <w:rsid w:val="009E5BD4"/>
    <w:rsid w:val="009E6283"/>
    <w:rsid w:val="009E62AD"/>
    <w:rsid w:val="009E6338"/>
    <w:rsid w:val="009F03EB"/>
    <w:rsid w:val="009F1A16"/>
    <w:rsid w:val="009F3BF1"/>
    <w:rsid w:val="009F3CBE"/>
    <w:rsid w:val="009F48C2"/>
    <w:rsid w:val="009F4E9C"/>
    <w:rsid w:val="009F52D6"/>
    <w:rsid w:val="009F5459"/>
    <w:rsid w:val="009F75E6"/>
    <w:rsid w:val="00A01D5E"/>
    <w:rsid w:val="00A0245E"/>
    <w:rsid w:val="00A05890"/>
    <w:rsid w:val="00A11CA6"/>
    <w:rsid w:val="00A12423"/>
    <w:rsid w:val="00A137C8"/>
    <w:rsid w:val="00A15B01"/>
    <w:rsid w:val="00A15F7D"/>
    <w:rsid w:val="00A170B0"/>
    <w:rsid w:val="00A1771B"/>
    <w:rsid w:val="00A20C6F"/>
    <w:rsid w:val="00A20D75"/>
    <w:rsid w:val="00A23A87"/>
    <w:rsid w:val="00A24944"/>
    <w:rsid w:val="00A253D1"/>
    <w:rsid w:val="00A2665D"/>
    <w:rsid w:val="00A303B2"/>
    <w:rsid w:val="00A303FA"/>
    <w:rsid w:val="00A30467"/>
    <w:rsid w:val="00A30DAB"/>
    <w:rsid w:val="00A319F2"/>
    <w:rsid w:val="00A31EED"/>
    <w:rsid w:val="00A32D69"/>
    <w:rsid w:val="00A3592C"/>
    <w:rsid w:val="00A40BA0"/>
    <w:rsid w:val="00A44B66"/>
    <w:rsid w:val="00A44D70"/>
    <w:rsid w:val="00A51135"/>
    <w:rsid w:val="00A511BC"/>
    <w:rsid w:val="00A51C1C"/>
    <w:rsid w:val="00A51D60"/>
    <w:rsid w:val="00A562E7"/>
    <w:rsid w:val="00A57E1B"/>
    <w:rsid w:val="00A630AA"/>
    <w:rsid w:val="00A64C46"/>
    <w:rsid w:val="00A65A99"/>
    <w:rsid w:val="00A663E5"/>
    <w:rsid w:val="00A675CC"/>
    <w:rsid w:val="00A713B2"/>
    <w:rsid w:val="00A72E6F"/>
    <w:rsid w:val="00A74247"/>
    <w:rsid w:val="00A75972"/>
    <w:rsid w:val="00A76FBA"/>
    <w:rsid w:val="00A804FC"/>
    <w:rsid w:val="00A80EF7"/>
    <w:rsid w:val="00A844AF"/>
    <w:rsid w:val="00A854B0"/>
    <w:rsid w:val="00A862C2"/>
    <w:rsid w:val="00A86FD4"/>
    <w:rsid w:val="00A923BD"/>
    <w:rsid w:val="00A93C1E"/>
    <w:rsid w:val="00A94498"/>
    <w:rsid w:val="00A94C7C"/>
    <w:rsid w:val="00A9634C"/>
    <w:rsid w:val="00AA18E7"/>
    <w:rsid w:val="00AA1F1D"/>
    <w:rsid w:val="00AA4F06"/>
    <w:rsid w:val="00AA5016"/>
    <w:rsid w:val="00AA6405"/>
    <w:rsid w:val="00AA672D"/>
    <w:rsid w:val="00AA6CBD"/>
    <w:rsid w:val="00AA7A57"/>
    <w:rsid w:val="00AA7D7C"/>
    <w:rsid w:val="00AB2AA2"/>
    <w:rsid w:val="00AB382F"/>
    <w:rsid w:val="00AB553E"/>
    <w:rsid w:val="00AB59EC"/>
    <w:rsid w:val="00AB61F3"/>
    <w:rsid w:val="00AC042E"/>
    <w:rsid w:val="00AC05BB"/>
    <w:rsid w:val="00AC2D53"/>
    <w:rsid w:val="00AC44D8"/>
    <w:rsid w:val="00AC5A64"/>
    <w:rsid w:val="00AC65FD"/>
    <w:rsid w:val="00AC7260"/>
    <w:rsid w:val="00AD0913"/>
    <w:rsid w:val="00AD15EB"/>
    <w:rsid w:val="00AD20CA"/>
    <w:rsid w:val="00AD301E"/>
    <w:rsid w:val="00AD58D6"/>
    <w:rsid w:val="00AD74AA"/>
    <w:rsid w:val="00AE346A"/>
    <w:rsid w:val="00AE4989"/>
    <w:rsid w:val="00AF12BE"/>
    <w:rsid w:val="00AF225E"/>
    <w:rsid w:val="00AF365B"/>
    <w:rsid w:val="00AF5471"/>
    <w:rsid w:val="00AF7462"/>
    <w:rsid w:val="00AF78FA"/>
    <w:rsid w:val="00AF7953"/>
    <w:rsid w:val="00B00E99"/>
    <w:rsid w:val="00B01AA6"/>
    <w:rsid w:val="00B01F17"/>
    <w:rsid w:val="00B02B25"/>
    <w:rsid w:val="00B06B14"/>
    <w:rsid w:val="00B1058B"/>
    <w:rsid w:val="00B10EAA"/>
    <w:rsid w:val="00B11976"/>
    <w:rsid w:val="00B14BC5"/>
    <w:rsid w:val="00B15BA4"/>
    <w:rsid w:val="00B201FD"/>
    <w:rsid w:val="00B212D8"/>
    <w:rsid w:val="00B2546F"/>
    <w:rsid w:val="00B26516"/>
    <w:rsid w:val="00B2690F"/>
    <w:rsid w:val="00B26F6D"/>
    <w:rsid w:val="00B30E3F"/>
    <w:rsid w:val="00B321ED"/>
    <w:rsid w:val="00B33965"/>
    <w:rsid w:val="00B352E8"/>
    <w:rsid w:val="00B403D1"/>
    <w:rsid w:val="00B41447"/>
    <w:rsid w:val="00B414CF"/>
    <w:rsid w:val="00B4188B"/>
    <w:rsid w:val="00B432C5"/>
    <w:rsid w:val="00B438F8"/>
    <w:rsid w:val="00B45F04"/>
    <w:rsid w:val="00B46DED"/>
    <w:rsid w:val="00B50DCF"/>
    <w:rsid w:val="00B510E7"/>
    <w:rsid w:val="00B5141A"/>
    <w:rsid w:val="00B5216C"/>
    <w:rsid w:val="00B525C1"/>
    <w:rsid w:val="00B54A84"/>
    <w:rsid w:val="00B54E8D"/>
    <w:rsid w:val="00B55B51"/>
    <w:rsid w:val="00B574E0"/>
    <w:rsid w:val="00B6273F"/>
    <w:rsid w:val="00B62D84"/>
    <w:rsid w:val="00B6615A"/>
    <w:rsid w:val="00B707E8"/>
    <w:rsid w:val="00B70C98"/>
    <w:rsid w:val="00B7237A"/>
    <w:rsid w:val="00B7298E"/>
    <w:rsid w:val="00B731CE"/>
    <w:rsid w:val="00B75E8B"/>
    <w:rsid w:val="00B76798"/>
    <w:rsid w:val="00B768E0"/>
    <w:rsid w:val="00B77653"/>
    <w:rsid w:val="00B779F4"/>
    <w:rsid w:val="00B800AD"/>
    <w:rsid w:val="00B81839"/>
    <w:rsid w:val="00B85516"/>
    <w:rsid w:val="00B862E1"/>
    <w:rsid w:val="00B87645"/>
    <w:rsid w:val="00B91F2D"/>
    <w:rsid w:val="00B92D6C"/>
    <w:rsid w:val="00B95857"/>
    <w:rsid w:val="00BA000C"/>
    <w:rsid w:val="00BA016C"/>
    <w:rsid w:val="00BA2E27"/>
    <w:rsid w:val="00BA4CEA"/>
    <w:rsid w:val="00BA55EF"/>
    <w:rsid w:val="00BA6375"/>
    <w:rsid w:val="00BA674E"/>
    <w:rsid w:val="00BB0A2B"/>
    <w:rsid w:val="00BB0F9F"/>
    <w:rsid w:val="00BB1661"/>
    <w:rsid w:val="00BB429C"/>
    <w:rsid w:val="00BB5B22"/>
    <w:rsid w:val="00BC1037"/>
    <w:rsid w:val="00BC1C36"/>
    <w:rsid w:val="00BC1F2D"/>
    <w:rsid w:val="00BC25EA"/>
    <w:rsid w:val="00BC2C4A"/>
    <w:rsid w:val="00BC4FE3"/>
    <w:rsid w:val="00BC6857"/>
    <w:rsid w:val="00BD0F8B"/>
    <w:rsid w:val="00BD10D2"/>
    <w:rsid w:val="00BD3B83"/>
    <w:rsid w:val="00BD496F"/>
    <w:rsid w:val="00BD4E07"/>
    <w:rsid w:val="00BD5985"/>
    <w:rsid w:val="00BD6A48"/>
    <w:rsid w:val="00BD7549"/>
    <w:rsid w:val="00BE240F"/>
    <w:rsid w:val="00BE3DD5"/>
    <w:rsid w:val="00BE5414"/>
    <w:rsid w:val="00BE596D"/>
    <w:rsid w:val="00BF088C"/>
    <w:rsid w:val="00BF0E34"/>
    <w:rsid w:val="00BF2006"/>
    <w:rsid w:val="00BF2701"/>
    <w:rsid w:val="00BF32BE"/>
    <w:rsid w:val="00BF55E8"/>
    <w:rsid w:val="00BF56CB"/>
    <w:rsid w:val="00C0094F"/>
    <w:rsid w:val="00C01D40"/>
    <w:rsid w:val="00C02735"/>
    <w:rsid w:val="00C02CB5"/>
    <w:rsid w:val="00C07D8E"/>
    <w:rsid w:val="00C1183D"/>
    <w:rsid w:val="00C11876"/>
    <w:rsid w:val="00C139F5"/>
    <w:rsid w:val="00C14C30"/>
    <w:rsid w:val="00C14C3C"/>
    <w:rsid w:val="00C15720"/>
    <w:rsid w:val="00C15762"/>
    <w:rsid w:val="00C16780"/>
    <w:rsid w:val="00C172C3"/>
    <w:rsid w:val="00C229E1"/>
    <w:rsid w:val="00C23BC5"/>
    <w:rsid w:val="00C23D61"/>
    <w:rsid w:val="00C266C2"/>
    <w:rsid w:val="00C267B3"/>
    <w:rsid w:val="00C2714B"/>
    <w:rsid w:val="00C37279"/>
    <w:rsid w:val="00C37C7A"/>
    <w:rsid w:val="00C407D6"/>
    <w:rsid w:val="00C414AC"/>
    <w:rsid w:val="00C41E0D"/>
    <w:rsid w:val="00C41F6D"/>
    <w:rsid w:val="00C4644D"/>
    <w:rsid w:val="00C46BCD"/>
    <w:rsid w:val="00C4730A"/>
    <w:rsid w:val="00C533CE"/>
    <w:rsid w:val="00C54C44"/>
    <w:rsid w:val="00C54DF7"/>
    <w:rsid w:val="00C560D5"/>
    <w:rsid w:val="00C562DF"/>
    <w:rsid w:val="00C57829"/>
    <w:rsid w:val="00C6067C"/>
    <w:rsid w:val="00C62884"/>
    <w:rsid w:val="00C6377E"/>
    <w:rsid w:val="00C667A5"/>
    <w:rsid w:val="00C66C18"/>
    <w:rsid w:val="00C6710D"/>
    <w:rsid w:val="00C70DB6"/>
    <w:rsid w:val="00C7149C"/>
    <w:rsid w:val="00C73248"/>
    <w:rsid w:val="00C74483"/>
    <w:rsid w:val="00C74EE4"/>
    <w:rsid w:val="00C750FD"/>
    <w:rsid w:val="00C76365"/>
    <w:rsid w:val="00C76FB2"/>
    <w:rsid w:val="00C7756C"/>
    <w:rsid w:val="00C77708"/>
    <w:rsid w:val="00C81DAF"/>
    <w:rsid w:val="00C82160"/>
    <w:rsid w:val="00C84374"/>
    <w:rsid w:val="00C85725"/>
    <w:rsid w:val="00C86685"/>
    <w:rsid w:val="00C90671"/>
    <w:rsid w:val="00C915AD"/>
    <w:rsid w:val="00C92602"/>
    <w:rsid w:val="00C9392D"/>
    <w:rsid w:val="00C94792"/>
    <w:rsid w:val="00C94D61"/>
    <w:rsid w:val="00C95976"/>
    <w:rsid w:val="00C95C9E"/>
    <w:rsid w:val="00C96251"/>
    <w:rsid w:val="00CA17CB"/>
    <w:rsid w:val="00CA3057"/>
    <w:rsid w:val="00CA32B2"/>
    <w:rsid w:val="00CA467F"/>
    <w:rsid w:val="00CA7E27"/>
    <w:rsid w:val="00CB06BC"/>
    <w:rsid w:val="00CB4FB3"/>
    <w:rsid w:val="00CB5F45"/>
    <w:rsid w:val="00CC1291"/>
    <w:rsid w:val="00CC1F46"/>
    <w:rsid w:val="00CC64FC"/>
    <w:rsid w:val="00CD0F96"/>
    <w:rsid w:val="00CD1080"/>
    <w:rsid w:val="00CD222F"/>
    <w:rsid w:val="00CD23BD"/>
    <w:rsid w:val="00CD36DD"/>
    <w:rsid w:val="00CD56AA"/>
    <w:rsid w:val="00CD6D6F"/>
    <w:rsid w:val="00CD6EB3"/>
    <w:rsid w:val="00CD794C"/>
    <w:rsid w:val="00CD7D28"/>
    <w:rsid w:val="00CD7F21"/>
    <w:rsid w:val="00CE1A6D"/>
    <w:rsid w:val="00CE1EEE"/>
    <w:rsid w:val="00CE3835"/>
    <w:rsid w:val="00CE4653"/>
    <w:rsid w:val="00CE49F9"/>
    <w:rsid w:val="00CE681C"/>
    <w:rsid w:val="00CE6F31"/>
    <w:rsid w:val="00CE722E"/>
    <w:rsid w:val="00CF08B3"/>
    <w:rsid w:val="00CF50E5"/>
    <w:rsid w:val="00CF6E33"/>
    <w:rsid w:val="00D007E9"/>
    <w:rsid w:val="00D00D7A"/>
    <w:rsid w:val="00D020F8"/>
    <w:rsid w:val="00D04709"/>
    <w:rsid w:val="00D06DAE"/>
    <w:rsid w:val="00D0709C"/>
    <w:rsid w:val="00D11F9D"/>
    <w:rsid w:val="00D12355"/>
    <w:rsid w:val="00D1326C"/>
    <w:rsid w:val="00D13EA1"/>
    <w:rsid w:val="00D14549"/>
    <w:rsid w:val="00D219F4"/>
    <w:rsid w:val="00D22AC0"/>
    <w:rsid w:val="00D22F3E"/>
    <w:rsid w:val="00D2316D"/>
    <w:rsid w:val="00D237D2"/>
    <w:rsid w:val="00D24B4A"/>
    <w:rsid w:val="00D25F74"/>
    <w:rsid w:val="00D2781D"/>
    <w:rsid w:val="00D3131B"/>
    <w:rsid w:val="00D340E1"/>
    <w:rsid w:val="00D348F5"/>
    <w:rsid w:val="00D35BAD"/>
    <w:rsid w:val="00D374D7"/>
    <w:rsid w:val="00D37631"/>
    <w:rsid w:val="00D43145"/>
    <w:rsid w:val="00D43346"/>
    <w:rsid w:val="00D438C6"/>
    <w:rsid w:val="00D43CD3"/>
    <w:rsid w:val="00D4617E"/>
    <w:rsid w:val="00D46A24"/>
    <w:rsid w:val="00D52241"/>
    <w:rsid w:val="00D54592"/>
    <w:rsid w:val="00D574DE"/>
    <w:rsid w:val="00D60E7E"/>
    <w:rsid w:val="00D62F3F"/>
    <w:rsid w:val="00D63053"/>
    <w:rsid w:val="00D635E5"/>
    <w:rsid w:val="00D63ABA"/>
    <w:rsid w:val="00D64F84"/>
    <w:rsid w:val="00D657C0"/>
    <w:rsid w:val="00D658F3"/>
    <w:rsid w:val="00D71E68"/>
    <w:rsid w:val="00D72109"/>
    <w:rsid w:val="00D72EDB"/>
    <w:rsid w:val="00D737FF"/>
    <w:rsid w:val="00D74443"/>
    <w:rsid w:val="00D74CF6"/>
    <w:rsid w:val="00D75378"/>
    <w:rsid w:val="00D75D61"/>
    <w:rsid w:val="00D770F2"/>
    <w:rsid w:val="00D815FC"/>
    <w:rsid w:val="00D82E7B"/>
    <w:rsid w:val="00D84626"/>
    <w:rsid w:val="00D8493D"/>
    <w:rsid w:val="00D84CAF"/>
    <w:rsid w:val="00D85AEB"/>
    <w:rsid w:val="00D85E0C"/>
    <w:rsid w:val="00D90B38"/>
    <w:rsid w:val="00D90B5E"/>
    <w:rsid w:val="00D90F4E"/>
    <w:rsid w:val="00D9386E"/>
    <w:rsid w:val="00D93EEA"/>
    <w:rsid w:val="00D944D7"/>
    <w:rsid w:val="00D945AB"/>
    <w:rsid w:val="00D95828"/>
    <w:rsid w:val="00D966A1"/>
    <w:rsid w:val="00DA0615"/>
    <w:rsid w:val="00DA29A4"/>
    <w:rsid w:val="00DA315B"/>
    <w:rsid w:val="00DA32CA"/>
    <w:rsid w:val="00DA3EB2"/>
    <w:rsid w:val="00DB0578"/>
    <w:rsid w:val="00DB48A3"/>
    <w:rsid w:val="00DB574F"/>
    <w:rsid w:val="00DB6EF1"/>
    <w:rsid w:val="00DB7A13"/>
    <w:rsid w:val="00DB7D08"/>
    <w:rsid w:val="00DC1178"/>
    <w:rsid w:val="00DC1928"/>
    <w:rsid w:val="00DC2F93"/>
    <w:rsid w:val="00DC30C4"/>
    <w:rsid w:val="00DC400A"/>
    <w:rsid w:val="00DC407D"/>
    <w:rsid w:val="00DC4E65"/>
    <w:rsid w:val="00DC5EF6"/>
    <w:rsid w:val="00DC77F5"/>
    <w:rsid w:val="00DC7D20"/>
    <w:rsid w:val="00DC7E28"/>
    <w:rsid w:val="00DD1CED"/>
    <w:rsid w:val="00DD5984"/>
    <w:rsid w:val="00DD7083"/>
    <w:rsid w:val="00DE22B4"/>
    <w:rsid w:val="00DE2D06"/>
    <w:rsid w:val="00DE3604"/>
    <w:rsid w:val="00DE38D1"/>
    <w:rsid w:val="00DE415C"/>
    <w:rsid w:val="00DE4A9A"/>
    <w:rsid w:val="00DE56F5"/>
    <w:rsid w:val="00DE5AFD"/>
    <w:rsid w:val="00DE7862"/>
    <w:rsid w:val="00DE78AC"/>
    <w:rsid w:val="00DE79C1"/>
    <w:rsid w:val="00DF049D"/>
    <w:rsid w:val="00DF2E54"/>
    <w:rsid w:val="00DF32FB"/>
    <w:rsid w:val="00DF72E9"/>
    <w:rsid w:val="00DF7C00"/>
    <w:rsid w:val="00E017AF"/>
    <w:rsid w:val="00E0307E"/>
    <w:rsid w:val="00E04438"/>
    <w:rsid w:val="00E07153"/>
    <w:rsid w:val="00E07B10"/>
    <w:rsid w:val="00E108E3"/>
    <w:rsid w:val="00E10F1D"/>
    <w:rsid w:val="00E115C7"/>
    <w:rsid w:val="00E120AE"/>
    <w:rsid w:val="00E14131"/>
    <w:rsid w:val="00E1460B"/>
    <w:rsid w:val="00E174B1"/>
    <w:rsid w:val="00E17D2D"/>
    <w:rsid w:val="00E200E4"/>
    <w:rsid w:val="00E20681"/>
    <w:rsid w:val="00E206C5"/>
    <w:rsid w:val="00E210AD"/>
    <w:rsid w:val="00E22E3C"/>
    <w:rsid w:val="00E2472B"/>
    <w:rsid w:val="00E24D39"/>
    <w:rsid w:val="00E25A6A"/>
    <w:rsid w:val="00E26D8A"/>
    <w:rsid w:val="00E304CF"/>
    <w:rsid w:val="00E3363B"/>
    <w:rsid w:val="00E345D6"/>
    <w:rsid w:val="00E357C4"/>
    <w:rsid w:val="00E35A39"/>
    <w:rsid w:val="00E36A5F"/>
    <w:rsid w:val="00E40A93"/>
    <w:rsid w:val="00E413BB"/>
    <w:rsid w:val="00E4248B"/>
    <w:rsid w:val="00E42C20"/>
    <w:rsid w:val="00E476AB"/>
    <w:rsid w:val="00E514C4"/>
    <w:rsid w:val="00E5157B"/>
    <w:rsid w:val="00E52AEA"/>
    <w:rsid w:val="00E53B1B"/>
    <w:rsid w:val="00E560C0"/>
    <w:rsid w:val="00E56599"/>
    <w:rsid w:val="00E56A67"/>
    <w:rsid w:val="00E6002B"/>
    <w:rsid w:val="00E601F7"/>
    <w:rsid w:val="00E62CA1"/>
    <w:rsid w:val="00E62E95"/>
    <w:rsid w:val="00E64B19"/>
    <w:rsid w:val="00E67696"/>
    <w:rsid w:val="00E7118B"/>
    <w:rsid w:val="00E71204"/>
    <w:rsid w:val="00E72AC8"/>
    <w:rsid w:val="00E72B23"/>
    <w:rsid w:val="00E73987"/>
    <w:rsid w:val="00E740BD"/>
    <w:rsid w:val="00E7631B"/>
    <w:rsid w:val="00E7671B"/>
    <w:rsid w:val="00E77035"/>
    <w:rsid w:val="00E807EC"/>
    <w:rsid w:val="00E80CA0"/>
    <w:rsid w:val="00E825CB"/>
    <w:rsid w:val="00E8302B"/>
    <w:rsid w:val="00E841A0"/>
    <w:rsid w:val="00E85FBA"/>
    <w:rsid w:val="00E86005"/>
    <w:rsid w:val="00E87D4F"/>
    <w:rsid w:val="00E87FA8"/>
    <w:rsid w:val="00E914AF"/>
    <w:rsid w:val="00E91645"/>
    <w:rsid w:val="00E944E7"/>
    <w:rsid w:val="00E94EB1"/>
    <w:rsid w:val="00E95208"/>
    <w:rsid w:val="00E95BFB"/>
    <w:rsid w:val="00E97A7F"/>
    <w:rsid w:val="00EA0848"/>
    <w:rsid w:val="00EA0A2C"/>
    <w:rsid w:val="00EA0F78"/>
    <w:rsid w:val="00EA1560"/>
    <w:rsid w:val="00EA2376"/>
    <w:rsid w:val="00EA3037"/>
    <w:rsid w:val="00EA4051"/>
    <w:rsid w:val="00EA4FDB"/>
    <w:rsid w:val="00EA629E"/>
    <w:rsid w:val="00EB1B0D"/>
    <w:rsid w:val="00EB39DB"/>
    <w:rsid w:val="00EB5949"/>
    <w:rsid w:val="00EB5E20"/>
    <w:rsid w:val="00EB6EF6"/>
    <w:rsid w:val="00EB7E6A"/>
    <w:rsid w:val="00EC0076"/>
    <w:rsid w:val="00EC026D"/>
    <w:rsid w:val="00EC099C"/>
    <w:rsid w:val="00EC1CB9"/>
    <w:rsid w:val="00EC22B7"/>
    <w:rsid w:val="00EC3062"/>
    <w:rsid w:val="00EC35E0"/>
    <w:rsid w:val="00EC5351"/>
    <w:rsid w:val="00EC7225"/>
    <w:rsid w:val="00EC756E"/>
    <w:rsid w:val="00EC787B"/>
    <w:rsid w:val="00EC7DCB"/>
    <w:rsid w:val="00ED0160"/>
    <w:rsid w:val="00ED10A0"/>
    <w:rsid w:val="00ED1380"/>
    <w:rsid w:val="00ED4AC3"/>
    <w:rsid w:val="00ED522A"/>
    <w:rsid w:val="00ED609E"/>
    <w:rsid w:val="00EE17E8"/>
    <w:rsid w:val="00EE2902"/>
    <w:rsid w:val="00EE4BB0"/>
    <w:rsid w:val="00EE4FA7"/>
    <w:rsid w:val="00EE5133"/>
    <w:rsid w:val="00EF0797"/>
    <w:rsid w:val="00EF1A5B"/>
    <w:rsid w:val="00EF43D8"/>
    <w:rsid w:val="00EF6CBD"/>
    <w:rsid w:val="00F00B91"/>
    <w:rsid w:val="00F01564"/>
    <w:rsid w:val="00F02951"/>
    <w:rsid w:val="00F02BA3"/>
    <w:rsid w:val="00F02BB3"/>
    <w:rsid w:val="00F02E6A"/>
    <w:rsid w:val="00F04E56"/>
    <w:rsid w:val="00F05AAE"/>
    <w:rsid w:val="00F05FCA"/>
    <w:rsid w:val="00F07F6F"/>
    <w:rsid w:val="00F14060"/>
    <w:rsid w:val="00F14ECA"/>
    <w:rsid w:val="00F16EC3"/>
    <w:rsid w:val="00F17016"/>
    <w:rsid w:val="00F20DF1"/>
    <w:rsid w:val="00F22BE6"/>
    <w:rsid w:val="00F3083B"/>
    <w:rsid w:val="00F3096B"/>
    <w:rsid w:val="00F30BCB"/>
    <w:rsid w:val="00F3147F"/>
    <w:rsid w:val="00F324BC"/>
    <w:rsid w:val="00F32FCD"/>
    <w:rsid w:val="00F34AF1"/>
    <w:rsid w:val="00F35E22"/>
    <w:rsid w:val="00F35FCB"/>
    <w:rsid w:val="00F361A6"/>
    <w:rsid w:val="00F40D9D"/>
    <w:rsid w:val="00F41288"/>
    <w:rsid w:val="00F44425"/>
    <w:rsid w:val="00F463BC"/>
    <w:rsid w:val="00F51777"/>
    <w:rsid w:val="00F52BB0"/>
    <w:rsid w:val="00F53772"/>
    <w:rsid w:val="00F57ADF"/>
    <w:rsid w:val="00F57DCC"/>
    <w:rsid w:val="00F61E9D"/>
    <w:rsid w:val="00F636A5"/>
    <w:rsid w:val="00F63D78"/>
    <w:rsid w:val="00F6583D"/>
    <w:rsid w:val="00F65CB5"/>
    <w:rsid w:val="00F70050"/>
    <w:rsid w:val="00F7291B"/>
    <w:rsid w:val="00F7486B"/>
    <w:rsid w:val="00F74DF6"/>
    <w:rsid w:val="00F750FA"/>
    <w:rsid w:val="00F75EAA"/>
    <w:rsid w:val="00F8010F"/>
    <w:rsid w:val="00F83E43"/>
    <w:rsid w:val="00F849F1"/>
    <w:rsid w:val="00F84E98"/>
    <w:rsid w:val="00F9201C"/>
    <w:rsid w:val="00F92DB5"/>
    <w:rsid w:val="00F93DA4"/>
    <w:rsid w:val="00F966AC"/>
    <w:rsid w:val="00FA53F0"/>
    <w:rsid w:val="00FB0855"/>
    <w:rsid w:val="00FB2702"/>
    <w:rsid w:val="00FB29FC"/>
    <w:rsid w:val="00FB7C6D"/>
    <w:rsid w:val="00FC2B53"/>
    <w:rsid w:val="00FC2E2C"/>
    <w:rsid w:val="00FC77FE"/>
    <w:rsid w:val="00FD0E96"/>
    <w:rsid w:val="00FD10E9"/>
    <w:rsid w:val="00FD53E4"/>
    <w:rsid w:val="00FD5B7D"/>
    <w:rsid w:val="00FD6589"/>
    <w:rsid w:val="00FD7E9D"/>
    <w:rsid w:val="00FE091E"/>
    <w:rsid w:val="00FE342B"/>
    <w:rsid w:val="00FE3933"/>
    <w:rsid w:val="00FE6731"/>
    <w:rsid w:val="00FF12C5"/>
    <w:rsid w:val="00FF19FC"/>
    <w:rsid w:val="00FF2680"/>
    <w:rsid w:val="00FF37E6"/>
    <w:rsid w:val="00FF40D8"/>
    <w:rsid w:val="00FF5414"/>
    <w:rsid w:val="00FF5C71"/>
    <w:rsid w:val="00FF6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601C"/>
    <w:rPr>
      <w:rFonts w:eastAsia="Times New Roman"/>
      <w:sz w:val="24"/>
      <w:szCs w:val="24"/>
      <w:lang w:eastAsia="en-US"/>
    </w:rPr>
  </w:style>
  <w:style w:type="paragraph" w:styleId="Heading1">
    <w:name w:val="heading 1"/>
    <w:basedOn w:val="Normal"/>
    <w:link w:val="Heading1Char"/>
    <w:qFormat/>
    <w:rsid w:val="005416A2"/>
    <w:pPr>
      <w:spacing w:before="100" w:beforeAutospacing="1" w:after="100" w:afterAutospacing="1"/>
      <w:outlineLvl w:val="0"/>
    </w:pPr>
    <w:rPr>
      <w:b/>
      <w:bCs/>
      <w:kern w:val="36"/>
      <w:szCs w:val="48"/>
      <w:lang w:eastAsia="lv-LV"/>
    </w:rPr>
  </w:style>
  <w:style w:type="paragraph" w:styleId="Heading2">
    <w:name w:val="heading 2"/>
    <w:basedOn w:val="Normal"/>
    <w:next w:val="Normal"/>
    <w:link w:val="Heading2Char"/>
    <w:uiPriority w:val="9"/>
    <w:qFormat/>
    <w:rsid w:val="005416A2"/>
    <w:pPr>
      <w:keepNext/>
      <w:spacing w:before="240" w:after="60"/>
      <w:outlineLvl w:val="1"/>
    </w:pPr>
    <w:rPr>
      <w:b/>
      <w:bCs/>
      <w:iCs/>
      <w:szCs w:val="28"/>
    </w:rPr>
  </w:style>
  <w:style w:type="paragraph" w:styleId="Heading3">
    <w:name w:val="heading 3"/>
    <w:basedOn w:val="Normal"/>
    <w:next w:val="Normal"/>
    <w:link w:val="Heading3Char"/>
    <w:qFormat/>
    <w:rsid w:val="005A60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16A2"/>
    <w:rPr>
      <w:rFonts w:eastAsia="Times New Roman"/>
      <w:b/>
      <w:bCs/>
      <w:kern w:val="36"/>
      <w:sz w:val="24"/>
      <w:szCs w:val="48"/>
    </w:rPr>
  </w:style>
  <w:style w:type="character" w:customStyle="1" w:styleId="Heading3Char">
    <w:name w:val="Heading 3 Char"/>
    <w:link w:val="Heading3"/>
    <w:rsid w:val="005A601C"/>
    <w:rPr>
      <w:rFonts w:ascii="Arial" w:eastAsia="Times New Roman" w:hAnsi="Arial" w:cs="Arial"/>
      <w:b/>
      <w:bCs/>
      <w:sz w:val="26"/>
      <w:szCs w:val="26"/>
      <w:lang w:eastAsia="en-US"/>
    </w:rPr>
  </w:style>
  <w:style w:type="paragraph" w:styleId="BodyText">
    <w:name w:val="Body Text"/>
    <w:basedOn w:val="Normal"/>
    <w:link w:val="BodyTextChar"/>
    <w:rsid w:val="005A601C"/>
    <w:pPr>
      <w:spacing w:after="120"/>
    </w:pPr>
  </w:style>
  <w:style w:type="character" w:customStyle="1" w:styleId="BodyTextChar">
    <w:name w:val="Body Text Char"/>
    <w:link w:val="BodyText"/>
    <w:rsid w:val="005A601C"/>
    <w:rPr>
      <w:rFonts w:eastAsia="Times New Roman"/>
      <w:sz w:val="24"/>
      <w:szCs w:val="24"/>
      <w:lang w:eastAsia="en-US"/>
    </w:rPr>
  </w:style>
  <w:style w:type="character" w:styleId="Hyperlink">
    <w:name w:val="Hyperlink"/>
    <w:uiPriority w:val="99"/>
    <w:rsid w:val="005A601C"/>
    <w:rPr>
      <w:color w:val="0000FF"/>
      <w:u w:val="single"/>
    </w:rPr>
  </w:style>
  <w:style w:type="paragraph" w:styleId="Header">
    <w:name w:val="header"/>
    <w:basedOn w:val="Normal"/>
    <w:link w:val="HeaderChar"/>
    <w:uiPriority w:val="99"/>
    <w:rsid w:val="005A601C"/>
    <w:pPr>
      <w:tabs>
        <w:tab w:val="center" w:pos="4153"/>
        <w:tab w:val="right" w:pos="8306"/>
      </w:tabs>
    </w:pPr>
  </w:style>
  <w:style w:type="character" w:customStyle="1" w:styleId="HeaderChar">
    <w:name w:val="Header Char"/>
    <w:link w:val="Header"/>
    <w:uiPriority w:val="99"/>
    <w:rsid w:val="005A601C"/>
    <w:rPr>
      <w:rFonts w:eastAsia="Times New Roman"/>
      <w:sz w:val="24"/>
      <w:szCs w:val="24"/>
      <w:lang w:eastAsia="en-US"/>
    </w:rPr>
  </w:style>
  <w:style w:type="character" w:styleId="PageNumber">
    <w:name w:val="page number"/>
    <w:rsid w:val="005A601C"/>
  </w:style>
  <w:style w:type="paragraph" w:styleId="Footer">
    <w:name w:val="footer"/>
    <w:basedOn w:val="Normal"/>
    <w:link w:val="FooterChar"/>
    <w:rsid w:val="005A601C"/>
    <w:pPr>
      <w:tabs>
        <w:tab w:val="center" w:pos="4153"/>
        <w:tab w:val="right" w:pos="8306"/>
      </w:tabs>
    </w:pPr>
  </w:style>
  <w:style w:type="character" w:customStyle="1" w:styleId="FooterChar">
    <w:name w:val="Footer Char"/>
    <w:link w:val="Footer"/>
    <w:rsid w:val="005A601C"/>
    <w:rPr>
      <w:rFonts w:eastAsia="Times New Roman"/>
      <w:sz w:val="24"/>
      <w:szCs w:val="24"/>
      <w:lang w:eastAsia="en-US"/>
    </w:rPr>
  </w:style>
  <w:style w:type="paragraph" w:styleId="NormalWeb">
    <w:name w:val="Normal (Web)"/>
    <w:aliases w:val="sākums"/>
    <w:basedOn w:val="Normal"/>
    <w:uiPriority w:val="99"/>
    <w:rsid w:val="005A601C"/>
    <w:pPr>
      <w:spacing w:before="100" w:beforeAutospacing="1" w:after="100" w:afterAutospacing="1"/>
    </w:pPr>
    <w:rPr>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
    <w:uiPriority w:val="99"/>
    <w:qFormat/>
    <w:rsid w:val="005A601C"/>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
    <w:link w:val="FootnoteText"/>
    <w:uiPriority w:val="99"/>
    <w:rsid w:val="005A601C"/>
    <w:rPr>
      <w:rFonts w:eastAsia="Times New Roman"/>
      <w:lang w:eastAsia="en-US"/>
    </w:rPr>
  </w:style>
  <w:style w:type="character" w:styleId="FootnoteReference">
    <w:name w:val="footnote reference"/>
    <w:aliases w:val="Footnote Reference Number,Footnote symbol,SUPERS,ftref,Footnote Refernece,stylish,BVI fnr,Fußnotenzeichen_Raxen,callout,Footnote Reference Superscript"/>
    <w:uiPriority w:val="99"/>
    <w:qFormat/>
    <w:rsid w:val="005A601C"/>
    <w:rPr>
      <w:vertAlign w:val="superscript"/>
    </w:rPr>
  </w:style>
  <w:style w:type="character" w:customStyle="1" w:styleId="addmd">
    <w:name w:val="addmd"/>
    <w:rsid w:val="005A601C"/>
  </w:style>
  <w:style w:type="character" w:customStyle="1" w:styleId="hps">
    <w:name w:val="hps"/>
    <w:uiPriority w:val="99"/>
    <w:rsid w:val="005A601C"/>
  </w:style>
  <w:style w:type="paragraph" w:customStyle="1" w:styleId="Default">
    <w:name w:val="Default"/>
    <w:uiPriority w:val="99"/>
    <w:rsid w:val="005A601C"/>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5A601C"/>
    <w:pPr>
      <w:ind w:left="720"/>
      <w:contextualSpacing/>
    </w:pPr>
    <w:rPr>
      <w:rFonts w:ascii="Cambria" w:eastAsia="MS Mincho" w:hAnsi="Cambria"/>
      <w:lang w:val="cs-CZ"/>
    </w:rPr>
  </w:style>
  <w:style w:type="paragraph" w:styleId="BalloonText">
    <w:name w:val="Balloon Text"/>
    <w:basedOn w:val="Normal"/>
    <w:link w:val="BalloonTextChar"/>
    <w:uiPriority w:val="99"/>
    <w:semiHidden/>
    <w:unhideWhenUsed/>
    <w:rsid w:val="005A601C"/>
    <w:rPr>
      <w:rFonts w:ascii="Arial" w:hAnsi="Arial" w:cs="Arial"/>
      <w:sz w:val="16"/>
      <w:szCs w:val="16"/>
    </w:rPr>
  </w:style>
  <w:style w:type="character" w:customStyle="1" w:styleId="BalloonTextChar">
    <w:name w:val="Balloon Text Char"/>
    <w:link w:val="BalloonText"/>
    <w:uiPriority w:val="99"/>
    <w:semiHidden/>
    <w:rsid w:val="005A601C"/>
    <w:rPr>
      <w:rFonts w:ascii="Arial" w:eastAsia="Times New Roman" w:hAnsi="Arial" w:cs="Arial"/>
      <w:sz w:val="16"/>
      <w:szCs w:val="16"/>
      <w:lang w:eastAsia="en-US"/>
    </w:rPr>
  </w:style>
  <w:style w:type="paragraph" w:styleId="TOC1">
    <w:name w:val="toc 1"/>
    <w:basedOn w:val="Normal"/>
    <w:next w:val="Normal"/>
    <w:autoRedefine/>
    <w:uiPriority w:val="39"/>
    <w:unhideWhenUsed/>
    <w:rsid w:val="0093745C"/>
    <w:pPr>
      <w:tabs>
        <w:tab w:val="right" w:leader="dot" w:pos="9061"/>
      </w:tabs>
      <w:ind w:left="280" w:hanging="284"/>
    </w:pPr>
    <w:rPr>
      <w:noProof/>
      <w:sz w:val="22"/>
      <w:szCs w:val="22"/>
      <w:lang w:val="en-US" w:bidi="en-US"/>
    </w:rPr>
  </w:style>
  <w:style w:type="paragraph" w:styleId="TOC3">
    <w:name w:val="toc 3"/>
    <w:basedOn w:val="Normal"/>
    <w:next w:val="Normal"/>
    <w:autoRedefine/>
    <w:uiPriority w:val="39"/>
    <w:rsid w:val="005A601C"/>
    <w:pPr>
      <w:tabs>
        <w:tab w:val="right" w:leader="dot" w:pos="9061"/>
      </w:tabs>
      <w:ind w:left="567" w:hanging="425"/>
    </w:pPr>
    <w:rPr>
      <w:lang w:eastAsia="lv-LV"/>
    </w:rPr>
  </w:style>
  <w:style w:type="paragraph" w:styleId="TOC4">
    <w:name w:val="toc 4"/>
    <w:basedOn w:val="Normal"/>
    <w:next w:val="Normal"/>
    <w:autoRedefine/>
    <w:uiPriority w:val="39"/>
    <w:rsid w:val="005A601C"/>
    <w:pPr>
      <w:tabs>
        <w:tab w:val="right" w:leader="dot" w:pos="9061"/>
      </w:tabs>
      <w:ind w:left="709" w:hanging="425"/>
    </w:pPr>
    <w:rPr>
      <w:lang w:eastAsia="lv-LV"/>
    </w:rPr>
  </w:style>
  <w:style w:type="table" w:styleId="TableGrid">
    <w:name w:val="Table Grid"/>
    <w:basedOn w:val="TableNormal"/>
    <w:rsid w:val="005A6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link w:val="naisfChar"/>
    <w:rsid w:val="005A601C"/>
    <w:pPr>
      <w:spacing w:before="75" w:after="75"/>
      <w:ind w:firstLine="375"/>
      <w:jc w:val="both"/>
    </w:pPr>
    <w:rPr>
      <w:lang w:eastAsia="lv-LV"/>
    </w:rPr>
  </w:style>
  <w:style w:type="character" w:customStyle="1" w:styleId="naisfChar">
    <w:name w:val="naisf Char"/>
    <w:link w:val="naisf"/>
    <w:locked/>
    <w:rsid w:val="005A601C"/>
    <w:rPr>
      <w:rFonts w:eastAsia="Times New Roman"/>
      <w:sz w:val="24"/>
      <w:szCs w:val="24"/>
    </w:rPr>
  </w:style>
  <w:style w:type="paragraph" w:customStyle="1" w:styleId="Z">
    <w:name w:val="Z"/>
    <w:basedOn w:val="Normal"/>
    <w:rsid w:val="005A601C"/>
    <w:pPr>
      <w:jc w:val="center"/>
    </w:pPr>
    <w:rPr>
      <w:b/>
      <w:i/>
      <w:szCs w:val="20"/>
    </w:rPr>
  </w:style>
  <w:style w:type="paragraph" w:customStyle="1" w:styleId="CharChar3CharCharCharCharCharCharCharCharChar">
    <w:name w:val="Char Char3 Char Char Char Char Char Char Char Char Char"/>
    <w:basedOn w:val="Normal"/>
    <w:rsid w:val="005A601C"/>
    <w:rPr>
      <w:lang w:val="pl-PL" w:eastAsia="pl-PL"/>
    </w:rPr>
  </w:style>
  <w:style w:type="character" w:customStyle="1" w:styleId="tvdoctopindex">
    <w:name w:val="tv_doc_top_index"/>
    <w:rsid w:val="005A601C"/>
  </w:style>
  <w:style w:type="character" w:styleId="CommentReference">
    <w:name w:val="annotation reference"/>
    <w:uiPriority w:val="99"/>
    <w:semiHidden/>
    <w:rsid w:val="005A601C"/>
    <w:rPr>
      <w:sz w:val="16"/>
      <w:szCs w:val="16"/>
    </w:rPr>
  </w:style>
  <w:style w:type="paragraph" w:styleId="CommentText">
    <w:name w:val="annotation text"/>
    <w:basedOn w:val="Normal"/>
    <w:link w:val="CommentTextChar1"/>
    <w:semiHidden/>
    <w:rsid w:val="005A601C"/>
    <w:rPr>
      <w:sz w:val="20"/>
      <w:szCs w:val="20"/>
    </w:rPr>
  </w:style>
  <w:style w:type="character" w:customStyle="1" w:styleId="CommentTextChar1">
    <w:name w:val="Comment Text Char1"/>
    <w:link w:val="CommentText"/>
    <w:semiHidden/>
    <w:rsid w:val="005A601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A601C"/>
    <w:rPr>
      <w:b/>
      <w:bCs/>
    </w:rPr>
  </w:style>
  <w:style w:type="character" w:customStyle="1" w:styleId="CommentSubjectChar">
    <w:name w:val="Comment Subject Char"/>
    <w:link w:val="CommentSubject"/>
    <w:uiPriority w:val="99"/>
    <w:semiHidden/>
    <w:rsid w:val="005A601C"/>
    <w:rPr>
      <w:rFonts w:eastAsia="Times New Roman"/>
      <w:b/>
      <w:bCs/>
      <w:lang w:eastAsia="en-US"/>
    </w:rPr>
  </w:style>
  <w:style w:type="paragraph" w:styleId="EndnoteText">
    <w:name w:val="endnote text"/>
    <w:basedOn w:val="Normal"/>
    <w:link w:val="EndnoteTextChar"/>
    <w:uiPriority w:val="99"/>
    <w:semiHidden/>
    <w:unhideWhenUsed/>
    <w:rsid w:val="005A601C"/>
    <w:rPr>
      <w:sz w:val="20"/>
      <w:szCs w:val="20"/>
    </w:rPr>
  </w:style>
  <w:style w:type="character" w:customStyle="1" w:styleId="EndnoteTextChar">
    <w:name w:val="Endnote Text Char"/>
    <w:link w:val="EndnoteText"/>
    <w:uiPriority w:val="99"/>
    <w:semiHidden/>
    <w:rsid w:val="005A601C"/>
    <w:rPr>
      <w:rFonts w:eastAsia="Times New Roman"/>
      <w:lang w:eastAsia="en-US"/>
    </w:rPr>
  </w:style>
  <w:style w:type="character" w:styleId="EndnoteReference">
    <w:name w:val="endnote reference"/>
    <w:uiPriority w:val="99"/>
    <w:semiHidden/>
    <w:unhideWhenUsed/>
    <w:rsid w:val="005A601C"/>
    <w:rPr>
      <w:vertAlign w:val="superscript"/>
    </w:rPr>
  </w:style>
  <w:style w:type="paragraph" w:styleId="TOCHeading">
    <w:name w:val="TOC Heading"/>
    <w:basedOn w:val="Heading1"/>
    <w:next w:val="Normal"/>
    <w:uiPriority w:val="39"/>
    <w:qFormat/>
    <w:rsid w:val="005416A2"/>
    <w:pPr>
      <w:keepNext/>
      <w:keepLines/>
      <w:spacing w:before="480" w:beforeAutospacing="0" w:after="0" w:afterAutospacing="0" w:line="276" w:lineRule="auto"/>
      <w:outlineLvl w:val="9"/>
    </w:pPr>
    <w:rPr>
      <w:rFonts w:ascii="Cambria" w:eastAsia="MS Gothic" w:hAnsi="Cambria"/>
      <w:color w:val="365F91"/>
      <w:kern w:val="0"/>
      <w:sz w:val="28"/>
      <w:szCs w:val="28"/>
      <w:lang w:val="en-US" w:eastAsia="ja-JP"/>
    </w:rPr>
  </w:style>
  <w:style w:type="character" w:customStyle="1" w:styleId="Heading2Char">
    <w:name w:val="Heading 2 Char"/>
    <w:link w:val="Heading2"/>
    <w:uiPriority w:val="9"/>
    <w:rsid w:val="005416A2"/>
    <w:rPr>
      <w:rFonts w:eastAsia="Times New Roman" w:cs="Times New Roman"/>
      <w:b/>
      <w:bCs/>
      <w:iCs/>
      <w:sz w:val="24"/>
      <w:szCs w:val="28"/>
      <w:lang w:eastAsia="en-US"/>
    </w:rPr>
  </w:style>
  <w:style w:type="paragraph" w:styleId="TOC2">
    <w:name w:val="toc 2"/>
    <w:basedOn w:val="Normal"/>
    <w:next w:val="Normal"/>
    <w:autoRedefine/>
    <w:uiPriority w:val="39"/>
    <w:unhideWhenUsed/>
    <w:rsid w:val="0093745C"/>
    <w:pPr>
      <w:tabs>
        <w:tab w:val="left" w:pos="709"/>
        <w:tab w:val="right" w:leader="dot" w:pos="9061"/>
      </w:tabs>
    </w:pPr>
  </w:style>
  <w:style w:type="paragraph" w:customStyle="1" w:styleId="RakstzCharCharRakstzCharCharRakstz">
    <w:name w:val="Rakstz. Char Char Rakstz. Char Char Rakstz."/>
    <w:basedOn w:val="Normal"/>
    <w:rsid w:val="00C94792"/>
    <w:pPr>
      <w:spacing w:after="160" w:line="240" w:lineRule="exact"/>
    </w:pPr>
    <w:rPr>
      <w:rFonts w:ascii="Tahoma" w:hAnsi="Tahoma" w:cs="Tahoma"/>
      <w:sz w:val="20"/>
      <w:szCs w:val="20"/>
      <w:lang w:val="en-US"/>
    </w:rPr>
  </w:style>
  <w:style w:type="paragraph" w:customStyle="1" w:styleId="labojumupamats">
    <w:name w:val="labojumu_pamats"/>
    <w:basedOn w:val="Normal"/>
    <w:rsid w:val="00516194"/>
    <w:pPr>
      <w:spacing w:before="100" w:beforeAutospacing="1" w:after="100" w:afterAutospacing="1"/>
    </w:pPr>
    <w:rPr>
      <w:lang w:eastAsia="lv-LV"/>
    </w:rPr>
  </w:style>
  <w:style w:type="paragraph" w:customStyle="1" w:styleId="tvhtml">
    <w:name w:val="tv_html"/>
    <w:basedOn w:val="Normal"/>
    <w:rsid w:val="00516194"/>
    <w:pPr>
      <w:spacing w:before="100" w:beforeAutospacing="1" w:after="100" w:afterAutospacing="1"/>
    </w:pPr>
    <w:rPr>
      <w:lang w:eastAsia="lv-LV"/>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710F40"/>
    <w:rPr>
      <w:rFonts w:ascii="Calibri" w:hAnsi="Calibri" w:cs="Calibri"/>
      <w:sz w:val="20"/>
      <w:szCs w:val="20"/>
    </w:rPr>
  </w:style>
  <w:style w:type="character" w:customStyle="1" w:styleId="field-content">
    <w:name w:val="field-content"/>
    <w:rsid w:val="00710F40"/>
  </w:style>
  <w:style w:type="paragraph" w:styleId="BodyTextIndent">
    <w:name w:val="Body Text Indent"/>
    <w:aliases w:val=" Char"/>
    <w:basedOn w:val="Normal"/>
    <w:link w:val="BodyTextIndentChar"/>
    <w:uiPriority w:val="99"/>
    <w:unhideWhenUsed/>
    <w:rsid w:val="00C84374"/>
    <w:pPr>
      <w:spacing w:after="120" w:line="276" w:lineRule="auto"/>
      <w:ind w:left="283"/>
    </w:pPr>
    <w:rPr>
      <w:rFonts w:ascii="Calibri" w:eastAsia="Calibri" w:hAnsi="Calibri"/>
      <w:sz w:val="22"/>
      <w:szCs w:val="22"/>
    </w:rPr>
  </w:style>
  <w:style w:type="character" w:customStyle="1" w:styleId="BodyTextIndentChar">
    <w:name w:val="Body Text Indent Char"/>
    <w:aliases w:val=" Char Char"/>
    <w:link w:val="BodyTextIndent"/>
    <w:uiPriority w:val="99"/>
    <w:rsid w:val="00C84374"/>
    <w:rPr>
      <w:rFonts w:ascii="Calibri" w:hAnsi="Calibri"/>
      <w:sz w:val="22"/>
      <w:szCs w:val="22"/>
      <w:lang w:eastAsia="en-US"/>
    </w:rPr>
  </w:style>
  <w:style w:type="table" w:styleId="LightList-Accent1">
    <w:name w:val="Light List Accent 1"/>
    <w:basedOn w:val="TableNormal"/>
    <w:uiPriority w:val="61"/>
    <w:rsid w:val="00C84374"/>
    <w:rPr>
      <w:rFonts w:ascii="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C84374"/>
    <w:rPr>
      <w:rFonts w:ascii="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rong">
    <w:name w:val="Strong"/>
    <w:uiPriority w:val="22"/>
    <w:qFormat/>
    <w:rsid w:val="00C84374"/>
    <w:rPr>
      <w:b/>
      <w:bCs/>
    </w:rPr>
  </w:style>
  <w:style w:type="table" w:styleId="LightList-Accent4">
    <w:name w:val="Light List Accent 4"/>
    <w:basedOn w:val="TableNormal"/>
    <w:uiPriority w:val="61"/>
    <w:rsid w:val="00C84374"/>
    <w:rPr>
      <w:rFonts w:ascii="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FollowedHyperlink">
    <w:name w:val="FollowedHyperlink"/>
    <w:uiPriority w:val="99"/>
    <w:semiHidden/>
    <w:unhideWhenUsed/>
    <w:rsid w:val="003F7B19"/>
    <w:rPr>
      <w:color w:val="800080"/>
      <w:u w:val="single"/>
    </w:rPr>
  </w:style>
  <w:style w:type="table" w:styleId="LightShading-Accent4">
    <w:name w:val="Light Shading Accent 4"/>
    <w:basedOn w:val="TableNormal"/>
    <w:uiPriority w:val="60"/>
    <w:rsid w:val="003543D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C72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61"/>
    <w:rsid w:val="00AC7260"/>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Revision">
    <w:name w:val="Revision"/>
    <w:hidden/>
    <w:uiPriority w:val="99"/>
    <w:semiHidden/>
    <w:rsid w:val="001263D8"/>
    <w:rPr>
      <w:rFonts w:eastAsia="Times New Roman"/>
      <w:sz w:val="24"/>
      <w:szCs w:val="24"/>
      <w:lang w:eastAsia="en-US"/>
    </w:rPr>
  </w:style>
  <w:style w:type="character" w:customStyle="1" w:styleId="apple-converted-space">
    <w:name w:val="apple-converted-space"/>
    <w:rsid w:val="00931841"/>
  </w:style>
  <w:style w:type="character" w:styleId="Emphasis">
    <w:name w:val="Emphasis"/>
    <w:uiPriority w:val="20"/>
    <w:qFormat/>
    <w:rsid w:val="00C14C30"/>
    <w:rPr>
      <w:i/>
      <w:iCs/>
    </w:rPr>
  </w:style>
  <w:style w:type="character" w:customStyle="1" w:styleId="st">
    <w:name w:val="st"/>
    <w:rsid w:val="00C41F6D"/>
  </w:style>
  <w:style w:type="character" w:customStyle="1" w:styleId="CommentTextChar">
    <w:name w:val="Comment Text Char"/>
    <w:semiHidden/>
    <w:locked/>
    <w:rsid w:val="008A63C8"/>
    <w:rPr>
      <w:rFonts w:eastAsia="Times New Roman"/>
      <w:lang w:val="x-none" w:eastAsia="en-US"/>
    </w:rPr>
  </w:style>
  <w:style w:type="character" w:styleId="HTMLCite">
    <w:name w:val="HTML Cite"/>
    <w:uiPriority w:val="99"/>
    <w:semiHidden/>
    <w:unhideWhenUsed/>
    <w:rsid w:val="001244CF"/>
    <w:rPr>
      <w:i/>
      <w:iCs/>
    </w:rPr>
  </w:style>
  <w:style w:type="table" w:styleId="LightList-Accent5">
    <w:name w:val="Light List Accent 5"/>
    <w:basedOn w:val="TableNormal"/>
    <w:uiPriority w:val="61"/>
    <w:rsid w:val="00983D7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1">
    <w:name w:val="Light Grid Accent 1"/>
    <w:basedOn w:val="TableNormal"/>
    <w:uiPriority w:val="62"/>
    <w:rsid w:val="00983D7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3">
    <w:name w:val="Light List Accent 3"/>
    <w:basedOn w:val="TableNormal"/>
    <w:uiPriority w:val="61"/>
    <w:rsid w:val="00BB429C"/>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aisc">
    <w:name w:val="naisc"/>
    <w:basedOn w:val="Normal"/>
    <w:rsid w:val="009F3CBE"/>
    <w:pPr>
      <w:spacing w:before="100" w:beforeAutospacing="1" w:after="100" w:afterAutospacing="1"/>
    </w:pPr>
    <w:rPr>
      <w:lang w:eastAsia="lv-LV"/>
    </w:rPr>
  </w:style>
  <w:style w:type="paragraph" w:customStyle="1" w:styleId="naiskr">
    <w:name w:val="naiskr"/>
    <w:basedOn w:val="Normal"/>
    <w:rsid w:val="009F3CBE"/>
    <w:pPr>
      <w:spacing w:before="100" w:beforeAutospacing="1" w:after="100" w:afterAutospacing="1"/>
    </w:pPr>
    <w:rPr>
      <w:lang w:eastAsia="lv-LV"/>
    </w:rPr>
  </w:style>
  <w:style w:type="paragraph" w:customStyle="1" w:styleId="thr">
    <w:name w:val="thr"/>
    <w:basedOn w:val="Normal"/>
    <w:uiPriority w:val="99"/>
    <w:rsid w:val="000024CB"/>
    <w:pPr>
      <w:spacing w:before="100" w:beforeAutospacing="1" w:after="100" w:afterAutospacing="1"/>
      <w:jc w:val="right"/>
    </w:pPr>
    <w:rPr>
      <w:lang w:eastAsia="lv-LV"/>
    </w:rPr>
  </w:style>
  <w:style w:type="character" w:customStyle="1" w:styleId="highlight">
    <w:name w:val="highlight"/>
    <w:rsid w:val="00367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601C"/>
    <w:rPr>
      <w:rFonts w:eastAsia="Times New Roman"/>
      <w:sz w:val="24"/>
      <w:szCs w:val="24"/>
      <w:lang w:eastAsia="en-US"/>
    </w:rPr>
  </w:style>
  <w:style w:type="paragraph" w:styleId="Heading1">
    <w:name w:val="heading 1"/>
    <w:basedOn w:val="Normal"/>
    <w:link w:val="Heading1Char"/>
    <w:qFormat/>
    <w:rsid w:val="005416A2"/>
    <w:pPr>
      <w:spacing w:before="100" w:beforeAutospacing="1" w:after="100" w:afterAutospacing="1"/>
      <w:outlineLvl w:val="0"/>
    </w:pPr>
    <w:rPr>
      <w:b/>
      <w:bCs/>
      <w:kern w:val="36"/>
      <w:szCs w:val="48"/>
      <w:lang w:eastAsia="lv-LV"/>
    </w:rPr>
  </w:style>
  <w:style w:type="paragraph" w:styleId="Heading2">
    <w:name w:val="heading 2"/>
    <w:basedOn w:val="Normal"/>
    <w:next w:val="Normal"/>
    <w:link w:val="Heading2Char"/>
    <w:uiPriority w:val="9"/>
    <w:qFormat/>
    <w:rsid w:val="005416A2"/>
    <w:pPr>
      <w:keepNext/>
      <w:spacing w:before="240" w:after="60"/>
      <w:outlineLvl w:val="1"/>
    </w:pPr>
    <w:rPr>
      <w:b/>
      <w:bCs/>
      <w:iCs/>
      <w:szCs w:val="28"/>
    </w:rPr>
  </w:style>
  <w:style w:type="paragraph" w:styleId="Heading3">
    <w:name w:val="heading 3"/>
    <w:basedOn w:val="Normal"/>
    <w:next w:val="Normal"/>
    <w:link w:val="Heading3Char"/>
    <w:qFormat/>
    <w:rsid w:val="005A60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16A2"/>
    <w:rPr>
      <w:rFonts w:eastAsia="Times New Roman"/>
      <w:b/>
      <w:bCs/>
      <w:kern w:val="36"/>
      <w:sz w:val="24"/>
      <w:szCs w:val="48"/>
    </w:rPr>
  </w:style>
  <w:style w:type="character" w:customStyle="1" w:styleId="Heading3Char">
    <w:name w:val="Heading 3 Char"/>
    <w:link w:val="Heading3"/>
    <w:rsid w:val="005A601C"/>
    <w:rPr>
      <w:rFonts w:ascii="Arial" w:eastAsia="Times New Roman" w:hAnsi="Arial" w:cs="Arial"/>
      <w:b/>
      <w:bCs/>
      <w:sz w:val="26"/>
      <w:szCs w:val="26"/>
      <w:lang w:eastAsia="en-US"/>
    </w:rPr>
  </w:style>
  <w:style w:type="paragraph" w:styleId="BodyText">
    <w:name w:val="Body Text"/>
    <w:basedOn w:val="Normal"/>
    <w:link w:val="BodyTextChar"/>
    <w:rsid w:val="005A601C"/>
    <w:pPr>
      <w:spacing w:after="120"/>
    </w:pPr>
  </w:style>
  <w:style w:type="character" w:customStyle="1" w:styleId="BodyTextChar">
    <w:name w:val="Body Text Char"/>
    <w:link w:val="BodyText"/>
    <w:rsid w:val="005A601C"/>
    <w:rPr>
      <w:rFonts w:eastAsia="Times New Roman"/>
      <w:sz w:val="24"/>
      <w:szCs w:val="24"/>
      <w:lang w:eastAsia="en-US"/>
    </w:rPr>
  </w:style>
  <w:style w:type="character" w:styleId="Hyperlink">
    <w:name w:val="Hyperlink"/>
    <w:uiPriority w:val="99"/>
    <w:rsid w:val="005A601C"/>
    <w:rPr>
      <w:color w:val="0000FF"/>
      <w:u w:val="single"/>
    </w:rPr>
  </w:style>
  <w:style w:type="paragraph" w:styleId="Header">
    <w:name w:val="header"/>
    <w:basedOn w:val="Normal"/>
    <w:link w:val="HeaderChar"/>
    <w:uiPriority w:val="99"/>
    <w:rsid w:val="005A601C"/>
    <w:pPr>
      <w:tabs>
        <w:tab w:val="center" w:pos="4153"/>
        <w:tab w:val="right" w:pos="8306"/>
      </w:tabs>
    </w:pPr>
  </w:style>
  <w:style w:type="character" w:customStyle="1" w:styleId="HeaderChar">
    <w:name w:val="Header Char"/>
    <w:link w:val="Header"/>
    <w:uiPriority w:val="99"/>
    <w:rsid w:val="005A601C"/>
    <w:rPr>
      <w:rFonts w:eastAsia="Times New Roman"/>
      <w:sz w:val="24"/>
      <w:szCs w:val="24"/>
      <w:lang w:eastAsia="en-US"/>
    </w:rPr>
  </w:style>
  <w:style w:type="character" w:styleId="PageNumber">
    <w:name w:val="page number"/>
    <w:rsid w:val="005A601C"/>
  </w:style>
  <w:style w:type="paragraph" w:styleId="Footer">
    <w:name w:val="footer"/>
    <w:basedOn w:val="Normal"/>
    <w:link w:val="FooterChar"/>
    <w:rsid w:val="005A601C"/>
    <w:pPr>
      <w:tabs>
        <w:tab w:val="center" w:pos="4153"/>
        <w:tab w:val="right" w:pos="8306"/>
      </w:tabs>
    </w:pPr>
  </w:style>
  <w:style w:type="character" w:customStyle="1" w:styleId="FooterChar">
    <w:name w:val="Footer Char"/>
    <w:link w:val="Footer"/>
    <w:rsid w:val="005A601C"/>
    <w:rPr>
      <w:rFonts w:eastAsia="Times New Roman"/>
      <w:sz w:val="24"/>
      <w:szCs w:val="24"/>
      <w:lang w:eastAsia="en-US"/>
    </w:rPr>
  </w:style>
  <w:style w:type="paragraph" w:styleId="NormalWeb">
    <w:name w:val="Normal (Web)"/>
    <w:aliases w:val="sākums"/>
    <w:basedOn w:val="Normal"/>
    <w:uiPriority w:val="99"/>
    <w:rsid w:val="005A601C"/>
    <w:pPr>
      <w:spacing w:before="100" w:beforeAutospacing="1" w:after="100" w:afterAutospacing="1"/>
    </w:pPr>
    <w:rPr>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
    <w:uiPriority w:val="99"/>
    <w:qFormat/>
    <w:rsid w:val="005A601C"/>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
    <w:link w:val="FootnoteText"/>
    <w:uiPriority w:val="99"/>
    <w:rsid w:val="005A601C"/>
    <w:rPr>
      <w:rFonts w:eastAsia="Times New Roman"/>
      <w:lang w:eastAsia="en-US"/>
    </w:rPr>
  </w:style>
  <w:style w:type="character" w:styleId="FootnoteReference">
    <w:name w:val="footnote reference"/>
    <w:aliases w:val="Footnote Reference Number,Footnote symbol,SUPERS,ftref,Footnote Refernece,stylish,BVI fnr,Fußnotenzeichen_Raxen,callout,Footnote Reference Superscript"/>
    <w:uiPriority w:val="99"/>
    <w:qFormat/>
    <w:rsid w:val="005A601C"/>
    <w:rPr>
      <w:vertAlign w:val="superscript"/>
    </w:rPr>
  </w:style>
  <w:style w:type="character" w:customStyle="1" w:styleId="addmd">
    <w:name w:val="addmd"/>
    <w:rsid w:val="005A601C"/>
  </w:style>
  <w:style w:type="character" w:customStyle="1" w:styleId="hps">
    <w:name w:val="hps"/>
    <w:uiPriority w:val="99"/>
    <w:rsid w:val="005A601C"/>
  </w:style>
  <w:style w:type="paragraph" w:customStyle="1" w:styleId="Default">
    <w:name w:val="Default"/>
    <w:uiPriority w:val="99"/>
    <w:rsid w:val="005A601C"/>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5A601C"/>
    <w:pPr>
      <w:ind w:left="720"/>
      <w:contextualSpacing/>
    </w:pPr>
    <w:rPr>
      <w:rFonts w:ascii="Cambria" w:eastAsia="MS Mincho" w:hAnsi="Cambria"/>
      <w:lang w:val="cs-CZ"/>
    </w:rPr>
  </w:style>
  <w:style w:type="paragraph" w:styleId="BalloonText">
    <w:name w:val="Balloon Text"/>
    <w:basedOn w:val="Normal"/>
    <w:link w:val="BalloonTextChar"/>
    <w:uiPriority w:val="99"/>
    <w:semiHidden/>
    <w:unhideWhenUsed/>
    <w:rsid w:val="005A601C"/>
    <w:rPr>
      <w:rFonts w:ascii="Arial" w:hAnsi="Arial" w:cs="Arial"/>
      <w:sz w:val="16"/>
      <w:szCs w:val="16"/>
    </w:rPr>
  </w:style>
  <w:style w:type="character" w:customStyle="1" w:styleId="BalloonTextChar">
    <w:name w:val="Balloon Text Char"/>
    <w:link w:val="BalloonText"/>
    <w:uiPriority w:val="99"/>
    <w:semiHidden/>
    <w:rsid w:val="005A601C"/>
    <w:rPr>
      <w:rFonts w:ascii="Arial" w:eastAsia="Times New Roman" w:hAnsi="Arial" w:cs="Arial"/>
      <w:sz w:val="16"/>
      <w:szCs w:val="16"/>
      <w:lang w:eastAsia="en-US"/>
    </w:rPr>
  </w:style>
  <w:style w:type="paragraph" w:styleId="TOC1">
    <w:name w:val="toc 1"/>
    <w:basedOn w:val="Normal"/>
    <w:next w:val="Normal"/>
    <w:autoRedefine/>
    <w:uiPriority w:val="39"/>
    <w:unhideWhenUsed/>
    <w:rsid w:val="0093745C"/>
    <w:pPr>
      <w:tabs>
        <w:tab w:val="right" w:leader="dot" w:pos="9061"/>
      </w:tabs>
      <w:ind w:left="280" w:hanging="284"/>
    </w:pPr>
    <w:rPr>
      <w:noProof/>
      <w:sz w:val="22"/>
      <w:szCs w:val="22"/>
      <w:lang w:val="en-US" w:bidi="en-US"/>
    </w:rPr>
  </w:style>
  <w:style w:type="paragraph" w:styleId="TOC3">
    <w:name w:val="toc 3"/>
    <w:basedOn w:val="Normal"/>
    <w:next w:val="Normal"/>
    <w:autoRedefine/>
    <w:uiPriority w:val="39"/>
    <w:rsid w:val="005A601C"/>
    <w:pPr>
      <w:tabs>
        <w:tab w:val="right" w:leader="dot" w:pos="9061"/>
      </w:tabs>
      <w:ind w:left="567" w:hanging="425"/>
    </w:pPr>
    <w:rPr>
      <w:lang w:eastAsia="lv-LV"/>
    </w:rPr>
  </w:style>
  <w:style w:type="paragraph" w:styleId="TOC4">
    <w:name w:val="toc 4"/>
    <w:basedOn w:val="Normal"/>
    <w:next w:val="Normal"/>
    <w:autoRedefine/>
    <w:uiPriority w:val="39"/>
    <w:rsid w:val="005A601C"/>
    <w:pPr>
      <w:tabs>
        <w:tab w:val="right" w:leader="dot" w:pos="9061"/>
      </w:tabs>
      <w:ind w:left="709" w:hanging="425"/>
    </w:pPr>
    <w:rPr>
      <w:lang w:eastAsia="lv-LV"/>
    </w:rPr>
  </w:style>
  <w:style w:type="table" w:styleId="TableGrid">
    <w:name w:val="Table Grid"/>
    <w:basedOn w:val="TableNormal"/>
    <w:rsid w:val="005A6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link w:val="naisfChar"/>
    <w:rsid w:val="005A601C"/>
    <w:pPr>
      <w:spacing w:before="75" w:after="75"/>
      <w:ind w:firstLine="375"/>
      <w:jc w:val="both"/>
    </w:pPr>
    <w:rPr>
      <w:lang w:eastAsia="lv-LV"/>
    </w:rPr>
  </w:style>
  <w:style w:type="character" w:customStyle="1" w:styleId="naisfChar">
    <w:name w:val="naisf Char"/>
    <w:link w:val="naisf"/>
    <w:locked/>
    <w:rsid w:val="005A601C"/>
    <w:rPr>
      <w:rFonts w:eastAsia="Times New Roman"/>
      <w:sz w:val="24"/>
      <w:szCs w:val="24"/>
    </w:rPr>
  </w:style>
  <w:style w:type="paragraph" w:customStyle="1" w:styleId="Z">
    <w:name w:val="Z"/>
    <w:basedOn w:val="Normal"/>
    <w:rsid w:val="005A601C"/>
    <w:pPr>
      <w:jc w:val="center"/>
    </w:pPr>
    <w:rPr>
      <w:b/>
      <w:i/>
      <w:szCs w:val="20"/>
    </w:rPr>
  </w:style>
  <w:style w:type="paragraph" w:customStyle="1" w:styleId="CharChar3CharCharCharCharCharCharCharCharChar">
    <w:name w:val="Char Char3 Char Char Char Char Char Char Char Char Char"/>
    <w:basedOn w:val="Normal"/>
    <w:rsid w:val="005A601C"/>
    <w:rPr>
      <w:lang w:val="pl-PL" w:eastAsia="pl-PL"/>
    </w:rPr>
  </w:style>
  <w:style w:type="character" w:customStyle="1" w:styleId="tvdoctopindex">
    <w:name w:val="tv_doc_top_index"/>
    <w:rsid w:val="005A601C"/>
  </w:style>
  <w:style w:type="character" w:styleId="CommentReference">
    <w:name w:val="annotation reference"/>
    <w:uiPriority w:val="99"/>
    <w:semiHidden/>
    <w:rsid w:val="005A601C"/>
    <w:rPr>
      <w:sz w:val="16"/>
      <w:szCs w:val="16"/>
    </w:rPr>
  </w:style>
  <w:style w:type="paragraph" w:styleId="CommentText">
    <w:name w:val="annotation text"/>
    <w:basedOn w:val="Normal"/>
    <w:link w:val="CommentTextChar1"/>
    <w:semiHidden/>
    <w:rsid w:val="005A601C"/>
    <w:rPr>
      <w:sz w:val="20"/>
      <w:szCs w:val="20"/>
    </w:rPr>
  </w:style>
  <w:style w:type="character" w:customStyle="1" w:styleId="CommentTextChar1">
    <w:name w:val="Comment Text Char1"/>
    <w:link w:val="CommentText"/>
    <w:semiHidden/>
    <w:rsid w:val="005A601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A601C"/>
    <w:rPr>
      <w:b/>
      <w:bCs/>
    </w:rPr>
  </w:style>
  <w:style w:type="character" w:customStyle="1" w:styleId="CommentSubjectChar">
    <w:name w:val="Comment Subject Char"/>
    <w:link w:val="CommentSubject"/>
    <w:uiPriority w:val="99"/>
    <w:semiHidden/>
    <w:rsid w:val="005A601C"/>
    <w:rPr>
      <w:rFonts w:eastAsia="Times New Roman"/>
      <w:b/>
      <w:bCs/>
      <w:lang w:eastAsia="en-US"/>
    </w:rPr>
  </w:style>
  <w:style w:type="paragraph" w:styleId="EndnoteText">
    <w:name w:val="endnote text"/>
    <w:basedOn w:val="Normal"/>
    <w:link w:val="EndnoteTextChar"/>
    <w:uiPriority w:val="99"/>
    <w:semiHidden/>
    <w:unhideWhenUsed/>
    <w:rsid w:val="005A601C"/>
    <w:rPr>
      <w:sz w:val="20"/>
      <w:szCs w:val="20"/>
    </w:rPr>
  </w:style>
  <w:style w:type="character" w:customStyle="1" w:styleId="EndnoteTextChar">
    <w:name w:val="Endnote Text Char"/>
    <w:link w:val="EndnoteText"/>
    <w:uiPriority w:val="99"/>
    <w:semiHidden/>
    <w:rsid w:val="005A601C"/>
    <w:rPr>
      <w:rFonts w:eastAsia="Times New Roman"/>
      <w:lang w:eastAsia="en-US"/>
    </w:rPr>
  </w:style>
  <w:style w:type="character" w:styleId="EndnoteReference">
    <w:name w:val="endnote reference"/>
    <w:uiPriority w:val="99"/>
    <w:semiHidden/>
    <w:unhideWhenUsed/>
    <w:rsid w:val="005A601C"/>
    <w:rPr>
      <w:vertAlign w:val="superscript"/>
    </w:rPr>
  </w:style>
  <w:style w:type="paragraph" w:styleId="TOCHeading">
    <w:name w:val="TOC Heading"/>
    <w:basedOn w:val="Heading1"/>
    <w:next w:val="Normal"/>
    <w:uiPriority w:val="39"/>
    <w:qFormat/>
    <w:rsid w:val="005416A2"/>
    <w:pPr>
      <w:keepNext/>
      <w:keepLines/>
      <w:spacing w:before="480" w:beforeAutospacing="0" w:after="0" w:afterAutospacing="0" w:line="276" w:lineRule="auto"/>
      <w:outlineLvl w:val="9"/>
    </w:pPr>
    <w:rPr>
      <w:rFonts w:ascii="Cambria" w:eastAsia="MS Gothic" w:hAnsi="Cambria"/>
      <w:color w:val="365F91"/>
      <w:kern w:val="0"/>
      <w:sz w:val="28"/>
      <w:szCs w:val="28"/>
      <w:lang w:val="en-US" w:eastAsia="ja-JP"/>
    </w:rPr>
  </w:style>
  <w:style w:type="character" w:customStyle="1" w:styleId="Heading2Char">
    <w:name w:val="Heading 2 Char"/>
    <w:link w:val="Heading2"/>
    <w:uiPriority w:val="9"/>
    <w:rsid w:val="005416A2"/>
    <w:rPr>
      <w:rFonts w:eastAsia="Times New Roman" w:cs="Times New Roman"/>
      <w:b/>
      <w:bCs/>
      <w:iCs/>
      <w:sz w:val="24"/>
      <w:szCs w:val="28"/>
      <w:lang w:eastAsia="en-US"/>
    </w:rPr>
  </w:style>
  <w:style w:type="paragraph" w:styleId="TOC2">
    <w:name w:val="toc 2"/>
    <w:basedOn w:val="Normal"/>
    <w:next w:val="Normal"/>
    <w:autoRedefine/>
    <w:uiPriority w:val="39"/>
    <w:unhideWhenUsed/>
    <w:rsid w:val="0093745C"/>
    <w:pPr>
      <w:tabs>
        <w:tab w:val="left" w:pos="709"/>
        <w:tab w:val="right" w:leader="dot" w:pos="9061"/>
      </w:tabs>
    </w:pPr>
  </w:style>
  <w:style w:type="paragraph" w:customStyle="1" w:styleId="RakstzCharCharRakstzCharCharRakstz">
    <w:name w:val="Rakstz. Char Char Rakstz. Char Char Rakstz."/>
    <w:basedOn w:val="Normal"/>
    <w:rsid w:val="00C94792"/>
    <w:pPr>
      <w:spacing w:after="160" w:line="240" w:lineRule="exact"/>
    </w:pPr>
    <w:rPr>
      <w:rFonts w:ascii="Tahoma" w:hAnsi="Tahoma" w:cs="Tahoma"/>
      <w:sz w:val="20"/>
      <w:szCs w:val="20"/>
      <w:lang w:val="en-US"/>
    </w:rPr>
  </w:style>
  <w:style w:type="paragraph" w:customStyle="1" w:styleId="labojumupamats">
    <w:name w:val="labojumu_pamats"/>
    <w:basedOn w:val="Normal"/>
    <w:rsid w:val="00516194"/>
    <w:pPr>
      <w:spacing w:before="100" w:beforeAutospacing="1" w:after="100" w:afterAutospacing="1"/>
    </w:pPr>
    <w:rPr>
      <w:lang w:eastAsia="lv-LV"/>
    </w:rPr>
  </w:style>
  <w:style w:type="paragraph" w:customStyle="1" w:styleId="tvhtml">
    <w:name w:val="tv_html"/>
    <w:basedOn w:val="Normal"/>
    <w:rsid w:val="00516194"/>
    <w:pPr>
      <w:spacing w:before="100" w:beforeAutospacing="1" w:after="100" w:afterAutospacing="1"/>
    </w:pPr>
    <w:rPr>
      <w:lang w:eastAsia="lv-LV"/>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710F40"/>
    <w:rPr>
      <w:rFonts w:ascii="Calibri" w:hAnsi="Calibri" w:cs="Calibri"/>
      <w:sz w:val="20"/>
      <w:szCs w:val="20"/>
    </w:rPr>
  </w:style>
  <w:style w:type="character" w:customStyle="1" w:styleId="field-content">
    <w:name w:val="field-content"/>
    <w:rsid w:val="00710F40"/>
  </w:style>
  <w:style w:type="paragraph" w:styleId="BodyTextIndent">
    <w:name w:val="Body Text Indent"/>
    <w:aliases w:val=" Char"/>
    <w:basedOn w:val="Normal"/>
    <w:link w:val="BodyTextIndentChar"/>
    <w:uiPriority w:val="99"/>
    <w:unhideWhenUsed/>
    <w:rsid w:val="00C84374"/>
    <w:pPr>
      <w:spacing w:after="120" w:line="276" w:lineRule="auto"/>
      <w:ind w:left="283"/>
    </w:pPr>
    <w:rPr>
      <w:rFonts w:ascii="Calibri" w:eastAsia="Calibri" w:hAnsi="Calibri"/>
      <w:sz w:val="22"/>
      <w:szCs w:val="22"/>
    </w:rPr>
  </w:style>
  <w:style w:type="character" w:customStyle="1" w:styleId="BodyTextIndentChar">
    <w:name w:val="Body Text Indent Char"/>
    <w:aliases w:val=" Char Char"/>
    <w:link w:val="BodyTextIndent"/>
    <w:uiPriority w:val="99"/>
    <w:rsid w:val="00C84374"/>
    <w:rPr>
      <w:rFonts w:ascii="Calibri" w:hAnsi="Calibri"/>
      <w:sz w:val="22"/>
      <w:szCs w:val="22"/>
      <w:lang w:eastAsia="en-US"/>
    </w:rPr>
  </w:style>
  <w:style w:type="table" w:styleId="LightList-Accent1">
    <w:name w:val="Light List Accent 1"/>
    <w:basedOn w:val="TableNormal"/>
    <w:uiPriority w:val="61"/>
    <w:rsid w:val="00C84374"/>
    <w:rPr>
      <w:rFonts w:ascii="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C84374"/>
    <w:rPr>
      <w:rFonts w:ascii="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rong">
    <w:name w:val="Strong"/>
    <w:uiPriority w:val="22"/>
    <w:qFormat/>
    <w:rsid w:val="00C84374"/>
    <w:rPr>
      <w:b/>
      <w:bCs/>
    </w:rPr>
  </w:style>
  <w:style w:type="table" w:styleId="LightList-Accent4">
    <w:name w:val="Light List Accent 4"/>
    <w:basedOn w:val="TableNormal"/>
    <w:uiPriority w:val="61"/>
    <w:rsid w:val="00C84374"/>
    <w:rPr>
      <w:rFonts w:ascii="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FollowedHyperlink">
    <w:name w:val="FollowedHyperlink"/>
    <w:uiPriority w:val="99"/>
    <w:semiHidden/>
    <w:unhideWhenUsed/>
    <w:rsid w:val="003F7B19"/>
    <w:rPr>
      <w:color w:val="800080"/>
      <w:u w:val="single"/>
    </w:rPr>
  </w:style>
  <w:style w:type="table" w:styleId="LightShading-Accent4">
    <w:name w:val="Light Shading Accent 4"/>
    <w:basedOn w:val="TableNormal"/>
    <w:uiPriority w:val="60"/>
    <w:rsid w:val="003543D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C72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61"/>
    <w:rsid w:val="00AC7260"/>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Revision">
    <w:name w:val="Revision"/>
    <w:hidden/>
    <w:uiPriority w:val="99"/>
    <w:semiHidden/>
    <w:rsid w:val="001263D8"/>
    <w:rPr>
      <w:rFonts w:eastAsia="Times New Roman"/>
      <w:sz w:val="24"/>
      <w:szCs w:val="24"/>
      <w:lang w:eastAsia="en-US"/>
    </w:rPr>
  </w:style>
  <w:style w:type="character" w:customStyle="1" w:styleId="apple-converted-space">
    <w:name w:val="apple-converted-space"/>
    <w:rsid w:val="00931841"/>
  </w:style>
  <w:style w:type="character" w:styleId="Emphasis">
    <w:name w:val="Emphasis"/>
    <w:uiPriority w:val="20"/>
    <w:qFormat/>
    <w:rsid w:val="00C14C30"/>
    <w:rPr>
      <w:i/>
      <w:iCs/>
    </w:rPr>
  </w:style>
  <w:style w:type="character" w:customStyle="1" w:styleId="st">
    <w:name w:val="st"/>
    <w:rsid w:val="00C41F6D"/>
  </w:style>
  <w:style w:type="character" w:customStyle="1" w:styleId="CommentTextChar">
    <w:name w:val="Comment Text Char"/>
    <w:semiHidden/>
    <w:locked/>
    <w:rsid w:val="008A63C8"/>
    <w:rPr>
      <w:rFonts w:eastAsia="Times New Roman"/>
      <w:lang w:val="x-none" w:eastAsia="en-US"/>
    </w:rPr>
  </w:style>
  <w:style w:type="character" w:styleId="HTMLCite">
    <w:name w:val="HTML Cite"/>
    <w:uiPriority w:val="99"/>
    <w:semiHidden/>
    <w:unhideWhenUsed/>
    <w:rsid w:val="001244CF"/>
    <w:rPr>
      <w:i/>
      <w:iCs/>
    </w:rPr>
  </w:style>
  <w:style w:type="table" w:styleId="LightList-Accent5">
    <w:name w:val="Light List Accent 5"/>
    <w:basedOn w:val="TableNormal"/>
    <w:uiPriority w:val="61"/>
    <w:rsid w:val="00983D7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1">
    <w:name w:val="Light Grid Accent 1"/>
    <w:basedOn w:val="TableNormal"/>
    <w:uiPriority w:val="62"/>
    <w:rsid w:val="00983D7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3">
    <w:name w:val="Light List Accent 3"/>
    <w:basedOn w:val="TableNormal"/>
    <w:uiPriority w:val="61"/>
    <w:rsid w:val="00BB429C"/>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aisc">
    <w:name w:val="naisc"/>
    <w:basedOn w:val="Normal"/>
    <w:rsid w:val="009F3CBE"/>
    <w:pPr>
      <w:spacing w:before="100" w:beforeAutospacing="1" w:after="100" w:afterAutospacing="1"/>
    </w:pPr>
    <w:rPr>
      <w:lang w:eastAsia="lv-LV"/>
    </w:rPr>
  </w:style>
  <w:style w:type="paragraph" w:customStyle="1" w:styleId="naiskr">
    <w:name w:val="naiskr"/>
    <w:basedOn w:val="Normal"/>
    <w:rsid w:val="009F3CBE"/>
    <w:pPr>
      <w:spacing w:before="100" w:beforeAutospacing="1" w:after="100" w:afterAutospacing="1"/>
    </w:pPr>
    <w:rPr>
      <w:lang w:eastAsia="lv-LV"/>
    </w:rPr>
  </w:style>
  <w:style w:type="paragraph" w:customStyle="1" w:styleId="thr">
    <w:name w:val="thr"/>
    <w:basedOn w:val="Normal"/>
    <w:uiPriority w:val="99"/>
    <w:rsid w:val="000024CB"/>
    <w:pPr>
      <w:spacing w:before="100" w:beforeAutospacing="1" w:after="100" w:afterAutospacing="1"/>
      <w:jc w:val="right"/>
    </w:pPr>
    <w:rPr>
      <w:lang w:eastAsia="lv-LV"/>
    </w:rPr>
  </w:style>
  <w:style w:type="character" w:customStyle="1" w:styleId="highlight">
    <w:name w:val="highlight"/>
    <w:rsid w:val="0036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7651">
      <w:bodyDiv w:val="1"/>
      <w:marLeft w:val="0"/>
      <w:marRight w:val="0"/>
      <w:marTop w:val="0"/>
      <w:marBottom w:val="0"/>
      <w:divBdr>
        <w:top w:val="none" w:sz="0" w:space="0" w:color="auto"/>
        <w:left w:val="none" w:sz="0" w:space="0" w:color="auto"/>
        <w:bottom w:val="none" w:sz="0" w:space="0" w:color="auto"/>
        <w:right w:val="none" w:sz="0" w:space="0" w:color="auto"/>
      </w:divBdr>
      <w:divsChild>
        <w:div w:id="97607712">
          <w:marLeft w:val="0"/>
          <w:marRight w:val="0"/>
          <w:marTop w:val="0"/>
          <w:marBottom w:val="0"/>
          <w:divBdr>
            <w:top w:val="none" w:sz="0" w:space="0" w:color="auto"/>
            <w:left w:val="none" w:sz="0" w:space="0" w:color="auto"/>
            <w:bottom w:val="none" w:sz="0" w:space="0" w:color="auto"/>
            <w:right w:val="none" w:sz="0" w:space="0" w:color="auto"/>
          </w:divBdr>
        </w:div>
        <w:div w:id="646592829">
          <w:marLeft w:val="0"/>
          <w:marRight w:val="0"/>
          <w:marTop w:val="0"/>
          <w:marBottom w:val="0"/>
          <w:divBdr>
            <w:top w:val="none" w:sz="0" w:space="0" w:color="auto"/>
            <w:left w:val="none" w:sz="0" w:space="0" w:color="auto"/>
            <w:bottom w:val="none" w:sz="0" w:space="0" w:color="auto"/>
            <w:right w:val="none" w:sz="0" w:space="0" w:color="auto"/>
          </w:divBdr>
        </w:div>
        <w:div w:id="700861271">
          <w:marLeft w:val="0"/>
          <w:marRight w:val="0"/>
          <w:marTop w:val="0"/>
          <w:marBottom w:val="0"/>
          <w:divBdr>
            <w:top w:val="none" w:sz="0" w:space="0" w:color="auto"/>
            <w:left w:val="none" w:sz="0" w:space="0" w:color="auto"/>
            <w:bottom w:val="none" w:sz="0" w:space="0" w:color="auto"/>
            <w:right w:val="none" w:sz="0" w:space="0" w:color="auto"/>
          </w:divBdr>
        </w:div>
        <w:div w:id="982731039">
          <w:marLeft w:val="0"/>
          <w:marRight w:val="0"/>
          <w:marTop w:val="0"/>
          <w:marBottom w:val="0"/>
          <w:divBdr>
            <w:top w:val="none" w:sz="0" w:space="0" w:color="auto"/>
            <w:left w:val="none" w:sz="0" w:space="0" w:color="auto"/>
            <w:bottom w:val="none" w:sz="0" w:space="0" w:color="auto"/>
            <w:right w:val="none" w:sz="0" w:space="0" w:color="auto"/>
          </w:divBdr>
        </w:div>
        <w:div w:id="1331448098">
          <w:marLeft w:val="0"/>
          <w:marRight w:val="0"/>
          <w:marTop w:val="0"/>
          <w:marBottom w:val="0"/>
          <w:divBdr>
            <w:top w:val="none" w:sz="0" w:space="0" w:color="auto"/>
            <w:left w:val="none" w:sz="0" w:space="0" w:color="auto"/>
            <w:bottom w:val="none" w:sz="0" w:space="0" w:color="auto"/>
            <w:right w:val="none" w:sz="0" w:space="0" w:color="auto"/>
          </w:divBdr>
        </w:div>
        <w:div w:id="1340619385">
          <w:marLeft w:val="0"/>
          <w:marRight w:val="0"/>
          <w:marTop w:val="0"/>
          <w:marBottom w:val="0"/>
          <w:divBdr>
            <w:top w:val="none" w:sz="0" w:space="0" w:color="auto"/>
            <w:left w:val="none" w:sz="0" w:space="0" w:color="auto"/>
            <w:bottom w:val="none" w:sz="0" w:space="0" w:color="auto"/>
            <w:right w:val="none" w:sz="0" w:space="0" w:color="auto"/>
          </w:divBdr>
        </w:div>
        <w:div w:id="1586106179">
          <w:marLeft w:val="0"/>
          <w:marRight w:val="0"/>
          <w:marTop w:val="0"/>
          <w:marBottom w:val="0"/>
          <w:divBdr>
            <w:top w:val="none" w:sz="0" w:space="0" w:color="auto"/>
            <w:left w:val="none" w:sz="0" w:space="0" w:color="auto"/>
            <w:bottom w:val="none" w:sz="0" w:space="0" w:color="auto"/>
            <w:right w:val="none" w:sz="0" w:space="0" w:color="auto"/>
          </w:divBdr>
        </w:div>
        <w:div w:id="1867793590">
          <w:marLeft w:val="0"/>
          <w:marRight w:val="0"/>
          <w:marTop w:val="0"/>
          <w:marBottom w:val="0"/>
          <w:divBdr>
            <w:top w:val="none" w:sz="0" w:space="0" w:color="auto"/>
            <w:left w:val="none" w:sz="0" w:space="0" w:color="auto"/>
            <w:bottom w:val="none" w:sz="0" w:space="0" w:color="auto"/>
            <w:right w:val="none" w:sz="0" w:space="0" w:color="auto"/>
          </w:divBdr>
        </w:div>
        <w:div w:id="2000842423">
          <w:marLeft w:val="0"/>
          <w:marRight w:val="0"/>
          <w:marTop w:val="0"/>
          <w:marBottom w:val="0"/>
          <w:divBdr>
            <w:top w:val="none" w:sz="0" w:space="0" w:color="auto"/>
            <w:left w:val="none" w:sz="0" w:space="0" w:color="auto"/>
            <w:bottom w:val="none" w:sz="0" w:space="0" w:color="auto"/>
            <w:right w:val="none" w:sz="0" w:space="0" w:color="auto"/>
          </w:divBdr>
        </w:div>
      </w:divsChild>
    </w:div>
    <w:div w:id="201599151">
      <w:bodyDiv w:val="1"/>
      <w:marLeft w:val="0"/>
      <w:marRight w:val="0"/>
      <w:marTop w:val="0"/>
      <w:marBottom w:val="0"/>
      <w:divBdr>
        <w:top w:val="none" w:sz="0" w:space="0" w:color="auto"/>
        <w:left w:val="none" w:sz="0" w:space="0" w:color="auto"/>
        <w:bottom w:val="none" w:sz="0" w:space="0" w:color="auto"/>
        <w:right w:val="none" w:sz="0" w:space="0" w:color="auto"/>
      </w:divBdr>
      <w:divsChild>
        <w:div w:id="1514295942">
          <w:marLeft w:val="0"/>
          <w:marRight w:val="0"/>
          <w:marTop w:val="0"/>
          <w:marBottom w:val="0"/>
          <w:divBdr>
            <w:top w:val="none" w:sz="0" w:space="0" w:color="auto"/>
            <w:left w:val="none" w:sz="0" w:space="0" w:color="auto"/>
            <w:bottom w:val="none" w:sz="0" w:space="0" w:color="auto"/>
            <w:right w:val="none" w:sz="0" w:space="0" w:color="auto"/>
          </w:divBdr>
        </w:div>
      </w:divsChild>
    </w:div>
    <w:div w:id="268902942">
      <w:bodyDiv w:val="1"/>
      <w:marLeft w:val="0"/>
      <w:marRight w:val="0"/>
      <w:marTop w:val="0"/>
      <w:marBottom w:val="0"/>
      <w:divBdr>
        <w:top w:val="none" w:sz="0" w:space="0" w:color="auto"/>
        <w:left w:val="none" w:sz="0" w:space="0" w:color="auto"/>
        <w:bottom w:val="none" w:sz="0" w:space="0" w:color="auto"/>
        <w:right w:val="none" w:sz="0" w:space="0" w:color="auto"/>
      </w:divBdr>
      <w:divsChild>
        <w:div w:id="144708666">
          <w:marLeft w:val="0"/>
          <w:marRight w:val="0"/>
          <w:marTop w:val="0"/>
          <w:marBottom w:val="0"/>
          <w:divBdr>
            <w:top w:val="none" w:sz="0" w:space="0" w:color="auto"/>
            <w:left w:val="none" w:sz="0" w:space="0" w:color="auto"/>
            <w:bottom w:val="none" w:sz="0" w:space="0" w:color="auto"/>
            <w:right w:val="none" w:sz="0" w:space="0" w:color="auto"/>
          </w:divBdr>
          <w:divsChild>
            <w:div w:id="792330670">
              <w:marLeft w:val="0"/>
              <w:marRight w:val="0"/>
              <w:marTop w:val="0"/>
              <w:marBottom w:val="0"/>
              <w:divBdr>
                <w:top w:val="none" w:sz="0" w:space="0" w:color="auto"/>
                <w:left w:val="none" w:sz="0" w:space="0" w:color="auto"/>
                <w:bottom w:val="none" w:sz="0" w:space="0" w:color="auto"/>
                <w:right w:val="none" w:sz="0" w:space="0" w:color="auto"/>
              </w:divBdr>
            </w:div>
            <w:div w:id="14468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2829">
      <w:bodyDiv w:val="1"/>
      <w:marLeft w:val="0"/>
      <w:marRight w:val="0"/>
      <w:marTop w:val="0"/>
      <w:marBottom w:val="0"/>
      <w:divBdr>
        <w:top w:val="none" w:sz="0" w:space="0" w:color="auto"/>
        <w:left w:val="none" w:sz="0" w:space="0" w:color="auto"/>
        <w:bottom w:val="none" w:sz="0" w:space="0" w:color="auto"/>
        <w:right w:val="none" w:sz="0" w:space="0" w:color="auto"/>
      </w:divBdr>
      <w:divsChild>
        <w:div w:id="2041927623">
          <w:marLeft w:val="0"/>
          <w:marRight w:val="0"/>
          <w:marTop w:val="0"/>
          <w:marBottom w:val="0"/>
          <w:divBdr>
            <w:top w:val="none" w:sz="0" w:space="0" w:color="auto"/>
            <w:left w:val="none" w:sz="0" w:space="0" w:color="auto"/>
            <w:bottom w:val="none" w:sz="0" w:space="0" w:color="auto"/>
            <w:right w:val="none" w:sz="0" w:space="0" w:color="auto"/>
          </w:divBdr>
        </w:div>
      </w:divsChild>
    </w:div>
    <w:div w:id="617569038">
      <w:bodyDiv w:val="1"/>
      <w:marLeft w:val="0"/>
      <w:marRight w:val="0"/>
      <w:marTop w:val="0"/>
      <w:marBottom w:val="0"/>
      <w:divBdr>
        <w:top w:val="none" w:sz="0" w:space="0" w:color="auto"/>
        <w:left w:val="none" w:sz="0" w:space="0" w:color="auto"/>
        <w:bottom w:val="none" w:sz="0" w:space="0" w:color="auto"/>
        <w:right w:val="none" w:sz="0" w:space="0" w:color="auto"/>
      </w:divBdr>
    </w:div>
    <w:div w:id="667053663">
      <w:bodyDiv w:val="1"/>
      <w:marLeft w:val="0"/>
      <w:marRight w:val="0"/>
      <w:marTop w:val="0"/>
      <w:marBottom w:val="0"/>
      <w:divBdr>
        <w:top w:val="none" w:sz="0" w:space="0" w:color="auto"/>
        <w:left w:val="none" w:sz="0" w:space="0" w:color="auto"/>
        <w:bottom w:val="none" w:sz="0" w:space="0" w:color="auto"/>
        <w:right w:val="none" w:sz="0" w:space="0" w:color="auto"/>
      </w:divBdr>
    </w:div>
    <w:div w:id="709232613">
      <w:bodyDiv w:val="1"/>
      <w:marLeft w:val="0"/>
      <w:marRight w:val="0"/>
      <w:marTop w:val="0"/>
      <w:marBottom w:val="0"/>
      <w:divBdr>
        <w:top w:val="none" w:sz="0" w:space="0" w:color="auto"/>
        <w:left w:val="none" w:sz="0" w:space="0" w:color="auto"/>
        <w:bottom w:val="none" w:sz="0" w:space="0" w:color="auto"/>
        <w:right w:val="none" w:sz="0" w:space="0" w:color="auto"/>
      </w:divBdr>
      <w:divsChild>
        <w:div w:id="124004322">
          <w:marLeft w:val="0"/>
          <w:marRight w:val="0"/>
          <w:marTop w:val="0"/>
          <w:marBottom w:val="0"/>
          <w:divBdr>
            <w:top w:val="none" w:sz="0" w:space="0" w:color="auto"/>
            <w:left w:val="none" w:sz="0" w:space="0" w:color="auto"/>
            <w:bottom w:val="none" w:sz="0" w:space="0" w:color="auto"/>
            <w:right w:val="none" w:sz="0" w:space="0" w:color="auto"/>
          </w:divBdr>
        </w:div>
        <w:div w:id="382995087">
          <w:marLeft w:val="0"/>
          <w:marRight w:val="0"/>
          <w:marTop w:val="0"/>
          <w:marBottom w:val="0"/>
          <w:divBdr>
            <w:top w:val="none" w:sz="0" w:space="0" w:color="auto"/>
            <w:left w:val="none" w:sz="0" w:space="0" w:color="auto"/>
            <w:bottom w:val="none" w:sz="0" w:space="0" w:color="auto"/>
            <w:right w:val="none" w:sz="0" w:space="0" w:color="auto"/>
          </w:divBdr>
        </w:div>
        <w:div w:id="439304482">
          <w:marLeft w:val="0"/>
          <w:marRight w:val="0"/>
          <w:marTop w:val="0"/>
          <w:marBottom w:val="0"/>
          <w:divBdr>
            <w:top w:val="none" w:sz="0" w:space="0" w:color="auto"/>
            <w:left w:val="none" w:sz="0" w:space="0" w:color="auto"/>
            <w:bottom w:val="none" w:sz="0" w:space="0" w:color="auto"/>
            <w:right w:val="none" w:sz="0" w:space="0" w:color="auto"/>
          </w:divBdr>
        </w:div>
        <w:div w:id="1150172631">
          <w:marLeft w:val="0"/>
          <w:marRight w:val="0"/>
          <w:marTop w:val="0"/>
          <w:marBottom w:val="0"/>
          <w:divBdr>
            <w:top w:val="none" w:sz="0" w:space="0" w:color="auto"/>
            <w:left w:val="none" w:sz="0" w:space="0" w:color="auto"/>
            <w:bottom w:val="none" w:sz="0" w:space="0" w:color="auto"/>
            <w:right w:val="none" w:sz="0" w:space="0" w:color="auto"/>
          </w:divBdr>
        </w:div>
        <w:div w:id="1188980529">
          <w:marLeft w:val="0"/>
          <w:marRight w:val="0"/>
          <w:marTop w:val="0"/>
          <w:marBottom w:val="0"/>
          <w:divBdr>
            <w:top w:val="none" w:sz="0" w:space="0" w:color="auto"/>
            <w:left w:val="none" w:sz="0" w:space="0" w:color="auto"/>
            <w:bottom w:val="none" w:sz="0" w:space="0" w:color="auto"/>
            <w:right w:val="none" w:sz="0" w:space="0" w:color="auto"/>
          </w:divBdr>
        </w:div>
        <w:div w:id="1350836575">
          <w:marLeft w:val="0"/>
          <w:marRight w:val="0"/>
          <w:marTop w:val="0"/>
          <w:marBottom w:val="0"/>
          <w:divBdr>
            <w:top w:val="none" w:sz="0" w:space="0" w:color="auto"/>
            <w:left w:val="none" w:sz="0" w:space="0" w:color="auto"/>
            <w:bottom w:val="none" w:sz="0" w:space="0" w:color="auto"/>
            <w:right w:val="none" w:sz="0" w:space="0" w:color="auto"/>
          </w:divBdr>
        </w:div>
        <w:div w:id="1851530892">
          <w:marLeft w:val="0"/>
          <w:marRight w:val="0"/>
          <w:marTop w:val="0"/>
          <w:marBottom w:val="0"/>
          <w:divBdr>
            <w:top w:val="none" w:sz="0" w:space="0" w:color="auto"/>
            <w:left w:val="none" w:sz="0" w:space="0" w:color="auto"/>
            <w:bottom w:val="none" w:sz="0" w:space="0" w:color="auto"/>
            <w:right w:val="none" w:sz="0" w:space="0" w:color="auto"/>
          </w:divBdr>
        </w:div>
        <w:div w:id="1994483513">
          <w:marLeft w:val="0"/>
          <w:marRight w:val="0"/>
          <w:marTop w:val="0"/>
          <w:marBottom w:val="0"/>
          <w:divBdr>
            <w:top w:val="none" w:sz="0" w:space="0" w:color="auto"/>
            <w:left w:val="none" w:sz="0" w:space="0" w:color="auto"/>
            <w:bottom w:val="none" w:sz="0" w:space="0" w:color="auto"/>
            <w:right w:val="none" w:sz="0" w:space="0" w:color="auto"/>
          </w:divBdr>
        </w:div>
      </w:divsChild>
    </w:div>
    <w:div w:id="985626639">
      <w:bodyDiv w:val="1"/>
      <w:marLeft w:val="0"/>
      <w:marRight w:val="0"/>
      <w:marTop w:val="0"/>
      <w:marBottom w:val="0"/>
      <w:divBdr>
        <w:top w:val="none" w:sz="0" w:space="0" w:color="auto"/>
        <w:left w:val="none" w:sz="0" w:space="0" w:color="auto"/>
        <w:bottom w:val="none" w:sz="0" w:space="0" w:color="auto"/>
        <w:right w:val="none" w:sz="0" w:space="0" w:color="auto"/>
      </w:divBdr>
    </w:div>
    <w:div w:id="1097553424">
      <w:bodyDiv w:val="1"/>
      <w:marLeft w:val="0"/>
      <w:marRight w:val="0"/>
      <w:marTop w:val="0"/>
      <w:marBottom w:val="0"/>
      <w:divBdr>
        <w:top w:val="none" w:sz="0" w:space="0" w:color="auto"/>
        <w:left w:val="none" w:sz="0" w:space="0" w:color="auto"/>
        <w:bottom w:val="none" w:sz="0" w:space="0" w:color="auto"/>
        <w:right w:val="none" w:sz="0" w:space="0" w:color="auto"/>
      </w:divBdr>
      <w:divsChild>
        <w:div w:id="2030330722">
          <w:marLeft w:val="0"/>
          <w:marRight w:val="0"/>
          <w:marTop w:val="0"/>
          <w:marBottom w:val="0"/>
          <w:divBdr>
            <w:top w:val="none" w:sz="0" w:space="0" w:color="auto"/>
            <w:left w:val="none" w:sz="0" w:space="0" w:color="auto"/>
            <w:bottom w:val="none" w:sz="0" w:space="0" w:color="auto"/>
            <w:right w:val="none" w:sz="0" w:space="0" w:color="auto"/>
          </w:divBdr>
        </w:div>
      </w:divsChild>
    </w:div>
    <w:div w:id="1104376376">
      <w:bodyDiv w:val="1"/>
      <w:marLeft w:val="0"/>
      <w:marRight w:val="0"/>
      <w:marTop w:val="0"/>
      <w:marBottom w:val="0"/>
      <w:divBdr>
        <w:top w:val="none" w:sz="0" w:space="0" w:color="auto"/>
        <w:left w:val="none" w:sz="0" w:space="0" w:color="auto"/>
        <w:bottom w:val="none" w:sz="0" w:space="0" w:color="auto"/>
        <w:right w:val="none" w:sz="0" w:space="0" w:color="auto"/>
      </w:divBdr>
    </w:div>
    <w:div w:id="1195002216">
      <w:bodyDiv w:val="1"/>
      <w:marLeft w:val="0"/>
      <w:marRight w:val="0"/>
      <w:marTop w:val="0"/>
      <w:marBottom w:val="0"/>
      <w:divBdr>
        <w:top w:val="none" w:sz="0" w:space="0" w:color="auto"/>
        <w:left w:val="none" w:sz="0" w:space="0" w:color="auto"/>
        <w:bottom w:val="none" w:sz="0" w:space="0" w:color="auto"/>
        <w:right w:val="none" w:sz="0" w:space="0" w:color="auto"/>
      </w:divBdr>
      <w:divsChild>
        <w:div w:id="25912779">
          <w:marLeft w:val="0"/>
          <w:marRight w:val="0"/>
          <w:marTop w:val="0"/>
          <w:marBottom w:val="0"/>
          <w:divBdr>
            <w:top w:val="none" w:sz="0" w:space="0" w:color="auto"/>
            <w:left w:val="none" w:sz="0" w:space="0" w:color="auto"/>
            <w:bottom w:val="none" w:sz="0" w:space="0" w:color="auto"/>
            <w:right w:val="none" w:sz="0" w:space="0" w:color="auto"/>
          </w:divBdr>
        </w:div>
        <w:div w:id="63837449">
          <w:marLeft w:val="0"/>
          <w:marRight w:val="0"/>
          <w:marTop w:val="0"/>
          <w:marBottom w:val="0"/>
          <w:divBdr>
            <w:top w:val="none" w:sz="0" w:space="0" w:color="auto"/>
            <w:left w:val="none" w:sz="0" w:space="0" w:color="auto"/>
            <w:bottom w:val="none" w:sz="0" w:space="0" w:color="auto"/>
            <w:right w:val="none" w:sz="0" w:space="0" w:color="auto"/>
          </w:divBdr>
        </w:div>
        <w:div w:id="162092948">
          <w:marLeft w:val="0"/>
          <w:marRight w:val="0"/>
          <w:marTop w:val="0"/>
          <w:marBottom w:val="0"/>
          <w:divBdr>
            <w:top w:val="none" w:sz="0" w:space="0" w:color="auto"/>
            <w:left w:val="none" w:sz="0" w:space="0" w:color="auto"/>
            <w:bottom w:val="none" w:sz="0" w:space="0" w:color="auto"/>
            <w:right w:val="none" w:sz="0" w:space="0" w:color="auto"/>
          </w:divBdr>
        </w:div>
        <w:div w:id="201407836">
          <w:marLeft w:val="0"/>
          <w:marRight w:val="0"/>
          <w:marTop w:val="0"/>
          <w:marBottom w:val="0"/>
          <w:divBdr>
            <w:top w:val="none" w:sz="0" w:space="0" w:color="auto"/>
            <w:left w:val="none" w:sz="0" w:space="0" w:color="auto"/>
            <w:bottom w:val="none" w:sz="0" w:space="0" w:color="auto"/>
            <w:right w:val="none" w:sz="0" w:space="0" w:color="auto"/>
          </w:divBdr>
        </w:div>
        <w:div w:id="202447074">
          <w:marLeft w:val="0"/>
          <w:marRight w:val="0"/>
          <w:marTop w:val="0"/>
          <w:marBottom w:val="0"/>
          <w:divBdr>
            <w:top w:val="none" w:sz="0" w:space="0" w:color="auto"/>
            <w:left w:val="none" w:sz="0" w:space="0" w:color="auto"/>
            <w:bottom w:val="none" w:sz="0" w:space="0" w:color="auto"/>
            <w:right w:val="none" w:sz="0" w:space="0" w:color="auto"/>
          </w:divBdr>
        </w:div>
        <w:div w:id="447547366">
          <w:marLeft w:val="0"/>
          <w:marRight w:val="0"/>
          <w:marTop w:val="0"/>
          <w:marBottom w:val="0"/>
          <w:divBdr>
            <w:top w:val="none" w:sz="0" w:space="0" w:color="auto"/>
            <w:left w:val="none" w:sz="0" w:space="0" w:color="auto"/>
            <w:bottom w:val="none" w:sz="0" w:space="0" w:color="auto"/>
            <w:right w:val="none" w:sz="0" w:space="0" w:color="auto"/>
          </w:divBdr>
        </w:div>
        <w:div w:id="856189401">
          <w:marLeft w:val="0"/>
          <w:marRight w:val="0"/>
          <w:marTop w:val="0"/>
          <w:marBottom w:val="0"/>
          <w:divBdr>
            <w:top w:val="none" w:sz="0" w:space="0" w:color="auto"/>
            <w:left w:val="none" w:sz="0" w:space="0" w:color="auto"/>
            <w:bottom w:val="none" w:sz="0" w:space="0" w:color="auto"/>
            <w:right w:val="none" w:sz="0" w:space="0" w:color="auto"/>
          </w:divBdr>
        </w:div>
        <w:div w:id="882324641">
          <w:marLeft w:val="0"/>
          <w:marRight w:val="0"/>
          <w:marTop w:val="0"/>
          <w:marBottom w:val="0"/>
          <w:divBdr>
            <w:top w:val="none" w:sz="0" w:space="0" w:color="auto"/>
            <w:left w:val="none" w:sz="0" w:space="0" w:color="auto"/>
            <w:bottom w:val="none" w:sz="0" w:space="0" w:color="auto"/>
            <w:right w:val="none" w:sz="0" w:space="0" w:color="auto"/>
          </w:divBdr>
        </w:div>
        <w:div w:id="1394355748">
          <w:marLeft w:val="0"/>
          <w:marRight w:val="0"/>
          <w:marTop w:val="0"/>
          <w:marBottom w:val="0"/>
          <w:divBdr>
            <w:top w:val="none" w:sz="0" w:space="0" w:color="auto"/>
            <w:left w:val="none" w:sz="0" w:space="0" w:color="auto"/>
            <w:bottom w:val="none" w:sz="0" w:space="0" w:color="auto"/>
            <w:right w:val="none" w:sz="0" w:space="0" w:color="auto"/>
          </w:divBdr>
        </w:div>
        <w:div w:id="1565749646">
          <w:marLeft w:val="0"/>
          <w:marRight w:val="0"/>
          <w:marTop w:val="0"/>
          <w:marBottom w:val="0"/>
          <w:divBdr>
            <w:top w:val="none" w:sz="0" w:space="0" w:color="auto"/>
            <w:left w:val="none" w:sz="0" w:space="0" w:color="auto"/>
            <w:bottom w:val="none" w:sz="0" w:space="0" w:color="auto"/>
            <w:right w:val="none" w:sz="0" w:space="0" w:color="auto"/>
          </w:divBdr>
        </w:div>
        <w:div w:id="1962152123">
          <w:marLeft w:val="0"/>
          <w:marRight w:val="0"/>
          <w:marTop w:val="0"/>
          <w:marBottom w:val="0"/>
          <w:divBdr>
            <w:top w:val="none" w:sz="0" w:space="0" w:color="auto"/>
            <w:left w:val="none" w:sz="0" w:space="0" w:color="auto"/>
            <w:bottom w:val="none" w:sz="0" w:space="0" w:color="auto"/>
            <w:right w:val="none" w:sz="0" w:space="0" w:color="auto"/>
          </w:divBdr>
        </w:div>
        <w:div w:id="2100562180">
          <w:marLeft w:val="0"/>
          <w:marRight w:val="0"/>
          <w:marTop w:val="0"/>
          <w:marBottom w:val="0"/>
          <w:divBdr>
            <w:top w:val="none" w:sz="0" w:space="0" w:color="auto"/>
            <w:left w:val="none" w:sz="0" w:space="0" w:color="auto"/>
            <w:bottom w:val="none" w:sz="0" w:space="0" w:color="auto"/>
            <w:right w:val="none" w:sz="0" w:space="0" w:color="auto"/>
          </w:divBdr>
        </w:div>
      </w:divsChild>
    </w:div>
    <w:div w:id="1284121033">
      <w:bodyDiv w:val="1"/>
      <w:marLeft w:val="0"/>
      <w:marRight w:val="0"/>
      <w:marTop w:val="0"/>
      <w:marBottom w:val="0"/>
      <w:divBdr>
        <w:top w:val="none" w:sz="0" w:space="0" w:color="auto"/>
        <w:left w:val="none" w:sz="0" w:space="0" w:color="auto"/>
        <w:bottom w:val="none" w:sz="0" w:space="0" w:color="auto"/>
        <w:right w:val="none" w:sz="0" w:space="0" w:color="auto"/>
      </w:divBdr>
      <w:divsChild>
        <w:div w:id="966203075">
          <w:marLeft w:val="0"/>
          <w:marRight w:val="0"/>
          <w:marTop w:val="0"/>
          <w:marBottom w:val="0"/>
          <w:divBdr>
            <w:top w:val="none" w:sz="0" w:space="0" w:color="auto"/>
            <w:left w:val="none" w:sz="0" w:space="0" w:color="auto"/>
            <w:bottom w:val="none" w:sz="0" w:space="0" w:color="auto"/>
            <w:right w:val="none" w:sz="0" w:space="0" w:color="auto"/>
          </w:divBdr>
        </w:div>
        <w:div w:id="1183009959">
          <w:marLeft w:val="0"/>
          <w:marRight w:val="0"/>
          <w:marTop w:val="0"/>
          <w:marBottom w:val="0"/>
          <w:divBdr>
            <w:top w:val="none" w:sz="0" w:space="0" w:color="auto"/>
            <w:left w:val="none" w:sz="0" w:space="0" w:color="auto"/>
            <w:bottom w:val="none" w:sz="0" w:space="0" w:color="auto"/>
            <w:right w:val="none" w:sz="0" w:space="0" w:color="auto"/>
          </w:divBdr>
        </w:div>
        <w:div w:id="1397509354">
          <w:marLeft w:val="0"/>
          <w:marRight w:val="0"/>
          <w:marTop w:val="0"/>
          <w:marBottom w:val="0"/>
          <w:divBdr>
            <w:top w:val="none" w:sz="0" w:space="0" w:color="auto"/>
            <w:left w:val="none" w:sz="0" w:space="0" w:color="auto"/>
            <w:bottom w:val="none" w:sz="0" w:space="0" w:color="auto"/>
            <w:right w:val="none" w:sz="0" w:space="0" w:color="auto"/>
          </w:divBdr>
        </w:div>
      </w:divsChild>
    </w:div>
    <w:div w:id="1407914797">
      <w:bodyDiv w:val="1"/>
      <w:marLeft w:val="0"/>
      <w:marRight w:val="0"/>
      <w:marTop w:val="0"/>
      <w:marBottom w:val="0"/>
      <w:divBdr>
        <w:top w:val="none" w:sz="0" w:space="0" w:color="auto"/>
        <w:left w:val="none" w:sz="0" w:space="0" w:color="auto"/>
        <w:bottom w:val="none" w:sz="0" w:space="0" w:color="auto"/>
        <w:right w:val="none" w:sz="0" w:space="0" w:color="auto"/>
      </w:divBdr>
    </w:div>
    <w:div w:id="1452479641">
      <w:bodyDiv w:val="1"/>
      <w:marLeft w:val="0"/>
      <w:marRight w:val="0"/>
      <w:marTop w:val="0"/>
      <w:marBottom w:val="0"/>
      <w:divBdr>
        <w:top w:val="none" w:sz="0" w:space="0" w:color="auto"/>
        <w:left w:val="none" w:sz="0" w:space="0" w:color="auto"/>
        <w:bottom w:val="none" w:sz="0" w:space="0" w:color="auto"/>
        <w:right w:val="none" w:sz="0" w:space="0" w:color="auto"/>
      </w:divBdr>
    </w:div>
    <w:div w:id="1467241863">
      <w:bodyDiv w:val="1"/>
      <w:marLeft w:val="0"/>
      <w:marRight w:val="0"/>
      <w:marTop w:val="0"/>
      <w:marBottom w:val="0"/>
      <w:divBdr>
        <w:top w:val="none" w:sz="0" w:space="0" w:color="auto"/>
        <w:left w:val="none" w:sz="0" w:space="0" w:color="auto"/>
        <w:bottom w:val="none" w:sz="0" w:space="0" w:color="auto"/>
        <w:right w:val="none" w:sz="0" w:space="0" w:color="auto"/>
      </w:divBdr>
      <w:divsChild>
        <w:div w:id="391006832">
          <w:marLeft w:val="0"/>
          <w:marRight w:val="0"/>
          <w:marTop w:val="0"/>
          <w:marBottom w:val="0"/>
          <w:divBdr>
            <w:top w:val="none" w:sz="0" w:space="0" w:color="auto"/>
            <w:left w:val="none" w:sz="0" w:space="0" w:color="auto"/>
            <w:bottom w:val="none" w:sz="0" w:space="0" w:color="auto"/>
            <w:right w:val="none" w:sz="0" w:space="0" w:color="auto"/>
          </w:divBdr>
        </w:div>
        <w:div w:id="491987239">
          <w:marLeft w:val="0"/>
          <w:marRight w:val="0"/>
          <w:marTop w:val="0"/>
          <w:marBottom w:val="0"/>
          <w:divBdr>
            <w:top w:val="none" w:sz="0" w:space="0" w:color="auto"/>
            <w:left w:val="none" w:sz="0" w:space="0" w:color="auto"/>
            <w:bottom w:val="none" w:sz="0" w:space="0" w:color="auto"/>
            <w:right w:val="none" w:sz="0" w:space="0" w:color="auto"/>
          </w:divBdr>
        </w:div>
        <w:div w:id="999885357">
          <w:marLeft w:val="0"/>
          <w:marRight w:val="0"/>
          <w:marTop w:val="0"/>
          <w:marBottom w:val="0"/>
          <w:divBdr>
            <w:top w:val="none" w:sz="0" w:space="0" w:color="auto"/>
            <w:left w:val="none" w:sz="0" w:space="0" w:color="auto"/>
            <w:bottom w:val="none" w:sz="0" w:space="0" w:color="auto"/>
            <w:right w:val="none" w:sz="0" w:space="0" w:color="auto"/>
          </w:divBdr>
        </w:div>
        <w:div w:id="1563442601">
          <w:marLeft w:val="0"/>
          <w:marRight w:val="0"/>
          <w:marTop w:val="0"/>
          <w:marBottom w:val="0"/>
          <w:divBdr>
            <w:top w:val="none" w:sz="0" w:space="0" w:color="auto"/>
            <w:left w:val="none" w:sz="0" w:space="0" w:color="auto"/>
            <w:bottom w:val="none" w:sz="0" w:space="0" w:color="auto"/>
            <w:right w:val="none" w:sz="0" w:space="0" w:color="auto"/>
          </w:divBdr>
        </w:div>
        <w:div w:id="1604075608">
          <w:marLeft w:val="0"/>
          <w:marRight w:val="0"/>
          <w:marTop w:val="0"/>
          <w:marBottom w:val="0"/>
          <w:divBdr>
            <w:top w:val="none" w:sz="0" w:space="0" w:color="auto"/>
            <w:left w:val="none" w:sz="0" w:space="0" w:color="auto"/>
            <w:bottom w:val="none" w:sz="0" w:space="0" w:color="auto"/>
            <w:right w:val="none" w:sz="0" w:space="0" w:color="auto"/>
          </w:divBdr>
        </w:div>
        <w:div w:id="1662155386">
          <w:marLeft w:val="0"/>
          <w:marRight w:val="0"/>
          <w:marTop w:val="0"/>
          <w:marBottom w:val="0"/>
          <w:divBdr>
            <w:top w:val="none" w:sz="0" w:space="0" w:color="auto"/>
            <w:left w:val="none" w:sz="0" w:space="0" w:color="auto"/>
            <w:bottom w:val="none" w:sz="0" w:space="0" w:color="auto"/>
            <w:right w:val="none" w:sz="0" w:space="0" w:color="auto"/>
          </w:divBdr>
        </w:div>
      </w:divsChild>
    </w:div>
    <w:div w:id="1520462856">
      <w:bodyDiv w:val="1"/>
      <w:marLeft w:val="0"/>
      <w:marRight w:val="0"/>
      <w:marTop w:val="0"/>
      <w:marBottom w:val="0"/>
      <w:divBdr>
        <w:top w:val="none" w:sz="0" w:space="0" w:color="auto"/>
        <w:left w:val="none" w:sz="0" w:space="0" w:color="auto"/>
        <w:bottom w:val="none" w:sz="0" w:space="0" w:color="auto"/>
        <w:right w:val="none" w:sz="0" w:space="0" w:color="auto"/>
      </w:divBdr>
      <w:divsChild>
        <w:div w:id="903445825">
          <w:marLeft w:val="0"/>
          <w:marRight w:val="0"/>
          <w:marTop w:val="0"/>
          <w:marBottom w:val="0"/>
          <w:divBdr>
            <w:top w:val="none" w:sz="0" w:space="0" w:color="auto"/>
            <w:left w:val="none" w:sz="0" w:space="0" w:color="auto"/>
            <w:bottom w:val="none" w:sz="0" w:space="0" w:color="auto"/>
            <w:right w:val="none" w:sz="0" w:space="0" w:color="auto"/>
          </w:divBdr>
        </w:div>
      </w:divsChild>
    </w:div>
    <w:div w:id="1545436629">
      <w:bodyDiv w:val="1"/>
      <w:marLeft w:val="0"/>
      <w:marRight w:val="0"/>
      <w:marTop w:val="0"/>
      <w:marBottom w:val="0"/>
      <w:divBdr>
        <w:top w:val="none" w:sz="0" w:space="0" w:color="auto"/>
        <w:left w:val="none" w:sz="0" w:space="0" w:color="auto"/>
        <w:bottom w:val="none" w:sz="0" w:space="0" w:color="auto"/>
        <w:right w:val="none" w:sz="0" w:space="0" w:color="auto"/>
      </w:divBdr>
      <w:divsChild>
        <w:div w:id="91241110">
          <w:marLeft w:val="0"/>
          <w:marRight w:val="0"/>
          <w:marTop w:val="0"/>
          <w:marBottom w:val="0"/>
          <w:divBdr>
            <w:top w:val="none" w:sz="0" w:space="0" w:color="auto"/>
            <w:left w:val="none" w:sz="0" w:space="0" w:color="auto"/>
            <w:bottom w:val="none" w:sz="0" w:space="0" w:color="auto"/>
            <w:right w:val="none" w:sz="0" w:space="0" w:color="auto"/>
          </w:divBdr>
        </w:div>
        <w:div w:id="101195965">
          <w:marLeft w:val="0"/>
          <w:marRight w:val="0"/>
          <w:marTop w:val="0"/>
          <w:marBottom w:val="0"/>
          <w:divBdr>
            <w:top w:val="none" w:sz="0" w:space="0" w:color="auto"/>
            <w:left w:val="none" w:sz="0" w:space="0" w:color="auto"/>
            <w:bottom w:val="none" w:sz="0" w:space="0" w:color="auto"/>
            <w:right w:val="none" w:sz="0" w:space="0" w:color="auto"/>
          </w:divBdr>
        </w:div>
        <w:div w:id="193200941">
          <w:marLeft w:val="0"/>
          <w:marRight w:val="0"/>
          <w:marTop w:val="0"/>
          <w:marBottom w:val="0"/>
          <w:divBdr>
            <w:top w:val="none" w:sz="0" w:space="0" w:color="auto"/>
            <w:left w:val="none" w:sz="0" w:space="0" w:color="auto"/>
            <w:bottom w:val="none" w:sz="0" w:space="0" w:color="auto"/>
            <w:right w:val="none" w:sz="0" w:space="0" w:color="auto"/>
          </w:divBdr>
        </w:div>
        <w:div w:id="549802736">
          <w:marLeft w:val="0"/>
          <w:marRight w:val="0"/>
          <w:marTop w:val="0"/>
          <w:marBottom w:val="0"/>
          <w:divBdr>
            <w:top w:val="none" w:sz="0" w:space="0" w:color="auto"/>
            <w:left w:val="none" w:sz="0" w:space="0" w:color="auto"/>
            <w:bottom w:val="none" w:sz="0" w:space="0" w:color="auto"/>
            <w:right w:val="none" w:sz="0" w:space="0" w:color="auto"/>
          </w:divBdr>
        </w:div>
        <w:div w:id="1486553932">
          <w:marLeft w:val="0"/>
          <w:marRight w:val="0"/>
          <w:marTop w:val="0"/>
          <w:marBottom w:val="0"/>
          <w:divBdr>
            <w:top w:val="none" w:sz="0" w:space="0" w:color="auto"/>
            <w:left w:val="none" w:sz="0" w:space="0" w:color="auto"/>
            <w:bottom w:val="none" w:sz="0" w:space="0" w:color="auto"/>
            <w:right w:val="none" w:sz="0" w:space="0" w:color="auto"/>
          </w:divBdr>
        </w:div>
        <w:div w:id="1653294200">
          <w:marLeft w:val="0"/>
          <w:marRight w:val="0"/>
          <w:marTop w:val="0"/>
          <w:marBottom w:val="0"/>
          <w:divBdr>
            <w:top w:val="none" w:sz="0" w:space="0" w:color="auto"/>
            <w:left w:val="none" w:sz="0" w:space="0" w:color="auto"/>
            <w:bottom w:val="none" w:sz="0" w:space="0" w:color="auto"/>
            <w:right w:val="none" w:sz="0" w:space="0" w:color="auto"/>
          </w:divBdr>
        </w:div>
        <w:div w:id="1746604967">
          <w:marLeft w:val="0"/>
          <w:marRight w:val="0"/>
          <w:marTop w:val="0"/>
          <w:marBottom w:val="0"/>
          <w:divBdr>
            <w:top w:val="none" w:sz="0" w:space="0" w:color="auto"/>
            <w:left w:val="none" w:sz="0" w:space="0" w:color="auto"/>
            <w:bottom w:val="none" w:sz="0" w:space="0" w:color="auto"/>
            <w:right w:val="none" w:sz="0" w:space="0" w:color="auto"/>
          </w:divBdr>
        </w:div>
        <w:div w:id="1959606505">
          <w:marLeft w:val="0"/>
          <w:marRight w:val="0"/>
          <w:marTop w:val="0"/>
          <w:marBottom w:val="0"/>
          <w:divBdr>
            <w:top w:val="none" w:sz="0" w:space="0" w:color="auto"/>
            <w:left w:val="none" w:sz="0" w:space="0" w:color="auto"/>
            <w:bottom w:val="none" w:sz="0" w:space="0" w:color="auto"/>
            <w:right w:val="none" w:sz="0" w:space="0" w:color="auto"/>
          </w:divBdr>
        </w:div>
        <w:div w:id="2011248874">
          <w:marLeft w:val="0"/>
          <w:marRight w:val="0"/>
          <w:marTop w:val="0"/>
          <w:marBottom w:val="0"/>
          <w:divBdr>
            <w:top w:val="none" w:sz="0" w:space="0" w:color="auto"/>
            <w:left w:val="none" w:sz="0" w:space="0" w:color="auto"/>
            <w:bottom w:val="none" w:sz="0" w:space="0" w:color="auto"/>
            <w:right w:val="none" w:sz="0" w:space="0" w:color="auto"/>
          </w:divBdr>
        </w:div>
      </w:divsChild>
    </w:div>
    <w:div w:id="1675256570">
      <w:bodyDiv w:val="1"/>
      <w:marLeft w:val="0"/>
      <w:marRight w:val="0"/>
      <w:marTop w:val="0"/>
      <w:marBottom w:val="0"/>
      <w:divBdr>
        <w:top w:val="none" w:sz="0" w:space="0" w:color="auto"/>
        <w:left w:val="none" w:sz="0" w:space="0" w:color="auto"/>
        <w:bottom w:val="none" w:sz="0" w:space="0" w:color="auto"/>
        <w:right w:val="none" w:sz="0" w:space="0" w:color="auto"/>
      </w:divBdr>
    </w:div>
    <w:div w:id="1712994763">
      <w:bodyDiv w:val="1"/>
      <w:marLeft w:val="0"/>
      <w:marRight w:val="0"/>
      <w:marTop w:val="0"/>
      <w:marBottom w:val="0"/>
      <w:divBdr>
        <w:top w:val="none" w:sz="0" w:space="0" w:color="auto"/>
        <w:left w:val="none" w:sz="0" w:space="0" w:color="auto"/>
        <w:bottom w:val="none" w:sz="0" w:space="0" w:color="auto"/>
        <w:right w:val="none" w:sz="0" w:space="0" w:color="auto"/>
      </w:divBdr>
    </w:div>
    <w:div w:id="1829326069">
      <w:bodyDiv w:val="1"/>
      <w:marLeft w:val="0"/>
      <w:marRight w:val="0"/>
      <w:marTop w:val="0"/>
      <w:marBottom w:val="0"/>
      <w:divBdr>
        <w:top w:val="none" w:sz="0" w:space="0" w:color="auto"/>
        <w:left w:val="none" w:sz="0" w:space="0" w:color="auto"/>
        <w:bottom w:val="none" w:sz="0" w:space="0" w:color="auto"/>
        <w:right w:val="none" w:sz="0" w:space="0" w:color="auto"/>
      </w:divBdr>
      <w:divsChild>
        <w:div w:id="202838189">
          <w:marLeft w:val="0"/>
          <w:marRight w:val="0"/>
          <w:marTop w:val="0"/>
          <w:marBottom w:val="0"/>
          <w:divBdr>
            <w:top w:val="none" w:sz="0" w:space="0" w:color="auto"/>
            <w:left w:val="none" w:sz="0" w:space="0" w:color="auto"/>
            <w:bottom w:val="none" w:sz="0" w:space="0" w:color="auto"/>
            <w:right w:val="none" w:sz="0" w:space="0" w:color="auto"/>
          </w:divBdr>
        </w:div>
        <w:div w:id="333460890">
          <w:marLeft w:val="0"/>
          <w:marRight w:val="0"/>
          <w:marTop w:val="0"/>
          <w:marBottom w:val="0"/>
          <w:divBdr>
            <w:top w:val="none" w:sz="0" w:space="0" w:color="auto"/>
            <w:left w:val="none" w:sz="0" w:space="0" w:color="auto"/>
            <w:bottom w:val="none" w:sz="0" w:space="0" w:color="auto"/>
            <w:right w:val="none" w:sz="0" w:space="0" w:color="auto"/>
          </w:divBdr>
        </w:div>
        <w:div w:id="412943616">
          <w:marLeft w:val="0"/>
          <w:marRight w:val="0"/>
          <w:marTop w:val="0"/>
          <w:marBottom w:val="0"/>
          <w:divBdr>
            <w:top w:val="none" w:sz="0" w:space="0" w:color="auto"/>
            <w:left w:val="none" w:sz="0" w:space="0" w:color="auto"/>
            <w:bottom w:val="none" w:sz="0" w:space="0" w:color="auto"/>
            <w:right w:val="none" w:sz="0" w:space="0" w:color="auto"/>
          </w:divBdr>
        </w:div>
        <w:div w:id="759374717">
          <w:marLeft w:val="0"/>
          <w:marRight w:val="0"/>
          <w:marTop w:val="0"/>
          <w:marBottom w:val="0"/>
          <w:divBdr>
            <w:top w:val="none" w:sz="0" w:space="0" w:color="auto"/>
            <w:left w:val="none" w:sz="0" w:space="0" w:color="auto"/>
            <w:bottom w:val="none" w:sz="0" w:space="0" w:color="auto"/>
            <w:right w:val="none" w:sz="0" w:space="0" w:color="auto"/>
          </w:divBdr>
        </w:div>
        <w:div w:id="886649350">
          <w:marLeft w:val="0"/>
          <w:marRight w:val="0"/>
          <w:marTop w:val="0"/>
          <w:marBottom w:val="0"/>
          <w:divBdr>
            <w:top w:val="none" w:sz="0" w:space="0" w:color="auto"/>
            <w:left w:val="none" w:sz="0" w:space="0" w:color="auto"/>
            <w:bottom w:val="none" w:sz="0" w:space="0" w:color="auto"/>
            <w:right w:val="none" w:sz="0" w:space="0" w:color="auto"/>
          </w:divBdr>
        </w:div>
        <w:div w:id="1134710246">
          <w:marLeft w:val="0"/>
          <w:marRight w:val="0"/>
          <w:marTop w:val="0"/>
          <w:marBottom w:val="0"/>
          <w:divBdr>
            <w:top w:val="none" w:sz="0" w:space="0" w:color="auto"/>
            <w:left w:val="none" w:sz="0" w:space="0" w:color="auto"/>
            <w:bottom w:val="none" w:sz="0" w:space="0" w:color="auto"/>
            <w:right w:val="none" w:sz="0" w:space="0" w:color="auto"/>
          </w:divBdr>
        </w:div>
        <w:div w:id="1427261653">
          <w:marLeft w:val="0"/>
          <w:marRight w:val="0"/>
          <w:marTop w:val="0"/>
          <w:marBottom w:val="0"/>
          <w:divBdr>
            <w:top w:val="none" w:sz="0" w:space="0" w:color="auto"/>
            <w:left w:val="none" w:sz="0" w:space="0" w:color="auto"/>
            <w:bottom w:val="none" w:sz="0" w:space="0" w:color="auto"/>
            <w:right w:val="none" w:sz="0" w:space="0" w:color="auto"/>
          </w:divBdr>
        </w:div>
        <w:div w:id="1507136730">
          <w:marLeft w:val="0"/>
          <w:marRight w:val="0"/>
          <w:marTop w:val="0"/>
          <w:marBottom w:val="0"/>
          <w:divBdr>
            <w:top w:val="none" w:sz="0" w:space="0" w:color="auto"/>
            <w:left w:val="none" w:sz="0" w:space="0" w:color="auto"/>
            <w:bottom w:val="none" w:sz="0" w:space="0" w:color="auto"/>
            <w:right w:val="none" w:sz="0" w:space="0" w:color="auto"/>
          </w:divBdr>
        </w:div>
        <w:div w:id="1969166487">
          <w:marLeft w:val="0"/>
          <w:marRight w:val="0"/>
          <w:marTop w:val="0"/>
          <w:marBottom w:val="0"/>
          <w:divBdr>
            <w:top w:val="none" w:sz="0" w:space="0" w:color="auto"/>
            <w:left w:val="none" w:sz="0" w:space="0" w:color="auto"/>
            <w:bottom w:val="none" w:sz="0" w:space="0" w:color="auto"/>
            <w:right w:val="none" w:sz="0" w:space="0" w:color="auto"/>
          </w:divBdr>
        </w:div>
        <w:div w:id="1971085657">
          <w:marLeft w:val="0"/>
          <w:marRight w:val="0"/>
          <w:marTop w:val="0"/>
          <w:marBottom w:val="0"/>
          <w:divBdr>
            <w:top w:val="none" w:sz="0" w:space="0" w:color="auto"/>
            <w:left w:val="none" w:sz="0" w:space="0" w:color="auto"/>
            <w:bottom w:val="none" w:sz="0" w:space="0" w:color="auto"/>
            <w:right w:val="none" w:sz="0" w:space="0" w:color="auto"/>
          </w:divBdr>
        </w:div>
      </w:divsChild>
    </w:div>
    <w:div w:id="1868635871">
      <w:bodyDiv w:val="1"/>
      <w:marLeft w:val="0"/>
      <w:marRight w:val="0"/>
      <w:marTop w:val="0"/>
      <w:marBottom w:val="0"/>
      <w:divBdr>
        <w:top w:val="none" w:sz="0" w:space="0" w:color="auto"/>
        <w:left w:val="none" w:sz="0" w:space="0" w:color="auto"/>
        <w:bottom w:val="none" w:sz="0" w:space="0" w:color="auto"/>
        <w:right w:val="none" w:sz="0" w:space="0" w:color="auto"/>
      </w:divBdr>
    </w:div>
    <w:div w:id="1934631249">
      <w:bodyDiv w:val="1"/>
      <w:marLeft w:val="0"/>
      <w:marRight w:val="0"/>
      <w:marTop w:val="0"/>
      <w:marBottom w:val="0"/>
      <w:divBdr>
        <w:top w:val="none" w:sz="0" w:space="0" w:color="auto"/>
        <w:left w:val="none" w:sz="0" w:space="0" w:color="auto"/>
        <w:bottom w:val="none" w:sz="0" w:space="0" w:color="auto"/>
        <w:right w:val="none" w:sz="0" w:space="0" w:color="auto"/>
      </w:divBdr>
      <w:divsChild>
        <w:div w:id="298731230">
          <w:marLeft w:val="0"/>
          <w:marRight w:val="0"/>
          <w:marTop w:val="0"/>
          <w:marBottom w:val="0"/>
          <w:divBdr>
            <w:top w:val="none" w:sz="0" w:space="0" w:color="auto"/>
            <w:left w:val="none" w:sz="0" w:space="0" w:color="auto"/>
            <w:bottom w:val="none" w:sz="0" w:space="0" w:color="auto"/>
            <w:right w:val="none" w:sz="0" w:space="0" w:color="auto"/>
          </w:divBdr>
        </w:div>
        <w:div w:id="421682148">
          <w:marLeft w:val="0"/>
          <w:marRight w:val="0"/>
          <w:marTop w:val="0"/>
          <w:marBottom w:val="0"/>
          <w:divBdr>
            <w:top w:val="none" w:sz="0" w:space="0" w:color="auto"/>
            <w:left w:val="none" w:sz="0" w:space="0" w:color="auto"/>
            <w:bottom w:val="none" w:sz="0" w:space="0" w:color="auto"/>
            <w:right w:val="none" w:sz="0" w:space="0" w:color="auto"/>
          </w:divBdr>
        </w:div>
        <w:div w:id="462381252">
          <w:marLeft w:val="0"/>
          <w:marRight w:val="0"/>
          <w:marTop w:val="0"/>
          <w:marBottom w:val="0"/>
          <w:divBdr>
            <w:top w:val="none" w:sz="0" w:space="0" w:color="auto"/>
            <w:left w:val="none" w:sz="0" w:space="0" w:color="auto"/>
            <w:bottom w:val="none" w:sz="0" w:space="0" w:color="auto"/>
            <w:right w:val="none" w:sz="0" w:space="0" w:color="auto"/>
          </w:divBdr>
        </w:div>
        <w:div w:id="1143346862">
          <w:marLeft w:val="0"/>
          <w:marRight w:val="0"/>
          <w:marTop w:val="0"/>
          <w:marBottom w:val="0"/>
          <w:divBdr>
            <w:top w:val="none" w:sz="0" w:space="0" w:color="auto"/>
            <w:left w:val="none" w:sz="0" w:space="0" w:color="auto"/>
            <w:bottom w:val="none" w:sz="0" w:space="0" w:color="auto"/>
            <w:right w:val="none" w:sz="0" w:space="0" w:color="auto"/>
          </w:divBdr>
        </w:div>
        <w:div w:id="1211310166">
          <w:marLeft w:val="0"/>
          <w:marRight w:val="0"/>
          <w:marTop w:val="0"/>
          <w:marBottom w:val="0"/>
          <w:divBdr>
            <w:top w:val="none" w:sz="0" w:space="0" w:color="auto"/>
            <w:left w:val="none" w:sz="0" w:space="0" w:color="auto"/>
            <w:bottom w:val="none" w:sz="0" w:space="0" w:color="auto"/>
            <w:right w:val="none" w:sz="0" w:space="0" w:color="auto"/>
          </w:divBdr>
        </w:div>
        <w:div w:id="1601525585">
          <w:marLeft w:val="0"/>
          <w:marRight w:val="0"/>
          <w:marTop w:val="0"/>
          <w:marBottom w:val="0"/>
          <w:divBdr>
            <w:top w:val="none" w:sz="0" w:space="0" w:color="auto"/>
            <w:left w:val="none" w:sz="0" w:space="0" w:color="auto"/>
            <w:bottom w:val="none" w:sz="0" w:space="0" w:color="auto"/>
            <w:right w:val="none" w:sz="0" w:space="0" w:color="auto"/>
          </w:divBdr>
        </w:div>
        <w:div w:id="1642534893">
          <w:marLeft w:val="0"/>
          <w:marRight w:val="0"/>
          <w:marTop w:val="0"/>
          <w:marBottom w:val="0"/>
          <w:divBdr>
            <w:top w:val="none" w:sz="0" w:space="0" w:color="auto"/>
            <w:left w:val="none" w:sz="0" w:space="0" w:color="auto"/>
            <w:bottom w:val="none" w:sz="0" w:space="0" w:color="auto"/>
            <w:right w:val="none" w:sz="0" w:space="0" w:color="auto"/>
          </w:divBdr>
        </w:div>
        <w:div w:id="2024353981">
          <w:marLeft w:val="0"/>
          <w:marRight w:val="0"/>
          <w:marTop w:val="0"/>
          <w:marBottom w:val="0"/>
          <w:divBdr>
            <w:top w:val="none" w:sz="0" w:space="0" w:color="auto"/>
            <w:left w:val="none" w:sz="0" w:space="0" w:color="auto"/>
            <w:bottom w:val="none" w:sz="0" w:space="0" w:color="auto"/>
            <w:right w:val="none" w:sz="0" w:space="0" w:color="auto"/>
          </w:divBdr>
        </w:div>
      </w:divsChild>
    </w:div>
    <w:div w:id="2034457817">
      <w:bodyDiv w:val="1"/>
      <w:marLeft w:val="0"/>
      <w:marRight w:val="0"/>
      <w:marTop w:val="0"/>
      <w:marBottom w:val="0"/>
      <w:divBdr>
        <w:top w:val="none" w:sz="0" w:space="0" w:color="auto"/>
        <w:left w:val="none" w:sz="0" w:space="0" w:color="auto"/>
        <w:bottom w:val="none" w:sz="0" w:space="0" w:color="auto"/>
        <w:right w:val="none" w:sz="0" w:space="0" w:color="auto"/>
      </w:divBdr>
    </w:div>
    <w:div w:id="2048142829">
      <w:bodyDiv w:val="1"/>
      <w:marLeft w:val="0"/>
      <w:marRight w:val="0"/>
      <w:marTop w:val="0"/>
      <w:marBottom w:val="0"/>
      <w:divBdr>
        <w:top w:val="none" w:sz="0" w:space="0" w:color="auto"/>
        <w:left w:val="none" w:sz="0" w:space="0" w:color="auto"/>
        <w:bottom w:val="none" w:sz="0" w:space="0" w:color="auto"/>
        <w:right w:val="none" w:sz="0" w:space="0" w:color="auto"/>
      </w:divBdr>
    </w:div>
    <w:div w:id="2049210279">
      <w:bodyDiv w:val="1"/>
      <w:marLeft w:val="0"/>
      <w:marRight w:val="0"/>
      <w:marTop w:val="0"/>
      <w:marBottom w:val="0"/>
      <w:divBdr>
        <w:top w:val="none" w:sz="0" w:space="0" w:color="auto"/>
        <w:left w:val="none" w:sz="0" w:space="0" w:color="auto"/>
        <w:bottom w:val="none" w:sz="0" w:space="0" w:color="auto"/>
        <w:right w:val="none" w:sz="0" w:space="0" w:color="auto"/>
      </w:divBdr>
      <w:divsChild>
        <w:div w:id="209656571">
          <w:marLeft w:val="0"/>
          <w:marRight w:val="0"/>
          <w:marTop w:val="0"/>
          <w:marBottom w:val="0"/>
          <w:divBdr>
            <w:top w:val="none" w:sz="0" w:space="0" w:color="auto"/>
            <w:left w:val="none" w:sz="0" w:space="0" w:color="auto"/>
            <w:bottom w:val="none" w:sz="0" w:space="0" w:color="auto"/>
            <w:right w:val="none" w:sz="0" w:space="0" w:color="auto"/>
          </w:divBdr>
        </w:div>
        <w:div w:id="75212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m.gov.lv/upload/aktualitates2/lmzino_211113.pdf" TargetMode="External"/><Relationship Id="rId13" Type="http://schemas.openxmlformats.org/officeDocument/2006/relationships/hyperlink" Target="http://www.lm.gov.lv/text/2744" TargetMode="External"/><Relationship Id="rId18" Type="http://schemas.openxmlformats.org/officeDocument/2006/relationships/hyperlink" Target="http://books.google.lv/books?id=sEr3ipZZ7yIC&amp;hl=lv&amp;source=gbs_navlinks_s" TargetMode="External"/><Relationship Id="rId26" Type="http://schemas.openxmlformats.org/officeDocument/2006/relationships/hyperlink" Target="http://www.lm.gov.lv/upload/aktualitates/latvia_compwbs.pdf" TargetMode="External"/><Relationship Id="rId3" Type="http://schemas.openxmlformats.org/officeDocument/2006/relationships/hyperlink" Target="http://www.lm.gov.lv/upload/aktualitates/latvia_compwbs.pdf" TargetMode="External"/><Relationship Id="rId21" Type="http://schemas.openxmlformats.org/officeDocument/2006/relationships/hyperlink" Target="http://www.csb.gov.lv/statistikas-temas/termini/socialie-transferti-36002.html" TargetMode="External"/><Relationship Id="rId34" Type="http://schemas.openxmlformats.org/officeDocument/2006/relationships/hyperlink" Target="http://www.lm.gov.lv/upload/aktualitates/latvia_compwbs.pdf" TargetMode="External"/><Relationship Id="rId7" Type="http://schemas.openxmlformats.org/officeDocument/2006/relationships/hyperlink" Target="http://www.lm.gov.lv/text/1789" TargetMode="External"/><Relationship Id="rId12" Type="http://schemas.openxmlformats.org/officeDocument/2006/relationships/hyperlink" Target="http://www.lm.gov.lv/upload/invaliditate/gmi_aptauja_feb07102013.pdf" TargetMode="External"/><Relationship Id="rId17" Type="http://schemas.openxmlformats.org/officeDocument/2006/relationships/hyperlink" Target="http://www.csb.gov.lv/statistikas-temas/termini/mediana-39000.html" TargetMode="External"/><Relationship Id="rId25" Type="http://schemas.openxmlformats.org/officeDocument/2006/relationships/hyperlink" Target="http://www.csb.gov.lv/statistikas-temas/metodologija/materiala-nenodrosinatiba-37053.html" TargetMode="External"/><Relationship Id="rId33" Type="http://schemas.openxmlformats.org/officeDocument/2006/relationships/hyperlink" Target="http://ec.europa.eu/social/main.jsp?langId=lv&amp;catId=815" TargetMode="External"/><Relationship Id="rId38" Type="http://schemas.openxmlformats.org/officeDocument/2006/relationships/hyperlink" Target="http://ec.europa.eu/social/main.jsp?catId=625&amp;langId=en&amp;callId=382&amp;furtherCalls=yes" TargetMode="External"/><Relationship Id="rId2" Type="http://schemas.openxmlformats.org/officeDocument/2006/relationships/hyperlink" Target="http://www.eesc.europa.eu/?i=portal.en.soc-opinions.26780" TargetMode="External"/><Relationship Id="rId16" Type="http://schemas.openxmlformats.org/officeDocument/2006/relationships/hyperlink" Target="http://www.csb.gov.lv/statistikas-temas/metodologija/nabadzibas-ienakumu-nevienlidziba-36833.html?order=title&amp;sort=asc" TargetMode="External"/><Relationship Id="rId20" Type="http://schemas.openxmlformats.org/officeDocument/2006/relationships/hyperlink" Target="http://www.lm.gov.lv/upload/aktualitates/latvia_compwbs.pdf" TargetMode="External"/><Relationship Id="rId29" Type="http://schemas.openxmlformats.org/officeDocument/2006/relationships/hyperlink" Target="https://openknowledge.worldbank.org/bitstream/handle/10986/9377/706020PUB0EPI0067902B09780821395493.pdf?sequence=1" TargetMode="External"/><Relationship Id="rId1" Type="http://schemas.openxmlformats.org/officeDocument/2006/relationships/hyperlink" Target="http://eur-lex.europa.eu/LexUriServ/LexUriServ.do?uri=CELEX:52010IP0375:LV:NOT" TargetMode="External"/><Relationship Id="rId6" Type="http://schemas.openxmlformats.org/officeDocument/2006/relationships/hyperlink" Target="http://www.lm.gov.lv/text/1654" TargetMode="External"/><Relationship Id="rId11" Type="http://schemas.openxmlformats.org/officeDocument/2006/relationships/hyperlink" Target="http://www.lm.gov.lv/text/2744" TargetMode="External"/><Relationship Id="rId24" Type="http://schemas.openxmlformats.org/officeDocument/2006/relationships/hyperlink" Target="http://dx.doi.org/10.1787/5k9h297wxbnr-en" TargetMode="External"/><Relationship Id="rId32" Type="http://schemas.openxmlformats.org/officeDocument/2006/relationships/hyperlink" Target="http://www.keepeek.com/Digital-Asset-Management/oecd/economics/reducing-poverty-in-estonia-through-activation-and-better-targeting_5k8xb72v68bx-en" TargetMode="External"/><Relationship Id="rId37" Type="http://schemas.openxmlformats.org/officeDocument/2006/relationships/hyperlink" Target="http://www.lm.gov.lv/text/706" TargetMode="External"/><Relationship Id="rId5" Type="http://schemas.openxmlformats.org/officeDocument/2006/relationships/hyperlink" Target="http://www.lm.gov.lv/text/2676" TargetMode="External"/><Relationship Id="rId15" Type="http://schemas.openxmlformats.org/officeDocument/2006/relationships/hyperlink" Target="http://ec.europa.eu/social/main.jsp?catId=756&amp;langId=en" TargetMode="External"/><Relationship Id="rId23" Type="http://schemas.openxmlformats.org/officeDocument/2006/relationships/hyperlink" Target="http://www.lm.gov.lv/upload/aktualitates/latvia_compwbs.pdf" TargetMode="External"/><Relationship Id="rId28" Type="http://schemas.openxmlformats.org/officeDocument/2006/relationships/hyperlink" Target="http://www.oecd.org/eco/labour/49421421.pdf" TargetMode="External"/><Relationship Id="rId36" Type="http://schemas.openxmlformats.org/officeDocument/2006/relationships/hyperlink" Target="http://www.lm.gov.lv/text/2744" TargetMode="External"/><Relationship Id="rId10" Type="http://schemas.openxmlformats.org/officeDocument/2006/relationships/hyperlink" Target="http://ec.europa.eu/social/main.jsp?catId=625&amp;langId=en&amp;callId=382&amp;furtherCalls=yes" TargetMode="External"/><Relationship Id="rId19" Type="http://schemas.openxmlformats.org/officeDocument/2006/relationships/hyperlink" Target="http://books.google.lv/books?id=sEr3ipZZ7yIC&amp;hl=lv&amp;source=gbs_navlinks_s" TargetMode="External"/><Relationship Id="rId31" Type="http://schemas.openxmlformats.org/officeDocument/2006/relationships/hyperlink" Target="https://www.eesti.ee/eng/toetused_ja_sotsiaalabi/toetused_ja_huvitised/toimetulekutoetus" TargetMode="External"/><Relationship Id="rId4" Type="http://schemas.openxmlformats.org/officeDocument/2006/relationships/hyperlink" Target="http://www.csb.gov.lv/statistikas-temas/termini/socialie-transferti-36002.html" TargetMode="External"/><Relationship Id="rId9" Type="http://schemas.openxmlformats.org/officeDocument/2006/relationships/hyperlink" Target="http://www.eesc.europa.eu/?i=portal.en.soc-opinions.26780" TargetMode="External"/><Relationship Id="rId14" Type="http://schemas.openxmlformats.org/officeDocument/2006/relationships/hyperlink" Target="http://ec.europa.eu/invest-in-research/coordination/coordination01_en.htm" TargetMode="External"/><Relationship Id="rId22" Type="http://schemas.openxmlformats.org/officeDocument/2006/relationships/hyperlink" Target="http://www.lm.gov.lv/text/2744" TargetMode="External"/><Relationship Id="rId27" Type="http://schemas.openxmlformats.org/officeDocument/2006/relationships/hyperlink" Target="http://www.lm.gov.lv/text/2744" TargetMode="External"/><Relationship Id="rId30" Type="http://schemas.openxmlformats.org/officeDocument/2006/relationships/hyperlink" Target="http://www.stat.ee/dokumendid/68625" TargetMode="External"/><Relationship Id="rId35" Type="http://schemas.openxmlformats.org/officeDocument/2006/relationships/hyperlink" Target="http://www-wds.worldbank.org/servlet/WDSContentServer/WDSP/IB/2010/04/27/000158349_20100427143536/Rendered/PDF/WPS5284.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torage\data$\SHARED\SISDP\00_SOC%20IEKLAUS\Nabadziba\koncepcija\exceli\min_lim_2012.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storage\redirect$\evijam\Desktop\Nabadzibas_risks_LM_09-05-2014.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evijam\Downloads\NI0110%20(1).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storage\data$\SHARED\SISDP\00_SOC%20IEKLAUS\Nabadziba\koncepcija\exceli\EE_LT.xls"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storage\data$\SHARED\SISDP\00_SOC%20IEKLAUS\Nabadziba\koncepcija\exceli\EE_LT.xls"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vijam\AppData\Local\Temp\II0030.xm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storage\data$\SHARED\SISDP\00_SOC%20IEKLAUS\Nabadziba\koncepcija\exceli\shema_NRI_NR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torage\data$\SHARED\SISDP\00_SOC%20IEKLAUS\Nabadziba\koncepcija\exceli\NRI_LV_2004_2012_EUR.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storage\data$\SHARED\SISDP\00_SOC%20IEKLAUS\Nabadziba\koncepcija\exceli\es-28_nri.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evijam.LM\AppData\Local\Temp\nama_aux_gph.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evijam.LM\AppData\Local\Temp\spr_exp_gdp.xls"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C:\Users\evijam\Downloads\NI0090.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storage\redirect$\evijam\Desktop\Nabadzibas_risks_LM_09-05-2014.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Pt>
            <c:idx val="0"/>
            <c:invertIfNegative val="0"/>
            <c:bubble3D val="0"/>
            <c:spPr>
              <a:solidFill>
                <a:schemeClr val="accent3">
                  <a:lumMod val="40000"/>
                  <a:lumOff val="60000"/>
                </a:schemeClr>
              </a:solidFill>
            </c:spPr>
          </c:dPt>
          <c:dPt>
            <c:idx val="1"/>
            <c:invertIfNegative val="0"/>
            <c:bubble3D val="0"/>
            <c:spPr>
              <a:solidFill>
                <a:schemeClr val="accent3">
                  <a:lumMod val="60000"/>
                  <a:lumOff val="40000"/>
                </a:schemeClr>
              </a:solidFill>
            </c:spPr>
          </c:dPt>
          <c:dPt>
            <c:idx val="2"/>
            <c:invertIfNegative val="0"/>
            <c:bubble3D val="0"/>
            <c:spPr>
              <a:solidFill>
                <a:schemeClr val="accent3">
                  <a:lumMod val="75000"/>
                </a:schemeClr>
              </a:solidFill>
            </c:spPr>
          </c:dPt>
          <c:dPt>
            <c:idx val="3"/>
            <c:invertIfNegative val="0"/>
            <c:bubble3D val="0"/>
            <c:spPr>
              <a:solidFill>
                <a:schemeClr val="accent3">
                  <a:lumMod val="50000"/>
                </a:schemeClr>
              </a:solidFill>
            </c:spPr>
          </c:dPt>
          <c:dLbls>
            <c:dLbl>
              <c:idx val="0"/>
              <c:layout/>
              <c:tx>
                <c:rich>
                  <a:bodyPr/>
                  <a:lstStyle/>
                  <a:p>
                    <a:pPr>
                      <a:defRPr/>
                    </a:pPr>
                    <a:r>
                      <a:rPr lang="lv-LV"/>
                      <a:t>57</a:t>
                    </a:r>
                    <a:endParaRPr lang="en-US"/>
                  </a:p>
                </c:rich>
              </c:tx>
              <c:spPr/>
              <c:showLegendKey val="0"/>
              <c:showVal val="0"/>
              <c:showCatName val="0"/>
              <c:showSerName val="0"/>
              <c:showPercent val="0"/>
              <c:showBubbleSize val="0"/>
            </c:dLbl>
            <c:dLbl>
              <c:idx val="1"/>
              <c:layout/>
              <c:tx>
                <c:rich>
                  <a:bodyPr/>
                  <a:lstStyle/>
                  <a:p>
                    <a:pPr>
                      <a:defRPr/>
                    </a:pPr>
                    <a:r>
                      <a:rPr lang="lv-LV"/>
                      <a:t>128</a:t>
                    </a:r>
                    <a:endParaRPr lang="en-US"/>
                  </a:p>
                </c:rich>
              </c:tx>
              <c:spPr/>
              <c:showLegendKey val="0"/>
              <c:showVal val="0"/>
              <c:showCatName val="0"/>
              <c:showSerName val="0"/>
              <c:showPercent val="0"/>
              <c:showBubbleSize val="0"/>
            </c:dLbl>
            <c:dLbl>
              <c:idx val="2"/>
              <c:layout/>
              <c:tx>
                <c:rich>
                  <a:bodyPr/>
                  <a:lstStyle/>
                  <a:p>
                    <a:pPr>
                      <a:defRPr/>
                    </a:pPr>
                    <a:r>
                      <a:rPr lang="lv-LV"/>
                      <a:t>235</a:t>
                    </a:r>
                    <a:endParaRPr lang="en-US"/>
                  </a:p>
                </c:rich>
              </c:tx>
              <c:spPr/>
              <c:showLegendKey val="0"/>
              <c:showVal val="0"/>
              <c:showCatName val="0"/>
              <c:showSerName val="0"/>
              <c:showPercent val="0"/>
              <c:showBubbleSize val="0"/>
            </c:dLbl>
            <c:dLbl>
              <c:idx val="3"/>
              <c:layout/>
              <c:tx>
                <c:rich>
                  <a:bodyPr/>
                  <a:lstStyle/>
                  <a:p>
                    <a:pPr>
                      <a:defRPr/>
                    </a:pPr>
                    <a:r>
                      <a:rPr lang="lv-LV"/>
                      <a:t>253</a:t>
                    </a:r>
                    <a:endParaRPr lang="en-US"/>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Ls!$A$2:$A$5</c:f>
              <c:strCache>
                <c:ptCount val="4"/>
                <c:pt idx="0">
                  <c:v>GMI līmenis</c:v>
                </c:pt>
                <c:pt idx="1">
                  <c:v>Trūcīga persona </c:v>
                </c:pt>
                <c:pt idx="2">
                  <c:v>Nabadzības riska slieksnis </c:v>
                </c:pt>
                <c:pt idx="3">
                  <c:v>Iztikas minimums</c:v>
                </c:pt>
              </c:strCache>
            </c:strRef>
          </c:cat>
          <c:val>
            <c:numRef>
              <c:f>(Ls!$L$2,Ls!$L$3,Ls!$L$4,Ls!$L$5)</c:f>
              <c:numCache>
                <c:formatCode>General</c:formatCode>
                <c:ptCount val="4"/>
                <c:pt idx="0">
                  <c:v>40</c:v>
                </c:pt>
                <c:pt idx="1">
                  <c:v>90</c:v>
                </c:pt>
                <c:pt idx="2">
                  <c:v>164</c:v>
                </c:pt>
                <c:pt idx="3" formatCode="0">
                  <c:v>175.70099999999999</c:v>
                </c:pt>
              </c:numCache>
            </c:numRef>
          </c:val>
        </c:ser>
        <c:ser>
          <c:idx val="1"/>
          <c:order val="1"/>
          <c:spPr>
            <a:solidFill>
              <a:schemeClr val="accent3">
                <a:lumMod val="40000"/>
                <a:lumOff val="60000"/>
              </a:schemeClr>
            </a:solidFill>
          </c:spPr>
          <c:invertIfNegative val="0"/>
          <c:dLbls>
            <c:dLbl>
              <c:idx val="0"/>
              <c:layout/>
              <c:tx>
                <c:rich>
                  <a:bodyPr/>
                  <a:lstStyle/>
                  <a:p>
                    <a:pPr>
                      <a:defRPr/>
                    </a:pPr>
                    <a:r>
                      <a:rPr lang="lv-LV"/>
                      <a:t>64</a:t>
                    </a:r>
                    <a:endParaRPr lang="en-US"/>
                  </a:p>
                </c:rich>
              </c:tx>
              <c:spPr/>
              <c:showLegendKey val="0"/>
              <c:showVal val="0"/>
              <c:showCatName val="0"/>
              <c:showSerName val="0"/>
              <c:showPercent val="0"/>
              <c:showBubbleSize val="0"/>
            </c:dLbl>
            <c:showLegendKey val="0"/>
            <c:showVal val="1"/>
            <c:showCatName val="0"/>
            <c:showSerName val="0"/>
            <c:showPercent val="0"/>
            <c:showBubbleSize val="0"/>
            <c:showLeaderLines val="0"/>
          </c:dLbls>
          <c:val>
            <c:numRef>
              <c:f>Ls!$M$2</c:f>
              <c:numCache>
                <c:formatCode>General</c:formatCode>
                <c:ptCount val="1"/>
                <c:pt idx="0">
                  <c:v>45</c:v>
                </c:pt>
              </c:numCache>
            </c:numRef>
          </c:val>
        </c:ser>
        <c:dLbls>
          <c:showLegendKey val="0"/>
          <c:showVal val="0"/>
          <c:showCatName val="0"/>
          <c:showSerName val="0"/>
          <c:showPercent val="0"/>
          <c:showBubbleSize val="0"/>
        </c:dLbls>
        <c:gapWidth val="150"/>
        <c:axId val="125605760"/>
        <c:axId val="125607296"/>
      </c:barChart>
      <c:catAx>
        <c:axId val="125605760"/>
        <c:scaling>
          <c:orientation val="minMax"/>
        </c:scaling>
        <c:delete val="0"/>
        <c:axPos val="l"/>
        <c:numFmt formatCode="General" sourceLinked="1"/>
        <c:majorTickMark val="out"/>
        <c:minorTickMark val="none"/>
        <c:tickLblPos val="nextTo"/>
        <c:crossAx val="125607296"/>
        <c:crosses val="autoZero"/>
        <c:auto val="1"/>
        <c:lblAlgn val="ctr"/>
        <c:lblOffset val="100"/>
        <c:noMultiLvlLbl val="0"/>
      </c:catAx>
      <c:valAx>
        <c:axId val="125607296"/>
        <c:scaling>
          <c:orientation val="minMax"/>
        </c:scaling>
        <c:delete val="0"/>
        <c:axPos val="b"/>
        <c:numFmt formatCode="General" sourceLinked="1"/>
        <c:majorTickMark val="out"/>
        <c:minorTickMark val="none"/>
        <c:tickLblPos val="nextTo"/>
        <c:crossAx val="125605760"/>
        <c:crosses val="autoZero"/>
        <c:crossBetween val="between"/>
      </c:valAx>
      <c:spPr>
        <a:noFill/>
        <a:ln w="25400">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0"/>
            <c:invertIfNegative val="0"/>
            <c:bubble3D val="0"/>
            <c:spPr>
              <a:solidFill>
                <a:srgbClr val="FFC000"/>
              </a:solidFill>
            </c:spPr>
          </c:dPt>
          <c:dPt>
            <c:idx val="1"/>
            <c:invertIfNegative val="0"/>
            <c:bubble3D val="0"/>
            <c:spPr>
              <a:solidFill>
                <a:srgbClr val="00B050"/>
              </a:solidFill>
            </c:spPr>
          </c:dPt>
          <c:dPt>
            <c:idx val="2"/>
            <c:invertIfNegative val="0"/>
            <c:bubble3D val="0"/>
            <c:spPr>
              <a:solidFill>
                <a:srgbClr val="00B050"/>
              </a:solidFill>
            </c:spPr>
          </c:dPt>
          <c:dPt>
            <c:idx val="3"/>
            <c:invertIfNegative val="0"/>
            <c:bubble3D val="0"/>
            <c:spPr>
              <a:solidFill>
                <a:srgbClr val="00B050"/>
              </a:solidFill>
            </c:spPr>
          </c:dPt>
          <c:dLbls>
            <c:dLbl>
              <c:idx val="0"/>
              <c:layout>
                <c:manualLayout>
                  <c:x val="2.3809523809523808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571428571428571E-2"/>
                  <c:y val="-4.605641076225898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047619047619049E-2"/>
                  <c:y val="4.2217888827416409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190476190476104E-2"/>
                  <c:y val="-4.60564107622591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risks!$H$11:$H$14</c:f>
              <c:strCache>
                <c:ptCount val="4"/>
                <c:pt idx="0">
                  <c:v>Pēc visiem sociālajiem transfertiem</c:v>
                </c:pt>
                <c:pt idx="1">
                  <c:v>Pirms pašvaldību pabalstiem</c:v>
                </c:pt>
                <c:pt idx="2">
                  <c:v>Pirms valsts pensijām un pabalstiem</c:v>
                </c:pt>
                <c:pt idx="3">
                  <c:v>Pirms valsts pabalstiem</c:v>
                </c:pt>
              </c:strCache>
            </c:strRef>
          </c:cat>
          <c:val>
            <c:numRef>
              <c:f>risks!$I$11:$I$14</c:f>
              <c:numCache>
                <c:formatCode>General</c:formatCode>
                <c:ptCount val="4"/>
                <c:pt idx="0">
                  <c:v>96.9</c:v>
                </c:pt>
                <c:pt idx="1">
                  <c:v>97.5</c:v>
                </c:pt>
                <c:pt idx="2">
                  <c:v>99.3</c:v>
                </c:pt>
                <c:pt idx="3">
                  <c:v>98.1</c:v>
                </c:pt>
              </c:numCache>
            </c:numRef>
          </c:val>
        </c:ser>
        <c:dLbls>
          <c:showLegendKey val="0"/>
          <c:showVal val="1"/>
          <c:showCatName val="0"/>
          <c:showSerName val="0"/>
          <c:showPercent val="0"/>
          <c:showBubbleSize val="0"/>
        </c:dLbls>
        <c:gapWidth val="75"/>
        <c:shape val="cylinder"/>
        <c:axId val="71606272"/>
        <c:axId val="71614848"/>
        <c:axId val="0"/>
      </c:bar3DChart>
      <c:catAx>
        <c:axId val="71606272"/>
        <c:scaling>
          <c:orientation val="minMax"/>
        </c:scaling>
        <c:delete val="0"/>
        <c:axPos val="l"/>
        <c:numFmt formatCode="General" sourceLinked="0"/>
        <c:majorTickMark val="none"/>
        <c:minorTickMark val="none"/>
        <c:tickLblPos val="nextTo"/>
        <c:txPr>
          <a:bodyPr/>
          <a:lstStyle/>
          <a:p>
            <a:pPr>
              <a:defRPr sz="800"/>
            </a:pPr>
            <a:endParaRPr lang="lv-LV"/>
          </a:p>
        </c:txPr>
        <c:crossAx val="71614848"/>
        <c:crosses val="autoZero"/>
        <c:auto val="1"/>
        <c:lblAlgn val="ctr"/>
        <c:lblOffset val="100"/>
        <c:noMultiLvlLbl val="0"/>
      </c:catAx>
      <c:valAx>
        <c:axId val="71614848"/>
        <c:scaling>
          <c:orientation val="minMax"/>
        </c:scaling>
        <c:delete val="0"/>
        <c:axPos val="b"/>
        <c:numFmt formatCode="General" sourceLinked="1"/>
        <c:majorTickMark val="none"/>
        <c:minorTickMark val="none"/>
        <c:tickLblPos val="nextTo"/>
        <c:txPr>
          <a:bodyPr/>
          <a:lstStyle/>
          <a:p>
            <a:pPr>
              <a:defRPr sz="800"/>
            </a:pPr>
            <a:endParaRPr lang="lv-LV"/>
          </a:p>
        </c:txPr>
        <c:crossAx val="71606272"/>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S80/S20 ienākumu kvintiļu attiecības indekss</a:t>
            </a:r>
            <a:r>
              <a:rPr lang="lv-LV" sz="1200"/>
              <a:t> Latvijā 2004-2012</a:t>
            </a:r>
            <a:endParaRPr lang="en-US" sz="1200"/>
          </a:p>
        </c:rich>
      </c:tx>
      <c:overlay val="0"/>
    </c:title>
    <c:autoTitleDeleted val="0"/>
    <c:plotArea>
      <c:layout/>
      <c:lineChart>
        <c:grouping val="standard"/>
        <c:varyColors val="0"/>
        <c:ser>
          <c:idx val="0"/>
          <c:order val="0"/>
          <c:tx>
            <c:strRef>
              <c:f>'[NI0110 (1).xlsx]NI0110'!$A$4</c:f>
              <c:strCache>
                <c:ptCount val="1"/>
                <c:pt idx="0">
                  <c:v>Pavisam</c:v>
                </c:pt>
              </c:strCache>
            </c:strRef>
          </c:tx>
          <c:dLbls>
            <c:txPr>
              <a:bodyPr/>
              <a:lstStyle/>
              <a:p>
                <a:pPr>
                  <a:defRPr sz="900"/>
                </a:pPr>
                <a:endParaRPr lang="lv-LV"/>
              </a:p>
            </c:txPr>
            <c:dLblPos val="b"/>
            <c:showLegendKey val="0"/>
            <c:showVal val="1"/>
            <c:showCatName val="0"/>
            <c:showSerName val="0"/>
            <c:showPercent val="0"/>
            <c:showBubbleSize val="0"/>
            <c:showLeaderLines val="0"/>
          </c:dLbls>
          <c:cat>
            <c:numRef>
              <c:f>'[NI0110 (1).xlsx]NI0110'!$B$3:$J$3</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'[NI0110 (1).xlsx]NI0110'!$B$4:$J$4</c:f>
              <c:numCache>
                <c:formatCode>General</c:formatCode>
                <c:ptCount val="9"/>
                <c:pt idx="0">
                  <c:v>6.7</c:v>
                </c:pt>
                <c:pt idx="1">
                  <c:v>7.8</c:v>
                </c:pt>
                <c:pt idx="2">
                  <c:v>6.4</c:v>
                </c:pt>
                <c:pt idx="3">
                  <c:v>7.3</c:v>
                </c:pt>
                <c:pt idx="4">
                  <c:v>7.4</c:v>
                </c:pt>
                <c:pt idx="5">
                  <c:v>6.8</c:v>
                </c:pt>
                <c:pt idx="6">
                  <c:v>6.5</c:v>
                </c:pt>
                <c:pt idx="7">
                  <c:v>6.5</c:v>
                </c:pt>
                <c:pt idx="8">
                  <c:v>6.3</c:v>
                </c:pt>
              </c:numCache>
            </c:numRef>
          </c:val>
          <c:smooth val="0"/>
        </c:ser>
        <c:dLbls>
          <c:showLegendKey val="0"/>
          <c:showVal val="1"/>
          <c:showCatName val="0"/>
          <c:showSerName val="0"/>
          <c:showPercent val="0"/>
          <c:showBubbleSize val="0"/>
        </c:dLbls>
        <c:marker val="1"/>
        <c:smooth val="0"/>
        <c:axId val="92605056"/>
        <c:axId val="92628480"/>
      </c:lineChart>
      <c:catAx>
        <c:axId val="92605056"/>
        <c:scaling>
          <c:orientation val="minMax"/>
        </c:scaling>
        <c:delete val="0"/>
        <c:axPos val="b"/>
        <c:numFmt formatCode="General" sourceLinked="1"/>
        <c:majorTickMark val="none"/>
        <c:minorTickMark val="none"/>
        <c:tickLblPos val="nextTo"/>
        <c:txPr>
          <a:bodyPr/>
          <a:lstStyle/>
          <a:p>
            <a:pPr>
              <a:defRPr sz="900"/>
            </a:pPr>
            <a:endParaRPr lang="lv-LV"/>
          </a:p>
        </c:txPr>
        <c:crossAx val="92628480"/>
        <c:crosses val="autoZero"/>
        <c:auto val="1"/>
        <c:lblAlgn val="ctr"/>
        <c:lblOffset val="100"/>
        <c:noMultiLvlLbl val="0"/>
      </c:catAx>
      <c:valAx>
        <c:axId val="92628480"/>
        <c:scaling>
          <c:orientation val="minMax"/>
        </c:scaling>
        <c:delete val="1"/>
        <c:axPos val="l"/>
        <c:numFmt formatCode="General" sourceLinked="1"/>
        <c:majorTickMark val="none"/>
        <c:minorTickMark val="none"/>
        <c:tickLblPos val="nextTo"/>
        <c:crossAx val="92605056"/>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900"/>
            </a:pPr>
            <a:r>
              <a:rPr lang="lv-LV" sz="900"/>
              <a:t>Nabadzības riska indekss, 2012.gadā %</a:t>
            </a:r>
            <a:endParaRPr lang="en-US" sz="900"/>
          </a:p>
        </c:rich>
      </c:tx>
      <c:layout/>
      <c:overlay val="0"/>
    </c:title>
    <c:autoTitleDeleted val="0"/>
    <c:plotArea>
      <c:layout/>
      <c:barChart>
        <c:barDir val="bar"/>
        <c:grouping val="clustered"/>
        <c:varyColors val="0"/>
        <c:ser>
          <c:idx val="0"/>
          <c:order val="0"/>
          <c:tx>
            <c:strRef>
              <c:f>Data!$B$12</c:f>
              <c:strCache>
                <c:ptCount val="1"/>
                <c:pt idx="0">
                  <c:v>2012</c:v>
                </c:pt>
              </c:strCache>
            </c:strRef>
          </c:tx>
          <c:invertIfNegative val="0"/>
          <c:dLbls>
            <c:txPr>
              <a:bodyPr/>
              <a:lstStyle/>
              <a:p>
                <a:pPr>
                  <a:defRPr sz="800"/>
                </a:pPr>
                <a:endParaRPr lang="lv-LV"/>
              </a:p>
            </c:txPr>
            <c:showLegendKey val="0"/>
            <c:showVal val="1"/>
            <c:showCatName val="0"/>
            <c:showSerName val="0"/>
            <c:showPercent val="0"/>
            <c:showBubbleSize val="0"/>
            <c:showLeaderLines val="0"/>
          </c:dLbls>
          <c:cat>
            <c:strRef>
              <c:f>Data!$A$13:$A$15</c:f>
              <c:strCache>
                <c:ptCount val="3"/>
                <c:pt idx="0">
                  <c:v>Igaunija</c:v>
                </c:pt>
                <c:pt idx="1">
                  <c:v>Lietuva</c:v>
                </c:pt>
                <c:pt idx="2">
                  <c:v>Latvija</c:v>
                </c:pt>
              </c:strCache>
            </c:strRef>
          </c:cat>
          <c:val>
            <c:numRef>
              <c:f>Data!$B$13:$B$15</c:f>
              <c:numCache>
                <c:formatCode>#,##0.0</c:formatCode>
                <c:ptCount val="3"/>
                <c:pt idx="0">
                  <c:v>17.5</c:v>
                </c:pt>
                <c:pt idx="1">
                  <c:v>18.600000000000001</c:v>
                </c:pt>
                <c:pt idx="2">
                  <c:v>19.2</c:v>
                </c:pt>
              </c:numCache>
            </c:numRef>
          </c:val>
        </c:ser>
        <c:dLbls>
          <c:showLegendKey val="0"/>
          <c:showVal val="1"/>
          <c:showCatName val="0"/>
          <c:showSerName val="0"/>
          <c:showPercent val="0"/>
          <c:showBubbleSize val="0"/>
        </c:dLbls>
        <c:gapWidth val="150"/>
        <c:overlap val="-25"/>
        <c:axId val="122144256"/>
        <c:axId val="122155392"/>
      </c:barChart>
      <c:catAx>
        <c:axId val="122144256"/>
        <c:scaling>
          <c:orientation val="minMax"/>
        </c:scaling>
        <c:delete val="0"/>
        <c:axPos val="l"/>
        <c:majorTickMark val="none"/>
        <c:minorTickMark val="none"/>
        <c:tickLblPos val="nextTo"/>
        <c:txPr>
          <a:bodyPr/>
          <a:lstStyle/>
          <a:p>
            <a:pPr>
              <a:defRPr sz="900"/>
            </a:pPr>
            <a:endParaRPr lang="lv-LV"/>
          </a:p>
        </c:txPr>
        <c:crossAx val="122155392"/>
        <c:crosses val="autoZero"/>
        <c:auto val="1"/>
        <c:lblAlgn val="ctr"/>
        <c:lblOffset val="100"/>
        <c:noMultiLvlLbl val="0"/>
      </c:catAx>
      <c:valAx>
        <c:axId val="122155392"/>
        <c:scaling>
          <c:orientation val="minMax"/>
        </c:scaling>
        <c:delete val="1"/>
        <c:axPos val="b"/>
        <c:numFmt formatCode="#,##0.0" sourceLinked="1"/>
        <c:majorTickMark val="none"/>
        <c:minorTickMark val="none"/>
        <c:tickLblPos val="nextTo"/>
        <c:crossAx val="122144256"/>
        <c:crosses val="autoZero"/>
        <c:crossBetween val="between"/>
      </c:valAx>
    </c:plotArea>
    <c:plotVisOnly val="1"/>
    <c:dispBlanksAs val="gap"/>
    <c:showDLblsOverMax val="0"/>
  </c:chart>
  <c:txPr>
    <a:bodyPr/>
    <a:lstStyle/>
    <a:p>
      <a:pPr>
        <a:defRPr sz="1000"/>
      </a:pPr>
      <a:endParaRPr lang="lv-LV"/>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900"/>
            </a:pPr>
            <a:r>
              <a:rPr lang="lv-LV" sz="900"/>
              <a:t>S80/S20 ienākumu kvintiļu attiecības indekss, 2012</a:t>
            </a:r>
            <a:endParaRPr lang="en-US" sz="900"/>
          </a:p>
        </c:rich>
      </c:tx>
      <c:layout/>
      <c:overlay val="0"/>
    </c:title>
    <c:autoTitleDeleted val="0"/>
    <c:plotArea>
      <c:layout/>
      <c:barChart>
        <c:barDir val="bar"/>
        <c:grouping val="clustered"/>
        <c:varyColors val="0"/>
        <c:ser>
          <c:idx val="0"/>
          <c:order val="0"/>
          <c:tx>
            <c:strRef>
              <c:f>Sheet1!$B$12</c:f>
              <c:strCache>
                <c:ptCount val="1"/>
                <c:pt idx="0">
                  <c:v>2012</c:v>
                </c:pt>
              </c:strCache>
            </c:strRef>
          </c:tx>
          <c:invertIfNegative val="0"/>
          <c:dLbls>
            <c:txPr>
              <a:bodyPr/>
              <a:lstStyle/>
              <a:p>
                <a:pPr>
                  <a:defRPr sz="900"/>
                </a:pPr>
                <a:endParaRPr lang="lv-LV"/>
              </a:p>
            </c:txPr>
            <c:showLegendKey val="0"/>
            <c:showVal val="1"/>
            <c:showCatName val="0"/>
            <c:showSerName val="0"/>
            <c:showPercent val="0"/>
            <c:showBubbleSize val="0"/>
            <c:showLeaderLines val="0"/>
          </c:dLbls>
          <c:cat>
            <c:strRef>
              <c:f>Sheet1!$A$13:$A$15</c:f>
              <c:strCache>
                <c:ptCount val="3"/>
                <c:pt idx="0">
                  <c:v>Lietuva </c:v>
                </c:pt>
                <c:pt idx="1">
                  <c:v>Igaunija</c:v>
                </c:pt>
                <c:pt idx="2">
                  <c:v>Latvija</c:v>
                </c:pt>
              </c:strCache>
            </c:strRef>
          </c:cat>
          <c:val>
            <c:numRef>
              <c:f>Sheet1!$B$13:$B$15</c:f>
              <c:numCache>
                <c:formatCode>#,##0.0</c:formatCode>
                <c:ptCount val="3"/>
                <c:pt idx="0">
                  <c:v>5.3</c:v>
                </c:pt>
                <c:pt idx="1">
                  <c:v>5.4</c:v>
                </c:pt>
                <c:pt idx="2">
                  <c:v>6.5</c:v>
                </c:pt>
              </c:numCache>
            </c:numRef>
          </c:val>
        </c:ser>
        <c:dLbls>
          <c:showLegendKey val="0"/>
          <c:showVal val="1"/>
          <c:showCatName val="0"/>
          <c:showSerName val="0"/>
          <c:showPercent val="0"/>
          <c:showBubbleSize val="0"/>
        </c:dLbls>
        <c:gapWidth val="150"/>
        <c:overlap val="-25"/>
        <c:axId val="124853248"/>
        <c:axId val="124872576"/>
      </c:barChart>
      <c:catAx>
        <c:axId val="124853248"/>
        <c:scaling>
          <c:orientation val="minMax"/>
        </c:scaling>
        <c:delete val="0"/>
        <c:axPos val="l"/>
        <c:majorTickMark val="none"/>
        <c:minorTickMark val="none"/>
        <c:tickLblPos val="nextTo"/>
        <c:txPr>
          <a:bodyPr/>
          <a:lstStyle/>
          <a:p>
            <a:pPr>
              <a:defRPr sz="900"/>
            </a:pPr>
            <a:endParaRPr lang="lv-LV"/>
          </a:p>
        </c:txPr>
        <c:crossAx val="124872576"/>
        <c:crosses val="autoZero"/>
        <c:auto val="1"/>
        <c:lblAlgn val="ctr"/>
        <c:lblOffset val="100"/>
        <c:noMultiLvlLbl val="0"/>
      </c:catAx>
      <c:valAx>
        <c:axId val="124872576"/>
        <c:scaling>
          <c:orientation val="minMax"/>
        </c:scaling>
        <c:delete val="1"/>
        <c:axPos val="b"/>
        <c:numFmt formatCode="#,##0.0" sourceLinked="1"/>
        <c:majorTickMark val="none"/>
        <c:minorTickMark val="none"/>
        <c:tickLblPos val="nextTo"/>
        <c:crossAx val="124853248"/>
        <c:crosses val="autoZero"/>
        <c:crossBetween val="between"/>
      </c:valAx>
    </c:plotArea>
    <c:plotVisOnly val="1"/>
    <c:dispBlanksAs val="gap"/>
    <c:showDLblsOverMax val="0"/>
  </c:chart>
  <c:txPr>
    <a:bodyPr/>
    <a:lstStyle/>
    <a:p>
      <a:pPr>
        <a:defRPr sz="1000"/>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100"/>
            </a:pPr>
            <a:r>
              <a:rPr lang="lv-LV" sz="1100"/>
              <a:t>Iztikas minimuma patēriņa grozs vienam iedzīvotājam mēnesī, EUR</a:t>
            </a:r>
          </a:p>
        </c:rich>
      </c:tx>
      <c:overlay val="0"/>
    </c:title>
    <c:autoTitleDeleted val="0"/>
    <c:plotArea>
      <c:layout/>
      <c:barChart>
        <c:barDir val="bar"/>
        <c:grouping val="clustered"/>
        <c:varyColors val="0"/>
        <c:ser>
          <c:idx val="0"/>
          <c:order val="0"/>
          <c:invertIfNegative val="0"/>
          <c:dLbls>
            <c:txPr>
              <a:bodyPr/>
              <a:lstStyle/>
              <a:p>
                <a:pPr>
                  <a:defRPr sz="800"/>
                </a:pPr>
                <a:endParaRPr lang="lv-LV"/>
              </a:p>
            </c:txPr>
            <c:dLblPos val="outEnd"/>
            <c:showLegendKey val="0"/>
            <c:showVal val="1"/>
            <c:showCatName val="0"/>
            <c:showSerName val="0"/>
            <c:showPercent val="0"/>
            <c:showBubbleSize val="0"/>
            <c:showLeaderLines val="0"/>
          </c:dLbls>
          <c:cat>
            <c:strRef>
              <c:f>'II0030'!$B$4:$Q$4</c:f>
              <c:strCach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strCache>
            </c:strRef>
          </c:cat>
          <c:val>
            <c:numRef>
              <c:f>'II0030'!$B$5:$Q$5</c:f>
              <c:numCache>
                <c:formatCode>General</c:formatCode>
                <c:ptCount val="16"/>
                <c:pt idx="0">
                  <c:v>116.89</c:v>
                </c:pt>
                <c:pt idx="1">
                  <c:v>118.35</c:v>
                </c:pt>
                <c:pt idx="2">
                  <c:v>120.19</c:v>
                </c:pt>
                <c:pt idx="3">
                  <c:v>123.69</c:v>
                </c:pt>
                <c:pt idx="4">
                  <c:v>126.29</c:v>
                </c:pt>
                <c:pt idx="5">
                  <c:v>133.1</c:v>
                </c:pt>
                <c:pt idx="6">
                  <c:v>140.55000000000001</c:v>
                </c:pt>
                <c:pt idx="7">
                  <c:v>150.08000000000001</c:v>
                </c:pt>
                <c:pt idx="8">
                  <c:v>166.36</c:v>
                </c:pt>
                <c:pt idx="9">
                  <c:v>189.09</c:v>
                </c:pt>
                <c:pt idx="10">
                  <c:v>228.11</c:v>
                </c:pt>
                <c:pt idx="11">
                  <c:v>239.28</c:v>
                </c:pt>
                <c:pt idx="12">
                  <c:v>236.81</c:v>
                </c:pt>
                <c:pt idx="13">
                  <c:v>246.63</c:v>
                </c:pt>
                <c:pt idx="14">
                  <c:v>250</c:v>
                </c:pt>
                <c:pt idx="15">
                  <c:v>252.84</c:v>
                </c:pt>
              </c:numCache>
            </c:numRef>
          </c:val>
        </c:ser>
        <c:dLbls>
          <c:dLblPos val="outEnd"/>
          <c:showLegendKey val="0"/>
          <c:showVal val="1"/>
          <c:showCatName val="0"/>
          <c:showSerName val="0"/>
          <c:showPercent val="0"/>
          <c:showBubbleSize val="0"/>
        </c:dLbls>
        <c:gapWidth val="150"/>
        <c:axId val="125630336"/>
        <c:axId val="125637376"/>
      </c:barChart>
      <c:catAx>
        <c:axId val="125630336"/>
        <c:scaling>
          <c:orientation val="minMax"/>
        </c:scaling>
        <c:delete val="0"/>
        <c:axPos val="l"/>
        <c:majorTickMark val="out"/>
        <c:minorTickMark val="none"/>
        <c:tickLblPos val="nextTo"/>
        <c:txPr>
          <a:bodyPr/>
          <a:lstStyle/>
          <a:p>
            <a:pPr>
              <a:defRPr sz="800"/>
            </a:pPr>
            <a:endParaRPr lang="lv-LV"/>
          </a:p>
        </c:txPr>
        <c:crossAx val="125637376"/>
        <c:crosses val="autoZero"/>
        <c:auto val="1"/>
        <c:lblAlgn val="ctr"/>
        <c:lblOffset val="100"/>
        <c:noMultiLvlLbl val="0"/>
      </c:catAx>
      <c:valAx>
        <c:axId val="125637376"/>
        <c:scaling>
          <c:orientation val="minMax"/>
        </c:scaling>
        <c:delete val="0"/>
        <c:axPos val="b"/>
        <c:majorGridlines/>
        <c:numFmt formatCode="General" sourceLinked="1"/>
        <c:majorTickMark val="out"/>
        <c:minorTickMark val="none"/>
        <c:tickLblPos val="nextTo"/>
        <c:crossAx val="12563033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Grafiks!$A$2</c:f>
              <c:strCache>
                <c:ptCount val="1"/>
                <c:pt idx="0">
                  <c:v>Rīcībā esošie ienākumi uz vienu ekvivalento patērētāju, EUR mēnesī</c:v>
                </c:pt>
              </c:strCache>
            </c:strRef>
          </c:tx>
          <c:marker>
            <c:symbol val="none"/>
          </c:marker>
          <c:cat>
            <c:strRef>
              <c:f>Grafiks!$A$3:$A$43</c:f>
              <c:strCache>
                <c:ptCount val="41"/>
                <c:pt idx="0">
                  <c:v>0</c:v>
                </c:pt>
                <c:pt idx="1">
                  <c:v>līdz 25</c:v>
                </c:pt>
                <c:pt idx="2">
                  <c:v>līdz 50</c:v>
                </c:pt>
                <c:pt idx="3">
                  <c:v>līdz 75</c:v>
                </c:pt>
                <c:pt idx="4">
                  <c:v>līdz 100</c:v>
                </c:pt>
                <c:pt idx="5">
                  <c:v>līdz 125</c:v>
                </c:pt>
                <c:pt idx="6">
                  <c:v>līdz 150</c:v>
                </c:pt>
                <c:pt idx="7">
                  <c:v>līdz 175</c:v>
                </c:pt>
                <c:pt idx="8">
                  <c:v>līdz 200</c:v>
                </c:pt>
                <c:pt idx="9">
                  <c:v>līdz 225</c:v>
                </c:pt>
                <c:pt idx="10">
                  <c:v>līdz 250</c:v>
                </c:pt>
                <c:pt idx="11">
                  <c:v>līdz 275</c:v>
                </c:pt>
                <c:pt idx="12">
                  <c:v>līdz 300</c:v>
                </c:pt>
                <c:pt idx="13">
                  <c:v>līdz 325</c:v>
                </c:pt>
                <c:pt idx="14">
                  <c:v>līdz 350</c:v>
                </c:pt>
                <c:pt idx="15">
                  <c:v>līdz 375</c:v>
                </c:pt>
                <c:pt idx="16">
                  <c:v>līdz 400</c:v>
                </c:pt>
                <c:pt idx="17">
                  <c:v>līdz 425</c:v>
                </c:pt>
                <c:pt idx="18">
                  <c:v>līdz 450</c:v>
                </c:pt>
                <c:pt idx="19">
                  <c:v>līdz 475</c:v>
                </c:pt>
                <c:pt idx="20">
                  <c:v>līdz 500</c:v>
                </c:pt>
                <c:pt idx="21">
                  <c:v>līdz 525</c:v>
                </c:pt>
                <c:pt idx="22">
                  <c:v>līdz 550</c:v>
                </c:pt>
                <c:pt idx="23">
                  <c:v>līdz 575</c:v>
                </c:pt>
                <c:pt idx="24">
                  <c:v>līdz 600</c:v>
                </c:pt>
                <c:pt idx="25">
                  <c:v>līdz 625</c:v>
                </c:pt>
                <c:pt idx="26">
                  <c:v>līdz 650</c:v>
                </c:pt>
                <c:pt idx="27">
                  <c:v>līdz 675</c:v>
                </c:pt>
                <c:pt idx="28">
                  <c:v>līdz 700</c:v>
                </c:pt>
                <c:pt idx="29">
                  <c:v>līdz 725</c:v>
                </c:pt>
                <c:pt idx="30">
                  <c:v>līdz 750</c:v>
                </c:pt>
                <c:pt idx="31">
                  <c:v>līdz 775</c:v>
                </c:pt>
                <c:pt idx="32">
                  <c:v>līdz 800</c:v>
                </c:pt>
                <c:pt idx="33">
                  <c:v>līdz 825</c:v>
                </c:pt>
                <c:pt idx="34">
                  <c:v>līdz 850</c:v>
                </c:pt>
                <c:pt idx="35">
                  <c:v>līdz 875</c:v>
                </c:pt>
                <c:pt idx="36">
                  <c:v>līdz 900</c:v>
                </c:pt>
                <c:pt idx="37">
                  <c:v>līdz 925</c:v>
                </c:pt>
                <c:pt idx="38">
                  <c:v>līdz 950</c:v>
                </c:pt>
                <c:pt idx="39">
                  <c:v>līdz 975</c:v>
                </c:pt>
                <c:pt idx="40">
                  <c:v>līdz 1000</c:v>
                </c:pt>
              </c:strCache>
            </c:strRef>
          </c:cat>
          <c:val>
            <c:numRef>
              <c:f>Grafiks!$B$3:$B$43</c:f>
              <c:numCache>
                <c:formatCode>0</c:formatCode>
                <c:ptCount val="41"/>
                <c:pt idx="0">
                  <c:v>0</c:v>
                </c:pt>
                <c:pt idx="1">
                  <c:v>14831</c:v>
                </c:pt>
                <c:pt idx="2">
                  <c:v>27715</c:v>
                </c:pt>
                <c:pt idx="3">
                  <c:v>42209</c:v>
                </c:pt>
                <c:pt idx="4">
                  <c:v>67104</c:v>
                </c:pt>
                <c:pt idx="5">
                  <c:v>108687</c:v>
                </c:pt>
                <c:pt idx="6">
                  <c:v>151170</c:v>
                </c:pt>
                <c:pt idx="7">
                  <c:v>211248</c:v>
                </c:pt>
                <c:pt idx="8">
                  <c:v>271291</c:v>
                </c:pt>
                <c:pt idx="9">
                  <c:v>349526</c:v>
                </c:pt>
                <c:pt idx="10">
                  <c:v>466967</c:v>
                </c:pt>
                <c:pt idx="11">
                  <c:v>569884</c:v>
                </c:pt>
                <c:pt idx="12">
                  <c:v>671058</c:v>
                </c:pt>
                <c:pt idx="13">
                  <c:v>776859</c:v>
                </c:pt>
                <c:pt idx="14">
                  <c:v>867632</c:v>
                </c:pt>
                <c:pt idx="15">
                  <c:v>954453</c:v>
                </c:pt>
                <c:pt idx="16">
                  <c:v>1034822</c:v>
                </c:pt>
                <c:pt idx="17">
                  <c:v>1103757</c:v>
                </c:pt>
                <c:pt idx="18">
                  <c:v>1164159</c:v>
                </c:pt>
                <c:pt idx="19">
                  <c:v>1225720</c:v>
                </c:pt>
                <c:pt idx="20">
                  <c:v>1281444</c:v>
                </c:pt>
                <c:pt idx="21">
                  <c:v>1342577</c:v>
                </c:pt>
                <c:pt idx="22">
                  <c:v>1398227</c:v>
                </c:pt>
                <c:pt idx="23">
                  <c:v>1456875</c:v>
                </c:pt>
                <c:pt idx="24">
                  <c:v>1502208</c:v>
                </c:pt>
                <c:pt idx="25">
                  <c:v>1539523</c:v>
                </c:pt>
                <c:pt idx="26">
                  <c:v>1570660</c:v>
                </c:pt>
                <c:pt idx="27">
                  <c:v>1609965</c:v>
                </c:pt>
                <c:pt idx="28">
                  <c:v>1647145</c:v>
                </c:pt>
                <c:pt idx="29">
                  <c:v>1683463</c:v>
                </c:pt>
                <c:pt idx="30">
                  <c:v>1701578</c:v>
                </c:pt>
                <c:pt idx="31">
                  <c:v>1720980</c:v>
                </c:pt>
                <c:pt idx="32">
                  <c:v>1736747</c:v>
                </c:pt>
                <c:pt idx="33">
                  <c:v>1758411</c:v>
                </c:pt>
                <c:pt idx="34">
                  <c:v>1777231</c:v>
                </c:pt>
                <c:pt idx="35">
                  <c:v>1793261</c:v>
                </c:pt>
                <c:pt idx="36">
                  <c:v>1807870</c:v>
                </c:pt>
                <c:pt idx="37">
                  <c:v>1823116</c:v>
                </c:pt>
                <c:pt idx="38">
                  <c:v>1835729</c:v>
                </c:pt>
                <c:pt idx="39">
                  <c:v>1846569</c:v>
                </c:pt>
                <c:pt idx="40">
                  <c:v>1854298</c:v>
                </c:pt>
              </c:numCache>
            </c:numRef>
          </c:val>
          <c:smooth val="0"/>
        </c:ser>
        <c:ser>
          <c:idx val="2"/>
          <c:order val="1"/>
          <c:tx>
            <c:strRef>
              <c:f>Grafiks!$D$4</c:f>
              <c:strCache>
                <c:ptCount val="1"/>
                <c:pt idx="0">
                  <c:v>399476.4</c:v>
                </c:pt>
              </c:strCache>
            </c:strRef>
          </c:tx>
          <c:marker>
            <c:symbol val="none"/>
          </c:marker>
          <c:cat>
            <c:strRef>
              <c:f>Grafiks!$A$3:$A$43</c:f>
              <c:strCache>
                <c:ptCount val="41"/>
                <c:pt idx="0">
                  <c:v>0</c:v>
                </c:pt>
                <c:pt idx="1">
                  <c:v>līdz 25</c:v>
                </c:pt>
                <c:pt idx="2">
                  <c:v>līdz 50</c:v>
                </c:pt>
                <c:pt idx="3">
                  <c:v>līdz 75</c:v>
                </c:pt>
                <c:pt idx="4">
                  <c:v>līdz 100</c:v>
                </c:pt>
                <c:pt idx="5">
                  <c:v>līdz 125</c:v>
                </c:pt>
                <c:pt idx="6">
                  <c:v>līdz 150</c:v>
                </c:pt>
                <c:pt idx="7">
                  <c:v>līdz 175</c:v>
                </c:pt>
                <c:pt idx="8">
                  <c:v>līdz 200</c:v>
                </c:pt>
                <c:pt idx="9">
                  <c:v>līdz 225</c:v>
                </c:pt>
                <c:pt idx="10">
                  <c:v>līdz 250</c:v>
                </c:pt>
                <c:pt idx="11">
                  <c:v>līdz 275</c:v>
                </c:pt>
                <c:pt idx="12">
                  <c:v>līdz 300</c:v>
                </c:pt>
                <c:pt idx="13">
                  <c:v>līdz 325</c:v>
                </c:pt>
                <c:pt idx="14">
                  <c:v>līdz 350</c:v>
                </c:pt>
                <c:pt idx="15">
                  <c:v>līdz 375</c:v>
                </c:pt>
                <c:pt idx="16">
                  <c:v>līdz 400</c:v>
                </c:pt>
                <c:pt idx="17">
                  <c:v>līdz 425</c:v>
                </c:pt>
                <c:pt idx="18">
                  <c:v>līdz 450</c:v>
                </c:pt>
                <c:pt idx="19">
                  <c:v>līdz 475</c:v>
                </c:pt>
                <c:pt idx="20">
                  <c:v>līdz 500</c:v>
                </c:pt>
                <c:pt idx="21">
                  <c:v>līdz 525</c:v>
                </c:pt>
                <c:pt idx="22">
                  <c:v>līdz 550</c:v>
                </c:pt>
                <c:pt idx="23">
                  <c:v>līdz 575</c:v>
                </c:pt>
                <c:pt idx="24">
                  <c:v>līdz 600</c:v>
                </c:pt>
                <c:pt idx="25">
                  <c:v>līdz 625</c:v>
                </c:pt>
                <c:pt idx="26">
                  <c:v>līdz 650</c:v>
                </c:pt>
                <c:pt idx="27">
                  <c:v>līdz 675</c:v>
                </c:pt>
                <c:pt idx="28">
                  <c:v>līdz 700</c:v>
                </c:pt>
                <c:pt idx="29">
                  <c:v>līdz 725</c:v>
                </c:pt>
                <c:pt idx="30">
                  <c:v>līdz 750</c:v>
                </c:pt>
                <c:pt idx="31">
                  <c:v>līdz 775</c:v>
                </c:pt>
                <c:pt idx="32">
                  <c:v>līdz 800</c:v>
                </c:pt>
                <c:pt idx="33">
                  <c:v>līdz 825</c:v>
                </c:pt>
                <c:pt idx="34">
                  <c:v>līdz 850</c:v>
                </c:pt>
                <c:pt idx="35">
                  <c:v>līdz 875</c:v>
                </c:pt>
                <c:pt idx="36">
                  <c:v>līdz 900</c:v>
                </c:pt>
                <c:pt idx="37">
                  <c:v>līdz 925</c:v>
                </c:pt>
                <c:pt idx="38">
                  <c:v>līdz 950</c:v>
                </c:pt>
                <c:pt idx="39">
                  <c:v>līdz 975</c:v>
                </c:pt>
                <c:pt idx="40">
                  <c:v>līdz 1000</c:v>
                </c:pt>
              </c:strCache>
            </c:strRef>
          </c:cat>
          <c:val>
            <c:numRef>
              <c:f>Grafiks!$D$4:$D$15</c:f>
              <c:numCache>
                <c:formatCode>General</c:formatCode>
                <c:ptCount val="12"/>
                <c:pt idx="0">
                  <c:v>399476.4</c:v>
                </c:pt>
                <c:pt idx="1">
                  <c:v>399476.4</c:v>
                </c:pt>
                <c:pt idx="2">
                  <c:v>399476.4</c:v>
                </c:pt>
                <c:pt idx="3">
                  <c:v>399476.4</c:v>
                </c:pt>
                <c:pt idx="4">
                  <c:v>399476.4</c:v>
                </c:pt>
                <c:pt idx="5">
                  <c:v>399476.4</c:v>
                </c:pt>
                <c:pt idx="6">
                  <c:v>399476.4</c:v>
                </c:pt>
                <c:pt idx="7">
                  <c:v>399476.4</c:v>
                </c:pt>
                <c:pt idx="8">
                  <c:v>399476.4</c:v>
                </c:pt>
                <c:pt idx="9">
                  <c:v>399476.4</c:v>
                </c:pt>
                <c:pt idx="10">
                  <c:v>399476.4</c:v>
                </c:pt>
              </c:numCache>
            </c:numRef>
          </c:val>
          <c:smooth val="0"/>
        </c:ser>
        <c:dLbls>
          <c:showLegendKey val="0"/>
          <c:showVal val="0"/>
          <c:showCatName val="0"/>
          <c:showSerName val="0"/>
          <c:showPercent val="0"/>
          <c:showBubbleSize val="0"/>
        </c:dLbls>
        <c:marker val="1"/>
        <c:smooth val="0"/>
        <c:axId val="123589760"/>
        <c:axId val="123591680"/>
      </c:lineChart>
      <c:scatterChart>
        <c:scatterStyle val="lineMarker"/>
        <c:varyColors val="0"/>
        <c:ser>
          <c:idx val="3"/>
          <c:order val="2"/>
          <c:tx>
            <c:strRef>
              <c:f>Grafiks!$I$37</c:f>
              <c:strCache>
                <c:ptCount val="1"/>
                <c:pt idx="0">
                  <c:v>Ienākumu mediāna </c:v>
                </c:pt>
              </c:strCache>
            </c:strRef>
          </c:tx>
          <c:marker>
            <c:symbol val="none"/>
          </c:marker>
          <c:xVal>
            <c:numRef>
              <c:f>(Grafiks!$J$37,Grafiks!$J$37)</c:f>
              <c:numCache>
                <c:formatCode>General</c:formatCode>
                <c:ptCount val="2"/>
                <c:pt idx="0">
                  <c:v>391.66666666666669</c:v>
                </c:pt>
                <c:pt idx="1">
                  <c:v>391.66666666666669</c:v>
                </c:pt>
              </c:numCache>
            </c:numRef>
          </c:xVal>
          <c:yVal>
            <c:numRef>
              <c:f>Grafiks!$J$37:$K$37</c:f>
              <c:numCache>
                <c:formatCode>General</c:formatCode>
                <c:ptCount val="2"/>
                <c:pt idx="0">
                  <c:v>391.66666666666669</c:v>
                </c:pt>
                <c:pt idx="1">
                  <c:v>0</c:v>
                </c:pt>
              </c:numCache>
            </c:numRef>
          </c:yVal>
          <c:smooth val="0"/>
        </c:ser>
        <c:ser>
          <c:idx val="4"/>
          <c:order val="3"/>
          <c:tx>
            <c:strRef>
              <c:f>Grafiks!$I$38</c:f>
              <c:strCache>
                <c:ptCount val="1"/>
                <c:pt idx="0">
                  <c:v> 60 % no ienākumu mediānas </c:v>
                </c:pt>
              </c:strCache>
            </c:strRef>
          </c:tx>
          <c:marker>
            <c:symbol val="none"/>
          </c:marker>
          <c:xVal>
            <c:numRef>
              <c:f>(Grafiks!$J$38,Grafiks!$J$38)</c:f>
              <c:numCache>
                <c:formatCode>General</c:formatCode>
                <c:ptCount val="2"/>
                <c:pt idx="0">
                  <c:v>235</c:v>
                </c:pt>
                <c:pt idx="1">
                  <c:v>235</c:v>
                </c:pt>
              </c:numCache>
            </c:numRef>
          </c:xVal>
          <c:yVal>
            <c:numLit>
              <c:formatCode>General</c:formatCode>
              <c:ptCount val="2"/>
              <c:pt idx="0">
                <c:v>98</c:v>
              </c:pt>
              <c:pt idx="1">
                <c:v>0</c:v>
              </c:pt>
            </c:numLit>
          </c:yVal>
          <c:smooth val="0"/>
        </c:ser>
        <c:dLbls>
          <c:showLegendKey val="0"/>
          <c:showVal val="0"/>
          <c:showCatName val="0"/>
          <c:showSerName val="0"/>
          <c:showPercent val="0"/>
          <c:showBubbleSize val="0"/>
        </c:dLbls>
        <c:axId val="123595392"/>
        <c:axId val="123593856"/>
      </c:scatterChart>
      <c:catAx>
        <c:axId val="123589760"/>
        <c:scaling>
          <c:orientation val="minMax"/>
        </c:scaling>
        <c:delete val="0"/>
        <c:axPos val="b"/>
        <c:title>
          <c:tx>
            <c:rich>
              <a:bodyPr/>
              <a:lstStyle/>
              <a:p>
                <a:pPr>
                  <a:defRPr/>
                </a:pPr>
                <a:r>
                  <a:rPr lang="lv-LV"/>
                  <a:t>Rīcībā esošie ienākumi uz vienu ekvivalento patērētāju, EUR mēnesī</a:t>
                </a:r>
              </a:p>
            </c:rich>
          </c:tx>
          <c:layout/>
          <c:overlay val="0"/>
        </c:title>
        <c:numFmt formatCode="General" sourceLinked="1"/>
        <c:majorTickMark val="none"/>
        <c:minorTickMark val="none"/>
        <c:tickLblPos val="nextTo"/>
        <c:txPr>
          <a:bodyPr rot="-5400000" vert="horz"/>
          <a:lstStyle/>
          <a:p>
            <a:pPr>
              <a:defRPr sz="900"/>
            </a:pPr>
            <a:endParaRPr lang="lv-LV"/>
          </a:p>
        </c:txPr>
        <c:crossAx val="123591680"/>
        <c:crosses val="autoZero"/>
        <c:auto val="1"/>
        <c:lblAlgn val="ctr"/>
        <c:lblOffset val="100"/>
        <c:noMultiLvlLbl val="0"/>
      </c:catAx>
      <c:valAx>
        <c:axId val="123591680"/>
        <c:scaling>
          <c:orientation val="minMax"/>
          <c:max val="2000000"/>
        </c:scaling>
        <c:delete val="0"/>
        <c:axPos val="l"/>
        <c:majorGridlines/>
        <c:title>
          <c:tx>
            <c:rich>
              <a:bodyPr rot="-5400000" vert="horz"/>
              <a:lstStyle/>
              <a:p>
                <a:pPr>
                  <a:defRPr sz="900"/>
                </a:pPr>
                <a:r>
                  <a:rPr lang="lv-LV" sz="900"/>
                  <a:t>Personu</a:t>
                </a:r>
                <a:r>
                  <a:rPr lang="lv-LV" sz="900" baseline="0"/>
                  <a:t> skaits</a:t>
                </a:r>
                <a:endParaRPr lang="lv-LV" sz="900"/>
              </a:p>
            </c:rich>
          </c:tx>
          <c:layout/>
          <c:overlay val="0"/>
        </c:title>
        <c:numFmt formatCode="0" sourceLinked="1"/>
        <c:majorTickMark val="none"/>
        <c:minorTickMark val="none"/>
        <c:tickLblPos val="nextTo"/>
        <c:txPr>
          <a:bodyPr/>
          <a:lstStyle/>
          <a:p>
            <a:pPr>
              <a:defRPr sz="800"/>
            </a:pPr>
            <a:endParaRPr lang="lv-LV"/>
          </a:p>
        </c:txPr>
        <c:crossAx val="123589760"/>
        <c:crosses val="autoZero"/>
        <c:crossBetween val="midCat"/>
        <c:majorUnit val="250000"/>
        <c:minorUnit val="250000"/>
      </c:valAx>
      <c:valAx>
        <c:axId val="123593856"/>
        <c:scaling>
          <c:orientation val="minMax"/>
        </c:scaling>
        <c:delete val="0"/>
        <c:axPos val="r"/>
        <c:numFmt formatCode="General" sourceLinked="1"/>
        <c:majorTickMark val="out"/>
        <c:minorTickMark val="none"/>
        <c:tickLblPos val="nextTo"/>
        <c:spPr>
          <a:noFill/>
          <a:ln>
            <a:noFill/>
          </a:ln>
        </c:spPr>
        <c:txPr>
          <a:bodyPr/>
          <a:lstStyle/>
          <a:p>
            <a:pPr>
              <a:defRPr baseline="0">
                <a:solidFill>
                  <a:schemeClr val="bg1"/>
                </a:solidFill>
              </a:defRPr>
            </a:pPr>
            <a:endParaRPr lang="lv-LV"/>
          </a:p>
        </c:txPr>
        <c:crossAx val="123595392"/>
        <c:crosses val="max"/>
        <c:crossBetween val="midCat"/>
      </c:valAx>
      <c:valAx>
        <c:axId val="123595392"/>
        <c:scaling>
          <c:orientation val="minMax"/>
          <c:max val="1000"/>
        </c:scaling>
        <c:delete val="0"/>
        <c:axPos val="t"/>
        <c:numFmt formatCode="General" sourceLinked="1"/>
        <c:majorTickMark val="out"/>
        <c:minorTickMark val="none"/>
        <c:tickLblPos val="nextTo"/>
        <c:spPr>
          <a:noFill/>
          <a:ln>
            <a:noFill/>
          </a:ln>
        </c:spPr>
        <c:txPr>
          <a:bodyPr/>
          <a:lstStyle/>
          <a:p>
            <a:pPr>
              <a:defRPr baseline="0">
                <a:solidFill>
                  <a:schemeClr val="bg1"/>
                </a:solidFill>
              </a:defRPr>
            </a:pPr>
            <a:endParaRPr lang="lv-LV"/>
          </a:p>
        </c:txPr>
        <c:crossAx val="123593856"/>
        <c:crosses val="max"/>
        <c:crossBetween val="midCat"/>
      </c:valAx>
    </c:plotArea>
    <c:legend>
      <c:legendPos val="b"/>
      <c:legendEntry>
        <c:idx val="1"/>
        <c:delete val="1"/>
      </c:legendEntry>
      <c:layout/>
      <c:overlay val="0"/>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'NI0020'!$B$3:$B$4</c:f>
              <c:strCache>
                <c:ptCount val="1"/>
                <c:pt idx="0">
                  <c:v>EUR gadā</c:v>
                </c:pt>
              </c:strCache>
            </c:strRef>
          </c:tx>
          <c:invertIfNegative val="0"/>
          <c:dLbls>
            <c:txPr>
              <a:bodyPr/>
              <a:lstStyle/>
              <a:p>
                <a:pPr>
                  <a:defRPr sz="900"/>
                </a:pPr>
                <a:endParaRPr lang="lv-LV"/>
              </a:p>
            </c:txPr>
            <c:showLegendKey val="0"/>
            <c:showVal val="1"/>
            <c:showCatName val="0"/>
            <c:showSerName val="0"/>
            <c:showPercent val="0"/>
            <c:showBubbleSize val="0"/>
            <c:showLeaderLines val="0"/>
          </c:dLbls>
          <c:cat>
            <c:numRef>
              <c:f>'NI0020'!$A$5:$A$13</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'NI0020'!$B$5:$B$13</c:f>
              <c:numCache>
                <c:formatCode>General</c:formatCode>
                <c:ptCount val="9"/>
                <c:pt idx="0">
                  <c:v>1319</c:v>
                </c:pt>
                <c:pt idx="1">
                  <c:v>1532</c:v>
                </c:pt>
                <c:pt idx="2">
                  <c:v>2038</c:v>
                </c:pt>
                <c:pt idx="3">
                  <c:v>2855</c:v>
                </c:pt>
                <c:pt idx="4">
                  <c:v>3213</c:v>
                </c:pt>
                <c:pt idx="5">
                  <c:v>2682</c:v>
                </c:pt>
                <c:pt idx="6">
                  <c:v>2496</c:v>
                </c:pt>
                <c:pt idx="7">
                  <c:v>2657</c:v>
                </c:pt>
                <c:pt idx="8">
                  <c:v>2821</c:v>
                </c:pt>
              </c:numCache>
            </c:numRef>
          </c:val>
        </c:ser>
        <c:dLbls>
          <c:showLegendKey val="0"/>
          <c:showVal val="1"/>
          <c:showCatName val="0"/>
          <c:showSerName val="0"/>
          <c:showPercent val="0"/>
          <c:showBubbleSize val="0"/>
        </c:dLbls>
        <c:gapWidth val="150"/>
        <c:overlap val="-25"/>
        <c:axId val="69085440"/>
        <c:axId val="69108864"/>
      </c:barChart>
      <c:catAx>
        <c:axId val="69085440"/>
        <c:scaling>
          <c:orientation val="minMax"/>
        </c:scaling>
        <c:delete val="0"/>
        <c:axPos val="l"/>
        <c:numFmt formatCode="General" sourceLinked="1"/>
        <c:majorTickMark val="none"/>
        <c:minorTickMark val="none"/>
        <c:tickLblPos val="nextTo"/>
        <c:txPr>
          <a:bodyPr/>
          <a:lstStyle/>
          <a:p>
            <a:pPr>
              <a:defRPr sz="900"/>
            </a:pPr>
            <a:endParaRPr lang="lv-LV"/>
          </a:p>
        </c:txPr>
        <c:crossAx val="69108864"/>
        <c:crosses val="autoZero"/>
        <c:auto val="1"/>
        <c:lblAlgn val="ctr"/>
        <c:lblOffset val="100"/>
        <c:noMultiLvlLbl val="0"/>
      </c:catAx>
      <c:valAx>
        <c:axId val="69108864"/>
        <c:scaling>
          <c:orientation val="minMax"/>
        </c:scaling>
        <c:delete val="1"/>
        <c:axPos val="b"/>
        <c:numFmt formatCode="General" sourceLinked="1"/>
        <c:majorTickMark val="none"/>
        <c:minorTickMark val="none"/>
        <c:tickLblPos val="nextTo"/>
        <c:crossAx val="6908544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5"/>
            </a:solidFill>
          </c:spPr>
          <c:invertIfNegative val="0"/>
          <c:dPt>
            <c:idx val="3"/>
            <c:invertIfNegative val="0"/>
            <c:bubble3D val="0"/>
            <c:spPr>
              <a:solidFill>
                <a:srgbClr val="FF0000"/>
              </a:solidFill>
            </c:spPr>
          </c:dPt>
          <c:cat>
            <c:strRef>
              <c:f>Data!$A$22:$A$49</c:f>
              <c:strCache>
                <c:ptCount val="28"/>
                <c:pt idx="0">
                  <c:v>Romania</c:v>
                </c:pt>
                <c:pt idx="1">
                  <c:v>Bulgaria</c:v>
                </c:pt>
                <c:pt idx="2">
                  <c:v>Lithuania</c:v>
                </c:pt>
                <c:pt idx="3">
                  <c:v>Latvia</c:v>
                </c:pt>
                <c:pt idx="4">
                  <c:v>Hungary</c:v>
                </c:pt>
                <c:pt idx="5">
                  <c:v>Poland</c:v>
                </c:pt>
                <c:pt idx="6">
                  <c:v>Croatia</c:v>
                </c:pt>
                <c:pt idx="7">
                  <c:v>Estonia</c:v>
                </c:pt>
                <c:pt idx="8">
                  <c:v>Slovakia</c:v>
                </c:pt>
                <c:pt idx="9">
                  <c:v>Czech Republic</c:v>
                </c:pt>
                <c:pt idx="10">
                  <c:v>Portugal</c:v>
                </c:pt>
                <c:pt idx="11">
                  <c:v>Greece</c:v>
                </c:pt>
                <c:pt idx="12">
                  <c:v>Malta</c:v>
                </c:pt>
                <c:pt idx="13">
                  <c:v>Spain</c:v>
                </c:pt>
                <c:pt idx="14">
                  <c:v>Slovenia</c:v>
                </c:pt>
                <c:pt idx="15">
                  <c:v>Italy</c:v>
                </c:pt>
                <c:pt idx="16">
                  <c:v>Cyprus</c:v>
                </c:pt>
                <c:pt idx="17">
                  <c:v>United Kingdom</c:v>
                </c:pt>
                <c:pt idx="18">
                  <c:v>Ireland</c:v>
                </c:pt>
                <c:pt idx="19">
                  <c:v>Germany </c:v>
                </c:pt>
                <c:pt idx="20">
                  <c:v>Belgium</c:v>
                </c:pt>
                <c:pt idx="21">
                  <c:v>Netherlands</c:v>
                </c:pt>
                <c:pt idx="22">
                  <c:v>France</c:v>
                </c:pt>
                <c:pt idx="23">
                  <c:v>Austria</c:v>
                </c:pt>
                <c:pt idx="24">
                  <c:v>Finland</c:v>
                </c:pt>
                <c:pt idx="25">
                  <c:v>Sweden</c:v>
                </c:pt>
                <c:pt idx="26">
                  <c:v>Denmark</c:v>
                </c:pt>
                <c:pt idx="27">
                  <c:v>Luxembourg</c:v>
                </c:pt>
              </c:strCache>
            </c:strRef>
          </c:cat>
          <c:val>
            <c:numRef>
              <c:f>Data!$B$22:$B$49</c:f>
              <c:numCache>
                <c:formatCode>#,##0</c:formatCode>
                <c:ptCount val="28"/>
                <c:pt idx="0">
                  <c:v>1270</c:v>
                </c:pt>
                <c:pt idx="1">
                  <c:v>1716</c:v>
                </c:pt>
                <c:pt idx="2">
                  <c:v>2602</c:v>
                </c:pt>
                <c:pt idx="3">
                  <c:v>2657</c:v>
                </c:pt>
                <c:pt idx="4">
                  <c:v>2852</c:v>
                </c:pt>
                <c:pt idx="5">
                  <c:v>3036</c:v>
                </c:pt>
                <c:pt idx="6">
                  <c:v>3243</c:v>
                </c:pt>
                <c:pt idx="7">
                  <c:v>3592</c:v>
                </c:pt>
                <c:pt idx="8">
                  <c:v>4156</c:v>
                </c:pt>
                <c:pt idx="9">
                  <c:v>4675</c:v>
                </c:pt>
                <c:pt idx="10">
                  <c:v>4994</c:v>
                </c:pt>
                <c:pt idx="11">
                  <c:v>5708</c:v>
                </c:pt>
                <c:pt idx="12">
                  <c:v>6869</c:v>
                </c:pt>
                <c:pt idx="13">
                  <c:v>7182</c:v>
                </c:pt>
                <c:pt idx="14">
                  <c:v>7273</c:v>
                </c:pt>
                <c:pt idx="15">
                  <c:v>9617</c:v>
                </c:pt>
                <c:pt idx="16">
                  <c:v>10156</c:v>
                </c:pt>
                <c:pt idx="17">
                  <c:v>11404</c:v>
                </c:pt>
                <c:pt idx="18">
                  <c:v>11447</c:v>
                </c:pt>
                <c:pt idx="19">
                  <c:v>11757</c:v>
                </c:pt>
                <c:pt idx="20">
                  <c:v>12035</c:v>
                </c:pt>
                <c:pt idx="21">
                  <c:v>12337</c:v>
                </c:pt>
                <c:pt idx="22">
                  <c:v>12362</c:v>
                </c:pt>
                <c:pt idx="23">
                  <c:v>13084</c:v>
                </c:pt>
                <c:pt idx="24">
                  <c:v>13619</c:v>
                </c:pt>
                <c:pt idx="25">
                  <c:v>14832</c:v>
                </c:pt>
                <c:pt idx="26">
                  <c:v>15948</c:v>
                </c:pt>
                <c:pt idx="27">
                  <c:v>19668</c:v>
                </c:pt>
              </c:numCache>
            </c:numRef>
          </c:val>
        </c:ser>
        <c:dLbls>
          <c:showLegendKey val="0"/>
          <c:showVal val="1"/>
          <c:showCatName val="0"/>
          <c:showSerName val="0"/>
          <c:showPercent val="0"/>
          <c:showBubbleSize val="0"/>
        </c:dLbls>
        <c:gapWidth val="75"/>
        <c:axId val="69134208"/>
        <c:axId val="69135744"/>
      </c:barChart>
      <c:catAx>
        <c:axId val="69134208"/>
        <c:scaling>
          <c:orientation val="minMax"/>
        </c:scaling>
        <c:delete val="0"/>
        <c:axPos val="l"/>
        <c:majorTickMark val="none"/>
        <c:minorTickMark val="none"/>
        <c:tickLblPos val="nextTo"/>
        <c:txPr>
          <a:bodyPr/>
          <a:lstStyle/>
          <a:p>
            <a:pPr>
              <a:defRPr sz="700"/>
            </a:pPr>
            <a:endParaRPr lang="lv-LV"/>
          </a:p>
        </c:txPr>
        <c:crossAx val="69135744"/>
        <c:crosses val="autoZero"/>
        <c:auto val="1"/>
        <c:lblAlgn val="ctr"/>
        <c:lblOffset val="100"/>
        <c:noMultiLvlLbl val="0"/>
      </c:catAx>
      <c:valAx>
        <c:axId val="69135744"/>
        <c:scaling>
          <c:orientation val="minMax"/>
        </c:scaling>
        <c:delete val="0"/>
        <c:axPos val="b"/>
        <c:numFmt formatCode="#,##0" sourceLinked="1"/>
        <c:majorTickMark val="none"/>
        <c:minorTickMark val="none"/>
        <c:tickLblPos val="nextTo"/>
        <c:crossAx val="69134208"/>
        <c:crosses val="autoZero"/>
        <c:crossBetween val="between"/>
      </c:valAx>
    </c:plotArea>
    <c:plotVisOnly val="1"/>
    <c:dispBlanksAs val="gap"/>
    <c:showDLblsOverMax val="0"/>
  </c:chart>
  <c:txPr>
    <a:bodyPr/>
    <a:lstStyle/>
    <a:p>
      <a:pPr>
        <a:defRPr sz="800"/>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4"/>
            </a:solidFill>
          </c:spPr>
          <c:invertIfNegative val="0"/>
          <c:dPt>
            <c:idx val="2"/>
            <c:invertIfNegative val="0"/>
            <c:bubble3D val="0"/>
            <c:spPr>
              <a:solidFill>
                <a:schemeClr val="accent6"/>
              </a:solidFill>
            </c:spPr>
          </c:dPt>
          <c:cat>
            <c:strRef>
              <c:f>[nama_aux_gph.xls]Data!$A$11:$A$39</c:f>
              <c:strCache>
                <c:ptCount val="29"/>
                <c:pt idx="0">
                  <c:v>Bulgaria</c:v>
                </c:pt>
                <c:pt idx="1">
                  <c:v>Romania</c:v>
                </c:pt>
                <c:pt idx="2">
                  <c:v>Latvia</c:v>
                </c:pt>
                <c:pt idx="3">
                  <c:v>Lithuania</c:v>
                </c:pt>
                <c:pt idx="4">
                  <c:v>Croatia</c:v>
                </c:pt>
                <c:pt idx="5">
                  <c:v>Poland</c:v>
                </c:pt>
                <c:pt idx="6">
                  <c:v>Hungary</c:v>
                </c:pt>
                <c:pt idx="7">
                  <c:v>Slovakia</c:v>
                </c:pt>
                <c:pt idx="8">
                  <c:v>Estonia</c:v>
                </c:pt>
                <c:pt idx="9">
                  <c:v>Czech Republic</c:v>
                </c:pt>
                <c:pt idx="10">
                  <c:v>Malta</c:v>
                </c:pt>
                <c:pt idx="11">
                  <c:v>Portugal</c:v>
                </c:pt>
                <c:pt idx="12">
                  <c:v>Slovenia</c:v>
                </c:pt>
                <c:pt idx="13">
                  <c:v>Greece</c:v>
                </c:pt>
                <c:pt idx="14">
                  <c:v>Cyprus</c:v>
                </c:pt>
                <c:pt idx="15">
                  <c:v>Spain</c:v>
                </c:pt>
                <c:pt idx="16">
                  <c:v>Italy</c:v>
                </c:pt>
                <c:pt idx="17">
                  <c:v>EU-28</c:v>
                </c:pt>
                <c:pt idx="18">
                  <c:v>France</c:v>
                </c:pt>
                <c:pt idx="19">
                  <c:v>Belgium</c:v>
                </c:pt>
                <c:pt idx="20">
                  <c:v>Germany </c:v>
                </c:pt>
                <c:pt idx="21">
                  <c:v>United Kingdom</c:v>
                </c:pt>
                <c:pt idx="22">
                  <c:v>Finland</c:v>
                </c:pt>
                <c:pt idx="23">
                  <c:v>Austria</c:v>
                </c:pt>
                <c:pt idx="24">
                  <c:v>Netherlands</c:v>
                </c:pt>
                <c:pt idx="25">
                  <c:v>Sweden</c:v>
                </c:pt>
                <c:pt idx="26">
                  <c:v>Ireland</c:v>
                </c:pt>
                <c:pt idx="27">
                  <c:v>Denmark</c:v>
                </c:pt>
                <c:pt idx="28">
                  <c:v>Luxembourg</c:v>
                </c:pt>
              </c:strCache>
            </c:strRef>
          </c:cat>
          <c:val>
            <c:numRef>
              <c:f>[nama_aux_gph.xls]Data!$B$11:$B$39</c:f>
              <c:numCache>
                <c:formatCode>#,##0</c:formatCode>
                <c:ptCount val="29"/>
                <c:pt idx="0">
                  <c:v>3700</c:v>
                </c:pt>
                <c:pt idx="1">
                  <c:v>4600</c:v>
                </c:pt>
                <c:pt idx="2">
                  <c:v>6800</c:v>
                </c:pt>
                <c:pt idx="3">
                  <c:v>8100</c:v>
                </c:pt>
                <c:pt idx="4">
                  <c:v>8400</c:v>
                </c:pt>
                <c:pt idx="5">
                  <c:v>8500</c:v>
                </c:pt>
                <c:pt idx="6">
                  <c:v>8800</c:v>
                </c:pt>
                <c:pt idx="7">
                  <c:v>9400</c:v>
                </c:pt>
                <c:pt idx="8">
                  <c:v>9500</c:v>
                </c:pt>
                <c:pt idx="9">
                  <c:v>11500</c:v>
                </c:pt>
                <c:pt idx="10">
                  <c:v>13500</c:v>
                </c:pt>
                <c:pt idx="11">
                  <c:v>14300</c:v>
                </c:pt>
                <c:pt idx="12">
                  <c:v>15000</c:v>
                </c:pt>
                <c:pt idx="13">
                  <c:v>15100</c:v>
                </c:pt>
                <c:pt idx="14">
                  <c:v>17400</c:v>
                </c:pt>
                <c:pt idx="15">
                  <c:v>20200</c:v>
                </c:pt>
                <c:pt idx="16">
                  <c:v>22800</c:v>
                </c:pt>
                <c:pt idx="17">
                  <c:v>23200</c:v>
                </c:pt>
                <c:pt idx="18">
                  <c:v>27600</c:v>
                </c:pt>
                <c:pt idx="19">
                  <c:v>29600</c:v>
                </c:pt>
                <c:pt idx="20">
                  <c:v>30200</c:v>
                </c:pt>
                <c:pt idx="21">
                  <c:v>30200</c:v>
                </c:pt>
                <c:pt idx="22">
                  <c:v>30900</c:v>
                </c:pt>
                <c:pt idx="23">
                  <c:v>32200</c:v>
                </c:pt>
                <c:pt idx="24">
                  <c:v>32700</c:v>
                </c:pt>
                <c:pt idx="25">
                  <c:v>35300</c:v>
                </c:pt>
                <c:pt idx="26">
                  <c:v>36400</c:v>
                </c:pt>
                <c:pt idx="27">
                  <c:v>37200</c:v>
                </c:pt>
                <c:pt idx="28">
                  <c:v>62600</c:v>
                </c:pt>
              </c:numCache>
            </c:numRef>
          </c:val>
        </c:ser>
        <c:dLbls>
          <c:showLegendKey val="0"/>
          <c:showVal val="1"/>
          <c:showCatName val="0"/>
          <c:showSerName val="0"/>
          <c:showPercent val="0"/>
          <c:showBubbleSize val="0"/>
        </c:dLbls>
        <c:gapWidth val="75"/>
        <c:axId val="69246336"/>
        <c:axId val="69252224"/>
      </c:barChart>
      <c:catAx>
        <c:axId val="69246336"/>
        <c:scaling>
          <c:orientation val="minMax"/>
        </c:scaling>
        <c:delete val="0"/>
        <c:axPos val="l"/>
        <c:majorTickMark val="none"/>
        <c:minorTickMark val="none"/>
        <c:tickLblPos val="nextTo"/>
        <c:txPr>
          <a:bodyPr/>
          <a:lstStyle/>
          <a:p>
            <a:pPr>
              <a:defRPr sz="700"/>
            </a:pPr>
            <a:endParaRPr lang="lv-LV"/>
          </a:p>
        </c:txPr>
        <c:crossAx val="69252224"/>
        <c:crosses val="autoZero"/>
        <c:auto val="1"/>
        <c:lblAlgn val="ctr"/>
        <c:lblOffset val="100"/>
        <c:noMultiLvlLbl val="0"/>
      </c:catAx>
      <c:valAx>
        <c:axId val="69252224"/>
        <c:scaling>
          <c:orientation val="minMax"/>
        </c:scaling>
        <c:delete val="0"/>
        <c:axPos val="b"/>
        <c:numFmt formatCode="#,##0" sourceLinked="1"/>
        <c:majorTickMark val="none"/>
        <c:minorTickMark val="none"/>
        <c:tickLblPos val="nextTo"/>
        <c:crossAx val="69246336"/>
        <c:crosses val="autoZero"/>
        <c:crossBetween val="between"/>
      </c:valAx>
    </c:plotArea>
    <c:plotVisOnly val="1"/>
    <c:dispBlanksAs val="gap"/>
    <c:showDLblsOverMax val="0"/>
  </c:chart>
  <c:txPr>
    <a:bodyPr/>
    <a:lstStyle/>
    <a:p>
      <a:pPr>
        <a:defRPr sz="800"/>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[spr_exp_gdp.xls]Data!$B$11</c:f>
              <c:strCache>
                <c:ptCount val="1"/>
                <c:pt idx="0">
                  <c:v>Izdevumi sociālajai aizsardzībai % no IKP (2011)</c:v>
                </c:pt>
              </c:strCache>
            </c:strRef>
          </c:tx>
          <c:invertIfNegative val="0"/>
          <c:cat>
            <c:strRef>
              <c:f>[spr_exp_gdp.xls]Data!$A$12:$A$40</c:f>
              <c:strCache>
                <c:ptCount val="29"/>
                <c:pt idx="0">
                  <c:v>Denmark</c:v>
                </c:pt>
                <c:pt idx="1">
                  <c:v>France</c:v>
                </c:pt>
                <c:pt idx="2">
                  <c:v>Netherlands</c:v>
                </c:pt>
                <c:pt idx="3">
                  <c:v>Finland</c:v>
                </c:pt>
                <c:pt idx="4">
                  <c:v>Belgium</c:v>
                </c:pt>
                <c:pt idx="5">
                  <c:v>Austria</c:v>
                </c:pt>
                <c:pt idx="6">
                  <c:v>Sweden</c:v>
                </c:pt>
                <c:pt idx="7">
                  <c:v>Greece</c:v>
                </c:pt>
                <c:pt idx="8">
                  <c:v>Italy</c:v>
                </c:pt>
                <c:pt idx="9">
                  <c:v>Germany </c:v>
                </c:pt>
                <c:pt idx="10">
                  <c:v>Ireland</c:v>
                </c:pt>
                <c:pt idx="11">
                  <c:v>EU-28 </c:v>
                </c:pt>
                <c:pt idx="12">
                  <c:v>United Kingdom</c:v>
                </c:pt>
                <c:pt idx="13">
                  <c:v>Spain</c:v>
                </c:pt>
                <c:pt idx="14">
                  <c:v>Portugal</c:v>
                </c:pt>
                <c:pt idx="15">
                  <c:v>Slovenia</c:v>
                </c:pt>
                <c:pt idx="16">
                  <c:v>Hungary</c:v>
                </c:pt>
                <c:pt idx="17">
                  <c:v>Cyprus</c:v>
                </c:pt>
                <c:pt idx="18">
                  <c:v>Luxembourg</c:v>
                </c:pt>
                <c:pt idx="19">
                  <c:v>Croatia</c:v>
                </c:pt>
                <c:pt idx="20">
                  <c:v>Czech Republic</c:v>
                </c:pt>
                <c:pt idx="21">
                  <c:v>Poland</c:v>
                </c:pt>
                <c:pt idx="22">
                  <c:v>Malta</c:v>
                </c:pt>
                <c:pt idx="23">
                  <c:v>Slovakia</c:v>
                </c:pt>
                <c:pt idx="24">
                  <c:v>Bulgaria</c:v>
                </c:pt>
                <c:pt idx="25">
                  <c:v>Lithuania</c:v>
                </c:pt>
                <c:pt idx="26">
                  <c:v>Romania</c:v>
                </c:pt>
                <c:pt idx="27">
                  <c:v>Estonia</c:v>
                </c:pt>
                <c:pt idx="28">
                  <c:v>Latvia</c:v>
                </c:pt>
              </c:strCache>
            </c:strRef>
          </c:cat>
          <c:val>
            <c:numRef>
              <c:f>[spr_exp_gdp.xls]Data!$B$12:$B$40</c:f>
              <c:numCache>
                <c:formatCode>#,##0.0</c:formatCode>
                <c:ptCount val="29"/>
                <c:pt idx="0">
                  <c:v>32.799999999999997</c:v>
                </c:pt>
                <c:pt idx="1">
                  <c:v>31.9</c:v>
                </c:pt>
                <c:pt idx="2">
                  <c:v>30.5</c:v>
                </c:pt>
                <c:pt idx="3">
                  <c:v>29.2</c:v>
                </c:pt>
                <c:pt idx="4">
                  <c:v>29</c:v>
                </c:pt>
                <c:pt idx="5">
                  <c:v>29</c:v>
                </c:pt>
                <c:pt idx="6">
                  <c:v>29</c:v>
                </c:pt>
                <c:pt idx="7">
                  <c:v>28.9</c:v>
                </c:pt>
                <c:pt idx="8">
                  <c:v>28.4</c:v>
                </c:pt>
                <c:pt idx="9">
                  <c:v>28.3</c:v>
                </c:pt>
                <c:pt idx="10">
                  <c:v>28.3</c:v>
                </c:pt>
                <c:pt idx="11">
                  <c:v>27.8</c:v>
                </c:pt>
                <c:pt idx="12">
                  <c:v>26.3</c:v>
                </c:pt>
                <c:pt idx="13">
                  <c:v>25.6</c:v>
                </c:pt>
                <c:pt idx="14">
                  <c:v>25</c:v>
                </c:pt>
                <c:pt idx="15">
                  <c:v>24.6</c:v>
                </c:pt>
                <c:pt idx="16">
                  <c:v>22.8</c:v>
                </c:pt>
                <c:pt idx="17">
                  <c:v>22.4</c:v>
                </c:pt>
                <c:pt idx="18">
                  <c:v>22.2</c:v>
                </c:pt>
                <c:pt idx="19">
                  <c:v>20.3</c:v>
                </c:pt>
                <c:pt idx="20">
                  <c:v>19.8</c:v>
                </c:pt>
                <c:pt idx="21">
                  <c:v>18.7</c:v>
                </c:pt>
                <c:pt idx="22">
                  <c:v>18.5</c:v>
                </c:pt>
                <c:pt idx="23">
                  <c:v>17.7</c:v>
                </c:pt>
                <c:pt idx="24">
                  <c:v>17.2</c:v>
                </c:pt>
                <c:pt idx="25">
                  <c:v>16.399999999999999</c:v>
                </c:pt>
                <c:pt idx="26">
                  <c:v>16.100000000000001</c:v>
                </c:pt>
                <c:pt idx="27">
                  <c:v>15.9</c:v>
                </c:pt>
                <c:pt idx="28">
                  <c:v>14.8</c:v>
                </c:pt>
              </c:numCache>
            </c:numRef>
          </c:val>
        </c:ser>
        <c:ser>
          <c:idx val="1"/>
          <c:order val="1"/>
          <c:tx>
            <c:strRef>
              <c:f>[spr_exp_gdp.xls]Data!$C$11</c:f>
              <c:strCache>
                <c:ptCount val="1"/>
                <c:pt idx="0">
                  <c:v>Nabadzības riska indekss (2012)</c:v>
                </c:pt>
              </c:strCache>
            </c:strRef>
          </c:tx>
          <c:invertIfNegative val="0"/>
          <c:cat>
            <c:strRef>
              <c:f>[spr_exp_gdp.xls]Data!$A$12:$A$40</c:f>
              <c:strCache>
                <c:ptCount val="29"/>
                <c:pt idx="0">
                  <c:v>Denmark</c:v>
                </c:pt>
                <c:pt idx="1">
                  <c:v>France</c:v>
                </c:pt>
                <c:pt idx="2">
                  <c:v>Netherlands</c:v>
                </c:pt>
                <c:pt idx="3">
                  <c:v>Finland</c:v>
                </c:pt>
                <c:pt idx="4">
                  <c:v>Belgium</c:v>
                </c:pt>
                <c:pt idx="5">
                  <c:v>Austria</c:v>
                </c:pt>
                <c:pt idx="6">
                  <c:v>Sweden</c:v>
                </c:pt>
                <c:pt idx="7">
                  <c:v>Greece</c:v>
                </c:pt>
                <c:pt idx="8">
                  <c:v>Italy</c:v>
                </c:pt>
                <c:pt idx="9">
                  <c:v>Germany </c:v>
                </c:pt>
                <c:pt idx="10">
                  <c:v>Ireland</c:v>
                </c:pt>
                <c:pt idx="11">
                  <c:v>EU-28 </c:v>
                </c:pt>
                <c:pt idx="12">
                  <c:v>United Kingdom</c:v>
                </c:pt>
                <c:pt idx="13">
                  <c:v>Spain</c:v>
                </c:pt>
                <c:pt idx="14">
                  <c:v>Portugal</c:v>
                </c:pt>
                <c:pt idx="15">
                  <c:v>Slovenia</c:v>
                </c:pt>
                <c:pt idx="16">
                  <c:v>Hungary</c:v>
                </c:pt>
                <c:pt idx="17">
                  <c:v>Cyprus</c:v>
                </c:pt>
                <c:pt idx="18">
                  <c:v>Luxembourg</c:v>
                </c:pt>
                <c:pt idx="19">
                  <c:v>Croatia</c:v>
                </c:pt>
                <c:pt idx="20">
                  <c:v>Czech Republic</c:v>
                </c:pt>
                <c:pt idx="21">
                  <c:v>Poland</c:v>
                </c:pt>
                <c:pt idx="22">
                  <c:v>Malta</c:v>
                </c:pt>
                <c:pt idx="23">
                  <c:v>Slovakia</c:v>
                </c:pt>
                <c:pt idx="24">
                  <c:v>Bulgaria</c:v>
                </c:pt>
                <c:pt idx="25">
                  <c:v>Lithuania</c:v>
                </c:pt>
                <c:pt idx="26">
                  <c:v>Romania</c:v>
                </c:pt>
                <c:pt idx="27">
                  <c:v>Estonia</c:v>
                </c:pt>
                <c:pt idx="28">
                  <c:v>Latvia</c:v>
                </c:pt>
              </c:strCache>
            </c:strRef>
          </c:cat>
          <c:val>
            <c:numRef>
              <c:f>[spr_exp_gdp.xls]Data!$C$12:$C$40</c:f>
              <c:numCache>
                <c:formatCode>#,##0.0</c:formatCode>
                <c:ptCount val="29"/>
                <c:pt idx="0">
                  <c:v>13.1</c:v>
                </c:pt>
                <c:pt idx="1">
                  <c:v>14.1</c:v>
                </c:pt>
                <c:pt idx="2">
                  <c:v>10.1</c:v>
                </c:pt>
                <c:pt idx="3">
                  <c:v>13.2</c:v>
                </c:pt>
                <c:pt idx="4">
                  <c:v>15</c:v>
                </c:pt>
                <c:pt idx="5">
                  <c:v>14.4</c:v>
                </c:pt>
                <c:pt idx="6">
                  <c:v>14.1</c:v>
                </c:pt>
                <c:pt idx="7">
                  <c:v>23.1</c:v>
                </c:pt>
                <c:pt idx="8">
                  <c:v>19.399999999999999</c:v>
                </c:pt>
                <c:pt idx="9">
                  <c:v>16.100000000000001</c:v>
                </c:pt>
                <c:pt idx="10">
                  <c:v>15.7</c:v>
                </c:pt>
                <c:pt idx="11">
                  <c:v>16.899999999999999</c:v>
                </c:pt>
                <c:pt idx="12">
                  <c:v>16.2</c:v>
                </c:pt>
                <c:pt idx="13">
                  <c:v>22.2</c:v>
                </c:pt>
                <c:pt idx="14">
                  <c:v>17.899999999999999</c:v>
                </c:pt>
                <c:pt idx="15">
                  <c:v>13.5</c:v>
                </c:pt>
                <c:pt idx="16">
                  <c:v>14</c:v>
                </c:pt>
                <c:pt idx="17">
                  <c:v>14.7</c:v>
                </c:pt>
                <c:pt idx="18">
                  <c:v>15.1</c:v>
                </c:pt>
                <c:pt idx="19">
                  <c:v>20.5</c:v>
                </c:pt>
                <c:pt idx="20">
                  <c:v>9.6</c:v>
                </c:pt>
                <c:pt idx="21">
                  <c:v>17.100000000000001</c:v>
                </c:pt>
                <c:pt idx="22">
                  <c:v>15.1</c:v>
                </c:pt>
                <c:pt idx="23">
                  <c:v>13.2</c:v>
                </c:pt>
                <c:pt idx="24">
                  <c:v>21.2</c:v>
                </c:pt>
                <c:pt idx="25">
                  <c:v>18.600000000000001</c:v>
                </c:pt>
                <c:pt idx="26">
                  <c:v>22.6</c:v>
                </c:pt>
                <c:pt idx="27">
                  <c:v>17.5</c:v>
                </c:pt>
                <c:pt idx="28">
                  <c:v>19.2</c:v>
                </c:pt>
              </c:numCache>
            </c:numRef>
          </c:val>
        </c:ser>
        <c:dLbls>
          <c:showLegendKey val="0"/>
          <c:showVal val="0"/>
          <c:showCatName val="0"/>
          <c:showSerName val="0"/>
          <c:showPercent val="0"/>
          <c:showBubbleSize val="0"/>
        </c:dLbls>
        <c:gapWidth val="75"/>
        <c:overlap val="-25"/>
        <c:axId val="71344896"/>
        <c:axId val="71346432"/>
      </c:barChart>
      <c:catAx>
        <c:axId val="71344896"/>
        <c:scaling>
          <c:orientation val="minMax"/>
        </c:scaling>
        <c:delete val="0"/>
        <c:axPos val="b"/>
        <c:majorTickMark val="none"/>
        <c:minorTickMark val="none"/>
        <c:tickLblPos val="nextTo"/>
        <c:txPr>
          <a:bodyPr/>
          <a:lstStyle/>
          <a:p>
            <a:pPr>
              <a:defRPr sz="800"/>
            </a:pPr>
            <a:endParaRPr lang="lv-LV"/>
          </a:p>
        </c:txPr>
        <c:crossAx val="71346432"/>
        <c:crosses val="autoZero"/>
        <c:auto val="1"/>
        <c:lblAlgn val="ctr"/>
        <c:lblOffset val="100"/>
        <c:noMultiLvlLbl val="0"/>
      </c:catAx>
      <c:valAx>
        <c:axId val="71346432"/>
        <c:scaling>
          <c:orientation val="minMax"/>
        </c:scaling>
        <c:delete val="0"/>
        <c:axPos val="l"/>
        <c:majorGridlines/>
        <c:numFmt formatCode="#,##0.0" sourceLinked="1"/>
        <c:majorTickMark val="none"/>
        <c:minorTickMark val="none"/>
        <c:tickLblPos val="nextTo"/>
        <c:spPr>
          <a:ln w="9525">
            <a:noFill/>
          </a:ln>
        </c:spPr>
        <c:crossAx val="71344896"/>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'[NI0090.xlsx]NI0090'!$B$5</c:f>
              <c:strCache>
                <c:ptCount val="1"/>
                <c:pt idx="0">
                  <c:v>Pirms visiem sociālajiem transfertiem</c:v>
                </c:pt>
              </c:strCache>
            </c:strRef>
          </c:tx>
          <c:cat>
            <c:strRef>
              <c:f>'[NI0090.xlsx]NI0090'!$C$4:$E$4</c:f>
              <c:strCache>
                <c:ptCount val="3"/>
                <c:pt idx="0">
                  <c:v>0–17</c:v>
                </c:pt>
                <c:pt idx="1">
                  <c:v>18–64</c:v>
                </c:pt>
                <c:pt idx="2">
                  <c:v>65+</c:v>
                </c:pt>
              </c:strCache>
            </c:strRef>
          </c:cat>
          <c:val>
            <c:numRef>
              <c:f>'[NI0090.xlsx]NI0090'!$C$5:$E$5</c:f>
              <c:numCache>
                <c:formatCode>General</c:formatCode>
                <c:ptCount val="3"/>
                <c:pt idx="0">
                  <c:v>37.5</c:v>
                </c:pt>
                <c:pt idx="1">
                  <c:v>33.700000000000003</c:v>
                </c:pt>
                <c:pt idx="2">
                  <c:v>80.3</c:v>
                </c:pt>
              </c:numCache>
            </c:numRef>
          </c:val>
          <c:smooth val="0"/>
        </c:ser>
        <c:ser>
          <c:idx val="1"/>
          <c:order val="1"/>
          <c:tx>
            <c:strRef>
              <c:f>'[NI0090.xlsx]NI0090'!$B$6</c:f>
              <c:strCache>
                <c:ptCount val="1"/>
                <c:pt idx="0">
                  <c:v>Ņemot vērā vecuma un apgādnieka zaudējuma pensijas</c:v>
                </c:pt>
              </c:strCache>
            </c:strRef>
          </c:tx>
          <c:dLbls>
            <c:dLblPos val="r"/>
            <c:showLegendKey val="0"/>
            <c:showVal val="1"/>
            <c:showCatName val="0"/>
            <c:showSerName val="0"/>
            <c:showPercent val="0"/>
            <c:showBubbleSize val="0"/>
            <c:showLeaderLines val="0"/>
          </c:dLbls>
          <c:cat>
            <c:strRef>
              <c:f>'[NI0090.xlsx]NI0090'!$C$4:$E$4</c:f>
              <c:strCache>
                <c:ptCount val="3"/>
                <c:pt idx="0">
                  <c:v>0–17</c:v>
                </c:pt>
                <c:pt idx="1">
                  <c:v>18–64</c:v>
                </c:pt>
                <c:pt idx="2">
                  <c:v>65+</c:v>
                </c:pt>
              </c:strCache>
            </c:strRef>
          </c:cat>
          <c:val>
            <c:numRef>
              <c:f>'[NI0090.xlsx]NI0090'!$C$6:$E$6</c:f>
              <c:numCache>
                <c:formatCode>General</c:formatCode>
                <c:ptCount val="3"/>
                <c:pt idx="0">
                  <c:v>32.6</c:v>
                </c:pt>
                <c:pt idx="1">
                  <c:v>25.2</c:v>
                </c:pt>
                <c:pt idx="2">
                  <c:v>22.2</c:v>
                </c:pt>
              </c:numCache>
            </c:numRef>
          </c:val>
          <c:smooth val="0"/>
        </c:ser>
        <c:ser>
          <c:idx val="2"/>
          <c:order val="2"/>
          <c:tx>
            <c:strRef>
              <c:f>'[NI0090.xlsx]NI0090'!$B$7</c:f>
              <c:strCache>
                <c:ptCount val="1"/>
                <c:pt idx="0">
                  <c:v>Ņemot vērā visus sociālos transfertus</c:v>
                </c:pt>
              </c:strCache>
            </c:strRef>
          </c:tx>
          <c:dLbls>
            <c:dLblPos val="b"/>
            <c:showLegendKey val="0"/>
            <c:showVal val="1"/>
            <c:showCatName val="0"/>
            <c:showSerName val="0"/>
            <c:showPercent val="0"/>
            <c:showBubbleSize val="0"/>
            <c:showLeaderLines val="0"/>
          </c:dLbls>
          <c:cat>
            <c:strRef>
              <c:f>'[NI0090.xlsx]NI0090'!$C$4:$E$4</c:f>
              <c:strCache>
                <c:ptCount val="3"/>
                <c:pt idx="0">
                  <c:v>0–17</c:v>
                </c:pt>
                <c:pt idx="1">
                  <c:v>18–64</c:v>
                </c:pt>
                <c:pt idx="2">
                  <c:v>65+</c:v>
                </c:pt>
              </c:strCache>
            </c:strRef>
          </c:cat>
          <c:val>
            <c:numRef>
              <c:f>'[NI0090.xlsx]NI0090'!$C$7:$E$7</c:f>
              <c:numCache>
                <c:formatCode>General</c:formatCode>
                <c:ptCount val="3"/>
                <c:pt idx="0">
                  <c:v>23.4</c:v>
                </c:pt>
                <c:pt idx="1">
                  <c:v>18.8</c:v>
                </c:pt>
                <c:pt idx="2">
                  <c:v>17.600000000000001</c:v>
                </c:pt>
              </c:numCache>
            </c:numRef>
          </c:val>
          <c:smooth val="0"/>
        </c:ser>
        <c:dLbls>
          <c:dLblPos val="t"/>
          <c:showLegendKey val="0"/>
          <c:showVal val="1"/>
          <c:showCatName val="0"/>
          <c:showSerName val="0"/>
          <c:showPercent val="0"/>
          <c:showBubbleSize val="0"/>
        </c:dLbls>
        <c:marker val="1"/>
        <c:smooth val="0"/>
        <c:axId val="71516160"/>
        <c:axId val="71517696"/>
      </c:lineChart>
      <c:catAx>
        <c:axId val="71516160"/>
        <c:scaling>
          <c:orientation val="minMax"/>
        </c:scaling>
        <c:delete val="0"/>
        <c:axPos val="b"/>
        <c:majorTickMark val="out"/>
        <c:minorTickMark val="none"/>
        <c:tickLblPos val="nextTo"/>
        <c:crossAx val="71517696"/>
        <c:crosses val="autoZero"/>
        <c:auto val="1"/>
        <c:lblAlgn val="ctr"/>
        <c:lblOffset val="100"/>
        <c:noMultiLvlLbl val="0"/>
      </c:catAx>
      <c:valAx>
        <c:axId val="71517696"/>
        <c:scaling>
          <c:orientation val="minMax"/>
        </c:scaling>
        <c:delete val="0"/>
        <c:axPos val="l"/>
        <c:majorGridlines/>
        <c:numFmt formatCode="General" sourceLinked="1"/>
        <c:majorTickMark val="out"/>
        <c:minorTickMark val="none"/>
        <c:tickLblPos val="nextTo"/>
        <c:crossAx val="71516160"/>
        <c:crosses val="autoZero"/>
        <c:crossBetween val="between"/>
      </c:valAx>
    </c:plotArea>
    <c:legend>
      <c:legendPos val="r"/>
      <c:overlay val="0"/>
    </c:legend>
    <c:plotVisOnly val="1"/>
    <c:dispBlanksAs val="gap"/>
    <c:showDLblsOverMax val="0"/>
  </c:chart>
  <c:txPr>
    <a:bodyPr/>
    <a:lstStyle/>
    <a:p>
      <a:pPr>
        <a:defRPr sz="800"/>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0"/>
            <c:invertIfNegative val="0"/>
            <c:bubble3D val="0"/>
            <c:spPr>
              <a:solidFill>
                <a:srgbClr val="FFC000"/>
              </a:solidFill>
            </c:spPr>
          </c:dPt>
          <c:dPt>
            <c:idx val="1"/>
            <c:invertIfNegative val="0"/>
            <c:bubble3D val="0"/>
            <c:spPr>
              <a:solidFill>
                <a:srgbClr val="00B050"/>
              </a:solidFill>
            </c:spPr>
          </c:dPt>
          <c:dPt>
            <c:idx val="2"/>
            <c:invertIfNegative val="0"/>
            <c:bubble3D val="0"/>
            <c:spPr>
              <a:solidFill>
                <a:srgbClr val="00B050"/>
              </a:solidFill>
            </c:spPr>
          </c:dPt>
          <c:dPt>
            <c:idx val="3"/>
            <c:invertIfNegative val="0"/>
            <c:bubble3D val="0"/>
            <c:spPr>
              <a:solidFill>
                <a:srgbClr val="00B050"/>
              </a:solidFill>
            </c:spPr>
          </c:dPt>
          <c:dLbls>
            <c:dLbl>
              <c:idx val="0"/>
              <c:layout>
                <c:manualLayout>
                  <c:x val="2.6715239829993929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143897996356923E-2"/>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143897996357013E-2"/>
                  <c:y val="-2.314814814814810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857923497267669E-2"/>
                  <c:y val="-1.38888888888888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risks!$H$4:$H$7</c:f>
              <c:strCache>
                <c:ptCount val="4"/>
                <c:pt idx="0">
                  <c:v>Pēc visiem sociālajiem transfertiem</c:v>
                </c:pt>
                <c:pt idx="1">
                  <c:v>Pirms pašvaldību pabalstiem</c:v>
                </c:pt>
                <c:pt idx="2">
                  <c:v>Pirms valsts pensijām un pabalstiem</c:v>
                </c:pt>
                <c:pt idx="3">
                  <c:v>Pirms valsts pabalstiem</c:v>
                </c:pt>
              </c:strCache>
            </c:strRef>
          </c:cat>
          <c:val>
            <c:numRef>
              <c:f>risks!$I$4:$I$7</c:f>
              <c:numCache>
                <c:formatCode>General</c:formatCode>
                <c:ptCount val="4"/>
                <c:pt idx="0">
                  <c:v>19.399999999999999</c:v>
                </c:pt>
                <c:pt idx="1">
                  <c:v>20.6</c:v>
                </c:pt>
                <c:pt idx="2">
                  <c:v>41.3</c:v>
                </c:pt>
                <c:pt idx="3">
                  <c:v>21.6</c:v>
                </c:pt>
              </c:numCache>
            </c:numRef>
          </c:val>
        </c:ser>
        <c:dLbls>
          <c:showLegendKey val="0"/>
          <c:showVal val="1"/>
          <c:showCatName val="0"/>
          <c:showSerName val="0"/>
          <c:showPercent val="0"/>
          <c:showBubbleSize val="0"/>
        </c:dLbls>
        <c:gapWidth val="75"/>
        <c:shape val="cylinder"/>
        <c:axId val="71561600"/>
        <c:axId val="71566080"/>
        <c:axId val="0"/>
      </c:bar3DChart>
      <c:catAx>
        <c:axId val="71561600"/>
        <c:scaling>
          <c:orientation val="minMax"/>
        </c:scaling>
        <c:delete val="0"/>
        <c:axPos val="l"/>
        <c:numFmt formatCode="General" sourceLinked="0"/>
        <c:majorTickMark val="none"/>
        <c:minorTickMark val="none"/>
        <c:tickLblPos val="nextTo"/>
        <c:txPr>
          <a:bodyPr/>
          <a:lstStyle/>
          <a:p>
            <a:pPr>
              <a:defRPr sz="800"/>
            </a:pPr>
            <a:endParaRPr lang="lv-LV"/>
          </a:p>
        </c:txPr>
        <c:crossAx val="71566080"/>
        <c:crosses val="autoZero"/>
        <c:auto val="1"/>
        <c:lblAlgn val="ctr"/>
        <c:lblOffset val="100"/>
        <c:noMultiLvlLbl val="0"/>
      </c:catAx>
      <c:valAx>
        <c:axId val="71566080"/>
        <c:scaling>
          <c:orientation val="minMax"/>
        </c:scaling>
        <c:delete val="0"/>
        <c:axPos val="b"/>
        <c:numFmt formatCode="General" sourceLinked="1"/>
        <c:majorTickMark val="none"/>
        <c:minorTickMark val="none"/>
        <c:tickLblPos val="nextTo"/>
        <c:txPr>
          <a:bodyPr/>
          <a:lstStyle/>
          <a:p>
            <a:pPr>
              <a:defRPr sz="900"/>
            </a:pPr>
            <a:endParaRPr lang="lv-LV"/>
          </a:p>
        </c:txPr>
        <c:crossAx val="71561600"/>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0.17053</cdr:x>
      <cdr:y>0.39675</cdr:y>
    </cdr:from>
    <cdr:to>
      <cdr:x>0.34397</cdr:x>
      <cdr:y>0.49179</cdr:y>
    </cdr:to>
    <cdr:sp macro="" textlink="">
      <cdr:nvSpPr>
        <cdr:cNvPr id="7" name="Rectangle 6"/>
        <cdr:cNvSpPr/>
      </cdr:nvSpPr>
      <cdr:spPr>
        <a:xfrm xmlns:a="http://schemas.openxmlformats.org/drawingml/2006/main">
          <a:off x="798394" y="1222142"/>
          <a:ext cx="812042" cy="292760"/>
        </a:xfrm>
        <a:prstGeom xmlns:a="http://schemas.openxmlformats.org/drawingml/2006/main" prst="rect">
          <a:avLst/>
        </a:prstGeom>
        <a:solidFill xmlns:a="http://schemas.openxmlformats.org/drawingml/2006/main">
          <a:schemeClr val="bg1">
            <a:lumMod val="75000"/>
            <a:alpha val="44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001">
          <a:schemeClr val="lt2"/>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v-LV"/>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3410-9380-480F-88C0-74CB3990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72257</Words>
  <Characters>41187</Characters>
  <Application>Microsoft Office Word</Application>
  <DocSecurity>0</DocSecurity>
  <Lines>343</Lines>
  <Paragraphs>226</Paragraphs>
  <ScaleCrop>false</ScaleCrop>
  <HeadingPairs>
    <vt:vector size="2" baseType="variant">
      <vt:variant>
        <vt:lpstr>Title</vt:lpstr>
      </vt:variant>
      <vt:variant>
        <vt:i4>1</vt:i4>
      </vt:variant>
    </vt:vector>
  </HeadingPairs>
  <TitlesOfParts>
    <vt:vector size="1" baseType="lpstr">
      <vt:lpstr>Koncepcija par izdienas pensiju piešķiršanu</vt:lpstr>
    </vt:vector>
  </TitlesOfParts>
  <Company/>
  <LinksUpToDate>false</LinksUpToDate>
  <CharactersWithSpaces>113218</CharactersWithSpaces>
  <SharedDoc>false</SharedDoc>
  <HLinks>
    <vt:vector size="324" baseType="variant">
      <vt:variant>
        <vt:i4>6291577</vt:i4>
      </vt:variant>
      <vt:variant>
        <vt:i4>93</vt:i4>
      </vt:variant>
      <vt:variant>
        <vt:i4>0</vt:i4>
      </vt:variant>
      <vt:variant>
        <vt:i4>5</vt:i4>
      </vt:variant>
      <vt:variant>
        <vt:lpwstr>http://www.atkearney.com/documents/10192/1743816/FG-The-Shadow-Economy-in-Europe-1.png/2db244cd-9989-447c-8499-ea9043c4d0f3?t=1374166115940</vt:lpwstr>
      </vt:variant>
      <vt:variant>
        <vt:lpwstr/>
      </vt:variant>
      <vt:variant>
        <vt:i4>1703985</vt:i4>
      </vt:variant>
      <vt:variant>
        <vt:i4>86</vt:i4>
      </vt:variant>
      <vt:variant>
        <vt:i4>0</vt:i4>
      </vt:variant>
      <vt:variant>
        <vt:i4>5</vt:i4>
      </vt:variant>
      <vt:variant>
        <vt:lpwstr/>
      </vt:variant>
      <vt:variant>
        <vt:lpwstr>_Toc394904699</vt:lpwstr>
      </vt:variant>
      <vt:variant>
        <vt:i4>1703985</vt:i4>
      </vt:variant>
      <vt:variant>
        <vt:i4>80</vt:i4>
      </vt:variant>
      <vt:variant>
        <vt:i4>0</vt:i4>
      </vt:variant>
      <vt:variant>
        <vt:i4>5</vt:i4>
      </vt:variant>
      <vt:variant>
        <vt:lpwstr/>
      </vt:variant>
      <vt:variant>
        <vt:lpwstr>_Toc394904698</vt:lpwstr>
      </vt:variant>
      <vt:variant>
        <vt:i4>1703985</vt:i4>
      </vt:variant>
      <vt:variant>
        <vt:i4>74</vt:i4>
      </vt:variant>
      <vt:variant>
        <vt:i4>0</vt:i4>
      </vt:variant>
      <vt:variant>
        <vt:i4>5</vt:i4>
      </vt:variant>
      <vt:variant>
        <vt:lpwstr/>
      </vt:variant>
      <vt:variant>
        <vt:lpwstr>_Toc394904697</vt:lpwstr>
      </vt:variant>
      <vt:variant>
        <vt:i4>1703985</vt:i4>
      </vt:variant>
      <vt:variant>
        <vt:i4>68</vt:i4>
      </vt:variant>
      <vt:variant>
        <vt:i4>0</vt:i4>
      </vt:variant>
      <vt:variant>
        <vt:i4>5</vt:i4>
      </vt:variant>
      <vt:variant>
        <vt:lpwstr/>
      </vt:variant>
      <vt:variant>
        <vt:lpwstr>_Toc394904696</vt:lpwstr>
      </vt:variant>
      <vt:variant>
        <vt:i4>1703985</vt:i4>
      </vt:variant>
      <vt:variant>
        <vt:i4>62</vt:i4>
      </vt:variant>
      <vt:variant>
        <vt:i4>0</vt:i4>
      </vt:variant>
      <vt:variant>
        <vt:i4>5</vt:i4>
      </vt:variant>
      <vt:variant>
        <vt:lpwstr/>
      </vt:variant>
      <vt:variant>
        <vt:lpwstr>_Toc394904695</vt:lpwstr>
      </vt:variant>
      <vt:variant>
        <vt:i4>1703985</vt:i4>
      </vt:variant>
      <vt:variant>
        <vt:i4>56</vt:i4>
      </vt:variant>
      <vt:variant>
        <vt:i4>0</vt:i4>
      </vt:variant>
      <vt:variant>
        <vt:i4>5</vt:i4>
      </vt:variant>
      <vt:variant>
        <vt:lpwstr/>
      </vt:variant>
      <vt:variant>
        <vt:lpwstr>_Toc394904694</vt:lpwstr>
      </vt:variant>
      <vt:variant>
        <vt:i4>1703985</vt:i4>
      </vt:variant>
      <vt:variant>
        <vt:i4>50</vt:i4>
      </vt:variant>
      <vt:variant>
        <vt:i4>0</vt:i4>
      </vt:variant>
      <vt:variant>
        <vt:i4>5</vt:i4>
      </vt:variant>
      <vt:variant>
        <vt:lpwstr/>
      </vt:variant>
      <vt:variant>
        <vt:lpwstr>_Toc394904693</vt:lpwstr>
      </vt:variant>
      <vt:variant>
        <vt:i4>1703985</vt:i4>
      </vt:variant>
      <vt:variant>
        <vt:i4>44</vt:i4>
      </vt:variant>
      <vt:variant>
        <vt:i4>0</vt:i4>
      </vt:variant>
      <vt:variant>
        <vt:i4>5</vt:i4>
      </vt:variant>
      <vt:variant>
        <vt:lpwstr/>
      </vt:variant>
      <vt:variant>
        <vt:lpwstr>_Toc394904692</vt:lpwstr>
      </vt:variant>
      <vt:variant>
        <vt:i4>1703985</vt:i4>
      </vt:variant>
      <vt:variant>
        <vt:i4>38</vt:i4>
      </vt:variant>
      <vt:variant>
        <vt:i4>0</vt:i4>
      </vt:variant>
      <vt:variant>
        <vt:i4>5</vt:i4>
      </vt:variant>
      <vt:variant>
        <vt:lpwstr/>
      </vt:variant>
      <vt:variant>
        <vt:lpwstr>_Toc394904691</vt:lpwstr>
      </vt:variant>
      <vt:variant>
        <vt:i4>1703985</vt:i4>
      </vt:variant>
      <vt:variant>
        <vt:i4>32</vt:i4>
      </vt:variant>
      <vt:variant>
        <vt:i4>0</vt:i4>
      </vt:variant>
      <vt:variant>
        <vt:i4>5</vt:i4>
      </vt:variant>
      <vt:variant>
        <vt:lpwstr/>
      </vt:variant>
      <vt:variant>
        <vt:lpwstr>_Toc394904690</vt:lpwstr>
      </vt:variant>
      <vt:variant>
        <vt:i4>1769521</vt:i4>
      </vt:variant>
      <vt:variant>
        <vt:i4>26</vt:i4>
      </vt:variant>
      <vt:variant>
        <vt:i4>0</vt:i4>
      </vt:variant>
      <vt:variant>
        <vt:i4>5</vt:i4>
      </vt:variant>
      <vt:variant>
        <vt:lpwstr/>
      </vt:variant>
      <vt:variant>
        <vt:lpwstr>_Toc394904689</vt:lpwstr>
      </vt:variant>
      <vt:variant>
        <vt:i4>1769521</vt:i4>
      </vt:variant>
      <vt:variant>
        <vt:i4>20</vt:i4>
      </vt:variant>
      <vt:variant>
        <vt:i4>0</vt:i4>
      </vt:variant>
      <vt:variant>
        <vt:i4>5</vt:i4>
      </vt:variant>
      <vt:variant>
        <vt:lpwstr/>
      </vt:variant>
      <vt:variant>
        <vt:lpwstr>_Toc394904688</vt:lpwstr>
      </vt:variant>
      <vt:variant>
        <vt:i4>1769521</vt:i4>
      </vt:variant>
      <vt:variant>
        <vt:i4>14</vt:i4>
      </vt:variant>
      <vt:variant>
        <vt:i4>0</vt:i4>
      </vt:variant>
      <vt:variant>
        <vt:i4>5</vt:i4>
      </vt:variant>
      <vt:variant>
        <vt:lpwstr/>
      </vt:variant>
      <vt:variant>
        <vt:lpwstr>_Toc394904687</vt:lpwstr>
      </vt:variant>
      <vt:variant>
        <vt:i4>1769521</vt:i4>
      </vt:variant>
      <vt:variant>
        <vt:i4>8</vt:i4>
      </vt:variant>
      <vt:variant>
        <vt:i4>0</vt:i4>
      </vt:variant>
      <vt:variant>
        <vt:i4>5</vt:i4>
      </vt:variant>
      <vt:variant>
        <vt:lpwstr/>
      </vt:variant>
      <vt:variant>
        <vt:lpwstr>_Toc394904686</vt:lpwstr>
      </vt:variant>
      <vt:variant>
        <vt:i4>1769521</vt:i4>
      </vt:variant>
      <vt:variant>
        <vt:i4>2</vt:i4>
      </vt:variant>
      <vt:variant>
        <vt:i4>0</vt:i4>
      </vt:variant>
      <vt:variant>
        <vt:i4>5</vt:i4>
      </vt:variant>
      <vt:variant>
        <vt:lpwstr/>
      </vt:variant>
      <vt:variant>
        <vt:lpwstr>_Toc394904685</vt:lpwstr>
      </vt:variant>
      <vt:variant>
        <vt:i4>7209073</vt:i4>
      </vt:variant>
      <vt:variant>
        <vt:i4>111</vt:i4>
      </vt:variant>
      <vt:variant>
        <vt:i4>0</vt:i4>
      </vt:variant>
      <vt:variant>
        <vt:i4>5</vt:i4>
      </vt:variant>
      <vt:variant>
        <vt:lpwstr>http://ec.europa.eu/social/main.jsp?catId=625&amp;langId=en&amp;callId=382&amp;furtherCalls=yes</vt:lpwstr>
      </vt:variant>
      <vt:variant>
        <vt:lpwstr/>
      </vt:variant>
      <vt:variant>
        <vt:i4>5046345</vt:i4>
      </vt:variant>
      <vt:variant>
        <vt:i4>108</vt:i4>
      </vt:variant>
      <vt:variant>
        <vt:i4>0</vt:i4>
      </vt:variant>
      <vt:variant>
        <vt:i4>5</vt:i4>
      </vt:variant>
      <vt:variant>
        <vt:lpwstr>http://www.lm.gov.lv/text/706</vt:lpwstr>
      </vt:variant>
      <vt:variant>
        <vt:lpwstr/>
      </vt:variant>
      <vt:variant>
        <vt:i4>2097216</vt:i4>
      </vt:variant>
      <vt:variant>
        <vt:i4>105</vt:i4>
      </vt:variant>
      <vt:variant>
        <vt:i4>0</vt:i4>
      </vt:variant>
      <vt:variant>
        <vt:i4>5</vt:i4>
      </vt:variant>
      <vt:variant>
        <vt:lpwstr>http://www-wds.worldbank.org/servlet/WDSContentServer/WDSP/IB/2010/04/27/000158349_20100427143536/Rendered/PDF/WPS5284.pdf</vt:lpwstr>
      </vt:variant>
      <vt:variant>
        <vt:lpwstr/>
      </vt:variant>
      <vt:variant>
        <vt:i4>1114158</vt:i4>
      </vt:variant>
      <vt:variant>
        <vt:i4>102</vt:i4>
      </vt:variant>
      <vt:variant>
        <vt:i4>0</vt:i4>
      </vt:variant>
      <vt:variant>
        <vt:i4>5</vt:i4>
      </vt:variant>
      <vt:variant>
        <vt:lpwstr>http://www.lm.gov.lv/upload/aktualitates/latvia_compwbs.pdf</vt:lpwstr>
      </vt:variant>
      <vt:variant>
        <vt:lpwstr/>
      </vt:variant>
      <vt:variant>
        <vt:i4>65545</vt:i4>
      </vt:variant>
      <vt:variant>
        <vt:i4>99</vt:i4>
      </vt:variant>
      <vt:variant>
        <vt:i4>0</vt:i4>
      </vt:variant>
      <vt:variant>
        <vt:i4>5</vt:i4>
      </vt:variant>
      <vt:variant>
        <vt:lpwstr>http://www.peer-review-social-inclusion.eu/network-of-independent-experts/2009/minimum-income-schemes</vt:lpwstr>
      </vt:variant>
      <vt:variant>
        <vt:lpwstr/>
      </vt:variant>
      <vt:variant>
        <vt:i4>7405686</vt:i4>
      </vt:variant>
      <vt:variant>
        <vt:i4>96</vt:i4>
      </vt:variant>
      <vt:variant>
        <vt:i4>0</vt:i4>
      </vt:variant>
      <vt:variant>
        <vt:i4>5</vt:i4>
      </vt:variant>
      <vt:variant>
        <vt:lpwstr>http://ec.europa.eu/social/main.jsp?langId=lv&amp;catId=815</vt:lpwstr>
      </vt:variant>
      <vt:variant>
        <vt:lpwstr/>
      </vt:variant>
      <vt:variant>
        <vt:i4>3538964</vt:i4>
      </vt:variant>
      <vt:variant>
        <vt:i4>93</vt:i4>
      </vt:variant>
      <vt:variant>
        <vt:i4>0</vt:i4>
      </vt:variant>
      <vt:variant>
        <vt:i4>5</vt:i4>
      </vt:variant>
      <vt:variant>
        <vt:lpwstr>http://www.keepeek.com/Digital-Asset-Management/oecd/economics/reducing-poverty-in-estonia-through-activation-and-better-targeting_5k8xb72v68bx-en</vt:lpwstr>
      </vt:variant>
      <vt:variant>
        <vt:lpwstr>page1</vt:lpwstr>
      </vt:variant>
      <vt:variant>
        <vt:i4>2031682</vt:i4>
      </vt:variant>
      <vt:variant>
        <vt:i4>90</vt:i4>
      </vt:variant>
      <vt:variant>
        <vt:i4>0</vt:i4>
      </vt:variant>
      <vt:variant>
        <vt:i4>5</vt:i4>
      </vt:variant>
      <vt:variant>
        <vt:lpwstr>https://www.eesti.ee/eng/toetused_ja_sotsiaalabi/toetused_ja_huvitised/toimetulekutoetus</vt:lpwstr>
      </vt:variant>
      <vt:variant>
        <vt:lpwstr/>
      </vt:variant>
      <vt:variant>
        <vt:i4>3276901</vt:i4>
      </vt:variant>
      <vt:variant>
        <vt:i4>87</vt:i4>
      </vt:variant>
      <vt:variant>
        <vt:i4>0</vt:i4>
      </vt:variant>
      <vt:variant>
        <vt:i4>5</vt:i4>
      </vt:variant>
      <vt:variant>
        <vt:lpwstr>http://www.stat.ee/dokumendid/68625</vt:lpwstr>
      </vt:variant>
      <vt:variant>
        <vt:lpwstr/>
      </vt:variant>
      <vt:variant>
        <vt:i4>7471149</vt:i4>
      </vt:variant>
      <vt:variant>
        <vt:i4>84</vt:i4>
      </vt:variant>
      <vt:variant>
        <vt:i4>0</vt:i4>
      </vt:variant>
      <vt:variant>
        <vt:i4>5</vt:i4>
      </vt:variant>
      <vt:variant>
        <vt:lpwstr>https://openknowledge.worldbank.org/bitstream/handle/10986/9377/706020PUB0EPI0067902B09780821395493.pdf?sequence=1</vt:lpwstr>
      </vt:variant>
      <vt:variant>
        <vt:lpwstr/>
      </vt:variant>
      <vt:variant>
        <vt:i4>2949241</vt:i4>
      </vt:variant>
      <vt:variant>
        <vt:i4>81</vt:i4>
      </vt:variant>
      <vt:variant>
        <vt:i4>0</vt:i4>
      </vt:variant>
      <vt:variant>
        <vt:i4>5</vt:i4>
      </vt:variant>
      <vt:variant>
        <vt:lpwstr>http://www.oecd.org/eco/labour/49421421.pdf</vt:lpwstr>
      </vt:variant>
      <vt:variant>
        <vt:lpwstr/>
      </vt:variant>
      <vt:variant>
        <vt:i4>8257656</vt:i4>
      </vt:variant>
      <vt:variant>
        <vt:i4>78</vt:i4>
      </vt:variant>
      <vt:variant>
        <vt:i4>0</vt:i4>
      </vt:variant>
      <vt:variant>
        <vt:i4>5</vt:i4>
      </vt:variant>
      <vt:variant>
        <vt:lpwstr>http://www.lm.gov.lv/text/2744</vt:lpwstr>
      </vt:variant>
      <vt:variant>
        <vt:lpwstr/>
      </vt:variant>
      <vt:variant>
        <vt:i4>1114158</vt:i4>
      </vt:variant>
      <vt:variant>
        <vt:i4>75</vt:i4>
      </vt:variant>
      <vt:variant>
        <vt:i4>0</vt:i4>
      </vt:variant>
      <vt:variant>
        <vt:i4>5</vt:i4>
      </vt:variant>
      <vt:variant>
        <vt:lpwstr>http://www.lm.gov.lv/upload/aktualitates/latvia_compwbs.pdf</vt:lpwstr>
      </vt:variant>
      <vt:variant>
        <vt:lpwstr/>
      </vt:variant>
      <vt:variant>
        <vt:i4>5374046</vt:i4>
      </vt:variant>
      <vt:variant>
        <vt:i4>72</vt:i4>
      </vt:variant>
      <vt:variant>
        <vt:i4>0</vt:i4>
      </vt:variant>
      <vt:variant>
        <vt:i4>5</vt:i4>
      </vt:variant>
      <vt:variant>
        <vt:lpwstr>http://www.csb.gov.lv/statistikas-temas/metodologija/materiala-nenodrosinatiba-37053.html</vt:lpwstr>
      </vt:variant>
      <vt:variant>
        <vt:lpwstr/>
      </vt:variant>
      <vt:variant>
        <vt:i4>5439577</vt:i4>
      </vt:variant>
      <vt:variant>
        <vt:i4>69</vt:i4>
      </vt:variant>
      <vt:variant>
        <vt:i4>0</vt:i4>
      </vt:variant>
      <vt:variant>
        <vt:i4>5</vt:i4>
      </vt:variant>
      <vt:variant>
        <vt:lpwstr>http://dx.doi.org/10.1787/5k9h297wxbnr-en</vt:lpwstr>
      </vt:variant>
      <vt:variant>
        <vt:lpwstr/>
      </vt:variant>
      <vt:variant>
        <vt:i4>1114158</vt:i4>
      </vt:variant>
      <vt:variant>
        <vt:i4>66</vt:i4>
      </vt:variant>
      <vt:variant>
        <vt:i4>0</vt:i4>
      </vt:variant>
      <vt:variant>
        <vt:i4>5</vt:i4>
      </vt:variant>
      <vt:variant>
        <vt:lpwstr>http://www.lm.gov.lv/upload/aktualitates/latvia_compwbs.pdf</vt:lpwstr>
      </vt:variant>
      <vt:variant>
        <vt:lpwstr/>
      </vt:variant>
      <vt:variant>
        <vt:i4>8257656</vt:i4>
      </vt:variant>
      <vt:variant>
        <vt:i4>63</vt:i4>
      </vt:variant>
      <vt:variant>
        <vt:i4>0</vt:i4>
      </vt:variant>
      <vt:variant>
        <vt:i4>5</vt:i4>
      </vt:variant>
      <vt:variant>
        <vt:lpwstr>http://www.lm.gov.lv/text/2744</vt:lpwstr>
      </vt:variant>
      <vt:variant>
        <vt:lpwstr/>
      </vt:variant>
      <vt:variant>
        <vt:i4>2687009</vt:i4>
      </vt:variant>
      <vt:variant>
        <vt:i4>60</vt:i4>
      </vt:variant>
      <vt:variant>
        <vt:i4>0</vt:i4>
      </vt:variant>
      <vt:variant>
        <vt:i4>5</vt:i4>
      </vt:variant>
      <vt:variant>
        <vt:lpwstr>http://www.csb.gov.lv/statistikas-temas/termini/socialie-transferti-36002.html</vt:lpwstr>
      </vt:variant>
      <vt:variant>
        <vt:lpwstr/>
      </vt:variant>
      <vt:variant>
        <vt:i4>1114158</vt:i4>
      </vt:variant>
      <vt:variant>
        <vt:i4>57</vt:i4>
      </vt:variant>
      <vt:variant>
        <vt:i4>0</vt:i4>
      </vt:variant>
      <vt:variant>
        <vt:i4>5</vt:i4>
      </vt:variant>
      <vt:variant>
        <vt:lpwstr>http://www.lm.gov.lv/upload/aktualitates/latvia_compwbs.pdf</vt:lpwstr>
      </vt:variant>
      <vt:variant>
        <vt:lpwstr/>
      </vt:variant>
      <vt:variant>
        <vt:i4>2097207</vt:i4>
      </vt:variant>
      <vt:variant>
        <vt:i4>54</vt:i4>
      </vt:variant>
      <vt:variant>
        <vt:i4>0</vt:i4>
      </vt:variant>
      <vt:variant>
        <vt:i4>5</vt:i4>
      </vt:variant>
      <vt:variant>
        <vt:lpwstr>http://books.google.lv/books?id=sEr3ipZZ7yIC&amp;hl=lv&amp;source=gbs_navlinks_s</vt:lpwstr>
      </vt:variant>
      <vt:variant>
        <vt:lpwstr/>
      </vt:variant>
      <vt:variant>
        <vt:i4>2097207</vt:i4>
      </vt:variant>
      <vt:variant>
        <vt:i4>51</vt:i4>
      </vt:variant>
      <vt:variant>
        <vt:i4>0</vt:i4>
      </vt:variant>
      <vt:variant>
        <vt:i4>5</vt:i4>
      </vt:variant>
      <vt:variant>
        <vt:lpwstr>http://books.google.lv/books?id=sEr3ipZZ7yIC&amp;hl=lv&amp;source=gbs_navlinks_s</vt:lpwstr>
      </vt:variant>
      <vt:variant>
        <vt:lpwstr/>
      </vt:variant>
      <vt:variant>
        <vt:i4>3932286</vt:i4>
      </vt:variant>
      <vt:variant>
        <vt:i4>48</vt:i4>
      </vt:variant>
      <vt:variant>
        <vt:i4>0</vt:i4>
      </vt:variant>
      <vt:variant>
        <vt:i4>5</vt:i4>
      </vt:variant>
      <vt:variant>
        <vt:lpwstr>http://www.csb.gov.lv/statistikas-temas/termini/mediana-39000.html</vt:lpwstr>
      </vt:variant>
      <vt:variant>
        <vt:lpwstr/>
      </vt:variant>
      <vt:variant>
        <vt:i4>2162797</vt:i4>
      </vt:variant>
      <vt:variant>
        <vt:i4>45</vt:i4>
      </vt:variant>
      <vt:variant>
        <vt:i4>0</vt:i4>
      </vt:variant>
      <vt:variant>
        <vt:i4>5</vt:i4>
      </vt:variant>
      <vt:variant>
        <vt:lpwstr>http://www.csb.gov.lv/statistikas-temas/metodologija/nabadzibas-ienakumu-nevienlidziba-36833.html?order=title&amp;sort=asc</vt:lpwstr>
      </vt:variant>
      <vt:variant>
        <vt:lpwstr/>
      </vt:variant>
      <vt:variant>
        <vt:i4>8126521</vt:i4>
      </vt:variant>
      <vt:variant>
        <vt:i4>42</vt:i4>
      </vt:variant>
      <vt:variant>
        <vt:i4>0</vt:i4>
      </vt:variant>
      <vt:variant>
        <vt:i4>5</vt:i4>
      </vt:variant>
      <vt:variant>
        <vt:lpwstr>http://ec.europa.eu/social/main.jsp?catId=756&amp;langId=en</vt:lpwstr>
      </vt:variant>
      <vt:variant>
        <vt:lpwstr/>
      </vt:variant>
      <vt:variant>
        <vt:i4>6160435</vt:i4>
      </vt:variant>
      <vt:variant>
        <vt:i4>39</vt:i4>
      </vt:variant>
      <vt:variant>
        <vt:i4>0</vt:i4>
      </vt:variant>
      <vt:variant>
        <vt:i4>5</vt:i4>
      </vt:variant>
      <vt:variant>
        <vt:lpwstr>http://ec.europa.eu/invest-in-research/coordination/coordination01_en.htm</vt:lpwstr>
      </vt:variant>
      <vt:variant>
        <vt:lpwstr/>
      </vt:variant>
      <vt:variant>
        <vt:i4>8257656</vt:i4>
      </vt:variant>
      <vt:variant>
        <vt:i4>36</vt:i4>
      </vt:variant>
      <vt:variant>
        <vt:i4>0</vt:i4>
      </vt:variant>
      <vt:variant>
        <vt:i4>5</vt:i4>
      </vt:variant>
      <vt:variant>
        <vt:lpwstr>http://www.lm.gov.lv/text/2744</vt:lpwstr>
      </vt:variant>
      <vt:variant>
        <vt:lpwstr/>
      </vt:variant>
      <vt:variant>
        <vt:i4>1769495</vt:i4>
      </vt:variant>
      <vt:variant>
        <vt:i4>33</vt:i4>
      </vt:variant>
      <vt:variant>
        <vt:i4>0</vt:i4>
      </vt:variant>
      <vt:variant>
        <vt:i4>5</vt:i4>
      </vt:variant>
      <vt:variant>
        <vt:lpwstr>http://www.lm.gov.lv/upload/invaliditate/gmi_aptauja_feb07102013.pdf</vt:lpwstr>
      </vt:variant>
      <vt:variant>
        <vt:lpwstr/>
      </vt:variant>
      <vt:variant>
        <vt:i4>8257656</vt:i4>
      </vt:variant>
      <vt:variant>
        <vt:i4>30</vt:i4>
      </vt:variant>
      <vt:variant>
        <vt:i4>0</vt:i4>
      </vt:variant>
      <vt:variant>
        <vt:i4>5</vt:i4>
      </vt:variant>
      <vt:variant>
        <vt:lpwstr>http://www.lm.gov.lv/text/2744</vt:lpwstr>
      </vt:variant>
      <vt:variant>
        <vt:lpwstr/>
      </vt:variant>
      <vt:variant>
        <vt:i4>7209073</vt:i4>
      </vt:variant>
      <vt:variant>
        <vt:i4>27</vt:i4>
      </vt:variant>
      <vt:variant>
        <vt:i4>0</vt:i4>
      </vt:variant>
      <vt:variant>
        <vt:i4>5</vt:i4>
      </vt:variant>
      <vt:variant>
        <vt:lpwstr>http://ec.europa.eu/social/main.jsp?catId=625&amp;langId=en&amp;callId=382&amp;furtherCalls=yes</vt:lpwstr>
      </vt:variant>
      <vt:variant>
        <vt:lpwstr/>
      </vt:variant>
      <vt:variant>
        <vt:i4>5832721</vt:i4>
      </vt:variant>
      <vt:variant>
        <vt:i4>24</vt:i4>
      </vt:variant>
      <vt:variant>
        <vt:i4>0</vt:i4>
      </vt:variant>
      <vt:variant>
        <vt:i4>5</vt:i4>
      </vt:variant>
      <vt:variant>
        <vt:lpwstr>http://www.eesc.europa.eu/?i=portal.en.soc-opinions.26780</vt:lpwstr>
      </vt:variant>
      <vt:variant>
        <vt:lpwstr/>
      </vt:variant>
      <vt:variant>
        <vt:i4>2687009</vt:i4>
      </vt:variant>
      <vt:variant>
        <vt:i4>21</vt:i4>
      </vt:variant>
      <vt:variant>
        <vt:i4>0</vt:i4>
      </vt:variant>
      <vt:variant>
        <vt:i4>5</vt:i4>
      </vt:variant>
      <vt:variant>
        <vt:lpwstr>http://www.csb.gov.lv/statistikas-temas/termini/socialie-transferti-36002.html</vt:lpwstr>
      </vt:variant>
      <vt:variant>
        <vt:lpwstr/>
      </vt:variant>
      <vt:variant>
        <vt:i4>3407963</vt:i4>
      </vt:variant>
      <vt:variant>
        <vt:i4>18</vt:i4>
      </vt:variant>
      <vt:variant>
        <vt:i4>0</vt:i4>
      </vt:variant>
      <vt:variant>
        <vt:i4>5</vt:i4>
      </vt:variant>
      <vt:variant>
        <vt:lpwstr>http://www.lm.gov.lv/upload/aktualitates2/lmzino_211113.pdf</vt:lpwstr>
      </vt:variant>
      <vt:variant>
        <vt:lpwstr/>
      </vt:variant>
      <vt:variant>
        <vt:i4>7536759</vt:i4>
      </vt:variant>
      <vt:variant>
        <vt:i4>15</vt:i4>
      </vt:variant>
      <vt:variant>
        <vt:i4>0</vt:i4>
      </vt:variant>
      <vt:variant>
        <vt:i4>5</vt:i4>
      </vt:variant>
      <vt:variant>
        <vt:lpwstr>http://www.lm.gov.lv/text/1789</vt:lpwstr>
      </vt:variant>
      <vt:variant>
        <vt:lpwstr/>
      </vt:variant>
      <vt:variant>
        <vt:i4>8323194</vt:i4>
      </vt:variant>
      <vt:variant>
        <vt:i4>12</vt:i4>
      </vt:variant>
      <vt:variant>
        <vt:i4>0</vt:i4>
      </vt:variant>
      <vt:variant>
        <vt:i4>5</vt:i4>
      </vt:variant>
      <vt:variant>
        <vt:lpwstr>http://www.lm.gov.lv/text/1654</vt:lpwstr>
      </vt:variant>
      <vt:variant>
        <vt:lpwstr/>
      </vt:variant>
      <vt:variant>
        <vt:i4>8192123</vt:i4>
      </vt:variant>
      <vt:variant>
        <vt:i4>9</vt:i4>
      </vt:variant>
      <vt:variant>
        <vt:i4>0</vt:i4>
      </vt:variant>
      <vt:variant>
        <vt:i4>5</vt:i4>
      </vt:variant>
      <vt:variant>
        <vt:lpwstr>http://www.lm.gov.lv/text/2676</vt:lpwstr>
      </vt:variant>
      <vt:variant>
        <vt:lpwstr/>
      </vt:variant>
      <vt:variant>
        <vt:i4>1114158</vt:i4>
      </vt:variant>
      <vt:variant>
        <vt:i4>6</vt:i4>
      </vt:variant>
      <vt:variant>
        <vt:i4>0</vt:i4>
      </vt:variant>
      <vt:variant>
        <vt:i4>5</vt:i4>
      </vt:variant>
      <vt:variant>
        <vt:lpwstr>http://www.lm.gov.lv/upload/aktualitates/latvia_compwbs.pdf</vt:lpwstr>
      </vt:variant>
      <vt:variant>
        <vt:lpwstr/>
      </vt:variant>
      <vt:variant>
        <vt:i4>5832721</vt:i4>
      </vt:variant>
      <vt:variant>
        <vt:i4>3</vt:i4>
      </vt:variant>
      <vt:variant>
        <vt:i4>0</vt:i4>
      </vt:variant>
      <vt:variant>
        <vt:i4>5</vt:i4>
      </vt:variant>
      <vt:variant>
        <vt:lpwstr>http://www.eesc.europa.eu/?i=portal.en.soc-opinions.26780</vt:lpwstr>
      </vt:variant>
      <vt:variant>
        <vt:lpwstr/>
      </vt:variant>
      <vt:variant>
        <vt:i4>2293878</vt:i4>
      </vt:variant>
      <vt:variant>
        <vt:i4>0</vt:i4>
      </vt:variant>
      <vt:variant>
        <vt:i4>0</vt:i4>
      </vt:variant>
      <vt:variant>
        <vt:i4>5</vt:i4>
      </vt:variant>
      <vt:variant>
        <vt:lpwstr>http://eur-lex.europa.eu/LexUriServ/LexUriServ.do?uri=CELEX:52010IP0375:LV:NOT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izdienas pensiju piešķiršanu</dc:title>
  <dc:subject>koncepcijas informatīvā daļa</dc:subject>
  <dc:creator>Dace Trusinska</dc:creator>
  <cp:lastModifiedBy>Evija Kula</cp:lastModifiedBy>
  <cp:revision>7</cp:revision>
  <cp:lastPrinted>2014-10-06T12:59:00Z</cp:lastPrinted>
  <dcterms:created xsi:type="dcterms:W3CDTF">2014-10-20T09:15:00Z</dcterms:created>
  <dcterms:modified xsi:type="dcterms:W3CDTF">2014-10-20T09:45:00Z</dcterms:modified>
</cp:coreProperties>
</file>