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634" w:rsidRPr="00D32D71" w:rsidRDefault="00E71634" w:rsidP="00E71634">
      <w:pPr>
        <w:pStyle w:val="Title"/>
        <w:jc w:val="left"/>
        <w:rPr>
          <w:i/>
          <w:sz w:val="26"/>
          <w:szCs w:val="26"/>
        </w:rPr>
      </w:pPr>
      <w:bookmarkStart w:id="0" w:name="_GoBack"/>
      <w:bookmarkEnd w:id="0"/>
      <w:r w:rsidRPr="00D32D71">
        <w:rPr>
          <w:b w:val="0"/>
          <w:sz w:val="26"/>
          <w:szCs w:val="26"/>
        </w:rPr>
        <w:t xml:space="preserve">Budžeta un finanšu (nodokļu) komisija </w:t>
      </w:r>
      <w:r w:rsidRPr="00D32D71">
        <w:rPr>
          <w:b w:val="0"/>
          <w:sz w:val="26"/>
          <w:szCs w:val="26"/>
        </w:rPr>
        <w:tab/>
      </w:r>
      <w:r w:rsidRPr="00D32D71">
        <w:rPr>
          <w:b w:val="0"/>
          <w:sz w:val="26"/>
          <w:szCs w:val="26"/>
        </w:rPr>
        <w:tab/>
      </w:r>
    </w:p>
    <w:p w:rsidR="00E71634" w:rsidRPr="00D32D71" w:rsidRDefault="00E71634" w:rsidP="00E71634">
      <w:pPr>
        <w:pStyle w:val="Title"/>
        <w:jc w:val="right"/>
        <w:rPr>
          <w:b w:val="0"/>
          <w:sz w:val="26"/>
          <w:szCs w:val="26"/>
        </w:rPr>
      </w:pPr>
      <w:r w:rsidRPr="00D32D71">
        <w:rPr>
          <w:b w:val="0"/>
          <w:sz w:val="26"/>
          <w:szCs w:val="26"/>
        </w:rPr>
        <w:tab/>
        <w:t>Likumprojekts (steidzams) otrajam lasījumam</w:t>
      </w:r>
    </w:p>
    <w:p w:rsidR="00E71634" w:rsidRPr="00D32D71" w:rsidRDefault="00E71634" w:rsidP="00E71634">
      <w:pPr>
        <w:jc w:val="center"/>
        <w:rPr>
          <w:b/>
          <w:bCs/>
          <w:sz w:val="28"/>
          <w:szCs w:val="28"/>
          <w:lang w:val="lv-LV"/>
        </w:rPr>
      </w:pPr>
      <w:r w:rsidRPr="00D32D71">
        <w:rPr>
          <w:b/>
          <w:bCs/>
          <w:sz w:val="28"/>
          <w:szCs w:val="28"/>
          <w:lang w:val="lv-LV"/>
        </w:rPr>
        <w:t>Grozījums Sociālo pakalpojumu un sociālās palīdzības likumā</w:t>
      </w:r>
    </w:p>
    <w:p w:rsidR="00E71634" w:rsidRPr="00D32D71" w:rsidRDefault="00E71634" w:rsidP="00E71634">
      <w:pPr>
        <w:jc w:val="center"/>
        <w:rPr>
          <w:b/>
          <w:i/>
          <w:sz w:val="26"/>
          <w:szCs w:val="26"/>
          <w:lang w:val="lv-LV"/>
        </w:rPr>
      </w:pPr>
      <w:r w:rsidRPr="00D32D71">
        <w:rPr>
          <w:b/>
          <w:i/>
          <w:sz w:val="26"/>
          <w:szCs w:val="26"/>
          <w:lang w:val="lv-LV"/>
        </w:rPr>
        <w:t xml:space="preserve"> (Nr.</w:t>
      </w:r>
      <w:r w:rsidR="008644B7" w:rsidRPr="00D32D71">
        <w:rPr>
          <w:b/>
          <w:i/>
          <w:sz w:val="26"/>
          <w:szCs w:val="26"/>
          <w:lang w:val="lv-LV"/>
        </w:rPr>
        <w:t>94</w:t>
      </w:r>
      <w:r w:rsidRPr="00D32D71">
        <w:rPr>
          <w:b/>
          <w:i/>
          <w:sz w:val="26"/>
          <w:szCs w:val="26"/>
          <w:lang w:val="lv-LV"/>
        </w:rPr>
        <w:t>/Lp12)</w:t>
      </w:r>
    </w:p>
    <w:p w:rsidR="00E71634" w:rsidRPr="00D32D71" w:rsidRDefault="00E71634" w:rsidP="00E71634">
      <w:pPr>
        <w:pStyle w:val="Title"/>
        <w:jc w:val="left"/>
        <w:rPr>
          <w:sz w:val="16"/>
          <w:szCs w:val="16"/>
        </w:rPr>
      </w:pP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600"/>
        <w:gridCol w:w="556"/>
        <w:gridCol w:w="4048"/>
        <w:gridCol w:w="1418"/>
        <w:gridCol w:w="1418"/>
      </w:tblGrid>
      <w:tr w:rsidR="00D32D71" w:rsidRPr="00D32D71" w:rsidTr="00E71634">
        <w:tc>
          <w:tcPr>
            <w:tcW w:w="3528" w:type="dxa"/>
            <w:vAlign w:val="center"/>
          </w:tcPr>
          <w:p w:rsidR="00E71634" w:rsidRPr="00D32D71" w:rsidRDefault="00E71634" w:rsidP="00E71634">
            <w:pPr>
              <w:jc w:val="center"/>
              <w:rPr>
                <w:b/>
                <w:bCs/>
                <w:iCs/>
                <w:lang w:val="lv-LV"/>
              </w:rPr>
            </w:pPr>
            <w:r w:rsidRPr="00D32D71">
              <w:rPr>
                <w:b/>
                <w:bCs/>
                <w:iCs/>
                <w:lang w:val="lv-LV"/>
              </w:rPr>
              <w:t>Spēkā esošā redakcija</w:t>
            </w:r>
          </w:p>
        </w:tc>
        <w:tc>
          <w:tcPr>
            <w:tcW w:w="3600" w:type="dxa"/>
            <w:vAlign w:val="center"/>
          </w:tcPr>
          <w:p w:rsidR="00E71634" w:rsidRPr="00D32D71" w:rsidRDefault="00E71634" w:rsidP="00E71634">
            <w:pPr>
              <w:pStyle w:val="Heading1"/>
            </w:pPr>
            <w:r w:rsidRPr="00D32D71">
              <w:t>Pirmā lasījuma redakcija</w:t>
            </w:r>
          </w:p>
        </w:tc>
        <w:tc>
          <w:tcPr>
            <w:tcW w:w="556" w:type="dxa"/>
            <w:vAlign w:val="center"/>
          </w:tcPr>
          <w:p w:rsidR="00E71634" w:rsidRPr="00D32D71" w:rsidRDefault="00E71634" w:rsidP="00E71634">
            <w:pPr>
              <w:jc w:val="center"/>
              <w:rPr>
                <w:b/>
                <w:bCs/>
                <w:iCs/>
                <w:lang w:val="lv-LV"/>
              </w:rPr>
            </w:pPr>
            <w:r w:rsidRPr="00D32D71">
              <w:rPr>
                <w:b/>
                <w:bCs/>
                <w:iCs/>
                <w:lang w:val="lv-LV"/>
              </w:rPr>
              <w:t>Nr.</w:t>
            </w:r>
          </w:p>
        </w:tc>
        <w:tc>
          <w:tcPr>
            <w:tcW w:w="4048" w:type="dxa"/>
            <w:vAlign w:val="center"/>
          </w:tcPr>
          <w:p w:rsidR="00E71634" w:rsidRPr="00D32D71" w:rsidRDefault="00E71634" w:rsidP="00E71634">
            <w:pPr>
              <w:ind w:firstLine="10"/>
              <w:jc w:val="center"/>
              <w:rPr>
                <w:b/>
                <w:bCs/>
                <w:iCs/>
                <w:lang w:val="lv-LV"/>
              </w:rPr>
            </w:pPr>
            <w:r w:rsidRPr="00D32D71">
              <w:rPr>
                <w:b/>
                <w:bCs/>
                <w:iCs/>
                <w:lang w:val="lv-LV"/>
              </w:rPr>
              <w:t>Priekšlikumi</w:t>
            </w:r>
          </w:p>
          <w:p w:rsidR="00E71634" w:rsidRPr="00D32D71" w:rsidRDefault="00277B38" w:rsidP="00277B38">
            <w:pPr>
              <w:jc w:val="center"/>
              <w:rPr>
                <w:b/>
                <w:bCs/>
                <w:iCs/>
                <w:lang w:val="lv-LV"/>
              </w:rPr>
            </w:pPr>
            <w:r w:rsidRPr="00D32D71">
              <w:rPr>
                <w:b/>
                <w:bCs/>
                <w:iCs/>
                <w:lang w:val="lv-LV"/>
              </w:rPr>
              <w:t>(1</w:t>
            </w:r>
            <w:r w:rsidR="00E71634" w:rsidRPr="00D32D71">
              <w:rPr>
                <w:b/>
                <w:bCs/>
                <w:iCs/>
                <w:lang w:val="lv-LV"/>
              </w:rPr>
              <w:t>)</w:t>
            </w:r>
          </w:p>
        </w:tc>
        <w:tc>
          <w:tcPr>
            <w:tcW w:w="1418" w:type="dxa"/>
            <w:vAlign w:val="center"/>
          </w:tcPr>
          <w:p w:rsidR="00E71634" w:rsidRPr="00D32D71" w:rsidRDefault="00E71634" w:rsidP="00E71634">
            <w:pPr>
              <w:jc w:val="center"/>
              <w:rPr>
                <w:b/>
                <w:bCs/>
                <w:iCs/>
                <w:lang w:val="lv-LV"/>
              </w:rPr>
            </w:pPr>
            <w:r w:rsidRPr="00D32D71">
              <w:rPr>
                <w:b/>
                <w:bCs/>
                <w:iCs/>
                <w:lang w:val="lv-LV"/>
              </w:rPr>
              <w:t>Ministru kabineta atzinums</w:t>
            </w:r>
          </w:p>
        </w:tc>
        <w:tc>
          <w:tcPr>
            <w:tcW w:w="1418" w:type="dxa"/>
            <w:vAlign w:val="center"/>
          </w:tcPr>
          <w:p w:rsidR="00E71634" w:rsidRPr="00D32D71" w:rsidRDefault="00E71634" w:rsidP="00E71634">
            <w:pPr>
              <w:jc w:val="center"/>
              <w:rPr>
                <w:b/>
                <w:bCs/>
                <w:iCs/>
                <w:lang w:val="lv-LV"/>
              </w:rPr>
            </w:pPr>
            <w:r w:rsidRPr="00D32D71">
              <w:rPr>
                <w:b/>
                <w:bCs/>
                <w:iCs/>
                <w:lang w:val="lv-LV"/>
              </w:rPr>
              <w:t>Komisijas atzinums</w:t>
            </w:r>
          </w:p>
        </w:tc>
      </w:tr>
      <w:tr w:rsidR="00D32D71" w:rsidRPr="00D32D71" w:rsidTr="00FD13DF">
        <w:tc>
          <w:tcPr>
            <w:tcW w:w="3528" w:type="dxa"/>
          </w:tcPr>
          <w:p w:rsidR="00E71634" w:rsidRPr="00D32D71" w:rsidRDefault="00E71634" w:rsidP="00FD13DF">
            <w:pPr>
              <w:ind w:firstLine="567"/>
              <w:jc w:val="both"/>
              <w:rPr>
                <w:sz w:val="22"/>
                <w:szCs w:val="22"/>
                <w:lang w:val="lv-LV"/>
              </w:rPr>
            </w:pPr>
          </w:p>
        </w:tc>
        <w:tc>
          <w:tcPr>
            <w:tcW w:w="3600" w:type="dxa"/>
          </w:tcPr>
          <w:p w:rsidR="00E71634" w:rsidRPr="00D32D71" w:rsidRDefault="00E71634" w:rsidP="00E71634">
            <w:pPr>
              <w:ind w:firstLine="567"/>
              <w:jc w:val="both"/>
              <w:rPr>
                <w:sz w:val="22"/>
                <w:szCs w:val="22"/>
                <w:lang w:val="lv-LV"/>
              </w:rPr>
            </w:pPr>
            <w:r w:rsidRPr="00D32D71">
              <w:rPr>
                <w:sz w:val="22"/>
                <w:szCs w:val="22"/>
                <w:lang w:val="lv-LV"/>
              </w:rPr>
              <w:t>Izdarīt Sociālo pakalpojumu un sociālās palīdzības likumā (Latvijas Republikas Saeimas un Ministru Kabineta Ziņotājs, 2002, 23. nr.; 2003, 2. nr.; 2004, 14., 18. nr.; 2005, 2. nr.; 2006, 13. nr.; 2007, 12., 15. nr.; 2008, 3., 21. nr.; 2009, 3., 12. nr.; Latvijas Vēstnesis, 2009, 182. nr.; 2010, 19., 170. nr.; 2011, 117., 202. nr.; 2012, 201. nr.; 2013, 234. nr.) šādu grozījumu:</w:t>
            </w:r>
          </w:p>
        </w:tc>
        <w:tc>
          <w:tcPr>
            <w:tcW w:w="556" w:type="dxa"/>
          </w:tcPr>
          <w:p w:rsidR="00E71634" w:rsidRPr="00D32D71" w:rsidRDefault="00E71634" w:rsidP="00FD13DF">
            <w:pPr>
              <w:jc w:val="center"/>
              <w:rPr>
                <w:sz w:val="22"/>
                <w:szCs w:val="22"/>
                <w:lang w:val="lv-LV"/>
              </w:rPr>
            </w:pPr>
          </w:p>
        </w:tc>
        <w:tc>
          <w:tcPr>
            <w:tcW w:w="4048" w:type="dxa"/>
          </w:tcPr>
          <w:p w:rsidR="00E71634" w:rsidRPr="00D32D71" w:rsidRDefault="00E71634" w:rsidP="00FD13DF">
            <w:pPr>
              <w:tabs>
                <w:tab w:val="left" w:pos="2816"/>
              </w:tabs>
              <w:ind w:firstLine="567"/>
              <w:jc w:val="both"/>
              <w:rPr>
                <w:sz w:val="22"/>
                <w:szCs w:val="22"/>
                <w:lang w:val="lv-LV"/>
              </w:rPr>
            </w:pPr>
          </w:p>
        </w:tc>
        <w:tc>
          <w:tcPr>
            <w:tcW w:w="1418" w:type="dxa"/>
          </w:tcPr>
          <w:p w:rsidR="00E71634" w:rsidRPr="00D32D71" w:rsidRDefault="00E71634" w:rsidP="00FD13DF">
            <w:pPr>
              <w:ind w:firstLine="567"/>
              <w:jc w:val="both"/>
              <w:rPr>
                <w:sz w:val="22"/>
                <w:szCs w:val="22"/>
                <w:lang w:val="lv-LV"/>
              </w:rPr>
            </w:pPr>
          </w:p>
        </w:tc>
        <w:tc>
          <w:tcPr>
            <w:tcW w:w="1418" w:type="dxa"/>
          </w:tcPr>
          <w:p w:rsidR="00E71634" w:rsidRPr="00D32D71" w:rsidRDefault="00E71634" w:rsidP="00FD13DF">
            <w:pPr>
              <w:ind w:firstLine="567"/>
              <w:jc w:val="both"/>
              <w:rPr>
                <w:sz w:val="22"/>
                <w:szCs w:val="22"/>
                <w:lang w:val="lv-LV"/>
              </w:rPr>
            </w:pPr>
          </w:p>
        </w:tc>
      </w:tr>
      <w:tr w:rsidR="00D32D71" w:rsidRPr="00D32D71" w:rsidTr="00FD13DF">
        <w:tc>
          <w:tcPr>
            <w:tcW w:w="3528" w:type="dxa"/>
          </w:tcPr>
          <w:p w:rsidR="003876C2" w:rsidRPr="00D32D71" w:rsidRDefault="003876C2" w:rsidP="003876C2">
            <w:pPr>
              <w:pStyle w:val="tv2131"/>
              <w:spacing w:line="240" w:lineRule="auto"/>
              <w:ind w:firstLine="567"/>
              <w:rPr>
                <w:color w:val="auto"/>
                <w:sz w:val="22"/>
                <w:szCs w:val="22"/>
              </w:rPr>
            </w:pPr>
            <w:proofErr w:type="gramStart"/>
            <w:r w:rsidRPr="00D32D71">
              <w:rPr>
                <w:b/>
                <w:bCs/>
                <w:color w:val="auto"/>
                <w:sz w:val="22"/>
                <w:szCs w:val="22"/>
              </w:rPr>
              <w:t>13.pants</w:t>
            </w:r>
            <w:proofErr w:type="gramEnd"/>
            <w:r w:rsidRPr="00D32D71">
              <w:rPr>
                <w:b/>
                <w:bCs/>
                <w:color w:val="auto"/>
                <w:sz w:val="22"/>
                <w:szCs w:val="22"/>
              </w:rPr>
              <w:t>. Valsts pienākumi sociālo pakalpojumu sniegšanā</w:t>
            </w:r>
          </w:p>
          <w:p w:rsidR="003876C2" w:rsidRPr="00D32D71" w:rsidRDefault="003876C2" w:rsidP="003876C2">
            <w:pPr>
              <w:ind w:firstLine="567"/>
              <w:jc w:val="both"/>
              <w:rPr>
                <w:sz w:val="22"/>
                <w:szCs w:val="22"/>
                <w:lang w:val="lv-LV"/>
              </w:rPr>
            </w:pPr>
            <w:r w:rsidRPr="00D32D71">
              <w:rPr>
                <w:sz w:val="22"/>
                <w:szCs w:val="22"/>
                <w:lang w:val="lv-LV"/>
              </w:rPr>
              <w:t>(1) Valsts nodrošina atbilstoši ikgadējā valsts budžeta likumā piešķirtajiem līdzekļiem:</w:t>
            </w:r>
          </w:p>
          <w:p w:rsidR="003876C2" w:rsidRPr="00D32D71" w:rsidRDefault="003876C2" w:rsidP="00FD13DF">
            <w:pPr>
              <w:ind w:firstLine="567"/>
              <w:jc w:val="both"/>
              <w:rPr>
                <w:sz w:val="22"/>
                <w:szCs w:val="22"/>
                <w:lang w:val="lv-LV"/>
              </w:rPr>
            </w:pPr>
          </w:p>
        </w:tc>
        <w:tc>
          <w:tcPr>
            <w:tcW w:w="3600" w:type="dxa"/>
          </w:tcPr>
          <w:p w:rsidR="003876C2" w:rsidRPr="00D32D71" w:rsidRDefault="003876C2" w:rsidP="003876C2">
            <w:pPr>
              <w:ind w:firstLine="567"/>
              <w:jc w:val="both"/>
              <w:rPr>
                <w:sz w:val="22"/>
                <w:szCs w:val="22"/>
                <w:lang w:val="lv-LV"/>
              </w:rPr>
            </w:pPr>
            <w:r w:rsidRPr="00D32D71">
              <w:rPr>
                <w:sz w:val="22"/>
                <w:szCs w:val="22"/>
                <w:lang w:val="lv-LV"/>
              </w:rPr>
              <w:t xml:space="preserve">6) </w:t>
            </w:r>
            <w:r w:rsidRPr="00D32D71">
              <w:rPr>
                <w:sz w:val="22"/>
                <w:szCs w:val="22"/>
                <w:u w:val="single"/>
                <w:lang w:val="lv-LV"/>
              </w:rPr>
              <w:t>personām ar funkcionāliem traucējumiem darbspējīgā vecumā, kā arī personām ar funkcionāliem traucējumiem, kuras strādā (uzskatāmas par darba ņēmējām vai pašnodarbinātajām saskaņā ar likumu "Par valsts sociālo apdrošināšanu"), sociālās rehabilitācijas pakalpojumus darbspēju atjaunošanai sociālās rehabilitācijas institūcijās</w:t>
            </w:r>
            <w:r w:rsidRPr="00D32D71">
              <w:rPr>
                <w:sz w:val="22"/>
                <w:szCs w:val="22"/>
                <w:lang w:val="lv-LV"/>
              </w:rPr>
              <w:t>. Funkcionālo traucējumu sarakstu apstiprina Ministru kabinets;</w:t>
            </w:r>
          </w:p>
        </w:tc>
        <w:tc>
          <w:tcPr>
            <w:tcW w:w="556" w:type="dxa"/>
          </w:tcPr>
          <w:p w:rsidR="003876C2" w:rsidRPr="00D32D71" w:rsidRDefault="003876C2" w:rsidP="00FD13DF">
            <w:pPr>
              <w:jc w:val="center"/>
              <w:rPr>
                <w:sz w:val="22"/>
                <w:szCs w:val="22"/>
                <w:lang w:val="lv-LV"/>
              </w:rPr>
            </w:pPr>
            <w:r w:rsidRPr="00D32D71">
              <w:rPr>
                <w:b/>
                <w:sz w:val="22"/>
                <w:szCs w:val="22"/>
                <w:lang w:val="lv-LV"/>
              </w:rPr>
              <w:t>1</w:t>
            </w:r>
          </w:p>
        </w:tc>
        <w:tc>
          <w:tcPr>
            <w:tcW w:w="4048" w:type="dxa"/>
          </w:tcPr>
          <w:p w:rsidR="003876C2" w:rsidRPr="00D32D71" w:rsidRDefault="003876C2" w:rsidP="003876C2">
            <w:pPr>
              <w:tabs>
                <w:tab w:val="left" w:pos="2816"/>
              </w:tabs>
              <w:ind w:firstLine="567"/>
              <w:jc w:val="both"/>
              <w:rPr>
                <w:b/>
                <w:sz w:val="22"/>
                <w:szCs w:val="22"/>
                <w:u w:val="single"/>
                <w:lang w:val="lv-LV"/>
              </w:rPr>
            </w:pPr>
            <w:r w:rsidRPr="00D32D71">
              <w:rPr>
                <w:b/>
                <w:sz w:val="22"/>
                <w:szCs w:val="22"/>
                <w:u w:val="single"/>
                <w:lang w:val="lv-LV"/>
              </w:rPr>
              <w:t>Deputāte A.Barča</w:t>
            </w:r>
          </w:p>
          <w:p w:rsidR="003876C2" w:rsidRPr="00D32D71" w:rsidRDefault="003876C2" w:rsidP="003876C2">
            <w:pPr>
              <w:ind w:firstLine="567"/>
              <w:jc w:val="both"/>
              <w:rPr>
                <w:sz w:val="22"/>
                <w:szCs w:val="22"/>
                <w:lang w:val="lv-LV"/>
              </w:rPr>
            </w:pPr>
            <w:r w:rsidRPr="00D32D71">
              <w:rPr>
                <w:sz w:val="22"/>
                <w:szCs w:val="22"/>
                <w:lang w:val="lv-LV"/>
              </w:rPr>
              <w:t xml:space="preserve">Aizstāt likuma </w:t>
            </w:r>
            <w:proofErr w:type="gramStart"/>
            <w:r w:rsidRPr="00D32D71">
              <w:rPr>
                <w:sz w:val="22"/>
                <w:szCs w:val="22"/>
                <w:lang w:val="lv-LV"/>
              </w:rPr>
              <w:t>13.panta</w:t>
            </w:r>
            <w:proofErr w:type="gramEnd"/>
            <w:r w:rsidRPr="00D32D71">
              <w:rPr>
                <w:sz w:val="22"/>
                <w:szCs w:val="22"/>
                <w:lang w:val="lv-LV"/>
              </w:rPr>
              <w:t xml:space="preserve"> pirmās daļas 6.punktā pirmo teikumu ar teikumu šādā redakcijā:</w:t>
            </w:r>
          </w:p>
          <w:p w:rsidR="003876C2" w:rsidRPr="00D32D71" w:rsidRDefault="003876C2" w:rsidP="003876C2">
            <w:pPr>
              <w:ind w:firstLine="567"/>
              <w:jc w:val="both"/>
              <w:rPr>
                <w:sz w:val="22"/>
                <w:szCs w:val="22"/>
                <w:lang w:val="lv-LV"/>
              </w:rPr>
            </w:pPr>
            <w:r w:rsidRPr="00D32D71">
              <w:rPr>
                <w:sz w:val="22"/>
                <w:szCs w:val="22"/>
                <w:lang w:val="lv-LV"/>
              </w:rPr>
              <w:t>„</w:t>
            </w:r>
            <w:r w:rsidRPr="00D32D71">
              <w:rPr>
                <w:sz w:val="22"/>
                <w:szCs w:val="22"/>
                <w:u w:val="single"/>
                <w:lang w:val="lv-LV"/>
              </w:rPr>
              <w:t>personām ar funkcionāliem traucējumiem – sociālās rehabilitācijas pakalpojumus sociālās rehabilitācijas iestādē</w:t>
            </w:r>
            <w:r w:rsidR="00AA09BF" w:rsidRPr="00D32D71">
              <w:rPr>
                <w:sz w:val="22"/>
                <w:szCs w:val="22"/>
                <w:lang w:val="lv-LV"/>
              </w:rPr>
              <w:t>s.”</w:t>
            </w:r>
          </w:p>
        </w:tc>
        <w:tc>
          <w:tcPr>
            <w:tcW w:w="1418" w:type="dxa"/>
          </w:tcPr>
          <w:p w:rsidR="003876C2" w:rsidRPr="00D32D71" w:rsidRDefault="003876C2" w:rsidP="00FD13DF">
            <w:pPr>
              <w:ind w:firstLine="567"/>
              <w:jc w:val="both"/>
              <w:rPr>
                <w:sz w:val="22"/>
                <w:szCs w:val="22"/>
                <w:lang w:val="lv-LV"/>
              </w:rPr>
            </w:pPr>
          </w:p>
        </w:tc>
        <w:tc>
          <w:tcPr>
            <w:tcW w:w="1418" w:type="dxa"/>
          </w:tcPr>
          <w:p w:rsidR="003876C2" w:rsidRPr="00D32D71" w:rsidRDefault="003876C2" w:rsidP="00FD13DF">
            <w:pPr>
              <w:ind w:firstLine="567"/>
              <w:jc w:val="both"/>
              <w:rPr>
                <w:sz w:val="22"/>
                <w:szCs w:val="22"/>
                <w:lang w:val="lv-LV"/>
              </w:rPr>
            </w:pPr>
          </w:p>
        </w:tc>
      </w:tr>
      <w:tr w:rsidR="00D32D71" w:rsidRPr="00D32D71" w:rsidTr="00FD13DF">
        <w:tc>
          <w:tcPr>
            <w:tcW w:w="3528" w:type="dxa"/>
          </w:tcPr>
          <w:p w:rsidR="00E71634" w:rsidRPr="00D32D71" w:rsidRDefault="00E71634" w:rsidP="00E71634">
            <w:pPr>
              <w:ind w:firstLine="567"/>
              <w:jc w:val="both"/>
              <w:rPr>
                <w:sz w:val="22"/>
                <w:szCs w:val="22"/>
                <w:lang w:val="fr-FR"/>
              </w:rPr>
            </w:pPr>
            <w:r w:rsidRPr="00D32D71">
              <w:rPr>
                <w:sz w:val="22"/>
                <w:szCs w:val="22"/>
                <w:lang w:val="lv-LV"/>
              </w:rPr>
              <w:t>8) atbalsta programmu ar celiakiju slimajiem bērniem, kuriem nav noteikta invaliditāte. Atbalsta apjomu un nosacījumus tā saņemšanai nosaka Ministru kabinets;</w:t>
            </w:r>
          </w:p>
        </w:tc>
        <w:tc>
          <w:tcPr>
            <w:tcW w:w="3600" w:type="dxa"/>
          </w:tcPr>
          <w:p w:rsidR="00E71634" w:rsidRPr="00D32D71" w:rsidRDefault="00E71634" w:rsidP="00E71634">
            <w:pPr>
              <w:ind w:firstLine="567"/>
              <w:jc w:val="both"/>
              <w:rPr>
                <w:sz w:val="22"/>
                <w:szCs w:val="22"/>
                <w:lang w:val="fr-FR"/>
              </w:rPr>
            </w:pPr>
            <w:proofErr w:type="spellStart"/>
            <w:r w:rsidRPr="00D32D71">
              <w:rPr>
                <w:sz w:val="22"/>
                <w:szCs w:val="22"/>
                <w:lang w:val="fr-FR"/>
              </w:rPr>
              <w:t>Izteikt</w:t>
            </w:r>
            <w:proofErr w:type="spellEnd"/>
            <w:r w:rsidRPr="00D32D71">
              <w:rPr>
                <w:sz w:val="22"/>
                <w:szCs w:val="22"/>
                <w:lang w:val="fr-FR"/>
              </w:rPr>
              <w:t xml:space="preserve"> 13. </w:t>
            </w:r>
            <w:proofErr w:type="spellStart"/>
            <w:r w:rsidRPr="00D32D71">
              <w:rPr>
                <w:sz w:val="22"/>
                <w:szCs w:val="22"/>
                <w:lang w:val="fr-FR"/>
              </w:rPr>
              <w:t>panta</w:t>
            </w:r>
            <w:proofErr w:type="spellEnd"/>
            <w:r w:rsidRPr="00D32D71">
              <w:rPr>
                <w:sz w:val="22"/>
                <w:szCs w:val="22"/>
                <w:lang w:val="fr-FR"/>
              </w:rPr>
              <w:t xml:space="preserve"> </w:t>
            </w:r>
            <w:proofErr w:type="spellStart"/>
            <w:r w:rsidRPr="00D32D71">
              <w:rPr>
                <w:sz w:val="22"/>
                <w:szCs w:val="22"/>
                <w:lang w:val="fr-FR"/>
              </w:rPr>
              <w:t>pirmās</w:t>
            </w:r>
            <w:proofErr w:type="spellEnd"/>
            <w:r w:rsidRPr="00D32D71">
              <w:rPr>
                <w:sz w:val="22"/>
                <w:szCs w:val="22"/>
                <w:lang w:val="fr-FR"/>
              </w:rPr>
              <w:t xml:space="preserve"> </w:t>
            </w:r>
            <w:proofErr w:type="spellStart"/>
            <w:r w:rsidRPr="00D32D71">
              <w:rPr>
                <w:sz w:val="22"/>
                <w:szCs w:val="22"/>
                <w:lang w:val="fr-FR"/>
              </w:rPr>
              <w:t>daļas</w:t>
            </w:r>
            <w:proofErr w:type="spellEnd"/>
            <w:r w:rsidRPr="00D32D71">
              <w:rPr>
                <w:sz w:val="22"/>
                <w:szCs w:val="22"/>
                <w:lang w:val="fr-FR"/>
              </w:rPr>
              <w:t xml:space="preserve"> 8. </w:t>
            </w:r>
            <w:proofErr w:type="spellStart"/>
            <w:r w:rsidRPr="00D32D71">
              <w:rPr>
                <w:sz w:val="22"/>
                <w:szCs w:val="22"/>
                <w:lang w:val="fr-FR"/>
              </w:rPr>
              <w:t>punkta</w:t>
            </w:r>
            <w:proofErr w:type="spellEnd"/>
            <w:r w:rsidRPr="00D32D71">
              <w:rPr>
                <w:sz w:val="22"/>
                <w:szCs w:val="22"/>
                <w:lang w:val="fr-FR"/>
              </w:rPr>
              <w:t xml:space="preserve"> </w:t>
            </w:r>
            <w:proofErr w:type="spellStart"/>
            <w:r w:rsidRPr="00D32D71">
              <w:rPr>
                <w:sz w:val="22"/>
                <w:szCs w:val="22"/>
                <w:lang w:val="fr-FR"/>
              </w:rPr>
              <w:t>pirmo</w:t>
            </w:r>
            <w:proofErr w:type="spellEnd"/>
            <w:r w:rsidRPr="00D32D71">
              <w:rPr>
                <w:sz w:val="22"/>
                <w:szCs w:val="22"/>
                <w:lang w:val="fr-FR"/>
              </w:rPr>
              <w:t xml:space="preserve"> </w:t>
            </w:r>
            <w:proofErr w:type="spellStart"/>
            <w:r w:rsidRPr="00D32D71">
              <w:rPr>
                <w:sz w:val="22"/>
                <w:szCs w:val="22"/>
                <w:lang w:val="fr-FR"/>
              </w:rPr>
              <w:t>teikumu</w:t>
            </w:r>
            <w:proofErr w:type="spellEnd"/>
            <w:r w:rsidRPr="00D32D71">
              <w:rPr>
                <w:sz w:val="22"/>
                <w:szCs w:val="22"/>
                <w:lang w:val="fr-FR"/>
              </w:rPr>
              <w:t xml:space="preserve"> </w:t>
            </w:r>
            <w:proofErr w:type="spellStart"/>
            <w:r w:rsidRPr="00D32D71">
              <w:rPr>
                <w:sz w:val="22"/>
                <w:szCs w:val="22"/>
                <w:lang w:val="fr-FR"/>
              </w:rPr>
              <w:t>šādā</w:t>
            </w:r>
            <w:proofErr w:type="spellEnd"/>
            <w:r w:rsidRPr="00D32D71">
              <w:rPr>
                <w:sz w:val="22"/>
                <w:szCs w:val="22"/>
                <w:lang w:val="fr-FR"/>
              </w:rPr>
              <w:t xml:space="preserve"> </w:t>
            </w:r>
            <w:proofErr w:type="spellStart"/>
            <w:r w:rsidRPr="00D32D71">
              <w:rPr>
                <w:sz w:val="22"/>
                <w:szCs w:val="22"/>
                <w:lang w:val="fr-FR"/>
              </w:rPr>
              <w:t>redakcijā</w:t>
            </w:r>
            <w:proofErr w:type="spellEnd"/>
            <w:r w:rsidRPr="00D32D71">
              <w:rPr>
                <w:sz w:val="22"/>
                <w:szCs w:val="22"/>
                <w:lang w:val="fr-FR"/>
              </w:rPr>
              <w:t>:</w:t>
            </w:r>
          </w:p>
          <w:p w:rsidR="00E71634" w:rsidRPr="00D32D71" w:rsidRDefault="00E71634" w:rsidP="00E71634">
            <w:pPr>
              <w:ind w:firstLine="567"/>
              <w:jc w:val="both"/>
              <w:rPr>
                <w:sz w:val="22"/>
                <w:szCs w:val="22"/>
                <w:lang w:val="fr-FR"/>
              </w:rPr>
            </w:pPr>
            <w:r w:rsidRPr="00D32D71">
              <w:rPr>
                <w:sz w:val="22"/>
                <w:szCs w:val="22"/>
                <w:lang w:val="fr-FR"/>
              </w:rPr>
              <w:t>"</w:t>
            </w:r>
            <w:proofErr w:type="spellStart"/>
            <w:r w:rsidRPr="00D32D71">
              <w:rPr>
                <w:sz w:val="22"/>
                <w:szCs w:val="22"/>
                <w:lang w:val="fr-FR"/>
              </w:rPr>
              <w:t>atbalsta</w:t>
            </w:r>
            <w:proofErr w:type="spellEnd"/>
            <w:r w:rsidRPr="00D32D71">
              <w:rPr>
                <w:sz w:val="22"/>
                <w:szCs w:val="22"/>
                <w:lang w:val="fr-FR"/>
              </w:rPr>
              <w:t xml:space="preserve"> </w:t>
            </w:r>
            <w:proofErr w:type="spellStart"/>
            <w:r w:rsidRPr="00D32D71">
              <w:rPr>
                <w:sz w:val="22"/>
                <w:szCs w:val="22"/>
                <w:lang w:val="fr-FR"/>
              </w:rPr>
              <w:t>programmu</w:t>
            </w:r>
            <w:proofErr w:type="spellEnd"/>
            <w:r w:rsidRPr="00D32D71">
              <w:rPr>
                <w:sz w:val="22"/>
                <w:szCs w:val="22"/>
                <w:lang w:val="fr-FR"/>
              </w:rPr>
              <w:t xml:space="preserve"> </w:t>
            </w:r>
            <w:proofErr w:type="spellStart"/>
            <w:r w:rsidRPr="00D32D71">
              <w:rPr>
                <w:sz w:val="22"/>
                <w:szCs w:val="22"/>
                <w:lang w:val="fr-FR"/>
              </w:rPr>
              <w:t>ar</w:t>
            </w:r>
            <w:proofErr w:type="spellEnd"/>
            <w:r w:rsidRPr="00D32D71">
              <w:rPr>
                <w:sz w:val="22"/>
                <w:szCs w:val="22"/>
                <w:lang w:val="fr-FR"/>
              </w:rPr>
              <w:t xml:space="preserve"> </w:t>
            </w:r>
            <w:proofErr w:type="spellStart"/>
            <w:r w:rsidRPr="00D32D71">
              <w:rPr>
                <w:sz w:val="22"/>
                <w:szCs w:val="22"/>
                <w:lang w:val="fr-FR"/>
              </w:rPr>
              <w:t>celiakiju</w:t>
            </w:r>
            <w:proofErr w:type="spellEnd"/>
            <w:r w:rsidRPr="00D32D71">
              <w:rPr>
                <w:sz w:val="22"/>
                <w:szCs w:val="22"/>
                <w:lang w:val="fr-FR"/>
              </w:rPr>
              <w:t xml:space="preserve"> </w:t>
            </w:r>
            <w:proofErr w:type="spellStart"/>
            <w:r w:rsidRPr="00D32D71">
              <w:rPr>
                <w:sz w:val="22"/>
                <w:szCs w:val="22"/>
                <w:lang w:val="fr-FR"/>
              </w:rPr>
              <w:t>slimajiem</w:t>
            </w:r>
            <w:proofErr w:type="spellEnd"/>
            <w:r w:rsidRPr="00D32D71">
              <w:rPr>
                <w:sz w:val="22"/>
                <w:szCs w:val="22"/>
                <w:lang w:val="fr-FR"/>
              </w:rPr>
              <w:t xml:space="preserve"> </w:t>
            </w:r>
            <w:proofErr w:type="spellStart"/>
            <w:r w:rsidRPr="00D32D71">
              <w:rPr>
                <w:sz w:val="22"/>
                <w:szCs w:val="22"/>
                <w:lang w:val="fr-FR"/>
              </w:rPr>
              <w:t>bērniem</w:t>
            </w:r>
            <w:proofErr w:type="spellEnd"/>
            <w:r w:rsidRPr="00D32D71">
              <w:rPr>
                <w:sz w:val="22"/>
                <w:szCs w:val="22"/>
                <w:lang w:val="fr-FR"/>
              </w:rPr>
              <w:t xml:space="preserve">, </w:t>
            </w:r>
            <w:proofErr w:type="spellStart"/>
            <w:r w:rsidRPr="00D32D71">
              <w:rPr>
                <w:sz w:val="22"/>
                <w:szCs w:val="22"/>
                <w:lang w:val="fr-FR"/>
              </w:rPr>
              <w:t>turpinot</w:t>
            </w:r>
            <w:proofErr w:type="spellEnd"/>
            <w:r w:rsidRPr="00D32D71">
              <w:rPr>
                <w:sz w:val="22"/>
                <w:szCs w:val="22"/>
                <w:lang w:val="fr-FR"/>
              </w:rPr>
              <w:t xml:space="preserve"> </w:t>
            </w:r>
            <w:proofErr w:type="spellStart"/>
            <w:r w:rsidRPr="00D32D71">
              <w:rPr>
                <w:sz w:val="22"/>
                <w:szCs w:val="22"/>
                <w:lang w:val="fr-FR"/>
              </w:rPr>
              <w:t>atbalsta</w:t>
            </w:r>
            <w:proofErr w:type="spellEnd"/>
            <w:r w:rsidRPr="00D32D71">
              <w:rPr>
                <w:sz w:val="22"/>
                <w:szCs w:val="22"/>
                <w:lang w:val="fr-FR"/>
              </w:rPr>
              <w:t xml:space="preserve"> </w:t>
            </w:r>
            <w:proofErr w:type="spellStart"/>
            <w:r w:rsidRPr="00D32D71">
              <w:rPr>
                <w:sz w:val="22"/>
                <w:szCs w:val="22"/>
                <w:lang w:val="fr-FR"/>
              </w:rPr>
              <w:t>sniegšanu</w:t>
            </w:r>
            <w:proofErr w:type="spellEnd"/>
            <w:r w:rsidRPr="00D32D71">
              <w:rPr>
                <w:sz w:val="22"/>
                <w:szCs w:val="22"/>
                <w:lang w:val="fr-FR"/>
              </w:rPr>
              <w:t xml:space="preserve"> </w:t>
            </w:r>
            <w:proofErr w:type="spellStart"/>
            <w:r w:rsidRPr="00D32D71">
              <w:rPr>
                <w:sz w:val="22"/>
                <w:szCs w:val="22"/>
                <w:lang w:val="fr-FR"/>
              </w:rPr>
              <w:t>šīm</w:t>
            </w:r>
            <w:proofErr w:type="spellEnd"/>
            <w:r w:rsidRPr="00D32D71">
              <w:rPr>
                <w:sz w:val="22"/>
                <w:szCs w:val="22"/>
                <w:lang w:val="fr-FR"/>
              </w:rPr>
              <w:t xml:space="preserve"> </w:t>
            </w:r>
            <w:proofErr w:type="spellStart"/>
            <w:r w:rsidRPr="00D32D71">
              <w:rPr>
                <w:sz w:val="22"/>
                <w:szCs w:val="22"/>
                <w:lang w:val="fr-FR"/>
              </w:rPr>
              <w:t>personām</w:t>
            </w:r>
            <w:proofErr w:type="spellEnd"/>
            <w:r w:rsidRPr="00D32D71">
              <w:rPr>
                <w:sz w:val="22"/>
                <w:szCs w:val="22"/>
                <w:lang w:val="fr-FR"/>
              </w:rPr>
              <w:t xml:space="preserve"> </w:t>
            </w:r>
            <w:proofErr w:type="spellStart"/>
            <w:r w:rsidRPr="00D32D71">
              <w:rPr>
                <w:sz w:val="22"/>
                <w:szCs w:val="22"/>
                <w:lang w:val="fr-FR"/>
              </w:rPr>
              <w:t>pēc</w:t>
            </w:r>
            <w:proofErr w:type="spellEnd"/>
            <w:r w:rsidRPr="00D32D71">
              <w:rPr>
                <w:sz w:val="22"/>
                <w:szCs w:val="22"/>
                <w:lang w:val="fr-FR"/>
              </w:rPr>
              <w:t xml:space="preserve"> </w:t>
            </w:r>
            <w:proofErr w:type="spellStart"/>
            <w:r w:rsidRPr="00D32D71">
              <w:rPr>
                <w:sz w:val="22"/>
                <w:szCs w:val="22"/>
                <w:lang w:val="fr-FR"/>
              </w:rPr>
              <w:lastRenderedPageBreak/>
              <w:t>pilngadības</w:t>
            </w:r>
            <w:proofErr w:type="spellEnd"/>
            <w:r w:rsidRPr="00D32D71">
              <w:rPr>
                <w:sz w:val="22"/>
                <w:szCs w:val="22"/>
                <w:lang w:val="fr-FR"/>
              </w:rPr>
              <w:t xml:space="preserve"> </w:t>
            </w:r>
            <w:proofErr w:type="spellStart"/>
            <w:r w:rsidRPr="00D32D71">
              <w:rPr>
                <w:sz w:val="22"/>
                <w:szCs w:val="22"/>
                <w:lang w:val="fr-FR"/>
              </w:rPr>
              <w:t>sasniegšanas</w:t>
            </w:r>
            <w:proofErr w:type="spellEnd"/>
            <w:r w:rsidRPr="00D32D71">
              <w:rPr>
                <w:sz w:val="22"/>
                <w:szCs w:val="22"/>
                <w:lang w:val="fr-FR"/>
              </w:rPr>
              <w:t xml:space="preserve">, </w:t>
            </w:r>
            <w:proofErr w:type="spellStart"/>
            <w:r w:rsidRPr="00D32D71">
              <w:rPr>
                <w:sz w:val="22"/>
                <w:szCs w:val="22"/>
                <w:lang w:val="fr-FR"/>
              </w:rPr>
              <w:t>ja</w:t>
            </w:r>
            <w:proofErr w:type="spellEnd"/>
            <w:r w:rsidRPr="00D32D71">
              <w:rPr>
                <w:sz w:val="22"/>
                <w:szCs w:val="22"/>
                <w:lang w:val="fr-FR"/>
              </w:rPr>
              <w:t xml:space="preserve"> </w:t>
            </w:r>
            <w:proofErr w:type="spellStart"/>
            <w:r w:rsidRPr="00D32D71">
              <w:rPr>
                <w:sz w:val="22"/>
                <w:szCs w:val="22"/>
                <w:lang w:val="fr-FR"/>
              </w:rPr>
              <w:t>tās</w:t>
            </w:r>
            <w:proofErr w:type="spellEnd"/>
            <w:r w:rsidRPr="00D32D71">
              <w:rPr>
                <w:sz w:val="22"/>
                <w:szCs w:val="22"/>
                <w:lang w:val="fr-FR"/>
              </w:rPr>
              <w:t xml:space="preserve"> </w:t>
            </w:r>
            <w:proofErr w:type="spellStart"/>
            <w:r w:rsidRPr="00D32D71">
              <w:rPr>
                <w:sz w:val="22"/>
                <w:szCs w:val="22"/>
                <w:lang w:val="fr-FR"/>
              </w:rPr>
              <w:t>mācās</w:t>
            </w:r>
            <w:proofErr w:type="spellEnd"/>
            <w:r w:rsidRPr="00D32D71">
              <w:rPr>
                <w:sz w:val="22"/>
                <w:szCs w:val="22"/>
                <w:lang w:val="fr-FR"/>
              </w:rPr>
              <w:t xml:space="preserve"> </w:t>
            </w:r>
            <w:proofErr w:type="spellStart"/>
            <w:r w:rsidRPr="00D32D71">
              <w:rPr>
                <w:sz w:val="22"/>
                <w:szCs w:val="22"/>
                <w:lang w:val="fr-FR"/>
              </w:rPr>
              <w:t>vispārējās</w:t>
            </w:r>
            <w:proofErr w:type="spellEnd"/>
            <w:r w:rsidRPr="00D32D71">
              <w:rPr>
                <w:sz w:val="22"/>
                <w:szCs w:val="22"/>
                <w:lang w:val="fr-FR"/>
              </w:rPr>
              <w:t xml:space="preserve"> </w:t>
            </w:r>
            <w:proofErr w:type="spellStart"/>
            <w:r w:rsidRPr="00D32D71">
              <w:rPr>
                <w:sz w:val="22"/>
                <w:szCs w:val="22"/>
                <w:lang w:val="fr-FR"/>
              </w:rPr>
              <w:t>izglītības</w:t>
            </w:r>
            <w:proofErr w:type="spellEnd"/>
            <w:r w:rsidRPr="00D32D71">
              <w:rPr>
                <w:sz w:val="22"/>
                <w:szCs w:val="22"/>
                <w:lang w:val="fr-FR"/>
              </w:rPr>
              <w:t xml:space="preserve"> </w:t>
            </w:r>
            <w:proofErr w:type="spellStart"/>
            <w:r w:rsidRPr="00D32D71">
              <w:rPr>
                <w:sz w:val="22"/>
                <w:szCs w:val="22"/>
                <w:lang w:val="fr-FR"/>
              </w:rPr>
              <w:t>vai</w:t>
            </w:r>
            <w:proofErr w:type="spellEnd"/>
            <w:r w:rsidRPr="00D32D71">
              <w:rPr>
                <w:sz w:val="22"/>
                <w:szCs w:val="22"/>
                <w:lang w:val="fr-FR"/>
              </w:rPr>
              <w:t xml:space="preserve"> </w:t>
            </w:r>
            <w:proofErr w:type="spellStart"/>
            <w:r w:rsidRPr="00D32D71">
              <w:rPr>
                <w:sz w:val="22"/>
                <w:szCs w:val="22"/>
                <w:lang w:val="fr-FR"/>
              </w:rPr>
              <w:t>profesionālās</w:t>
            </w:r>
            <w:proofErr w:type="spellEnd"/>
            <w:r w:rsidRPr="00D32D71">
              <w:rPr>
                <w:sz w:val="22"/>
                <w:szCs w:val="22"/>
                <w:lang w:val="fr-FR"/>
              </w:rPr>
              <w:t xml:space="preserve"> </w:t>
            </w:r>
            <w:proofErr w:type="spellStart"/>
            <w:r w:rsidRPr="00D32D71">
              <w:rPr>
                <w:sz w:val="22"/>
                <w:szCs w:val="22"/>
                <w:lang w:val="fr-FR"/>
              </w:rPr>
              <w:t>izglītības</w:t>
            </w:r>
            <w:proofErr w:type="spellEnd"/>
            <w:r w:rsidRPr="00D32D71">
              <w:rPr>
                <w:sz w:val="22"/>
                <w:szCs w:val="22"/>
                <w:lang w:val="fr-FR"/>
              </w:rPr>
              <w:t xml:space="preserve"> </w:t>
            </w:r>
            <w:proofErr w:type="spellStart"/>
            <w:r w:rsidRPr="00D32D71">
              <w:rPr>
                <w:sz w:val="22"/>
                <w:szCs w:val="22"/>
                <w:lang w:val="fr-FR"/>
              </w:rPr>
              <w:t>iestādē</w:t>
            </w:r>
            <w:proofErr w:type="spellEnd"/>
            <w:r w:rsidRPr="00D32D71">
              <w:rPr>
                <w:sz w:val="22"/>
                <w:szCs w:val="22"/>
                <w:lang w:val="fr-FR"/>
              </w:rPr>
              <w:t xml:space="preserve"> un </w:t>
            </w:r>
            <w:proofErr w:type="spellStart"/>
            <w:r w:rsidRPr="00D32D71">
              <w:rPr>
                <w:sz w:val="22"/>
                <w:szCs w:val="22"/>
                <w:lang w:val="fr-FR"/>
              </w:rPr>
              <w:t>nav</w:t>
            </w:r>
            <w:proofErr w:type="spellEnd"/>
            <w:r w:rsidRPr="00D32D71">
              <w:rPr>
                <w:sz w:val="22"/>
                <w:szCs w:val="22"/>
                <w:lang w:val="fr-FR"/>
              </w:rPr>
              <w:t xml:space="preserve"> </w:t>
            </w:r>
            <w:proofErr w:type="spellStart"/>
            <w:r w:rsidRPr="00D32D71">
              <w:rPr>
                <w:sz w:val="22"/>
                <w:szCs w:val="22"/>
                <w:lang w:val="fr-FR"/>
              </w:rPr>
              <w:t>vecākas</w:t>
            </w:r>
            <w:proofErr w:type="spellEnd"/>
            <w:r w:rsidRPr="00D32D71">
              <w:rPr>
                <w:sz w:val="22"/>
                <w:szCs w:val="22"/>
                <w:lang w:val="fr-FR"/>
              </w:rPr>
              <w:t xml:space="preserve"> par 20 </w:t>
            </w:r>
            <w:proofErr w:type="spellStart"/>
            <w:r w:rsidRPr="00D32D71">
              <w:rPr>
                <w:sz w:val="22"/>
                <w:szCs w:val="22"/>
                <w:lang w:val="fr-FR"/>
              </w:rPr>
              <w:t>gadiem</w:t>
            </w:r>
            <w:proofErr w:type="spellEnd"/>
            <w:r w:rsidRPr="00D32D71">
              <w:rPr>
                <w:sz w:val="22"/>
                <w:szCs w:val="22"/>
                <w:lang w:val="fr-FR"/>
              </w:rPr>
              <w:t xml:space="preserve"> </w:t>
            </w:r>
            <w:proofErr w:type="spellStart"/>
            <w:r w:rsidRPr="00D32D71">
              <w:rPr>
                <w:sz w:val="22"/>
                <w:szCs w:val="22"/>
                <w:lang w:val="fr-FR"/>
              </w:rPr>
              <w:t>vai</w:t>
            </w:r>
            <w:proofErr w:type="spellEnd"/>
            <w:r w:rsidRPr="00D32D71">
              <w:rPr>
                <w:sz w:val="22"/>
                <w:szCs w:val="22"/>
                <w:lang w:val="fr-FR"/>
              </w:rPr>
              <w:t xml:space="preserve"> </w:t>
            </w:r>
            <w:proofErr w:type="spellStart"/>
            <w:r w:rsidRPr="00D32D71">
              <w:rPr>
                <w:sz w:val="22"/>
                <w:szCs w:val="22"/>
                <w:lang w:val="fr-FR"/>
              </w:rPr>
              <w:t>studē</w:t>
            </w:r>
            <w:proofErr w:type="spellEnd"/>
            <w:r w:rsidRPr="00D32D71">
              <w:rPr>
                <w:sz w:val="22"/>
                <w:szCs w:val="22"/>
                <w:lang w:val="fr-FR"/>
              </w:rPr>
              <w:t xml:space="preserve"> </w:t>
            </w:r>
            <w:proofErr w:type="spellStart"/>
            <w:r w:rsidRPr="00D32D71">
              <w:rPr>
                <w:sz w:val="22"/>
                <w:szCs w:val="22"/>
                <w:lang w:val="fr-FR"/>
              </w:rPr>
              <w:t>augstskolā</w:t>
            </w:r>
            <w:proofErr w:type="spellEnd"/>
            <w:r w:rsidRPr="00D32D71">
              <w:rPr>
                <w:sz w:val="22"/>
                <w:szCs w:val="22"/>
                <w:lang w:val="fr-FR"/>
              </w:rPr>
              <w:t xml:space="preserve"> </w:t>
            </w:r>
            <w:proofErr w:type="spellStart"/>
            <w:r w:rsidRPr="00D32D71">
              <w:rPr>
                <w:sz w:val="22"/>
                <w:szCs w:val="22"/>
                <w:lang w:val="fr-FR"/>
              </w:rPr>
              <w:t>dienas</w:t>
            </w:r>
            <w:proofErr w:type="spellEnd"/>
            <w:r w:rsidRPr="00D32D71">
              <w:rPr>
                <w:sz w:val="22"/>
                <w:szCs w:val="22"/>
                <w:lang w:val="fr-FR"/>
              </w:rPr>
              <w:t xml:space="preserve"> </w:t>
            </w:r>
            <w:proofErr w:type="spellStart"/>
            <w:r w:rsidRPr="00D32D71">
              <w:rPr>
                <w:sz w:val="22"/>
                <w:szCs w:val="22"/>
                <w:lang w:val="fr-FR"/>
              </w:rPr>
              <w:t>nodaļā</w:t>
            </w:r>
            <w:proofErr w:type="spellEnd"/>
            <w:r w:rsidRPr="00D32D71">
              <w:rPr>
                <w:sz w:val="22"/>
                <w:szCs w:val="22"/>
                <w:lang w:val="fr-FR"/>
              </w:rPr>
              <w:t xml:space="preserve"> (</w:t>
            </w:r>
            <w:proofErr w:type="spellStart"/>
            <w:r w:rsidRPr="00D32D71">
              <w:rPr>
                <w:sz w:val="22"/>
                <w:szCs w:val="22"/>
                <w:lang w:val="fr-FR"/>
              </w:rPr>
              <w:t>pilna</w:t>
            </w:r>
            <w:proofErr w:type="spellEnd"/>
            <w:r w:rsidRPr="00D32D71">
              <w:rPr>
                <w:sz w:val="22"/>
                <w:szCs w:val="22"/>
                <w:lang w:val="fr-FR"/>
              </w:rPr>
              <w:t xml:space="preserve"> </w:t>
            </w:r>
            <w:proofErr w:type="spellStart"/>
            <w:r w:rsidRPr="00D32D71">
              <w:rPr>
                <w:sz w:val="22"/>
                <w:szCs w:val="22"/>
                <w:lang w:val="fr-FR"/>
              </w:rPr>
              <w:t>laika</w:t>
            </w:r>
            <w:proofErr w:type="spellEnd"/>
            <w:r w:rsidRPr="00D32D71">
              <w:rPr>
                <w:sz w:val="22"/>
                <w:szCs w:val="22"/>
                <w:lang w:val="fr-FR"/>
              </w:rPr>
              <w:t xml:space="preserve"> </w:t>
            </w:r>
            <w:proofErr w:type="spellStart"/>
            <w:r w:rsidRPr="00D32D71">
              <w:rPr>
                <w:sz w:val="22"/>
                <w:szCs w:val="22"/>
                <w:lang w:val="fr-FR"/>
              </w:rPr>
              <w:t>klātienē</w:t>
            </w:r>
            <w:proofErr w:type="spellEnd"/>
            <w:r w:rsidRPr="00D32D71">
              <w:rPr>
                <w:sz w:val="22"/>
                <w:szCs w:val="22"/>
                <w:lang w:val="fr-FR"/>
              </w:rPr>
              <w:t xml:space="preserve">) un </w:t>
            </w:r>
            <w:proofErr w:type="spellStart"/>
            <w:r w:rsidRPr="00D32D71">
              <w:rPr>
                <w:sz w:val="22"/>
                <w:szCs w:val="22"/>
                <w:lang w:val="fr-FR"/>
              </w:rPr>
              <w:t>nav</w:t>
            </w:r>
            <w:proofErr w:type="spellEnd"/>
            <w:r w:rsidRPr="00D32D71">
              <w:rPr>
                <w:sz w:val="22"/>
                <w:szCs w:val="22"/>
                <w:lang w:val="fr-FR"/>
              </w:rPr>
              <w:t xml:space="preserve"> </w:t>
            </w:r>
            <w:proofErr w:type="spellStart"/>
            <w:r w:rsidRPr="00D32D71">
              <w:rPr>
                <w:sz w:val="22"/>
                <w:szCs w:val="22"/>
                <w:lang w:val="fr-FR"/>
              </w:rPr>
              <w:t>vecākas</w:t>
            </w:r>
            <w:proofErr w:type="spellEnd"/>
            <w:r w:rsidRPr="00D32D71">
              <w:rPr>
                <w:sz w:val="22"/>
                <w:szCs w:val="22"/>
                <w:lang w:val="fr-FR"/>
              </w:rPr>
              <w:t xml:space="preserve"> par 24 </w:t>
            </w:r>
            <w:proofErr w:type="spellStart"/>
            <w:r w:rsidRPr="00D32D71">
              <w:rPr>
                <w:sz w:val="22"/>
                <w:szCs w:val="22"/>
                <w:lang w:val="fr-FR"/>
              </w:rPr>
              <w:t>gadiem</w:t>
            </w:r>
            <w:proofErr w:type="spellEnd"/>
            <w:r w:rsidRPr="00D32D71">
              <w:rPr>
                <w:sz w:val="22"/>
                <w:szCs w:val="22"/>
                <w:lang w:val="fr-FR"/>
              </w:rPr>
              <w:t>.".</w:t>
            </w:r>
          </w:p>
        </w:tc>
        <w:tc>
          <w:tcPr>
            <w:tcW w:w="556" w:type="dxa"/>
          </w:tcPr>
          <w:p w:rsidR="00E71634" w:rsidRPr="00D32D71" w:rsidRDefault="00E71634" w:rsidP="00FD13DF">
            <w:pPr>
              <w:jc w:val="center"/>
              <w:rPr>
                <w:b/>
                <w:sz w:val="22"/>
                <w:szCs w:val="22"/>
                <w:lang w:val="lv-LV"/>
              </w:rPr>
            </w:pPr>
          </w:p>
        </w:tc>
        <w:tc>
          <w:tcPr>
            <w:tcW w:w="4048" w:type="dxa"/>
          </w:tcPr>
          <w:p w:rsidR="003876C2" w:rsidRPr="00D32D71" w:rsidRDefault="003876C2" w:rsidP="003876C2">
            <w:pPr>
              <w:ind w:firstLine="851"/>
              <w:jc w:val="both"/>
              <w:rPr>
                <w:sz w:val="22"/>
                <w:szCs w:val="22"/>
                <w:lang w:val="lv-LV"/>
              </w:rPr>
            </w:pPr>
          </w:p>
        </w:tc>
        <w:tc>
          <w:tcPr>
            <w:tcW w:w="1418" w:type="dxa"/>
          </w:tcPr>
          <w:p w:rsidR="00E71634" w:rsidRPr="00D32D71" w:rsidRDefault="00E71634" w:rsidP="00FD13DF">
            <w:pPr>
              <w:ind w:firstLine="567"/>
              <w:jc w:val="both"/>
              <w:rPr>
                <w:sz w:val="22"/>
                <w:szCs w:val="22"/>
                <w:lang w:val="lv-LV"/>
              </w:rPr>
            </w:pPr>
          </w:p>
        </w:tc>
        <w:tc>
          <w:tcPr>
            <w:tcW w:w="1418" w:type="dxa"/>
          </w:tcPr>
          <w:p w:rsidR="00E71634" w:rsidRPr="00D32D71" w:rsidRDefault="00E71634" w:rsidP="00FD13DF">
            <w:pPr>
              <w:ind w:firstLine="567"/>
              <w:jc w:val="both"/>
              <w:rPr>
                <w:sz w:val="22"/>
                <w:szCs w:val="22"/>
                <w:lang w:val="lv-LV"/>
              </w:rPr>
            </w:pPr>
          </w:p>
        </w:tc>
      </w:tr>
      <w:tr w:rsidR="00D32D71" w:rsidRPr="00D32D71" w:rsidTr="00FD13DF">
        <w:tc>
          <w:tcPr>
            <w:tcW w:w="3528" w:type="dxa"/>
          </w:tcPr>
          <w:p w:rsidR="00E71634" w:rsidRPr="00D32D71" w:rsidRDefault="00E71634" w:rsidP="00E71634">
            <w:pPr>
              <w:ind w:firstLine="567"/>
              <w:jc w:val="both"/>
              <w:rPr>
                <w:sz w:val="22"/>
                <w:szCs w:val="22"/>
                <w:lang w:val="fr-FR"/>
              </w:rPr>
            </w:pPr>
          </w:p>
        </w:tc>
        <w:tc>
          <w:tcPr>
            <w:tcW w:w="3600" w:type="dxa"/>
          </w:tcPr>
          <w:p w:rsidR="00E71634" w:rsidRPr="00D32D71" w:rsidRDefault="00E71634" w:rsidP="00E71634">
            <w:pPr>
              <w:pStyle w:val="naisf"/>
              <w:spacing w:before="0" w:beforeAutospacing="0" w:after="0" w:afterAutospacing="0"/>
              <w:ind w:firstLine="567"/>
              <w:jc w:val="both"/>
              <w:rPr>
                <w:sz w:val="22"/>
                <w:szCs w:val="22"/>
              </w:rPr>
            </w:pPr>
            <w:r w:rsidRPr="00D32D71">
              <w:rPr>
                <w:sz w:val="22"/>
                <w:szCs w:val="22"/>
              </w:rPr>
              <w:t>Likums stājas spēkā 2015. gada 1. janvārī.</w:t>
            </w:r>
          </w:p>
        </w:tc>
        <w:tc>
          <w:tcPr>
            <w:tcW w:w="556" w:type="dxa"/>
          </w:tcPr>
          <w:p w:rsidR="00E71634" w:rsidRPr="00D32D71" w:rsidRDefault="00E71634" w:rsidP="00FD13DF">
            <w:pPr>
              <w:jc w:val="center"/>
              <w:rPr>
                <w:b/>
                <w:sz w:val="22"/>
                <w:szCs w:val="22"/>
                <w:lang w:val="lv-LV"/>
              </w:rPr>
            </w:pPr>
          </w:p>
        </w:tc>
        <w:tc>
          <w:tcPr>
            <w:tcW w:w="4048" w:type="dxa"/>
          </w:tcPr>
          <w:p w:rsidR="00E71634" w:rsidRPr="00D32D71" w:rsidRDefault="00E71634" w:rsidP="00FD13DF">
            <w:pPr>
              <w:tabs>
                <w:tab w:val="left" w:pos="2816"/>
              </w:tabs>
              <w:ind w:firstLine="567"/>
              <w:jc w:val="both"/>
              <w:rPr>
                <w:b/>
                <w:sz w:val="22"/>
                <w:szCs w:val="22"/>
                <w:u w:val="single"/>
                <w:lang w:val="lv-LV"/>
              </w:rPr>
            </w:pPr>
          </w:p>
        </w:tc>
        <w:tc>
          <w:tcPr>
            <w:tcW w:w="1418" w:type="dxa"/>
          </w:tcPr>
          <w:p w:rsidR="00E71634" w:rsidRPr="00D32D71" w:rsidRDefault="00E71634" w:rsidP="00FD13DF">
            <w:pPr>
              <w:ind w:firstLine="567"/>
              <w:jc w:val="both"/>
              <w:rPr>
                <w:sz w:val="22"/>
                <w:szCs w:val="22"/>
                <w:lang w:val="lv-LV"/>
              </w:rPr>
            </w:pPr>
          </w:p>
        </w:tc>
        <w:tc>
          <w:tcPr>
            <w:tcW w:w="1418" w:type="dxa"/>
          </w:tcPr>
          <w:p w:rsidR="00E71634" w:rsidRPr="00D32D71" w:rsidRDefault="00E71634" w:rsidP="00FD13DF">
            <w:pPr>
              <w:ind w:firstLine="567"/>
              <w:jc w:val="both"/>
              <w:rPr>
                <w:sz w:val="22"/>
                <w:szCs w:val="22"/>
                <w:lang w:val="lv-LV"/>
              </w:rPr>
            </w:pPr>
          </w:p>
        </w:tc>
      </w:tr>
    </w:tbl>
    <w:p w:rsidR="00AD5442" w:rsidRPr="00D32D71" w:rsidRDefault="00AD5442">
      <w:pPr>
        <w:rPr>
          <w:lang w:val="lv-LV"/>
        </w:rPr>
      </w:pPr>
      <w:bookmarkStart w:id="1" w:name="6156"/>
      <w:bookmarkEnd w:id="1"/>
    </w:p>
    <w:sectPr w:rsidR="00AD5442" w:rsidRPr="00D32D71" w:rsidSect="00DE7779">
      <w:footerReference w:type="even" r:id="rId6"/>
      <w:footerReference w:type="default" r:id="rId7"/>
      <w:footerReference w:type="first" r:id="rId8"/>
      <w:pgSz w:w="15840" w:h="12240" w:orient="landscape"/>
      <w:pgMar w:top="1134" w:right="851" w:bottom="1276" w:left="851"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D6E" w:rsidRDefault="00531D6E">
      <w:r>
        <w:separator/>
      </w:r>
    </w:p>
  </w:endnote>
  <w:endnote w:type="continuationSeparator" w:id="0">
    <w:p w:rsidR="00531D6E" w:rsidRDefault="0053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23" w:rsidRDefault="00E71634" w:rsidP="007D0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0423" w:rsidRDefault="00767DF1" w:rsidP="00630E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23" w:rsidRDefault="00E71634" w:rsidP="007D0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7DF1">
      <w:rPr>
        <w:rStyle w:val="PageNumber"/>
        <w:noProof/>
      </w:rPr>
      <w:t>2</w:t>
    </w:r>
    <w:r>
      <w:rPr>
        <w:rStyle w:val="PageNumber"/>
      </w:rPr>
      <w:fldChar w:fldCharType="end"/>
    </w:r>
  </w:p>
  <w:p w:rsidR="00C10423" w:rsidRPr="00DE7779" w:rsidRDefault="00767DF1" w:rsidP="00DE7779">
    <w:pPr>
      <w:pStyle w:val="Footer"/>
      <w:rPr>
        <w:sz w:val="18"/>
        <w:szCs w:val="18"/>
        <w:lang w:val="lv-LV"/>
      </w:rPr>
    </w:pPr>
  </w:p>
  <w:p w:rsidR="00C10423" w:rsidRDefault="00767DF1" w:rsidP="00630E45">
    <w:pPr>
      <w:pStyle w:val="Footer"/>
      <w:ind w:right="360"/>
    </w:pPr>
  </w:p>
  <w:p w:rsidR="00C10423" w:rsidRDefault="00767D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23" w:rsidRDefault="00767DF1" w:rsidP="000F59A0">
    <w:pPr>
      <w:pStyle w:val="Footer"/>
      <w:ind w:right="360"/>
      <w:rPr>
        <w:sz w:val="18"/>
        <w:szCs w:val="18"/>
        <w:lang w:val="lv-LV"/>
      </w:rPr>
    </w:pPr>
  </w:p>
  <w:p w:rsidR="00C10423" w:rsidRDefault="00767DF1" w:rsidP="000F59A0">
    <w:pPr>
      <w:pStyle w:val="Footer"/>
      <w:ind w:right="360"/>
    </w:pPr>
  </w:p>
  <w:p w:rsidR="00C10423" w:rsidRPr="00DE7779" w:rsidRDefault="00767DF1">
    <w:pPr>
      <w:pStyle w:val="Footer"/>
      <w:rPr>
        <w:sz w:val="18"/>
        <w:szCs w:val="18"/>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D6E" w:rsidRDefault="00531D6E">
      <w:r>
        <w:separator/>
      </w:r>
    </w:p>
  </w:footnote>
  <w:footnote w:type="continuationSeparator" w:id="0">
    <w:p w:rsidR="00531D6E" w:rsidRDefault="00531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34"/>
    <w:rsid w:val="00277B38"/>
    <w:rsid w:val="003876C2"/>
    <w:rsid w:val="00531D6E"/>
    <w:rsid w:val="00767DF1"/>
    <w:rsid w:val="00813C04"/>
    <w:rsid w:val="008644B7"/>
    <w:rsid w:val="00AA09BF"/>
    <w:rsid w:val="00AD5442"/>
    <w:rsid w:val="00D32D71"/>
    <w:rsid w:val="00D627C0"/>
    <w:rsid w:val="00E716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09030-AFCF-424D-97E8-A41067B7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34"/>
    <w:rPr>
      <w:rFonts w:eastAsia="Times New Roman" w:cs="Times New Roman"/>
      <w:szCs w:val="24"/>
      <w:lang w:val="en-GB"/>
    </w:rPr>
  </w:style>
  <w:style w:type="paragraph" w:styleId="Heading1">
    <w:name w:val="heading 1"/>
    <w:basedOn w:val="Normal"/>
    <w:next w:val="Normal"/>
    <w:link w:val="Heading1Char"/>
    <w:qFormat/>
    <w:rsid w:val="00E71634"/>
    <w:pPr>
      <w:keepNext/>
      <w:jc w:val="center"/>
      <w:outlineLvl w:val="0"/>
    </w:pPr>
    <w:rPr>
      <w:b/>
      <w:bCs/>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634"/>
    <w:rPr>
      <w:rFonts w:eastAsia="Times New Roman" w:cs="Times New Roman"/>
      <w:b/>
      <w:bCs/>
      <w:iCs/>
      <w:szCs w:val="24"/>
    </w:rPr>
  </w:style>
  <w:style w:type="paragraph" w:styleId="Title">
    <w:name w:val="Title"/>
    <w:basedOn w:val="Normal"/>
    <w:link w:val="TitleChar"/>
    <w:qFormat/>
    <w:rsid w:val="00E71634"/>
    <w:pPr>
      <w:jc w:val="center"/>
    </w:pPr>
    <w:rPr>
      <w:b/>
      <w:szCs w:val="20"/>
      <w:lang w:val="lv-LV"/>
    </w:rPr>
  </w:style>
  <w:style w:type="character" w:customStyle="1" w:styleId="TitleChar">
    <w:name w:val="Title Char"/>
    <w:basedOn w:val="DefaultParagraphFont"/>
    <w:link w:val="Title"/>
    <w:rsid w:val="00E71634"/>
    <w:rPr>
      <w:rFonts w:eastAsia="Times New Roman" w:cs="Times New Roman"/>
      <w:b/>
      <w:szCs w:val="20"/>
    </w:rPr>
  </w:style>
  <w:style w:type="paragraph" w:styleId="Footer">
    <w:name w:val="footer"/>
    <w:basedOn w:val="Normal"/>
    <w:link w:val="FooterChar"/>
    <w:rsid w:val="00E71634"/>
    <w:pPr>
      <w:tabs>
        <w:tab w:val="center" w:pos="4320"/>
        <w:tab w:val="right" w:pos="8640"/>
      </w:tabs>
    </w:pPr>
  </w:style>
  <w:style w:type="character" w:customStyle="1" w:styleId="FooterChar">
    <w:name w:val="Footer Char"/>
    <w:basedOn w:val="DefaultParagraphFont"/>
    <w:link w:val="Footer"/>
    <w:rsid w:val="00E71634"/>
    <w:rPr>
      <w:rFonts w:eastAsia="Times New Roman" w:cs="Times New Roman"/>
      <w:szCs w:val="24"/>
      <w:lang w:val="en-GB"/>
    </w:rPr>
  </w:style>
  <w:style w:type="character" w:styleId="PageNumber">
    <w:name w:val="page number"/>
    <w:basedOn w:val="DefaultParagraphFont"/>
    <w:rsid w:val="00E71634"/>
  </w:style>
  <w:style w:type="paragraph" w:customStyle="1" w:styleId="naisf">
    <w:name w:val="naisf"/>
    <w:basedOn w:val="Normal"/>
    <w:uiPriority w:val="99"/>
    <w:rsid w:val="00E71634"/>
    <w:pPr>
      <w:spacing w:before="100" w:beforeAutospacing="1" w:after="100" w:afterAutospacing="1"/>
    </w:pPr>
    <w:rPr>
      <w:lang w:val="lv-LV" w:eastAsia="lv-LV"/>
    </w:rPr>
  </w:style>
  <w:style w:type="paragraph" w:customStyle="1" w:styleId="tv2131">
    <w:name w:val="tv2131"/>
    <w:basedOn w:val="Normal"/>
    <w:rsid w:val="00E71634"/>
    <w:pPr>
      <w:spacing w:line="360" w:lineRule="auto"/>
      <w:ind w:firstLine="300"/>
    </w:pPr>
    <w:rPr>
      <w:color w:val="414142"/>
      <w:sz w:val="20"/>
      <w:szCs w:val="20"/>
      <w:lang w:val="lv-LV" w:eastAsia="lv-LV"/>
    </w:rPr>
  </w:style>
  <w:style w:type="paragraph" w:styleId="BalloonText">
    <w:name w:val="Balloon Text"/>
    <w:basedOn w:val="Normal"/>
    <w:link w:val="BalloonTextChar"/>
    <w:uiPriority w:val="99"/>
    <w:semiHidden/>
    <w:unhideWhenUsed/>
    <w:rsid w:val="00767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DF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7480">
      <w:bodyDiv w:val="1"/>
      <w:marLeft w:val="0"/>
      <w:marRight w:val="0"/>
      <w:marTop w:val="0"/>
      <w:marBottom w:val="0"/>
      <w:divBdr>
        <w:top w:val="none" w:sz="0" w:space="0" w:color="auto"/>
        <w:left w:val="none" w:sz="0" w:space="0" w:color="auto"/>
        <w:bottom w:val="none" w:sz="0" w:space="0" w:color="auto"/>
        <w:right w:val="none" w:sz="0" w:space="0" w:color="auto"/>
      </w:divBdr>
      <w:divsChild>
        <w:div w:id="721707961">
          <w:marLeft w:val="0"/>
          <w:marRight w:val="0"/>
          <w:marTop w:val="0"/>
          <w:marBottom w:val="0"/>
          <w:divBdr>
            <w:top w:val="none" w:sz="0" w:space="0" w:color="auto"/>
            <w:left w:val="none" w:sz="0" w:space="0" w:color="auto"/>
            <w:bottom w:val="none" w:sz="0" w:space="0" w:color="auto"/>
            <w:right w:val="none" w:sz="0" w:space="0" w:color="auto"/>
          </w:divBdr>
          <w:divsChild>
            <w:div w:id="787503755">
              <w:marLeft w:val="0"/>
              <w:marRight w:val="0"/>
              <w:marTop w:val="0"/>
              <w:marBottom w:val="0"/>
              <w:divBdr>
                <w:top w:val="none" w:sz="0" w:space="0" w:color="auto"/>
                <w:left w:val="none" w:sz="0" w:space="0" w:color="auto"/>
                <w:bottom w:val="none" w:sz="0" w:space="0" w:color="auto"/>
                <w:right w:val="none" w:sz="0" w:space="0" w:color="auto"/>
              </w:divBdr>
              <w:divsChild>
                <w:div w:id="782458070">
                  <w:marLeft w:val="0"/>
                  <w:marRight w:val="0"/>
                  <w:marTop w:val="0"/>
                  <w:marBottom w:val="0"/>
                  <w:divBdr>
                    <w:top w:val="none" w:sz="0" w:space="0" w:color="auto"/>
                    <w:left w:val="none" w:sz="0" w:space="0" w:color="auto"/>
                    <w:bottom w:val="none" w:sz="0" w:space="0" w:color="auto"/>
                    <w:right w:val="none" w:sz="0" w:space="0" w:color="auto"/>
                  </w:divBdr>
                  <w:divsChild>
                    <w:div w:id="1768764868">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sChild>
                            <w:div w:id="4302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1289</Words>
  <Characters>736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B-782</dc:creator>
  <cp:keywords/>
  <dc:description/>
  <cp:lastModifiedBy>B-782</cp:lastModifiedBy>
  <cp:revision>2</cp:revision>
  <cp:lastPrinted>2014-12-13T10:31:00Z</cp:lastPrinted>
  <dcterms:created xsi:type="dcterms:W3CDTF">2014-12-13T10:33:00Z</dcterms:created>
  <dcterms:modified xsi:type="dcterms:W3CDTF">2014-12-13T10:33:00Z</dcterms:modified>
</cp:coreProperties>
</file>