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BC" w:rsidRPr="00DE7F9E" w:rsidRDefault="00446437" w:rsidP="003258EE">
      <w:pPr>
        <w:pStyle w:val="Footer"/>
        <w:jc w:val="center"/>
        <w:rPr>
          <w:b/>
          <w:color w:val="000000"/>
        </w:rPr>
      </w:pPr>
      <w:r w:rsidRPr="00DE7F9E">
        <w:rPr>
          <w:b/>
          <w:bCs/>
          <w:color w:val="000000"/>
        </w:rPr>
        <w:t>Ministru kabineta noteikumu projekta</w:t>
      </w:r>
      <w:r w:rsidR="003258EE" w:rsidRPr="00DE7F9E">
        <w:rPr>
          <w:b/>
          <w:bCs/>
          <w:color w:val="000000"/>
        </w:rPr>
        <w:t xml:space="preserve"> </w:t>
      </w:r>
      <w:r w:rsidRPr="00DE7F9E">
        <w:rPr>
          <w:b/>
          <w:color w:val="000000"/>
        </w:rPr>
        <w:t>„</w:t>
      </w:r>
      <w:r w:rsidR="00EA3E29" w:rsidRPr="00DE7F9E">
        <w:rPr>
          <w:b/>
          <w:color w:val="000000"/>
        </w:rPr>
        <w:t>C</w:t>
      </w:r>
      <w:r w:rsidR="00137DBC" w:rsidRPr="00DE7F9E">
        <w:rPr>
          <w:b/>
          <w:color w:val="000000"/>
        </w:rPr>
        <w:t>ivilās aviācijas gaisa kuģa</w:t>
      </w:r>
    </w:p>
    <w:p w:rsidR="00137DBC" w:rsidRPr="00DE7F9E" w:rsidRDefault="00137DBC" w:rsidP="00137DBC">
      <w:pPr>
        <w:jc w:val="center"/>
        <w:rPr>
          <w:b/>
          <w:color w:val="000000"/>
        </w:rPr>
      </w:pPr>
      <w:r w:rsidRPr="00DE7F9E">
        <w:rPr>
          <w:b/>
          <w:color w:val="000000"/>
        </w:rPr>
        <w:t xml:space="preserve"> ekspluatanta apliecības izsniegšan</w:t>
      </w:r>
      <w:r w:rsidR="00EA3E29" w:rsidRPr="00DE7F9E">
        <w:rPr>
          <w:b/>
          <w:color w:val="000000"/>
        </w:rPr>
        <w:t>as kārtība</w:t>
      </w:r>
      <w:r w:rsidR="00446437" w:rsidRPr="00DE7F9E">
        <w:rPr>
          <w:b/>
          <w:color w:val="000000"/>
        </w:rPr>
        <w:t>”</w:t>
      </w:r>
    </w:p>
    <w:p w:rsidR="00446437" w:rsidRPr="00DE7F9E" w:rsidRDefault="00446437" w:rsidP="00137DBC">
      <w:pPr>
        <w:jc w:val="center"/>
        <w:rPr>
          <w:b/>
          <w:bCs/>
          <w:color w:val="000000"/>
        </w:rPr>
      </w:pPr>
      <w:r w:rsidRPr="00DE7F9E">
        <w:rPr>
          <w:b/>
          <w:color w:val="000000"/>
        </w:rPr>
        <w:t>sākotnējās ietekmes novērtējuma ziņojums (</w:t>
      </w:r>
      <w:r w:rsidRPr="00DE7F9E">
        <w:rPr>
          <w:b/>
          <w:bCs/>
          <w:color w:val="000000"/>
        </w:rPr>
        <w:t>anotācija)</w:t>
      </w:r>
    </w:p>
    <w:p w:rsidR="00446437" w:rsidRPr="00DE7F9E" w:rsidRDefault="00446437" w:rsidP="00446437">
      <w:pPr>
        <w:jc w:val="center"/>
        <w:outlineLvl w:val="3"/>
        <w:rPr>
          <w:b/>
          <w:bCs/>
          <w:color w:val="00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
        <w:gridCol w:w="1347"/>
        <w:gridCol w:w="1247"/>
        <w:gridCol w:w="233"/>
        <w:gridCol w:w="40"/>
        <w:gridCol w:w="507"/>
        <w:gridCol w:w="2076"/>
        <w:gridCol w:w="230"/>
        <w:gridCol w:w="2887"/>
        <w:gridCol w:w="172"/>
      </w:tblGrid>
      <w:tr w:rsidR="00131530" w:rsidRPr="00DE7F9E" w:rsidTr="00E3670B">
        <w:trPr>
          <w:trHeight w:val="405"/>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rsidR="00131530" w:rsidRPr="00DE7F9E" w:rsidRDefault="00131530">
            <w:pPr>
              <w:pStyle w:val="tvhtml"/>
              <w:jc w:val="center"/>
              <w:rPr>
                <w:b/>
                <w:bCs/>
              </w:rPr>
            </w:pPr>
            <w:r w:rsidRPr="00DE7F9E">
              <w:rPr>
                <w:b/>
                <w:bCs/>
              </w:rPr>
              <w:t>I. Tiesību akta projekta izstrādes nepieciešamība</w:t>
            </w:r>
          </w:p>
        </w:tc>
      </w:tr>
      <w:tr w:rsidR="00131530" w:rsidRPr="00DE7F9E" w:rsidTr="00E3670B">
        <w:trPr>
          <w:trHeight w:val="405"/>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pPr>
              <w:pStyle w:val="tvhtml"/>
              <w:jc w:val="center"/>
            </w:pPr>
            <w:r w:rsidRPr="00DE7F9E">
              <w:t>1.</w:t>
            </w:r>
          </w:p>
        </w:tc>
        <w:tc>
          <w:tcPr>
            <w:tcW w:w="1532" w:type="pct"/>
            <w:gridSpan w:val="4"/>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Pamatojums</w:t>
            </w:r>
          </w:p>
        </w:tc>
        <w:tc>
          <w:tcPr>
            <w:tcW w:w="3159" w:type="pct"/>
            <w:gridSpan w:val="5"/>
            <w:tcBorders>
              <w:top w:val="outset" w:sz="6" w:space="0" w:color="auto"/>
              <w:left w:val="outset" w:sz="6" w:space="0" w:color="auto"/>
              <w:bottom w:val="outset" w:sz="6" w:space="0" w:color="auto"/>
              <w:right w:val="outset" w:sz="6" w:space="0" w:color="auto"/>
            </w:tcBorders>
            <w:hideMark/>
          </w:tcPr>
          <w:p w:rsidR="00131530" w:rsidRPr="00DE7F9E" w:rsidRDefault="00241806" w:rsidP="00F15C2E">
            <w:pPr>
              <w:jc w:val="both"/>
            </w:pPr>
            <w:r w:rsidRPr="00DE7F9E">
              <w:t>Likuma „Par aviāciju” 79.pants.</w:t>
            </w:r>
          </w:p>
          <w:p w:rsidR="00F15C2E" w:rsidRPr="00DE7F9E" w:rsidRDefault="00F15C2E" w:rsidP="00F15C2E">
            <w:pPr>
              <w:jc w:val="both"/>
            </w:pPr>
          </w:p>
          <w:p w:rsidR="00A155CF" w:rsidRPr="00DE7F9E" w:rsidRDefault="00A155CF" w:rsidP="00F15C2E">
            <w:pPr>
              <w:jc w:val="both"/>
            </w:pPr>
            <w:r w:rsidRPr="00DE7F9E">
              <w:rPr>
                <w:color w:val="000000"/>
              </w:rPr>
              <w:t xml:space="preserve">Komisijas 2012.gada 5.oktobra </w:t>
            </w:r>
            <w:r w:rsidR="007161FD" w:rsidRPr="00DE7F9E">
              <w:rPr>
                <w:color w:val="000000"/>
              </w:rPr>
              <w:t>Regula</w:t>
            </w:r>
            <w:r w:rsidRPr="00DE7F9E">
              <w:rPr>
                <w:color w:val="000000"/>
              </w:rPr>
              <w:t xml:space="preserve"> (ES) Nr.965/2012, ar ko nosaka tehniskās prasības un administratīvās procedūras saistībā </w:t>
            </w:r>
            <w:bookmarkStart w:id="0" w:name="_GoBack"/>
            <w:bookmarkEnd w:id="0"/>
            <w:r w:rsidRPr="00DE7F9E">
              <w:rPr>
                <w:color w:val="000000"/>
              </w:rPr>
              <w:t xml:space="preserve">ar gaisa kuģu ekspluatāciju atbilstīgi Eiropas Parlamenta un Padomes </w:t>
            </w:r>
            <w:r w:rsidR="007161FD" w:rsidRPr="00DE7F9E">
              <w:rPr>
                <w:color w:val="000000"/>
              </w:rPr>
              <w:t>Regula</w:t>
            </w:r>
            <w:r w:rsidRPr="00DE7F9E">
              <w:rPr>
                <w:color w:val="000000"/>
              </w:rPr>
              <w:t>i (EK) Nr.216/2008.</w:t>
            </w:r>
          </w:p>
        </w:tc>
      </w:tr>
      <w:tr w:rsidR="00131530" w:rsidRPr="00DE7F9E" w:rsidTr="00E3670B">
        <w:trPr>
          <w:trHeight w:val="465"/>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pPr>
              <w:pStyle w:val="tvhtml"/>
              <w:jc w:val="center"/>
            </w:pPr>
            <w:r w:rsidRPr="00DE7F9E">
              <w:t>2.</w:t>
            </w:r>
          </w:p>
        </w:tc>
        <w:tc>
          <w:tcPr>
            <w:tcW w:w="1532" w:type="pct"/>
            <w:gridSpan w:val="4"/>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Pašreizējā situācija un problēmas, kuru risināšanai tiesību akta projekts izstrādāts, tiesiskā regulējuma mērķis un būtība</w:t>
            </w:r>
          </w:p>
        </w:tc>
        <w:tc>
          <w:tcPr>
            <w:tcW w:w="3159" w:type="pct"/>
            <w:gridSpan w:val="5"/>
            <w:tcBorders>
              <w:top w:val="outset" w:sz="6" w:space="0" w:color="auto"/>
              <w:left w:val="outset" w:sz="6" w:space="0" w:color="auto"/>
              <w:bottom w:val="outset" w:sz="6" w:space="0" w:color="auto"/>
              <w:right w:val="outset" w:sz="6" w:space="0" w:color="auto"/>
            </w:tcBorders>
            <w:hideMark/>
          </w:tcPr>
          <w:p w:rsidR="00C92C18" w:rsidRPr="00DE7F9E" w:rsidRDefault="00241806" w:rsidP="00513118">
            <w:pPr>
              <w:jc w:val="both"/>
            </w:pPr>
            <w:r w:rsidRPr="00DE7F9E">
              <w:t xml:space="preserve">2012.gada 5.oktobrī tika pieņemta Komisijas </w:t>
            </w:r>
            <w:r w:rsidR="007161FD" w:rsidRPr="00DE7F9E">
              <w:t>Regula</w:t>
            </w:r>
            <w:r w:rsidRPr="00DE7F9E">
              <w:t xml:space="preserve"> (ES) Nr.965/2012, ar ko nosaka tehniskās prasības un administratīvās procedūras saistībā ar gaisa kuģu ekspluatāciju atbilstīgi Eiropas Parlamenta un Padomes </w:t>
            </w:r>
            <w:r w:rsidR="007161FD" w:rsidRPr="00DE7F9E">
              <w:t>Regula</w:t>
            </w:r>
            <w:r w:rsidRPr="00DE7F9E">
              <w:t>i (EK) Nr.216/2008, kas grozīta ar</w:t>
            </w:r>
            <w:r w:rsidR="00C92C18" w:rsidRPr="00DE7F9E">
              <w:t>:</w:t>
            </w:r>
          </w:p>
          <w:p w:rsidR="00C92C18" w:rsidRPr="00DE7F9E" w:rsidRDefault="00C92C18" w:rsidP="00513118">
            <w:pPr>
              <w:jc w:val="both"/>
            </w:pPr>
            <w:r w:rsidRPr="00DE7F9E">
              <w:t>1. </w:t>
            </w:r>
            <w:r w:rsidR="00241806" w:rsidRPr="00DE7F9E">
              <w:t xml:space="preserve">Komisijas 2013.gada 14.augusta Regulu (ES) Nr.800/2013, ar kuru groza Regulu (ES) Nr.965/2012, ar ko nosaka tehniskās prasības un administratīvās procedūras saistībā ar gaisa kuģu ekspluatāciju atbilstīgi Eiropas Parlamenta un Padomes </w:t>
            </w:r>
            <w:r w:rsidR="007161FD" w:rsidRPr="00DE7F9E">
              <w:t>Regula</w:t>
            </w:r>
            <w:r w:rsidR="00241806" w:rsidRPr="00DE7F9E">
              <w:t>i (EK) Nr.216/2008</w:t>
            </w:r>
            <w:r w:rsidRPr="00DE7F9E">
              <w:t>;</w:t>
            </w:r>
          </w:p>
          <w:p w:rsidR="00C92C18" w:rsidRPr="00DE7F9E" w:rsidRDefault="00C92C18" w:rsidP="00513118">
            <w:pPr>
              <w:jc w:val="both"/>
              <w:rPr>
                <w:rStyle w:val="Strong"/>
                <w:b w:val="0"/>
              </w:rPr>
            </w:pPr>
            <w:r w:rsidRPr="00DE7F9E">
              <w:t>2. </w:t>
            </w:r>
            <w:r w:rsidRPr="00DE7F9E">
              <w:rPr>
                <w:rStyle w:val="Strong"/>
                <w:b w:val="0"/>
              </w:rPr>
              <w:t xml:space="preserve">Komisijas 2014. gada 27. janvāra Regulu (ES) Nr.71/2014, ar kuru groza Regulu (ES) Nr.965/2012, ar ko nosaka tehniskās prasības un administratīvās procedūras saistībā ar gaisa kuģu ekspluatāciju atbilstīgi Eiropas Parlamenta un Padomes </w:t>
            </w:r>
            <w:r w:rsidR="007161FD" w:rsidRPr="00DE7F9E">
              <w:rPr>
                <w:rStyle w:val="Strong"/>
                <w:b w:val="0"/>
              </w:rPr>
              <w:t>Regula</w:t>
            </w:r>
            <w:r w:rsidRPr="00DE7F9E">
              <w:rPr>
                <w:rStyle w:val="Strong"/>
                <w:b w:val="0"/>
              </w:rPr>
              <w:t>i (EK) Nr.216/2008;</w:t>
            </w:r>
          </w:p>
          <w:p w:rsidR="004647B4" w:rsidRPr="00DE7F9E" w:rsidRDefault="00C92C18" w:rsidP="00513118">
            <w:pPr>
              <w:jc w:val="both"/>
              <w:rPr>
                <w:rStyle w:val="Strong"/>
                <w:b w:val="0"/>
              </w:rPr>
            </w:pPr>
            <w:r w:rsidRPr="00DE7F9E">
              <w:rPr>
                <w:rStyle w:val="Strong"/>
                <w:b w:val="0"/>
              </w:rPr>
              <w:t>3.</w:t>
            </w:r>
            <w:r w:rsidR="004647B4" w:rsidRPr="00DE7F9E">
              <w:rPr>
                <w:rStyle w:val="Strong"/>
                <w:b w:val="0"/>
              </w:rPr>
              <w:t xml:space="preserve"> Komisijas 2014.gada 29.janvāra Regulu (ES) Nr.83/2014, ar kuru groza Regulu (ES) Nr.965/2012, ar ko nosaka tehniskās prasības un administratīvās procedūras saistībā ar gaisa kuģu ekspluatāciju atbilstīgi Eiropas Parlamenta un Padomes </w:t>
            </w:r>
            <w:r w:rsidR="007161FD" w:rsidRPr="00DE7F9E">
              <w:rPr>
                <w:rStyle w:val="Strong"/>
                <w:b w:val="0"/>
              </w:rPr>
              <w:t>Regula</w:t>
            </w:r>
            <w:r w:rsidR="004647B4" w:rsidRPr="00DE7F9E">
              <w:rPr>
                <w:rStyle w:val="Strong"/>
                <w:b w:val="0"/>
              </w:rPr>
              <w:t>i (EK) Nr.216/2008;</w:t>
            </w:r>
          </w:p>
          <w:p w:rsidR="006046F0" w:rsidRPr="00DE7F9E" w:rsidRDefault="004647B4" w:rsidP="00513118">
            <w:pPr>
              <w:jc w:val="both"/>
            </w:pPr>
            <w:r w:rsidRPr="00DE7F9E">
              <w:rPr>
                <w:rStyle w:val="Strong"/>
                <w:b w:val="0"/>
              </w:rPr>
              <w:t>4.</w:t>
            </w:r>
            <w:r w:rsidR="00275A4D" w:rsidRPr="00DE7F9E">
              <w:rPr>
                <w:rStyle w:val="Strong"/>
                <w:b w:val="0"/>
              </w:rPr>
              <w:t xml:space="preserve"> Komisijas 2014.gada 7.aprīļa Regulu (ES) Nr.379/2014, ar kuru groza Regulu (ES) Nr.965/2012, ar ko nosaka tehniskās prasības un administratīvās procedūras saistībā ar gaisa kuģu ekspluatāciju atbilstīgi Eiropas Parlamenta un Padomes </w:t>
            </w:r>
            <w:r w:rsidR="007161FD" w:rsidRPr="00DE7F9E">
              <w:rPr>
                <w:rStyle w:val="Strong"/>
                <w:b w:val="0"/>
              </w:rPr>
              <w:t>Regula</w:t>
            </w:r>
            <w:r w:rsidR="00275A4D" w:rsidRPr="00DE7F9E">
              <w:rPr>
                <w:rStyle w:val="Strong"/>
                <w:b w:val="0"/>
              </w:rPr>
              <w:t>i (EK) Nr.216/2008</w:t>
            </w:r>
            <w:r w:rsidR="00C92C18" w:rsidRPr="00DE7F9E">
              <w:rPr>
                <w:rStyle w:val="Strong"/>
                <w:b w:val="0"/>
              </w:rPr>
              <w:t xml:space="preserve"> </w:t>
            </w:r>
            <w:r w:rsidR="00241806" w:rsidRPr="00DE7F9E">
              <w:t xml:space="preserve"> (turpmāk – </w:t>
            </w:r>
            <w:r w:rsidR="007161FD" w:rsidRPr="00DE7F9E">
              <w:t>Regula</w:t>
            </w:r>
            <w:r w:rsidR="00241806" w:rsidRPr="00DE7F9E">
              <w:t xml:space="preserve"> Nr.965/2012), kurā noteiktas prasības attiecībā uz gaisa </w:t>
            </w:r>
            <w:r w:rsidR="00FD0E53" w:rsidRPr="00DE7F9E">
              <w:t>pārvadājumiem</w:t>
            </w:r>
            <w:r w:rsidR="00241806" w:rsidRPr="00DE7F9E">
              <w:t xml:space="preserve">, kā arī gaisa kuģu ekspluatantu sertifikāciju. </w:t>
            </w:r>
          </w:p>
          <w:p w:rsidR="006046F0" w:rsidRPr="00DE7F9E" w:rsidRDefault="006046F0" w:rsidP="006046F0">
            <w:pPr>
              <w:jc w:val="both"/>
            </w:pPr>
            <w:r w:rsidRPr="00DE7F9E">
              <w:t xml:space="preserve">Normatīvā akta izstrādē izmantota </w:t>
            </w:r>
            <w:r w:rsidR="007161FD" w:rsidRPr="00DE7F9E">
              <w:t>Regula</w:t>
            </w:r>
            <w:r w:rsidRPr="00DE7F9E">
              <w:t>s Nr.965/2012 konsolidētā versija.</w:t>
            </w:r>
          </w:p>
          <w:p w:rsidR="00896522" w:rsidRPr="00DE7F9E" w:rsidRDefault="00241806" w:rsidP="00513118">
            <w:pPr>
              <w:jc w:val="both"/>
            </w:pPr>
            <w:r w:rsidRPr="00DE7F9E">
              <w:t>Ņemot vērā to, ka šobrīd Latvijas Republikā nepastāv regulējums, kurš nosaka kārtību, kādā izsniedzama gaisa kuģa ekspluatanta apliecība</w:t>
            </w:r>
            <w:r w:rsidR="00A55C97" w:rsidRPr="00DE7F9E">
              <w:t xml:space="preserve"> (turpmāk – ekspluatanta apliecība) </w:t>
            </w:r>
            <w:r w:rsidR="005A643F" w:rsidRPr="00DE7F9E">
              <w:t xml:space="preserve"> </w:t>
            </w:r>
            <w:r w:rsidRPr="00DE7F9E">
              <w:t xml:space="preserve">atbilstoši </w:t>
            </w:r>
            <w:r w:rsidR="007161FD" w:rsidRPr="00DE7F9E">
              <w:t>Regula</w:t>
            </w:r>
            <w:r w:rsidRPr="00DE7F9E">
              <w:t>s Nr.965/2012 prasībām, nepieciešams izstrādāt normatīvo aktu, kurš nosaka ekspluatanta apliecības izsniegšanas kārtību</w:t>
            </w:r>
            <w:r w:rsidR="001E5C50" w:rsidRPr="00DE7F9E">
              <w:t xml:space="preserve">, tas ir nosaka tikai administratīvo procedūru, kādā ekspluatanta apliecība </w:t>
            </w:r>
            <w:r w:rsidR="001E5C50" w:rsidRPr="00DE7F9E">
              <w:lastRenderedPageBreak/>
              <w:t>tiek izsniegta, jo visas prasības, kam jāatbilst, komersantam, lai saņemtu ekspluatanta apliecību, kā arī kā uzraugošā iestāde vērtē komersanta atbilstību ir noteikts Regulā Nr.965/2012 un ar to saistošajos dokumentos</w:t>
            </w:r>
            <w:r w:rsidRPr="00DE7F9E">
              <w:t>.</w:t>
            </w:r>
            <w:r w:rsidR="00896522" w:rsidRPr="00DE7F9E">
              <w:t xml:space="preserve"> </w:t>
            </w:r>
          </w:p>
          <w:p w:rsidR="00131530" w:rsidRPr="00DE7F9E" w:rsidRDefault="00FB59EC" w:rsidP="00513118">
            <w:pPr>
              <w:jc w:val="both"/>
            </w:pPr>
            <w:r w:rsidRPr="00DE7F9E">
              <w:t xml:space="preserve">Atbilstoši </w:t>
            </w:r>
            <w:r w:rsidR="00241806" w:rsidRPr="00DE7F9E">
              <w:t xml:space="preserve">Eiropas Parlamenta un Padomes 2008.gada 20.februāra </w:t>
            </w:r>
            <w:r w:rsidR="007161FD" w:rsidRPr="00DE7F9E">
              <w:t>Regula</w:t>
            </w:r>
            <w:r w:rsidR="00241806" w:rsidRPr="00DE7F9E">
              <w:t xml:space="preserve">s (EK) Nr.216/2008 par kopīgiem noteikumiem civilās aviācijas jomā un par Eiropas Aviācijas drošības aģentūras izveidi, un ar ko atceļ Padomes Direktīvu 91/670/EEK, Regulu (EK) Nr.1592/2002 un Direktīvu 2004/36/EK </w:t>
            </w:r>
            <w:r w:rsidR="00EE6A2B" w:rsidRPr="00DE7F9E">
              <w:t>(turpmāk – Regula Nr.216/2008) 17.pant</w:t>
            </w:r>
            <w:r w:rsidRPr="00DE7F9E">
              <w:t>am</w:t>
            </w:r>
            <w:r w:rsidR="00EE6A2B" w:rsidRPr="00DE7F9E">
              <w:t xml:space="preserve"> ir izveidota Eiropas Aviācijas drošības aģentūra, kura saskaņā ar minētā panta otrās daļas c) apakšpunktu veic vajadzīgos pasākumus saskaņā ar pilnvarām, ko tai piešķir Regula Nr.216/2008 vai citi Kopienas tiesību akti. </w:t>
            </w:r>
            <w:r w:rsidRPr="00DE7F9E">
              <w:t xml:space="preserve">Saskaņā ar </w:t>
            </w:r>
            <w:r w:rsidR="00EE6A2B" w:rsidRPr="00DE7F9E">
              <w:t xml:space="preserve">Regulas Nr.216/2008 </w:t>
            </w:r>
            <w:r w:rsidR="00241806" w:rsidRPr="00DE7F9E">
              <w:t>18.panta (c) punkt</w:t>
            </w:r>
            <w:r w:rsidRPr="00DE7F9E">
              <w:t>u,</w:t>
            </w:r>
            <w:r w:rsidR="00EE6A2B" w:rsidRPr="00DE7F9E">
              <w:t xml:space="preserve">  </w:t>
            </w:r>
            <w:r w:rsidR="00241806" w:rsidRPr="00DE7F9E">
              <w:t xml:space="preserve">Eiropas Aviācijas drošības aģentūra </w:t>
            </w:r>
            <w:r w:rsidR="00EE6A2B" w:rsidRPr="00DE7F9E">
              <w:t xml:space="preserve">izdod sertificēšanas specifikācijas un pieļaujamos līdzekļus atbilstības panākšanai, kā arī jebkuras norādes par šīs regulas un tās īstenošanas noteikumu piemērošanu. Regulas Nr.216/2008 52.pants </w:t>
            </w:r>
            <w:r w:rsidRPr="00DE7F9E">
              <w:t>paredz</w:t>
            </w:r>
            <w:r w:rsidR="004048AE" w:rsidRPr="00DE7F9E">
              <w:t xml:space="preserve"> kārtību</w:t>
            </w:r>
            <w:r w:rsidR="00EE6A2B" w:rsidRPr="00DE7F9E">
              <w:t xml:space="preserve">, kādā Eiropas Aviācijas drošības aģentūra izstrādā pieļaujamos līdzekļus atbilstības panākšanai, jo īpaši minētā panta trešajā punktā ir noteikts, ka </w:t>
            </w:r>
            <w:r w:rsidR="004048AE" w:rsidRPr="00DE7F9E">
              <w:t>p</w:t>
            </w:r>
            <w:r w:rsidR="00EE6A2B" w:rsidRPr="00DE7F9E">
              <w:t xml:space="preserve">asākumus, kas minēti 18. panta a) un c) punktā, un procedūras, kas noteiktas atbilstīgi šā panta 1. punktam, publicē oficiālā Eiropas Aviācijas drošības aģentūra publikācijā. Pieļaujamie līdzekļi atbilstības panākšanai ir dokuments, kas skaidro kā izpildāmas īstenošanas regulas prasības. Ņemot vērā minēto Eiropas Aviācijas drošības aģentūra </w:t>
            </w:r>
            <w:r w:rsidR="00241806" w:rsidRPr="00DE7F9E">
              <w:t xml:space="preserve">ir izstrādājusi dokumentus </w:t>
            </w:r>
            <w:r w:rsidR="007161FD" w:rsidRPr="00DE7F9E">
              <w:t>Regula</w:t>
            </w:r>
            <w:r w:rsidR="00241806" w:rsidRPr="00DE7F9E">
              <w:t xml:space="preserve">s Nr.965/2012 prasību piemērošanai „Attiecīgie līdzekļi atbilstības panākšanai un vadlīnijas”. Dalībvalstīm jāievēro šajos dokumentos noteiktais vai jāizstrādā dokumenti, kuri nodrošina līdzvērtīgu </w:t>
            </w:r>
            <w:r w:rsidR="007161FD" w:rsidRPr="00DE7F9E">
              <w:t>Regula</w:t>
            </w:r>
            <w:r w:rsidR="00241806" w:rsidRPr="00DE7F9E">
              <w:t xml:space="preserve">s Nr.965/2012 prasību piemērošanu. Ņemot vērā to, ka citi dokumenti </w:t>
            </w:r>
            <w:r w:rsidR="007161FD" w:rsidRPr="00DE7F9E">
              <w:t>Regula</w:t>
            </w:r>
            <w:r w:rsidR="00241806" w:rsidRPr="00DE7F9E">
              <w:t xml:space="preserve">s Nr.965/2012 piemērošanai nav izstrādāti, projektā iekļauti dokumentu „Attiecīgie līdzekļi atbilstības panākšanai un vadlīnijas” nosacījumi. Minēto dokumentu tulkojums latviešu valodā pieejams Civilās aviācijas aģentūras </w:t>
            </w:r>
            <w:proofErr w:type="spellStart"/>
            <w:r w:rsidR="00241806" w:rsidRPr="00DE7F9E">
              <w:t>mājaslapā</w:t>
            </w:r>
            <w:proofErr w:type="spellEnd"/>
            <w:r w:rsidR="00241806" w:rsidRPr="00DE7F9E">
              <w:t xml:space="preserve"> </w:t>
            </w:r>
            <w:hyperlink r:id="rId9" w:history="1">
              <w:r w:rsidR="00241806" w:rsidRPr="00DE7F9E">
                <w:rPr>
                  <w:rStyle w:val="Hyperlink"/>
                  <w:u w:val="none"/>
                </w:rPr>
                <w:t>www.caa.lv</w:t>
              </w:r>
            </w:hyperlink>
            <w:r w:rsidR="00241806" w:rsidRPr="00DE7F9E">
              <w:t>.</w:t>
            </w:r>
          </w:p>
          <w:p w:rsidR="00241806" w:rsidRPr="00DE7F9E" w:rsidRDefault="00241806" w:rsidP="00513118">
            <w:pPr>
              <w:jc w:val="both"/>
            </w:pPr>
            <w:r w:rsidRPr="00DE7F9E">
              <w:t xml:space="preserve">Normatīvā akta mērķis ir izpildīt </w:t>
            </w:r>
            <w:r w:rsidR="007161FD" w:rsidRPr="00DE7F9E">
              <w:t>Regula</w:t>
            </w:r>
            <w:r w:rsidRPr="00DE7F9E">
              <w:t>s Nr.965/2012 prasības.</w:t>
            </w:r>
          </w:p>
          <w:p w:rsidR="003743ED" w:rsidRPr="00DE7F9E" w:rsidRDefault="00A51860" w:rsidP="00513118">
            <w:pPr>
              <w:jc w:val="both"/>
            </w:pPr>
            <w:r w:rsidRPr="00DE7F9E">
              <w:t>Atbilstoši likuma „Par aviāciju” 6.panta otrās daļas 8.punktam Civilās aviācijas aģentūra veic civilās aviācijas gaisa kuģu ekspluatantu sertificēšanu un uzraudzību, izsniedz un anulē ekspluatanta apliecības, kā arī izdara tajās grozījumus</w:t>
            </w:r>
            <w:r w:rsidR="00FC659D" w:rsidRPr="00DE7F9E">
              <w:t>.</w:t>
            </w:r>
            <w:r w:rsidR="003743ED" w:rsidRPr="00DE7F9E">
              <w:t xml:space="preserve"> Šo funkciju Civilās aviācijas aģentūra ir pildījusi visā tās pastāvēšanas laikā, tādēļ </w:t>
            </w:r>
            <w:r w:rsidR="003F6E56" w:rsidRPr="00DE7F9E">
              <w:t xml:space="preserve">tai </w:t>
            </w:r>
            <w:r w:rsidR="003743ED" w:rsidRPr="00DE7F9E">
              <w:t>tā nav papildus funkcija.</w:t>
            </w:r>
            <w:r w:rsidR="00A11973" w:rsidRPr="00DE7F9E">
              <w:t xml:space="preserve"> Savukārt, līdz šim </w:t>
            </w:r>
            <w:r w:rsidR="00C82BA4" w:rsidRPr="00DE7F9E">
              <w:t xml:space="preserve">ārējā normatīvā </w:t>
            </w:r>
            <w:r w:rsidR="007F1E35" w:rsidRPr="00DE7F9E">
              <w:t>ak</w:t>
            </w:r>
            <w:r w:rsidR="00C82BA4" w:rsidRPr="00DE7F9E">
              <w:t xml:space="preserve">tā </w:t>
            </w:r>
            <w:r w:rsidR="00A11973" w:rsidRPr="00DE7F9E">
              <w:t xml:space="preserve">nav noteikta kartība, kādā Civilās aviācijas aģentūra izsniedz gaisa kuģa ekspluatanta apliecību. </w:t>
            </w:r>
          </w:p>
          <w:p w:rsidR="002D5E86" w:rsidRPr="00DE7F9E" w:rsidRDefault="00F55847" w:rsidP="00513118">
            <w:pPr>
              <w:jc w:val="both"/>
            </w:pPr>
            <w:r w:rsidRPr="00DE7F9E">
              <w:lastRenderedPageBreak/>
              <w:t>Likum</w:t>
            </w:r>
            <w:r w:rsidR="00163F80" w:rsidRPr="00DE7F9E">
              <w:t>a</w:t>
            </w:r>
            <w:r w:rsidRPr="00DE7F9E">
              <w:t xml:space="preserve"> „Par aviāciju” 79.pants nosaka, ka Civilās aviācijas aģentūra gaisa kuģa ekspluatanta apliecību izsniedz Ministru kabineta noteiktajā kārtībā. </w:t>
            </w:r>
            <w:r w:rsidR="002D5E86" w:rsidRPr="00DE7F9E">
              <w:t xml:space="preserve">Gaisa kuģu ekspluatanti veic divu veidu </w:t>
            </w:r>
            <w:r w:rsidR="00B46349" w:rsidRPr="00DE7F9E">
              <w:t>komercdarbības</w:t>
            </w:r>
            <w:r w:rsidR="002D5E86" w:rsidRPr="00DE7F9E">
              <w:t xml:space="preserve"> - gaisa pārvadājumus un  speciālos aviācijas darbus</w:t>
            </w:r>
            <w:r w:rsidR="00590437" w:rsidRPr="00DE7F9E">
              <w:t>, kas ir divas atšķirīgas aviācijas jomas</w:t>
            </w:r>
            <w:r w:rsidR="002D5E86" w:rsidRPr="00DE7F9E">
              <w:t>. Ministru kabineta 2007.gada 8.maija noteikum</w:t>
            </w:r>
            <w:r w:rsidR="00163F80" w:rsidRPr="00DE7F9E">
              <w:t>u</w:t>
            </w:r>
            <w:r w:rsidR="002D5E86" w:rsidRPr="00DE7F9E">
              <w:t xml:space="preserve"> Nr.309 „Speciālo aviācijas darbu gaisa kuģa ekspluatanta apliecības izsniegšanas kārtība”</w:t>
            </w:r>
            <w:r w:rsidR="00547B11" w:rsidRPr="00DE7F9E">
              <w:t xml:space="preserve"> (turpmāk – noteikumi Nr.309)</w:t>
            </w:r>
            <w:r w:rsidR="002D5E86" w:rsidRPr="00DE7F9E">
              <w:t xml:space="preserve"> 1.punkts nosaka, ka noteikumi nosaka kārtību, kādā</w:t>
            </w:r>
            <w:r w:rsidRPr="00DE7F9E">
              <w:t xml:space="preserve"> </w:t>
            </w:r>
            <w:r w:rsidR="002D5E86" w:rsidRPr="00DE7F9E">
              <w:t>Civilās aviācijas aģentūra izsniedz gaisa kuģa ekspluatanta apliecību par tiesībām veikt speciālos aviācijas darbus</w:t>
            </w:r>
            <w:r w:rsidRPr="00DE7F9E">
              <w:t xml:space="preserve">. </w:t>
            </w:r>
            <w:r w:rsidR="00B46349" w:rsidRPr="00DE7F9E">
              <w:t xml:space="preserve">Noteikumi Nr.309 </w:t>
            </w:r>
            <w:r w:rsidRPr="00DE7F9E">
              <w:t>tāpat kā noteikumu projekts ir izdot</w:t>
            </w:r>
            <w:r w:rsidR="00B46349" w:rsidRPr="00DE7F9E">
              <w:t>i</w:t>
            </w:r>
            <w:r w:rsidRPr="00DE7F9E">
              <w:t xml:space="preserve"> uz likuma „Par aviāciju” 79.panta pamata. </w:t>
            </w:r>
            <w:r w:rsidR="00590437" w:rsidRPr="00DE7F9E">
              <w:t>Noteikumu projekta 1.punkā paskaidrojošais teksts „par tiesībām veikt gaisa pārvadājumus” ir nepieciešams, lai nepārprotami būtu skaidrs tieši kādu gaisa kuģa ekspluatanta apliecību izsniegšanu regulē noteikumu projekts.</w:t>
            </w:r>
            <w:r w:rsidR="00163F80" w:rsidRPr="00DE7F9E">
              <w:t xml:space="preserve"> </w:t>
            </w:r>
            <w:r w:rsidRPr="00DE7F9E">
              <w:t>Tādējādi, noteikumu projekta 1.p</w:t>
            </w:r>
            <w:r w:rsidR="00163F80" w:rsidRPr="00DE7F9E">
              <w:t>unktā</w:t>
            </w:r>
            <w:r w:rsidRPr="00DE7F9E">
              <w:t xml:space="preserve"> noteiktais, ka noteikumi nosaka kārtību, kādā izsniedz ekspluatanta apliecību par tiesībām veikt gaisa pārvadājumus atbilst deleģējumā noteiktajam.</w:t>
            </w:r>
            <w:r w:rsidR="00590437" w:rsidRPr="00DE7F9E">
              <w:t xml:space="preserve"> </w:t>
            </w:r>
            <w:r w:rsidR="00547B11" w:rsidRPr="00DE7F9E">
              <w:t xml:space="preserve">Noteikumu projektu un noteikumus Nr.309 </w:t>
            </w:r>
            <w:r w:rsidR="00590437" w:rsidRPr="00DE7F9E">
              <w:t>nav iespējams apvienot vienos noteikumos, jo tie regulē divas atšķirīgas aviācijas jomas.</w:t>
            </w:r>
          </w:p>
          <w:p w:rsidR="00241806" w:rsidRPr="00DE7F9E" w:rsidRDefault="00241806" w:rsidP="00513118">
            <w:pPr>
              <w:jc w:val="both"/>
            </w:pPr>
            <w:r w:rsidRPr="00DE7F9E">
              <w:t>Noteikumu projekts paredz:</w:t>
            </w:r>
          </w:p>
          <w:p w:rsidR="00241806" w:rsidRPr="00DE7F9E" w:rsidRDefault="00241806" w:rsidP="00513118">
            <w:pPr>
              <w:jc w:val="both"/>
            </w:pPr>
            <w:r w:rsidRPr="00DE7F9E">
              <w:t>1</w:t>
            </w:r>
            <w:r w:rsidR="00D30FBB" w:rsidRPr="00DE7F9E">
              <w:t>.</w:t>
            </w:r>
            <w:r w:rsidR="009F712F" w:rsidRPr="00DE7F9E">
              <w:t> </w:t>
            </w:r>
            <w:r w:rsidRPr="00DE7F9E">
              <w:t>noteikt komersantu</w:t>
            </w:r>
            <w:r w:rsidR="009A2969" w:rsidRPr="00DE7F9E">
              <w:t xml:space="preserve"> </w:t>
            </w:r>
            <w:r w:rsidRPr="00DE7F9E">
              <w:t>loku, uz kuriem attiecas  noteikumi;</w:t>
            </w:r>
          </w:p>
          <w:p w:rsidR="00241806" w:rsidRPr="00DE7F9E" w:rsidRDefault="00241806" w:rsidP="00513118">
            <w:pPr>
              <w:jc w:val="both"/>
            </w:pPr>
            <w:r w:rsidRPr="00DE7F9E">
              <w:t>2</w:t>
            </w:r>
            <w:r w:rsidR="00D30FBB" w:rsidRPr="00DE7F9E">
              <w:t>.</w:t>
            </w:r>
            <w:r w:rsidR="009F712F" w:rsidRPr="00DE7F9E">
              <w:t> </w:t>
            </w:r>
            <w:r w:rsidRPr="00DE7F9E">
              <w:t xml:space="preserve">noteikt, ka kompetentā iestāde </w:t>
            </w:r>
            <w:r w:rsidR="007161FD" w:rsidRPr="00DE7F9E">
              <w:t>Regula</w:t>
            </w:r>
            <w:r w:rsidRPr="00DE7F9E">
              <w:t>s Nr.965/2012 izpratnē ir Civilās aviācijas aģentūra</w:t>
            </w:r>
            <w:r w:rsidR="0053640B" w:rsidRPr="00DE7F9E">
              <w:t xml:space="preserve">. Tā kā Latvijas Republika nosaka tikai vienu kompetento iestādi, </w:t>
            </w:r>
            <w:r w:rsidR="00A21CF2" w:rsidRPr="00DE7F9E">
              <w:t>kurai ir nepieciešamās pilnvaras un kas atbild par personu un organizāciju sertificēšanu un uzraudzību saskaņā ar Regulu (EK) Nr.216/2008 un tās īstenošanas noteikumiem, tad noteikumu projekta 3.punktā ir atsauce tikai uz Regulas Nr.965/2012 3.panta 1.punktu un nav nepieciešamas vēl atsevišķas atsauces uz Regulas Nr.965/2012 pielikumu attiecīgajiem punktiem</w:t>
            </w:r>
            <w:r w:rsidR="00356D81" w:rsidRPr="00DE7F9E">
              <w:t xml:space="preserve">. Tātad, </w:t>
            </w:r>
            <w:r w:rsidR="00A21CF2" w:rsidRPr="00DE7F9E">
              <w:t xml:space="preserve">noteikumu projekta 3.punktā noteiktais ir attiecināms arī uz Regulas Nr.965/2012 pielikumiem. Atsevišķa atsauce </w:t>
            </w:r>
            <w:r w:rsidR="00356D81" w:rsidRPr="00DE7F9E">
              <w:t>u</w:t>
            </w:r>
            <w:r w:rsidR="00A21CF2" w:rsidRPr="00DE7F9E">
              <w:t>z katru regulas pielikuma punktu būtu nepieciešama tikai tajā gadījumā, ja dalībvalsts būtu noteikusi vairākas kompetentās iestādes</w:t>
            </w:r>
            <w:r w:rsidRPr="00DE7F9E">
              <w:t>;</w:t>
            </w:r>
          </w:p>
          <w:p w:rsidR="00241806" w:rsidRPr="00DE7F9E" w:rsidRDefault="00241806" w:rsidP="00513118">
            <w:pPr>
              <w:jc w:val="both"/>
            </w:pPr>
            <w:r w:rsidRPr="00DE7F9E">
              <w:t>3</w:t>
            </w:r>
            <w:r w:rsidR="00D30FBB" w:rsidRPr="00DE7F9E">
              <w:t>.</w:t>
            </w:r>
            <w:r w:rsidR="009F712F" w:rsidRPr="00DE7F9E">
              <w:t> </w:t>
            </w:r>
            <w:r w:rsidRPr="00DE7F9E">
              <w:t xml:space="preserve">uzdot Civilās aviācijas aģentūrai tās </w:t>
            </w:r>
            <w:proofErr w:type="spellStart"/>
            <w:r w:rsidRPr="00DE7F9E">
              <w:t>mājaslapā</w:t>
            </w:r>
            <w:proofErr w:type="spellEnd"/>
            <w:r w:rsidRPr="00DE7F9E">
              <w:t xml:space="preserve"> </w:t>
            </w:r>
            <w:hyperlink r:id="rId10" w:history="1">
              <w:r w:rsidR="009F712F" w:rsidRPr="00DE7F9E">
                <w:rPr>
                  <w:rStyle w:val="Hyperlink"/>
                  <w:u w:val="none"/>
                </w:rPr>
                <w:t>www.caa.lv</w:t>
              </w:r>
            </w:hyperlink>
            <w:r w:rsidRPr="00DE7F9E">
              <w:t xml:space="preserve"> publicēt Eiropas </w:t>
            </w:r>
            <w:r w:rsidR="00C061FD" w:rsidRPr="00DE7F9E">
              <w:t>A</w:t>
            </w:r>
            <w:r w:rsidRPr="00DE7F9E">
              <w:t xml:space="preserve">viācijas drošības aģentūras izstrādātos dokumentus </w:t>
            </w:r>
            <w:r w:rsidR="007161FD" w:rsidRPr="00DE7F9E">
              <w:t>Regula</w:t>
            </w:r>
            <w:r w:rsidRPr="00DE7F9E">
              <w:t>s Nr.965/2012 prasību piemērošanai „Attiecīgie līdzekļi atbilstības panākšanai un vadlīnijas”, kas tulkoti latviešu valodā;</w:t>
            </w:r>
          </w:p>
          <w:p w:rsidR="00241806" w:rsidRPr="00DE7F9E" w:rsidRDefault="00241806" w:rsidP="00513118">
            <w:pPr>
              <w:jc w:val="both"/>
            </w:pPr>
            <w:r w:rsidRPr="00DE7F9E">
              <w:t>4</w:t>
            </w:r>
            <w:r w:rsidR="00D30FBB" w:rsidRPr="00DE7F9E">
              <w:t>.</w:t>
            </w:r>
            <w:r w:rsidR="009F712F" w:rsidRPr="00DE7F9E">
              <w:t> </w:t>
            </w:r>
            <w:r w:rsidR="009A2969" w:rsidRPr="00DE7F9E">
              <w:t xml:space="preserve">noteikt </w:t>
            </w:r>
            <w:r w:rsidRPr="00DE7F9E">
              <w:t xml:space="preserve">kārtību, kādā pretendents iesniedz Civilās aviācijas aģentūrā </w:t>
            </w:r>
            <w:r w:rsidR="009A2969" w:rsidRPr="00DE7F9E">
              <w:t>iesniegumu</w:t>
            </w:r>
            <w:r w:rsidR="00594852" w:rsidRPr="00DE7F9E">
              <w:t>,</w:t>
            </w:r>
            <w:r w:rsidR="00823968" w:rsidRPr="00DE7F9E">
              <w:t xml:space="preserve"> </w:t>
            </w:r>
            <w:r w:rsidR="007161FD" w:rsidRPr="00DE7F9E">
              <w:t>Regula</w:t>
            </w:r>
            <w:r w:rsidR="00823968" w:rsidRPr="00DE7F9E">
              <w:t xml:space="preserve">s Nr.965/2012 ORO.AOC.100.punktā minēto informāciju </w:t>
            </w:r>
            <w:r w:rsidR="00737FDC" w:rsidRPr="00DE7F9E">
              <w:t xml:space="preserve">un </w:t>
            </w:r>
            <w:r w:rsidR="00737FDC" w:rsidRPr="00DE7F9E">
              <w:rPr>
                <w:color w:val="000000"/>
              </w:rPr>
              <w:t xml:space="preserve">dokumentus, kas apliecina, noteikumu projekta 5.2.apakšpunktā minētās </w:t>
            </w:r>
            <w:r w:rsidR="00737FDC" w:rsidRPr="00DE7F9E">
              <w:rPr>
                <w:color w:val="000000"/>
              </w:rPr>
              <w:lastRenderedPageBreak/>
              <w:t xml:space="preserve">informācijas patiesumu, </w:t>
            </w:r>
            <w:r w:rsidRPr="00DE7F9E">
              <w:t>ekspluatanta apliecības saņemšanai;</w:t>
            </w:r>
          </w:p>
          <w:p w:rsidR="00D30FBB" w:rsidRPr="00DE7F9E" w:rsidRDefault="00D30FBB" w:rsidP="00513118">
            <w:pPr>
              <w:jc w:val="both"/>
            </w:pPr>
            <w:r w:rsidRPr="00DE7F9E">
              <w:t>5. ka pretendent</w:t>
            </w:r>
            <w:r w:rsidR="00214F6A" w:rsidRPr="00DE7F9E">
              <w:t xml:space="preserve">s var izvēlēties, kādā valodā (latviešu vai angļu) </w:t>
            </w:r>
            <w:r w:rsidRPr="00DE7F9E">
              <w:t>iesniegt noteikumu projekta 5.2.apakšpunktā norādīto informāciju. Ar nosacījumu, ka pretendents minēto informāciju var iesniegt angļu valodā, ja vienlaikus pastāv šādi apstākļi:</w:t>
            </w:r>
          </w:p>
          <w:p w:rsidR="00D30FBB" w:rsidRPr="00DE7F9E" w:rsidRDefault="00D30FBB" w:rsidP="00513118">
            <w:pPr>
              <w:jc w:val="both"/>
            </w:pPr>
            <w:r w:rsidRPr="00DE7F9E">
              <w:t>1) gaisa kuģ</w:t>
            </w:r>
            <w:r w:rsidR="000E73BB" w:rsidRPr="00DE7F9E">
              <w:t>a</w:t>
            </w:r>
            <w:r w:rsidRPr="00DE7F9E">
              <w:t xml:space="preserve"> tehniskā dokumentācija ir angļu valodā;</w:t>
            </w:r>
          </w:p>
          <w:p w:rsidR="00D30FBB" w:rsidRPr="00DE7F9E" w:rsidRDefault="00D30FBB" w:rsidP="00513118">
            <w:pPr>
              <w:jc w:val="both"/>
            </w:pPr>
            <w:r w:rsidRPr="00DE7F9E">
              <w:t>2) pretendenta izveidotā lidojumu veikšanas rokasgrāmata ir angļu valodā;</w:t>
            </w:r>
          </w:p>
          <w:p w:rsidR="006E06A5" w:rsidRPr="00DE7F9E" w:rsidRDefault="00D30FBB" w:rsidP="00513118">
            <w:pPr>
              <w:jc w:val="both"/>
            </w:pPr>
            <w:r w:rsidRPr="00DE7F9E">
              <w:t xml:space="preserve">3) pretendents ir izpildījis </w:t>
            </w:r>
            <w:r w:rsidR="007161FD" w:rsidRPr="00DE7F9E">
              <w:t>Regula</w:t>
            </w:r>
            <w:r w:rsidRPr="00DE7F9E">
              <w:t xml:space="preserve">s Nr.965/2012 III pielikuma </w:t>
            </w:r>
            <w:r w:rsidRPr="00DE7F9E">
              <w:rPr>
                <w:rStyle w:val="boldface"/>
              </w:rPr>
              <w:t>ORO.MLR.100.punkta</w:t>
            </w:r>
            <w:r w:rsidRPr="00DE7F9E">
              <w:t xml:space="preserve"> k) apakšpunktā noteiktās prasības</w:t>
            </w:r>
            <w:r w:rsidR="006E06A5" w:rsidRPr="00DE7F9E">
              <w:t>:</w:t>
            </w:r>
          </w:p>
          <w:p w:rsidR="006E06A5" w:rsidRPr="00DE7F9E" w:rsidRDefault="006E06A5" w:rsidP="00513118">
            <w:pPr>
              <w:jc w:val="both"/>
            </w:pPr>
            <w:r w:rsidRPr="00DE7F9E">
              <w:t>3.1) </w:t>
            </w:r>
            <w:r w:rsidR="007454A0" w:rsidRPr="00DE7F9E">
              <w:t>e</w:t>
            </w:r>
            <w:r w:rsidR="00214F6A" w:rsidRPr="00DE7F9E">
              <w:t xml:space="preserve">kspluatants nodrošina, ka visi tā darbinieki saprot valodu, kādā </w:t>
            </w:r>
            <w:r w:rsidR="00F8469C" w:rsidRPr="00DE7F9E">
              <w:t xml:space="preserve">lidojumu veikšanas </w:t>
            </w:r>
            <w:r w:rsidR="00214F6A" w:rsidRPr="00DE7F9E">
              <w:t>rokasgrāmatā ir rakstītas tās daļas, kas attiecas uz viņu pienākumiem un atbildības jomām</w:t>
            </w:r>
            <w:r w:rsidRPr="00DE7F9E">
              <w:t>;</w:t>
            </w:r>
          </w:p>
          <w:p w:rsidR="00D30FBB" w:rsidRPr="00DE7F9E" w:rsidRDefault="006E06A5" w:rsidP="00513118">
            <w:pPr>
              <w:jc w:val="both"/>
            </w:pPr>
            <w:r w:rsidRPr="00DE7F9E">
              <w:t>3.2) </w:t>
            </w:r>
            <w:r w:rsidR="007454A0" w:rsidRPr="00DE7F9E">
              <w:t>e</w:t>
            </w:r>
            <w:r w:rsidR="00214F6A" w:rsidRPr="00DE7F9E">
              <w:t>kspluatant</w:t>
            </w:r>
            <w:r w:rsidR="007454A0" w:rsidRPr="00DE7F9E">
              <w:t>s</w:t>
            </w:r>
            <w:r w:rsidR="00214F6A" w:rsidRPr="00DE7F9E">
              <w:t xml:space="preserve"> nodrošina, ka </w:t>
            </w:r>
            <w:r w:rsidR="00F8469C" w:rsidRPr="00DE7F9E">
              <w:t xml:space="preserve">lidojumu veikšanas </w:t>
            </w:r>
            <w:r w:rsidR="00214F6A" w:rsidRPr="00DE7F9E">
              <w:t>rokasgrāmatas</w:t>
            </w:r>
            <w:r w:rsidR="00214F6A" w:rsidRPr="00DE7F9E">
              <w:rPr>
                <w:rStyle w:val="italics"/>
              </w:rPr>
              <w:t xml:space="preserve"> </w:t>
            </w:r>
            <w:r w:rsidR="00214F6A" w:rsidRPr="00DE7F9E">
              <w:t>saturs ir izklāstīts tādā formā, lai to varētu lietot bez grūtībām un lai būtu ievēroti cilvēkfaktora principi</w:t>
            </w:r>
            <w:r w:rsidR="00D30FBB" w:rsidRPr="00DE7F9E">
              <w:t>.</w:t>
            </w:r>
          </w:p>
          <w:p w:rsidR="00DB5164" w:rsidRPr="00DE7F9E" w:rsidRDefault="00D30FBB" w:rsidP="00513118">
            <w:pPr>
              <w:jc w:val="both"/>
            </w:pPr>
            <w:r w:rsidRPr="00DE7F9E">
              <w:t xml:space="preserve">Minēto normu ir nepieciešams ietvert noteikumu projektā, jo aviācijas nozarē pamatā visa dokumentācija ir angļu valodā, </w:t>
            </w:r>
            <w:proofErr w:type="spellStart"/>
            <w:r w:rsidRPr="00DE7F9E">
              <w:t>t.sk</w:t>
            </w:r>
            <w:proofErr w:type="spellEnd"/>
            <w:r w:rsidRPr="00DE7F9E">
              <w:t>. gaisa kuģ</w:t>
            </w:r>
            <w:r w:rsidR="000E73BB" w:rsidRPr="00DE7F9E">
              <w:t>a</w:t>
            </w:r>
            <w:r w:rsidRPr="00DE7F9E">
              <w:t xml:space="preserve"> tehniskā dokumentācija un pretendenta izveidotā lidojumu veikšanas rokasgrāmata, kura tiek izstrādāta uz gaisa kuģ</w:t>
            </w:r>
            <w:r w:rsidR="000E73BB" w:rsidRPr="00DE7F9E">
              <w:t>a</w:t>
            </w:r>
            <w:r w:rsidRPr="00DE7F9E">
              <w:t xml:space="preserve"> tehniskās dokumentācijas bāzes.</w:t>
            </w:r>
            <w:r w:rsidR="007A766C" w:rsidRPr="00DE7F9E">
              <w:t xml:space="preserve"> Šie dokumenti ir ļoti apjomīgi un aizņem vairākus simtus lapu. Ievērojot to, ka angļu valoda ir Eiropas Savienības oficiālā valoda un </w:t>
            </w:r>
            <w:r w:rsidR="00F33585" w:rsidRPr="00DE7F9E">
              <w:t xml:space="preserve">gaisa kuģa ekspluatanti </w:t>
            </w:r>
            <w:r w:rsidR="00665848" w:rsidRPr="00DE7F9E">
              <w:t>gaisa kuģ</w:t>
            </w:r>
            <w:r w:rsidR="000E73BB" w:rsidRPr="00DE7F9E">
              <w:t>a</w:t>
            </w:r>
            <w:r w:rsidR="00665848" w:rsidRPr="00DE7F9E">
              <w:t xml:space="preserve"> tehnisko </w:t>
            </w:r>
            <w:r w:rsidR="00972EFB" w:rsidRPr="00DE7F9E">
              <w:t>dokumentācij</w:t>
            </w:r>
            <w:r w:rsidR="00F33585" w:rsidRPr="00DE7F9E">
              <w:t>u</w:t>
            </w:r>
            <w:r w:rsidR="00972EFB" w:rsidRPr="00DE7F9E">
              <w:t xml:space="preserve"> </w:t>
            </w:r>
            <w:r w:rsidR="00665848" w:rsidRPr="00DE7F9E">
              <w:t xml:space="preserve">un pašu izstrādātās lidojumu veikšanas rokasgrāmatas </w:t>
            </w:r>
            <w:r w:rsidR="00972EFB" w:rsidRPr="00DE7F9E">
              <w:t>pamatā las</w:t>
            </w:r>
            <w:r w:rsidR="00F33585" w:rsidRPr="00DE7F9E">
              <w:t>a</w:t>
            </w:r>
            <w:r w:rsidR="00972EFB" w:rsidRPr="00DE7F9E">
              <w:t xml:space="preserve"> angļu valodā, kā arī saziņa aviācijas nozarē pamatā notiek angļu valodā, uzskatām, ka nav pamata pretendentam nevajadzīgi tulkot minēto informāciju</w:t>
            </w:r>
            <w:r w:rsidR="003D2A52" w:rsidRPr="00DE7F9E">
              <w:t xml:space="preserve"> uz latviešu valodu</w:t>
            </w:r>
            <w:r w:rsidR="00972EFB" w:rsidRPr="00DE7F9E">
              <w:t xml:space="preserve">, kas pēc tam tiks lietota angļu valodā. </w:t>
            </w:r>
          </w:p>
          <w:p w:rsidR="005459EA" w:rsidRPr="00DE7F9E" w:rsidRDefault="00F34E49" w:rsidP="00513118">
            <w:pPr>
              <w:jc w:val="both"/>
              <w:rPr>
                <w:rStyle w:val="st"/>
              </w:rPr>
            </w:pPr>
            <w:r w:rsidRPr="00DE7F9E">
              <w:t xml:space="preserve">Bez tam, tas pretendentam prasītu papildus finansiālus izdevumus. </w:t>
            </w:r>
            <w:r w:rsidR="00972EFB" w:rsidRPr="00DE7F9E">
              <w:t xml:space="preserve">Arī Civilās aviācijas aģentūras inspektori, kas </w:t>
            </w:r>
            <w:r w:rsidRPr="00DE7F9E">
              <w:t>var izvērtē</w:t>
            </w:r>
            <w:r w:rsidR="00C66ECB" w:rsidRPr="00DE7F9E">
              <w:t>t to</w:t>
            </w:r>
            <w:r w:rsidRPr="00DE7F9E">
              <w:t xml:space="preserve"> vai pretendenta iesniegtā informācija atbilst </w:t>
            </w:r>
            <w:r w:rsidR="007161FD" w:rsidRPr="00DE7F9E">
              <w:t>Regula</w:t>
            </w:r>
            <w:r w:rsidRPr="00DE7F9E">
              <w:t xml:space="preserve">s Nr.965/2012, </w:t>
            </w:r>
            <w:r w:rsidR="007161FD" w:rsidRPr="00DE7F9E">
              <w:t>Regula</w:t>
            </w:r>
            <w:r w:rsidRPr="00DE7F9E">
              <w:t xml:space="preserve">s Nr.965/2012 ARO daļas vadlīniju, </w:t>
            </w:r>
            <w:r w:rsidR="007161FD" w:rsidRPr="00DE7F9E">
              <w:t>Regula</w:t>
            </w:r>
            <w:r w:rsidRPr="00DE7F9E">
              <w:t xml:space="preserve">s Nr.965/2012 ORO daļas vadlīniju, </w:t>
            </w:r>
            <w:r w:rsidR="007161FD" w:rsidRPr="00DE7F9E">
              <w:t>Regula</w:t>
            </w:r>
            <w:r w:rsidRPr="00DE7F9E">
              <w:t xml:space="preserve">s Nr.965/2012 CAT daļas vadlīniju un </w:t>
            </w:r>
            <w:r w:rsidR="007161FD" w:rsidRPr="00DE7F9E">
              <w:t>Regula</w:t>
            </w:r>
            <w:r w:rsidRPr="00DE7F9E">
              <w:t>s Nr.965/2012 SPA daļas vadlīniju prasībām, brīvi pārvalda angļu valodu un viņiem nav nepieciešams, lai šī informāciju būtu tulkota latviešu valodā</w:t>
            </w:r>
            <w:r w:rsidR="00C66ECB" w:rsidRPr="00DE7F9E">
              <w:t>.</w:t>
            </w:r>
            <w:r w:rsidR="00594852" w:rsidRPr="00DE7F9E">
              <w:t xml:space="preserve"> Jāņem vērā arī tas, ka</w:t>
            </w:r>
            <w:r w:rsidR="00DC4ECF" w:rsidRPr="00DE7F9E">
              <w:t xml:space="preserve"> aviācijas nozarē, oriģinālās valodas (angļu valodas) tekstu </w:t>
            </w:r>
            <w:r w:rsidR="00594852" w:rsidRPr="00DE7F9E">
              <w:t xml:space="preserve">ne vienmēr </w:t>
            </w:r>
            <w:r w:rsidR="002C2627" w:rsidRPr="00DE7F9E">
              <w:t>precīzi var iztulko</w:t>
            </w:r>
            <w:r w:rsidR="00825D04" w:rsidRPr="00DE7F9E">
              <w:t>t</w:t>
            </w:r>
            <w:r w:rsidR="002C2627" w:rsidRPr="00DE7F9E">
              <w:t xml:space="preserve"> </w:t>
            </w:r>
            <w:r w:rsidR="00594852" w:rsidRPr="00DE7F9E">
              <w:t>latviešu valodā</w:t>
            </w:r>
            <w:r w:rsidR="00DC4ECF" w:rsidRPr="00DE7F9E">
              <w:t>.</w:t>
            </w:r>
            <w:r w:rsidR="00594852" w:rsidRPr="00DE7F9E">
              <w:t xml:space="preserve"> </w:t>
            </w:r>
            <w:r w:rsidR="00DC4ECF" w:rsidRPr="00DE7F9E">
              <w:t>Latviešu valodā ne</w:t>
            </w:r>
            <w:r w:rsidR="002C2627" w:rsidRPr="00DE7F9E">
              <w:t xml:space="preserve"> vienmēr </w:t>
            </w:r>
            <w:r w:rsidR="00594852" w:rsidRPr="00DE7F9E">
              <w:t>var atrast identisku</w:t>
            </w:r>
            <w:r w:rsidR="00B05A6B" w:rsidRPr="00DE7F9E">
              <w:t>s</w:t>
            </w:r>
            <w:r w:rsidR="00594852" w:rsidRPr="00DE7F9E">
              <w:t xml:space="preserve"> terminu</w:t>
            </w:r>
            <w:r w:rsidR="00B05A6B" w:rsidRPr="00DE7F9E">
              <w:t>s</w:t>
            </w:r>
            <w:r w:rsidR="00594852" w:rsidRPr="00DE7F9E">
              <w:t xml:space="preserve"> angļu valodā lietot</w:t>
            </w:r>
            <w:r w:rsidR="00B05A6B" w:rsidRPr="00DE7F9E">
              <w:t>iem</w:t>
            </w:r>
            <w:r w:rsidR="00594852" w:rsidRPr="00DE7F9E">
              <w:t xml:space="preserve"> un tulkotais teksts var radīt neskaidrības</w:t>
            </w:r>
            <w:r w:rsidR="00E44A99" w:rsidRPr="00DE7F9E">
              <w:t xml:space="preserve"> un </w:t>
            </w:r>
            <w:r w:rsidR="00E44A99" w:rsidRPr="00DE7F9E">
              <w:rPr>
                <w:rStyle w:val="Emphasis"/>
                <w:i w:val="0"/>
              </w:rPr>
              <w:t>precīzi</w:t>
            </w:r>
            <w:r w:rsidR="00E44A99" w:rsidRPr="00DE7F9E">
              <w:rPr>
                <w:rStyle w:val="st"/>
                <w:i/>
              </w:rPr>
              <w:t xml:space="preserve"> </w:t>
            </w:r>
            <w:r w:rsidR="00E44A99" w:rsidRPr="00DE7F9E">
              <w:rPr>
                <w:rStyle w:val="st"/>
              </w:rPr>
              <w:t xml:space="preserve">neatveidot avota </w:t>
            </w:r>
            <w:r w:rsidR="004749F9" w:rsidRPr="00DE7F9E">
              <w:rPr>
                <w:rStyle w:val="st"/>
              </w:rPr>
              <w:t xml:space="preserve">(angļu valodā uzrakstītā) </w:t>
            </w:r>
            <w:r w:rsidR="00E44A99" w:rsidRPr="00DE7F9E">
              <w:rPr>
                <w:rStyle w:val="st"/>
              </w:rPr>
              <w:t>teksta saturu.</w:t>
            </w:r>
          </w:p>
          <w:p w:rsidR="00792E85" w:rsidRPr="00DE7F9E" w:rsidRDefault="00792E85" w:rsidP="00792E85">
            <w:pPr>
              <w:jc w:val="both"/>
            </w:pPr>
            <w:r w:rsidRPr="00DE7F9E">
              <w:lastRenderedPageBreak/>
              <w:t xml:space="preserve">Atbilstoši likuma „Par aviāciju” 1.pantā noteiktajam, gaisa kuģa ekspluatants ir persona, kas nodarbojas ar gaisa kuģa ekspluatāciju vai piedāvā savus pakalpojumus šajā sfērā. </w:t>
            </w:r>
          </w:p>
          <w:p w:rsidR="00792E85" w:rsidRPr="00DE7F9E" w:rsidRDefault="00792E85" w:rsidP="00792E85">
            <w:pPr>
              <w:jc w:val="both"/>
            </w:pPr>
            <w:r w:rsidRPr="00DE7F9E">
              <w:t xml:space="preserve">Latvijas Republikā </w:t>
            </w:r>
            <w:r w:rsidR="00406360" w:rsidRPr="00DE7F9E">
              <w:t xml:space="preserve">darbojas </w:t>
            </w:r>
            <w:r w:rsidRPr="00DE7F9E">
              <w:t>četri gaisa kuģa ekspluatanti, kuru pamatdarbības vieta vai pastāvīgā atrašanās vieta ir Latvija, kuriem Civilās aviācijas aģentūra ir izsniegusi gaisa kuģa ekspluatanta apliecību:</w:t>
            </w:r>
          </w:p>
          <w:p w:rsidR="00792E85" w:rsidRPr="00DE7F9E" w:rsidRDefault="00792E85" w:rsidP="00792E85">
            <w:pPr>
              <w:jc w:val="both"/>
            </w:pPr>
            <w:r w:rsidRPr="00DE7F9E">
              <w:t>1) A/S „</w:t>
            </w:r>
            <w:proofErr w:type="spellStart"/>
            <w:r w:rsidRPr="00DE7F9E">
              <w:t>Air</w:t>
            </w:r>
            <w:proofErr w:type="spellEnd"/>
            <w:r w:rsidRPr="00DE7F9E">
              <w:t xml:space="preserve"> </w:t>
            </w:r>
            <w:proofErr w:type="spellStart"/>
            <w:r w:rsidRPr="00DE7F9E">
              <w:t>Baltic</w:t>
            </w:r>
            <w:proofErr w:type="spellEnd"/>
            <w:r w:rsidRPr="00DE7F9E">
              <w:t xml:space="preserve"> </w:t>
            </w:r>
            <w:proofErr w:type="spellStart"/>
            <w:r w:rsidRPr="00DE7F9E">
              <w:t>Corporation</w:t>
            </w:r>
            <w:proofErr w:type="spellEnd"/>
            <w:r w:rsidRPr="00DE7F9E">
              <w:t>”;</w:t>
            </w:r>
          </w:p>
          <w:p w:rsidR="00792E85" w:rsidRPr="00DE7F9E" w:rsidRDefault="00792E85" w:rsidP="00792E85">
            <w:pPr>
              <w:jc w:val="both"/>
            </w:pPr>
            <w:r w:rsidRPr="00DE7F9E">
              <w:t>2) A/S „RAF-AVIA”;</w:t>
            </w:r>
          </w:p>
          <w:p w:rsidR="00792E85" w:rsidRPr="00DE7F9E" w:rsidRDefault="00792E85" w:rsidP="00792E85">
            <w:pPr>
              <w:jc w:val="both"/>
            </w:pPr>
            <w:r w:rsidRPr="00DE7F9E">
              <w:t>3) SIA „</w:t>
            </w:r>
            <w:proofErr w:type="spellStart"/>
            <w:r w:rsidRPr="00DE7F9E">
              <w:t>SmartLynx</w:t>
            </w:r>
            <w:proofErr w:type="spellEnd"/>
            <w:r w:rsidRPr="00DE7F9E">
              <w:t xml:space="preserve"> </w:t>
            </w:r>
            <w:proofErr w:type="spellStart"/>
            <w:r w:rsidRPr="00DE7F9E">
              <w:t>Airlines</w:t>
            </w:r>
            <w:proofErr w:type="spellEnd"/>
            <w:r w:rsidRPr="00DE7F9E">
              <w:t>”;</w:t>
            </w:r>
          </w:p>
          <w:p w:rsidR="00792E85" w:rsidRPr="00DE7F9E" w:rsidRDefault="00792E85" w:rsidP="00792E85">
            <w:pPr>
              <w:jc w:val="both"/>
            </w:pPr>
            <w:r w:rsidRPr="00DE7F9E">
              <w:t>4) SIA „</w:t>
            </w:r>
            <w:proofErr w:type="spellStart"/>
            <w:r w:rsidRPr="00DE7F9E">
              <w:t>Baltic</w:t>
            </w:r>
            <w:proofErr w:type="spellEnd"/>
            <w:r w:rsidRPr="00DE7F9E">
              <w:t xml:space="preserve"> </w:t>
            </w:r>
            <w:proofErr w:type="spellStart"/>
            <w:r w:rsidRPr="00DE7F9E">
              <w:t>Jet</w:t>
            </w:r>
            <w:proofErr w:type="spellEnd"/>
            <w:r w:rsidRPr="00DE7F9E">
              <w:t xml:space="preserve"> </w:t>
            </w:r>
            <w:proofErr w:type="spellStart"/>
            <w:r w:rsidRPr="00DE7F9E">
              <w:t>Aircompany</w:t>
            </w:r>
            <w:proofErr w:type="spellEnd"/>
            <w:r w:rsidRPr="00DE7F9E">
              <w:t>”.</w:t>
            </w:r>
          </w:p>
          <w:p w:rsidR="00792E85" w:rsidRPr="00DE7F9E" w:rsidRDefault="00792E85" w:rsidP="00792E85">
            <w:pPr>
              <w:jc w:val="both"/>
            </w:pPr>
            <w:r w:rsidRPr="00DE7F9E">
              <w:t>Visiem četriem minētajiem  gaisa kuģa ekspluatantiem, atbildoši viņu izveidoto lidojumu veikšanas rokasgrāmatu A daļās (kur ir minētas prasības par valodu zināšanām) ietvertai informācijai, darba valoda ir angļu valoda.</w:t>
            </w:r>
          </w:p>
          <w:p w:rsidR="00792E85" w:rsidRPr="00DE7F9E" w:rsidRDefault="00792E85" w:rsidP="00792E85">
            <w:pPr>
              <w:jc w:val="both"/>
            </w:pPr>
            <w:r w:rsidRPr="00DE7F9E">
              <w:t>Latvijas Republikā nav neviena gaisa kuģu ekspluatanta, kura darba valoda būtu latviešu valoda un pašreiz nav iedomājam</w:t>
            </w:r>
            <w:r w:rsidR="00EA7EA0" w:rsidRPr="00DE7F9E">
              <w:t>a</w:t>
            </w:r>
            <w:r w:rsidRPr="00DE7F9E">
              <w:t xml:space="preserve"> situācija, ka šāds gaisa kuģu ekspluatants nākotnē tiktu izveidots.</w:t>
            </w:r>
          </w:p>
          <w:p w:rsidR="00744B5C" w:rsidRPr="00DE7F9E" w:rsidRDefault="00744B5C" w:rsidP="00792E85">
            <w:pPr>
              <w:jc w:val="both"/>
            </w:pPr>
            <w:r w:rsidRPr="00DE7F9E">
              <w:t>Atbilstoši Regulas Nr.965/2012 III pielikuma</w:t>
            </w:r>
            <w:r w:rsidR="00A1333C" w:rsidRPr="00DE7F9E">
              <w:t xml:space="preserve"> ORO.AOC.100.punkta b) apakšpunkta 6)</w:t>
            </w:r>
            <w:r w:rsidR="0024072F" w:rsidRPr="00DE7F9E">
              <w:t xml:space="preserve"> </w:t>
            </w:r>
            <w:r w:rsidR="00A1333C" w:rsidRPr="00DE7F9E">
              <w:t xml:space="preserve">apakšpunktam un </w:t>
            </w:r>
            <w:r w:rsidRPr="00DE7F9E">
              <w:t xml:space="preserve"> ORO.MLR.100 punkta a) apakšpunktam ekspluatants izveido lidojumu veikšanas rokasgrāmatu. </w:t>
            </w:r>
            <w:r w:rsidR="00BF64F3" w:rsidRPr="00DE7F9E">
              <w:t xml:space="preserve">Tā piemēram, </w:t>
            </w:r>
            <w:r w:rsidRPr="00DE7F9E">
              <w:t>A/S „</w:t>
            </w:r>
            <w:proofErr w:type="spellStart"/>
            <w:r w:rsidRPr="00DE7F9E">
              <w:t>Air</w:t>
            </w:r>
            <w:proofErr w:type="spellEnd"/>
            <w:r w:rsidRPr="00DE7F9E">
              <w:t xml:space="preserve"> </w:t>
            </w:r>
            <w:proofErr w:type="spellStart"/>
            <w:r w:rsidRPr="00DE7F9E">
              <w:t>Baltic</w:t>
            </w:r>
            <w:proofErr w:type="spellEnd"/>
            <w:r w:rsidRPr="00DE7F9E">
              <w:t xml:space="preserve"> </w:t>
            </w:r>
            <w:proofErr w:type="spellStart"/>
            <w:r w:rsidRPr="00DE7F9E">
              <w:t>Corporation</w:t>
            </w:r>
            <w:proofErr w:type="spellEnd"/>
            <w:r w:rsidRPr="00DE7F9E">
              <w:t xml:space="preserve">” lidojumu veikšanas rokasgrāmata ir iekļauta 30 rokasgrāmatas (katra no tām vidēji aizņem 400 lapas un to kopējais apjoms sastāda vismaz 12000 lapas). </w:t>
            </w:r>
            <w:r w:rsidR="00BF64F3" w:rsidRPr="00DE7F9E">
              <w:t xml:space="preserve">Tā ir tikai daļa no dokumentiem, kas komersantam, kas vēlas saņemt ekspluatanta apliecību ir jāiesniedz Civilās aviācijas aģentūrā. </w:t>
            </w:r>
            <w:r w:rsidRPr="00DE7F9E">
              <w:t xml:space="preserve">Kā redzams dokumentu apjoms ir milzīgs </w:t>
            </w:r>
            <w:r w:rsidR="00BF64F3" w:rsidRPr="00DE7F9E">
              <w:t>un ir nesamērojami šādu dokumentu apjomu prasīt pretendētam tulkot latviešu valodā, jo gaisa kuģa ekspluatantiem darba valoda ir angļu valoda un viņi visu dokumentāciju lasīs angļu valodā un viņiem nav nepieciešams šo dokumentu tulkojums latviešu valodā, jo viņi to nelietos.</w:t>
            </w:r>
            <w:r w:rsidR="00AA309B" w:rsidRPr="00DE7F9E">
              <w:t xml:space="preserve"> Ņemot vērā, ka vidēji vienas lapaspuses tulkojums izmaksā apmēram 7,83 </w:t>
            </w:r>
            <w:proofErr w:type="spellStart"/>
            <w:r w:rsidR="00AA309B" w:rsidRPr="00DE7F9E">
              <w:t>euro</w:t>
            </w:r>
            <w:proofErr w:type="spellEnd"/>
            <w:r w:rsidR="00AA309B" w:rsidRPr="00DE7F9E">
              <w:t xml:space="preserve">, tad tikai </w:t>
            </w:r>
            <w:r w:rsidR="00191BC3" w:rsidRPr="00DE7F9E">
              <w:t xml:space="preserve">lidojumu veikšanas rokasgrāmatas </w:t>
            </w:r>
            <w:r w:rsidR="00AA309B" w:rsidRPr="00DE7F9E">
              <w:t xml:space="preserve">tulkojums </w:t>
            </w:r>
            <w:r w:rsidR="00191BC3" w:rsidRPr="00DE7F9E">
              <w:t xml:space="preserve">pretendentam </w:t>
            </w:r>
            <w:r w:rsidR="00AA309B" w:rsidRPr="00DE7F9E">
              <w:t xml:space="preserve">izmaksās </w:t>
            </w:r>
            <w:r w:rsidR="00191BC3" w:rsidRPr="00DE7F9E">
              <w:t>vismaz 93960.00</w:t>
            </w:r>
            <w:r w:rsidR="00AA309B" w:rsidRPr="00DE7F9E">
              <w:t xml:space="preserve"> </w:t>
            </w:r>
            <w:proofErr w:type="spellStart"/>
            <w:r w:rsidR="00AA309B" w:rsidRPr="00DE7F9E">
              <w:t>euro</w:t>
            </w:r>
            <w:proofErr w:type="spellEnd"/>
            <w:r w:rsidR="00AA309B" w:rsidRPr="00DE7F9E">
              <w:t>.</w:t>
            </w:r>
          </w:p>
          <w:p w:rsidR="00F34E49" w:rsidRPr="00DE7F9E" w:rsidRDefault="005459EA" w:rsidP="00513118">
            <w:pPr>
              <w:jc w:val="both"/>
            </w:pPr>
            <w:r w:rsidRPr="00DE7F9E">
              <w:t>Gadījumā, ja Civilās aviācijas aģentūras pieņemtais lēmums tiks pārsūdzēts</w:t>
            </w:r>
            <w:r w:rsidR="005E110D" w:rsidRPr="00DE7F9E">
              <w:t xml:space="preserve"> un tiesa </w:t>
            </w:r>
            <w:r w:rsidR="00FA5950" w:rsidRPr="00DE7F9E">
              <w:t>izprasīs</w:t>
            </w:r>
            <w:r w:rsidR="00792E85" w:rsidRPr="00DE7F9E">
              <w:t xml:space="preserve"> no </w:t>
            </w:r>
            <w:r w:rsidRPr="00DE7F9E">
              <w:t>Civilās aviācijas aģentūra</w:t>
            </w:r>
            <w:r w:rsidR="0077531F" w:rsidRPr="00DE7F9E">
              <w:t>s dokumentus</w:t>
            </w:r>
            <w:r w:rsidR="00792E85" w:rsidRPr="00DE7F9E">
              <w:t xml:space="preserve">, kas </w:t>
            </w:r>
            <w:r w:rsidRPr="00DE7F9E">
              <w:t>tās rīcībā</w:t>
            </w:r>
            <w:r w:rsidR="0077531F" w:rsidRPr="00DE7F9E">
              <w:t xml:space="preserve"> </w:t>
            </w:r>
            <w:r w:rsidRPr="00DE7F9E">
              <w:t>būs angļu valodā, tad Civilās aviācijas aģentūra to</w:t>
            </w:r>
            <w:r w:rsidR="0077531F" w:rsidRPr="00DE7F9E">
              <w:t>s</w:t>
            </w:r>
            <w:r w:rsidRPr="00DE7F9E">
              <w:t xml:space="preserve"> iztulkos par saviem līdzekļiem</w:t>
            </w:r>
            <w:r w:rsidR="0077531F" w:rsidRPr="00DE7F9E">
              <w:t xml:space="preserve"> un iesniegs tiesai šo dokumentu tulkojumu latviešu valodā</w:t>
            </w:r>
            <w:r w:rsidRPr="00DE7F9E">
              <w:t xml:space="preserve">. Tas būs daudz samērīgāk, ka Civilās aviācijas aģentūra iztulkos dažus dokumentus, kurus būs izprasījusi tiesa, nekā komersantam uzlikt par pienākumu iztulkot vairākus </w:t>
            </w:r>
            <w:r w:rsidR="004D3850" w:rsidRPr="00DE7F9E">
              <w:t>tūkstošus</w:t>
            </w:r>
            <w:r w:rsidRPr="00DE7F9E">
              <w:t xml:space="preserve"> dokumentus, kurus pēc tam neviens neizmantos. </w:t>
            </w:r>
            <w:r w:rsidR="0077531F" w:rsidRPr="00DE7F9E">
              <w:t xml:space="preserve">Tātad, </w:t>
            </w:r>
            <w:r w:rsidRPr="00DE7F9E">
              <w:t xml:space="preserve">administratīvās tiesas tiesnesim, izskatot lietu, </w:t>
            </w:r>
            <w:r w:rsidR="0077531F" w:rsidRPr="00DE7F9E">
              <w:t>ne</w:t>
            </w:r>
            <w:r w:rsidRPr="00DE7F9E">
              <w:t xml:space="preserve">būs jāvērtē </w:t>
            </w:r>
            <w:r w:rsidR="0077531F" w:rsidRPr="00DE7F9E">
              <w:t xml:space="preserve">dokumenti, kas ir angļu valodā, tādējādi tiks ievērota </w:t>
            </w:r>
            <w:r w:rsidRPr="00DE7F9E">
              <w:t>arī likum</w:t>
            </w:r>
            <w:r w:rsidR="0077531F" w:rsidRPr="00DE7F9E">
              <w:t>a</w:t>
            </w:r>
            <w:r w:rsidRPr="00DE7F9E">
              <w:t xml:space="preserve"> „Par tiesu </w:t>
            </w:r>
            <w:r w:rsidRPr="00DE7F9E">
              <w:lastRenderedPageBreak/>
              <w:t>varu” 21.panta pirmajā daļā noteikt</w:t>
            </w:r>
            <w:r w:rsidR="0077531F" w:rsidRPr="00DE7F9E">
              <w:t>ā prasība</w:t>
            </w:r>
            <w:r w:rsidRPr="00DE7F9E">
              <w:t>, ka tiesvedība</w:t>
            </w:r>
            <w:r w:rsidR="0077531F" w:rsidRPr="00DE7F9E">
              <w:t>i</w:t>
            </w:r>
            <w:r w:rsidRPr="00DE7F9E">
              <w:t xml:space="preserve"> Latvijas Republikā </w:t>
            </w:r>
            <w:r w:rsidR="0077531F" w:rsidRPr="00DE7F9E">
              <w:t>jā</w:t>
            </w:r>
            <w:r w:rsidRPr="00DE7F9E">
              <w:t>notiek valsts valodā.</w:t>
            </w:r>
          </w:p>
          <w:p w:rsidR="00C70055" w:rsidRPr="00DE7F9E" w:rsidRDefault="00C70055" w:rsidP="00513118">
            <w:pPr>
              <w:jc w:val="both"/>
            </w:pPr>
            <w:r w:rsidRPr="00DE7F9E">
              <w:t>Turklāt,</w:t>
            </w:r>
            <w:r w:rsidR="00800DD9" w:rsidRPr="00DE7F9E">
              <w:t xml:space="preserve"> Ministru kabinets vienreiz jau ir nolēmis, ka attiecībā uz tehnisko dokumentāciju aviācijas nozarē var nepiemērot </w:t>
            </w:r>
            <w:r w:rsidRPr="00DE7F9E">
              <w:t xml:space="preserve"> </w:t>
            </w:r>
            <w:r w:rsidR="00800DD9" w:rsidRPr="00DE7F9E">
              <w:t>prasību par dokumentu iesniegšanu latviešu valodā. J</w:t>
            </w:r>
            <w:r w:rsidRPr="00DE7F9E">
              <w:t>au pieņemtos Ministru kabineta noteikumos ir atrodama atruna, ka pretendent</w:t>
            </w:r>
            <w:r w:rsidR="00F54D8B" w:rsidRPr="00DE7F9E">
              <w:t>am nav jāiesniedz</w:t>
            </w:r>
            <w:r w:rsidRPr="00DE7F9E">
              <w:t xml:space="preserve"> Civilās aviācijas aģentūrā</w:t>
            </w:r>
            <w:r w:rsidR="00F54D8B" w:rsidRPr="00DE7F9E">
              <w:t xml:space="preserve"> gaisa kuģa projektētāja un ražotāja izstrādāto dokumentāciju valsts valodā (</w:t>
            </w:r>
            <w:proofErr w:type="spellStart"/>
            <w:r w:rsidR="00F54D8B" w:rsidRPr="00DE7F9E">
              <w:t>skat</w:t>
            </w:r>
            <w:proofErr w:type="spellEnd"/>
            <w:r w:rsidR="00F54D8B" w:rsidRPr="00DE7F9E">
              <w:t xml:space="preserve">. Ministru kabineta </w:t>
            </w:r>
            <w:r w:rsidR="00800DD9" w:rsidRPr="00DE7F9E">
              <w:t xml:space="preserve">Ministru kabineta 2007.gada 17.jūlija noteikumu Nr.493 „Noteikumi par izpletņlēcēju </w:t>
            </w:r>
            <w:proofErr w:type="spellStart"/>
            <w:r w:rsidR="00800DD9" w:rsidRPr="00DE7F9E">
              <w:t>desantēšanu</w:t>
            </w:r>
            <w:proofErr w:type="spellEnd"/>
            <w:r w:rsidR="00800DD9" w:rsidRPr="00DE7F9E">
              <w:t xml:space="preserve"> un izpletņlēcēju </w:t>
            </w:r>
            <w:proofErr w:type="spellStart"/>
            <w:r w:rsidR="00800DD9" w:rsidRPr="00DE7F9E">
              <w:t>desantēšanas</w:t>
            </w:r>
            <w:proofErr w:type="spellEnd"/>
            <w:r w:rsidR="00800DD9" w:rsidRPr="00DE7F9E">
              <w:t xml:space="preserve"> atļaujas izsniegšanas kārtību”</w:t>
            </w:r>
            <w:r w:rsidR="00F54D8B" w:rsidRPr="00DE7F9E">
              <w:t xml:space="preserve"> 12.punktu).</w:t>
            </w:r>
          </w:p>
          <w:p w:rsidR="00DD6902" w:rsidRPr="00DE7F9E" w:rsidRDefault="00C66ECB" w:rsidP="00513118">
            <w:pPr>
              <w:jc w:val="both"/>
            </w:pPr>
            <w:r w:rsidRPr="00DE7F9E">
              <w:t>Noteikumu projekta pielikumā ir pievienots iesnieguma paraugs ekspluatanta apliecības saņemšanai, kurā ir ietverts pretendenta apliecinājums, ka noteikumu projekta 5.2.apakšpunktā norādītā informācija tiek iesniegta angļu valodā, ievērojot šajā apakšpunktā minētās prasības. Šis apliecinājums pretendentam būs jāparaksta, ja tas noteikumu projekta 5.2.apakšpunktā norādīto informāciju iesniegs angļu valodā</w:t>
            </w:r>
            <w:r w:rsidR="00737FDC" w:rsidRPr="00DE7F9E">
              <w:t>;</w:t>
            </w:r>
          </w:p>
          <w:p w:rsidR="00C15825" w:rsidRPr="00DE7F9E" w:rsidRDefault="00D30FBB" w:rsidP="00513118">
            <w:pPr>
              <w:jc w:val="both"/>
            </w:pPr>
            <w:r w:rsidRPr="00DE7F9E">
              <w:t>6.</w:t>
            </w:r>
            <w:r w:rsidR="009F712F" w:rsidRPr="00DE7F9E">
              <w:t> </w:t>
            </w:r>
            <w:r w:rsidR="009A2969" w:rsidRPr="00DE7F9E">
              <w:t xml:space="preserve">noteikt </w:t>
            </w:r>
            <w:r w:rsidR="00241806" w:rsidRPr="00DE7F9E">
              <w:t>kārtību, kādā Civilās aviācijas aģentūra izskata pretendenta atbilstību gaisa kuģa ekspluatanta apliecības saņemšanai</w:t>
            </w:r>
            <w:r w:rsidR="00755FD1" w:rsidRPr="00DE7F9E">
              <w:t xml:space="preserve"> un</w:t>
            </w:r>
            <w:r w:rsidR="004C3F61" w:rsidRPr="00DE7F9E">
              <w:t xml:space="preserve"> izsniedz ekspluatant apliecību</w:t>
            </w:r>
            <w:r w:rsidR="00241806" w:rsidRPr="00DE7F9E">
              <w:t>.</w:t>
            </w:r>
          </w:p>
          <w:p w:rsidR="00241806" w:rsidRPr="00DE7F9E" w:rsidRDefault="00241806" w:rsidP="000A04D6">
            <w:pPr>
              <w:jc w:val="both"/>
            </w:pPr>
            <w:r w:rsidRPr="00DE7F9E">
              <w:t>Noteikumu projekta 1</w:t>
            </w:r>
            <w:r w:rsidR="000A04D6" w:rsidRPr="00DE7F9E">
              <w:t>4</w:t>
            </w:r>
            <w:r w:rsidRPr="00DE7F9E">
              <w:t xml:space="preserve">.punktā noteikts normatīvā akta spēkā stāšanās datums atbilstoši </w:t>
            </w:r>
            <w:r w:rsidR="007161FD" w:rsidRPr="00DE7F9E">
              <w:t>Regula</w:t>
            </w:r>
            <w:r w:rsidR="000E7CD1" w:rsidRPr="00DE7F9E">
              <w:t xml:space="preserve">s Nr.965/2012 10.panta 2.punktam un </w:t>
            </w:r>
            <w:r w:rsidRPr="00DE7F9E">
              <w:t xml:space="preserve">Civilās aviācijas aģentūras 2012.gada 7.decembrī  Eiropas Komisijai nosūtītajam </w:t>
            </w:r>
            <w:r w:rsidR="007161FD" w:rsidRPr="00DE7F9E">
              <w:t>Regula</w:t>
            </w:r>
            <w:r w:rsidRPr="00DE7F9E">
              <w:t xml:space="preserve">s Nr.965/2012 ieviešanas plānam.  </w:t>
            </w:r>
          </w:p>
          <w:p w:rsidR="00C5190D" w:rsidRPr="00DE7F9E" w:rsidRDefault="00C5190D" w:rsidP="007161FD">
            <w:pPr>
              <w:jc w:val="both"/>
            </w:pPr>
            <w:r w:rsidRPr="00DE7F9E">
              <w:t>7.</w:t>
            </w:r>
            <w:r w:rsidR="00A879E9" w:rsidRPr="00DE7F9E">
              <w:t> </w:t>
            </w:r>
            <w:r w:rsidRPr="00DE7F9E">
              <w:t xml:space="preserve">noteikt, ka Civilās aviācijas aģentūra informē Satiksmes ministriju par izsniegtām, apturētām vai anulētām ekspluatanta apliecībām, kā arī par veiktajām izmaiņām ekspluatanta apliecībā. Saskaņā ar </w:t>
            </w:r>
            <w:r w:rsidRPr="00DE7F9E">
              <w:rPr>
                <w:rStyle w:val="Strong"/>
                <w:b w:val="0"/>
              </w:rPr>
              <w:t xml:space="preserve">2008. gada 24. septembris Eiropas Parlamenta un Padomes </w:t>
            </w:r>
            <w:r w:rsidR="007161FD" w:rsidRPr="00DE7F9E">
              <w:rPr>
                <w:rStyle w:val="Strong"/>
                <w:b w:val="0"/>
              </w:rPr>
              <w:t>Regula</w:t>
            </w:r>
            <w:r w:rsidRPr="00DE7F9E">
              <w:rPr>
                <w:rStyle w:val="Strong"/>
                <w:b w:val="0"/>
              </w:rPr>
              <w:t xml:space="preserve">s (EK)                Nr.1008/2008 par kopīgiem noteikumiem gaisa pārvadājumu pakalpojumu sniegšanai Kopienā (pārstrādāta versija) nosacījumiem </w:t>
            </w:r>
            <w:r w:rsidR="0049494A" w:rsidRPr="00DE7F9E">
              <w:rPr>
                <w:rStyle w:val="Strong"/>
                <w:b w:val="0"/>
              </w:rPr>
              <w:t>L</w:t>
            </w:r>
            <w:r w:rsidR="0049494A" w:rsidRPr="00DE7F9E">
              <w:t>icences par tiesībām veikt gaisa pārvadājumus</w:t>
            </w:r>
            <w:r w:rsidRPr="00DE7F9E">
              <w:t xml:space="preserve"> piešķiršana un tās derīgums vienmēr ir atkarīgs no tā, vai ir derīga ekspluatanta apliecība</w:t>
            </w:r>
            <w:r w:rsidR="008842BB" w:rsidRPr="00DE7F9E">
              <w:t>.</w:t>
            </w:r>
          </w:p>
        </w:tc>
      </w:tr>
      <w:tr w:rsidR="00131530" w:rsidRPr="00DE7F9E" w:rsidTr="00E3670B">
        <w:trPr>
          <w:trHeight w:val="465"/>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pPr>
              <w:pStyle w:val="tvhtml"/>
              <w:jc w:val="center"/>
            </w:pPr>
            <w:r w:rsidRPr="00DE7F9E">
              <w:lastRenderedPageBreak/>
              <w:t>3.</w:t>
            </w:r>
          </w:p>
        </w:tc>
        <w:tc>
          <w:tcPr>
            <w:tcW w:w="1532" w:type="pct"/>
            <w:gridSpan w:val="4"/>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Projekta izstrādē iesaistītās institūcijas</w:t>
            </w:r>
          </w:p>
        </w:tc>
        <w:tc>
          <w:tcPr>
            <w:tcW w:w="3159" w:type="pct"/>
            <w:gridSpan w:val="5"/>
            <w:tcBorders>
              <w:top w:val="outset" w:sz="6" w:space="0" w:color="auto"/>
              <w:left w:val="outset" w:sz="6" w:space="0" w:color="auto"/>
              <w:bottom w:val="outset" w:sz="6" w:space="0" w:color="auto"/>
              <w:right w:val="outset" w:sz="6" w:space="0" w:color="auto"/>
            </w:tcBorders>
            <w:hideMark/>
          </w:tcPr>
          <w:p w:rsidR="00131530" w:rsidRPr="00DE7F9E" w:rsidRDefault="00241806" w:rsidP="00F120AD">
            <w:pPr>
              <w:jc w:val="both"/>
            </w:pPr>
            <w:r w:rsidRPr="00DE7F9E">
              <w:t>Satiksmes ministrija un valsts aģentūra „Civilās aviācijas aģentūra”.</w:t>
            </w:r>
          </w:p>
        </w:tc>
      </w:tr>
      <w:tr w:rsidR="00131530" w:rsidRPr="00DE7F9E" w:rsidTr="00E3670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pPr>
              <w:pStyle w:val="tvhtml"/>
              <w:jc w:val="center"/>
            </w:pPr>
            <w:r w:rsidRPr="00DE7F9E">
              <w:t>4.</w:t>
            </w:r>
          </w:p>
        </w:tc>
        <w:tc>
          <w:tcPr>
            <w:tcW w:w="1532" w:type="pct"/>
            <w:gridSpan w:val="4"/>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Cita informācija</w:t>
            </w:r>
          </w:p>
        </w:tc>
        <w:tc>
          <w:tcPr>
            <w:tcW w:w="3159" w:type="pct"/>
            <w:gridSpan w:val="5"/>
            <w:tcBorders>
              <w:top w:val="outset" w:sz="6" w:space="0" w:color="auto"/>
              <w:left w:val="outset" w:sz="6" w:space="0" w:color="auto"/>
              <w:bottom w:val="outset" w:sz="6" w:space="0" w:color="auto"/>
              <w:right w:val="outset" w:sz="6" w:space="0" w:color="auto"/>
            </w:tcBorders>
            <w:hideMark/>
          </w:tcPr>
          <w:p w:rsidR="00994A02" w:rsidRPr="00DE7F9E" w:rsidRDefault="00994A02" w:rsidP="00994A02">
            <w:pPr>
              <w:jc w:val="both"/>
              <w:rPr>
                <w:rFonts w:eastAsiaTheme="minorHAnsi"/>
                <w:lang w:eastAsia="en-US"/>
              </w:rPr>
            </w:pPr>
            <w:r w:rsidRPr="00DE7F9E">
              <w:rPr>
                <w:rFonts w:eastAsiaTheme="minorHAnsi"/>
                <w:lang w:eastAsia="en-US"/>
              </w:rPr>
              <w:t xml:space="preserve">Eiropas Aviācijas drošības aģentūra (EASA) saskaņā Eiropas Parlamenta un Padomes 2008. gada 20. februāra Regulas (EK) Nr.216/2008 par kopīgiem noteikumiem civilās aviācijas jomā un par Eiropas Aviācijas drošības aģentūras izveidi, un ar ko atceļ Padomes Direktīvu 91/670/EEK, Regulu (EK) Nr.1592/2002 un Direktīvu 2004/36/EK (turpmāk - Regula Nr.216/2008) 18.panta (c) </w:t>
            </w:r>
            <w:r w:rsidRPr="00DE7F9E">
              <w:rPr>
                <w:rFonts w:eastAsiaTheme="minorHAnsi"/>
                <w:lang w:eastAsia="en-US"/>
              </w:rPr>
              <w:lastRenderedPageBreak/>
              <w:t xml:space="preserve">punktu, izstrādā attiecīgus līdzekļus atbilstības panākšanai. Šie dokumenti izstrādāti atbilstoši visām regulu sadaļām, kurām tie nepieciešami (http://www.easa.europa.eu/agency-measures/acceptable-means-of-compliance-and-guidance-material.php). </w:t>
            </w:r>
            <w:r w:rsidR="006F434C" w:rsidRPr="00DE7F9E">
              <w:rPr>
                <w:rFonts w:eastAsiaTheme="minorHAnsi"/>
                <w:lang w:eastAsia="en-US"/>
              </w:rPr>
              <w:t>Š</w:t>
            </w:r>
            <w:r w:rsidRPr="00DE7F9E">
              <w:rPr>
                <w:rFonts w:eastAsiaTheme="minorHAnsi"/>
                <w:lang w:eastAsia="en-US"/>
              </w:rPr>
              <w:t xml:space="preserve">ie dokumenti ir liela apjoma un ir paredzams, ka tajos bieži tiks veikti grozījumi.  </w:t>
            </w:r>
          </w:p>
          <w:p w:rsidR="00994A02" w:rsidRPr="00DE7F9E" w:rsidRDefault="00994A02" w:rsidP="00DC2D08">
            <w:pPr>
              <w:jc w:val="both"/>
              <w:rPr>
                <w:rFonts w:eastAsiaTheme="minorHAnsi"/>
                <w:lang w:eastAsia="en-US"/>
              </w:rPr>
            </w:pPr>
            <w:r w:rsidRPr="00DE7F9E">
              <w:rPr>
                <w:rFonts w:eastAsiaTheme="minorHAnsi"/>
                <w:lang w:eastAsia="en-US"/>
              </w:rPr>
              <w:t>Iekļaujot visu vadlīniju tekstu Ministru kabineta noteikumos var tikt izmainīta vadlīniju struktūra (</w:t>
            </w:r>
            <w:proofErr w:type="spellStart"/>
            <w:r w:rsidRPr="00DE7F9E">
              <w:rPr>
                <w:rFonts w:eastAsiaTheme="minorHAnsi"/>
                <w:lang w:eastAsia="en-US"/>
              </w:rPr>
              <w:t>piem</w:t>
            </w:r>
            <w:proofErr w:type="spellEnd"/>
            <w:r w:rsidRPr="00DE7F9E">
              <w:rPr>
                <w:rFonts w:eastAsiaTheme="minorHAnsi"/>
                <w:lang w:eastAsia="en-US"/>
              </w:rPr>
              <w:t>., punktu numerācija atšķirsies) un jēga (</w:t>
            </w:r>
            <w:proofErr w:type="spellStart"/>
            <w:r w:rsidRPr="00DE7F9E">
              <w:rPr>
                <w:rFonts w:eastAsiaTheme="minorHAnsi"/>
                <w:lang w:eastAsia="en-US"/>
              </w:rPr>
              <w:t>piem.,mēģinot</w:t>
            </w:r>
            <w:proofErr w:type="spellEnd"/>
            <w:r w:rsidRPr="00DE7F9E">
              <w:rPr>
                <w:rFonts w:eastAsiaTheme="minorHAnsi"/>
                <w:lang w:eastAsia="en-US"/>
              </w:rPr>
              <w:t xml:space="preserve"> tekstu pielāgot juridiskās tehnikas prasībām), kā rezultātā var tikt apdraudēts civilās aviācijas drošības un gaisa kuģu lidojumu drošuma līmenis.</w:t>
            </w:r>
          </w:p>
          <w:p w:rsidR="00994A02" w:rsidRPr="00DE7F9E" w:rsidRDefault="00994A02">
            <w:pPr>
              <w:jc w:val="both"/>
              <w:rPr>
                <w:rFonts w:eastAsiaTheme="minorHAnsi"/>
                <w:lang w:eastAsia="en-US"/>
              </w:rPr>
            </w:pPr>
            <w:r w:rsidRPr="00DE7F9E">
              <w:rPr>
                <w:rFonts w:eastAsiaTheme="minorHAnsi"/>
                <w:lang w:eastAsia="en-US"/>
              </w:rPr>
              <w:t xml:space="preserve">Bez tam, atbilstoši Tieslietu ministrijas organizētās sanāksmes Eiropas Savienības un starptautisko tiesību jautājumos 2013.gada 17.aprīļa protokola Nr.1 4§ „Vadlīnijas, rekomendācijas </w:t>
            </w:r>
            <w:proofErr w:type="spellStart"/>
            <w:r w:rsidRPr="00DE7F9E">
              <w:rPr>
                <w:rFonts w:eastAsiaTheme="minorHAnsi"/>
                <w:lang w:eastAsia="en-US"/>
              </w:rPr>
              <w:t>u.c</w:t>
            </w:r>
            <w:proofErr w:type="spellEnd"/>
            <w:r w:rsidRPr="00DE7F9E">
              <w:rPr>
                <w:rFonts w:eastAsiaTheme="minorHAnsi"/>
                <w:lang w:eastAsia="en-US"/>
              </w:rPr>
              <w:t>. nesaistošie dokumenti, kas konkrētajā nozarē ir nepieciešami darbā, pozīciju un nostāju izstrāde” 2.punktam, pārņemot direktīvas vai lēmumus, kuros ietvertas atsauces uz juridiski nesaistošiem starptautiskajiem un ES dokumentiem, ir jāpiemēro vienu no šādiem risinājumiem:</w:t>
            </w:r>
          </w:p>
          <w:p w:rsidR="00994A02" w:rsidRPr="00DE7F9E" w:rsidRDefault="00994A02">
            <w:pPr>
              <w:jc w:val="both"/>
              <w:rPr>
                <w:rFonts w:eastAsiaTheme="minorHAnsi"/>
                <w:lang w:eastAsia="en-US"/>
              </w:rPr>
            </w:pPr>
            <w:r w:rsidRPr="00DE7F9E">
              <w:rPr>
                <w:rFonts w:eastAsiaTheme="minorHAnsi"/>
                <w:lang w:eastAsia="en-US"/>
              </w:rPr>
              <w:t>1) juridiski nesaistošo dokumentu saturu ietverot normatīvajā aktā (</w:t>
            </w:r>
            <w:proofErr w:type="spellStart"/>
            <w:r w:rsidRPr="00DE7F9E">
              <w:rPr>
                <w:rFonts w:eastAsiaTheme="minorHAnsi"/>
                <w:lang w:eastAsia="en-US"/>
              </w:rPr>
              <w:t>piem</w:t>
            </w:r>
            <w:proofErr w:type="spellEnd"/>
            <w:r w:rsidRPr="00DE7F9E">
              <w:rPr>
                <w:rFonts w:eastAsiaTheme="minorHAnsi"/>
                <w:lang w:eastAsia="en-US"/>
              </w:rPr>
              <w:t>., kā pielikumu);</w:t>
            </w:r>
          </w:p>
          <w:p w:rsidR="00994A02" w:rsidRPr="00DE7F9E" w:rsidRDefault="00994A02">
            <w:pPr>
              <w:jc w:val="both"/>
              <w:rPr>
                <w:rFonts w:eastAsiaTheme="minorHAnsi"/>
                <w:lang w:eastAsia="en-US"/>
              </w:rPr>
            </w:pPr>
            <w:r w:rsidRPr="00DE7F9E">
              <w:rPr>
                <w:rFonts w:eastAsiaTheme="minorHAnsi"/>
                <w:lang w:eastAsia="en-US"/>
              </w:rPr>
              <w:t>2) pārņemot ar atsauci, vienlaikus nodrošinot attiecīgā dokumenta publiskošanu iestādes tīmekļa vietnē, normatīvajā aktā ietverot attiecīgu norādi.</w:t>
            </w:r>
          </w:p>
          <w:p w:rsidR="00131530" w:rsidRPr="00DE7F9E" w:rsidRDefault="00994A02" w:rsidP="00F120AD">
            <w:pPr>
              <w:jc w:val="both"/>
            </w:pPr>
            <w:r w:rsidRPr="00DE7F9E">
              <w:rPr>
                <w:rFonts w:eastAsiaTheme="minorHAnsi"/>
                <w:lang w:eastAsia="en-US"/>
              </w:rPr>
              <w:t>Ministru kabineta 2013.gada 26.novembra noteikumu Nr.1370 „Grozījumi Ministru kabineta 2010.gada 2.februāra noteikumos Nr.97 „Civilās aviācijas personāla veselības pārbaudes veikšanas, veselības apliecības izsniegšanas, aviācijas medicīnas centru un aviācijas medicīnas ekspertu sertificēšanas kārtība”” izstrādes gaitā ar Tieslietu ministriju tika panākta vienošanās, ka minētā kārtība tiek piemērota arī attiecībā uz Eiropas Aviācijas drošības aģentūras (EASA), pamatojoties uz Regulas Nr.216/2008 18.panta (c) punktu, izstrādātiem attiecīgiem līdzekļiem atbilstības panākšanai (vadlīnijām)</w:t>
            </w:r>
            <w:r w:rsidR="00C75216" w:rsidRPr="00DE7F9E">
              <w:rPr>
                <w:rFonts w:eastAsiaTheme="minorHAnsi"/>
                <w:lang w:eastAsia="en-US"/>
              </w:rPr>
              <w:t>. Tādējādi, vadlīnijām var piešķirt saistošu spēku ar atsauces iekļaušanu Ministru kabineta noteikumos</w:t>
            </w:r>
            <w:r w:rsidRPr="00DE7F9E">
              <w:rPr>
                <w:rFonts w:eastAsiaTheme="minorHAnsi"/>
                <w:lang w:eastAsia="en-US"/>
              </w:rPr>
              <w:t>.</w:t>
            </w:r>
          </w:p>
        </w:tc>
      </w:tr>
      <w:tr w:rsidR="00131530" w:rsidRPr="00DE7F9E" w:rsidTr="00E3670B">
        <w:trPr>
          <w:trHeight w:val="555"/>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rsidR="00131530" w:rsidRPr="00DE7F9E" w:rsidRDefault="00131530">
            <w:pPr>
              <w:pStyle w:val="tvhtml"/>
              <w:jc w:val="center"/>
              <w:rPr>
                <w:b/>
                <w:bCs/>
              </w:rPr>
            </w:pPr>
            <w:r w:rsidRPr="00DE7F9E">
              <w:lastRenderedPageBreak/>
              <w:t> </w:t>
            </w:r>
            <w:r w:rsidRPr="00DE7F9E">
              <w:rPr>
                <w:b/>
                <w:bCs/>
              </w:rPr>
              <w:t>II. Tiesību akta projekta ietekme uz sabiedrību, tautsaimniecības attīstību un administratīvo slogu</w:t>
            </w:r>
          </w:p>
        </w:tc>
      </w:tr>
      <w:tr w:rsidR="00131530" w:rsidRPr="00DE7F9E" w:rsidTr="00E3670B">
        <w:trPr>
          <w:trHeight w:val="465"/>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1.</w:t>
            </w:r>
          </w:p>
        </w:tc>
        <w:tc>
          <w:tcPr>
            <w:tcW w:w="1532" w:type="pct"/>
            <w:gridSpan w:val="4"/>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 xml:space="preserve">Sabiedrības </w:t>
            </w:r>
            <w:proofErr w:type="spellStart"/>
            <w:r w:rsidRPr="00DE7F9E">
              <w:t>mērķgrupas</w:t>
            </w:r>
            <w:proofErr w:type="spellEnd"/>
            <w:r w:rsidRPr="00DE7F9E">
              <w:t>, kuras tiesiskais regulējums ietekmē vai varētu ietekmēt</w:t>
            </w:r>
          </w:p>
        </w:tc>
        <w:tc>
          <w:tcPr>
            <w:tcW w:w="3159" w:type="pct"/>
            <w:gridSpan w:val="5"/>
            <w:tcBorders>
              <w:top w:val="outset" w:sz="6" w:space="0" w:color="auto"/>
              <w:left w:val="outset" w:sz="6" w:space="0" w:color="auto"/>
              <w:bottom w:val="outset" w:sz="6" w:space="0" w:color="auto"/>
              <w:right w:val="outset" w:sz="6" w:space="0" w:color="auto"/>
            </w:tcBorders>
            <w:hideMark/>
          </w:tcPr>
          <w:p w:rsidR="00477A29" w:rsidRPr="00DE7F9E" w:rsidRDefault="00C7109E" w:rsidP="00A2557C">
            <w:pPr>
              <w:jc w:val="both"/>
            </w:pPr>
            <w:r w:rsidRPr="00DE7F9E">
              <w:rPr>
                <w:rFonts w:eastAsiaTheme="minorHAnsi"/>
                <w:color w:val="000000"/>
                <w:lang w:eastAsia="en-US"/>
              </w:rPr>
              <w:t xml:space="preserve">Noteikumu projekts šobrīd attiecas uz </w:t>
            </w:r>
            <w:r w:rsidRPr="00DE7F9E">
              <w:t>četriem</w:t>
            </w:r>
            <w:r w:rsidR="00C5190D" w:rsidRPr="00DE7F9E">
              <w:t xml:space="preserve"> </w:t>
            </w:r>
            <w:r w:rsidRPr="00DE7F9E">
              <w:t>gaisa kuģu ekspluatantiem</w:t>
            </w:r>
            <w:r w:rsidR="00C5190D" w:rsidRPr="00DE7F9E">
              <w:t>, kuriem ir izsniegta ekspluatanta apliecība</w:t>
            </w:r>
            <w:r w:rsidRPr="00DE7F9E">
              <w:rPr>
                <w:rFonts w:eastAsiaTheme="minorHAnsi"/>
                <w:color w:val="000000"/>
                <w:lang w:eastAsia="en-US"/>
              </w:rPr>
              <w:t xml:space="preserve"> un </w:t>
            </w:r>
            <w:r w:rsidRPr="00DE7F9E">
              <w:t>komersantiem</w:t>
            </w:r>
            <w:r w:rsidRPr="00DE7F9E">
              <w:rPr>
                <w:rFonts w:eastAsiaTheme="minorHAnsi"/>
                <w:color w:val="000000"/>
                <w:lang w:eastAsia="en-US"/>
              </w:rPr>
              <w:t>, kuri vēlas</w:t>
            </w:r>
            <w:r w:rsidR="00BA7EE4" w:rsidRPr="00DE7F9E">
              <w:rPr>
                <w:rFonts w:eastAsiaTheme="minorHAnsi"/>
                <w:color w:val="000000"/>
                <w:lang w:eastAsia="en-US"/>
              </w:rPr>
              <w:t xml:space="preserve"> </w:t>
            </w:r>
            <w:r w:rsidR="00241806" w:rsidRPr="00DE7F9E">
              <w:t>saņemt ekspluatanta apliecību</w:t>
            </w:r>
            <w:r w:rsidR="00BE03E1" w:rsidRPr="00DE7F9E">
              <w:t xml:space="preserve">, </w:t>
            </w:r>
            <w:r w:rsidR="00BE03E1" w:rsidRPr="00DE7F9E">
              <w:rPr>
                <w:color w:val="000000"/>
              </w:rPr>
              <w:t>lai veiktu gaisa pārvadājumus</w:t>
            </w:r>
            <w:r w:rsidR="00B73223" w:rsidRPr="00DE7F9E">
              <w:t>.</w:t>
            </w:r>
          </w:p>
        </w:tc>
      </w:tr>
      <w:tr w:rsidR="00131530" w:rsidRPr="00DE7F9E" w:rsidTr="00E3670B">
        <w:trPr>
          <w:trHeight w:val="510"/>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2.</w:t>
            </w:r>
          </w:p>
        </w:tc>
        <w:tc>
          <w:tcPr>
            <w:tcW w:w="1532" w:type="pct"/>
            <w:gridSpan w:val="4"/>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Tiesiskā regulējuma ietekme uz tautsaimniecību un administratīvo slogu</w:t>
            </w:r>
          </w:p>
        </w:tc>
        <w:tc>
          <w:tcPr>
            <w:tcW w:w="3159" w:type="pct"/>
            <w:gridSpan w:val="5"/>
            <w:tcBorders>
              <w:top w:val="outset" w:sz="6" w:space="0" w:color="auto"/>
              <w:left w:val="outset" w:sz="6" w:space="0" w:color="auto"/>
              <w:bottom w:val="outset" w:sz="6" w:space="0" w:color="auto"/>
              <w:right w:val="outset" w:sz="6" w:space="0" w:color="auto"/>
            </w:tcBorders>
            <w:hideMark/>
          </w:tcPr>
          <w:p w:rsidR="00131530" w:rsidRPr="00DE7F9E" w:rsidRDefault="00ED20AF" w:rsidP="00F120AD">
            <w:pPr>
              <w:jc w:val="both"/>
            </w:pPr>
            <w:r w:rsidRPr="00DE7F9E">
              <w:t xml:space="preserve">Administratīvais slogs attiecībā uz šīs anotācijas daļas 1.punktā minētajām sabiedrības </w:t>
            </w:r>
            <w:proofErr w:type="spellStart"/>
            <w:r w:rsidRPr="00DE7F9E">
              <w:t>mērķgrupām</w:t>
            </w:r>
            <w:proofErr w:type="spellEnd"/>
            <w:r w:rsidRPr="00DE7F9E">
              <w:t xml:space="preserve"> nemainās, jo netiek mainīti to līdzšinējie pienākumi un tiesības.</w:t>
            </w:r>
          </w:p>
        </w:tc>
      </w:tr>
      <w:tr w:rsidR="00131530" w:rsidRPr="00DE7F9E" w:rsidTr="00E3670B">
        <w:trPr>
          <w:trHeight w:val="510"/>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lastRenderedPageBreak/>
              <w:t>3.</w:t>
            </w:r>
          </w:p>
        </w:tc>
        <w:tc>
          <w:tcPr>
            <w:tcW w:w="1532" w:type="pct"/>
            <w:gridSpan w:val="4"/>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Administratīvo izmaksu monetārs novērtējums</w:t>
            </w:r>
          </w:p>
        </w:tc>
        <w:tc>
          <w:tcPr>
            <w:tcW w:w="3159" w:type="pct"/>
            <w:gridSpan w:val="5"/>
            <w:tcBorders>
              <w:top w:val="outset" w:sz="6" w:space="0" w:color="auto"/>
              <w:left w:val="outset" w:sz="6" w:space="0" w:color="auto"/>
              <w:bottom w:val="outset" w:sz="6" w:space="0" w:color="auto"/>
              <w:right w:val="outset" w:sz="6" w:space="0" w:color="auto"/>
            </w:tcBorders>
            <w:hideMark/>
          </w:tcPr>
          <w:p w:rsidR="008941E3" w:rsidRPr="00DE7F9E" w:rsidRDefault="008941E3" w:rsidP="00F120AD">
            <w:pPr>
              <w:jc w:val="both"/>
            </w:pPr>
            <w:r w:rsidRPr="00DE7F9E">
              <w:t xml:space="preserve">Administratīvo izmaksu monetārs novērtējums </w:t>
            </w:r>
            <w:r w:rsidR="00A038B2" w:rsidRPr="00DE7F9E">
              <w:t>komersantam, kas vēlas saņemt ekspluatanta apliecību</w:t>
            </w:r>
            <w:r w:rsidRPr="00DE7F9E">
              <w:t>:</w:t>
            </w:r>
          </w:p>
          <w:p w:rsidR="00BE39D7" w:rsidRPr="00DE7F9E" w:rsidRDefault="006266FF" w:rsidP="00F120AD">
            <w:pPr>
              <w:jc w:val="both"/>
            </w:pPr>
            <w:r w:rsidRPr="00DE7F9E">
              <w:t>1) </w:t>
            </w:r>
            <w:r w:rsidR="00BE39D7" w:rsidRPr="00DE7F9E">
              <w:t>Iesnieguma iesniegšana Civilās aviācijas aģentūrai ekspluatanta apliecības saņemšanai:</w:t>
            </w:r>
          </w:p>
          <w:p w:rsidR="00BE39D7" w:rsidRPr="00DE7F9E" w:rsidRDefault="00BE39D7" w:rsidP="00F120AD">
            <w:pPr>
              <w:jc w:val="both"/>
            </w:pPr>
            <w:r w:rsidRPr="00DE7F9E">
              <w:t xml:space="preserve">14.89 </w:t>
            </w:r>
            <w:proofErr w:type="spellStart"/>
            <w:r w:rsidRPr="00DE7F9E">
              <w:t>euro</w:t>
            </w:r>
            <w:proofErr w:type="spellEnd"/>
            <w:r w:rsidRPr="00DE7F9E">
              <w:t xml:space="preserve"> (vidējā stundas likme speciālistiem aviācijas nozarē) x 24 stundas (iesnieguma sagatavošana) x 1 (personas skaits) x 1 (biežums gadā) = 357.36 </w:t>
            </w:r>
            <w:proofErr w:type="spellStart"/>
            <w:r w:rsidRPr="00DE7F9E">
              <w:t>euro</w:t>
            </w:r>
            <w:proofErr w:type="spellEnd"/>
            <w:r w:rsidR="00D36E53" w:rsidRPr="00DE7F9E">
              <w:t>.</w:t>
            </w:r>
          </w:p>
          <w:p w:rsidR="007326F1" w:rsidRPr="00DE7F9E" w:rsidRDefault="006266FF" w:rsidP="00F120AD">
            <w:pPr>
              <w:jc w:val="both"/>
            </w:pPr>
            <w:r w:rsidRPr="00DE7F9E">
              <w:t>2) </w:t>
            </w:r>
            <w:r w:rsidR="006C0FDB" w:rsidRPr="00DE7F9E">
              <w:t xml:space="preserve">Lai izpildītu </w:t>
            </w:r>
            <w:r w:rsidR="00E63F82" w:rsidRPr="00DE7F9E">
              <w:t>noteikumu projekta 5.2.apakšpunktā noteikto prasību un iesniegtu Civilās aviācijas aģentūrā Regulas Nr.965/2012 III pielikuma ORO.AOC.100.punktā minētos dokumentus un informāciju</w:t>
            </w:r>
            <w:r w:rsidR="007326F1" w:rsidRPr="00DE7F9E">
              <w:t>,</w:t>
            </w:r>
            <w:r w:rsidR="00E63F82" w:rsidRPr="00DE7F9E">
              <w:t xml:space="preserve"> komersantam, kas vēlas saņemt ekspluatanta apliecību vajadzēs vismaz pusotru, divus gadus. </w:t>
            </w:r>
          </w:p>
          <w:p w:rsidR="007326F1" w:rsidRPr="00DE7F9E" w:rsidRDefault="00E63F82" w:rsidP="00F120AD">
            <w:pPr>
              <w:jc w:val="both"/>
            </w:pPr>
            <w:r w:rsidRPr="00DE7F9E">
              <w:t xml:space="preserve">Tā piemēram, </w:t>
            </w:r>
            <w:r w:rsidR="007326F1" w:rsidRPr="00DE7F9E">
              <w:t xml:space="preserve">atbilstoši Regulas Nr.965/2012 III pielikuma ORO.MLR.100 punkta a) apakšpunktam ekspluatants izveido lidojumu veikšanas rokasgrāmatu (OM), kā noteikts Regulas (EK) </w:t>
            </w:r>
            <w:proofErr w:type="spellStart"/>
            <w:r w:rsidR="007326F1" w:rsidRPr="00DE7F9E">
              <w:t>Nr</w:t>
            </w:r>
            <w:proofErr w:type="spellEnd"/>
            <w:r w:rsidR="007326F1" w:rsidRPr="00DE7F9E">
              <w:t>. 216/2008 IV pielikuma 8.b punktā. Lidojumu veikšanas rokasgrāmatas galvenā struktūra ir norādīta Regulas Nr.965/2012 III pielikuma ORO.MLR.101 punktā:</w:t>
            </w:r>
          </w:p>
          <w:p w:rsidR="007326F1" w:rsidRPr="00DE7F9E" w:rsidRDefault="007326F1" w:rsidP="00F120AD">
            <w:pPr>
              <w:jc w:val="both"/>
            </w:pPr>
            <w:r w:rsidRPr="00DE7F9E">
              <w:t>a) A daļa: vispārējā informācija/pamatinformācija, kas ietver ar tipu nesaistītu ekspluatācijas politiku, instrukcijas un procedūras;</w:t>
            </w:r>
          </w:p>
          <w:p w:rsidR="007326F1" w:rsidRPr="00DE7F9E" w:rsidRDefault="007326F1" w:rsidP="00F120AD">
            <w:pPr>
              <w:jc w:val="both"/>
            </w:pPr>
            <w:r w:rsidRPr="00DE7F9E">
              <w:t>b) B daļa: ar gaisa kuģa ekspluatāciju saistīti temati, kas ietver visas ar konkrēto gaisa kuģa tipu saistītas instrukcijas un procedūras, ņemot vērā tipu/klašu, variantu vai ekspluatanta izmantotu individuālu gaisa kuģu atšķirības;</w:t>
            </w:r>
          </w:p>
          <w:p w:rsidR="007326F1" w:rsidRPr="00DE7F9E" w:rsidRDefault="007326F1" w:rsidP="00F120AD">
            <w:pPr>
              <w:jc w:val="both"/>
            </w:pPr>
            <w:r w:rsidRPr="00DE7F9E">
              <w:t>c) C daļa: komerciāli gaisa pārvadājumi, tostarp instrukcijas un informācija par maršrutu/funkciju/apgabalu un lidlauku/ekspluatācijas vietu;</w:t>
            </w:r>
          </w:p>
          <w:p w:rsidR="007326F1" w:rsidRPr="00DE7F9E" w:rsidRDefault="007326F1" w:rsidP="00F120AD">
            <w:pPr>
              <w:jc w:val="both"/>
            </w:pPr>
            <w:r w:rsidRPr="00DE7F9E">
              <w:t>d) D daļa: apmācība, tostarp ir visas personāla mācību instrukcijas, kas vajadzīgas drošai ekspluatācijai.</w:t>
            </w:r>
          </w:p>
          <w:p w:rsidR="00D36E53" w:rsidRPr="00DE7F9E" w:rsidRDefault="007326F1" w:rsidP="00F120AD">
            <w:pPr>
              <w:jc w:val="both"/>
            </w:pPr>
            <w:r w:rsidRPr="00DE7F9E">
              <w:t>A/S „</w:t>
            </w:r>
            <w:proofErr w:type="spellStart"/>
            <w:r w:rsidRPr="00DE7F9E">
              <w:t>Air</w:t>
            </w:r>
            <w:proofErr w:type="spellEnd"/>
            <w:r w:rsidRPr="00DE7F9E">
              <w:t xml:space="preserve"> </w:t>
            </w:r>
            <w:proofErr w:type="spellStart"/>
            <w:r w:rsidRPr="00DE7F9E">
              <w:t>Baltic</w:t>
            </w:r>
            <w:proofErr w:type="spellEnd"/>
            <w:r w:rsidRPr="00DE7F9E">
              <w:t xml:space="preserve"> </w:t>
            </w:r>
            <w:proofErr w:type="spellStart"/>
            <w:r w:rsidRPr="00DE7F9E">
              <w:t>Corporation</w:t>
            </w:r>
            <w:proofErr w:type="spellEnd"/>
            <w:r w:rsidRPr="00DE7F9E">
              <w:t>”, lai izpildītu minētās prasības ir sagatavojusi 30 rokasgrāmatas</w:t>
            </w:r>
            <w:r w:rsidR="00943286" w:rsidRPr="00DE7F9E">
              <w:t xml:space="preserve"> (katra no tām vidēji aizņem 400 lapas un to kopējais apjoms sastāda vismaz 12000 lapas). </w:t>
            </w:r>
          </w:p>
          <w:p w:rsidR="006C0FDB" w:rsidRPr="00DE7F9E" w:rsidRDefault="00943286" w:rsidP="00F120AD">
            <w:pPr>
              <w:jc w:val="both"/>
            </w:pPr>
            <w:r w:rsidRPr="00DE7F9E">
              <w:t xml:space="preserve">Lai ekspluatants varētu saņemt ekspluatanta apliecību ir jāpaveic apjomīgs darbs. Minēto apliecina arī tas, ka kopš Civilās aviācijas aģentūras izveidošanas </w:t>
            </w:r>
            <w:r w:rsidR="00A141C2" w:rsidRPr="00DE7F9E">
              <w:t xml:space="preserve">(1994.gada) </w:t>
            </w:r>
            <w:r w:rsidRPr="00DE7F9E">
              <w:t xml:space="preserve">ekspluatanta apliecības ir izsniegtas 32 </w:t>
            </w:r>
            <w:r w:rsidR="00A141C2" w:rsidRPr="00DE7F9E">
              <w:t>gaisa kuģu ekspluatantiem.</w:t>
            </w:r>
            <w:r w:rsidR="007326F1" w:rsidRPr="00DE7F9E">
              <w:t xml:space="preserve"> </w:t>
            </w:r>
            <w:r w:rsidR="00C33FE1" w:rsidRPr="00DE7F9E">
              <w:t>Laika periodā no 2012.gada līdz 2014.gadam Civilās aviācijas aģentūra ir izsniegusi tikai divas ekspluatanta apliecības.</w:t>
            </w:r>
          </w:p>
          <w:p w:rsidR="00760ED4" w:rsidRPr="00DE7F9E" w:rsidRDefault="00A038B2" w:rsidP="00F120AD">
            <w:pPr>
              <w:jc w:val="both"/>
            </w:pPr>
            <w:r w:rsidRPr="00DE7F9E">
              <w:t>Ņemot vērā minēto, n</w:t>
            </w:r>
            <w:r w:rsidR="006C0FDB" w:rsidRPr="00DE7F9E">
              <w:t xml:space="preserve">av iespējams </w:t>
            </w:r>
            <w:r w:rsidRPr="00DE7F9E">
              <w:t>izdarīt administratīvo izmaksu monetāro novērtējumu komersantam (kas vēlas saņemt ekspluatanta apliecību), kas tam radīsies, lai izpildītu noteikumu projekta 5.2.apakšpunktā noteikto prasību.</w:t>
            </w:r>
          </w:p>
          <w:p w:rsidR="00E43344" w:rsidRPr="00DE7F9E" w:rsidRDefault="006266FF" w:rsidP="00F120AD">
            <w:pPr>
              <w:jc w:val="both"/>
            </w:pPr>
            <w:r w:rsidRPr="00DE7F9E">
              <w:t>3) </w:t>
            </w:r>
            <w:r w:rsidR="00E43344" w:rsidRPr="00DE7F9E">
              <w:t xml:space="preserve">Dokumentu iesniegšana Civilās aviācijas aģentūrai, kas </w:t>
            </w:r>
            <w:r w:rsidR="00E43344" w:rsidRPr="00DE7F9E">
              <w:lastRenderedPageBreak/>
              <w:t>apliecina noteikumu projekta 5.2.apakšpunktā minētās informācijas patiesumu:</w:t>
            </w:r>
          </w:p>
          <w:p w:rsidR="00A038B2" w:rsidRPr="00DE7F9E" w:rsidRDefault="00E43344" w:rsidP="00F120AD">
            <w:pPr>
              <w:jc w:val="both"/>
            </w:pPr>
            <w:r w:rsidRPr="00DE7F9E">
              <w:t xml:space="preserve">14.89 </w:t>
            </w:r>
            <w:proofErr w:type="spellStart"/>
            <w:r w:rsidRPr="00DE7F9E">
              <w:t>euro</w:t>
            </w:r>
            <w:proofErr w:type="spellEnd"/>
            <w:r w:rsidRPr="00DE7F9E">
              <w:t xml:space="preserve"> (vidējā stundas likme speciālistiem aviācijas nozarē) x 24 stundas (</w:t>
            </w:r>
            <w:r w:rsidR="006266FF" w:rsidRPr="00DE7F9E">
              <w:t>dokumentu</w:t>
            </w:r>
            <w:r w:rsidRPr="00DE7F9E">
              <w:t xml:space="preserve"> </w:t>
            </w:r>
            <w:r w:rsidR="006266FF" w:rsidRPr="00DE7F9E">
              <w:t>savākšana</w:t>
            </w:r>
            <w:r w:rsidRPr="00DE7F9E">
              <w:t xml:space="preserve">) x 1 (personas skaits) x 1 (biežums gadā) = 357.36 </w:t>
            </w:r>
            <w:proofErr w:type="spellStart"/>
            <w:r w:rsidRPr="00DE7F9E">
              <w:t>euro</w:t>
            </w:r>
            <w:proofErr w:type="spellEnd"/>
            <w:r w:rsidRPr="00DE7F9E">
              <w:t>.</w:t>
            </w:r>
          </w:p>
          <w:p w:rsidR="00424714" w:rsidRPr="00DE7F9E" w:rsidRDefault="00A038B2" w:rsidP="00F120AD">
            <w:pPr>
              <w:jc w:val="both"/>
            </w:pPr>
            <w:r w:rsidRPr="00DE7F9E">
              <w:t>Administratīvo izmaksu monetārs novērtējums valsts pārvaldes iestādei:</w:t>
            </w:r>
          </w:p>
          <w:p w:rsidR="006266FF" w:rsidRPr="00DE7F9E" w:rsidRDefault="006266FF" w:rsidP="00F120AD">
            <w:pPr>
              <w:jc w:val="both"/>
            </w:pPr>
            <w:r w:rsidRPr="00DE7F9E">
              <w:t>1) informācijas pieprasīšana no pretendenta viena mēneša laikā no pieprasījuma izsūtīšanas dienas rakstiski iesniegt trūkstošo informāciju</w:t>
            </w:r>
            <w:r w:rsidR="00386A9F" w:rsidRPr="00DE7F9E">
              <w:t>:</w:t>
            </w:r>
          </w:p>
          <w:p w:rsidR="006266FF" w:rsidRPr="00DE7F9E" w:rsidRDefault="006266FF" w:rsidP="00F120AD">
            <w:pPr>
              <w:jc w:val="both"/>
            </w:pPr>
            <w:r w:rsidRPr="00DE7F9E">
              <w:t xml:space="preserve">14.28 </w:t>
            </w:r>
            <w:proofErr w:type="spellStart"/>
            <w:r w:rsidRPr="00DE7F9E">
              <w:t>euro</w:t>
            </w:r>
            <w:proofErr w:type="spellEnd"/>
            <w:r w:rsidRPr="00DE7F9E">
              <w:t xml:space="preserve"> (vidējā stundas likme </w:t>
            </w:r>
            <w:r w:rsidR="001A4380" w:rsidRPr="00DE7F9E">
              <w:t xml:space="preserve">Civilās aviācijas aģentūras </w:t>
            </w:r>
            <w:proofErr w:type="spellStart"/>
            <w:r w:rsidR="001A4380" w:rsidRPr="00DE7F9E">
              <w:t>Komercaviācijas</w:t>
            </w:r>
            <w:proofErr w:type="spellEnd"/>
            <w:r w:rsidR="001A4380" w:rsidRPr="00DE7F9E">
              <w:t xml:space="preserve"> gaisa kuģu ekspluatācijas nodaļas inspektoram</w:t>
            </w:r>
            <w:r w:rsidRPr="00DE7F9E">
              <w:t xml:space="preserve">) x </w:t>
            </w:r>
            <w:r w:rsidR="001A4380" w:rsidRPr="00DE7F9E">
              <w:t>2</w:t>
            </w:r>
            <w:r w:rsidRPr="00DE7F9E">
              <w:t xml:space="preserve"> stundas (</w:t>
            </w:r>
            <w:r w:rsidR="001A4380" w:rsidRPr="00DE7F9E">
              <w:t>pieprasījuma sagatavošana</w:t>
            </w:r>
            <w:r w:rsidRPr="00DE7F9E">
              <w:t xml:space="preserve">) x 1 (personas skaits) x 1 (biežums gadā) = </w:t>
            </w:r>
            <w:r w:rsidR="001A4380" w:rsidRPr="00DE7F9E">
              <w:t>28.56</w:t>
            </w:r>
            <w:r w:rsidRPr="00DE7F9E">
              <w:t xml:space="preserve"> </w:t>
            </w:r>
            <w:proofErr w:type="spellStart"/>
            <w:r w:rsidRPr="00DE7F9E">
              <w:t>euro</w:t>
            </w:r>
            <w:proofErr w:type="spellEnd"/>
            <w:r w:rsidR="00D07D4F" w:rsidRPr="00DE7F9E">
              <w:t>.</w:t>
            </w:r>
          </w:p>
          <w:p w:rsidR="00D07D4F" w:rsidRPr="00DE7F9E" w:rsidRDefault="00D07D4F" w:rsidP="00F120AD">
            <w:pPr>
              <w:jc w:val="both"/>
            </w:pPr>
            <w:r w:rsidRPr="00DE7F9E">
              <w:t>2) komersanta (kas vēlas saņemt ekspluatanta apliecību) iesniegto dokumentu izvērtēšana un pretendenta atbilstības Regulas Nr.965/2012,  Regulas Nr.965/2012 ARO daļas vadlīniju, Regulas Nr.965/2012 ORO daļas vadlīniju, Regulas Nr.965/2012 CAT daļas vadlīniju un Regulas Nr.965/2012 SPA daļas vadlīniju prasībām, pārbaudīšana:</w:t>
            </w:r>
          </w:p>
          <w:p w:rsidR="00D07D4F" w:rsidRPr="00DE7F9E" w:rsidRDefault="00D07D4F" w:rsidP="00F120AD">
            <w:pPr>
              <w:jc w:val="both"/>
            </w:pPr>
            <w:r w:rsidRPr="00DE7F9E">
              <w:t xml:space="preserve">14.28 </w:t>
            </w:r>
            <w:proofErr w:type="spellStart"/>
            <w:r w:rsidRPr="00DE7F9E">
              <w:t>euro</w:t>
            </w:r>
            <w:proofErr w:type="spellEnd"/>
            <w:r w:rsidRPr="00DE7F9E">
              <w:t xml:space="preserve"> (vidējā stundas likme Civilās aviācijas aģentūras inspektoram) x 240 stundas (iesniegto dokumentu izvērtēšana un pretendenta atbilstības pārbaudīšana) x 4 (personas skaits) x 1 (biežums gadā) = </w:t>
            </w:r>
            <w:r w:rsidR="00436F71" w:rsidRPr="00DE7F9E">
              <w:t>13708.80</w:t>
            </w:r>
            <w:r w:rsidRPr="00DE7F9E">
              <w:t xml:space="preserve"> </w:t>
            </w:r>
            <w:proofErr w:type="spellStart"/>
            <w:r w:rsidRPr="00DE7F9E">
              <w:t>euro</w:t>
            </w:r>
            <w:proofErr w:type="spellEnd"/>
            <w:r w:rsidRPr="00DE7F9E">
              <w:t>.</w:t>
            </w:r>
          </w:p>
          <w:p w:rsidR="00436F71" w:rsidRPr="00DE7F9E" w:rsidRDefault="00436F71" w:rsidP="00F120AD">
            <w:pPr>
              <w:jc w:val="both"/>
            </w:pPr>
            <w:r w:rsidRPr="00DE7F9E">
              <w:t>3) Regulas Nr.965/2012 II pielikuma ARO.GEN.330. punktā noteikto darbību veikšana saņemot gaisa kuģa ekspluatanta iesniegumu par izmaiņām ekspluatanta apliecībā:</w:t>
            </w:r>
          </w:p>
          <w:p w:rsidR="00436F71" w:rsidRPr="00DE7F9E" w:rsidRDefault="00436F71" w:rsidP="00F120AD">
            <w:pPr>
              <w:jc w:val="both"/>
            </w:pPr>
            <w:r w:rsidRPr="00DE7F9E">
              <w:t xml:space="preserve">14.28 </w:t>
            </w:r>
            <w:proofErr w:type="spellStart"/>
            <w:r w:rsidRPr="00DE7F9E">
              <w:t>euro</w:t>
            </w:r>
            <w:proofErr w:type="spellEnd"/>
            <w:r w:rsidRPr="00DE7F9E">
              <w:t xml:space="preserve"> (vidējā stundas likme Civilās aviācijas aģentūras inspektoram) x 120 stundas (Regulas Nr.965/2012 II pielikuma ARO.GEN.330. punktā noteikto darbību veikšana) x </w:t>
            </w:r>
            <w:r w:rsidR="00B77F78" w:rsidRPr="00DE7F9E">
              <w:t>3</w:t>
            </w:r>
            <w:r w:rsidRPr="00DE7F9E">
              <w:t xml:space="preserve"> (personas skaits) x 1 (biežums gadā) = </w:t>
            </w:r>
            <w:r w:rsidR="00B77F78" w:rsidRPr="00DE7F9E">
              <w:t>5140.80</w:t>
            </w:r>
            <w:r w:rsidRPr="00DE7F9E">
              <w:t xml:space="preserve"> </w:t>
            </w:r>
            <w:proofErr w:type="spellStart"/>
            <w:r w:rsidRPr="00DE7F9E">
              <w:t>euro</w:t>
            </w:r>
            <w:proofErr w:type="spellEnd"/>
            <w:r w:rsidRPr="00DE7F9E">
              <w:t>.</w:t>
            </w:r>
          </w:p>
          <w:p w:rsidR="001022D1" w:rsidRPr="00DE7F9E" w:rsidRDefault="003637C0" w:rsidP="00F120AD">
            <w:pPr>
              <w:jc w:val="both"/>
            </w:pPr>
            <w:r w:rsidRPr="00DE7F9E">
              <w:t>4) </w:t>
            </w:r>
            <w:r w:rsidR="008941E3" w:rsidRPr="00DE7F9E">
              <w:t xml:space="preserve">informācijas sniegšana Satiksmes </w:t>
            </w:r>
            <w:r w:rsidR="001022D1" w:rsidRPr="00DE7F9E">
              <w:t>m</w:t>
            </w:r>
            <w:r w:rsidR="008941E3" w:rsidRPr="00DE7F9E">
              <w:t xml:space="preserve">inistrijai par </w:t>
            </w:r>
            <w:proofErr w:type="spellStart"/>
            <w:r w:rsidR="001022D1" w:rsidRPr="00DE7F9E">
              <w:t>par</w:t>
            </w:r>
            <w:proofErr w:type="spellEnd"/>
            <w:r w:rsidR="001022D1" w:rsidRPr="00DE7F9E">
              <w:t xml:space="preserve"> ekspluatanta apliecības izsniegšanu un tās nosacījumiem, izmaiņu veikšanu ekspluatanta apliecībā, kā arī par ekspluatanta apliecības apturēšanu vai anulēšanu</w:t>
            </w:r>
            <w:r w:rsidR="008941E3" w:rsidRPr="00DE7F9E">
              <w:t xml:space="preserve">: </w:t>
            </w:r>
          </w:p>
          <w:p w:rsidR="00131530" w:rsidRPr="00DE7F9E" w:rsidRDefault="001022D1" w:rsidP="00F120AD">
            <w:pPr>
              <w:jc w:val="both"/>
            </w:pPr>
            <w:r w:rsidRPr="00DE7F9E">
              <w:t xml:space="preserve">14.28 </w:t>
            </w:r>
            <w:proofErr w:type="spellStart"/>
            <w:r w:rsidRPr="00DE7F9E">
              <w:t>euro</w:t>
            </w:r>
            <w:proofErr w:type="spellEnd"/>
            <w:r w:rsidRPr="00DE7F9E">
              <w:t xml:space="preserve"> (</w:t>
            </w:r>
            <w:r w:rsidR="008941E3" w:rsidRPr="00DE7F9E">
              <w:t xml:space="preserve">vidējā stundas likme </w:t>
            </w:r>
            <w:r w:rsidRPr="00DE7F9E">
              <w:t>Civilās aviācijas aģentūras inspektoram)</w:t>
            </w:r>
            <w:r w:rsidR="008941E3" w:rsidRPr="00DE7F9E">
              <w:t xml:space="preserve"> x 0.5 stundas (vēstules sagatavošana) x 1 (personu skaits) x </w:t>
            </w:r>
            <w:r w:rsidRPr="00DE7F9E">
              <w:t>1</w:t>
            </w:r>
            <w:r w:rsidR="008941E3" w:rsidRPr="00DE7F9E">
              <w:t xml:space="preserve"> (biežums gadā) = </w:t>
            </w:r>
            <w:r w:rsidRPr="00DE7F9E">
              <w:t xml:space="preserve">7.14 </w:t>
            </w:r>
            <w:proofErr w:type="spellStart"/>
            <w:r w:rsidRPr="00DE7F9E">
              <w:t>euro</w:t>
            </w:r>
            <w:proofErr w:type="spellEnd"/>
            <w:r w:rsidRPr="00DE7F9E">
              <w:t>.</w:t>
            </w:r>
          </w:p>
        </w:tc>
      </w:tr>
      <w:tr w:rsidR="00131530" w:rsidRPr="00DE7F9E" w:rsidTr="00E3670B">
        <w:trPr>
          <w:trHeight w:val="345"/>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lastRenderedPageBreak/>
              <w:t>4.</w:t>
            </w:r>
          </w:p>
        </w:tc>
        <w:tc>
          <w:tcPr>
            <w:tcW w:w="1532" w:type="pct"/>
            <w:gridSpan w:val="4"/>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Cita informācija</w:t>
            </w:r>
          </w:p>
        </w:tc>
        <w:tc>
          <w:tcPr>
            <w:tcW w:w="3159" w:type="pct"/>
            <w:gridSpan w:val="5"/>
            <w:tcBorders>
              <w:top w:val="outset" w:sz="6" w:space="0" w:color="auto"/>
              <w:left w:val="outset" w:sz="6" w:space="0" w:color="auto"/>
              <w:bottom w:val="outset" w:sz="6" w:space="0" w:color="auto"/>
              <w:right w:val="outset" w:sz="6" w:space="0" w:color="auto"/>
            </w:tcBorders>
            <w:hideMark/>
          </w:tcPr>
          <w:p w:rsidR="00131530" w:rsidRPr="00DE7F9E" w:rsidRDefault="00241806">
            <w:pPr>
              <w:pStyle w:val="tvhtml"/>
            </w:pPr>
            <w:r w:rsidRPr="00DE7F9E">
              <w:t>Nav</w:t>
            </w:r>
          </w:p>
        </w:tc>
      </w:tr>
      <w:tr w:rsidR="00131530" w:rsidRPr="00DE7F9E" w:rsidTr="00E3670B">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rsidR="00131530" w:rsidRPr="00DE7F9E" w:rsidRDefault="00131530">
            <w:pPr>
              <w:pStyle w:val="tvhtml"/>
              <w:jc w:val="center"/>
              <w:rPr>
                <w:b/>
                <w:bCs/>
              </w:rPr>
            </w:pPr>
            <w:r w:rsidRPr="00DE7F9E">
              <w:t>   </w:t>
            </w:r>
            <w:r w:rsidRPr="00DE7F9E">
              <w:rPr>
                <w:b/>
                <w:bCs/>
              </w:rPr>
              <w:t>V. Tiesību akta projekta atbilstība Latvijas Republikas starptautiskajām saistībām</w:t>
            </w:r>
          </w:p>
        </w:tc>
      </w:tr>
      <w:tr w:rsidR="00131530" w:rsidRPr="00DE7F9E" w:rsidTr="00E3670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1.</w:t>
            </w:r>
          </w:p>
        </w:tc>
        <w:tc>
          <w:tcPr>
            <w:tcW w:w="1417" w:type="pct"/>
            <w:gridSpan w:val="2"/>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Saistības pret Eiropas Savienību</w:t>
            </w:r>
          </w:p>
        </w:tc>
        <w:tc>
          <w:tcPr>
            <w:tcW w:w="3273" w:type="pct"/>
            <w:gridSpan w:val="7"/>
            <w:tcBorders>
              <w:top w:val="outset" w:sz="6" w:space="0" w:color="auto"/>
              <w:left w:val="outset" w:sz="6" w:space="0" w:color="auto"/>
              <w:bottom w:val="outset" w:sz="6" w:space="0" w:color="auto"/>
              <w:right w:val="outset" w:sz="6" w:space="0" w:color="auto"/>
            </w:tcBorders>
            <w:hideMark/>
          </w:tcPr>
          <w:p w:rsidR="004338D4" w:rsidRPr="00DE7F9E" w:rsidRDefault="00842946" w:rsidP="008A4DEF">
            <w:pPr>
              <w:jc w:val="both"/>
            </w:pPr>
            <w:r w:rsidRPr="00DE7F9E">
              <w:t>Normatīvajā aktā ietverta atsauce uz</w:t>
            </w:r>
            <w:r w:rsidR="008A4DEF" w:rsidRPr="00DE7F9E">
              <w:t xml:space="preserve"> </w:t>
            </w:r>
            <w:r w:rsidRPr="00DE7F9E">
              <w:t xml:space="preserve">Komisijas 2012.gada 5.oktobra Regulu (ES) Nr.965/2012, ar ko nosaka tehniskās prasības un administratīvās procedūras saistībā ar gaisa kuģu </w:t>
            </w:r>
            <w:r w:rsidRPr="00DE7F9E">
              <w:lastRenderedPageBreak/>
              <w:t xml:space="preserve">ekspluatāciju atbilstīgi Eiropas Parlamenta un Padomes </w:t>
            </w:r>
            <w:r w:rsidR="007161FD" w:rsidRPr="00DE7F9E">
              <w:t>Regula</w:t>
            </w:r>
            <w:r w:rsidRPr="00DE7F9E">
              <w:t>i (EK) Nr.216/2008 (publicēta “Eiropas Savienības Oficiālajā Vēstnesī” L 296, 25.10.2012)</w:t>
            </w:r>
            <w:r w:rsidR="00F1734D" w:rsidRPr="00DE7F9E">
              <w:t>.</w:t>
            </w:r>
          </w:p>
        </w:tc>
      </w:tr>
      <w:tr w:rsidR="00131530" w:rsidRPr="00DE7F9E" w:rsidTr="00E3670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lastRenderedPageBreak/>
              <w:t>2.</w:t>
            </w:r>
          </w:p>
        </w:tc>
        <w:tc>
          <w:tcPr>
            <w:tcW w:w="1417" w:type="pct"/>
            <w:gridSpan w:val="2"/>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Citas starptautiskās saistības</w:t>
            </w:r>
          </w:p>
        </w:tc>
        <w:tc>
          <w:tcPr>
            <w:tcW w:w="3273" w:type="pct"/>
            <w:gridSpan w:val="7"/>
            <w:tcBorders>
              <w:top w:val="outset" w:sz="6" w:space="0" w:color="auto"/>
              <w:left w:val="outset" w:sz="6" w:space="0" w:color="auto"/>
              <w:bottom w:val="outset" w:sz="6" w:space="0" w:color="auto"/>
              <w:right w:val="outset" w:sz="6" w:space="0" w:color="auto"/>
            </w:tcBorders>
            <w:hideMark/>
          </w:tcPr>
          <w:p w:rsidR="00131530" w:rsidRPr="00DE7F9E" w:rsidRDefault="00842946">
            <w:r w:rsidRPr="00DE7F9E">
              <w:t>Nav</w:t>
            </w:r>
          </w:p>
        </w:tc>
      </w:tr>
      <w:tr w:rsidR="00131530" w:rsidRPr="00DE7F9E" w:rsidTr="00E3670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3.</w:t>
            </w:r>
          </w:p>
        </w:tc>
        <w:tc>
          <w:tcPr>
            <w:tcW w:w="1417" w:type="pct"/>
            <w:gridSpan w:val="2"/>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Cita informācija</w:t>
            </w:r>
          </w:p>
        </w:tc>
        <w:tc>
          <w:tcPr>
            <w:tcW w:w="3273" w:type="pct"/>
            <w:gridSpan w:val="7"/>
            <w:tcBorders>
              <w:top w:val="outset" w:sz="6" w:space="0" w:color="auto"/>
              <w:left w:val="outset" w:sz="6" w:space="0" w:color="auto"/>
              <w:bottom w:val="outset" w:sz="6" w:space="0" w:color="auto"/>
              <w:right w:val="outset" w:sz="6" w:space="0" w:color="auto"/>
            </w:tcBorders>
            <w:hideMark/>
          </w:tcPr>
          <w:p w:rsidR="00F1734D" w:rsidRPr="00DE7F9E" w:rsidRDefault="007161FD" w:rsidP="00842946">
            <w:r w:rsidRPr="00DE7F9E">
              <w:t>Regula</w:t>
            </w:r>
            <w:r w:rsidR="00F1734D" w:rsidRPr="00DE7F9E">
              <w:t xml:space="preserve"> Nr.965/2012 ir grozīta ar:</w:t>
            </w:r>
          </w:p>
          <w:p w:rsidR="00F1734D" w:rsidRPr="00DE7F9E" w:rsidRDefault="00F1734D" w:rsidP="00F1734D">
            <w:pPr>
              <w:jc w:val="both"/>
            </w:pPr>
            <w:r w:rsidRPr="00DE7F9E">
              <w:t xml:space="preserve">1. Komisijas 2013.gada 14.augusta Regulu (ES) </w:t>
            </w:r>
            <w:proofErr w:type="spellStart"/>
            <w:r w:rsidRPr="00DE7F9E">
              <w:t>Nr</w:t>
            </w:r>
            <w:proofErr w:type="spellEnd"/>
            <w:r w:rsidRPr="00DE7F9E">
              <w:t xml:space="preserve">. 800/2013, ar kuru groza Regulu (ES) </w:t>
            </w:r>
            <w:proofErr w:type="spellStart"/>
            <w:r w:rsidRPr="00DE7F9E">
              <w:t>Nr</w:t>
            </w:r>
            <w:proofErr w:type="spellEnd"/>
            <w:r w:rsidRPr="00DE7F9E">
              <w:t xml:space="preserve">. 965/2012, ar ko nosaka tehniskās prasības un administratīvās procedūras saistībā ar gaisa kuģu ekspluatāciju atbilstīgi Eiropas Parlamenta un Padomes </w:t>
            </w:r>
            <w:r w:rsidR="007161FD" w:rsidRPr="00DE7F9E">
              <w:t>Regula</w:t>
            </w:r>
            <w:r w:rsidRPr="00DE7F9E">
              <w:t xml:space="preserve">i (EK) </w:t>
            </w:r>
            <w:proofErr w:type="spellStart"/>
            <w:r w:rsidRPr="00DE7F9E">
              <w:t>Nr</w:t>
            </w:r>
            <w:proofErr w:type="spellEnd"/>
            <w:r w:rsidRPr="00DE7F9E">
              <w:t>. 216/2008 (publicēta “Eiropas Savienības Oficiālajā Vēstnesī” L 227, 24.08.2013)</w:t>
            </w:r>
            <w:r w:rsidR="005975FD" w:rsidRPr="00DE7F9E">
              <w:t xml:space="preserve"> (turpmāk – </w:t>
            </w:r>
            <w:r w:rsidR="007161FD" w:rsidRPr="00DE7F9E">
              <w:t>Regula</w:t>
            </w:r>
            <w:r w:rsidR="005975FD" w:rsidRPr="00DE7F9E">
              <w:t xml:space="preserve"> Nr.800</w:t>
            </w:r>
            <w:r w:rsidR="005975FD" w:rsidRPr="00DE7F9E">
              <w:rPr>
                <w:rStyle w:val="Strong"/>
                <w:b w:val="0"/>
              </w:rPr>
              <w:t>/2013)</w:t>
            </w:r>
            <w:r w:rsidRPr="00DE7F9E">
              <w:t>;</w:t>
            </w:r>
          </w:p>
          <w:p w:rsidR="00F1734D" w:rsidRPr="00DE7F9E" w:rsidRDefault="00F1734D" w:rsidP="00F1734D">
            <w:pPr>
              <w:jc w:val="both"/>
              <w:rPr>
                <w:rStyle w:val="Strong"/>
                <w:b w:val="0"/>
              </w:rPr>
            </w:pPr>
            <w:r w:rsidRPr="00DE7F9E">
              <w:t>2. </w:t>
            </w:r>
            <w:r w:rsidRPr="00DE7F9E">
              <w:rPr>
                <w:rStyle w:val="Strong"/>
                <w:b w:val="0"/>
              </w:rPr>
              <w:t xml:space="preserve">Komisijas 2014. gada 27. janvāra Regulu (ES) Nr.71/2014, ar kuru groza Regulu (ES) Nr.965/2012, ar ko nosaka tehniskās prasības un administratīvās procedūras saistībā ar gaisa kuģu ekspluatāciju atbilstīgi Eiropas Parlamenta un Padomes </w:t>
            </w:r>
            <w:r w:rsidR="007161FD" w:rsidRPr="00DE7F9E">
              <w:rPr>
                <w:rStyle w:val="Strong"/>
                <w:b w:val="0"/>
              </w:rPr>
              <w:t>Regula</w:t>
            </w:r>
            <w:r w:rsidRPr="00DE7F9E">
              <w:rPr>
                <w:rStyle w:val="Strong"/>
                <w:b w:val="0"/>
              </w:rPr>
              <w:t xml:space="preserve">i (EK) Nr.216/2008 </w:t>
            </w:r>
            <w:r w:rsidRPr="00DE7F9E">
              <w:t>(publicēta “Eiropas Savienības Oficiālajā Vēstnesī” L 23, 28.01.2014)</w:t>
            </w:r>
            <w:r w:rsidRPr="00DE7F9E">
              <w:rPr>
                <w:rStyle w:val="Strong"/>
                <w:b w:val="0"/>
              </w:rPr>
              <w:t xml:space="preserve">; </w:t>
            </w:r>
          </w:p>
          <w:p w:rsidR="00F1734D" w:rsidRPr="00DE7F9E" w:rsidRDefault="00F1734D" w:rsidP="00F1734D">
            <w:pPr>
              <w:jc w:val="both"/>
              <w:rPr>
                <w:rStyle w:val="Strong"/>
                <w:b w:val="0"/>
              </w:rPr>
            </w:pPr>
            <w:r w:rsidRPr="00DE7F9E">
              <w:rPr>
                <w:rStyle w:val="Strong"/>
                <w:b w:val="0"/>
              </w:rPr>
              <w:t xml:space="preserve">3. Komisijas 2014.gada 29.janvāra Regulu (ES) Nr.83/2014, ar kuru groza Regulu (ES) Nr.965/2012, ar ko nosaka tehniskās prasības un administratīvās procedūras saistībā ar gaisa kuģu ekspluatāciju atbilstīgi Eiropas Parlamenta un Padomes </w:t>
            </w:r>
            <w:r w:rsidR="007161FD" w:rsidRPr="00DE7F9E">
              <w:rPr>
                <w:rStyle w:val="Strong"/>
                <w:b w:val="0"/>
              </w:rPr>
              <w:t>Regula</w:t>
            </w:r>
            <w:r w:rsidRPr="00DE7F9E">
              <w:rPr>
                <w:rStyle w:val="Strong"/>
                <w:b w:val="0"/>
              </w:rPr>
              <w:t xml:space="preserve">i (EK) Nr.216/2008 </w:t>
            </w:r>
            <w:r w:rsidRPr="00DE7F9E">
              <w:t xml:space="preserve">(publicēta “Eiropas Savienības Oficiālajā Vēstnesī” </w:t>
            </w:r>
            <w:r w:rsidRPr="00DE7F9E">
              <w:rPr>
                <w:iCs/>
              </w:rPr>
              <w:t>L 28, 31.01.2014</w:t>
            </w:r>
            <w:r w:rsidRPr="00DE7F9E">
              <w:t>)</w:t>
            </w:r>
            <w:r w:rsidRPr="00DE7F9E">
              <w:rPr>
                <w:rStyle w:val="Strong"/>
                <w:b w:val="0"/>
              </w:rPr>
              <w:t>;</w:t>
            </w:r>
          </w:p>
          <w:p w:rsidR="00F1734D" w:rsidRPr="00DE7F9E" w:rsidRDefault="00F1734D" w:rsidP="00432633">
            <w:pPr>
              <w:jc w:val="both"/>
            </w:pPr>
            <w:r w:rsidRPr="00DE7F9E">
              <w:rPr>
                <w:rStyle w:val="Strong"/>
                <w:b w:val="0"/>
              </w:rPr>
              <w:t xml:space="preserve">4. Komisijas 2014.gada 7.aprīļa Regulu (ES) Nr.379/2014, ar kuru groza </w:t>
            </w:r>
            <w:r w:rsidR="007161FD" w:rsidRPr="00DE7F9E">
              <w:rPr>
                <w:rStyle w:val="Strong"/>
                <w:b w:val="0"/>
              </w:rPr>
              <w:t>Regulu</w:t>
            </w:r>
            <w:r w:rsidRPr="00DE7F9E">
              <w:rPr>
                <w:rStyle w:val="Strong"/>
                <w:b w:val="0"/>
              </w:rPr>
              <w:t xml:space="preserve"> (ES) Nr.965/2012, ar ko nosaka tehniskās prasības un administratīvās procedūras saistībā ar gaisa kuģu ekspluatāciju atbilstīgi Eiropas Parlamenta un Padomes </w:t>
            </w:r>
            <w:r w:rsidR="007161FD" w:rsidRPr="00DE7F9E">
              <w:rPr>
                <w:rStyle w:val="Strong"/>
                <w:b w:val="0"/>
              </w:rPr>
              <w:t>Regula</w:t>
            </w:r>
            <w:r w:rsidRPr="00DE7F9E">
              <w:rPr>
                <w:rStyle w:val="Strong"/>
                <w:b w:val="0"/>
              </w:rPr>
              <w:t xml:space="preserve">i (EK) Nr.216/2008 </w:t>
            </w:r>
            <w:r w:rsidRPr="00DE7F9E">
              <w:t xml:space="preserve">(publicēta “Eiropas Savienības Oficiālajā Vēstnesī” </w:t>
            </w:r>
            <w:r w:rsidRPr="00DE7F9E">
              <w:rPr>
                <w:iCs/>
              </w:rPr>
              <w:t>L 123, 24.04.2014</w:t>
            </w:r>
            <w:r w:rsidRPr="00DE7F9E">
              <w:t>)</w:t>
            </w:r>
            <w:r w:rsidR="00AA6471" w:rsidRPr="00DE7F9E">
              <w:t xml:space="preserve"> (turpmāk – </w:t>
            </w:r>
            <w:r w:rsidR="007161FD" w:rsidRPr="00DE7F9E">
              <w:t>Regula</w:t>
            </w:r>
            <w:r w:rsidR="00AA6471" w:rsidRPr="00DE7F9E">
              <w:t xml:space="preserve"> Nr.</w:t>
            </w:r>
            <w:r w:rsidR="00AA6471" w:rsidRPr="00DE7F9E">
              <w:rPr>
                <w:rStyle w:val="Strong"/>
                <w:b w:val="0"/>
              </w:rPr>
              <w:t>379/2014)</w:t>
            </w:r>
            <w:r w:rsidRPr="00DE7F9E">
              <w:t xml:space="preserve">. </w:t>
            </w:r>
          </w:p>
          <w:p w:rsidR="00842946" w:rsidRPr="00DE7F9E" w:rsidRDefault="00842946" w:rsidP="00432633">
            <w:pPr>
              <w:jc w:val="both"/>
            </w:pPr>
            <w:r w:rsidRPr="00DE7F9E">
              <w:t xml:space="preserve">Normatīvā akta izstrādē izmantota </w:t>
            </w:r>
            <w:r w:rsidR="007161FD" w:rsidRPr="00DE7F9E">
              <w:t>Regula</w:t>
            </w:r>
            <w:r w:rsidRPr="00DE7F9E">
              <w:t>s</w:t>
            </w:r>
            <w:r w:rsidR="008A4DEF" w:rsidRPr="00DE7F9E">
              <w:t xml:space="preserve"> </w:t>
            </w:r>
            <w:r w:rsidRPr="00DE7F9E">
              <w:t>Nr.965/2012 konsolidētā versija.</w:t>
            </w:r>
          </w:p>
          <w:p w:rsidR="00842946" w:rsidRPr="00DE7F9E" w:rsidRDefault="00842946" w:rsidP="00432633">
            <w:pPr>
              <w:jc w:val="both"/>
            </w:pPr>
            <w:r w:rsidRPr="00DE7F9E">
              <w:t xml:space="preserve">Noteikumu projektā izmantotas atsauces uz  Eiropas Aviācijas drošības aģentūras izstrādātajiem dokumentiem </w:t>
            </w:r>
            <w:r w:rsidR="007161FD" w:rsidRPr="00DE7F9E">
              <w:t>Regula</w:t>
            </w:r>
            <w:r w:rsidRPr="00DE7F9E">
              <w:t>s Nr.965/2012 prasību piemērošanai (</w:t>
            </w:r>
            <w:r w:rsidR="00C061FD" w:rsidRPr="00DE7F9E">
              <w:t>https://www.easa.europa.eu/</w:t>
            </w:r>
            <w:r w:rsidR="007161FD" w:rsidRPr="00DE7F9E">
              <w:t>Regula</w:t>
            </w:r>
            <w:r w:rsidR="00C061FD" w:rsidRPr="00DE7F9E">
              <w:t>tions</w:t>
            </w:r>
            <w:r w:rsidRPr="00DE7F9E">
              <w:t xml:space="preserve">): </w:t>
            </w:r>
          </w:p>
          <w:p w:rsidR="00842946" w:rsidRPr="00DE7F9E" w:rsidRDefault="00842946" w:rsidP="00432633">
            <w:pPr>
              <w:jc w:val="both"/>
            </w:pPr>
            <w:r w:rsidRPr="00DE7F9E">
              <w:t xml:space="preserve">1) „Attiecīgie līdzekļi atbilstības panākšanai un vadlīnijas. ARO daļa”, Eiropas </w:t>
            </w:r>
            <w:r w:rsidR="00C061FD" w:rsidRPr="00DE7F9E">
              <w:t>A</w:t>
            </w:r>
            <w:r w:rsidRPr="00DE7F9E">
              <w:t>viācijas drošības aģentūras izpilddirektora 201</w:t>
            </w:r>
            <w:r w:rsidR="004E7BDB" w:rsidRPr="00DE7F9E">
              <w:t>3</w:t>
            </w:r>
            <w:r w:rsidRPr="00DE7F9E">
              <w:t>.gada 2</w:t>
            </w:r>
            <w:r w:rsidR="004E7BDB" w:rsidRPr="00DE7F9E">
              <w:t>3</w:t>
            </w:r>
            <w:r w:rsidRPr="00DE7F9E">
              <w:t>.</w:t>
            </w:r>
            <w:r w:rsidR="004E7BDB" w:rsidRPr="00DE7F9E">
              <w:t xml:space="preserve">augusta </w:t>
            </w:r>
            <w:r w:rsidRPr="00DE7F9E">
              <w:t>lēmums Nr.201</w:t>
            </w:r>
            <w:r w:rsidR="004E7BDB" w:rsidRPr="00DE7F9E">
              <w:t>3</w:t>
            </w:r>
            <w:r w:rsidRPr="00DE7F9E">
              <w:t>/01</w:t>
            </w:r>
            <w:r w:rsidR="004E7BDB" w:rsidRPr="00DE7F9E">
              <w:t>8</w:t>
            </w:r>
            <w:r w:rsidRPr="00DE7F9E">
              <w:t>/R;</w:t>
            </w:r>
          </w:p>
          <w:p w:rsidR="00842946" w:rsidRPr="00DE7F9E" w:rsidRDefault="00842946" w:rsidP="00432633">
            <w:pPr>
              <w:jc w:val="both"/>
            </w:pPr>
            <w:r w:rsidRPr="00DE7F9E">
              <w:t xml:space="preserve">2) „Attiecīgie līdzekļi atbilstības panākšanai un vadlīnijas. ORO daļa”, Eiropas </w:t>
            </w:r>
            <w:r w:rsidR="00C061FD" w:rsidRPr="00DE7F9E">
              <w:t>A</w:t>
            </w:r>
            <w:r w:rsidRPr="00DE7F9E">
              <w:t>viācijas drošības aģentūras izpilddirektora 201</w:t>
            </w:r>
            <w:r w:rsidR="004E7BDB" w:rsidRPr="00DE7F9E">
              <w:t>3</w:t>
            </w:r>
            <w:r w:rsidRPr="00DE7F9E">
              <w:t>.gada 2</w:t>
            </w:r>
            <w:r w:rsidR="004E7BDB" w:rsidRPr="00DE7F9E">
              <w:t>3</w:t>
            </w:r>
            <w:r w:rsidRPr="00DE7F9E">
              <w:t>.</w:t>
            </w:r>
            <w:r w:rsidR="004E7BDB" w:rsidRPr="00DE7F9E">
              <w:t xml:space="preserve">augusta </w:t>
            </w:r>
            <w:r w:rsidRPr="00DE7F9E">
              <w:t>lēmums Nr.201</w:t>
            </w:r>
            <w:r w:rsidR="004E7BDB" w:rsidRPr="00DE7F9E">
              <w:t>3</w:t>
            </w:r>
            <w:r w:rsidRPr="00DE7F9E">
              <w:t>/01</w:t>
            </w:r>
            <w:r w:rsidR="004E7BDB" w:rsidRPr="00DE7F9E">
              <w:t>9</w:t>
            </w:r>
            <w:r w:rsidRPr="00DE7F9E">
              <w:t>/R;</w:t>
            </w:r>
          </w:p>
          <w:p w:rsidR="00842946" w:rsidRPr="00DE7F9E" w:rsidRDefault="00842946" w:rsidP="00432633">
            <w:pPr>
              <w:jc w:val="both"/>
            </w:pPr>
            <w:r w:rsidRPr="00DE7F9E">
              <w:t xml:space="preserve">3) „Attiecīgie līdzekļi atbilstības panākšanai un vadlīnijas. CAT daļa”, Eiropas </w:t>
            </w:r>
            <w:r w:rsidR="00C061FD" w:rsidRPr="00DE7F9E">
              <w:t>A</w:t>
            </w:r>
            <w:r w:rsidRPr="00DE7F9E">
              <w:t>viācijas drošības aģentūras izpilddirektora 201</w:t>
            </w:r>
            <w:r w:rsidR="004E7BDB" w:rsidRPr="00DE7F9E">
              <w:t>2</w:t>
            </w:r>
            <w:r w:rsidRPr="00DE7F9E">
              <w:t>.gada 2</w:t>
            </w:r>
            <w:r w:rsidR="004E7BDB" w:rsidRPr="00DE7F9E">
              <w:t>5</w:t>
            </w:r>
            <w:r w:rsidRPr="00DE7F9E">
              <w:t>.</w:t>
            </w:r>
            <w:r w:rsidR="004E7BDB" w:rsidRPr="00DE7F9E">
              <w:t xml:space="preserve">oktobra </w:t>
            </w:r>
            <w:r w:rsidRPr="00DE7F9E">
              <w:t>lēmums Nr.201</w:t>
            </w:r>
            <w:r w:rsidR="004E7BDB" w:rsidRPr="00DE7F9E">
              <w:t>2</w:t>
            </w:r>
            <w:r w:rsidRPr="00DE7F9E">
              <w:t>/01</w:t>
            </w:r>
            <w:r w:rsidR="004E7BDB" w:rsidRPr="00DE7F9E">
              <w:t>8</w:t>
            </w:r>
            <w:r w:rsidRPr="00DE7F9E">
              <w:t>/R;</w:t>
            </w:r>
          </w:p>
          <w:p w:rsidR="00131530" w:rsidRPr="00DE7F9E" w:rsidRDefault="00842946" w:rsidP="008D11A6">
            <w:pPr>
              <w:jc w:val="both"/>
            </w:pPr>
            <w:r w:rsidRPr="00DE7F9E">
              <w:t xml:space="preserve">4) „Attiecīgie līdzekļi atbilstības panākšanai un vadlīnijas. SPA daļa”, Eiropas </w:t>
            </w:r>
            <w:r w:rsidR="00C061FD" w:rsidRPr="00DE7F9E">
              <w:t>A</w:t>
            </w:r>
            <w:r w:rsidRPr="00DE7F9E">
              <w:t xml:space="preserve">viācijas drošības aģentūras </w:t>
            </w:r>
            <w:r w:rsidRPr="00DE7F9E">
              <w:lastRenderedPageBreak/>
              <w:t>izpilddirektora 2013.gada 23.augusta lēmums Nr.2013/020/R.</w:t>
            </w:r>
          </w:p>
        </w:tc>
      </w:tr>
      <w:tr w:rsidR="00131530" w:rsidRPr="00DE7F9E" w:rsidTr="00F120AD">
        <w:tblPrEx>
          <w:jc w:val="center"/>
        </w:tblPrEx>
        <w:trPr>
          <w:gridAfter w:val="1"/>
          <w:wAfter w:w="40" w:type="pct"/>
          <w:tblCellSpacing w:w="15"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131530" w:rsidRPr="00DE7F9E" w:rsidRDefault="00131530">
            <w:pPr>
              <w:pStyle w:val="tvhtml"/>
              <w:jc w:val="center"/>
              <w:rPr>
                <w:b/>
                <w:bCs/>
              </w:rPr>
            </w:pPr>
            <w:r w:rsidRPr="00DE7F9E">
              <w:rPr>
                <w:b/>
                <w:bCs/>
              </w:rPr>
              <w:lastRenderedPageBreak/>
              <w:t>1.tabula</w:t>
            </w:r>
            <w:r w:rsidRPr="00DE7F9E">
              <w:rPr>
                <w:b/>
                <w:bCs/>
              </w:rPr>
              <w:br/>
              <w:t>Tiesību akta projekta atbilstība ES tiesību aktiem</w:t>
            </w:r>
          </w:p>
        </w:tc>
      </w:tr>
      <w:tr w:rsidR="00131530"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Attiecīgā ES tiesību akta datums, numurs un nosaukums</w:t>
            </w:r>
          </w:p>
        </w:tc>
        <w:tc>
          <w:tcPr>
            <w:tcW w:w="3913" w:type="pct"/>
            <w:gridSpan w:val="7"/>
            <w:tcBorders>
              <w:top w:val="outset" w:sz="6" w:space="0" w:color="auto"/>
              <w:left w:val="outset" w:sz="6" w:space="0" w:color="auto"/>
              <w:bottom w:val="outset" w:sz="6" w:space="0" w:color="auto"/>
              <w:right w:val="outset" w:sz="6" w:space="0" w:color="auto"/>
            </w:tcBorders>
            <w:hideMark/>
          </w:tcPr>
          <w:p w:rsidR="00131530" w:rsidRPr="00DE7F9E" w:rsidRDefault="00414D71">
            <w:r w:rsidRPr="00DE7F9E">
              <w:t>Komisijas 2012.</w:t>
            </w:r>
            <w:r w:rsidR="00614F0A" w:rsidRPr="00DE7F9E">
              <w:t xml:space="preserve"> gada 5.oktobra </w:t>
            </w:r>
            <w:r w:rsidR="007161FD" w:rsidRPr="00DE7F9E">
              <w:t>Regula</w:t>
            </w:r>
            <w:r w:rsidR="00614F0A" w:rsidRPr="00DE7F9E">
              <w:t xml:space="preserve"> (ES) Nr.</w:t>
            </w:r>
            <w:r w:rsidRPr="00DE7F9E">
              <w:t xml:space="preserve">965/2012, ar ko nosaka tehniskās prasības un administratīvās procedūras saistībā ar gaisa kuģu ekspluatāciju atbilstīgi Eiropas Parlamenta un Padomes </w:t>
            </w:r>
            <w:r w:rsidR="007161FD" w:rsidRPr="00DE7F9E">
              <w:t>Regula</w:t>
            </w:r>
            <w:r w:rsidRPr="00DE7F9E">
              <w:t>i (EK) Nr.216/2008 (publicēta “Eiropas Savienības Oficiālajā Vēstnesī” L 296, 25.10.2012)</w:t>
            </w:r>
            <w:r w:rsidR="007D3B52" w:rsidRPr="00DE7F9E">
              <w:t>.</w:t>
            </w:r>
          </w:p>
          <w:p w:rsidR="006951F3" w:rsidRPr="00DE7F9E" w:rsidRDefault="006951F3" w:rsidP="00614F0A"/>
        </w:tc>
      </w:tr>
      <w:tr w:rsidR="00131530"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vAlign w:val="center"/>
            <w:hideMark/>
          </w:tcPr>
          <w:p w:rsidR="00131530" w:rsidRPr="00DE7F9E" w:rsidRDefault="00131530">
            <w:pPr>
              <w:pStyle w:val="tvhtml"/>
              <w:jc w:val="center"/>
            </w:pPr>
            <w:r w:rsidRPr="00DE7F9E">
              <w:t>A</w:t>
            </w:r>
          </w:p>
        </w:tc>
        <w:tc>
          <w:tcPr>
            <w:tcW w:w="1062" w:type="pct"/>
            <w:gridSpan w:val="4"/>
            <w:tcBorders>
              <w:top w:val="outset" w:sz="6" w:space="0" w:color="auto"/>
              <w:left w:val="outset" w:sz="6" w:space="0" w:color="auto"/>
              <w:bottom w:val="outset" w:sz="6" w:space="0" w:color="auto"/>
              <w:right w:val="outset" w:sz="6" w:space="0" w:color="auto"/>
            </w:tcBorders>
            <w:vAlign w:val="center"/>
            <w:hideMark/>
          </w:tcPr>
          <w:p w:rsidR="00131530" w:rsidRPr="00DE7F9E" w:rsidRDefault="00131530">
            <w:pPr>
              <w:pStyle w:val="tvhtml"/>
              <w:jc w:val="center"/>
            </w:pPr>
            <w:r w:rsidRPr="00DE7F9E">
              <w:t>B</w:t>
            </w:r>
          </w:p>
        </w:tc>
        <w:tc>
          <w:tcPr>
            <w:tcW w:w="1143" w:type="pct"/>
            <w:tcBorders>
              <w:top w:val="outset" w:sz="6" w:space="0" w:color="auto"/>
              <w:left w:val="outset" w:sz="6" w:space="0" w:color="auto"/>
              <w:bottom w:val="outset" w:sz="6" w:space="0" w:color="auto"/>
              <w:right w:val="outset" w:sz="6" w:space="0" w:color="auto"/>
            </w:tcBorders>
            <w:vAlign w:val="center"/>
            <w:hideMark/>
          </w:tcPr>
          <w:p w:rsidR="00131530" w:rsidRPr="00DE7F9E" w:rsidRDefault="00131530">
            <w:pPr>
              <w:pStyle w:val="tvhtml"/>
              <w:jc w:val="center"/>
            </w:pPr>
            <w:r w:rsidRPr="00DE7F9E">
              <w:t>C</w:t>
            </w:r>
          </w:p>
        </w:tc>
        <w:tc>
          <w:tcPr>
            <w:tcW w:w="1676" w:type="pct"/>
            <w:gridSpan w:val="2"/>
            <w:tcBorders>
              <w:top w:val="outset" w:sz="6" w:space="0" w:color="auto"/>
              <w:left w:val="outset" w:sz="6" w:space="0" w:color="auto"/>
              <w:bottom w:val="outset" w:sz="6" w:space="0" w:color="auto"/>
              <w:right w:val="outset" w:sz="6" w:space="0" w:color="auto"/>
            </w:tcBorders>
            <w:vAlign w:val="center"/>
            <w:hideMark/>
          </w:tcPr>
          <w:p w:rsidR="00131530" w:rsidRPr="00DE7F9E" w:rsidRDefault="00131530">
            <w:pPr>
              <w:pStyle w:val="tvhtml"/>
              <w:jc w:val="center"/>
            </w:pPr>
            <w:r w:rsidRPr="00DE7F9E">
              <w:t>D</w:t>
            </w:r>
          </w:p>
        </w:tc>
      </w:tr>
      <w:tr w:rsidR="00131530"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Attiecīgā ES tiesību akta panta numurs (uzskaitot katru tiesību akta vienību – pantu, daļu, punktu, apakšpunktu)</w:t>
            </w:r>
          </w:p>
        </w:tc>
        <w:tc>
          <w:tcPr>
            <w:tcW w:w="1062" w:type="pct"/>
            <w:gridSpan w:val="4"/>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Projekta vienība, kas pārņem vai ievieš katru šīs tabulas A ailē minēto ES tiesību akta vienību, vai tiesību akts, kur attiecīgā ES tiesību akta vienība pārņemta vai ieviesta</w:t>
            </w:r>
          </w:p>
        </w:tc>
        <w:tc>
          <w:tcPr>
            <w:tcW w:w="1143"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 xml:space="preserve">Informācija par to, vai šīs tabulas A ailē minētās ES tiesību akta vienības tiek pārņemtas vai ieviestas pilnībā vai daļēji. </w:t>
            </w:r>
          </w:p>
          <w:p w:rsidR="00131530" w:rsidRPr="00DE7F9E" w:rsidRDefault="00131530">
            <w:pPr>
              <w:pStyle w:val="tvhtml"/>
            </w:pPr>
            <w:r w:rsidRPr="00DE7F9E">
              <w:t>Ja attiecīgā ES tiesību akta vienība tiek pārņemta vai ieviesta daļēji, sniedz attiecīgu skaidrojumu, kā arī precīzi norāda, kad un kādā veidā ES tiesību akta vienība tiks pārņemta vai ieviesta pilnībā.</w:t>
            </w:r>
          </w:p>
          <w:p w:rsidR="00131530" w:rsidRPr="00DE7F9E" w:rsidRDefault="00131530">
            <w:pPr>
              <w:pStyle w:val="tvhtml"/>
            </w:pPr>
            <w:r w:rsidRPr="00DE7F9E">
              <w:t>Norāda institūciju, kas ir atbildīga par šo saistību izpildi pilnībā</w:t>
            </w:r>
          </w:p>
        </w:tc>
        <w:tc>
          <w:tcPr>
            <w:tcW w:w="1676" w:type="pct"/>
            <w:gridSpan w:val="2"/>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 xml:space="preserve">Informācija par to, vai šīs tabulas B ailē minētās projekta vienības paredz stingrākas prasības nekā šīs tabulas A ailē minētās ES tiesību akta vienības. </w:t>
            </w:r>
          </w:p>
          <w:p w:rsidR="00131530" w:rsidRPr="00DE7F9E" w:rsidRDefault="00131530">
            <w:pPr>
              <w:pStyle w:val="tvhtml"/>
            </w:pPr>
            <w:r w:rsidRPr="00DE7F9E">
              <w:t>Ja projekts satur stingrākas prasības nekā attiecīgais ES tiesību akts, norāda pamatojumu un samērīgumu.</w:t>
            </w:r>
          </w:p>
          <w:p w:rsidR="00131530" w:rsidRPr="00DE7F9E" w:rsidRDefault="00131530">
            <w:pPr>
              <w:pStyle w:val="tvhtml"/>
            </w:pPr>
            <w:r w:rsidRPr="00DE7F9E">
              <w:t>Norāda iespējamās alternatīvas (</w:t>
            </w:r>
            <w:proofErr w:type="spellStart"/>
            <w:r w:rsidRPr="00DE7F9E">
              <w:t>t.sk</w:t>
            </w:r>
            <w:proofErr w:type="spellEnd"/>
            <w:r w:rsidRPr="00DE7F9E">
              <w:t>. alternatīvas, kas neparedz tiesiskā regulējuma izstrādi) – kādos gadījumos būtu iespējams izvairīties no stingrāku prasību noteikšanas, nekā paredzēts attiecīgajos ES tiesību aktos</w:t>
            </w:r>
          </w:p>
        </w:tc>
      </w:tr>
      <w:tr w:rsidR="00C20981"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hideMark/>
          </w:tcPr>
          <w:p w:rsidR="00C20981" w:rsidRPr="00DE7F9E" w:rsidRDefault="007161FD" w:rsidP="00C20981">
            <w:r w:rsidRPr="00DE7F9E">
              <w:t>Regula</w:t>
            </w:r>
            <w:r w:rsidR="00C20981" w:rsidRPr="00DE7F9E">
              <w:t xml:space="preserve">s nr.965/2012 </w:t>
            </w:r>
          </w:p>
          <w:p w:rsidR="00C20981" w:rsidRPr="00DE7F9E" w:rsidRDefault="00C20981" w:rsidP="00C20981">
            <w:r w:rsidRPr="00DE7F9E">
              <w:t>III pielikuma ORO.GEN.105 punkts</w:t>
            </w:r>
          </w:p>
        </w:tc>
        <w:tc>
          <w:tcPr>
            <w:tcW w:w="1062" w:type="pct"/>
            <w:gridSpan w:val="4"/>
            <w:tcBorders>
              <w:top w:val="outset" w:sz="6" w:space="0" w:color="auto"/>
              <w:left w:val="outset" w:sz="6" w:space="0" w:color="auto"/>
              <w:bottom w:val="outset" w:sz="6" w:space="0" w:color="auto"/>
              <w:right w:val="outset" w:sz="6" w:space="0" w:color="auto"/>
            </w:tcBorders>
            <w:hideMark/>
          </w:tcPr>
          <w:p w:rsidR="00C20981" w:rsidRPr="00DE7F9E" w:rsidRDefault="00C20981" w:rsidP="00C20981">
            <w:r w:rsidRPr="00DE7F9E">
              <w:t>3.punkts</w:t>
            </w:r>
          </w:p>
        </w:tc>
        <w:tc>
          <w:tcPr>
            <w:tcW w:w="1143" w:type="pct"/>
            <w:tcBorders>
              <w:top w:val="outset" w:sz="6" w:space="0" w:color="auto"/>
              <w:left w:val="outset" w:sz="6" w:space="0" w:color="auto"/>
              <w:bottom w:val="outset" w:sz="6" w:space="0" w:color="auto"/>
              <w:right w:val="outset" w:sz="6" w:space="0" w:color="auto"/>
            </w:tcBorders>
            <w:hideMark/>
          </w:tcPr>
          <w:p w:rsidR="00C20981" w:rsidRPr="00DE7F9E" w:rsidRDefault="00C20981" w:rsidP="0058797D">
            <w:r w:rsidRPr="00DE7F9E">
              <w:t>Ieviests pilnībā</w:t>
            </w:r>
          </w:p>
        </w:tc>
        <w:tc>
          <w:tcPr>
            <w:tcW w:w="1676" w:type="pct"/>
            <w:gridSpan w:val="2"/>
            <w:tcBorders>
              <w:top w:val="outset" w:sz="6" w:space="0" w:color="auto"/>
              <w:left w:val="outset" w:sz="6" w:space="0" w:color="auto"/>
              <w:bottom w:val="outset" w:sz="6" w:space="0" w:color="auto"/>
              <w:right w:val="outset" w:sz="6" w:space="0" w:color="auto"/>
            </w:tcBorders>
            <w:hideMark/>
          </w:tcPr>
          <w:p w:rsidR="00C20981" w:rsidRPr="00DE7F9E" w:rsidRDefault="00C20981" w:rsidP="0058797D">
            <w:r w:rsidRPr="00DE7F9E">
              <w:t>Projekts stingrākas prasības neparedz</w:t>
            </w:r>
          </w:p>
        </w:tc>
      </w:tr>
      <w:tr w:rsidR="00C20981"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hideMark/>
          </w:tcPr>
          <w:p w:rsidR="00C20981" w:rsidRPr="00DE7F9E" w:rsidRDefault="007161FD" w:rsidP="00C20981">
            <w:r w:rsidRPr="00DE7F9E">
              <w:t>Regula</w:t>
            </w:r>
            <w:r w:rsidR="00C20981" w:rsidRPr="00DE7F9E">
              <w:t>s nr.965/2012</w:t>
            </w:r>
          </w:p>
          <w:p w:rsidR="00C20981" w:rsidRPr="00DE7F9E" w:rsidRDefault="00C20981" w:rsidP="00C20981">
            <w:r w:rsidRPr="00DE7F9E">
              <w:t>III pielikuma ORO.AOC.100 punkts</w:t>
            </w:r>
          </w:p>
        </w:tc>
        <w:tc>
          <w:tcPr>
            <w:tcW w:w="1062" w:type="pct"/>
            <w:gridSpan w:val="4"/>
            <w:tcBorders>
              <w:top w:val="outset" w:sz="6" w:space="0" w:color="auto"/>
              <w:left w:val="outset" w:sz="6" w:space="0" w:color="auto"/>
              <w:bottom w:val="outset" w:sz="6" w:space="0" w:color="auto"/>
              <w:right w:val="outset" w:sz="6" w:space="0" w:color="auto"/>
            </w:tcBorders>
            <w:hideMark/>
          </w:tcPr>
          <w:p w:rsidR="00C20981" w:rsidRPr="00DE7F9E" w:rsidRDefault="00C20981" w:rsidP="00C20981">
            <w:r w:rsidRPr="00DE7F9E">
              <w:t>5.punkts</w:t>
            </w:r>
          </w:p>
        </w:tc>
        <w:tc>
          <w:tcPr>
            <w:tcW w:w="1143" w:type="pct"/>
            <w:tcBorders>
              <w:top w:val="outset" w:sz="6" w:space="0" w:color="auto"/>
              <w:left w:val="outset" w:sz="6" w:space="0" w:color="auto"/>
              <w:bottom w:val="outset" w:sz="6" w:space="0" w:color="auto"/>
              <w:right w:val="outset" w:sz="6" w:space="0" w:color="auto"/>
            </w:tcBorders>
            <w:hideMark/>
          </w:tcPr>
          <w:p w:rsidR="00C20981" w:rsidRPr="00DE7F9E" w:rsidRDefault="00C20981" w:rsidP="0058797D">
            <w:r w:rsidRPr="00DE7F9E">
              <w:t>Ieviests pilnībā</w:t>
            </w:r>
          </w:p>
        </w:tc>
        <w:tc>
          <w:tcPr>
            <w:tcW w:w="1676" w:type="pct"/>
            <w:gridSpan w:val="2"/>
            <w:tcBorders>
              <w:top w:val="outset" w:sz="6" w:space="0" w:color="auto"/>
              <w:left w:val="outset" w:sz="6" w:space="0" w:color="auto"/>
              <w:bottom w:val="outset" w:sz="6" w:space="0" w:color="auto"/>
              <w:right w:val="outset" w:sz="6" w:space="0" w:color="auto"/>
            </w:tcBorders>
            <w:hideMark/>
          </w:tcPr>
          <w:p w:rsidR="00C20981" w:rsidRPr="00DE7F9E" w:rsidRDefault="00C20981" w:rsidP="0058797D">
            <w:r w:rsidRPr="00DE7F9E">
              <w:t>Projekts stingrākas prasības neparedz</w:t>
            </w:r>
          </w:p>
        </w:tc>
      </w:tr>
      <w:tr w:rsidR="003C7E50"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tcPr>
          <w:p w:rsidR="003C7E50" w:rsidRPr="00DE7F9E" w:rsidRDefault="003C7E50" w:rsidP="003C7E50">
            <w:r w:rsidRPr="00DE7F9E">
              <w:t>Regulas nr.965/2012</w:t>
            </w:r>
          </w:p>
          <w:p w:rsidR="003C7E50" w:rsidRPr="00DE7F9E" w:rsidRDefault="003C7E50" w:rsidP="003C7E50">
            <w:r w:rsidRPr="00DE7F9E">
              <w:lastRenderedPageBreak/>
              <w:t>III pielikuma ORO.AOC.135</w:t>
            </w:r>
            <w:r w:rsidR="002C3151" w:rsidRPr="00DE7F9E">
              <w:t xml:space="preserve"> punkta a) apakšpunkts</w:t>
            </w:r>
          </w:p>
        </w:tc>
        <w:tc>
          <w:tcPr>
            <w:tcW w:w="1062" w:type="pct"/>
            <w:gridSpan w:val="4"/>
            <w:tcBorders>
              <w:top w:val="outset" w:sz="6" w:space="0" w:color="auto"/>
              <w:left w:val="outset" w:sz="6" w:space="0" w:color="auto"/>
              <w:bottom w:val="outset" w:sz="6" w:space="0" w:color="auto"/>
              <w:right w:val="outset" w:sz="6" w:space="0" w:color="auto"/>
            </w:tcBorders>
          </w:tcPr>
          <w:p w:rsidR="003C7E50" w:rsidRPr="00DE7F9E" w:rsidRDefault="003C7E50" w:rsidP="004D60D2">
            <w:r w:rsidRPr="00DE7F9E">
              <w:lastRenderedPageBreak/>
              <w:t xml:space="preserve">5.3.apakšpunkts, pielikuma 1.sadaļas </w:t>
            </w:r>
            <w:r w:rsidRPr="00DE7F9E">
              <w:lastRenderedPageBreak/>
              <w:t>4.punkts</w:t>
            </w:r>
          </w:p>
        </w:tc>
        <w:tc>
          <w:tcPr>
            <w:tcW w:w="1143" w:type="pct"/>
            <w:tcBorders>
              <w:top w:val="outset" w:sz="6" w:space="0" w:color="auto"/>
              <w:left w:val="outset" w:sz="6" w:space="0" w:color="auto"/>
              <w:bottom w:val="outset" w:sz="6" w:space="0" w:color="auto"/>
              <w:right w:val="outset" w:sz="6" w:space="0" w:color="auto"/>
            </w:tcBorders>
          </w:tcPr>
          <w:p w:rsidR="003C7E50" w:rsidRPr="00DE7F9E" w:rsidRDefault="003C7E50" w:rsidP="0058797D">
            <w:r w:rsidRPr="00DE7F9E">
              <w:lastRenderedPageBreak/>
              <w:t>Ieviests pilnībā</w:t>
            </w:r>
          </w:p>
        </w:tc>
        <w:tc>
          <w:tcPr>
            <w:tcW w:w="1676" w:type="pct"/>
            <w:gridSpan w:val="2"/>
            <w:tcBorders>
              <w:top w:val="outset" w:sz="6" w:space="0" w:color="auto"/>
              <w:left w:val="outset" w:sz="6" w:space="0" w:color="auto"/>
              <w:bottom w:val="outset" w:sz="6" w:space="0" w:color="auto"/>
              <w:right w:val="outset" w:sz="6" w:space="0" w:color="auto"/>
            </w:tcBorders>
          </w:tcPr>
          <w:p w:rsidR="003C7E50" w:rsidRPr="00DE7F9E" w:rsidRDefault="003C7E50" w:rsidP="0058797D">
            <w:r w:rsidRPr="00DE7F9E">
              <w:t>Projekts stingrākas prasības neparedz</w:t>
            </w:r>
          </w:p>
        </w:tc>
      </w:tr>
      <w:tr w:rsidR="00C20981"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hideMark/>
          </w:tcPr>
          <w:p w:rsidR="00C20981" w:rsidRPr="00DE7F9E" w:rsidRDefault="007161FD" w:rsidP="00C20981">
            <w:r w:rsidRPr="00DE7F9E">
              <w:lastRenderedPageBreak/>
              <w:t>Regula</w:t>
            </w:r>
            <w:r w:rsidR="00C20981" w:rsidRPr="00DE7F9E">
              <w:t>s nr.965/2012</w:t>
            </w:r>
          </w:p>
          <w:p w:rsidR="00C20981" w:rsidRPr="00DE7F9E" w:rsidRDefault="00C20981" w:rsidP="00C20981">
            <w:r w:rsidRPr="00DE7F9E">
              <w:t>II pielikuma ARO.GEN.300 punkts</w:t>
            </w:r>
          </w:p>
        </w:tc>
        <w:tc>
          <w:tcPr>
            <w:tcW w:w="1062" w:type="pct"/>
            <w:gridSpan w:val="4"/>
            <w:tcBorders>
              <w:top w:val="outset" w:sz="6" w:space="0" w:color="auto"/>
              <w:left w:val="outset" w:sz="6" w:space="0" w:color="auto"/>
              <w:bottom w:val="outset" w:sz="6" w:space="0" w:color="auto"/>
              <w:right w:val="outset" w:sz="6" w:space="0" w:color="auto"/>
            </w:tcBorders>
            <w:hideMark/>
          </w:tcPr>
          <w:p w:rsidR="00C20981" w:rsidRPr="00DE7F9E" w:rsidRDefault="007D3B52" w:rsidP="004D60D2">
            <w:r w:rsidRPr="00DE7F9E">
              <w:t>7</w:t>
            </w:r>
            <w:r w:rsidR="002B06F4" w:rsidRPr="00DE7F9E">
              <w:t>.</w:t>
            </w:r>
            <w:r w:rsidR="00A3067E" w:rsidRPr="00DE7F9E">
              <w:t>, 8.</w:t>
            </w:r>
            <w:r w:rsidR="00C20981" w:rsidRPr="00DE7F9E">
              <w:t>punkts</w:t>
            </w:r>
          </w:p>
        </w:tc>
        <w:tc>
          <w:tcPr>
            <w:tcW w:w="1143" w:type="pct"/>
            <w:tcBorders>
              <w:top w:val="outset" w:sz="6" w:space="0" w:color="auto"/>
              <w:left w:val="outset" w:sz="6" w:space="0" w:color="auto"/>
              <w:bottom w:val="outset" w:sz="6" w:space="0" w:color="auto"/>
              <w:right w:val="outset" w:sz="6" w:space="0" w:color="auto"/>
            </w:tcBorders>
            <w:hideMark/>
          </w:tcPr>
          <w:p w:rsidR="00C20981" w:rsidRPr="00DE7F9E" w:rsidRDefault="00C20981" w:rsidP="0058797D">
            <w:r w:rsidRPr="00DE7F9E">
              <w:t>Ieviests pilnībā</w:t>
            </w:r>
          </w:p>
        </w:tc>
        <w:tc>
          <w:tcPr>
            <w:tcW w:w="1676" w:type="pct"/>
            <w:gridSpan w:val="2"/>
            <w:tcBorders>
              <w:top w:val="outset" w:sz="6" w:space="0" w:color="auto"/>
              <w:left w:val="outset" w:sz="6" w:space="0" w:color="auto"/>
              <w:bottom w:val="outset" w:sz="6" w:space="0" w:color="auto"/>
              <w:right w:val="outset" w:sz="6" w:space="0" w:color="auto"/>
            </w:tcBorders>
            <w:hideMark/>
          </w:tcPr>
          <w:p w:rsidR="00C20981" w:rsidRPr="00DE7F9E" w:rsidRDefault="00C20981" w:rsidP="0058797D">
            <w:r w:rsidRPr="00DE7F9E">
              <w:t>Projekts stingrākas prasības neparedz.</w:t>
            </w:r>
          </w:p>
        </w:tc>
      </w:tr>
      <w:tr w:rsidR="00C20981"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hideMark/>
          </w:tcPr>
          <w:p w:rsidR="00C20981" w:rsidRPr="00DE7F9E" w:rsidRDefault="007161FD" w:rsidP="00C20981">
            <w:r w:rsidRPr="00DE7F9E">
              <w:t>Regula</w:t>
            </w:r>
            <w:r w:rsidR="00C20981" w:rsidRPr="00DE7F9E">
              <w:t>s nr.965/2012</w:t>
            </w:r>
          </w:p>
          <w:p w:rsidR="00C20981" w:rsidRPr="00DE7F9E" w:rsidRDefault="00C20981" w:rsidP="00C20981">
            <w:r w:rsidRPr="00DE7F9E">
              <w:t>II pielikuma ARO.GEN.310 punkts</w:t>
            </w:r>
          </w:p>
        </w:tc>
        <w:tc>
          <w:tcPr>
            <w:tcW w:w="1062" w:type="pct"/>
            <w:gridSpan w:val="4"/>
            <w:tcBorders>
              <w:top w:val="outset" w:sz="6" w:space="0" w:color="auto"/>
              <w:left w:val="outset" w:sz="6" w:space="0" w:color="auto"/>
              <w:bottom w:val="outset" w:sz="6" w:space="0" w:color="auto"/>
              <w:right w:val="outset" w:sz="6" w:space="0" w:color="auto"/>
            </w:tcBorders>
            <w:hideMark/>
          </w:tcPr>
          <w:p w:rsidR="00C20981" w:rsidRPr="00DE7F9E" w:rsidRDefault="00A3067E" w:rsidP="00A3067E">
            <w:r w:rsidRPr="00DE7F9E">
              <w:t>9</w:t>
            </w:r>
            <w:r w:rsidR="00C20981" w:rsidRPr="00DE7F9E">
              <w:t>.punkts</w:t>
            </w:r>
          </w:p>
        </w:tc>
        <w:tc>
          <w:tcPr>
            <w:tcW w:w="1143" w:type="pct"/>
            <w:tcBorders>
              <w:top w:val="outset" w:sz="6" w:space="0" w:color="auto"/>
              <w:left w:val="outset" w:sz="6" w:space="0" w:color="auto"/>
              <w:bottom w:val="outset" w:sz="6" w:space="0" w:color="auto"/>
              <w:right w:val="outset" w:sz="6" w:space="0" w:color="auto"/>
            </w:tcBorders>
            <w:hideMark/>
          </w:tcPr>
          <w:p w:rsidR="00C20981" w:rsidRPr="00DE7F9E" w:rsidRDefault="00C20981" w:rsidP="0058797D">
            <w:r w:rsidRPr="00DE7F9E">
              <w:t>Ieviests pilnībā</w:t>
            </w:r>
          </w:p>
        </w:tc>
        <w:tc>
          <w:tcPr>
            <w:tcW w:w="1676" w:type="pct"/>
            <w:gridSpan w:val="2"/>
            <w:tcBorders>
              <w:top w:val="outset" w:sz="6" w:space="0" w:color="auto"/>
              <w:left w:val="outset" w:sz="6" w:space="0" w:color="auto"/>
              <w:bottom w:val="outset" w:sz="6" w:space="0" w:color="auto"/>
              <w:right w:val="outset" w:sz="6" w:space="0" w:color="auto"/>
            </w:tcBorders>
            <w:hideMark/>
          </w:tcPr>
          <w:p w:rsidR="00C20981" w:rsidRPr="00DE7F9E" w:rsidRDefault="00C20981" w:rsidP="0058797D">
            <w:r w:rsidRPr="00DE7F9E">
              <w:t>Projekts stingrākas prasības neparedz</w:t>
            </w:r>
          </w:p>
        </w:tc>
      </w:tr>
      <w:tr w:rsidR="00C20981"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hideMark/>
          </w:tcPr>
          <w:p w:rsidR="00C20981" w:rsidRPr="00DE7F9E" w:rsidRDefault="007161FD" w:rsidP="00C20981">
            <w:r w:rsidRPr="00DE7F9E">
              <w:t>Regula</w:t>
            </w:r>
            <w:r w:rsidR="00C20981" w:rsidRPr="00DE7F9E">
              <w:t>s nr.965/2012</w:t>
            </w:r>
          </w:p>
          <w:p w:rsidR="00C20981" w:rsidRPr="00DE7F9E" w:rsidRDefault="00C20981" w:rsidP="00C20981">
            <w:r w:rsidRPr="00DE7F9E">
              <w:t>II pielikuma</w:t>
            </w:r>
          </w:p>
          <w:p w:rsidR="00C20981" w:rsidRPr="00DE7F9E" w:rsidRDefault="00C20981" w:rsidP="00C20981">
            <w:r w:rsidRPr="00DE7F9E">
              <w:t>ARO.GEN.330 punkts</w:t>
            </w:r>
          </w:p>
        </w:tc>
        <w:tc>
          <w:tcPr>
            <w:tcW w:w="1062" w:type="pct"/>
            <w:gridSpan w:val="4"/>
            <w:tcBorders>
              <w:top w:val="outset" w:sz="6" w:space="0" w:color="auto"/>
              <w:left w:val="outset" w:sz="6" w:space="0" w:color="auto"/>
              <w:bottom w:val="outset" w:sz="6" w:space="0" w:color="auto"/>
              <w:right w:val="outset" w:sz="6" w:space="0" w:color="auto"/>
            </w:tcBorders>
            <w:hideMark/>
          </w:tcPr>
          <w:p w:rsidR="00C20981" w:rsidRPr="00DE7F9E" w:rsidRDefault="00C20981" w:rsidP="00A3067E">
            <w:r w:rsidRPr="00DE7F9E">
              <w:t>1</w:t>
            </w:r>
            <w:r w:rsidR="00A3067E" w:rsidRPr="00DE7F9E">
              <w:t>1</w:t>
            </w:r>
            <w:r w:rsidRPr="00DE7F9E">
              <w:t>.punkts</w:t>
            </w:r>
          </w:p>
        </w:tc>
        <w:tc>
          <w:tcPr>
            <w:tcW w:w="1143" w:type="pct"/>
            <w:tcBorders>
              <w:top w:val="outset" w:sz="6" w:space="0" w:color="auto"/>
              <w:left w:val="outset" w:sz="6" w:space="0" w:color="auto"/>
              <w:bottom w:val="outset" w:sz="6" w:space="0" w:color="auto"/>
              <w:right w:val="outset" w:sz="6" w:space="0" w:color="auto"/>
            </w:tcBorders>
            <w:hideMark/>
          </w:tcPr>
          <w:p w:rsidR="00C20981" w:rsidRPr="00DE7F9E" w:rsidRDefault="00C20981" w:rsidP="0058797D">
            <w:r w:rsidRPr="00DE7F9E">
              <w:t>Ieviests pilnībā</w:t>
            </w:r>
          </w:p>
        </w:tc>
        <w:tc>
          <w:tcPr>
            <w:tcW w:w="1676" w:type="pct"/>
            <w:gridSpan w:val="2"/>
            <w:tcBorders>
              <w:top w:val="outset" w:sz="6" w:space="0" w:color="auto"/>
              <w:left w:val="outset" w:sz="6" w:space="0" w:color="auto"/>
              <w:bottom w:val="outset" w:sz="6" w:space="0" w:color="auto"/>
              <w:right w:val="outset" w:sz="6" w:space="0" w:color="auto"/>
            </w:tcBorders>
            <w:hideMark/>
          </w:tcPr>
          <w:p w:rsidR="00C20981" w:rsidRPr="00DE7F9E" w:rsidRDefault="00C20981" w:rsidP="0058797D">
            <w:r w:rsidRPr="00DE7F9E">
              <w:t>Projekts stingrākas prasības neparedz</w:t>
            </w:r>
          </w:p>
        </w:tc>
      </w:tr>
      <w:tr w:rsidR="00522E4F"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tcPr>
          <w:p w:rsidR="00522E4F" w:rsidRPr="00DE7F9E" w:rsidRDefault="007161FD" w:rsidP="00F90D90">
            <w:r w:rsidRPr="00DE7F9E">
              <w:t>Regula</w:t>
            </w:r>
            <w:r w:rsidR="00522E4F" w:rsidRPr="00DE7F9E">
              <w:t>s nr.965/2012 II pielikuma</w:t>
            </w:r>
          </w:p>
          <w:p w:rsidR="00522E4F" w:rsidRPr="00DE7F9E" w:rsidRDefault="00522E4F" w:rsidP="00C20981">
            <w:r w:rsidRPr="00DE7F9E">
              <w:t>ARO.GEN.350 punkta d) apakšpunkts</w:t>
            </w:r>
          </w:p>
        </w:tc>
        <w:tc>
          <w:tcPr>
            <w:tcW w:w="1062" w:type="pct"/>
            <w:gridSpan w:val="4"/>
            <w:tcBorders>
              <w:top w:val="outset" w:sz="6" w:space="0" w:color="auto"/>
              <w:left w:val="outset" w:sz="6" w:space="0" w:color="auto"/>
              <w:bottom w:val="outset" w:sz="6" w:space="0" w:color="auto"/>
              <w:right w:val="outset" w:sz="6" w:space="0" w:color="auto"/>
            </w:tcBorders>
          </w:tcPr>
          <w:p w:rsidR="00522E4F" w:rsidRPr="00DE7F9E" w:rsidRDefault="00522E4F" w:rsidP="00A3067E">
            <w:r w:rsidRPr="00DE7F9E">
              <w:t>12.</w:t>
            </w:r>
            <w:r w:rsidR="007B0745" w:rsidRPr="00DE7F9E">
              <w:t>, 13.</w:t>
            </w:r>
            <w:r w:rsidRPr="00DE7F9E">
              <w:t>punkts</w:t>
            </w:r>
          </w:p>
        </w:tc>
        <w:tc>
          <w:tcPr>
            <w:tcW w:w="1143" w:type="pct"/>
            <w:tcBorders>
              <w:top w:val="outset" w:sz="6" w:space="0" w:color="auto"/>
              <w:left w:val="outset" w:sz="6" w:space="0" w:color="auto"/>
              <w:bottom w:val="outset" w:sz="6" w:space="0" w:color="auto"/>
              <w:right w:val="outset" w:sz="6" w:space="0" w:color="auto"/>
            </w:tcBorders>
          </w:tcPr>
          <w:p w:rsidR="00522E4F" w:rsidRPr="00DE7F9E" w:rsidRDefault="00522E4F" w:rsidP="0058797D">
            <w:r w:rsidRPr="00DE7F9E">
              <w:t>Ieviests pilnībā</w:t>
            </w:r>
          </w:p>
        </w:tc>
        <w:tc>
          <w:tcPr>
            <w:tcW w:w="1676" w:type="pct"/>
            <w:gridSpan w:val="2"/>
            <w:tcBorders>
              <w:top w:val="outset" w:sz="6" w:space="0" w:color="auto"/>
              <w:left w:val="outset" w:sz="6" w:space="0" w:color="auto"/>
              <w:bottom w:val="outset" w:sz="6" w:space="0" w:color="auto"/>
              <w:right w:val="outset" w:sz="6" w:space="0" w:color="auto"/>
            </w:tcBorders>
          </w:tcPr>
          <w:p w:rsidR="00522E4F" w:rsidRPr="00DE7F9E" w:rsidRDefault="00522E4F" w:rsidP="0058797D">
            <w:r w:rsidRPr="00DE7F9E">
              <w:t>Projekts stingrākas prasības neparedz</w:t>
            </w:r>
          </w:p>
        </w:tc>
      </w:tr>
      <w:tr w:rsidR="00C20981"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hideMark/>
          </w:tcPr>
          <w:p w:rsidR="00C20981" w:rsidRPr="00DE7F9E" w:rsidRDefault="007161FD" w:rsidP="00C20981">
            <w:r w:rsidRPr="00DE7F9E">
              <w:t>Regula</w:t>
            </w:r>
            <w:r w:rsidR="00C20981" w:rsidRPr="00DE7F9E">
              <w:t>s nr.965/2012 10.pants</w:t>
            </w:r>
          </w:p>
        </w:tc>
        <w:tc>
          <w:tcPr>
            <w:tcW w:w="1062" w:type="pct"/>
            <w:gridSpan w:val="4"/>
            <w:tcBorders>
              <w:top w:val="outset" w:sz="6" w:space="0" w:color="auto"/>
              <w:left w:val="outset" w:sz="6" w:space="0" w:color="auto"/>
              <w:bottom w:val="outset" w:sz="6" w:space="0" w:color="auto"/>
              <w:right w:val="outset" w:sz="6" w:space="0" w:color="auto"/>
            </w:tcBorders>
            <w:hideMark/>
          </w:tcPr>
          <w:p w:rsidR="00C20981" w:rsidRPr="00DE7F9E" w:rsidRDefault="00C20981" w:rsidP="003112EA">
            <w:r w:rsidRPr="00DE7F9E">
              <w:t>1</w:t>
            </w:r>
            <w:r w:rsidR="003112EA" w:rsidRPr="00DE7F9E">
              <w:t>5</w:t>
            </w:r>
            <w:r w:rsidRPr="00DE7F9E">
              <w:t>.punkts</w:t>
            </w:r>
          </w:p>
        </w:tc>
        <w:tc>
          <w:tcPr>
            <w:tcW w:w="1143" w:type="pct"/>
            <w:tcBorders>
              <w:top w:val="outset" w:sz="6" w:space="0" w:color="auto"/>
              <w:left w:val="outset" w:sz="6" w:space="0" w:color="auto"/>
              <w:bottom w:val="outset" w:sz="6" w:space="0" w:color="auto"/>
              <w:right w:val="outset" w:sz="6" w:space="0" w:color="auto"/>
            </w:tcBorders>
            <w:hideMark/>
          </w:tcPr>
          <w:p w:rsidR="00C20981" w:rsidRPr="00DE7F9E" w:rsidRDefault="00C20981" w:rsidP="0058797D">
            <w:r w:rsidRPr="00DE7F9E">
              <w:t>Ieviests pilnībā</w:t>
            </w:r>
          </w:p>
        </w:tc>
        <w:tc>
          <w:tcPr>
            <w:tcW w:w="1676" w:type="pct"/>
            <w:gridSpan w:val="2"/>
            <w:tcBorders>
              <w:top w:val="outset" w:sz="6" w:space="0" w:color="auto"/>
              <w:left w:val="outset" w:sz="6" w:space="0" w:color="auto"/>
              <w:bottom w:val="outset" w:sz="6" w:space="0" w:color="auto"/>
              <w:right w:val="outset" w:sz="6" w:space="0" w:color="auto"/>
            </w:tcBorders>
            <w:hideMark/>
          </w:tcPr>
          <w:p w:rsidR="00C20981" w:rsidRPr="00DE7F9E" w:rsidRDefault="00C20981" w:rsidP="0058797D">
            <w:r w:rsidRPr="00DE7F9E">
              <w:t>Projekts stingrākas prasības neparedz</w:t>
            </w:r>
          </w:p>
        </w:tc>
      </w:tr>
      <w:tr w:rsidR="00F03606"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tcPr>
          <w:p w:rsidR="00F03606" w:rsidRPr="00DE7F9E" w:rsidRDefault="00F03606" w:rsidP="00F03606">
            <w:r w:rsidRPr="00DE7F9E">
              <w:t>Regulas nr.965/2012</w:t>
            </w:r>
          </w:p>
          <w:p w:rsidR="00F03606" w:rsidRPr="00DE7F9E" w:rsidRDefault="00F03606" w:rsidP="003F75C1">
            <w:r w:rsidRPr="00DE7F9E">
              <w:t xml:space="preserve">III pielikuma </w:t>
            </w:r>
            <w:r w:rsidR="003F75C1" w:rsidRPr="00DE7F9E">
              <w:t>ORO.MLR.100 punkts</w:t>
            </w:r>
          </w:p>
        </w:tc>
        <w:tc>
          <w:tcPr>
            <w:tcW w:w="1062" w:type="pct"/>
            <w:gridSpan w:val="4"/>
            <w:tcBorders>
              <w:top w:val="outset" w:sz="6" w:space="0" w:color="auto"/>
              <w:left w:val="outset" w:sz="6" w:space="0" w:color="auto"/>
              <w:bottom w:val="outset" w:sz="6" w:space="0" w:color="auto"/>
              <w:right w:val="outset" w:sz="6" w:space="0" w:color="auto"/>
            </w:tcBorders>
          </w:tcPr>
          <w:p w:rsidR="00F03606" w:rsidRPr="00DE7F9E" w:rsidRDefault="003F75C1" w:rsidP="003112EA">
            <w:r w:rsidRPr="00DE7F9E">
              <w:t>pielikuma 1.sadaļas 19</w:t>
            </w:r>
            <w:r w:rsidR="00F03606" w:rsidRPr="00DE7F9E">
              <w:t>.punkts</w:t>
            </w:r>
          </w:p>
        </w:tc>
        <w:tc>
          <w:tcPr>
            <w:tcW w:w="1143" w:type="pct"/>
            <w:tcBorders>
              <w:top w:val="outset" w:sz="6" w:space="0" w:color="auto"/>
              <w:left w:val="outset" w:sz="6" w:space="0" w:color="auto"/>
              <w:bottom w:val="outset" w:sz="6" w:space="0" w:color="auto"/>
              <w:right w:val="outset" w:sz="6" w:space="0" w:color="auto"/>
            </w:tcBorders>
          </w:tcPr>
          <w:p w:rsidR="00F03606" w:rsidRPr="00DE7F9E" w:rsidRDefault="00F03606" w:rsidP="0058797D">
            <w:r w:rsidRPr="00DE7F9E">
              <w:t>Ieviests pilnībā</w:t>
            </w:r>
          </w:p>
        </w:tc>
        <w:tc>
          <w:tcPr>
            <w:tcW w:w="1676" w:type="pct"/>
            <w:gridSpan w:val="2"/>
            <w:tcBorders>
              <w:top w:val="outset" w:sz="6" w:space="0" w:color="auto"/>
              <w:left w:val="outset" w:sz="6" w:space="0" w:color="auto"/>
              <w:bottom w:val="outset" w:sz="6" w:space="0" w:color="auto"/>
              <w:right w:val="outset" w:sz="6" w:space="0" w:color="auto"/>
            </w:tcBorders>
          </w:tcPr>
          <w:p w:rsidR="00F03606" w:rsidRPr="00DE7F9E" w:rsidRDefault="00F03606" w:rsidP="0058797D">
            <w:r w:rsidRPr="00DE7F9E">
              <w:t>Projekts stingrākas prasības neparedz</w:t>
            </w:r>
          </w:p>
        </w:tc>
      </w:tr>
      <w:tr w:rsidR="00131530"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Kā ir izmantota ES tiesību aktā paredzētā rīcības brīvība dalībvalstij pārņemt vai ieviest noteiktas ES tiesību akta normas?</w:t>
            </w:r>
            <w:r w:rsidRPr="00DE7F9E">
              <w:br/>
              <w:t>Kādēļ?</w:t>
            </w:r>
          </w:p>
        </w:tc>
        <w:tc>
          <w:tcPr>
            <w:tcW w:w="3913" w:type="pct"/>
            <w:gridSpan w:val="7"/>
            <w:tcBorders>
              <w:top w:val="outset" w:sz="6" w:space="0" w:color="auto"/>
              <w:left w:val="outset" w:sz="6" w:space="0" w:color="auto"/>
              <w:bottom w:val="outset" w:sz="6" w:space="0" w:color="auto"/>
              <w:right w:val="outset" w:sz="6" w:space="0" w:color="auto"/>
            </w:tcBorders>
            <w:hideMark/>
          </w:tcPr>
          <w:p w:rsidR="00131530" w:rsidRPr="00DE7F9E" w:rsidRDefault="00C20981">
            <w:r w:rsidRPr="00DE7F9E">
              <w:t>Projekts šo jomu neskar</w:t>
            </w:r>
          </w:p>
        </w:tc>
      </w:tr>
      <w:tr w:rsidR="00131530"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 xml:space="preserve">Saistības sniegt paziņojumu ES institūcijām un </w:t>
            </w:r>
            <w:r w:rsidRPr="00DE7F9E">
              <w:lastRenderedPageBreak/>
              <w:t>ES dalībvalstīm atbilstoši normatīvajiem aktiem, kas regulē informācijas sniegšanu par tehnisko noteikumu, valsts atbalsta piešķiršanas un finanšu noteikumu (attiecībā uz monetāro politiku) projektiem</w:t>
            </w:r>
          </w:p>
        </w:tc>
        <w:tc>
          <w:tcPr>
            <w:tcW w:w="3913" w:type="pct"/>
            <w:gridSpan w:val="7"/>
            <w:tcBorders>
              <w:top w:val="outset" w:sz="6" w:space="0" w:color="auto"/>
              <w:left w:val="outset" w:sz="6" w:space="0" w:color="auto"/>
              <w:bottom w:val="outset" w:sz="6" w:space="0" w:color="auto"/>
              <w:right w:val="outset" w:sz="6" w:space="0" w:color="auto"/>
            </w:tcBorders>
            <w:hideMark/>
          </w:tcPr>
          <w:p w:rsidR="00131530" w:rsidRPr="00DE7F9E" w:rsidRDefault="00C20981">
            <w:r w:rsidRPr="00DE7F9E">
              <w:lastRenderedPageBreak/>
              <w:t>Projekts šo jomu neskar</w:t>
            </w:r>
          </w:p>
        </w:tc>
      </w:tr>
      <w:tr w:rsidR="00131530" w:rsidRPr="00DE7F9E" w:rsidTr="00E3670B">
        <w:tblPrEx>
          <w:jc w:val="center"/>
        </w:tblPrEx>
        <w:trPr>
          <w:gridAfter w:val="1"/>
          <w:wAfter w:w="40" w:type="pct"/>
          <w:tblCellSpacing w:w="15" w:type="dxa"/>
          <w:jc w:val="center"/>
        </w:trPr>
        <w:tc>
          <w:tcPr>
            <w:tcW w:w="982" w:type="pct"/>
            <w:gridSpan w:val="2"/>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lastRenderedPageBreak/>
              <w:t>Cita informācija</w:t>
            </w:r>
          </w:p>
        </w:tc>
        <w:tc>
          <w:tcPr>
            <w:tcW w:w="3913" w:type="pct"/>
            <w:gridSpan w:val="7"/>
            <w:tcBorders>
              <w:top w:val="outset" w:sz="6" w:space="0" w:color="auto"/>
              <w:left w:val="outset" w:sz="6" w:space="0" w:color="auto"/>
              <w:bottom w:val="outset" w:sz="6" w:space="0" w:color="auto"/>
              <w:right w:val="outset" w:sz="6" w:space="0" w:color="auto"/>
            </w:tcBorders>
            <w:hideMark/>
          </w:tcPr>
          <w:p w:rsidR="00131530" w:rsidRPr="00DE7F9E" w:rsidRDefault="00C20981">
            <w:pPr>
              <w:pStyle w:val="tvhtml"/>
            </w:pPr>
            <w:r w:rsidRPr="00DE7F9E">
              <w:t>Nav</w:t>
            </w:r>
          </w:p>
        </w:tc>
      </w:tr>
      <w:tr w:rsidR="004D745F" w:rsidRPr="00DE7F9E" w:rsidTr="004D745F">
        <w:tblPrEx>
          <w:jc w:val="center"/>
        </w:tblPrEx>
        <w:trPr>
          <w:tblCellSpacing w:w="15" w:type="dxa"/>
          <w:jc w:val="center"/>
        </w:trPr>
        <w:tc>
          <w:tcPr>
            <w:tcW w:w="4967" w:type="pct"/>
            <w:gridSpan w:val="10"/>
            <w:tcBorders>
              <w:top w:val="outset" w:sz="6" w:space="0" w:color="auto"/>
              <w:left w:val="outset" w:sz="6" w:space="0" w:color="auto"/>
              <w:bottom w:val="outset" w:sz="6" w:space="0" w:color="auto"/>
              <w:right w:val="outset" w:sz="6" w:space="0" w:color="auto"/>
            </w:tcBorders>
          </w:tcPr>
          <w:p w:rsidR="004D745F" w:rsidRPr="00DE7F9E" w:rsidRDefault="004D745F" w:rsidP="0082039B">
            <w:pPr>
              <w:ind w:left="57"/>
              <w:jc w:val="center"/>
              <w:rPr>
                <w:b/>
              </w:rPr>
            </w:pPr>
            <w:r w:rsidRPr="00DE7F9E">
              <w:rPr>
                <w:b/>
              </w:rPr>
              <w:t>2.tabula</w:t>
            </w:r>
          </w:p>
          <w:p w:rsidR="004D745F" w:rsidRPr="00DE7F9E" w:rsidRDefault="004D745F" w:rsidP="0082039B">
            <w:pPr>
              <w:ind w:left="57"/>
              <w:jc w:val="center"/>
              <w:rPr>
                <w:b/>
              </w:rPr>
            </w:pPr>
            <w:r w:rsidRPr="00DE7F9E">
              <w:rPr>
                <w:b/>
              </w:rPr>
              <w:t>Ar tiesību akta projektu izpildītās vai uzņemtās saistības, kas izriet no starptautiskajiem tiesību aktiem vai starptautiskas institūcijas vai organizācijas dokumentiem.</w:t>
            </w:r>
          </w:p>
          <w:p w:rsidR="004D745F" w:rsidRPr="00DE7F9E" w:rsidRDefault="004D745F" w:rsidP="0082039B">
            <w:pPr>
              <w:pStyle w:val="tvhtml"/>
              <w:spacing w:before="0" w:beforeAutospacing="0" w:after="0" w:afterAutospacing="0"/>
              <w:jc w:val="center"/>
            </w:pPr>
            <w:r w:rsidRPr="00DE7F9E">
              <w:rPr>
                <w:b/>
              </w:rPr>
              <w:t>Pasākumi šo saistību izpildei</w:t>
            </w:r>
          </w:p>
        </w:tc>
      </w:tr>
      <w:tr w:rsidR="004D745F" w:rsidRPr="00DE7F9E" w:rsidTr="00E3670B">
        <w:tblPrEx>
          <w:jc w:val="center"/>
        </w:tblPrEx>
        <w:trPr>
          <w:tblCellSpacing w:w="15" w:type="dxa"/>
          <w:jc w:val="center"/>
        </w:trPr>
        <w:tc>
          <w:tcPr>
            <w:tcW w:w="1776" w:type="pct"/>
            <w:gridSpan w:val="4"/>
            <w:tcBorders>
              <w:top w:val="outset" w:sz="6" w:space="0" w:color="auto"/>
              <w:left w:val="outset" w:sz="6" w:space="0" w:color="auto"/>
              <w:bottom w:val="outset" w:sz="6" w:space="0" w:color="auto"/>
              <w:right w:val="outset" w:sz="6" w:space="0" w:color="auto"/>
            </w:tcBorders>
          </w:tcPr>
          <w:p w:rsidR="004D745F" w:rsidRPr="00DE7F9E" w:rsidRDefault="004D745F" w:rsidP="0082039B">
            <w:r w:rsidRPr="00DE7F9E">
              <w:t>Attiecīgā starptautiskā tiesību akta vai starptautiskas institūcijas vai organizācijas dokumenta (turpmāk – starptautiskais dokuments) datums, numurs un nosaukums</w:t>
            </w:r>
          </w:p>
        </w:tc>
        <w:tc>
          <w:tcPr>
            <w:tcW w:w="3175" w:type="pct"/>
            <w:gridSpan w:val="6"/>
            <w:tcBorders>
              <w:top w:val="outset" w:sz="6" w:space="0" w:color="auto"/>
              <w:left w:val="outset" w:sz="6" w:space="0" w:color="auto"/>
              <w:bottom w:val="outset" w:sz="6" w:space="0" w:color="auto"/>
              <w:right w:val="outset" w:sz="6" w:space="0" w:color="auto"/>
            </w:tcBorders>
          </w:tcPr>
          <w:p w:rsidR="004D745F" w:rsidRPr="00DE7F9E" w:rsidRDefault="004D745F" w:rsidP="0082039B">
            <w:pPr>
              <w:pStyle w:val="tvhtml"/>
              <w:jc w:val="both"/>
            </w:pPr>
            <w:r w:rsidRPr="00DE7F9E">
              <w:t>Eiropas aviācijas drošības aģentūras izstrādātie dokumenti  Regulas Nr.965/2012 prasību piemērošanai „Attiecīgie līdzekļi atbilstības panākšanai un vadlīnijas. ARO daļa”, Attiecīgie līdzekļi atbilstības panākšanai un vadlīnijas. ORO daļa”, „Attiecīgie līdzekļi atbilstības panākšanai un vadlīnijas. CAT daļa” un „Attiecīgie līdzekļi atbilstības panākšanai un vadlīnijas. SPA daļa”.</w:t>
            </w:r>
          </w:p>
        </w:tc>
      </w:tr>
      <w:tr w:rsidR="004D745F" w:rsidRPr="00DE7F9E" w:rsidTr="00E3670B">
        <w:tblPrEx>
          <w:jc w:val="center"/>
        </w:tblPrEx>
        <w:trPr>
          <w:tblCellSpacing w:w="15" w:type="dxa"/>
          <w:jc w:val="center"/>
        </w:trPr>
        <w:tc>
          <w:tcPr>
            <w:tcW w:w="1776" w:type="pct"/>
            <w:gridSpan w:val="4"/>
            <w:tcBorders>
              <w:top w:val="outset" w:sz="6" w:space="0" w:color="auto"/>
              <w:left w:val="outset" w:sz="6" w:space="0" w:color="auto"/>
              <w:bottom w:val="outset" w:sz="6" w:space="0" w:color="auto"/>
              <w:right w:val="outset" w:sz="6" w:space="0" w:color="auto"/>
            </w:tcBorders>
          </w:tcPr>
          <w:p w:rsidR="004D745F" w:rsidRPr="00DE7F9E" w:rsidRDefault="004D745F" w:rsidP="0082039B">
            <w:pPr>
              <w:pStyle w:val="tvhtml"/>
              <w:jc w:val="center"/>
            </w:pPr>
            <w:r w:rsidRPr="00DE7F9E">
              <w:t>A</w:t>
            </w:r>
          </w:p>
        </w:tc>
        <w:tc>
          <w:tcPr>
            <w:tcW w:w="1523" w:type="pct"/>
            <w:gridSpan w:val="4"/>
            <w:tcBorders>
              <w:top w:val="outset" w:sz="6" w:space="0" w:color="auto"/>
              <w:left w:val="outset" w:sz="6" w:space="0" w:color="auto"/>
              <w:bottom w:val="outset" w:sz="6" w:space="0" w:color="auto"/>
              <w:right w:val="outset" w:sz="6" w:space="0" w:color="auto"/>
            </w:tcBorders>
          </w:tcPr>
          <w:p w:rsidR="004D745F" w:rsidRPr="00DE7F9E" w:rsidRDefault="004D745F" w:rsidP="0082039B">
            <w:pPr>
              <w:pStyle w:val="tvhtml"/>
              <w:jc w:val="center"/>
            </w:pPr>
            <w:r w:rsidRPr="00DE7F9E">
              <w:t>B</w:t>
            </w:r>
          </w:p>
        </w:tc>
        <w:tc>
          <w:tcPr>
            <w:tcW w:w="1636" w:type="pct"/>
            <w:gridSpan w:val="2"/>
            <w:tcBorders>
              <w:top w:val="outset" w:sz="6" w:space="0" w:color="auto"/>
              <w:left w:val="outset" w:sz="6" w:space="0" w:color="auto"/>
              <w:bottom w:val="outset" w:sz="6" w:space="0" w:color="auto"/>
              <w:right w:val="outset" w:sz="6" w:space="0" w:color="auto"/>
            </w:tcBorders>
          </w:tcPr>
          <w:p w:rsidR="004D745F" w:rsidRPr="00DE7F9E" w:rsidRDefault="004D745F" w:rsidP="0082039B">
            <w:pPr>
              <w:pStyle w:val="tvhtml"/>
              <w:jc w:val="center"/>
            </w:pPr>
            <w:r w:rsidRPr="00DE7F9E">
              <w:t>C</w:t>
            </w:r>
          </w:p>
        </w:tc>
      </w:tr>
      <w:tr w:rsidR="004D745F" w:rsidRPr="00DE7F9E" w:rsidTr="00E3670B">
        <w:tblPrEx>
          <w:jc w:val="center"/>
        </w:tblPrEx>
        <w:trPr>
          <w:tblCellSpacing w:w="15" w:type="dxa"/>
          <w:jc w:val="center"/>
        </w:trPr>
        <w:tc>
          <w:tcPr>
            <w:tcW w:w="1776" w:type="pct"/>
            <w:gridSpan w:val="4"/>
            <w:tcBorders>
              <w:top w:val="outset" w:sz="6" w:space="0" w:color="auto"/>
              <w:left w:val="outset" w:sz="6" w:space="0" w:color="auto"/>
              <w:bottom w:val="outset" w:sz="6" w:space="0" w:color="auto"/>
              <w:right w:val="outset" w:sz="6" w:space="0" w:color="auto"/>
            </w:tcBorders>
          </w:tcPr>
          <w:p w:rsidR="004D745F" w:rsidRPr="00DE7F9E" w:rsidRDefault="004D745F" w:rsidP="0082039B">
            <w:pPr>
              <w:spacing w:after="120"/>
              <w:ind w:left="57"/>
            </w:pPr>
            <w:r w:rsidRPr="00DE7F9E">
              <w:t>Starptautiskās saistības (pēc būtības), kas izriet no norādītā starptautiskā dokumenta.</w:t>
            </w:r>
          </w:p>
          <w:p w:rsidR="004D745F" w:rsidRPr="00DE7F9E" w:rsidRDefault="004D745F" w:rsidP="0082039B">
            <w:pPr>
              <w:ind w:left="57"/>
            </w:pPr>
            <w:r w:rsidRPr="00DE7F9E">
              <w:t>Konkrēti veicamie pasākumi vai uzdevumi, kas nepieciešami šo starptautisko saistību izpildei</w:t>
            </w:r>
          </w:p>
        </w:tc>
        <w:tc>
          <w:tcPr>
            <w:tcW w:w="1523" w:type="pct"/>
            <w:gridSpan w:val="4"/>
            <w:tcBorders>
              <w:top w:val="outset" w:sz="6" w:space="0" w:color="auto"/>
              <w:left w:val="outset" w:sz="6" w:space="0" w:color="auto"/>
              <w:bottom w:val="outset" w:sz="6" w:space="0" w:color="auto"/>
              <w:right w:val="outset" w:sz="6" w:space="0" w:color="auto"/>
            </w:tcBorders>
          </w:tcPr>
          <w:p w:rsidR="004D745F" w:rsidRPr="00DE7F9E" w:rsidRDefault="004D745F" w:rsidP="0082039B">
            <w:pPr>
              <w:ind w:left="57"/>
            </w:pPr>
            <w:r w:rsidRPr="00DE7F9E">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636" w:type="pct"/>
            <w:gridSpan w:val="2"/>
            <w:tcBorders>
              <w:top w:val="outset" w:sz="6" w:space="0" w:color="auto"/>
              <w:left w:val="outset" w:sz="6" w:space="0" w:color="auto"/>
              <w:bottom w:val="outset" w:sz="6" w:space="0" w:color="auto"/>
              <w:right w:val="outset" w:sz="6" w:space="0" w:color="auto"/>
            </w:tcBorders>
          </w:tcPr>
          <w:p w:rsidR="004D745F" w:rsidRPr="00DE7F9E" w:rsidRDefault="004D745F" w:rsidP="0082039B">
            <w:pPr>
              <w:spacing w:after="120"/>
              <w:ind w:left="57"/>
            </w:pPr>
            <w:r w:rsidRPr="00DE7F9E">
              <w:t>Informācija par to, vai starptautiskās saistības, kas minētas šīs tabulas A ailē, tiek izpildītas pilnībā vai daļēji.</w:t>
            </w:r>
          </w:p>
          <w:p w:rsidR="004D745F" w:rsidRPr="00DE7F9E" w:rsidRDefault="004D745F" w:rsidP="0082039B">
            <w:pPr>
              <w:spacing w:after="120"/>
              <w:ind w:left="57"/>
            </w:pPr>
            <w:r w:rsidRPr="00DE7F9E">
              <w:t>Ja attiecīgās starptautiskās saistības tiek izpildītas daļēji, sniedz attiecīgu skaidrojumu, kā arī precīzi norāda, kad un kādā veidā starptautiskās saistības tiks izpildītas pilnībā.</w:t>
            </w:r>
          </w:p>
          <w:p w:rsidR="004D745F" w:rsidRPr="00DE7F9E" w:rsidRDefault="004D745F" w:rsidP="0082039B">
            <w:pPr>
              <w:ind w:left="57" w:right="57"/>
            </w:pPr>
            <w:r w:rsidRPr="00DE7F9E">
              <w:t>Norāda institūciju, kas ir atbildīga par šo saistību izpildi pilnībā</w:t>
            </w:r>
          </w:p>
        </w:tc>
      </w:tr>
      <w:tr w:rsidR="004D745F" w:rsidRPr="00DE7F9E" w:rsidTr="00E3670B">
        <w:tblPrEx>
          <w:jc w:val="center"/>
        </w:tblPrEx>
        <w:trPr>
          <w:tblCellSpacing w:w="15" w:type="dxa"/>
          <w:jc w:val="center"/>
        </w:trPr>
        <w:tc>
          <w:tcPr>
            <w:tcW w:w="1776" w:type="pct"/>
            <w:gridSpan w:val="4"/>
            <w:tcBorders>
              <w:top w:val="outset" w:sz="6" w:space="0" w:color="auto"/>
              <w:left w:val="outset" w:sz="6" w:space="0" w:color="auto"/>
              <w:bottom w:val="outset" w:sz="6" w:space="0" w:color="auto"/>
              <w:right w:val="outset" w:sz="6" w:space="0" w:color="auto"/>
            </w:tcBorders>
          </w:tcPr>
          <w:p w:rsidR="004D745F" w:rsidRPr="00DE7F9E" w:rsidRDefault="00487B5E" w:rsidP="00487B5E">
            <w:pPr>
              <w:pStyle w:val="tvhtml"/>
              <w:jc w:val="both"/>
            </w:pPr>
            <w:r w:rsidRPr="00DE7F9E">
              <w:lastRenderedPageBreak/>
              <w:t>Regulas Nr.965/2012 ARO daļas vadlīnijas, Regulas Nr.965/2012 ORO daļas vadlīnijas, Regulas Nr.965/2012 CAT daļas vadlīnijas un Regulas Nr.965/2012 SPA daļas vadlīnijas</w:t>
            </w:r>
          </w:p>
        </w:tc>
        <w:tc>
          <w:tcPr>
            <w:tcW w:w="1523" w:type="pct"/>
            <w:gridSpan w:val="4"/>
            <w:tcBorders>
              <w:top w:val="outset" w:sz="6" w:space="0" w:color="auto"/>
              <w:left w:val="outset" w:sz="6" w:space="0" w:color="auto"/>
              <w:bottom w:val="outset" w:sz="6" w:space="0" w:color="auto"/>
              <w:right w:val="outset" w:sz="6" w:space="0" w:color="auto"/>
            </w:tcBorders>
          </w:tcPr>
          <w:p w:rsidR="004D745F" w:rsidRPr="00DE7F9E" w:rsidRDefault="006F2997" w:rsidP="00512B76">
            <w:pPr>
              <w:pStyle w:val="tvhtml"/>
            </w:pPr>
            <w:r w:rsidRPr="00DE7F9E">
              <w:t>7</w:t>
            </w:r>
            <w:r w:rsidR="004D745F" w:rsidRPr="00DE7F9E">
              <w:t>.</w:t>
            </w:r>
            <w:r w:rsidRPr="00DE7F9E">
              <w:t xml:space="preserve">, 8., 9., </w:t>
            </w:r>
            <w:r w:rsidR="00512B76" w:rsidRPr="00DE7F9E">
              <w:t xml:space="preserve">11. un </w:t>
            </w:r>
            <w:r w:rsidRPr="00DE7F9E">
              <w:t>12.</w:t>
            </w:r>
            <w:r w:rsidR="004D745F" w:rsidRPr="00DE7F9E">
              <w:t xml:space="preserve">punkts </w:t>
            </w:r>
          </w:p>
        </w:tc>
        <w:tc>
          <w:tcPr>
            <w:tcW w:w="1636" w:type="pct"/>
            <w:gridSpan w:val="2"/>
            <w:tcBorders>
              <w:top w:val="outset" w:sz="6" w:space="0" w:color="auto"/>
              <w:left w:val="outset" w:sz="6" w:space="0" w:color="auto"/>
              <w:bottom w:val="outset" w:sz="6" w:space="0" w:color="auto"/>
              <w:right w:val="outset" w:sz="6" w:space="0" w:color="auto"/>
            </w:tcBorders>
          </w:tcPr>
          <w:p w:rsidR="00FD74F0" w:rsidRPr="00DE7F9E" w:rsidRDefault="00487B5E" w:rsidP="006B699A">
            <w:pPr>
              <w:pStyle w:val="tvhtml"/>
              <w:jc w:val="both"/>
            </w:pPr>
            <w:r w:rsidRPr="00DE7F9E">
              <w:t xml:space="preserve">Regulas Nr.965/2012 ARO daļas vadlīnijas, Regulas Nr.965/2012 ORO daļas vadlīnijas, Regulas Nr.965/2012 CAT daļas vadlīnijas un Regulas Nr.965/2012 SPA daļas vadlīnijas </w:t>
            </w:r>
            <w:r w:rsidR="004D745F" w:rsidRPr="00DE7F9E">
              <w:t>nosaka</w:t>
            </w:r>
            <w:r w:rsidRPr="00DE7F9E">
              <w:t xml:space="preserve"> </w:t>
            </w:r>
            <w:r w:rsidR="00F7648A" w:rsidRPr="00DE7F9E">
              <w:t>prasības, kam jāatbilst, komersantam, lai saņemtu ekspluatanta apliecību un</w:t>
            </w:r>
            <w:r w:rsidR="004D745F" w:rsidRPr="00DE7F9E">
              <w:t xml:space="preserve"> kā </w:t>
            </w:r>
            <w:r w:rsidR="00FD74F0" w:rsidRPr="00DE7F9E">
              <w:t>uzraugošā iestāde vērtē komersanta atbilstību Regulas Nr.965/2012 prasībām</w:t>
            </w:r>
            <w:r w:rsidR="004D745F" w:rsidRPr="00DE7F9E">
              <w:t xml:space="preserve">. </w:t>
            </w:r>
            <w:r w:rsidR="006B699A" w:rsidRPr="00DE7F9E">
              <w:t xml:space="preserve">Minētie dokumenti skaidro kā izpildāmas īstenošanas regulas prasības. </w:t>
            </w:r>
            <w:r w:rsidR="004D745F" w:rsidRPr="00DE7F9E">
              <w:t xml:space="preserve">Līdz ar to Civilās aviācijas aģentūra iesniegtos dokumentus izvērtē atbilstoši </w:t>
            </w:r>
            <w:r w:rsidR="00FD74F0" w:rsidRPr="00DE7F9E">
              <w:t xml:space="preserve">Regulas Nr.965/2012 un </w:t>
            </w:r>
            <w:r w:rsidR="004D745F" w:rsidRPr="00DE7F9E">
              <w:t>minēt</w:t>
            </w:r>
            <w:r w:rsidR="00FD74F0" w:rsidRPr="00DE7F9E">
              <w:t>o</w:t>
            </w:r>
            <w:r w:rsidR="004D745F" w:rsidRPr="00DE7F9E">
              <w:t xml:space="preserve"> starptautisk</w:t>
            </w:r>
            <w:r w:rsidR="00FD74F0" w:rsidRPr="00DE7F9E">
              <w:t>o</w:t>
            </w:r>
            <w:r w:rsidR="004D745F" w:rsidRPr="00DE7F9E">
              <w:t xml:space="preserve"> dokument</w:t>
            </w:r>
            <w:r w:rsidR="00FD74F0" w:rsidRPr="00DE7F9E">
              <w:t>u</w:t>
            </w:r>
            <w:r w:rsidR="004D745F" w:rsidRPr="00DE7F9E">
              <w:t xml:space="preserve"> prasībām. </w:t>
            </w:r>
          </w:p>
        </w:tc>
      </w:tr>
      <w:tr w:rsidR="004D745F" w:rsidRPr="00DE7F9E" w:rsidTr="00E3670B">
        <w:tblPrEx>
          <w:jc w:val="center"/>
        </w:tblPrEx>
        <w:trPr>
          <w:tblCellSpacing w:w="15" w:type="dxa"/>
          <w:jc w:val="center"/>
        </w:trPr>
        <w:tc>
          <w:tcPr>
            <w:tcW w:w="1776" w:type="pct"/>
            <w:gridSpan w:val="4"/>
            <w:tcBorders>
              <w:top w:val="outset" w:sz="6" w:space="0" w:color="auto"/>
              <w:left w:val="outset" w:sz="6" w:space="0" w:color="auto"/>
              <w:bottom w:val="outset" w:sz="6" w:space="0" w:color="auto"/>
              <w:right w:val="outset" w:sz="6" w:space="0" w:color="auto"/>
            </w:tcBorders>
          </w:tcPr>
          <w:p w:rsidR="004D745F" w:rsidRPr="00DE7F9E" w:rsidRDefault="004D745F" w:rsidP="0082039B">
            <w:pPr>
              <w:pStyle w:val="tvhtml"/>
            </w:pPr>
            <w:r w:rsidRPr="00DE7F9E">
              <w:t>Vai starptautiskajā dokumentā paredzētās saistības nav pretrunā ar jau esošajām Latvijas Republikas starptautiskajām saistībām</w:t>
            </w:r>
          </w:p>
        </w:tc>
        <w:tc>
          <w:tcPr>
            <w:tcW w:w="3175" w:type="pct"/>
            <w:gridSpan w:val="6"/>
            <w:tcBorders>
              <w:top w:val="outset" w:sz="6" w:space="0" w:color="auto"/>
              <w:left w:val="outset" w:sz="6" w:space="0" w:color="auto"/>
              <w:bottom w:val="outset" w:sz="6" w:space="0" w:color="auto"/>
              <w:right w:val="outset" w:sz="6" w:space="0" w:color="auto"/>
            </w:tcBorders>
          </w:tcPr>
          <w:p w:rsidR="004D745F" w:rsidRPr="00DE7F9E" w:rsidRDefault="004D745F" w:rsidP="0082039B">
            <w:pPr>
              <w:pStyle w:val="tvhtml"/>
            </w:pPr>
            <w:r w:rsidRPr="00DE7F9E">
              <w:t>Projekts šo jomu neskar.</w:t>
            </w:r>
          </w:p>
        </w:tc>
      </w:tr>
      <w:tr w:rsidR="004D745F" w:rsidRPr="00DE7F9E" w:rsidTr="00E3670B">
        <w:tblPrEx>
          <w:jc w:val="center"/>
        </w:tblPrEx>
        <w:trPr>
          <w:tblCellSpacing w:w="15" w:type="dxa"/>
          <w:jc w:val="center"/>
        </w:trPr>
        <w:tc>
          <w:tcPr>
            <w:tcW w:w="1776" w:type="pct"/>
            <w:gridSpan w:val="4"/>
            <w:tcBorders>
              <w:top w:val="outset" w:sz="6" w:space="0" w:color="auto"/>
              <w:left w:val="outset" w:sz="6" w:space="0" w:color="auto"/>
              <w:bottom w:val="outset" w:sz="6" w:space="0" w:color="auto"/>
              <w:right w:val="outset" w:sz="6" w:space="0" w:color="auto"/>
            </w:tcBorders>
          </w:tcPr>
          <w:p w:rsidR="004D745F" w:rsidRPr="00DE7F9E" w:rsidRDefault="004D745F" w:rsidP="0082039B">
            <w:pPr>
              <w:pStyle w:val="tvhtml"/>
            </w:pPr>
            <w:r w:rsidRPr="00DE7F9E">
              <w:t>Cita informācija</w:t>
            </w:r>
          </w:p>
        </w:tc>
        <w:tc>
          <w:tcPr>
            <w:tcW w:w="3175" w:type="pct"/>
            <w:gridSpan w:val="6"/>
            <w:tcBorders>
              <w:top w:val="outset" w:sz="6" w:space="0" w:color="auto"/>
              <w:left w:val="outset" w:sz="6" w:space="0" w:color="auto"/>
              <w:bottom w:val="outset" w:sz="6" w:space="0" w:color="auto"/>
              <w:right w:val="outset" w:sz="6" w:space="0" w:color="auto"/>
            </w:tcBorders>
          </w:tcPr>
          <w:p w:rsidR="004D745F" w:rsidRPr="00DE7F9E" w:rsidRDefault="00F7648A" w:rsidP="00DC5177">
            <w:pPr>
              <w:jc w:val="both"/>
            </w:pPr>
            <w:r w:rsidRPr="00DE7F9E">
              <w:t>Regulas Nr.965/2012 ARO daļas vadlīnij</w:t>
            </w:r>
            <w:r w:rsidR="00135AE9" w:rsidRPr="00DE7F9E">
              <w:t>u</w:t>
            </w:r>
            <w:r w:rsidRPr="00DE7F9E">
              <w:t>, Regulas Nr.965/2012 ORO daļas vadlīnij</w:t>
            </w:r>
            <w:r w:rsidR="00135AE9" w:rsidRPr="00DE7F9E">
              <w:t>u</w:t>
            </w:r>
            <w:r w:rsidRPr="00DE7F9E">
              <w:t>, Regulas Nr.965/2012 CAT daļas vadlīnij</w:t>
            </w:r>
            <w:r w:rsidR="00135AE9" w:rsidRPr="00DE7F9E">
              <w:t>u</w:t>
            </w:r>
            <w:r w:rsidRPr="00DE7F9E">
              <w:t xml:space="preserve"> un Regulas Nr.965/2012 SPA daļas vadlīnij</w:t>
            </w:r>
            <w:r w:rsidR="00135AE9" w:rsidRPr="00DE7F9E">
              <w:t>u</w:t>
            </w:r>
            <w:r w:rsidR="004D745F" w:rsidRPr="00DE7F9E">
              <w:t xml:space="preserve"> </w:t>
            </w:r>
            <w:r w:rsidR="00135AE9" w:rsidRPr="00DE7F9E">
              <w:t>tulkojums latviešu valodā ir</w:t>
            </w:r>
            <w:r w:rsidR="004D745F" w:rsidRPr="00DE7F9E">
              <w:t xml:space="preserve"> </w:t>
            </w:r>
            <w:r w:rsidR="00135AE9" w:rsidRPr="00DE7F9E">
              <w:t>pieejams</w:t>
            </w:r>
            <w:r w:rsidR="004D745F" w:rsidRPr="00DE7F9E">
              <w:t xml:space="preserve"> Civilās aviācijas aģentūras </w:t>
            </w:r>
            <w:proofErr w:type="spellStart"/>
            <w:r w:rsidR="004D745F" w:rsidRPr="00DE7F9E">
              <w:t>mājaslapā</w:t>
            </w:r>
            <w:proofErr w:type="spellEnd"/>
            <w:r w:rsidR="004D745F" w:rsidRPr="00DE7F9E">
              <w:t xml:space="preserve"> internetā (</w:t>
            </w:r>
            <w:hyperlink r:id="rId11" w:history="1">
              <w:r w:rsidR="004D745F" w:rsidRPr="00DE7F9E">
                <w:rPr>
                  <w:rStyle w:val="Hyperlink"/>
                  <w:u w:val="none"/>
                </w:rPr>
                <w:t>www.caa.lv</w:t>
              </w:r>
            </w:hyperlink>
            <w:r w:rsidR="004D745F" w:rsidRPr="00DE7F9E">
              <w:t>).</w:t>
            </w:r>
          </w:p>
        </w:tc>
      </w:tr>
    </w:tbl>
    <w:p w:rsidR="00B71DAC" w:rsidRPr="00DE7F9E" w:rsidRDefault="00B71DAC" w:rsidP="00F41725">
      <w:pPr>
        <w:pStyle w:val="tvhtml"/>
        <w:tabs>
          <w:tab w:val="left" w:pos="7215"/>
        </w:tabs>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5"/>
        <w:gridCol w:w="3073"/>
        <w:gridCol w:w="5453"/>
      </w:tblGrid>
      <w:tr w:rsidR="00B71DAC" w:rsidRPr="00DE7F9E" w:rsidTr="00F06D0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B71DAC" w:rsidRPr="00DE7F9E" w:rsidRDefault="00B71DAC" w:rsidP="00B71DAC">
            <w:pPr>
              <w:jc w:val="center"/>
              <w:rPr>
                <w:b/>
              </w:rPr>
            </w:pPr>
            <w:r w:rsidRPr="00DE7F9E">
              <w:rPr>
                <w:b/>
              </w:rPr>
              <w:t>VI. Sabiedrības līdzdalība un komunikācijas aktivitātes</w:t>
            </w:r>
          </w:p>
        </w:tc>
      </w:tr>
      <w:tr w:rsidR="00B71DAC" w:rsidRPr="00DE7F9E" w:rsidTr="00F06D0D">
        <w:trPr>
          <w:trHeight w:val="471"/>
          <w:tblCellSpacing w:w="15" w:type="dxa"/>
          <w:jc w:val="center"/>
        </w:trPr>
        <w:tc>
          <w:tcPr>
            <w:tcW w:w="352" w:type="pct"/>
            <w:tcBorders>
              <w:top w:val="outset" w:sz="6" w:space="0" w:color="auto"/>
              <w:left w:val="outset" w:sz="6" w:space="0" w:color="auto"/>
              <w:right w:val="outset" w:sz="6" w:space="0" w:color="auto"/>
            </w:tcBorders>
          </w:tcPr>
          <w:p w:rsidR="00B71DAC" w:rsidRPr="00DE7F9E" w:rsidRDefault="00B71DAC" w:rsidP="00B71DAC">
            <w:r w:rsidRPr="00DE7F9E">
              <w:t>1.</w:t>
            </w:r>
          </w:p>
        </w:tc>
        <w:tc>
          <w:tcPr>
            <w:tcW w:w="1650" w:type="pct"/>
            <w:tcBorders>
              <w:top w:val="outset" w:sz="6" w:space="0" w:color="auto"/>
              <w:left w:val="outset" w:sz="6" w:space="0" w:color="auto"/>
              <w:right w:val="outset" w:sz="6" w:space="0" w:color="auto"/>
            </w:tcBorders>
          </w:tcPr>
          <w:p w:rsidR="00B71DAC" w:rsidRPr="00DE7F9E" w:rsidRDefault="00B71DAC" w:rsidP="00B71DAC">
            <w:pPr>
              <w:rPr>
                <w:b/>
              </w:rPr>
            </w:pPr>
            <w:r w:rsidRPr="00DE7F9E">
              <w:t>Plānotās sabiedrības līdzdalības un komunikācijas aktivitātes saistībā ar projektu</w:t>
            </w:r>
          </w:p>
        </w:tc>
        <w:tc>
          <w:tcPr>
            <w:tcW w:w="2932" w:type="pct"/>
            <w:tcBorders>
              <w:top w:val="outset" w:sz="6" w:space="0" w:color="auto"/>
              <w:left w:val="outset" w:sz="6" w:space="0" w:color="auto"/>
              <w:right w:val="outset" w:sz="6" w:space="0" w:color="auto"/>
            </w:tcBorders>
          </w:tcPr>
          <w:p w:rsidR="00B71DAC" w:rsidRPr="00DE7F9E" w:rsidRDefault="00B71DAC" w:rsidP="00B71DAC">
            <w:pPr>
              <w:jc w:val="both"/>
            </w:pPr>
            <w:r w:rsidRPr="00DE7F9E">
              <w:t xml:space="preserve">Projekts pamatā ir izstrādāts tādēļ, ka šobrīd Latvijas Republikā nepastāv regulējums, kurš nosaka kārtību, kādā izsniedzama ekspluatanta apliecība atbilstoši Regulas Nr.965/2012 prasībām. Līdz ar to tieša sabiedrības informēšana par projekta izstrādi nav iepriekš veikta. </w:t>
            </w:r>
          </w:p>
          <w:p w:rsidR="00B71DAC" w:rsidRPr="00DE7F9E" w:rsidRDefault="00423D74" w:rsidP="00D34028">
            <w:pPr>
              <w:jc w:val="both"/>
            </w:pPr>
            <w:r w:rsidRPr="00DE7F9E">
              <w:t>Laika periodā no 2012. līdz 2014.gadam Civilās aviācijas aģentūra organizēja vairākas sanāksmes ar visiem četriem</w:t>
            </w:r>
            <w:r w:rsidR="008E5586" w:rsidRPr="00DE7F9E">
              <w:t xml:space="preserve"> gaisa kuģa ekspluatantiem, kuriem Civilās aviācijas aģentūra ir izsniegusi gaisa kuģa ekspluatanta apliecību: A/S „</w:t>
            </w:r>
            <w:proofErr w:type="spellStart"/>
            <w:r w:rsidR="008E5586" w:rsidRPr="00DE7F9E">
              <w:t>Air</w:t>
            </w:r>
            <w:proofErr w:type="spellEnd"/>
            <w:r w:rsidR="008E5586" w:rsidRPr="00DE7F9E">
              <w:t xml:space="preserve"> </w:t>
            </w:r>
            <w:proofErr w:type="spellStart"/>
            <w:r w:rsidR="008E5586" w:rsidRPr="00DE7F9E">
              <w:t>Baltic</w:t>
            </w:r>
            <w:proofErr w:type="spellEnd"/>
            <w:r w:rsidR="008E5586" w:rsidRPr="00DE7F9E">
              <w:t xml:space="preserve"> </w:t>
            </w:r>
            <w:proofErr w:type="spellStart"/>
            <w:r w:rsidR="008E5586" w:rsidRPr="00DE7F9E">
              <w:t>Corporation</w:t>
            </w:r>
            <w:proofErr w:type="spellEnd"/>
            <w:r w:rsidR="008E5586" w:rsidRPr="00DE7F9E">
              <w:t xml:space="preserve">”, </w:t>
            </w:r>
            <w:r w:rsidR="008E5586" w:rsidRPr="00DE7F9E">
              <w:lastRenderedPageBreak/>
              <w:t>A/S „RAF-AVIA”, SIA „</w:t>
            </w:r>
            <w:proofErr w:type="spellStart"/>
            <w:r w:rsidR="008E5586" w:rsidRPr="00DE7F9E">
              <w:t>SmartLynx</w:t>
            </w:r>
            <w:proofErr w:type="spellEnd"/>
            <w:r w:rsidR="008E5586" w:rsidRPr="00DE7F9E">
              <w:t xml:space="preserve"> </w:t>
            </w:r>
            <w:proofErr w:type="spellStart"/>
            <w:r w:rsidR="008E5586" w:rsidRPr="00DE7F9E">
              <w:t>Airlines</w:t>
            </w:r>
            <w:proofErr w:type="spellEnd"/>
            <w:r w:rsidR="008E5586" w:rsidRPr="00DE7F9E">
              <w:t>” un SIA „</w:t>
            </w:r>
            <w:proofErr w:type="spellStart"/>
            <w:r w:rsidR="008E5586" w:rsidRPr="00DE7F9E">
              <w:t>Baltic</w:t>
            </w:r>
            <w:proofErr w:type="spellEnd"/>
            <w:r w:rsidR="008E5586" w:rsidRPr="00DE7F9E">
              <w:t xml:space="preserve"> </w:t>
            </w:r>
            <w:proofErr w:type="spellStart"/>
            <w:r w:rsidR="008E5586" w:rsidRPr="00DE7F9E">
              <w:t>Jet</w:t>
            </w:r>
            <w:proofErr w:type="spellEnd"/>
            <w:r w:rsidR="008E5586" w:rsidRPr="00DE7F9E">
              <w:t xml:space="preserve"> </w:t>
            </w:r>
            <w:proofErr w:type="spellStart"/>
            <w:r w:rsidR="008E5586" w:rsidRPr="00DE7F9E">
              <w:t>Aircompany</w:t>
            </w:r>
            <w:proofErr w:type="spellEnd"/>
            <w:r w:rsidR="008E5586" w:rsidRPr="00DE7F9E">
              <w:t>”.</w:t>
            </w:r>
            <w:r w:rsidRPr="00DE7F9E">
              <w:t xml:space="preserve"> </w:t>
            </w:r>
            <w:r w:rsidR="00B71DAC" w:rsidRPr="00DE7F9E">
              <w:t xml:space="preserve">Šajās sanāksmēs </w:t>
            </w:r>
            <w:r w:rsidR="008E5586" w:rsidRPr="00DE7F9E">
              <w:t>tika izdiskutēts par Regulas Nr.965/2012 prasību piemērošanas jautājumiem.</w:t>
            </w:r>
          </w:p>
        </w:tc>
      </w:tr>
      <w:tr w:rsidR="00B71DAC" w:rsidRPr="00DE7F9E" w:rsidTr="00F06D0D">
        <w:trPr>
          <w:trHeight w:val="468"/>
          <w:tblCellSpacing w:w="15" w:type="dxa"/>
          <w:jc w:val="center"/>
        </w:trPr>
        <w:tc>
          <w:tcPr>
            <w:tcW w:w="352" w:type="pct"/>
            <w:tcBorders>
              <w:top w:val="outset" w:sz="6" w:space="0" w:color="auto"/>
              <w:left w:val="outset" w:sz="6" w:space="0" w:color="auto"/>
              <w:right w:val="outset" w:sz="6" w:space="0" w:color="auto"/>
            </w:tcBorders>
          </w:tcPr>
          <w:p w:rsidR="00B71DAC" w:rsidRPr="00DE7F9E" w:rsidRDefault="00B71DAC" w:rsidP="00B71DAC">
            <w:r w:rsidRPr="00DE7F9E">
              <w:lastRenderedPageBreak/>
              <w:t>2.</w:t>
            </w:r>
          </w:p>
        </w:tc>
        <w:tc>
          <w:tcPr>
            <w:tcW w:w="1650" w:type="pct"/>
            <w:tcBorders>
              <w:top w:val="outset" w:sz="6" w:space="0" w:color="auto"/>
              <w:left w:val="outset" w:sz="6" w:space="0" w:color="auto"/>
              <w:right w:val="outset" w:sz="6" w:space="0" w:color="auto"/>
            </w:tcBorders>
          </w:tcPr>
          <w:p w:rsidR="00B71DAC" w:rsidRPr="00DE7F9E" w:rsidRDefault="00B71DAC" w:rsidP="00B71DAC">
            <w:pPr>
              <w:rPr>
                <w:b/>
              </w:rPr>
            </w:pPr>
            <w:r w:rsidRPr="00DE7F9E">
              <w:t>Sabiedrības līdzdalība projekta izstrādē</w:t>
            </w:r>
          </w:p>
        </w:tc>
        <w:tc>
          <w:tcPr>
            <w:tcW w:w="2932" w:type="pct"/>
            <w:tcBorders>
              <w:top w:val="outset" w:sz="6" w:space="0" w:color="auto"/>
              <w:left w:val="outset" w:sz="6" w:space="0" w:color="auto"/>
              <w:right w:val="outset" w:sz="6" w:space="0" w:color="auto"/>
            </w:tcBorders>
          </w:tcPr>
          <w:p w:rsidR="00B71DAC" w:rsidRPr="00DE7F9E" w:rsidRDefault="00B71DAC" w:rsidP="00B71DAC">
            <w:pPr>
              <w:jc w:val="both"/>
            </w:pPr>
            <w:r w:rsidRPr="00DE7F9E">
              <w:t xml:space="preserve">Projekts </w:t>
            </w:r>
            <w:r w:rsidR="00D9027D" w:rsidRPr="00DE7F9E">
              <w:t xml:space="preserve">ir </w:t>
            </w:r>
            <w:r w:rsidRPr="00DE7F9E">
              <w:t>publicē</w:t>
            </w:r>
            <w:r w:rsidR="00D9027D" w:rsidRPr="00DE7F9E">
              <w:t>ts</w:t>
            </w:r>
            <w:r w:rsidRPr="00DE7F9E">
              <w:t xml:space="preserve"> Civilās aviācijas aģentūras </w:t>
            </w:r>
            <w:proofErr w:type="spellStart"/>
            <w:r w:rsidRPr="00DE7F9E">
              <w:t>mājaslapā</w:t>
            </w:r>
            <w:proofErr w:type="spellEnd"/>
            <w:r w:rsidRPr="00DE7F9E">
              <w:t xml:space="preserve"> internetā (</w:t>
            </w:r>
            <w:proofErr w:type="spellStart"/>
            <w:r w:rsidRPr="00DE7F9E">
              <w:t>www.caa.lv</w:t>
            </w:r>
            <w:proofErr w:type="spellEnd"/>
            <w:r w:rsidRPr="00DE7F9E">
              <w:t>).</w:t>
            </w:r>
          </w:p>
        </w:tc>
      </w:tr>
      <w:tr w:rsidR="00B71DAC" w:rsidRPr="00DE7F9E" w:rsidTr="00F06D0D">
        <w:trPr>
          <w:trHeight w:val="468"/>
          <w:tblCellSpacing w:w="15" w:type="dxa"/>
          <w:jc w:val="center"/>
        </w:trPr>
        <w:tc>
          <w:tcPr>
            <w:tcW w:w="352" w:type="pct"/>
            <w:tcBorders>
              <w:top w:val="outset" w:sz="6" w:space="0" w:color="auto"/>
              <w:left w:val="outset" w:sz="6" w:space="0" w:color="auto"/>
              <w:right w:val="outset" w:sz="6" w:space="0" w:color="auto"/>
            </w:tcBorders>
          </w:tcPr>
          <w:p w:rsidR="00B71DAC" w:rsidRPr="00DE7F9E" w:rsidRDefault="00B71DAC" w:rsidP="00B71DAC">
            <w:r w:rsidRPr="00DE7F9E">
              <w:t>3.</w:t>
            </w:r>
          </w:p>
        </w:tc>
        <w:tc>
          <w:tcPr>
            <w:tcW w:w="1650" w:type="pct"/>
            <w:tcBorders>
              <w:top w:val="outset" w:sz="6" w:space="0" w:color="auto"/>
              <w:left w:val="outset" w:sz="6" w:space="0" w:color="auto"/>
              <w:right w:val="outset" w:sz="6" w:space="0" w:color="auto"/>
            </w:tcBorders>
          </w:tcPr>
          <w:p w:rsidR="00B71DAC" w:rsidRPr="00DE7F9E" w:rsidRDefault="00B71DAC" w:rsidP="00B71DAC">
            <w:pPr>
              <w:rPr>
                <w:b/>
              </w:rPr>
            </w:pPr>
            <w:r w:rsidRPr="00DE7F9E">
              <w:t>Sabiedrības līdzdalības rezultāti</w:t>
            </w:r>
          </w:p>
        </w:tc>
        <w:tc>
          <w:tcPr>
            <w:tcW w:w="2932" w:type="pct"/>
            <w:tcBorders>
              <w:top w:val="outset" w:sz="6" w:space="0" w:color="auto"/>
              <w:left w:val="outset" w:sz="6" w:space="0" w:color="auto"/>
              <w:right w:val="outset" w:sz="6" w:space="0" w:color="auto"/>
            </w:tcBorders>
          </w:tcPr>
          <w:p w:rsidR="00B71DAC" w:rsidRPr="00DE7F9E" w:rsidRDefault="00B71DAC" w:rsidP="00B71DAC">
            <w:pPr>
              <w:jc w:val="both"/>
            </w:pPr>
            <w:r w:rsidRPr="00DE7F9E">
              <w:t xml:space="preserve">Sabiedrības pārstāvji par projektu nav snieguši viedokli. </w:t>
            </w:r>
          </w:p>
        </w:tc>
      </w:tr>
      <w:tr w:rsidR="00B71DAC" w:rsidRPr="00DE7F9E" w:rsidTr="00F06D0D">
        <w:trPr>
          <w:trHeight w:val="468"/>
          <w:tblCellSpacing w:w="15" w:type="dxa"/>
          <w:jc w:val="center"/>
        </w:trPr>
        <w:tc>
          <w:tcPr>
            <w:tcW w:w="352" w:type="pct"/>
            <w:tcBorders>
              <w:top w:val="outset" w:sz="6" w:space="0" w:color="auto"/>
              <w:left w:val="outset" w:sz="6" w:space="0" w:color="auto"/>
              <w:right w:val="outset" w:sz="6" w:space="0" w:color="auto"/>
            </w:tcBorders>
          </w:tcPr>
          <w:p w:rsidR="00B71DAC" w:rsidRPr="00DE7F9E" w:rsidRDefault="00B71DAC" w:rsidP="00B71DAC">
            <w:r w:rsidRPr="00DE7F9E">
              <w:t>4.</w:t>
            </w:r>
          </w:p>
        </w:tc>
        <w:tc>
          <w:tcPr>
            <w:tcW w:w="1650" w:type="pct"/>
            <w:tcBorders>
              <w:top w:val="outset" w:sz="6" w:space="0" w:color="auto"/>
              <w:left w:val="outset" w:sz="6" w:space="0" w:color="auto"/>
              <w:right w:val="outset" w:sz="6" w:space="0" w:color="auto"/>
            </w:tcBorders>
          </w:tcPr>
          <w:p w:rsidR="00B71DAC" w:rsidRPr="00DE7F9E" w:rsidRDefault="00B71DAC" w:rsidP="00B71DAC">
            <w:pPr>
              <w:rPr>
                <w:b/>
              </w:rPr>
            </w:pPr>
            <w:r w:rsidRPr="00DE7F9E">
              <w:t>Cita informācija</w:t>
            </w:r>
          </w:p>
        </w:tc>
        <w:tc>
          <w:tcPr>
            <w:tcW w:w="2932" w:type="pct"/>
            <w:tcBorders>
              <w:top w:val="outset" w:sz="6" w:space="0" w:color="auto"/>
              <w:left w:val="outset" w:sz="6" w:space="0" w:color="auto"/>
              <w:right w:val="outset" w:sz="6" w:space="0" w:color="auto"/>
            </w:tcBorders>
          </w:tcPr>
          <w:p w:rsidR="00B71DAC" w:rsidRPr="00DE7F9E" w:rsidRDefault="00B71DAC" w:rsidP="00B71DAC">
            <w:pPr>
              <w:jc w:val="both"/>
            </w:pPr>
            <w:r w:rsidRPr="00DE7F9E">
              <w:t>Nav.</w:t>
            </w:r>
          </w:p>
        </w:tc>
      </w:tr>
    </w:tbl>
    <w:p w:rsidR="00131530" w:rsidRPr="00DE7F9E" w:rsidRDefault="00F41725" w:rsidP="00F41725">
      <w:pPr>
        <w:pStyle w:val="tvhtml"/>
        <w:tabs>
          <w:tab w:val="left" w:pos="7215"/>
        </w:tabs>
      </w:pPr>
      <w:r w:rsidRPr="00DE7F9E">
        <w:tab/>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31530" w:rsidRPr="00DE7F9E" w:rsidTr="00131530">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31530" w:rsidRPr="00DE7F9E" w:rsidRDefault="00131530">
            <w:pPr>
              <w:pStyle w:val="tvhtml"/>
              <w:jc w:val="center"/>
              <w:rPr>
                <w:b/>
                <w:bCs/>
              </w:rPr>
            </w:pPr>
            <w:r w:rsidRPr="00DE7F9E">
              <w:rPr>
                <w:b/>
                <w:bCs/>
              </w:rPr>
              <w:t>VII. Tiesību akta projekta izpildes nodrošināšana un tās ietekme uz institūcijām</w:t>
            </w:r>
          </w:p>
        </w:tc>
      </w:tr>
      <w:tr w:rsidR="00131530" w:rsidRPr="00DE7F9E" w:rsidTr="00131530">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1.</w:t>
            </w:r>
          </w:p>
        </w:tc>
        <w:tc>
          <w:tcPr>
            <w:tcW w:w="1900"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31530" w:rsidRPr="00DE7F9E" w:rsidRDefault="009C622E">
            <w:r w:rsidRPr="00DE7F9E">
              <w:t>Projekta izpildi nodrošinās valsts aģentūra „Civilās aviācijas aģentūra”.</w:t>
            </w:r>
          </w:p>
        </w:tc>
      </w:tr>
      <w:tr w:rsidR="00131530" w:rsidRPr="00DE7F9E" w:rsidTr="00131530">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2.</w:t>
            </w:r>
          </w:p>
        </w:tc>
        <w:tc>
          <w:tcPr>
            <w:tcW w:w="1900"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 xml:space="preserve">Projekta izpildes ietekme uz pārvaldes funkcijām un institucionālo struktūru. </w:t>
            </w:r>
          </w:p>
          <w:p w:rsidR="00131530" w:rsidRPr="00DE7F9E" w:rsidRDefault="00131530">
            <w:pPr>
              <w:pStyle w:val="tvhtml"/>
            </w:pPr>
            <w:r w:rsidRPr="00DE7F9E">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277743" w:rsidRPr="00DE7F9E" w:rsidRDefault="00277743" w:rsidP="00831E51">
            <w:pPr>
              <w:jc w:val="both"/>
            </w:pPr>
            <w:r w:rsidRPr="00DE7F9E">
              <w:t xml:space="preserve">Izpilde tiks nodrošināta </w:t>
            </w:r>
            <w:r w:rsidR="001657D0" w:rsidRPr="00DE7F9E">
              <w:t>Civilās aviācijas aģentūras</w:t>
            </w:r>
            <w:r w:rsidRPr="00DE7F9E">
              <w:t xml:space="preserve"> līdzšinējo funkciju un cilvēkresursu ietvaros. </w:t>
            </w:r>
          </w:p>
          <w:p w:rsidR="00131530" w:rsidRPr="00DE7F9E" w:rsidRDefault="00277743" w:rsidP="00831E51">
            <w:pPr>
              <w:jc w:val="both"/>
            </w:pPr>
            <w:r w:rsidRPr="00DE7F9E">
              <w:t>Noteikumu projekta izpildē nav nepieciešams veidot  jaunas institūcijas, likvidēt vai reorganizēt esošās.</w:t>
            </w:r>
          </w:p>
        </w:tc>
      </w:tr>
      <w:tr w:rsidR="00131530" w:rsidRPr="00DE7F9E" w:rsidTr="00131530">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3.</w:t>
            </w:r>
          </w:p>
        </w:tc>
        <w:tc>
          <w:tcPr>
            <w:tcW w:w="1900"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31530" w:rsidRPr="00DE7F9E" w:rsidRDefault="009C622E">
            <w:pPr>
              <w:pStyle w:val="tvhtml"/>
            </w:pPr>
            <w:r w:rsidRPr="00DE7F9E">
              <w:t>Nav</w:t>
            </w:r>
          </w:p>
        </w:tc>
      </w:tr>
    </w:tbl>
    <w:p w:rsidR="00446437" w:rsidRPr="00DE7F9E" w:rsidRDefault="00446437" w:rsidP="00446437">
      <w:pPr>
        <w:rPr>
          <w:color w:val="000000"/>
        </w:rPr>
      </w:pPr>
    </w:p>
    <w:p w:rsidR="00446437" w:rsidRPr="00DE7F9E" w:rsidRDefault="00DF2EC3" w:rsidP="00446437">
      <w:pPr>
        <w:rPr>
          <w:i/>
          <w:color w:val="000000"/>
        </w:rPr>
      </w:pPr>
      <w:r w:rsidRPr="00DE7F9E">
        <w:rPr>
          <w:color w:val="000000"/>
        </w:rPr>
        <w:t xml:space="preserve">Anotācijas </w:t>
      </w:r>
      <w:r w:rsidR="00731229" w:rsidRPr="00DE7F9E">
        <w:rPr>
          <w:color w:val="000000"/>
        </w:rPr>
        <w:t>III</w:t>
      </w:r>
      <w:r w:rsidR="00633F14" w:rsidRPr="00DE7F9E">
        <w:rPr>
          <w:color w:val="000000"/>
        </w:rPr>
        <w:t xml:space="preserve"> un</w:t>
      </w:r>
      <w:r w:rsidR="00731229" w:rsidRPr="00DE7F9E">
        <w:rPr>
          <w:color w:val="000000"/>
        </w:rPr>
        <w:t xml:space="preserve"> </w:t>
      </w:r>
      <w:r w:rsidR="00446437" w:rsidRPr="00DE7F9E">
        <w:rPr>
          <w:color w:val="000000"/>
        </w:rPr>
        <w:t>IV sadaļa</w:t>
      </w:r>
      <w:r w:rsidR="00446437" w:rsidRPr="00DE7F9E">
        <w:rPr>
          <w:i/>
          <w:color w:val="000000"/>
        </w:rPr>
        <w:t xml:space="preserve"> – </w:t>
      </w:r>
      <w:r w:rsidR="00446437" w:rsidRPr="00DE7F9E">
        <w:rPr>
          <w:color w:val="000000"/>
        </w:rPr>
        <w:t>projekts šīs jomas neskar.</w:t>
      </w:r>
    </w:p>
    <w:p w:rsidR="00446437" w:rsidRPr="00DE7F9E" w:rsidRDefault="00446437" w:rsidP="00446437">
      <w:pPr>
        <w:ind w:firstLine="720"/>
        <w:jc w:val="both"/>
        <w:rPr>
          <w:color w:val="000000"/>
        </w:rPr>
      </w:pPr>
    </w:p>
    <w:p w:rsidR="00446437" w:rsidRPr="00DE7F9E" w:rsidRDefault="00446437" w:rsidP="00446437">
      <w:pPr>
        <w:ind w:firstLine="720"/>
        <w:jc w:val="both"/>
        <w:rPr>
          <w:color w:val="000000"/>
        </w:rPr>
      </w:pPr>
    </w:p>
    <w:p w:rsidR="00446437" w:rsidRPr="00DE7F9E" w:rsidRDefault="00446437" w:rsidP="00446437">
      <w:pPr>
        <w:ind w:firstLine="720"/>
        <w:jc w:val="both"/>
        <w:rPr>
          <w:color w:val="000000"/>
        </w:rPr>
      </w:pPr>
      <w:r w:rsidRPr="00DE7F9E">
        <w:rPr>
          <w:color w:val="000000"/>
        </w:rPr>
        <w:t>Satiksmes ministrs</w:t>
      </w:r>
      <w:r w:rsidRPr="00DE7F9E">
        <w:rPr>
          <w:color w:val="000000"/>
        </w:rPr>
        <w:tab/>
      </w:r>
      <w:r w:rsidRPr="00DE7F9E">
        <w:rPr>
          <w:color w:val="000000"/>
        </w:rPr>
        <w:tab/>
      </w:r>
      <w:r w:rsidRPr="00DE7F9E">
        <w:rPr>
          <w:color w:val="000000"/>
        </w:rPr>
        <w:tab/>
      </w:r>
      <w:r w:rsidRPr="00DE7F9E">
        <w:rPr>
          <w:color w:val="000000"/>
        </w:rPr>
        <w:tab/>
      </w:r>
      <w:r w:rsidRPr="00DE7F9E">
        <w:rPr>
          <w:color w:val="000000"/>
        </w:rPr>
        <w:tab/>
      </w:r>
      <w:r w:rsidRPr="00DE7F9E">
        <w:rPr>
          <w:color w:val="000000"/>
        </w:rPr>
        <w:tab/>
        <w:t>A.</w:t>
      </w:r>
      <w:r w:rsidR="007F3419" w:rsidRPr="00DE7F9E">
        <w:rPr>
          <w:color w:val="000000"/>
        </w:rPr>
        <w:t xml:space="preserve"> </w:t>
      </w:r>
      <w:r w:rsidR="00BA1534" w:rsidRPr="00DE7F9E">
        <w:rPr>
          <w:color w:val="000000"/>
        </w:rPr>
        <w:t>Matīss</w:t>
      </w:r>
    </w:p>
    <w:p w:rsidR="00446437" w:rsidRPr="00DE7F9E" w:rsidRDefault="00446437" w:rsidP="00446437">
      <w:pPr>
        <w:ind w:firstLine="720"/>
        <w:jc w:val="both"/>
        <w:rPr>
          <w:color w:val="000000"/>
        </w:rPr>
      </w:pPr>
    </w:p>
    <w:p w:rsidR="00A054E1" w:rsidRPr="00DE7F9E" w:rsidRDefault="00A054E1" w:rsidP="00446437">
      <w:pPr>
        <w:ind w:firstLine="720"/>
        <w:jc w:val="both"/>
        <w:rPr>
          <w:color w:val="000000"/>
        </w:rPr>
      </w:pPr>
    </w:p>
    <w:p w:rsidR="00F15C2E" w:rsidRPr="00DE7F9E" w:rsidRDefault="00E40E50" w:rsidP="00E40E50">
      <w:pPr>
        <w:ind w:firstLine="720"/>
        <w:jc w:val="both"/>
        <w:rPr>
          <w:color w:val="000000"/>
        </w:rPr>
      </w:pPr>
      <w:r w:rsidRPr="00DE7F9E">
        <w:rPr>
          <w:color w:val="000000"/>
        </w:rPr>
        <w:t>Vīza: Valsts sekretārs</w:t>
      </w:r>
      <w:r w:rsidRPr="00DE7F9E">
        <w:rPr>
          <w:color w:val="000000"/>
        </w:rPr>
        <w:tab/>
        <w:t xml:space="preserve"> </w:t>
      </w:r>
      <w:r w:rsidRPr="00DE7F9E">
        <w:rPr>
          <w:color w:val="000000"/>
        </w:rPr>
        <w:tab/>
      </w:r>
      <w:r w:rsidRPr="00DE7F9E">
        <w:rPr>
          <w:color w:val="000000"/>
        </w:rPr>
        <w:tab/>
      </w:r>
      <w:r w:rsidRPr="00DE7F9E">
        <w:rPr>
          <w:color w:val="000000"/>
        </w:rPr>
        <w:tab/>
      </w:r>
      <w:r w:rsidRPr="00DE7F9E">
        <w:rPr>
          <w:color w:val="000000"/>
        </w:rPr>
        <w:tab/>
      </w:r>
      <w:r w:rsidRPr="00DE7F9E">
        <w:rPr>
          <w:color w:val="000000"/>
        </w:rPr>
        <w:tab/>
        <w:t>K. Ozoliņš</w:t>
      </w:r>
    </w:p>
    <w:p w:rsidR="00F15C2E" w:rsidRPr="00DE7F9E" w:rsidRDefault="00F15C2E" w:rsidP="00446437">
      <w:pPr>
        <w:jc w:val="both"/>
        <w:rPr>
          <w:color w:val="000000"/>
        </w:rPr>
      </w:pPr>
    </w:p>
    <w:p w:rsidR="00F15C2E" w:rsidRPr="00DE7F9E" w:rsidRDefault="00F15C2E" w:rsidP="00446437">
      <w:pPr>
        <w:jc w:val="both"/>
        <w:rPr>
          <w:color w:val="000000"/>
        </w:rPr>
      </w:pPr>
    </w:p>
    <w:p w:rsidR="00F15C2E" w:rsidRPr="00DE7F9E" w:rsidRDefault="00F15C2E" w:rsidP="00446437">
      <w:pPr>
        <w:jc w:val="both"/>
        <w:rPr>
          <w:color w:val="000000"/>
        </w:rPr>
      </w:pPr>
    </w:p>
    <w:p w:rsidR="00F15C2E" w:rsidRPr="00DE7F9E" w:rsidRDefault="00F15C2E" w:rsidP="00446437">
      <w:pPr>
        <w:jc w:val="both"/>
        <w:rPr>
          <w:color w:val="000000"/>
        </w:rPr>
      </w:pPr>
    </w:p>
    <w:p w:rsidR="00F15C2E" w:rsidRPr="00DE7F9E" w:rsidRDefault="00F15C2E" w:rsidP="00446437">
      <w:pPr>
        <w:jc w:val="both"/>
        <w:rPr>
          <w:color w:val="000000"/>
        </w:rPr>
      </w:pPr>
    </w:p>
    <w:p w:rsidR="00446437" w:rsidRPr="00DE7F9E" w:rsidRDefault="00E3670B" w:rsidP="00446437">
      <w:pPr>
        <w:jc w:val="both"/>
        <w:rPr>
          <w:color w:val="000000"/>
        </w:rPr>
      </w:pPr>
      <w:r w:rsidRPr="00DE7F9E">
        <w:rPr>
          <w:color w:val="000000"/>
        </w:rPr>
        <w:t>01</w:t>
      </w:r>
      <w:r w:rsidR="00B61738" w:rsidRPr="00DE7F9E">
        <w:rPr>
          <w:color w:val="000000"/>
        </w:rPr>
        <w:t>.</w:t>
      </w:r>
      <w:r w:rsidRPr="00DE7F9E">
        <w:rPr>
          <w:color w:val="000000"/>
        </w:rPr>
        <w:t>12</w:t>
      </w:r>
      <w:r w:rsidR="00B61738" w:rsidRPr="00DE7F9E">
        <w:rPr>
          <w:color w:val="000000"/>
        </w:rPr>
        <w:t>.2014.</w:t>
      </w:r>
      <w:r w:rsidR="00446437" w:rsidRPr="00DE7F9E">
        <w:rPr>
          <w:color w:val="000000"/>
        </w:rPr>
        <w:t xml:space="preserve"> </w:t>
      </w:r>
      <w:r w:rsidRPr="00DE7F9E">
        <w:rPr>
          <w:color w:val="000000"/>
        </w:rPr>
        <w:t>09</w:t>
      </w:r>
      <w:r w:rsidR="00034A27" w:rsidRPr="00DE7F9E">
        <w:rPr>
          <w:color w:val="000000"/>
        </w:rPr>
        <w:t>.</w:t>
      </w:r>
      <w:r w:rsidRPr="00DE7F9E">
        <w:rPr>
          <w:color w:val="000000"/>
        </w:rPr>
        <w:t>45</w:t>
      </w:r>
    </w:p>
    <w:p w:rsidR="00446437" w:rsidRPr="00DE7F9E" w:rsidRDefault="00F51909" w:rsidP="00446437">
      <w:pPr>
        <w:jc w:val="both"/>
        <w:rPr>
          <w:color w:val="000000"/>
        </w:rPr>
      </w:pPr>
      <w:r w:rsidRPr="00DE7F9E">
        <w:rPr>
          <w:color w:val="000000"/>
        </w:rPr>
        <w:t>41</w:t>
      </w:r>
      <w:r w:rsidR="00E3670B" w:rsidRPr="00DE7F9E">
        <w:rPr>
          <w:color w:val="000000"/>
        </w:rPr>
        <w:t>0</w:t>
      </w:r>
      <w:r w:rsidR="00512B76" w:rsidRPr="00DE7F9E">
        <w:rPr>
          <w:color w:val="000000"/>
        </w:rPr>
        <w:t>2</w:t>
      </w:r>
    </w:p>
    <w:p w:rsidR="00C10659" w:rsidRPr="00DE7F9E" w:rsidRDefault="00C10659" w:rsidP="00C10659">
      <w:pPr>
        <w:pStyle w:val="naisf"/>
        <w:spacing w:before="0" w:after="0"/>
        <w:ind w:firstLine="0"/>
        <w:rPr>
          <w:bCs/>
        </w:rPr>
      </w:pPr>
      <w:r w:rsidRPr="00DE7F9E">
        <w:rPr>
          <w:bCs/>
        </w:rPr>
        <w:t>V.Gertners</w:t>
      </w:r>
    </w:p>
    <w:p w:rsidR="00F22E1E" w:rsidRPr="00DE7F9E" w:rsidRDefault="00C10659" w:rsidP="00C10659">
      <w:pPr>
        <w:pStyle w:val="naisf"/>
        <w:spacing w:before="0" w:after="0"/>
        <w:ind w:firstLine="0"/>
      </w:pPr>
      <w:r w:rsidRPr="00DE7F9E">
        <w:t>67830961</w:t>
      </w:r>
      <w:r w:rsidR="00E21641" w:rsidRPr="00DE7F9E">
        <w:t>,</w:t>
      </w:r>
      <w:r w:rsidRPr="00DE7F9E">
        <w:t xml:space="preserve"> </w:t>
      </w:r>
      <w:hyperlink r:id="rId12" w:history="1">
        <w:r w:rsidRPr="00DE7F9E">
          <w:rPr>
            <w:rStyle w:val="Hyperlink"/>
            <w:bCs/>
            <w:color w:val="auto"/>
            <w:u w:val="none"/>
          </w:rPr>
          <w:t>Viesturs.Gertners@latcaa.gov.lv</w:t>
        </w:r>
      </w:hyperlink>
    </w:p>
    <w:sectPr w:rsidR="00F22E1E" w:rsidRPr="00DE7F9E" w:rsidSect="00EE19CA">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D6" w:rsidRDefault="001B3CD6" w:rsidP="007E29C4">
      <w:r>
        <w:separator/>
      </w:r>
    </w:p>
  </w:endnote>
  <w:endnote w:type="continuationSeparator" w:id="0">
    <w:p w:rsidR="001B3CD6" w:rsidRDefault="001B3CD6" w:rsidP="007E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C4" w:rsidRPr="00A35E06" w:rsidRDefault="00A35E06" w:rsidP="00A35E06">
    <w:pPr>
      <w:pStyle w:val="Footer"/>
      <w:jc w:val="both"/>
    </w:pPr>
    <w:r w:rsidRPr="00A35E06">
      <w:t>SAMAnot_</w:t>
    </w:r>
    <w:r w:rsidR="00E3670B">
      <w:t>0112</w:t>
    </w:r>
    <w:r w:rsidRPr="00A35E06">
      <w:t>14_eksplapl; Ministru kabineta noteikumu projekta „Civilās aviācijas gaisa kuģa ekspluatanta apliecības izsniegšanas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C4" w:rsidRDefault="008462EF" w:rsidP="00A35E06">
    <w:pPr>
      <w:pStyle w:val="Footer"/>
      <w:tabs>
        <w:tab w:val="left" w:pos="3360"/>
      </w:tabs>
      <w:jc w:val="both"/>
    </w:pPr>
    <w:r>
      <w:t>SAMAnot_</w:t>
    </w:r>
    <w:r w:rsidR="00E3670B">
      <w:t>0112</w:t>
    </w:r>
    <w:r>
      <w:t>14</w:t>
    </w:r>
    <w:r w:rsidR="00504B0B">
      <w:t>_eksplapl</w:t>
    </w:r>
    <w:r w:rsidR="007E29C4" w:rsidRPr="007E29C4">
      <w:t xml:space="preserve">; </w:t>
    </w:r>
    <w:r w:rsidR="00A35E06">
      <w:t>Ministru kabineta noteikumu projekta „Civilās aviācijas gaisa kuģa ekspluatanta apliecības izsniegšanas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D6" w:rsidRDefault="001B3CD6" w:rsidP="007E29C4">
      <w:r>
        <w:separator/>
      </w:r>
    </w:p>
  </w:footnote>
  <w:footnote w:type="continuationSeparator" w:id="0">
    <w:p w:rsidR="001B3CD6" w:rsidRDefault="001B3CD6" w:rsidP="007E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70168"/>
      <w:docPartObj>
        <w:docPartGallery w:val="Page Numbers (Top of Page)"/>
        <w:docPartUnique/>
      </w:docPartObj>
    </w:sdtPr>
    <w:sdtEndPr>
      <w:rPr>
        <w:noProof/>
      </w:rPr>
    </w:sdtEndPr>
    <w:sdtContent>
      <w:p w:rsidR="007E29C4" w:rsidRDefault="007E29C4">
        <w:pPr>
          <w:pStyle w:val="Header"/>
          <w:jc w:val="center"/>
        </w:pPr>
        <w:r>
          <w:fldChar w:fldCharType="begin"/>
        </w:r>
        <w:r>
          <w:instrText xml:space="preserve"> PAGE   \* MERGEFORMAT </w:instrText>
        </w:r>
        <w:r>
          <w:fldChar w:fldCharType="separate"/>
        </w:r>
        <w:r w:rsidR="00DE7F9E">
          <w:rPr>
            <w:noProof/>
          </w:rPr>
          <w:t>2</w:t>
        </w:r>
        <w:r>
          <w:rPr>
            <w:noProof/>
          </w:rPr>
          <w:fldChar w:fldCharType="end"/>
        </w:r>
      </w:p>
    </w:sdtContent>
  </w:sdt>
  <w:p w:rsidR="007E29C4" w:rsidRDefault="007E2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8D2"/>
    <w:multiLevelType w:val="hybridMultilevel"/>
    <w:tmpl w:val="4FA6092E"/>
    <w:lvl w:ilvl="0" w:tplc="6ABAE80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48662776"/>
    <w:multiLevelType w:val="hybridMultilevel"/>
    <w:tmpl w:val="13D07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37"/>
    <w:rsid w:val="0002073D"/>
    <w:rsid w:val="00027B79"/>
    <w:rsid w:val="00034A27"/>
    <w:rsid w:val="00036349"/>
    <w:rsid w:val="00044F2B"/>
    <w:rsid w:val="0004773B"/>
    <w:rsid w:val="00051235"/>
    <w:rsid w:val="000527B8"/>
    <w:rsid w:val="00054028"/>
    <w:rsid w:val="000571E6"/>
    <w:rsid w:val="00067101"/>
    <w:rsid w:val="00067A26"/>
    <w:rsid w:val="0008711B"/>
    <w:rsid w:val="000A04D6"/>
    <w:rsid w:val="000A382D"/>
    <w:rsid w:val="000A67AC"/>
    <w:rsid w:val="000A6C0F"/>
    <w:rsid w:val="000B6DAF"/>
    <w:rsid w:val="000B763B"/>
    <w:rsid w:val="000C1044"/>
    <w:rsid w:val="000D2FAB"/>
    <w:rsid w:val="000E73BB"/>
    <w:rsid w:val="000E7CD1"/>
    <w:rsid w:val="000F440A"/>
    <w:rsid w:val="001022D1"/>
    <w:rsid w:val="00130BF1"/>
    <w:rsid w:val="00131530"/>
    <w:rsid w:val="00132272"/>
    <w:rsid w:val="00133BF9"/>
    <w:rsid w:val="0013513F"/>
    <w:rsid w:val="00135AE9"/>
    <w:rsid w:val="00137DBC"/>
    <w:rsid w:val="00142E3C"/>
    <w:rsid w:val="00146CB7"/>
    <w:rsid w:val="00152477"/>
    <w:rsid w:val="001568E5"/>
    <w:rsid w:val="00160065"/>
    <w:rsid w:val="00160746"/>
    <w:rsid w:val="0016159B"/>
    <w:rsid w:val="00163F80"/>
    <w:rsid w:val="001657D0"/>
    <w:rsid w:val="0016775C"/>
    <w:rsid w:val="001734F0"/>
    <w:rsid w:val="00181F4C"/>
    <w:rsid w:val="001836DC"/>
    <w:rsid w:val="00191BC3"/>
    <w:rsid w:val="00192C41"/>
    <w:rsid w:val="001A4380"/>
    <w:rsid w:val="001A5981"/>
    <w:rsid w:val="001B3CD6"/>
    <w:rsid w:val="001E5C50"/>
    <w:rsid w:val="001F772A"/>
    <w:rsid w:val="00214F6A"/>
    <w:rsid w:val="002173B4"/>
    <w:rsid w:val="00217755"/>
    <w:rsid w:val="00225720"/>
    <w:rsid w:val="0024072F"/>
    <w:rsid w:val="00241806"/>
    <w:rsid w:val="00243F45"/>
    <w:rsid w:val="00251721"/>
    <w:rsid w:val="00252DB9"/>
    <w:rsid w:val="002538DE"/>
    <w:rsid w:val="0026457F"/>
    <w:rsid w:val="00275A4D"/>
    <w:rsid w:val="00277743"/>
    <w:rsid w:val="00285A8D"/>
    <w:rsid w:val="00290096"/>
    <w:rsid w:val="00295A92"/>
    <w:rsid w:val="002B06F4"/>
    <w:rsid w:val="002B7D4F"/>
    <w:rsid w:val="002C10B5"/>
    <w:rsid w:val="002C2627"/>
    <w:rsid w:val="002C3151"/>
    <w:rsid w:val="002C68A5"/>
    <w:rsid w:val="002D5E86"/>
    <w:rsid w:val="002E2676"/>
    <w:rsid w:val="002E30FF"/>
    <w:rsid w:val="002E4F00"/>
    <w:rsid w:val="002E673E"/>
    <w:rsid w:val="002F0DE0"/>
    <w:rsid w:val="00306457"/>
    <w:rsid w:val="00310B2A"/>
    <w:rsid w:val="003112EA"/>
    <w:rsid w:val="00324AF9"/>
    <w:rsid w:val="00325519"/>
    <w:rsid w:val="003258EE"/>
    <w:rsid w:val="003369AD"/>
    <w:rsid w:val="0034049F"/>
    <w:rsid w:val="00342C1D"/>
    <w:rsid w:val="00356D81"/>
    <w:rsid w:val="003637C0"/>
    <w:rsid w:val="003714F6"/>
    <w:rsid w:val="003743ED"/>
    <w:rsid w:val="0037577D"/>
    <w:rsid w:val="00375E18"/>
    <w:rsid w:val="0038287F"/>
    <w:rsid w:val="003829DD"/>
    <w:rsid w:val="00382A9C"/>
    <w:rsid w:val="0038635C"/>
    <w:rsid w:val="00386A9F"/>
    <w:rsid w:val="00395CDE"/>
    <w:rsid w:val="00395E1E"/>
    <w:rsid w:val="003B09DB"/>
    <w:rsid w:val="003C3FD8"/>
    <w:rsid w:val="003C7E50"/>
    <w:rsid w:val="003D2A52"/>
    <w:rsid w:val="003D4871"/>
    <w:rsid w:val="003D549D"/>
    <w:rsid w:val="003D7C39"/>
    <w:rsid w:val="003E4668"/>
    <w:rsid w:val="003E47E3"/>
    <w:rsid w:val="003E774F"/>
    <w:rsid w:val="003F6E56"/>
    <w:rsid w:val="003F75C1"/>
    <w:rsid w:val="003F7989"/>
    <w:rsid w:val="004048AE"/>
    <w:rsid w:val="00406360"/>
    <w:rsid w:val="004075D2"/>
    <w:rsid w:val="00414D71"/>
    <w:rsid w:val="00414ECF"/>
    <w:rsid w:val="00417A4D"/>
    <w:rsid w:val="00422308"/>
    <w:rsid w:val="00423D74"/>
    <w:rsid w:val="00424714"/>
    <w:rsid w:val="00432633"/>
    <w:rsid w:val="004338D4"/>
    <w:rsid w:val="00436F71"/>
    <w:rsid w:val="004413D4"/>
    <w:rsid w:val="00444922"/>
    <w:rsid w:val="00446437"/>
    <w:rsid w:val="00457EAB"/>
    <w:rsid w:val="004647B4"/>
    <w:rsid w:val="0047071C"/>
    <w:rsid w:val="00470C30"/>
    <w:rsid w:val="00473F7F"/>
    <w:rsid w:val="004749F9"/>
    <w:rsid w:val="00477A29"/>
    <w:rsid w:val="004873B4"/>
    <w:rsid w:val="00487B5E"/>
    <w:rsid w:val="0049494A"/>
    <w:rsid w:val="004B59DD"/>
    <w:rsid w:val="004B7364"/>
    <w:rsid w:val="004C1D43"/>
    <w:rsid w:val="004C3D18"/>
    <w:rsid w:val="004C3F61"/>
    <w:rsid w:val="004D3850"/>
    <w:rsid w:val="004D60D2"/>
    <w:rsid w:val="004D745F"/>
    <w:rsid w:val="004E460D"/>
    <w:rsid w:val="004E655D"/>
    <w:rsid w:val="004E7BDB"/>
    <w:rsid w:val="00500C5E"/>
    <w:rsid w:val="0050214A"/>
    <w:rsid w:val="00504B0B"/>
    <w:rsid w:val="00512B76"/>
    <w:rsid w:val="00513118"/>
    <w:rsid w:val="00516B42"/>
    <w:rsid w:val="00517C7E"/>
    <w:rsid w:val="00522E4F"/>
    <w:rsid w:val="0052756E"/>
    <w:rsid w:val="00531880"/>
    <w:rsid w:val="0053640B"/>
    <w:rsid w:val="005377E9"/>
    <w:rsid w:val="005459EA"/>
    <w:rsid w:val="00547B11"/>
    <w:rsid w:val="00554196"/>
    <w:rsid w:val="00555F70"/>
    <w:rsid w:val="00561ECC"/>
    <w:rsid w:val="00564622"/>
    <w:rsid w:val="00570469"/>
    <w:rsid w:val="00571D5A"/>
    <w:rsid w:val="00590437"/>
    <w:rsid w:val="00594852"/>
    <w:rsid w:val="0059710D"/>
    <w:rsid w:val="005975FD"/>
    <w:rsid w:val="005A3000"/>
    <w:rsid w:val="005A643F"/>
    <w:rsid w:val="005A74F2"/>
    <w:rsid w:val="005B4F4A"/>
    <w:rsid w:val="005B6505"/>
    <w:rsid w:val="005D4645"/>
    <w:rsid w:val="005E110D"/>
    <w:rsid w:val="005E44AB"/>
    <w:rsid w:val="006046F0"/>
    <w:rsid w:val="00614AE2"/>
    <w:rsid w:val="00614F0A"/>
    <w:rsid w:val="006160C1"/>
    <w:rsid w:val="00625D28"/>
    <w:rsid w:val="006266FF"/>
    <w:rsid w:val="00633F14"/>
    <w:rsid w:val="00645688"/>
    <w:rsid w:val="00652E67"/>
    <w:rsid w:val="0066073E"/>
    <w:rsid w:val="00660E61"/>
    <w:rsid w:val="00665848"/>
    <w:rsid w:val="0066712A"/>
    <w:rsid w:val="00683312"/>
    <w:rsid w:val="00683842"/>
    <w:rsid w:val="006916C6"/>
    <w:rsid w:val="0069407B"/>
    <w:rsid w:val="006951F3"/>
    <w:rsid w:val="006A319E"/>
    <w:rsid w:val="006A7F66"/>
    <w:rsid w:val="006B602D"/>
    <w:rsid w:val="006B699A"/>
    <w:rsid w:val="006C0FDB"/>
    <w:rsid w:val="006C48BA"/>
    <w:rsid w:val="006D4416"/>
    <w:rsid w:val="006E06A5"/>
    <w:rsid w:val="006F2997"/>
    <w:rsid w:val="006F3AA6"/>
    <w:rsid w:val="006F434C"/>
    <w:rsid w:val="00703AB1"/>
    <w:rsid w:val="007048A7"/>
    <w:rsid w:val="007161FD"/>
    <w:rsid w:val="0071734B"/>
    <w:rsid w:val="007224AD"/>
    <w:rsid w:val="007268D8"/>
    <w:rsid w:val="00726DEC"/>
    <w:rsid w:val="00731229"/>
    <w:rsid w:val="007326F1"/>
    <w:rsid w:val="00735499"/>
    <w:rsid w:val="00737FDC"/>
    <w:rsid w:val="00741EED"/>
    <w:rsid w:val="00744B5C"/>
    <w:rsid w:val="007454A0"/>
    <w:rsid w:val="0075485A"/>
    <w:rsid w:val="00755653"/>
    <w:rsid w:val="00755FD1"/>
    <w:rsid w:val="00756EA3"/>
    <w:rsid w:val="00760826"/>
    <w:rsid w:val="00760ED4"/>
    <w:rsid w:val="00762E97"/>
    <w:rsid w:val="00765EF4"/>
    <w:rsid w:val="00767515"/>
    <w:rsid w:val="00767DE0"/>
    <w:rsid w:val="0077531F"/>
    <w:rsid w:val="007801F5"/>
    <w:rsid w:val="00783DBF"/>
    <w:rsid w:val="00786831"/>
    <w:rsid w:val="00792E85"/>
    <w:rsid w:val="007935F7"/>
    <w:rsid w:val="007972A1"/>
    <w:rsid w:val="007A766C"/>
    <w:rsid w:val="007B0745"/>
    <w:rsid w:val="007B0776"/>
    <w:rsid w:val="007D3B52"/>
    <w:rsid w:val="007D731F"/>
    <w:rsid w:val="007E29C4"/>
    <w:rsid w:val="007E6CCF"/>
    <w:rsid w:val="007E7585"/>
    <w:rsid w:val="007F1E35"/>
    <w:rsid w:val="007F2948"/>
    <w:rsid w:val="007F3419"/>
    <w:rsid w:val="007F5A93"/>
    <w:rsid w:val="007F7273"/>
    <w:rsid w:val="00800DD9"/>
    <w:rsid w:val="008066B6"/>
    <w:rsid w:val="00807AA7"/>
    <w:rsid w:val="008228BA"/>
    <w:rsid w:val="00823968"/>
    <w:rsid w:val="00825D04"/>
    <w:rsid w:val="00831E51"/>
    <w:rsid w:val="00842946"/>
    <w:rsid w:val="008462EF"/>
    <w:rsid w:val="008472F6"/>
    <w:rsid w:val="00850593"/>
    <w:rsid w:val="008842BB"/>
    <w:rsid w:val="00891C65"/>
    <w:rsid w:val="008921D4"/>
    <w:rsid w:val="008941E3"/>
    <w:rsid w:val="00896522"/>
    <w:rsid w:val="008A4DEF"/>
    <w:rsid w:val="008A77FE"/>
    <w:rsid w:val="008C69FC"/>
    <w:rsid w:val="008C71F2"/>
    <w:rsid w:val="008D11A6"/>
    <w:rsid w:val="008D137B"/>
    <w:rsid w:val="008D1A5F"/>
    <w:rsid w:val="008D54A5"/>
    <w:rsid w:val="008D6961"/>
    <w:rsid w:val="008E32E1"/>
    <w:rsid w:val="008E5586"/>
    <w:rsid w:val="008F5240"/>
    <w:rsid w:val="008F664E"/>
    <w:rsid w:val="0090155D"/>
    <w:rsid w:val="00910247"/>
    <w:rsid w:val="00925A53"/>
    <w:rsid w:val="00930B15"/>
    <w:rsid w:val="00943286"/>
    <w:rsid w:val="00954586"/>
    <w:rsid w:val="00954BA5"/>
    <w:rsid w:val="0095524B"/>
    <w:rsid w:val="00957270"/>
    <w:rsid w:val="00964CF2"/>
    <w:rsid w:val="00965AF2"/>
    <w:rsid w:val="00972EFB"/>
    <w:rsid w:val="00991435"/>
    <w:rsid w:val="00994A02"/>
    <w:rsid w:val="009950D3"/>
    <w:rsid w:val="009A2938"/>
    <w:rsid w:val="009A2969"/>
    <w:rsid w:val="009A31ED"/>
    <w:rsid w:val="009B03B9"/>
    <w:rsid w:val="009B1BEF"/>
    <w:rsid w:val="009C461C"/>
    <w:rsid w:val="009C4C82"/>
    <w:rsid w:val="009C622E"/>
    <w:rsid w:val="009C71C5"/>
    <w:rsid w:val="009D4088"/>
    <w:rsid w:val="009D5A37"/>
    <w:rsid w:val="009D64CA"/>
    <w:rsid w:val="009E2520"/>
    <w:rsid w:val="009E346D"/>
    <w:rsid w:val="009E6215"/>
    <w:rsid w:val="009E6725"/>
    <w:rsid w:val="009F1196"/>
    <w:rsid w:val="009F221A"/>
    <w:rsid w:val="009F712F"/>
    <w:rsid w:val="00A038B2"/>
    <w:rsid w:val="00A054E1"/>
    <w:rsid w:val="00A11973"/>
    <w:rsid w:val="00A1333C"/>
    <w:rsid w:val="00A141C2"/>
    <w:rsid w:val="00A155CF"/>
    <w:rsid w:val="00A21CF2"/>
    <w:rsid w:val="00A2557C"/>
    <w:rsid w:val="00A25D6D"/>
    <w:rsid w:val="00A3067E"/>
    <w:rsid w:val="00A307CF"/>
    <w:rsid w:val="00A35E06"/>
    <w:rsid w:val="00A418F5"/>
    <w:rsid w:val="00A51860"/>
    <w:rsid w:val="00A55C97"/>
    <w:rsid w:val="00A61579"/>
    <w:rsid w:val="00A879E9"/>
    <w:rsid w:val="00A93180"/>
    <w:rsid w:val="00A93C05"/>
    <w:rsid w:val="00A95C42"/>
    <w:rsid w:val="00AA04EC"/>
    <w:rsid w:val="00AA309B"/>
    <w:rsid w:val="00AA6471"/>
    <w:rsid w:val="00AB07E2"/>
    <w:rsid w:val="00AB4A99"/>
    <w:rsid w:val="00AE523B"/>
    <w:rsid w:val="00AE61AA"/>
    <w:rsid w:val="00B05A6B"/>
    <w:rsid w:val="00B06CE2"/>
    <w:rsid w:val="00B075EC"/>
    <w:rsid w:val="00B07DA0"/>
    <w:rsid w:val="00B15776"/>
    <w:rsid w:val="00B216DE"/>
    <w:rsid w:val="00B21BB0"/>
    <w:rsid w:val="00B30A19"/>
    <w:rsid w:val="00B33C2B"/>
    <w:rsid w:val="00B41FA6"/>
    <w:rsid w:val="00B46349"/>
    <w:rsid w:val="00B562A2"/>
    <w:rsid w:val="00B6095F"/>
    <w:rsid w:val="00B61738"/>
    <w:rsid w:val="00B65AA3"/>
    <w:rsid w:val="00B71D5B"/>
    <w:rsid w:val="00B71DAC"/>
    <w:rsid w:val="00B72983"/>
    <w:rsid w:val="00B73223"/>
    <w:rsid w:val="00B742C3"/>
    <w:rsid w:val="00B77F78"/>
    <w:rsid w:val="00B83184"/>
    <w:rsid w:val="00B8589A"/>
    <w:rsid w:val="00B91364"/>
    <w:rsid w:val="00B94A82"/>
    <w:rsid w:val="00B94DFA"/>
    <w:rsid w:val="00BA1534"/>
    <w:rsid w:val="00BA4118"/>
    <w:rsid w:val="00BA5151"/>
    <w:rsid w:val="00BA7EE4"/>
    <w:rsid w:val="00BB0A65"/>
    <w:rsid w:val="00BB750D"/>
    <w:rsid w:val="00BC0411"/>
    <w:rsid w:val="00BC6034"/>
    <w:rsid w:val="00BE03E1"/>
    <w:rsid w:val="00BE39D7"/>
    <w:rsid w:val="00BF172D"/>
    <w:rsid w:val="00BF64F3"/>
    <w:rsid w:val="00C0326F"/>
    <w:rsid w:val="00C044B9"/>
    <w:rsid w:val="00C061FD"/>
    <w:rsid w:val="00C10659"/>
    <w:rsid w:val="00C12C0A"/>
    <w:rsid w:val="00C15825"/>
    <w:rsid w:val="00C20981"/>
    <w:rsid w:val="00C30FB6"/>
    <w:rsid w:val="00C33FE1"/>
    <w:rsid w:val="00C3671B"/>
    <w:rsid w:val="00C371A4"/>
    <w:rsid w:val="00C43F2D"/>
    <w:rsid w:val="00C500F1"/>
    <w:rsid w:val="00C5190D"/>
    <w:rsid w:val="00C61C64"/>
    <w:rsid w:val="00C66ECB"/>
    <w:rsid w:val="00C70055"/>
    <w:rsid w:val="00C7109E"/>
    <w:rsid w:val="00C727D9"/>
    <w:rsid w:val="00C7361B"/>
    <w:rsid w:val="00C75216"/>
    <w:rsid w:val="00C80A11"/>
    <w:rsid w:val="00C82BA4"/>
    <w:rsid w:val="00C92AC9"/>
    <w:rsid w:val="00C92C18"/>
    <w:rsid w:val="00C93CCC"/>
    <w:rsid w:val="00C9618B"/>
    <w:rsid w:val="00CA7CA6"/>
    <w:rsid w:val="00CB1538"/>
    <w:rsid w:val="00CD19F0"/>
    <w:rsid w:val="00D07D4F"/>
    <w:rsid w:val="00D1547B"/>
    <w:rsid w:val="00D20E6D"/>
    <w:rsid w:val="00D22EF7"/>
    <w:rsid w:val="00D30FBB"/>
    <w:rsid w:val="00D3180C"/>
    <w:rsid w:val="00D32D4A"/>
    <w:rsid w:val="00D34028"/>
    <w:rsid w:val="00D36E53"/>
    <w:rsid w:val="00D521DD"/>
    <w:rsid w:val="00D5431B"/>
    <w:rsid w:val="00D61795"/>
    <w:rsid w:val="00D738AB"/>
    <w:rsid w:val="00D82C39"/>
    <w:rsid w:val="00D84F64"/>
    <w:rsid w:val="00D9027D"/>
    <w:rsid w:val="00D96C63"/>
    <w:rsid w:val="00DA283F"/>
    <w:rsid w:val="00DA5CC7"/>
    <w:rsid w:val="00DB3C76"/>
    <w:rsid w:val="00DB5164"/>
    <w:rsid w:val="00DC2D08"/>
    <w:rsid w:val="00DC30AB"/>
    <w:rsid w:val="00DC4ECF"/>
    <w:rsid w:val="00DC5177"/>
    <w:rsid w:val="00DD50B1"/>
    <w:rsid w:val="00DD6902"/>
    <w:rsid w:val="00DD7580"/>
    <w:rsid w:val="00DE0C98"/>
    <w:rsid w:val="00DE0F2E"/>
    <w:rsid w:val="00DE34FF"/>
    <w:rsid w:val="00DE7F9E"/>
    <w:rsid w:val="00DF2EC3"/>
    <w:rsid w:val="00DF403A"/>
    <w:rsid w:val="00DF42C1"/>
    <w:rsid w:val="00DF454C"/>
    <w:rsid w:val="00E01BC8"/>
    <w:rsid w:val="00E030E2"/>
    <w:rsid w:val="00E11AF7"/>
    <w:rsid w:val="00E120DB"/>
    <w:rsid w:val="00E21641"/>
    <w:rsid w:val="00E25A37"/>
    <w:rsid w:val="00E2749A"/>
    <w:rsid w:val="00E31C21"/>
    <w:rsid w:val="00E3670B"/>
    <w:rsid w:val="00E37C71"/>
    <w:rsid w:val="00E40E50"/>
    <w:rsid w:val="00E41DFC"/>
    <w:rsid w:val="00E43344"/>
    <w:rsid w:val="00E44A99"/>
    <w:rsid w:val="00E61E84"/>
    <w:rsid w:val="00E63F82"/>
    <w:rsid w:val="00E7445B"/>
    <w:rsid w:val="00E753FF"/>
    <w:rsid w:val="00E84246"/>
    <w:rsid w:val="00E85711"/>
    <w:rsid w:val="00EA0844"/>
    <w:rsid w:val="00EA2732"/>
    <w:rsid w:val="00EA3E29"/>
    <w:rsid w:val="00EA7EA0"/>
    <w:rsid w:val="00EB48BF"/>
    <w:rsid w:val="00EB4D45"/>
    <w:rsid w:val="00EC2B39"/>
    <w:rsid w:val="00EC4F37"/>
    <w:rsid w:val="00EC77C4"/>
    <w:rsid w:val="00ED20AF"/>
    <w:rsid w:val="00ED7F8A"/>
    <w:rsid w:val="00EE19CA"/>
    <w:rsid w:val="00EE6A2B"/>
    <w:rsid w:val="00EF0414"/>
    <w:rsid w:val="00EF15B8"/>
    <w:rsid w:val="00F03606"/>
    <w:rsid w:val="00F03C1D"/>
    <w:rsid w:val="00F10843"/>
    <w:rsid w:val="00F120AD"/>
    <w:rsid w:val="00F132AE"/>
    <w:rsid w:val="00F15C2E"/>
    <w:rsid w:val="00F1734D"/>
    <w:rsid w:val="00F22E1E"/>
    <w:rsid w:val="00F33585"/>
    <w:rsid w:val="00F34E49"/>
    <w:rsid w:val="00F40D72"/>
    <w:rsid w:val="00F41725"/>
    <w:rsid w:val="00F432ED"/>
    <w:rsid w:val="00F462BA"/>
    <w:rsid w:val="00F477A3"/>
    <w:rsid w:val="00F51909"/>
    <w:rsid w:val="00F546B0"/>
    <w:rsid w:val="00F54D8B"/>
    <w:rsid w:val="00F55847"/>
    <w:rsid w:val="00F55DFA"/>
    <w:rsid w:val="00F61B5D"/>
    <w:rsid w:val="00F655F5"/>
    <w:rsid w:val="00F72DEF"/>
    <w:rsid w:val="00F736E8"/>
    <w:rsid w:val="00F739F8"/>
    <w:rsid w:val="00F741AE"/>
    <w:rsid w:val="00F7648A"/>
    <w:rsid w:val="00F801F5"/>
    <w:rsid w:val="00F80DC1"/>
    <w:rsid w:val="00F81A2D"/>
    <w:rsid w:val="00F83152"/>
    <w:rsid w:val="00F8469C"/>
    <w:rsid w:val="00FA36E7"/>
    <w:rsid w:val="00FA5950"/>
    <w:rsid w:val="00FB0492"/>
    <w:rsid w:val="00FB06D5"/>
    <w:rsid w:val="00FB2496"/>
    <w:rsid w:val="00FB59EC"/>
    <w:rsid w:val="00FC659D"/>
    <w:rsid w:val="00FD0E53"/>
    <w:rsid w:val="00FD74F0"/>
    <w:rsid w:val="00FE6E67"/>
    <w:rsid w:val="00FF2C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37"/>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6437"/>
    <w:rPr>
      <w:color w:val="0000FF"/>
      <w:u w:val="single"/>
    </w:rPr>
  </w:style>
  <w:style w:type="paragraph" w:styleId="NormalWeb">
    <w:name w:val="Normal (Web)"/>
    <w:basedOn w:val="Normal"/>
    <w:unhideWhenUsed/>
    <w:rsid w:val="00446437"/>
    <w:pPr>
      <w:spacing w:before="100" w:beforeAutospacing="1" w:after="100" w:afterAutospacing="1"/>
    </w:pPr>
    <w:rPr>
      <w:rFonts w:ascii="Verdana" w:hAnsi="Verdana"/>
      <w:sz w:val="18"/>
      <w:szCs w:val="18"/>
    </w:rPr>
  </w:style>
  <w:style w:type="paragraph" w:styleId="Footer">
    <w:name w:val="footer"/>
    <w:basedOn w:val="Normal"/>
    <w:link w:val="FooterChar"/>
    <w:unhideWhenUsed/>
    <w:rsid w:val="00446437"/>
    <w:pPr>
      <w:tabs>
        <w:tab w:val="center" w:pos="4153"/>
        <w:tab w:val="right" w:pos="8306"/>
      </w:tabs>
    </w:pPr>
  </w:style>
  <w:style w:type="character" w:customStyle="1" w:styleId="FooterChar">
    <w:name w:val="Footer Char"/>
    <w:basedOn w:val="DefaultParagraphFont"/>
    <w:link w:val="Footer"/>
    <w:rsid w:val="00446437"/>
    <w:rPr>
      <w:rFonts w:eastAsia="Times New Roman" w:cs="Times New Roman"/>
      <w:sz w:val="24"/>
      <w:szCs w:val="24"/>
      <w:lang w:eastAsia="lv-LV"/>
    </w:rPr>
  </w:style>
  <w:style w:type="paragraph" w:styleId="BodyText2">
    <w:name w:val="Body Text 2"/>
    <w:basedOn w:val="Normal"/>
    <w:link w:val="BodyText2Char"/>
    <w:unhideWhenUsed/>
    <w:rsid w:val="00446437"/>
    <w:pPr>
      <w:jc w:val="both"/>
    </w:pPr>
    <w:rPr>
      <w:color w:val="000000"/>
      <w:sz w:val="28"/>
      <w:szCs w:val="28"/>
    </w:rPr>
  </w:style>
  <w:style w:type="character" w:customStyle="1" w:styleId="BodyText2Char">
    <w:name w:val="Body Text 2 Char"/>
    <w:basedOn w:val="DefaultParagraphFont"/>
    <w:link w:val="BodyText2"/>
    <w:rsid w:val="00446437"/>
    <w:rPr>
      <w:rFonts w:eastAsia="Times New Roman" w:cs="Times New Roman"/>
      <w:color w:val="000000"/>
      <w:szCs w:val="28"/>
      <w:lang w:eastAsia="lv-LV"/>
    </w:rPr>
  </w:style>
  <w:style w:type="paragraph" w:customStyle="1" w:styleId="naisf">
    <w:name w:val="naisf"/>
    <w:basedOn w:val="Normal"/>
    <w:rsid w:val="00446437"/>
    <w:pPr>
      <w:spacing w:before="75" w:after="75"/>
      <w:ind w:firstLine="375"/>
      <w:jc w:val="both"/>
    </w:pPr>
  </w:style>
  <w:style w:type="paragraph" w:customStyle="1" w:styleId="naisnod">
    <w:name w:val="naisnod"/>
    <w:basedOn w:val="Normal"/>
    <w:rsid w:val="00446437"/>
    <w:pPr>
      <w:spacing w:before="150" w:after="150"/>
      <w:jc w:val="center"/>
    </w:pPr>
    <w:rPr>
      <w:b/>
      <w:bCs/>
    </w:rPr>
  </w:style>
  <w:style w:type="paragraph" w:customStyle="1" w:styleId="naiskr">
    <w:name w:val="naiskr"/>
    <w:basedOn w:val="Normal"/>
    <w:rsid w:val="00446437"/>
    <w:pPr>
      <w:spacing w:before="75" w:after="75"/>
    </w:pPr>
  </w:style>
  <w:style w:type="paragraph" w:customStyle="1" w:styleId="Default">
    <w:name w:val="Default"/>
    <w:rsid w:val="00446437"/>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naisc">
    <w:name w:val="naisc"/>
    <w:basedOn w:val="Normal"/>
    <w:rsid w:val="00446437"/>
    <w:pPr>
      <w:spacing w:before="100" w:after="100"/>
      <w:jc w:val="center"/>
    </w:pPr>
    <w:rPr>
      <w:sz w:val="26"/>
      <w:szCs w:val="20"/>
      <w:lang w:val="en-GB" w:eastAsia="en-US"/>
    </w:rPr>
  </w:style>
  <w:style w:type="character" w:styleId="Emphasis">
    <w:name w:val="Emphasis"/>
    <w:basedOn w:val="DefaultParagraphFont"/>
    <w:uiPriority w:val="20"/>
    <w:qFormat/>
    <w:rsid w:val="00446437"/>
    <w:rPr>
      <w:i/>
      <w:iCs/>
    </w:rPr>
  </w:style>
  <w:style w:type="paragraph" w:styleId="BalloonText">
    <w:name w:val="Balloon Text"/>
    <w:basedOn w:val="Normal"/>
    <w:link w:val="BalloonTextChar"/>
    <w:uiPriority w:val="99"/>
    <w:semiHidden/>
    <w:unhideWhenUsed/>
    <w:rsid w:val="0066073E"/>
    <w:rPr>
      <w:rFonts w:ascii="Tahoma" w:hAnsi="Tahoma" w:cs="Tahoma"/>
      <w:sz w:val="16"/>
      <w:szCs w:val="16"/>
    </w:rPr>
  </w:style>
  <w:style w:type="character" w:customStyle="1" w:styleId="BalloonTextChar">
    <w:name w:val="Balloon Text Char"/>
    <w:basedOn w:val="DefaultParagraphFont"/>
    <w:link w:val="BalloonText"/>
    <w:uiPriority w:val="99"/>
    <w:semiHidden/>
    <w:rsid w:val="0066073E"/>
    <w:rPr>
      <w:rFonts w:ascii="Tahoma" w:eastAsia="Times New Roman" w:hAnsi="Tahoma" w:cs="Tahoma"/>
      <w:sz w:val="16"/>
      <w:szCs w:val="16"/>
      <w:lang w:eastAsia="lv-LV"/>
    </w:rPr>
  </w:style>
  <w:style w:type="character" w:styleId="CommentReference">
    <w:name w:val="annotation reference"/>
    <w:basedOn w:val="DefaultParagraphFont"/>
    <w:semiHidden/>
    <w:unhideWhenUsed/>
    <w:rsid w:val="00B6095F"/>
    <w:rPr>
      <w:sz w:val="16"/>
      <w:szCs w:val="16"/>
    </w:rPr>
  </w:style>
  <w:style w:type="paragraph" w:styleId="CommentText">
    <w:name w:val="annotation text"/>
    <w:basedOn w:val="Normal"/>
    <w:link w:val="CommentTextChar"/>
    <w:semiHidden/>
    <w:unhideWhenUsed/>
    <w:rsid w:val="00B6095F"/>
    <w:rPr>
      <w:sz w:val="20"/>
      <w:szCs w:val="20"/>
    </w:rPr>
  </w:style>
  <w:style w:type="character" w:customStyle="1" w:styleId="CommentTextChar">
    <w:name w:val="Comment Text Char"/>
    <w:basedOn w:val="DefaultParagraphFont"/>
    <w:link w:val="CommentText"/>
    <w:uiPriority w:val="99"/>
    <w:semiHidden/>
    <w:rsid w:val="00B6095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095F"/>
    <w:rPr>
      <w:b/>
      <w:bCs/>
    </w:rPr>
  </w:style>
  <w:style w:type="character" w:customStyle="1" w:styleId="CommentSubjectChar">
    <w:name w:val="Comment Subject Char"/>
    <w:basedOn w:val="CommentTextChar"/>
    <w:link w:val="CommentSubject"/>
    <w:uiPriority w:val="99"/>
    <w:semiHidden/>
    <w:rsid w:val="00B6095F"/>
    <w:rPr>
      <w:rFonts w:eastAsia="Times New Roman" w:cs="Times New Roman"/>
      <w:b/>
      <w:bCs/>
      <w:sz w:val="20"/>
      <w:szCs w:val="20"/>
      <w:lang w:eastAsia="lv-LV"/>
    </w:rPr>
  </w:style>
  <w:style w:type="paragraph" w:styleId="Header">
    <w:name w:val="header"/>
    <w:basedOn w:val="Normal"/>
    <w:link w:val="HeaderChar"/>
    <w:uiPriority w:val="99"/>
    <w:unhideWhenUsed/>
    <w:rsid w:val="007E29C4"/>
    <w:pPr>
      <w:tabs>
        <w:tab w:val="center" w:pos="4153"/>
        <w:tab w:val="right" w:pos="8306"/>
      </w:tabs>
    </w:pPr>
  </w:style>
  <w:style w:type="character" w:customStyle="1" w:styleId="HeaderChar">
    <w:name w:val="Header Char"/>
    <w:basedOn w:val="DefaultParagraphFont"/>
    <w:link w:val="Header"/>
    <w:uiPriority w:val="99"/>
    <w:rsid w:val="007E29C4"/>
    <w:rPr>
      <w:rFonts w:eastAsia="Times New Roman" w:cs="Times New Roman"/>
      <w:sz w:val="24"/>
      <w:szCs w:val="24"/>
      <w:lang w:eastAsia="lv-LV"/>
    </w:rPr>
  </w:style>
  <w:style w:type="paragraph" w:styleId="ListParagraph">
    <w:name w:val="List Paragraph"/>
    <w:basedOn w:val="Normal"/>
    <w:uiPriority w:val="34"/>
    <w:qFormat/>
    <w:rsid w:val="00C9618B"/>
    <w:pPr>
      <w:ind w:left="720"/>
      <w:contextualSpacing/>
    </w:pPr>
  </w:style>
  <w:style w:type="paragraph" w:customStyle="1" w:styleId="tvhtml">
    <w:name w:val="tv_html"/>
    <w:basedOn w:val="Normal"/>
    <w:rsid w:val="00131530"/>
    <w:pPr>
      <w:spacing w:before="100" w:beforeAutospacing="1" w:after="100" w:afterAutospacing="1"/>
    </w:pPr>
  </w:style>
  <w:style w:type="character" w:styleId="Strong">
    <w:name w:val="Strong"/>
    <w:basedOn w:val="DefaultParagraphFont"/>
    <w:uiPriority w:val="22"/>
    <w:qFormat/>
    <w:rsid w:val="00C92C18"/>
    <w:rPr>
      <w:b/>
      <w:bCs/>
    </w:rPr>
  </w:style>
  <w:style w:type="character" w:customStyle="1" w:styleId="italics">
    <w:name w:val="italics"/>
    <w:rsid w:val="00D30FBB"/>
  </w:style>
  <w:style w:type="character" w:customStyle="1" w:styleId="boldface">
    <w:name w:val="boldface"/>
    <w:rsid w:val="00D30FBB"/>
  </w:style>
  <w:style w:type="character" w:customStyle="1" w:styleId="st">
    <w:name w:val="st"/>
    <w:basedOn w:val="DefaultParagraphFont"/>
    <w:rsid w:val="00E44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37"/>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6437"/>
    <w:rPr>
      <w:color w:val="0000FF"/>
      <w:u w:val="single"/>
    </w:rPr>
  </w:style>
  <w:style w:type="paragraph" w:styleId="NormalWeb">
    <w:name w:val="Normal (Web)"/>
    <w:basedOn w:val="Normal"/>
    <w:unhideWhenUsed/>
    <w:rsid w:val="00446437"/>
    <w:pPr>
      <w:spacing w:before="100" w:beforeAutospacing="1" w:after="100" w:afterAutospacing="1"/>
    </w:pPr>
    <w:rPr>
      <w:rFonts w:ascii="Verdana" w:hAnsi="Verdana"/>
      <w:sz w:val="18"/>
      <w:szCs w:val="18"/>
    </w:rPr>
  </w:style>
  <w:style w:type="paragraph" w:styleId="Footer">
    <w:name w:val="footer"/>
    <w:basedOn w:val="Normal"/>
    <w:link w:val="FooterChar"/>
    <w:unhideWhenUsed/>
    <w:rsid w:val="00446437"/>
    <w:pPr>
      <w:tabs>
        <w:tab w:val="center" w:pos="4153"/>
        <w:tab w:val="right" w:pos="8306"/>
      </w:tabs>
    </w:pPr>
  </w:style>
  <w:style w:type="character" w:customStyle="1" w:styleId="FooterChar">
    <w:name w:val="Footer Char"/>
    <w:basedOn w:val="DefaultParagraphFont"/>
    <w:link w:val="Footer"/>
    <w:rsid w:val="00446437"/>
    <w:rPr>
      <w:rFonts w:eastAsia="Times New Roman" w:cs="Times New Roman"/>
      <w:sz w:val="24"/>
      <w:szCs w:val="24"/>
      <w:lang w:eastAsia="lv-LV"/>
    </w:rPr>
  </w:style>
  <w:style w:type="paragraph" w:styleId="BodyText2">
    <w:name w:val="Body Text 2"/>
    <w:basedOn w:val="Normal"/>
    <w:link w:val="BodyText2Char"/>
    <w:unhideWhenUsed/>
    <w:rsid w:val="00446437"/>
    <w:pPr>
      <w:jc w:val="both"/>
    </w:pPr>
    <w:rPr>
      <w:color w:val="000000"/>
      <w:sz w:val="28"/>
      <w:szCs w:val="28"/>
    </w:rPr>
  </w:style>
  <w:style w:type="character" w:customStyle="1" w:styleId="BodyText2Char">
    <w:name w:val="Body Text 2 Char"/>
    <w:basedOn w:val="DefaultParagraphFont"/>
    <w:link w:val="BodyText2"/>
    <w:rsid w:val="00446437"/>
    <w:rPr>
      <w:rFonts w:eastAsia="Times New Roman" w:cs="Times New Roman"/>
      <w:color w:val="000000"/>
      <w:szCs w:val="28"/>
      <w:lang w:eastAsia="lv-LV"/>
    </w:rPr>
  </w:style>
  <w:style w:type="paragraph" w:customStyle="1" w:styleId="naisf">
    <w:name w:val="naisf"/>
    <w:basedOn w:val="Normal"/>
    <w:rsid w:val="00446437"/>
    <w:pPr>
      <w:spacing w:before="75" w:after="75"/>
      <w:ind w:firstLine="375"/>
      <w:jc w:val="both"/>
    </w:pPr>
  </w:style>
  <w:style w:type="paragraph" w:customStyle="1" w:styleId="naisnod">
    <w:name w:val="naisnod"/>
    <w:basedOn w:val="Normal"/>
    <w:rsid w:val="00446437"/>
    <w:pPr>
      <w:spacing w:before="150" w:after="150"/>
      <w:jc w:val="center"/>
    </w:pPr>
    <w:rPr>
      <w:b/>
      <w:bCs/>
    </w:rPr>
  </w:style>
  <w:style w:type="paragraph" w:customStyle="1" w:styleId="naiskr">
    <w:name w:val="naiskr"/>
    <w:basedOn w:val="Normal"/>
    <w:rsid w:val="00446437"/>
    <w:pPr>
      <w:spacing w:before="75" w:after="75"/>
    </w:pPr>
  </w:style>
  <w:style w:type="paragraph" w:customStyle="1" w:styleId="Default">
    <w:name w:val="Default"/>
    <w:rsid w:val="00446437"/>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naisc">
    <w:name w:val="naisc"/>
    <w:basedOn w:val="Normal"/>
    <w:rsid w:val="00446437"/>
    <w:pPr>
      <w:spacing w:before="100" w:after="100"/>
      <w:jc w:val="center"/>
    </w:pPr>
    <w:rPr>
      <w:sz w:val="26"/>
      <w:szCs w:val="20"/>
      <w:lang w:val="en-GB" w:eastAsia="en-US"/>
    </w:rPr>
  </w:style>
  <w:style w:type="character" w:styleId="Emphasis">
    <w:name w:val="Emphasis"/>
    <w:basedOn w:val="DefaultParagraphFont"/>
    <w:uiPriority w:val="20"/>
    <w:qFormat/>
    <w:rsid w:val="00446437"/>
    <w:rPr>
      <w:i/>
      <w:iCs/>
    </w:rPr>
  </w:style>
  <w:style w:type="paragraph" w:styleId="BalloonText">
    <w:name w:val="Balloon Text"/>
    <w:basedOn w:val="Normal"/>
    <w:link w:val="BalloonTextChar"/>
    <w:uiPriority w:val="99"/>
    <w:semiHidden/>
    <w:unhideWhenUsed/>
    <w:rsid w:val="0066073E"/>
    <w:rPr>
      <w:rFonts w:ascii="Tahoma" w:hAnsi="Tahoma" w:cs="Tahoma"/>
      <w:sz w:val="16"/>
      <w:szCs w:val="16"/>
    </w:rPr>
  </w:style>
  <w:style w:type="character" w:customStyle="1" w:styleId="BalloonTextChar">
    <w:name w:val="Balloon Text Char"/>
    <w:basedOn w:val="DefaultParagraphFont"/>
    <w:link w:val="BalloonText"/>
    <w:uiPriority w:val="99"/>
    <w:semiHidden/>
    <w:rsid w:val="0066073E"/>
    <w:rPr>
      <w:rFonts w:ascii="Tahoma" w:eastAsia="Times New Roman" w:hAnsi="Tahoma" w:cs="Tahoma"/>
      <w:sz w:val="16"/>
      <w:szCs w:val="16"/>
      <w:lang w:eastAsia="lv-LV"/>
    </w:rPr>
  </w:style>
  <w:style w:type="character" w:styleId="CommentReference">
    <w:name w:val="annotation reference"/>
    <w:basedOn w:val="DefaultParagraphFont"/>
    <w:semiHidden/>
    <w:unhideWhenUsed/>
    <w:rsid w:val="00B6095F"/>
    <w:rPr>
      <w:sz w:val="16"/>
      <w:szCs w:val="16"/>
    </w:rPr>
  </w:style>
  <w:style w:type="paragraph" w:styleId="CommentText">
    <w:name w:val="annotation text"/>
    <w:basedOn w:val="Normal"/>
    <w:link w:val="CommentTextChar"/>
    <w:semiHidden/>
    <w:unhideWhenUsed/>
    <w:rsid w:val="00B6095F"/>
    <w:rPr>
      <w:sz w:val="20"/>
      <w:szCs w:val="20"/>
    </w:rPr>
  </w:style>
  <w:style w:type="character" w:customStyle="1" w:styleId="CommentTextChar">
    <w:name w:val="Comment Text Char"/>
    <w:basedOn w:val="DefaultParagraphFont"/>
    <w:link w:val="CommentText"/>
    <w:uiPriority w:val="99"/>
    <w:semiHidden/>
    <w:rsid w:val="00B6095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095F"/>
    <w:rPr>
      <w:b/>
      <w:bCs/>
    </w:rPr>
  </w:style>
  <w:style w:type="character" w:customStyle="1" w:styleId="CommentSubjectChar">
    <w:name w:val="Comment Subject Char"/>
    <w:basedOn w:val="CommentTextChar"/>
    <w:link w:val="CommentSubject"/>
    <w:uiPriority w:val="99"/>
    <w:semiHidden/>
    <w:rsid w:val="00B6095F"/>
    <w:rPr>
      <w:rFonts w:eastAsia="Times New Roman" w:cs="Times New Roman"/>
      <w:b/>
      <w:bCs/>
      <w:sz w:val="20"/>
      <w:szCs w:val="20"/>
      <w:lang w:eastAsia="lv-LV"/>
    </w:rPr>
  </w:style>
  <w:style w:type="paragraph" w:styleId="Header">
    <w:name w:val="header"/>
    <w:basedOn w:val="Normal"/>
    <w:link w:val="HeaderChar"/>
    <w:uiPriority w:val="99"/>
    <w:unhideWhenUsed/>
    <w:rsid w:val="007E29C4"/>
    <w:pPr>
      <w:tabs>
        <w:tab w:val="center" w:pos="4153"/>
        <w:tab w:val="right" w:pos="8306"/>
      </w:tabs>
    </w:pPr>
  </w:style>
  <w:style w:type="character" w:customStyle="1" w:styleId="HeaderChar">
    <w:name w:val="Header Char"/>
    <w:basedOn w:val="DefaultParagraphFont"/>
    <w:link w:val="Header"/>
    <w:uiPriority w:val="99"/>
    <w:rsid w:val="007E29C4"/>
    <w:rPr>
      <w:rFonts w:eastAsia="Times New Roman" w:cs="Times New Roman"/>
      <w:sz w:val="24"/>
      <w:szCs w:val="24"/>
      <w:lang w:eastAsia="lv-LV"/>
    </w:rPr>
  </w:style>
  <w:style w:type="paragraph" w:styleId="ListParagraph">
    <w:name w:val="List Paragraph"/>
    <w:basedOn w:val="Normal"/>
    <w:uiPriority w:val="34"/>
    <w:qFormat/>
    <w:rsid w:val="00C9618B"/>
    <w:pPr>
      <w:ind w:left="720"/>
      <w:contextualSpacing/>
    </w:pPr>
  </w:style>
  <w:style w:type="paragraph" w:customStyle="1" w:styleId="tvhtml">
    <w:name w:val="tv_html"/>
    <w:basedOn w:val="Normal"/>
    <w:rsid w:val="00131530"/>
    <w:pPr>
      <w:spacing w:before="100" w:beforeAutospacing="1" w:after="100" w:afterAutospacing="1"/>
    </w:pPr>
  </w:style>
  <w:style w:type="character" w:styleId="Strong">
    <w:name w:val="Strong"/>
    <w:basedOn w:val="DefaultParagraphFont"/>
    <w:uiPriority w:val="22"/>
    <w:qFormat/>
    <w:rsid w:val="00C92C18"/>
    <w:rPr>
      <w:b/>
      <w:bCs/>
    </w:rPr>
  </w:style>
  <w:style w:type="character" w:customStyle="1" w:styleId="italics">
    <w:name w:val="italics"/>
    <w:rsid w:val="00D30FBB"/>
  </w:style>
  <w:style w:type="character" w:customStyle="1" w:styleId="boldface">
    <w:name w:val="boldface"/>
    <w:rsid w:val="00D30FBB"/>
  </w:style>
  <w:style w:type="character" w:customStyle="1" w:styleId="st">
    <w:name w:val="st"/>
    <w:basedOn w:val="DefaultParagraphFont"/>
    <w:rsid w:val="00E4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25356">
      <w:bodyDiv w:val="1"/>
      <w:marLeft w:val="0"/>
      <w:marRight w:val="0"/>
      <w:marTop w:val="0"/>
      <w:marBottom w:val="0"/>
      <w:divBdr>
        <w:top w:val="none" w:sz="0" w:space="0" w:color="auto"/>
        <w:left w:val="none" w:sz="0" w:space="0" w:color="auto"/>
        <w:bottom w:val="none" w:sz="0" w:space="0" w:color="auto"/>
        <w:right w:val="none" w:sz="0" w:space="0" w:color="auto"/>
      </w:divBdr>
    </w:div>
    <w:div w:id="11752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ce.Revizore@latca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a.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a.lv" TargetMode="External"/><Relationship Id="rId4" Type="http://schemas.microsoft.com/office/2007/relationships/stylesWithEffects" Target="stylesWithEffects.xml"/><Relationship Id="rId9" Type="http://schemas.openxmlformats.org/officeDocument/2006/relationships/hyperlink" Target="http://www.ca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2548-797A-46E2-BA9B-1354AC7C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21278</Words>
  <Characters>12129</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„Civilās aviācijas gaisa kuģa ekspluatanta apliecības izsniegšanas kārtība” sākotnējās ietekmes novērtējuma ziņojums (anotācija)</dc:title>
  <dc:creator>Viesturs Gertners/caa/lv</dc:creator>
  <dc:description>67830961, Viesturs.Gertners@latcaa.gov.lv</dc:description>
  <cp:lastModifiedBy>Viesturs Gertners/caa/lv</cp:lastModifiedBy>
  <cp:revision>6</cp:revision>
  <cp:lastPrinted>2014-08-08T10:25:00Z</cp:lastPrinted>
  <dcterms:created xsi:type="dcterms:W3CDTF">2014-12-01T06:27:00Z</dcterms:created>
  <dcterms:modified xsi:type="dcterms:W3CDTF">2014-12-03T09:11:00Z</dcterms:modified>
</cp:coreProperties>
</file>