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4EF" w:rsidRPr="003D34EF" w:rsidRDefault="00223F69" w:rsidP="00BC6AED">
      <w:pPr>
        <w:pStyle w:val="Footer"/>
        <w:jc w:val="both"/>
        <w:rPr>
          <w:b/>
          <w:sz w:val="28"/>
          <w:szCs w:val="28"/>
        </w:rPr>
      </w:pPr>
      <w:bookmarkStart w:id="0" w:name="OLE_LINK1"/>
      <w:bookmarkStart w:id="1" w:name="OLE_LINK2"/>
      <w:bookmarkStart w:id="2" w:name="OLE_LINK3"/>
      <w:r w:rsidRPr="00D83D3C">
        <w:rPr>
          <w:b/>
          <w:sz w:val="28"/>
          <w:szCs w:val="28"/>
        </w:rPr>
        <w:t xml:space="preserve">Ministru kabineta rīkojuma projekta </w:t>
      </w:r>
      <w:r w:rsidRPr="00D83D3C">
        <w:rPr>
          <w:b/>
          <w:sz w:val="28"/>
          <w:szCs w:val="28"/>
        </w:rPr>
        <w:br/>
        <w:t xml:space="preserve">„Par valsts aģentūras „Civilās aviācijas aģentūra” </w:t>
      </w:r>
      <w:r w:rsidR="00236611">
        <w:rPr>
          <w:b/>
          <w:sz w:val="28"/>
          <w:szCs w:val="28"/>
        </w:rPr>
        <w:t>201</w:t>
      </w:r>
      <w:r w:rsidR="00826E7D">
        <w:rPr>
          <w:b/>
          <w:sz w:val="28"/>
          <w:szCs w:val="28"/>
        </w:rPr>
        <w:t>5</w:t>
      </w:r>
      <w:r w:rsidR="00236611">
        <w:rPr>
          <w:b/>
          <w:sz w:val="28"/>
          <w:szCs w:val="28"/>
        </w:rPr>
        <w:t xml:space="preserve">.gada </w:t>
      </w:r>
      <w:r w:rsidRPr="00D83D3C">
        <w:rPr>
          <w:b/>
          <w:sz w:val="28"/>
          <w:szCs w:val="28"/>
        </w:rPr>
        <w:t>budžeta apstiprināšanu” sākotnējās ietekmes novērtējuma ziņojums (anotācija)</w:t>
      </w:r>
      <w:bookmarkEnd w:id="0"/>
      <w:bookmarkEnd w:id="1"/>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9"/>
      </w:tblGrid>
      <w:tr w:rsidR="003D34EF" w:rsidRPr="003D34EF" w:rsidTr="003D34E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rsidTr="003D34EF">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3D34EF" w:rsidP="003D34EF">
            <w:pPr>
              <w:widowControl/>
              <w:suppressAutoHyphens w:val="0"/>
              <w:rPr>
                <w:kern w:val="0"/>
                <w:lang w:eastAsia="lv-LV"/>
              </w:rPr>
            </w:pPr>
            <w:r w:rsidRPr="003D34EF">
              <w:rPr>
                <w:kern w:val="0"/>
                <w:lang w:eastAsia="lv-LV"/>
              </w:rPr>
              <w:t xml:space="preserve">Likuma par budžetu un finanšu vadību 41.panta </w:t>
            </w:r>
            <w:r w:rsidR="00E231C0" w:rsidRPr="00B652DA">
              <w:rPr>
                <w:color w:val="000000"/>
              </w:rPr>
              <w:t>1.</w:t>
            </w:r>
            <w:r w:rsidR="00E231C0" w:rsidRPr="00B652DA">
              <w:rPr>
                <w:vertAlign w:val="superscript"/>
              </w:rPr>
              <w:t>1</w:t>
            </w:r>
            <w:r w:rsidR="00E231C0" w:rsidRPr="00B652DA">
              <w:rPr>
                <w:color w:val="000000"/>
              </w:rPr>
              <w:t xml:space="preserve"> </w:t>
            </w:r>
            <w:r w:rsidRPr="003D34EF">
              <w:rPr>
                <w:kern w:val="0"/>
                <w:lang w:eastAsia="lv-LV"/>
              </w:rPr>
              <w:t xml:space="preserve">daļa. </w:t>
            </w:r>
          </w:p>
          <w:p w:rsidR="003D34EF" w:rsidRPr="003D34EF" w:rsidRDefault="003D34EF" w:rsidP="003D34EF">
            <w:pPr>
              <w:widowControl/>
              <w:suppressAutoHyphens w:val="0"/>
              <w:rPr>
                <w:kern w:val="0"/>
                <w:lang w:eastAsia="lv-LV"/>
              </w:rPr>
            </w:pPr>
            <w:r w:rsidRPr="003D34EF">
              <w:rPr>
                <w:kern w:val="0"/>
                <w:lang w:eastAsia="lv-LV"/>
              </w:rPr>
              <w:t>Publisko aģentūru likuma 13.panta trešā daļa.</w:t>
            </w:r>
          </w:p>
        </w:tc>
      </w:tr>
      <w:tr w:rsidR="003D34EF" w:rsidRPr="003D34EF"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4A2CF0" w:rsidRPr="00B652DA" w:rsidRDefault="004A2CF0" w:rsidP="004A2CF0">
            <w:pPr>
              <w:pStyle w:val="Heading4"/>
              <w:spacing w:before="0" w:after="0"/>
              <w:ind w:right="127"/>
              <w:jc w:val="both"/>
              <w:rPr>
                <w:rFonts w:ascii="Times New Roman" w:hAnsi="Times New Roman"/>
                <w:b w:val="0"/>
                <w:bCs/>
                <w:color w:val="000000"/>
                <w:sz w:val="24"/>
                <w:szCs w:val="24"/>
              </w:rPr>
            </w:pPr>
            <w:r w:rsidRPr="00B652DA">
              <w:rPr>
                <w:rFonts w:ascii="Times New Roman" w:hAnsi="Times New Roman"/>
                <w:b w:val="0"/>
                <w:bCs/>
                <w:color w:val="000000"/>
                <w:sz w:val="24"/>
                <w:szCs w:val="24"/>
              </w:rPr>
              <w:t>Ar 2010.gada 1.janvāri valsts aģentūra „Civilās aviācijas aģentūra” (turpmāk – Civilās aviācijas aģentūra) ir budžeta nefinansēta iestāde.</w:t>
            </w:r>
          </w:p>
          <w:p w:rsidR="004A2CF0" w:rsidRPr="00B652DA" w:rsidRDefault="004A2CF0" w:rsidP="004A2CF0">
            <w:pPr>
              <w:pStyle w:val="Heading4"/>
              <w:spacing w:before="0" w:after="0"/>
              <w:ind w:right="127"/>
              <w:jc w:val="both"/>
              <w:rPr>
                <w:rFonts w:ascii="Times New Roman" w:hAnsi="Times New Roman"/>
                <w:b w:val="0"/>
                <w:color w:val="000000"/>
                <w:sz w:val="24"/>
                <w:szCs w:val="24"/>
              </w:rPr>
            </w:pPr>
            <w:r w:rsidRPr="00B652DA">
              <w:rPr>
                <w:rFonts w:ascii="Times New Roman" w:hAnsi="Times New Roman"/>
                <w:b w:val="0"/>
                <w:bCs/>
                <w:color w:val="000000"/>
                <w:sz w:val="24"/>
                <w:szCs w:val="24"/>
              </w:rPr>
              <w:t xml:space="preserve">     Saskaņā ar Publ</w:t>
            </w:r>
            <w:r w:rsidR="00E231C0">
              <w:rPr>
                <w:rFonts w:ascii="Times New Roman" w:hAnsi="Times New Roman"/>
                <w:b w:val="0"/>
                <w:bCs/>
                <w:color w:val="000000"/>
                <w:sz w:val="24"/>
                <w:szCs w:val="24"/>
              </w:rPr>
              <w:t xml:space="preserve">isko aģentūru likuma 13.panta  trešo </w:t>
            </w:r>
            <w:r w:rsidR="002945F3">
              <w:rPr>
                <w:rFonts w:ascii="Times New Roman" w:hAnsi="Times New Roman"/>
                <w:b w:val="0"/>
                <w:bCs/>
                <w:color w:val="000000"/>
                <w:sz w:val="24"/>
                <w:szCs w:val="24"/>
              </w:rPr>
              <w:t>daļu</w:t>
            </w:r>
            <w:r w:rsidRPr="00B652DA">
              <w:rPr>
                <w:rFonts w:ascii="Times New Roman" w:hAnsi="Times New Roman"/>
                <w:b w:val="0"/>
                <w:bCs/>
                <w:color w:val="000000"/>
                <w:sz w:val="24"/>
                <w:szCs w:val="24"/>
              </w:rPr>
              <w:t xml:space="preserve"> valsts aģentūra Likumā par budžetu un finanšu vadību noteiktajā kārtībā patstāvīgi veido valsts aģentūras budžetu un to apstiprina Ministru kabinets. Savukārt, saskaņā ar Likuma par budžetu un finanšu vadību 41</w:t>
            </w:r>
            <w:r w:rsidRPr="00B652DA">
              <w:rPr>
                <w:rFonts w:ascii="Times New Roman" w:hAnsi="Times New Roman"/>
                <w:b w:val="0"/>
                <w:color w:val="000000"/>
                <w:sz w:val="24"/>
                <w:szCs w:val="24"/>
              </w:rPr>
              <w:t xml:space="preserve">.panta pirmajā </w:t>
            </w:r>
            <w:proofErr w:type="spellStart"/>
            <w:r w:rsidRPr="00B652DA">
              <w:rPr>
                <w:rFonts w:ascii="Times New Roman" w:hAnsi="Times New Roman"/>
                <w:b w:val="0"/>
                <w:color w:val="000000"/>
                <w:sz w:val="24"/>
                <w:szCs w:val="24"/>
              </w:rPr>
              <w:t>prim</w:t>
            </w:r>
            <w:proofErr w:type="spellEnd"/>
            <w:r w:rsidRPr="00B652DA">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rsidR="004A2CF0" w:rsidRPr="00B652DA" w:rsidRDefault="004A2CF0" w:rsidP="004A2CF0">
            <w:pPr>
              <w:jc w:val="both"/>
            </w:pPr>
            <w:r w:rsidRPr="00B652DA">
              <w:rPr>
                <w:color w:val="000000"/>
              </w:rPr>
              <w:t xml:space="preserve">     Civilās aviācijas aģentūra</w:t>
            </w:r>
            <w:r w:rsidRPr="00B652DA">
              <w:rPr>
                <w:lang w:eastAsia="lv-LV" w:bidi="ml-IN"/>
              </w:rPr>
              <w:t xml:space="preserve"> tiek finansēta no pašu ieņēmumiem, kas gūti </w:t>
            </w:r>
            <w:r w:rsidR="002945F3">
              <w:rPr>
                <w:lang w:eastAsia="lv-LV" w:bidi="ml-IN"/>
              </w:rPr>
              <w:t>no</w:t>
            </w:r>
            <w:r w:rsidRPr="00B652DA">
              <w:rPr>
                <w:lang w:eastAsia="lv-LV" w:bidi="ml-IN"/>
              </w:rPr>
              <w:t xml:space="preserve"> sniegtajiem publiskajiem pakalpojumiem saskaņā ar Ministru kabineta </w:t>
            </w:r>
            <w:r w:rsidRPr="00B652DA">
              <w:t>2013.gada 24.septembra</w:t>
            </w:r>
            <w:r w:rsidRPr="00B652DA">
              <w:rPr>
                <w:lang w:eastAsia="lv-LV" w:bidi="ml-IN"/>
              </w:rPr>
              <w:t xml:space="preserve"> noteikumiem Nr.999 „Valsts aģentūras „Civilās aviācijas aģentūra” publisko maksas pakalpojumu cenrādis”, </w:t>
            </w:r>
            <w:r w:rsidR="002945F3">
              <w:rPr>
                <w:lang w:eastAsia="lv-LV" w:bidi="ml-IN"/>
              </w:rPr>
              <w:t xml:space="preserve">no </w:t>
            </w:r>
            <w:r w:rsidRPr="00B652DA">
              <w:rPr>
                <w:lang w:eastAsia="lv-LV" w:bidi="ml-IN"/>
              </w:rPr>
              <w:t xml:space="preserve">ieņēmumu daļas par aeronavigācijas pakalpojumiem Rīgas lidojumu informācijas rajonā saskaņā ar Ministru kabineta 2012.gada 3.janvāra noteikumiem Nr.30 „Aeronavigācijas pakalpojumu maksas sadales kārtība” un no </w:t>
            </w:r>
            <w:r w:rsidRPr="00B652DA">
              <w:rPr>
                <w:bCs/>
              </w:rPr>
              <w:t xml:space="preserve">maksas par gaisa kuģu lidojumu drošuma un civilās aviācijas drošības uzraudzības nodrošināšanu, saskaņā ar </w:t>
            </w:r>
            <w:r w:rsidRPr="00B652DA">
              <w:t xml:space="preserve">Ministru kabineta 2011.gada 19.oktobra noteikumiem Nr.823 „Noteikumi par lidlaukā sniegto drošības un glābšanas pasākumu maksu”. </w:t>
            </w:r>
          </w:p>
          <w:p w:rsidR="003D34EF" w:rsidRPr="00B652DA" w:rsidRDefault="004A2CF0" w:rsidP="004A2CF0">
            <w:pPr>
              <w:widowControl/>
              <w:suppressAutoHyphens w:val="0"/>
              <w:jc w:val="both"/>
            </w:pPr>
            <w:r w:rsidRPr="00B652DA">
              <w:rPr>
                <w:color w:val="000000"/>
                <w:lang w:eastAsia="lv-LV" w:bidi="ml-IN"/>
              </w:rPr>
              <w:t>2013.gada 16.septembrī Civilās aviācijas aģentūra un Valsts robežsardze  noslēdza starpresoru vienošanos „Par  sadarbību amatpersonu apmācībā cilvēku glābšanas un meklēšanas darbu nodrošināšanai”, lai Latvijas meklēšanas un glābšanas atbildības rajonā nodrošinātu efektīvu cilvēku meklēšanas un glābšanas pasākumu veikšanu ar Valsts robežsardzes rīcībā esošajiem gaisa kuģiem un tehniskajiem resursiem, izmantojot Latvijas Republikas gaisa telpu. Vienošanās nosaka kārtību, kādā puses organizē Valsts robežsardzes Aviācijas pārvalde</w:t>
            </w:r>
            <w:r w:rsidR="00E231C0">
              <w:rPr>
                <w:color w:val="000000"/>
                <w:lang w:eastAsia="lv-LV" w:bidi="ml-IN"/>
              </w:rPr>
              <w:t>s  speciālistu apmācības darbam</w:t>
            </w:r>
            <w:r w:rsidRPr="00B652DA">
              <w:rPr>
                <w:color w:val="000000"/>
                <w:lang w:eastAsia="lv-LV" w:bidi="ml-IN"/>
              </w:rPr>
              <w:t>:  2013.gadā -  strādājot ar glābšanas helikopteru AW 109E ārējās piekares sistēmu un  ugunsdzēsības ūdens</w:t>
            </w:r>
            <w:r w:rsidR="002945F3">
              <w:rPr>
                <w:color w:val="000000"/>
                <w:lang w:eastAsia="lv-LV" w:bidi="ml-IN"/>
              </w:rPr>
              <w:t xml:space="preserve"> </w:t>
            </w:r>
            <w:r w:rsidRPr="00B652DA">
              <w:rPr>
                <w:color w:val="000000"/>
                <w:lang w:eastAsia="lv-LV" w:bidi="ml-IN"/>
              </w:rPr>
              <w:t xml:space="preserve">tvertni diennakts gaišajā laikā, 2014.gadā – strādājot ar glābšanas helikopteru AW 109E vinču virs sauszemes, iekšējiem ūdeņiem un atklātā jūrā diennakts tumšajā laikā un vinčas operatoru/glābēju </w:t>
            </w:r>
            <w:r w:rsidRPr="00B652DA">
              <w:rPr>
                <w:color w:val="000000"/>
                <w:lang w:eastAsia="lv-LV" w:bidi="ml-IN"/>
              </w:rPr>
              <w:lastRenderedPageBreak/>
              <w:t xml:space="preserve">apmācības, </w:t>
            </w:r>
            <w:r w:rsidR="002945F3">
              <w:rPr>
                <w:color w:val="000000"/>
                <w:lang w:eastAsia="lv-LV" w:bidi="ml-IN"/>
              </w:rPr>
              <w:t>un</w:t>
            </w:r>
            <w:r w:rsidRPr="00B652DA">
              <w:rPr>
                <w:color w:val="000000"/>
                <w:lang w:eastAsia="lv-LV" w:bidi="ml-IN"/>
              </w:rPr>
              <w:t xml:space="preserve"> 2015.gadā – strādājot ar glābšanas helikopteru AW 109E ārējās piekares sistēmu diennakts tumšajā laikā un sākotnējās glābēju apmācības. Vienošanās arī paredz, ka Civilās aviācijas aģentūra </w:t>
            </w:r>
            <w:r w:rsidRPr="00B652DA">
              <w:t>piešķir Valsts robežsardzei finanšu līdzekļus minēto apmācību izdevumu segšanai pēc apropriācijas apstiprināšanas transfertiem saskaņā ar Likuma par budžetu un finanšu vadību 9.panta 13.</w:t>
            </w:r>
            <w:r w:rsidRPr="00B652DA">
              <w:rPr>
                <w:vertAlign w:val="superscript"/>
              </w:rPr>
              <w:t>1</w:t>
            </w:r>
            <w:r w:rsidRPr="00B652DA">
              <w:t xml:space="preserve"> daļas 1.punktu un pēc transfertu apstiprināšanas Civilās aviācijas aģentūras budžetā saskaņā ar Likuma par budžetu un finanšu vadību 41.panta </w:t>
            </w:r>
            <w:r w:rsidRPr="00B652DA">
              <w:rPr>
                <w:color w:val="000000"/>
              </w:rPr>
              <w:t>1.</w:t>
            </w:r>
            <w:r w:rsidRPr="00B652DA">
              <w:rPr>
                <w:vertAlign w:val="superscript"/>
              </w:rPr>
              <w:t>1</w:t>
            </w:r>
            <w:r w:rsidRPr="00B652DA">
              <w:rPr>
                <w:color w:val="000000"/>
              </w:rPr>
              <w:t xml:space="preserve"> </w:t>
            </w:r>
            <w:r w:rsidRPr="00B652DA">
              <w:rPr>
                <w:bCs/>
                <w:color w:val="000000"/>
              </w:rPr>
              <w:t>daļu</w:t>
            </w:r>
            <w:r w:rsidRPr="00B652DA">
              <w:t xml:space="preserve"> vai 41.panta </w:t>
            </w:r>
            <w:r w:rsidRPr="00B652DA">
              <w:rPr>
                <w:color w:val="000000"/>
              </w:rPr>
              <w:t>1.</w:t>
            </w:r>
            <w:r w:rsidRPr="00B652DA">
              <w:rPr>
                <w:color w:val="000000"/>
                <w:kern w:val="24"/>
                <w:vertAlign w:val="superscript"/>
              </w:rPr>
              <w:t>2</w:t>
            </w:r>
            <w:r w:rsidRPr="00B652DA">
              <w:rPr>
                <w:color w:val="000000"/>
              </w:rPr>
              <w:t xml:space="preserve"> </w:t>
            </w:r>
            <w:r w:rsidRPr="00B652DA">
              <w:rPr>
                <w:bCs/>
                <w:color w:val="000000"/>
              </w:rPr>
              <w:t>daļu un Publisko aģentūru likuma 13.panta trešo daļu</w:t>
            </w:r>
            <w:r w:rsidRPr="00B652DA">
              <w:t>. Apmaksa notiek</w:t>
            </w:r>
            <w:r w:rsidRPr="00B652DA">
              <w:rPr>
                <w:spacing w:val="-3"/>
              </w:rPr>
              <w:t xml:space="preserve"> saskaņā ar </w:t>
            </w:r>
            <w:r w:rsidRPr="00B652DA">
              <w:t xml:space="preserve">Komisijas 2006.gada 6.decembra Regulu (EK) Nr.1794/2006, ar ko nosaka kopēju tarifikācijas sistēmu aeronavigācijas pakalpojumiem, un Eiropas Aeronavigācijas drošības organizācijas Centrālā maršrutu nodevu biroja 2011.gada vadlīniju „Principi izmaksu bāzes noteikšanai un maršruta maksājumiem un vienību izcenojumu aprēķināšanai” 2.4.5. apakšpunkta prasībām. Tādējādi, </w:t>
            </w:r>
            <w:r w:rsidRPr="00B652DA">
              <w:rPr>
                <w:color w:val="000000"/>
                <w:lang w:eastAsia="lv-LV" w:bidi="ml-IN"/>
              </w:rPr>
              <w:t>paredzot uzturēšanas izdevumu transfertus uz Iekšlietu ministrijas valsts budžeta programmu 10.00.00 „Valsts robežsardzes darbība”,</w:t>
            </w:r>
            <w:r w:rsidRPr="00B652DA">
              <w:t xml:space="preserve"> tiks izmantota iespēja speciālistu apmācību izdevumus </w:t>
            </w:r>
            <w:r w:rsidRPr="00B652DA">
              <w:rPr>
                <w:color w:val="000000"/>
                <w:lang w:eastAsia="lv-LV" w:bidi="ml-IN"/>
              </w:rPr>
              <w:t>cilvēku glābšanas un meklēšanas darbu nodrošināšanai</w:t>
            </w:r>
            <w:r w:rsidRPr="00B652DA">
              <w:t xml:space="preserve"> segt no ieņēmumiem par aeronavigācijas pakalpojumiem.</w:t>
            </w:r>
          </w:p>
          <w:p w:rsidR="004A2CF0" w:rsidRPr="00B652DA" w:rsidRDefault="004A2CF0" w:rsidP="004A2CF0">
            <w:pPr>
              <w:spacing w:after="60"/>
              <w:jc w:val="both"/>
            </w:pPr>
            <w:r w:rsidRPr="00B652DA">
              <w:rPr>
                <w:color w:val="000000"/>
              </w:rPr>
              <w:t xml:space="preserve">Ar Ministru kabineta rīkojumu tiks apstiprināti Civilās aviācijas aģentūras budžeta ieņēmumi un izdevumi  2015.gadam 4 156 500 </w:t>
            </w:r>
            <w:proofErr w:type="spellStart"/>
            <w:r w:rsidRPr="00B652DA">
              <w:rPr>
                <w:i/>
                <w:color w:val="000000"/>
              </w:rPr>
              <w:t>euro</w:t>
            </w:r>
            <w:proofErr w:type="spellEnd"/>
            <w:r w:rsidRPr="00B652DA">
              <w:rPr>
                <w:color w:val="000000"/>
              </w:rPr>
              <w:t xml:space="preserve"> apmērā, no kopējā ieņēmumu apjoma </w:t>
            </w:r>
            <w:r w:rsidRPr="00B652DA">
              <w:t xml:space="preserve"> 996 090 </w:t>
            </w:r>
            <w:proofErr w:type="spellStart"/>
            <w:r w:rsidRPr="00B652DA">
              <w:rPr>
                <w:i/>
              </w:rPr>
              <w:t>euro</w:t>
            </w:r>
            <w:proofErr w:type="spellEnd"/>
            <w:r w:rsidRPr="00B652DA">
              <w:t xml:space="preserve"> paredzot izmaksu segšanai, kas saistītas ar aeronavigācijas pakalpojumu sniegšanas nodrošināšanu, kontroli, uzraudzību,  funkcionālo gaisa telpas bloku pārvaldību un citu ar civilās aviācijas drošību saistīto darbību (funkciju) izpildi</w:t>
            </w:r>
            <w:r w:rsidR="00E84C11">
              <w:t xml:space="preserve">, no kuriem 20 000 </w:t>
            </w:r>
            <w:proofErr w:type="spellStart"/>
            <w:r w:rsidR="00E84C11" w:rsidRPr="00E84C11">
              <w:rPr>
                <w:i/>
              </w:rPr>
              <w:t>euro</w:t>
            </w:r>
            <w:proofErr w:type="spellEnd"/>
            <w:r w:rsidR="00E84C11">
              <w:t xml:space="preserve"> tiks novirzīti augstāk minēto </w:t>
            </w:r>
            <w:r w:rsidR="00DF37C4">
              <w:t>transfertu nodrošināšanai</w:t>
            </w:r>
            <w:r w:rsidRPr="00B652DA">
              <w:t>.</w:t>
            </w:r>
          </w:p>
          <w:p w:rsidR="004A2CF0" w:rsidRDefault="00A5279D" w:rsidP="004A2CF0">
            <w:pPr>
              <w:jc w:val="both"/>
              <w:rPr>
                <w:kern w:val="0"/>
                <w:lang w:eastAsia="lv-LV"/>
              </w:rPr>
            </w:pPr>
            <w:r>
              <w:rPr>
                <w:kern w:val="0"/>
                <w:lang w:eastAsia="lv-LV"/>
              </w:rPr>
              <w:t xml:space="preserve">     </w:t>
            </w:r>
            <w:r w:rsidR="004A2CF0" w:rsidRPr="00B652DA">
              <w:rPr>
                <w:kern w:val="0"/>
                <w:lang w:eastAsia="lv-LV"/>
              </w:rPr>
              <w:t>Civilās aviācijas aģentūras ieņēmumu apjoms par maksas pakalpojumiem un par gaisa kuģu lidojumu drošuma un civilās aviācijas drošības uzraudzības nodrošināšanu (turpmāk – drošības maksa) 2015., 2016. un 2017.gadam noteikts, ņemot vērā plānoto pakalpojumu apjomu un  prognozēto izlidojošo pasažieru skaitu šajos gados.</w:t>
            </w:r>
          </w:p>
          <w:p w:rsidR="00EE4A93" w:rsidRPr="00936CFD" w:rsidRDefault="00EE4A93" w:rsidP="00EE4A93">
            <w:pPr>
              <w:jc w:val="both"/>
              <w:rPr>
                <w:rFonts w:cs="Arial"/>
                <w:sz w:val="26"/>
                <w:szCs w:val="26"/>
                <w:lang w:eastAsia="lv-LV" w:bidi="ml-IN"/>
              </w:rPr>
            </w:pPr>
            <w:r w:rsidRPr="00936CFD">
              <w:rPr>
                <w:color w:val="000000"/>
                <w:sz w:val="26"/>
                <w:szCs w:val="26"/>
                <w:lang w:eastAsia="lv-LV"/>
              </w:rPr>
              <w:t>201</w:t>
            </w:r>
            <w:r w:rsidR="00E56A1E">
              <w:rPr>
                <w:color w:val="000000"/>
                <w:sz w:val="26"/>
                <w:szCs w:val="26"/>
                <w:lang w:eastAsia="lv-LV"/>
              </w:rPr>
              <w:t>3</w:t>
            </w:r>
            <w:r w:rsidRPr="00936CFD">
              <w:rPr>
                <w:color w:val="000000"/>
                <w:sz w:val="26"/>
                <w:szCs w:val="26"/>
                <w:lang w:eastAsia="lv-LV"/>
              </w:rPr>
              <w:t>.gadā vispārējās nozīmes aviācijas pilotu prasmes pārbaudi lidojumā veica divi Civilās aviācijas aģentūras</w:t>
            </w:r>
            <w:r w:rsidRPr="00936CFD">
              <w:rPr>
                <w:rFonts w:cs="Arial"/>
                <w:sz w:val="26"/>
                <w:szCs w:val="26"/>
                <w:lang w:eastAsia="lv-LV" w:bidi="ml-IN"/>
              </w:rPr>
              <w:t xml:space="preserve"> štata darbinieki un astoņi </w:t>
            </w:r>
            <w:r w:rsidRPr="00936CFD">
              <w:rPr>
                <w:color w:val="000000"/>
                <w:sz w:val="26"/>
                <w:szCs w:val="26"/>
                <w:lang w:eastAsia="lv-LV"/>
              </w:rPr>
              <w:t>Civilās aviācijas aģentūras</w:t>
            </w:r>
            <w:r w:rsidRPr="00936CFD">
              <w:rPr>
                <w:rFonts w:cs="Arial"/>
                <w:sz w:val="26"/>
                <w:szCs w:val="26"/>
                <w:lang w:eastAsia="lv-LV" w:bidi="ml-IN"/>
              </w:rPr>
              <w:t xml:space="preserve">  nozīmēti, attiecīgai kvalifikācijai sagatavoti eksaminētāji. Par </w:t>
            </w:r>
            <w:r w:rsidRPr="00936CFD">
              <w:rPr>
                <w:color w:val="000000"/>
                <w:sz w:val="26"/>
                <w:szCs w:val="26"/>
                <w:lang w:eastAsia="lv-LV"/>
              </w:rPr>
              <w:t>Civilās aviācijas aģentūras</w:t>
            </w:r>
            <w:r w:rsidRPr="00936CFD">
              <w:rPr>
                <w:rFonts w:cs="Arial"/>
                <w:sz w:val="26"/>
                <w:szCs w:val="26"/>
                <w:lang w:eastAsia="lv-LV" w:bidi="ml-IN"/>
              </w:rPr>
              <w:t xml:space="preserve"> darbinieku veiktajām pārbaudēm tika  izrakstīti rēķini atbilstoši Ministru kabineta apstiprinātajam cenrādim un darbinieki saņēma atalgojumu atbilstoši noslēgtajam darba līgumam. Savukārt, </w:t>
            </w:r>
            <w:r w:rsidRPr="00936CFD">
              <w:rPr>
                <w:color w:val="000000"/>
                <w:sz w:val="26"/>
                <w:szCs w:val="26"/>
                <w:lang w:eastAsia="lv-LV"/>
              </w:rPr>
              <w:t xml:space="preserve">Civilās </w:t>
            </w:r>
            <w:r w:rsidRPr="00936CFD">
              <w:rPr>
                <w:color w:val="000000"/>
                <w:sz w:val="26"/>
                <w:szCs w:val="26"/>
                <w:lang w:eastAsia="lv-LV"/>
              </w:rPr>
              <w:lastRenderedPageBreak/>
              <w:t>aviācijas aģentūras</w:t>
            </w:r>
            <w:r w:rsidRPr="00936CFD">
              <w:rPr>
                <w:rFonts w:cs="Arial"/>
                <w:sz w:val="26"/>
                <w:szCs w:val="26"/>
                <w:lang w:eastAsia="lv-LV" w:bidi="ml-IN"/>
              </w:rPr>
              <w:t xml:space="preserve">  nozīmētie eksaminētāji no aģentūras nesaņēma samaksu par veiktajām pilotu prasmes pārbaudēm lidojumā, kā arī Civilās aviācijas aģentūrai nebija pamata izrakstīt rēķinus par pakalpojumiem. </w:t>
            </w:r>
            <w:r w:rsidRPr="00936CFD">
              <w:rPr>
                <w:sz w:val="26"/>
                <w:szCs w:val="26"/>
              </w:rPr>
              <w:t xml:space="preserve">Izpildot   Eiropas kopējās aviācijas JAR-FCL 1.030 noteiktās prasības, Civilās aviācijas aģentūrai jāslēdz uzņēmuma līgumi ar  lidojumu eksaminētājiem, kuru  uzdevums ir veikt kvalifikācijas un profesionālās pārbaudes vispārējās nozīmes  gaisa kuģu apkalpes locekļiem. </w:t>
            </w:r>
            <w:r w:rsidRPr="00936CFD">
              <w:rPr>
                <w:rFonts w:cs="Arial"/>
                <w:sz w:val="26"/>
                <w:szCs w:val="26"/>
                <w:lang w:eastAsia="lv-LV" w:bidi="ml-IN"/>
              </w:rPr>
              <w:t xml:space="preserve">Tādējādi paredzēts, ka turpmākajos gados palielināsies gan </w:t>
            </w:r>
            <w:r w:rsidRPr="00936CFD">
              <w:rPr>
                <w:color w:val="000000"/>
                <w:sz w:val="26"/>
                <w:szCs w:val="26"/>
                <w:lang w:eastAsia="lv-LV"/>
              </w:rPr>
              <w:t xml:space="preserve">Civilās aviācijas aģentūras </w:t>
            </w:r>
            <w:r w:rsidRPr="00936CFD">
              <w:rPr>
                <w:rFonts w:cs="Arial"/>
                <w:sz w:val="26"/>
                <w:szCs w:val="26"/>
                <w:lang w:eastAsia="lv-LV" w:bidi="ml-IN"/>
              </w:rPr>
              <w:t xml:space="preserve"> ieņēmumu no maksas pakalpojumiem apjoms, gan izdevumi atlīdzībai.</w:t>
            </w:r>
          </w:p>
          <w:p w:rsidR="00EE4A93" w:rsidRPr="00936CFD" w:rsidRDefault="00EE4A93" w:rsidP="00EE4A93">
            <w:pPr>
              <w:jc w:val="both"/>
              <w:rPr>
                <w:kern w:val="0"/>
                <w:sz w:val="26"/>
                <w:szCs w:val="26"/>
                <w:lang w:eastAsia="lv-LV"/>
              </w:rPr>
            </w:pPr>
            <w:r w:rsidRPr="00936CFD">
              <w:rPr>
                <w:sz w:val="26"/>
                <w:szCs w:val="26"/>
              </w:rPr>
              <w:t xml:space="preserve">Tā kā pašlaik daudzviet Latvijā tiek veikta  atsevišķu gaisa kuģa eksemplāru nerūpnieciska būve, lai izpildītu Ministru kabineta 2006. gada 15. augusta noteikumu </w:t>
            </w:r>
            <w:proofErr w:type="spellStart"/>
            <w:r w:rsidRPr="00936CFD">
              <w:rPr>
                <w:sz w:val="26"/>
                <w:szCs w:val="26"/>
              </w:rPr>
              <w:t>Nr</w:t>
            </w:r>
            <w:proofErr w:type="spellEnd"/>
            <w:r w:rsidRPr="00936CFD">
              <w:rPr>
                <w:sz w:val="26"/>
                <w:szCs w:val="26"/>
              </w:rPr>
              <w:t xml:space="preserve">. 661 „Kārtība, kādā veicama civilās aviācijas gaisa kuģu būvēšana, atsevišķu gaisa kuģu daļu, ierīču un palīgierīču izgatavošana un gaisa kuģu tehniskā apkope (remonts)” 16. punkta prasību,  par  </w:t>
            </w:r>
            <w:proofErr w:type="spellStart"/>
            <w:r w:rsidRPr="00936CFD">
              <w:rPr>
                <w:sz w:val="26"/>
                <w:szCs w:val="26"/>
              </w:rPr>
              <w:t>amatierbūves</w:t>
            </w:r>
            <w:proofErr w:type="spellEnd"/>
            <w:r w:rsidRPr="00936CFD">
              <w:rPr>
                <w:sz w:val="26"/>
                <w:szCs w:val="26"/>
              </w:rPr>
              <w:t xml:space="preserve">  gaisa kuģu pastāvīgu ekspertu komisiju, Civilās aviācijas aģentūra ir izveidojusi pastāvīgu ekspertu komisiju četru aviācijas speciālistu sastāvā, kas darbojas Civilās aviācijas aģentūras uzraudzībā. Arī iepriekš minētās komisijas speciālistu darba apmaksu paredzēts veikt no Civilās aviācijas aģentūras budžetā atlīdzībai un atalgojumiem paredzētajiem līdzekļiem. </w:t>
            </w:r>
          </w:p>
          <w:p w:rsidR="00EE4A93" w:rsidRPr="00936CFD" w:rsidRDefault="00EE4A93" w:rsidP="00EE4A93">
            <w:pPr>
              <w:jc w:val="both"/>
              <w:rPr>
                <w:kern w:val="0"/>
                <w:sz w:val="26"/>
                <w:szCs w:val="26"/>
                <w:lang w:eastAsia="lv-LV"/>
              </w:rPr>
            </w:pPr>
            <w:r w:rsidRPr="00936CFD">
              <w:rPr>
                <w:kern w:val="0"/>
                <w:sz w:val="26"/>
                <w:szCs w:val="26"/>
                <w:lang w:eastAsia="lv-LV"/>
              </w:rPr>
              <w:t>Bez tam, atalgojuma apmēra palielinājums, salīdzinājumā  ar faktisko izpildi par 201</w:t>
            </w:r>
            <w:r w:rsidR="00E56A1E">
              <w:rPr>
                <w:kern w:val="0"/>
                <w:sz w:val="26"/>
                <w:szCs w:val="26"/>
                <w:lang w:eastAsia="lv-LV"/>
              </w:rPr>
              <w:t>3</w:t>
            </w:r>
            <w:r w:rsidRPr="00936CFD">
              <w:rPr>
                <w:kern w:val="0"/>
                <w:sz w:val="26"/>
                <w:szCs w:val="26"/>
                <w:lang w:eastAsia="lv-LV"/>
              </w:rPr>
              <w:t>.gadu, saistīts ar vakantajām aviācijas speciālistu amata vietām</w:t>
            </w:r>
            <w:r w:rsidR="0013610B">
              <w:rPr>
                <w:kern w:val="0"/>
                <w:sz w:val="26"/>
                <w:szCs w:val="26"/>
                <w:lang w:eastAsia="lv-LV"/>
              </w:rPr>
              <w:t>. Pašlaik Civilās a</w:t>
            </w:r>
            <w:r w:rsidRPr="00936CFD">
              <w:rPr>
                <w:kern w:val="0"/>
                <w:sz w:val="26"/>
                <w:szCs w:val="26"/>
                <w:lang w:eastAsia="lv-LV"/>
              </w:rPr>
              <w:t>viācijas aģentūrā nodarbināti  70 darbinieki un vakantas ir 8 aviācijas speciālistu amata vietas. Turklāt, ņemot vērā augsto profesionālo sagatavotību, Civilās aviācijas aģentūras speciālisti nereti tiek uzaicināti darbā starptautiskās civilās aviācijas organizācijās vai Eiropas civilās aviācijas uzraudzības iestādēs uz termiņu no viena līdz vairākiem gadiem, saglabājot vai nesaglabājot mēnešalgu. Pašla</w:t>
            </w:r>
            <w:r w:rsidR="00717A32">
              <w:rPr>
                <w:kern w:val="0"/>
                <w:sz w:val="26"/>
                <w:szCs w:val="26"/>
                <w:lang w:eastAsia="lv-LV"/>
              </w:rPr>
              <w:t>ik bez mēnešalgas saglabāšanas S</w:t>
            </w:r>
            <w:r w:rsidR="009E7B3D">
              <w:rPr>
                <w:kern w:val="0"/>
                <w:sz w:val="26"/>
                <w:szCs w:val="26"/>
                <w:lang w:eastAsia="lv-LV"/>
              </w:rPr>
              <w:t>atiksmes ministrijas</w:t>
            </w:r>
            <w:r w:rsidR="00717A32">
              <w:rPr>
                <w:kern w:val="0"/>
                <w:sz w:val="26"/>
                <w:szCs w:val="26"/>
                <w:lang w:eastAsia="lv-LV"/>
              </w:rPr>
              <w:t xml:space="preserve"> </w:t>
            </w:r>
            <w:r w:rsidR="0013610B">
              <w:rPr>
                <w:kern w:val="0"/>
                <w:sz w:val="26"/>
                <w:szCs w:val="26"/>
                <w:lang w:eastAsia="lv-LV"/>
              </w:rPr>
              <w:t xml:space="preserve">Eiropas Savienības lietu koordinācijas departamenta nozares padomnieka (specializētā atašeja) amatā uz noteiktu laiku – līdz </w:t>
            </w:r>
            <w:r w:rsidR="00297E65">
              <w:rPr>
                <w:kern w:val="0"/>
                <w:sz w:val="26"/>
                <w:szCs w:val="26"/>
                <w:lang w:eastAsia="lv-LV"/>
              </w:rPr>
              <w:t>2015.gada</w:t>
            </w:r>
            <w:r w:rsidR="0013610B">
              <w:rPr>
                <w:kern w:val="0"/>
                <w:sz w:val="26"/>
                <w:szCs w:val="26"/>
                <w:lang w:eastAsia="lv-LV"/>
              </w:rPr>
              <w:t xml:space="preserve"> 31</w:t>
            </w:r>
            <w:r w:rsidR="00297E65">
              <w:rPr>
                <w:kern w:val="0"/>
                <w:sz w:val="26"/>
                <w:szCs w:val="26"/>
                <w:lang w:eastAsia="lv-LV"/>
              </w:rPr>
              <w:t xml:space="preserve">.jūlijam iecelta </w:t>
            </w:r>
            <w:r w:rsidR="00297E65" w:rsidRPr="00936CFD">
              <w:rPr>
                <w:kern w:val="0"/>
                <w:sz w:val="26"/>
                <w:szCs w:val="26"/>
                <w:lang w:eastAsia="lv-LV"/>
              </w:rPr>
              <w:t>Civilās aviācijas aģentūras</w:t>
            </w:r>
            <w:r w:rsidR="00717A32">
              <w:rPr>
                <w:kern w:val="0"/>
                <w:sz w:val="26"/>
                <w:szCs w:val="26"/>
                <w:lang w:eastAsia="lv-LV"/>
              </w:rPr>
              <w:t xml:space="preserve"> vecākā juriskonsulte;</w:t>
            </w:r>
            <w:r w:rsidR="00297E65">
              <w:rPr>
                <w:kern w:val="0"/>
                <w:sz w:val="26"/>
                <w:szCs w:val="26"/>
                <w:lang w:eastAsia="lv-LV"/>
              </w:rPr>
              <w:t xml:space="preserve"> </w:t>
            </w:r>
            <w:r w:rsidRPr="00936CFD">
              <w:rPr>
                <w:kern w:val="0"/>
                <w:sz w:val="26"/>
                <w:szCs w:val="26"/>
                <w:lang w:eastAsia="lv-LV"/>
              </w:rPr>
              <w:t xml:space="preserve"> darbā Eiropas aviācijas drošības aģentūrā, saglabājot mēnešalgu – </w:t>
            </w:r>
            <w:r w:rsidRPr="00936CFD">
              <w:rPr>
                <w:kern w:val="0"/>
                <w:sz w:val="26"/>
                <w:szCs w:val="26"/>
                <w:lang w:eastAsia="lv-LV"/>
              </w:rPr>
              <w:lastRenderedPageBreak/>
              <w:t>Gaisa kuģu ekspluatācijas daļas Drošības statistikas nodaļas vadītājs</w:t>
            </w:r>
            <w:r w:rsidR="00297E65">
              <w:rPr>
                <w:kern w:val="0"/>
                <w:sz w:val="26"/>
                <w:szCs w:val="26"/>
                <w:lang w:eastAsia="lv-LV"/>
              </w:rPr>
              <w:t xml:space="preserve">, </w:t>
            </w:r>
            <w:r w:rsidRPr="00936CFD">
              <w:rPr>
                <w:kern w:val="0"/>
                <w:sz w:val="26"/>
                <w:szCs w:val="26"/>
                <w:lang w:eastAsia="lv-LV"/>
              </w:rPr>
              <w:t xml:space="preserve">no 2013.gada 15.oktobra uz termiņu no diviem līdz četriem gadiem (saglabājot mēnešalgu) eksperta statusā </w:t>
            </w:r>
            <w:r w:rsidRPr="00936CFD">
              <w:rPr>
                <w:rStyle w:val="hps"/>
                <w:sz w:val="26"/>
                <w:szCs w:val="26"/>
              </w:rPr>
              <w:t>Eiropas vienotās gaisa telpas</w:t>
            </w:r>
            <w:r w:rsidRPr="00936CFD">
              <w:rPr>
                <w:sz w:val="26"/>
                <w:szCs w:val="26"/>
              </w:rPr>
              <w:t xml:space="preserve"> gaisa satiksmes pārvaldības p</w:t>
            </w:r>
            <w:r w:rsidRPr="00936CFD">
              <w:rPr>
                <w:rStyle w:val="hps"/>
                <w:sz w:val="26"/>
                <w:szCs w:val="26"/>
              </w:rPr>
              <w:t>ētniecības</w:t>
            </w:r>
            <w:r w:rsidRPr="00936CFD">
              <w:rPr>
                <w:sz w:val="26"/>
                <w:szCs w:val="26"/>
              </w:rPr>
              <w:t xml:space="preserve"> </w:t>
            </w:r>
            <w:r w:rsidRPr="00936CFD">
              <w:rPr>
                <w:rStyle w:val="hps"/>
                <w:sz w:val="26"/>
                <w:szCs w:val="26"/>
              </w:rPr>
              <w:t>programmā</w:t>
            </w:r>
            <w:r w:rsidRPr="00936CFD">
              <w:rPr>
                <w:kern w:val="0"/>
                <w:sz w:val="26"/>
                <w:szCs w:val="26"/>
                <w:lang w:eastAsia="lv-LV"/>
              </w:rPr>
              <w:t xml:space="preserve"> (SESAR) norīkota Eiropas Savienības lietu un starptautisko attiecību daļas Vienotās Eiropas gaisa telpas un darbības shē</w:t>
            </w:r>
            <w:r w:rsidR="000F77D8">
              <w:rPr>
                <w:kern w:val="0"/>
                <w:sz w:val="26"/>
                <w:szCs w:val="26"/>
                <w:lang w:eastAsia="lv-LV"/>
              </w:rPr>
              <w:t xml:space="preserve">mas ieviešanas nodaļas vadītāja, kā arī </w:t>
            </w:r>
            <w:r w:rsidR="0014517F">
              <w:rPr>
                <w:kern w:val="0"/>
                <w:sz w:val="26"/>
                <w:szCs w:val="26"/>
                <w:lang w:eastAsia="lv-LV"/>
              </w:rPr>
              <w:t>četru mēnešu komandējumā  uz Briseli norīkots Gaisa satiksmes pārvaldības inspektors</w:t>
            </w:r>
            <w:r w:rsidR="005D1416">
              <w:rPr>
                <w:kern w:val="0"/>
                <w:sz w:val="26"/>
                <w:szCs w:val="26"/>
                <w:lang w:eastAsia="lv-LV"/>
              </w:rPr>
              <w:t>,</w:t>
            </w:r>
            <w:r w:rsidR="0014517F">
              <w:rPr>
                <w:kern w:val="0"/>
                <w:sz w:val="26"/>
                <w:szCs w:val="26"/>
                <w:lang w:eastAsia="lv-LV"/>
              </w:rPr>
              <w:t xml:space="preserve"> lai piedalītos </w:t>
            </w:r>
            <w:proofErr w:type="spellStart"/>
            <w:r w:rsidR="0014517F">
              <w:rPr>
                <w:kern w:val="0"/>
                <w:sz w:val="26"/>
                <w:szCs w:val="26"/>
                <w:lang w:eastAsia="lv-LV"/>
              </w:rPr>
              <w:t>Eirokontroles</w:t>
            </w:r>
            <w:proofErr w:type="spellEnd"/>
            <w:r w:rsidR="0014517F">
              <w:rPr>
                <w:kern w:val="0"/>
                <w:sz w:val="26"/>
                <w:szCs w:val="26"/>
                <w:lang w:eastAsia="lv-LV"/>
              </w:rPr>
              <w:t xml:space="preserve"> Eiropas vienotās gaisa telpas prasību ieviešanas aktivitātēs – Latvijas gaisa telpas pārvaldības kārtības dokumentācijas izstrādē</w:t>
            </w:r>
            <w:r w:rsidR="005D1416">
              <w:rPr>
                <w:kern w:val="0"/>
                <w:sz w:val="26"/>
                <w:szCs w:val="26"/>
                <w:lang w:eastAsia="lv-LV"/>
              </w:rPr>
              <w:t>.</w:t>
            </w:r>
            <w:r w:rsidR="0014517F">
              <w:rPr>
                <w:kern w:val="0"/>
                <w:sz w:val="26"/>
                <w:szCs w:val="26"/>
                <w:lang w:eastAsia="lv-LV"/>
              </w:rPr>
              <w:t xml:space="preserve"> </w:t>
            </w:r>
            <w:r w:rsidRPr="00936CFD">
              <w:rPr>
                <w:kern w:val="0"/>
                <w:sz w:val="26"/>
                <w:szCs w:val="26"/>
                <w:lang w:eastAsia="lv-LV"/>
              </w:rPr>
              <w:t xml:space="preserve"> Lai nodrošinātu prombūtnē esošo darbinieku aizvietošanu, palielinās faktiskās izmaksas atalgojumam un atlīdzībai, ko paredzēts nodrošināt Civilās aviācijas aģentūrai apstiprinātā budžeta ietvaros.</w:t>
            </w:r>
          </w:p>
          <w:p w:rsidR="00EE1158" w:rsidRPr="00B652DA" w:rsidRDefault="00EE1158" w:rsidP="00EE1158">
            <w:pPr>
              <w:widowControl/>
              <w:suppressAutoHyphens w:val="0"/>
              <w:jc w:val="both"/>
              <w:rPr>
                <w:bCs/>
              </w:rPr>
            </w:pPr>
            <w:r>
              <w:rPr>
                <w:color w:val="000000"/>
              </w:rPr>
              <w:t xml:space="preserve">     </w:t>
            </w:r>
            <w:r w:rsidRPr="00B652DA">
              <w:rPr>
                <w:color w:val="000000"/>
              </w:rPr>
              <w:t xml:space="preserve">Plānoto resursu ietvaros tiks nodrošināta efektīva Civilās aviācijas aģentūrai deleģēto funkciju īstenošana, aktīva līdzdalība </w:t>
            </w:r>
            <w:r w:rsidRPr="00B652DA">
              <w:rPr>
                <w:bCs/>
              </w:rPr>
              <w:t xml:space="preserve">Ziemeļeiropas funkcionālā gaisa telpas bloka (turpmāk – NEFAB) izveidotajās komitejās, darba grupās un </w:t>
            </w:r>
            <w:r w:rsidRPr="00B652DA">
              <w:rPr>
                <w:color w:val="000000"/>
              </w:rPr>
              <w:t xml:space="preserve">kopējās aktivitātēs </w:t>
            </w:r>
            <w:r w:rsidRPr="00B652DA">
              <w:rPr>
                <w:bCs/>
              </w:rPr>
              <w:t>gaisa satiksmes sistēmas darbības uzlabošanā, kā arī iesaistīšanās Latvijas Prezidentūras Eiropas Savienības Padomē 2015.gadā norisē</w:t>
            </w:r>
            <w:r>
              <w:rPr>
                <w:bCs/>
              </w:rPr>
              <w:t xml:space="preserve"> un </w:t>
            </w:r>
            <w:r w:rsidRPr="00B652DA">
              <w:rPr>
                <w:bCs/>
              </w:rPr>
              <w:t>arī nodrošināta ekspertu kompetences paaugstināšana.</w:t>
            </w:r>
          </w:p>
          <w:p w:rsidR="004A2CF0" w:rsidRPr="00B652DA" w:rsidRDefault="004A2CF0" w:rsidP="004A2CF0">
            <w:pPr>
              <w:jc w:val="both"/>
              <w:rPr>
                <w:color w:val="000000"/>
              </w:rPr>
            </w:pPr>
            <w:r w:rsidRPr="00B652DA">
              <w:rPr>
                <w:b/>
                <w:color w:val="000000"/>
              </w:rPr>
              <w:t xml:space="preserve">       2015.gadā, </w:t>
            </w:r>
            <w:r w:rsidRPr="00B652DA">
              <w:rPr>
                <w:color w:val="000000"/>
              </w:rPr>
              <w:t xml:space="preserve">salīdzinot ar 2014.gadam plānoto, palielināsies šādi izdevumi:  </w:t>
            </w:r>
          </w:p>
          <w:p w:rsidR="004A2CF0" w:rsidRPr="00B652DA" w:rsidRDefault="004A2CF0" w:rsidP="004A2CF0">
            <w:pPr>
              <w:jc w:val="both"/>
              <w:rPr>
                <w:color w:val="000000"/>
              </w:rPr>
            </w:pPr>
            <w:r w:rsidRPr="00B652DA">
              <w:rPr>
                <w:color w:val="000000"/>
              </w:rPr>
              <w:t xml:space="preserve">1.   atlīdzība -  par </w:t>
            </w:r>
            <w:r w:rsidR="00DF37C4">
              <w:rPr>
                <w:color w:val="000000"/>
              </w:rPr>
              <w:t xml:space="preserve">42 </w:t>
            </w:r>
            <w:r w:rsidRPr="00B652DA">
              <w:rPr>
                <w:color w:val="000000"/>
              </w:rPr>
              <w:t>5</w:t>
            </w:r>
            <w:r w:rsidR="00DF37C4">
              <w:rPr>
                <w:color w:val="000000"/>
              </w:rPr>
              <w:t>00</w:t>
            </w:r>
            <w:r w:rsidRPr="00B652DA">
              <w:rPr>
                <w:color w:val="000000"/>
              </w:rPr>
              <w:t xml:space="preserve">  </w:t>
            </w:r>
            <w:proofErr w:type="spellStart"/>
            <w:r w:rsidRPr="00B652DA">
              <w:rPr>
                <w:i/>
                <w:color w:val="000000"/>
              </w:rPr>
              <w:t>euro</w:t>
            </w:r>
            <w:proofErr w:type="spellEnd"/>
            <w:r w:rsidRPr="00B652DA">
              <w:rPr>
                <w:color w:val="000000"/>
              </w:rPr>
              <w:t>, tai skaitā:</w:t>
            </w:r>
          </w:p>
          <w:p w:rsidR="004A2CF0" w:rsidRPr="00B652DA" w:rsidRDefault="004A2CF0" w:rsidP="004A2CF0">
            <w:pPr>
              <w:jc w:val="both"/>
              <w:rPr>
                <w:color w:val="000000"/>
              </w:rPr>
            </w:pPr>
            <w:r w:rsidRPr="00B652DA">
              <w:rPr>
                <w:color w:val="000000"/>
              </w:rPr>
              <w:t xml:space="preserve">1.1.  atalgojums - par </w:t>
            </w:r>
            <w:r w:rsidR="00DF37C4">
              <w:rPr>
                <w:color w:val="000000"/>
              </w:rPr>
              <w:t xml:space="preserve">23 </w:t>
            </w:r>
            <w:r w:rsidRPr="00B652DA">
              <w:rPr>
                <w:color w:val="000000"/>
              </w:rPr>
              <w:t>5</w:t>
            </w:r>
            <w:r w:rsidR="00DF37C4">
              <w:rPr>
                <w:color w:val="000000"/>
              </w:rPr>
              <w:t xml:space="preserve">80 </w:t>
            </w:r>
            <w:proofErr w:type="spellStart"/>
            <w:r w:rsidRPr="00B652DA">
              <w:rPr>
                <w:i/>
                <w:color w:val="000000"/>
              </w:rPr>
              <w:t>euro</w:t>
            </w:r>
            <w:proofErr w:type="spellEnd"/>
            <w:r w:rsidRPr="00B652DA">
              <w:rPr>
                <w:color w:val="000000"/>
              </w:rPr>
              <w:t>:</w:t>
            </w:r>
          </w:p>
          <w:p w:rsidR="004A2CF0" w:rsidRPr="00B652DA" w:rsidRDefault="004A2CF0" w:rsidP="004A2CF0">
            <w:pPr>
              <w:jc w:val="both"/>
              <w:rPr>
                <w:color w:val="000000"/>
              </w:rPr>
            </w:pPr>
            <w:r w:rsidRPr="00B652DA">
              <w:rPr>
                <w:color w:val="000000"/>
              </w:rPr>
              <w:t xml:space="preserve">     - Prezidentūras sagatavošanā un norisē tieši iesaistīto darbinieku (kopā 8 līdz 13 darbinieki) atalgojumam plānotais finansējuma apjoms – </w:t>
            </w:r>
            <w:r w:rsidR="00DF37C4">
              <w:rPr>
                <w:color w:val="000000"/>
              </w:rPr>
              <w:t>18 </w:t>
            </w:r>
            <w:r w:rsidRPr="00B652DA">
              <w:rPr>
                <w:color w:val="000000"/>
              </w:rPr>
              <w:t>7</w:t>
            </w:r>
            <w:r w:rsidR="00DF37C4">
              <w:rPr>
                <w:color w:val="000000"/>
              </w:rPr>
              <w:t xml:space="preserve">00 </w:t>
            </w:r>
            <w:proofErr w:type="spellStart"/>
            <w:r w:rsidRPr="00B652DA">
              <w:rPr>
                <w:i/>
                <w:color w:val="000000"/>
              </w:rPr>
              <w:t>euro</w:t>
            </w:r>
            <w:proofErr w:type="spellEnd"/>
            <w:r w:rsidRPr="00B652DA">
              <w:rPr>
                <w:color w:val="000000"/>
              </w:rPr>
              <w:t xml:space="preserve">, </w:t>
            </w:r>
          </w:p>
          <w:p w:rsidR="004A2CF0" w:rsidRPr="00B652DA" w:rsidRDefault="004A2CF0" w:rsidP="004A2CF0">
            <w:pPr>
              <w:jc w:val="both"/>
              <w:rPr>
                <w:color w:val="000000"/>
              </w:rPr>
            </w:pPr>
            <w:r w:rsidRPr="00B652DA">
              <w:rPr>
                <w:color w:val="000000"/>
              </w:rPr>
              <w:t xml:space="preserve">     - Prezidentūras sagatavošanā un norisē iesaistītajiem darbiniekiem, kas tieši nav iesaistīti darba grupās  atalgojumam plānotais finansējuma apjoms – </w:t>
            </w:r>
            <w:r w:rsidR="00DF37C4">
              <w:rPr>
                <w:color w:val="000000"/>
              </w:rPr>
              <w:t>4 </w:t>
            </w:r>
            <w:r w:rsidRPr="00B652DA">
              <w:rPr>
                <w:color w:val="000000"/>
              </w:rPr>
              <w:t>8</w:t>
            </w:r>
            <w:r w:rsidR="00DF37C4">
              <w:rPr>
                <w:color w:val="000000"/>
              </w:rPr>
              <w:t xml:space="preserve">80 </w:t>
            </w:r>
            <w:proofErr w:type="spellStart"/>
            <w:r w:rsidRPr="00B652DA">
              <w:rPr>
                <w:i/>
                <w:color w:val="000000"/>
              </w:rPr>
              <w:t>euro</w:t>
            </w:r>
            <w:proofErr w:type="spellEnd"/>
            <w:r w:rsidRPr="00B652DA">
              <w:rPr>
                <w:color w:val="000000"/>
              </w:rPr>
              <w:t>.</w:t>
            </w:r>
          </w:p>
          <w:p w:rsidR="004A2CF0" w:rsidRPr="00B652DA" w:rsidRDefault="004A2CF0" w:rsidP="004A2CF0">
            <w:pPr>
              <w:jc w:val="both"/>
              <w:rPr>
                <w:color w:val="000000"/>
              </w:rPr>
            </w:pPr>
            <w:r w:rsidRPr="00B652DA">
              <w:rPr>
                <w:color w:val="000000"/>
              </w:rPr>
              <w:t>1.2.  darba devēja valsts sociālās apdrošināšanas obligātās iemaksas, sociāla rakstura pabalsti un kompensācijas – 1</w:t>
            </w:r>
            <w:r w:rsidR="00DF37C4">
              <w:rPr>
                <w:color w:val="000000"/>
              </w:rPr>
              <w:t xml:space="preserve">8 920 </w:t>
            </w:r>
            <w:proofErr w:type="spellStart"/>
            <w:r w:rsidRPr="00B652DA">
              <w:rPr>
                <w:i/>
                <w:color w:val="000000"/>
              </w:rPr>
              <w:t>euro</w:t>
            </w:r>
            <w:proofErr w:type="spellEnd"/>
            <w:r w:rsidRPr="00B652DA">
              <w:rPr>
                <w:color w:val="000000"/>
              </w:rPr>
              <w:t>.</w:t>
            </w:r>
          </w:p>
          <w:p w:rsidR="004A2CF0" w:rsidRPr="00B652DA" w:rsidRDefault="004A2CF0" w:rsidP="004A2CF0">
            <w:pPr>
              <w:jc w:val="both"/>
              <w:rPr>
                <w:color w:val="000000"/>
              </w:rPr>
            </w:pPr>
            <w:r w:rsidRPr="00B652DA">
              <w:rPr>
                <w:color w:val="000000"/>
              </w:rPr>
              <w:t>2.  preces un pakalpojumi - par 28</w:t>
            </w:r>
            <w:r w:rsidR="00DF37C4">
              <w:rPr>
                <w:color w:val="000000"/>
              </w:rPr>
              <w:t xml:space="preserve"> </w:t>
            </w:r>
            <w:r w:rsidRPr="00B652DA">
              <w:rPr>
                <w:color w:val="000000"/>
              </w:rPr>
              <w:t>9</w:t>
            </w:r>
            <w:r w:rsidR="00DF37C4">
              <w:rPr>
                <w:color w:val="000000"/>
              </w:rPr>
              <w:t>00</w:t>
            </w:r>
            <w:r w:rsidRPr="00B652DA">
              <w:rPr>
                <w:color w:val="000000"/>
              </w:rPr>
              <w:t xml:space="preserve"> </w:t>
            </w:r>
            <w:proofErr w:type="spellStart"/>
            <w:r w:rsidRPr="00B652DA">
              <w:rPr>
                <w:i/>
                <w:color w:val="000000"/>
              </w:rPr>
              <w:t>euro</w:t>
            </w:r>
            <w:proofErr w:type="spellEnd"/>
            <w:r w:rsidRPr="00B652DA">
              <w:rPr>
                <w:color w:val="000000"/>
              </w:rPr>
              <w:t>, tai skaitā:</w:t>
            </w:r>
          </w:p>
          <w:p w:rsidR="004A2CF0" w:rsidRPr="00B652DA" w:rsidRDefault="004A2CF0" w:rsidP="004A2CF0">
            <w:pPr>
              <w:jc w:val="both"/>
              <w:rPr>
                <w:color w:val="000000"/>
              </w:rPr>
            </w:pPr>
            <w:r w:rsidRPr="00B652DA">
              <w:rPr>
                <w:color w:val="000000"/>
              </w:rPr>
              <w:t xml:space="preserve">    - 20</w:t>
            </w:r>
            <w:r w:rsidR="00DF37C4">
              <w:rPr>
                <w:color w:val="000000"/>
              </w:rPr>
              <w:t xml:space="preserve"> 000</w:t>
            </w:r>
            <w:r w:rsidRPr="00B652DA">
              <w:rPr>
                <w:color w:val="000000"/>
              </w:rPr>
              <w:t xml:space="preserve"> </w:t>
            </w:r>
            <w:proofErr w:type="spellStart"/>
            <w:r w:rsidRPr="00B652DA">
              <w:rPr>
                <w:i/>
                <w:color w:val="000000"/>
              </w:rPr>
              <w:t>euro</w:t>
            </w:r>
            <w:proofErr w:type="spellEnd"/>
            <w:r w:rsidRPr="00B652DA">
              <w:rPr>
                <w:color w:val="000000"/>
              </w:rPr>
              <w:t xml:space="preserve"> darbinieku komandējumiem un sanāksmju organizēšanai, ņemot vērā nepieciešamību  intensificēt NEFAB komiteju un darba grupu darbu pie NEFAB stratēģiskā plāna izstrādes un biznesa plāna izstrādes otrajam pārskata periodam (2015. – 2019.gadam), lai efektīvāk un straujākā tempā nodrošinātu NEFAB izveides principu īstenošanu.</w:t>
            </w:r>
          </w:p>
          <w:p w:rsidR="004A2CF0" w:rsidRPr="00B652DA" w:rsidRDefault="00B652DA" w:rsidP="004A2CF0">
            <w:pPr>
              <w:jc w:val="both"/>
              <w:rPr>
                <w:color w:val="000000"/>
              </w:rPr>
            </w:pPr>
            <w:r>
              <w:rPr>
                <w:color w:val="000000"/>
              </w:rPr>
              <w:t xml:space="preserve">   </w:t>
            </w:r>
            <w:r w:rsidR="004A2CF0" w:rsidRPr="00B652DA">
              <w:rPr>
                <w:color w:val="000000"/>
              </w:rPr>
              <w:t>- 89</w:t>
            </w:r>
            <w:r w:rsidR="00DF37C4">
              <w:rPr>
                <w:color w:val="000000"/>
              </w:rPr>
              <w:t xml:space="preserve">00 </w:t>
            </w:r>
            <w:proofErr w:type="spellStart"/>
            <w:r w:rsidR="004A2CF0" w:rsidRPr="00B652DA">
              <w:rPr>
                <w:i/>
                <w:color w:val="000000"/>
              </w:rPr>
              <w:t>euro</w:t>
            </w:r>
            <w:proofErr w:type="spellEnd"/>
            <w:r w:rsidR="004A2CF0" w:rsidRPr="00B652DA">
              <w:rPr>
                <w:color w:val="000000"/>
              </w:rPr>
              <w:t xml:space="preserve"> biroja preču, inventāra, </w:t>
            </w:r>
            <w:proofErr w:type="spellStart"/>
            <w:r w:rsidR="004A2CF0" w:rsidRPr="00B652DA">
              <w:rPr>
                <w:color w:val="000000"/>
              </w:rPr>
              <w:t>u.c</w:t>
            </w:r>
            <w:proofErr w:type="spellEnd"/>
            <w:r w:rsidR="004A2CF0" w:rsidRPr="00B652DA">
              <w:rPr>
                <w:color w:val="000000"/>
              </w:rPr>
              <w:t xml:space="preserve">. materiālu iegādei.     </w:t>
            </w:r>
          </w:p>
          <w:p w:rsidR="004A2CF0" w:rsidRPr="00B652DA" w:rsidRDefault="004A2CF0" w:rsidP="004A2CF0">
            <w:pPr>
              <w:pStyle w:val="TableContents"/>
              <w:snapToGrid w:val="0"/>
              <w:spacing w:after="60"/>
              <w:jc w:val="both"/>
              <w:rPr>
                <w:bCs/>
              </w:rPr>
            </w:pPr>
            <w:r w:rsidRPr="00B652DA">
              <w:rPr>
                <w:bCs/>
              </w:rPr>
              <w:lastRenderedPageBreak/>
              <w:t>3. Plānotie izdevumi pamatkapitāla veidošanai saistīti ar:</w:t>
            </w:r>
          </w:p>
          <w:p w:rsidR="004A2CF0" w:rsidRPr="00B652DA" w:rsidRDefault="004A2CF0" w:rsidP="004A2CF0">
            <w:pPr>
              <w:pStyle w:val="TableContents"/>
              <w:snapToGrid w:val="0"/>
              <w:spacing w:after="60"/>
              <w:jc w:val="both"/>
              <w:rPr>
                <w:color w:val="000000"/>
              </w:rPr>
            </w:pPr>
            <w:r w:rsidRPr="00B652DA">
              <w:rPr>
                <w:bCs/>
              </w:rPr>
              <w:t xml:space="preserve">    - </w:t>
            </w:r>
            <w:r w:rsidRPr="00B652DA">
              <w:rPr>
                <w:color w:val="000000"/>
              </w:rPr>
              <w:t xml:space="preserve">20 datoru, 3 portatīvo datoru (darbinieku komandējuma vajadzībām), datorprogrammu MS Windows </w:t>
            </w:r>
            <w:proofErr w:type="spellStart"/>
            <w:r w:rsidRPr="00B652DA">
              <w:rPr>
                <w:color w:val="000000"/>
              </w:rPr>
              <w:t>Pro</w:t>
            </w:r>
            <w:proofErr w:type="spellEnd"/>
            <w:r w:rsidRPr="00B652DA">
              <w:rPr>
                <w:color w:val="000000"/>
              </w:rPr>
              <w:t xml:space="preserve"> 7 vai 8 iegādi par 21 </w:t>
            </w:r>
            <w:r w:rsidR="00DF37C4">
              <w:rPr>
                <w:color w:val="000000"/>
              </w:rPr>
              <w:t>000</w:t>
            </w:r>
            <w:r w:rsidRPr="00B652DA">
              <w:rPr>
                <w:color w:val="000000"/>
              </w:rPr>
              <w:t xml:space="preserve"> </w:t>
            </w:r>
            <w:proofErr w:type="spellStart"/>
            <w:r w:rsidRPr="00B652DA">
              <w:rPr>
                <w:i/>
                <w:color w:val="000000"/>
              </w:rPr>
              <w:t>euro</w:t>
            </w:r>
            <w:proofErr w:type="spellEnd"/>
            <w:r w:rsidRPr="00B652DA">
              <w:rPr>
                <w:color w:val="000000"/>
              </w:rPr>
              <w:t>,</w:t>
            </w:r>
          </w:p>
          <w:p w:rsidR="004A2CF0" w:rsidRPr="00B652DA" w:rsidRDefault="004A2CF0" w:rsidP="004A2CF0">
            <w:pPr>
              <w:pStyle w:val="TableContents"/>
              <w:snapToGrid w:val="0"/>
              <w:spacing w:after="60"/>
              <w:jc w:val="both"/>
              <w:rPr>
                <w:color w:val="000000"/>
              </w:rPr>
            </w:pPr>
            <w:r w:rsidRPr="00B652DA">
              <w:rPr>
                <w:color w:val="000000"/>
              </w:rPr>
              <w:t xml:space="preserve">    - saimniecības pamatlīdzekļu iegādi par 14</w:t>
            </w:r>
            <w:r w:rsidR="00DF37C4">
              <w:rPr>
                <w:color w:val="000000"/>
              </w:rPr>
              <w:t xml:space="preserve"> </w:t>
            </w:r>
            <w:r w:rsidRPr="00B652DA">
              <w:rPr>
                <w:color w:val="000000"/>
              </w:rPr>
              <w:t>6</w:t>
            </w:r>
            <w:r w:rsidR="00DF37C4">
              <w:rPr>
                <w:color w:val="000000"/>
              </w:rPr>
              <w:t>00</w:t>
            </w:r>
            <w:r w:rsidRPr="00B652DA">
              <w:rPr>
                <w:color w:val="000000"/>
              </w:rPr>
              <w:t xml:space="preserve"> </w:t>
            </w:r>
            <w:proofErr w:type="spellStart"/>
            <w:r w:rsidRPr="00B652DA">
              <w:rPr>
                <w:i/>
                <w:color w:val="000000"/>
              </w:rPr>
              <w:t>euro</w:t>
            </w:r>
            <w:proofErr w:type="spellEnd"/>
            <w:r w:rsidRPr="00B652DA">
              <w:rPr>
                <w:color w:val="000000"/>
              </w:rPr>
              <w:t>.</w:t>
            </w:r>
          </w:p>
          <w:p w:rsidR="004A2CF0" w:rsidRPr="00B652DA" w:rsidRDefault="004A2CF0" w:rsidP="004A2CF0">
            <w:pPr>
              <w:widowControl/>
              <w:suppressAutoHyphens w:val="0"/>
              <w:jc w:val="both"/>
              <w:rPr>
                <w:kern w:val="0"/>
                <w:lang w:eastAsia="lv-LV"/>
              </w:rPr>
            </w:pPr>
            <w:r w:rsidRPr="00B652DA">
              <w:rPr>
                <w:color w:val="000000"/>
              </w:rPr>
              <w:t xml:space="preserve">     2015.gadam atalgojuma un atlīdzības palielinājums norādīts saistībā ar </w:t>
            </w:r>
            <w:r w:rsidRPr="00B652DA">
              <w:rPr>
                <w:bCs/>
              </w:rPr>
              <w:t>Latvijas prezidentūru Eiropas Savienības Padomē 2015.gadā, bet 2016.gadam un 2017.gadam plānotais atalgojuma un atlīdzības apmērs tiek samazināts, jo pasākumi, kas saistās ar Prezidentūru, būs pagājuši.</w:t>
            </w:r>
          </w:p>
        </w:tc>
      </w:tr>
      <w:tr w:rsidR="003D34EF" w:rsidRPr="003D34EF"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3D34EF" w:rsidRPr="003D34EF" w:rsidTr="003D34E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2945F3" w:rsidP="002945F3">
            <w:pPr>
              <w:widowControl/>
              <w:suppressAutoHyphens w:val="0"/>
              <w:spacing w:before="100" w:beforeAutospacing="1" w:after="100" w:afterAutospacing="1"/>
              <w:rPr>
                <w:kern w:val="0"/>
                <w:lang w:eastAsia="lv-LV"/>
              </w:rPr>
            </w:pPr>
            <w:r>
              <w:rPr>
                <w:kern w:val="0"/>
                <w:lang w:eastAsia="lv-LV"/>
              </w:rPr>
              <w:t>Nav</w:t>
            </w:r>
            <w:r w:rsidR="00B652DA">
              <w:rPr>
                <w:lang w:eastAsia="lv-LV"/>
              </w:rPr>
              <w:t>.</w:t>
            </w:r>
          </w:p>
        </w:tc>
      </w:tr>
    </w:tbl>
    <w:p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668"/>
        <w:gridCol w:w="6093"/>
      </w:tblGrid>
      <w:tr w:rsidR="003D34EF" w:rsidRPr="003D34EF" w:rsidTr="003D34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1.</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2.</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3.</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8037CF" w:rsidP="00ED6B33">
            <w:pPr>
              <w:widowControl/>
              <w:suppressAutoHyphens w:val="0"/>
              <w:spacing w:before="100" w:beforeAutospacing="1" w:after="100" w:afterAutospacing="1"/>
              <w:jc w:val="both"/>
              <w:rPr>
                <w:kern w:val="0"/>
                <w:lang w:eastAsia="lv-LV"/>
              </w:rPr>
            </w:pPr>
            <w:r>
              <w:rPr>
                <w:kern w:val="0"/>
                <w:lang w:eastAsia="lv-LV"/>
              </w:rPr>
              <w:t>Nav.</w:t>
            </w:r>
          </w:p>
        </w:tc>
      </w:tr>
    </w:tbl>
    <w:p w:rsidR="00107688"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52" w:type="pct"/>
        <w:jc w:val="center"/>
        <w:tblInd w:w="-47"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1"/>
        <w:gridCol w:w="453"/>
        <w:gridCol w:w="1563"/>
        <w:gridCol w:w="1924"/>
        <w:gridCol w:w="122"/>
        <w:gridCol w:w="2563"/>
        <w:gridCol w:w="2365"/>
        <w:gridCol w:w="180"/>
      </w:tblGrid>
      <w:tr w:rsidR="00107688" w:rsidRPr="00DD49B6" w:rsidTr="00EB16AB">
        <w:trPr>
          <w:gridBefore w:val="1"/>
          <w:gridAfter w:val="1"/>
          <w:wBefore w:w="51" w:type="dxa"/>
          <w:wAfter w:w="180" w:type="dxa"/>
          <w:jc w:val="center"/>
        </w:trPr>
        <w:tc>
          <w:tcPr>
            <w:tcW w:w="8990" w:type="dxa"/>
            <w:gridSpan w:val="6"/>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rPr>
                <w:b/>
              </w:rPr>
            </w:pPr>
            <w:r w:rsidRPr="00DD49B6">
              <w:rPr>
                <w:b/>
              </w:rPr>
              <w:t>1.tabula</w:t>
            </w:r>
          </w:p>
          <w:p w:rsidR="00107688" w:rsidRPr="00DD49B6" w:rsidRDefault="00107688" w:rsidP="00DC5AF4">
            <w:pPr>
              <w:ind w:left="57"/>
              <w:jc w:val="center"/>
            </w:pPr>
            <w:r w:rsidRPr="00DD49B6">
              <w:rPr>
                <w:b/>
              </w:rPr>
              <w:t>Tiesību akta projekta atbilstība ES tiesību aktiem</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Attiecīgā ES tiesību akta datums, numurs un nosaukums</w:t>
            </w:r>
          </w:p>
        </w:tc>
        <w:tc>
          <w:tcPr>
            <w:tcW w:w="6974" w:type="dxa"/>
            <w:gridSpan w:val="4"/>
            <w:tcBorders>
              <w:top w:val="outset" w:sz="6" w:space="0" w:color="auto"/>
              <w:left w:val="outset" w:sz="6" w:space="0" w:color="auto"/>
              <w:bottom w:val="outset" w:sz="6" w:space="0" w:color="auto"/>
              <w:right w:val="outset" w:sz="6" w:space="0" w:color="auto"/>
            </w:tcBorders>
          </w:tcPr>
          <w:p w:rsidR="004056F4" w:rsidRDefault="008037CF" w:rsidP="00DC5AF4">
            <w:pPr>
              <w:ind w:left="57" w:right="57"/>
              <w:jc w:val="both"/>
              <w:rPr>
                <w:sz w:val="26"/>
                <w:szCs w:val="26"/>
              </w:rPr>
            </w:pPr>
            <w:r w:rsidRPr="00D31D4B">
              <w:rPr>
                <w:sz w:val="26"/>
                <w:szCs w:val="26"/>
              </w:rPr>
              <w:t>Komisi</w:t>
            </w:r>
            <w:r>
              <w:rPr>
                <w:sz w:val="26"/>
                <w:szCs w:val="26"/>
              </w:rPr>
              <w:t>jas 2006.gada 6.decembra Regula</w:t>
            </w:r>
            <w:r w:rsidRPr="00D31D4B">
              <w:rPr>
                <w:sz w:val="26"/>
                <w:szCs w:val="26"/>
              </w:rPr>
              <w:t xml:space="preserve"> (EK) </w:t>
            </w:r>
            <w:proofErr w:type="spellStart"/>
            <w:r w:rsidRPr="00D31D4B">
              <w:rPr>
                <w:sz w:val="26"/>
                <w:szCs w:val="26"/>
              </w:rPr>
              <w:t>Nr</w:t>
            </w:r>
            <w:proofErr w:type="spellEnd"/>
            <w:r w:rsidRPr="00D31D4B">
              <w:rPr>
                <w:sz w:val="26"/>
                <w:szCs w:val="26"/>
              </w:rPr>
              <w:t>. 1794/2006, ar ko nosaka kopēju tarifikācijas sistēmu aeronavigācijas pakalpojumiem</w:t>
            </w:r>
            <w:r w:rsidR="009C21B3">
              <w:rPr>
                <w:sz w:val="26"/>
                <w:szCs w:val="26"/>
              </w:rPr>
              <w:t xml:space="preserve"> </w:t>
            </w:r>
          </w:p>
          <w:p w:rsidR="00107688" w:rsidRPr="00DD49B6" w:rsidRDefault="004056F4" w:rsidP="00DC5AF4">
            <w:pPr>
              <w:ind w:left="57" w:right="57"/>
              <w:jc w:val="both"/>
            </w:pPr>
            <w:r>
              <w:rPr>
                <w:sz w:val="26"/>
                <w:szCs w:val="26"/>
              </w:rPr>
              <w:t>(</w:t>
            </w:r>
            <w:r>
              <w:rPr>
                <w:i/>
                <w:iCs/>
                <w:sz w:val="26"/>
                <w:szCs w:val="26"/>
              </w:rPr>
              <w:t xml:space="preserve">Oficiālais Vēstnesis </w:t>
            </w:r>
            <w:r>
              <w:rPr>
                <w:i/>
                <w:iCs/>
                <w:color w:val="444444"/>
                <w:sz w:val="26"/>
                <w:szCs w:val="26"/>
              </w:rPr>
              <w:t xml:space="preserve">L 341, 07/12/2006, </w:t>
            </w:r>
            <w:proofErr w:type="spellStart"/>
            <w:r>
              <w:rPr>
                <w:i/>
                <w:iCs/>
                <w:sz w:val="26"/>
                <w:szCs w:val="26"/>
              </w:rPr>
              <w:t>Lpp</w:t>
            </w:r>
            <w:proofErr w:type="spellEnd"/>
            <w:r>
              <w:rPr>
                <w:i/>
                <w:iCs/>
                <w:sz w:val="26"/>
                <w:szCs w:val="26"/>
              </w:rPr>
              <w:t>. 003 – 016).</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A</w:t>
            </w:r>
          </w:p>
        </w:tc>
        <w:tc>
          <w:tcPr>
            <w:tcW w:w="2046" w:type="dxa"/>
            <w:gridSpan w:val="2"/>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B</w:t>
            </w:r>
          </w:p>
        </w:tc>
        <w:tc>
          <w:tcPr>
            <w:tcW w:w="2563" w:type="dxa"/>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C</w:t>
            </w:r>
          </w:p>
        </w:tc>
        <w:tc>
          <w:tcPr>
            <w:tcW w:w="2365" w:type="dxa"/>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D</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Attiecīgā ES tiesību akta panta numurs (uzskaitot katru tiesību akta vienību – pantu, daļu, punktu, apakšpunktu)</w:t>
            </w:r>
          </w:p>
        </w:tc>
        <w:tc>
          <w:tcPr>
            <w:tcW w:w="204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Projekta vienība, kas pārņem vai ievieš katru šīs tabulas A</w:t>
            </w:r>
            <w:r>
              <w:rPr>
                <w:spacing w:val="-3"/>
              </w:rPr>
              <w:t> </w:t>
            </w:r>
            <w:r w:rsidRPr="00DD49B6">
              <w:rPr>
                <w:spacing w:val="-3"/>
              </w:rPr>
              <w:t>ailē minēto ES tiesību akta vienību, vai tiesību akts, kur attiecīgā ES tiesību akta vienība pārņemta vai ieviesta</w:t>
            </w:r>
          </w:p>
        </w:tc>
        <w:tc>
          <w:tcPr>
            <w:tcW w:w="2563" w:type="dxa"/>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Informācija par to, vai šīs tabulas A ailē minētās ES tiesību akta vienības tiek pārņemtas vai ieviestas pilnībā vai daļēji.</w:t>
            </w:r>
          </w:p>
          <w:p w:rsidR="00107688" w:rsidRPr="00DD49B6" w:rsidRDefault="00107688" w:rsidP="00DC5AF4">
            <w:pPr>
              <w:ind w:left="57"/>
              <w:rPr>
                <w:spacing w:val="-3"/>
              </w:rPr>
            </w:pPr>
            <w:r w:rsidRPr="00DD49B6">
              <w:rPr>
                <w:spacing w:val="-3"/>
              </w:rPr>
              <w:t xml:space="preserve">Ja attiecīgā ES tiesību akta vienība tiek pārņemta vai ieviesta daļēji, sniedz attiecīgu skaidrojumu, kā arī precīzi norāda, kad un </w:t>
            </w:r>
            <w:r w:rsidRPr="00DD49B6">
              <w:rPr>
                <w:spacing w:val="-3"/>
              </w:rPr>
              <w:lastRenderedPageBreak/>
              <w:t>kādā veidā ES tiesību akta vienība tiks pārņemta vai ieviesta pilnībā.</w:t>
            </w:r>
          </w:p>
          <w:p w:rsidR="00107688" w:rsidRPr="00DD49B6" w:rsidRDefault="00107688" w:rsidP="00DC5AF4">
            <w:pPr>
              <w:ind w:left="57"/>
              <w:rPr>
                <w:spacing w:val="-3"/>
              </w:rPr>
            </w:pPr>
            <w:r w:rsidRPr="00DD49B6">
              <w:rPr>
                <w:spacing w:val="-3"/>
              </w:rPr>
              <w:t>Norāda institūciju, kas ir atbildīga par šo saistību izpildi pilnībā</w:t>
            </w:r>
          </w:p>
        </w:tc>
        <w:tc>
          <w:tcPr>
            <w:tcW w:w="2365" w:type="dxa"/>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rPr>
                <w:spacing w:val="-3"/>
              </w:rPr>
              <w:lastRenderedPageBreak/>
              <w:t xml:space="preserve">Informācija par to, vai šīs </w:t>
            </w:r>
            <w:r w:rsidRPr="00DD49B6">
              <w:t>tabulas B ailē minētās projekta vienības paredz stingrākas prasības nekā šīs tabulas A ailē minētās ES tiesību akta vienības.</w:t>
            </w:r>
          </w:p>
          <w:p w:rsidR="00107688" w:rsidRPr="00DD49B6" w:rsidRDefault="00107688" w:rsidP="00DC5AF4">
            <w:pPr>
              <w:ind w:left="57"/>
            </w:pPr>
            <w:r w:rsidRPr="00DD49B6">
              <w:t>Ja projekts satur stingrākas prasības nekā attiecīgais ES tiesību akts,</w:t>
            </w:r>
            <w:r>
              <w:t xml:space="preserve"> </w:t>
            </w:r>
            <w:r w:rsidRPr="00DD49B6">
              <w:t xml:space="preserve">norāda </w:t>
            </w:r>
            <w:r w:rsidRPr="00DD49B6">
              <w:lastRenderedPageBreak/>
              <w:t>pamatojumu un samērīgumu.</w:t>
            </w:r>
          </w:p>
          <w:p w:rsidR="00107688" w:rsidRPr="00DD49B6" w:rsidRDefault="00107688" w:rsidP="00DC5AF4">
            <w:pPr>
              <w:ind w:left="57"/>
              <w:rPr>
                <w:spacing w:val="-3"/>
              </w:rPr>
            </w:pPr>
            <w:r w:rsidRPr="00DD49B6">
              <w:t>Norāda iespējamās alternatīvas (</w:t>
            </w:r>
            <w:proofErr w:type="spellStart"/>
            <w:r w:rsidRPr="00DD49B6">
              <w:t>t.sk</w:t>
            </w:r>
            <w:proofErr w:type="spellEnd"/>
            <w:r w:rsidRPr="00DD49B6">
              <w:t>. alternatīvas, kas neparedz tiesiskā regulējuma izstrādi) – kādos gadījumos būtu iespējams izvairīties no stingrāku prasību</w:t>
            </w:r>
            <w:r w:rsidRPr="00DD49B6">
              <w:rPr>
                <w:spacing w:val="-3"/>
              </w:rPr>
              <w:t xml:space="preserve"> noteikšanas, nekā paredzēts attiecīgajos ES tiesību aktos</w:t>
            </w:r>
          </w:p>
        </w:tc>
      </w:tr>
      <w:tr w:rsidR="008037CF"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lastRenderedPageBreak/>
              <w:t>Projekts šo jomu neskar.</w:t>
            </w:r>
          </w:p>
        </w:tc>
        <w:tc>
          <w:tcPr>
            <w:tcW w:w="2046" w:type="dxa"/>
            <w:gridSpan w:val="2"/>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c>
          <w:tcPr>
            <w:tcW w:w="2563" w:type="dxa"/>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c>
          <w:tcPr>
            <w:tcW w:w="2365" w:type="dxa"/>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rsidR="00107688" w:rsidRPr="00DD49B6" w:rsidRDefault="00107688" w:rsidP="00DC5AF4">
            <w:pPr>
              <w:ind w:left="57"/>
              <w:rPr>
                <w:spacing w:val="-3"/>
              </w:rPr>
            </w:pPr>
            <w:r w:rsidRPr="00DD49B6">
              <w:rPr>
                <w:spacing w:val="-3"/>
              </w:rPr>
              <w:t>Kādēļ?</w:t>
            </w:r>
          </w:p>
        </w:tc>
        <w:tc>
          <w:tcPr>
            <w:tcW w:w="6974" w:type="dxa"/>
            <w:gridSpan w:val="4"/>
            <w:tcBorders>
              <w:top w:val="outset" w:sz="6" w:space="0" w:color="auto"/>
              <w:left w:val="outset" w:sz="6" w:space="0" w:color="auto"/>
              <w:bottom w:val="outset" w:sz="6" w:space="0" w:color="auto"/>
              <w:right w:val="outset" w:sz="6" w:space="0" w:color="auto"/>
            </w:tcBorders>
          </w:tcPr>
          <w:p w:rsidR="00107688" w:rsidRPr="00DD49B6" w:rsidRDefault="00EB16AB" w:rsidP="008037CF">
            <w:pPr>
              <w:ind w:left="57"/>
              <w:jc w:val="both"/>
            </w:pPr>
            <w:r w:rsidRPr="003D34EF">
              <w:rPr>
                <w:kern w:val="0"/>
                <w:lang w:eastAsia="lv-LV"/>
              </w:rPr>
              <w:t xml:space="preserve">Saskaņā ar Komisijas 2006.gada 6.decembra Regulas (EK) </w:t>
            </w:r>
            <w:proofErr w:type="spellStart"/>
            <w:r w:rsidRPr="003D34EF">
              <w:rPr>
                <w:kern w:val="0"/>
                <w:lang w:eastAsia="lv-LV"/>
              </w:rPr>
              <w:t>Nr</w:t>
            </w:r>
            <w:proofErr w:type="spellEnd"/>
            <w:r w:rsidRPr="003D34EF">
              <w:rPr>
                <w:kern w:val="0"/>
                <w:lang w:eastAsia="lv-LV"/>
              </w:rPr>
              <w:t xml:space="preserve">. 1794/2006, ar ko nosaka kopēju tarifikācijas sistēmu aeronavigācijas pakalpojumiem 5.panta 2.punktu dalībvalstis ir tiesības noteikt izmaksas,  ja tās radušās saistībā ar aeronavigācijas pakalpojumu sniegšanu. Ņemot vērā minēto ar šo rīkojumu tiek noteiktas izmaksas, lai finansētu </w:t>
            </w:r>
            <w:r>
              <w:rPr>
                <w:kern w:val="0"/>
                <w:lang w:eastAsia="lv-LV"/>
              </w:rPr>
              <w:t>Civilās aviācijas aģentūras</w:t>
            </w:r>
            <w:r w:rsidRPr="003D34EF">
              <w:rPr>
                <w:kern w:val="0"/>
                <w:lang w:eastAsia="lv-LV"/>
              </w:rPr>
              <w:t xml:space="preserve"> izdevumus, kas saistīti ar aeronavigācijas pakalpojumu nodrošināšanas, kontroles un uzraudzības, gaisa telpas bloka pārvaldības darbību (funkciju) izpildi.</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4"/>
              </w:rPr>
              <w:t>Saistības sniegt 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šanas un finanšu noteikumu (attiecībā uz monetāro politiku) projektiem</w:t>
            </w:r>
          </w:p>
        </w:tc>
        <w:tc>
          <w:tcPr>
            <w:tcW w:w="6974" w:type="dxa"/>
            <w:gridSpan w:val="4"/>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t>Projekts šo jomu neskar</w:t>
            </w:r>
            <w:r w:rsidR="008037CF">
              <w:t>.</w:t>
            </w:r>
          </w:p>
        </w:tc>
      </w:tr>
      <w:tr w:rsidR="00107688" w:rsidRPr="00DD49B6" w:rsidTr="00EB16AB">
        <w:trPr>
          <w:gridBefore w:val="1"/>
          <w:gridAfter w:val="1"/>
          <w:wBefore w:w="51" w:type="dxa"/>
          <w:wAfter w:w="180"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Cita informācija</w:t>
            </w:r>
          </w:p>
        </w:tc>
        <w:tc>
          <w:tcPr>
            <w:tcW w:w="6974" w:type="dxa"/>
            <w:gridSpan w:val="4"/>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Nav</w:t>
            </w:r>
          </w:p>
        </w:tc>
      </w:tr>
      <w:tr w:rsidR="003D34EF" w:rsidRPr="003D34EF" w:rsidTr="00EB16AB">
        <w:tblPrEx>
          <w:tblCellSpacing w:w="15" w:type="dxa"/>
          <w:tblCellMar>
            <w:top w:w="30" w:type="dxa"/>
            <w:left w:w="30" w:type="dxa"/>
            <w:bottom w:w="30" w:type="dxa"/>
            <w:right w:w="30" w:type="dxa"/>
          </w:tblCellMar>
        </w:tblPrEx>
        <w:trPr>
          <w:trHeight w:val="375"/>
          <w:tblCellSpacing w:w="15" w:type="dxa"/>
          <w:jc w:val="center"/>
        </w:trPr>
        <w:tc>
          <w:tcPr>
            <w:tcW w:w="9221" w:type="dxa"/>
            <w:gridSpan w:val="8"/>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3D34EF" w:rsidRPr="003D34EF" w:rsidTr="00EB16AB">
        <w:tblPrEx>
          <w:tblCellSpacing w:w="15" w:type="dxa"/>
          <w:tblCellMar>
            <w:top w:w="30" w:type="dxa"/>
            <w:left w:w="30" w:type="dxa"/>
            <w:bottom w:w="30" w:type="dxa"/>
            <w:right w:w="30" w:type="dxa"/>
          </w:tblCellMar>
        </w:tblPrEx>
        <w:trPr>
          <w:trHeight w:val="42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1.</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5230" w:type="dxa"/>
            <w:gridSpan w:val="4"/>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Civilās aviācijas aģentūra, valsts akciju sabiedrība „Latvijas gaisa satiksme”, valsts akciju sabiedrība „Starptautiskā lidosta „Rīga””.</w:t>
            </w:r>
          </w:p>
        </w:tc>
      </w:tr>
      <w:tr w:rsidR="003D34EF" w:rsidRPr="003D34EF" w:rsidTr="00EB16AB">
        <w:tblPrEx>
          <w:tblCellSpacing w:w="15" w:type="dxa"/>
          <w:tblCellMar>
            <w:top w:w="30" w:type="dxa"/>
            <w:left w:w="30" w:type="dxa"/>
            <w:bottom w:w="30" w:type="dxa"/>
            <w:right w:w="30" w:type="dxa"/>
          </w:tblCellMar>
        </w:tblPrEx>
        <w:trPr>
          <w:trHeight w:val="45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2.</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lastRenderedPageBreak/>
              <w:t>Jaunu institūciju izveide, esošu institūciju likvidācija vai reorganizācija, to ietekme uz institūcijas cilvēkresursiem</w:t>
            </w:r>
          </w:p>
        </w:tc>
        <w:tc>
          <w:tcPr>
            <w:tcW w:w="5230" w:type="dxa"/>
            <w:gridSpan w:val="4"/>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lastRenderedPageBreak/>
              <w:t>Projekts šo jomu neskar.</w:t>
            </w:r>
          </w:p>
        </w:tc>
      </w:tr>
      <w:tr w:rsidR="003D34EF" w:rsidRPr="003D34EF" w:rsidTr="00EB16AB">
        <w:tblPrEx>
          <w:tblCellSpacing w:w="15" w:type="dxa"/>
          <w:tblCellMar>
            <w:top w:w="30" w:type="dxa"/>
            <w:left w:w="30" w:type="dxa"/>
            <w:bottom w:w="30" w:type="dxa"/>
            <w:right w:w="30" w:type="dxa"/>
          </w:tblCellMar>
        </w:tblPrEx>
        <w:trPr>
          <w:trHeight w:val="39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lastRenderedPageBreak/>
              <w:t>3.</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5230" w:type="dxa"/>
            <w:gridSpan w:val="4"/>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rsidR="00DF37C4" w:rsidRDefault="00DF37C4" w:rsidP="008E4320">
      <w:pPr>
        <w:spacing w:before="75" w:after="75"/>
        <w:ind w:firstLine="375"/>
        <w:jc w:val="both"/>
        <w:rPr>
          <w:sz w:val="26"/>
          <w:szCs w:val="26"/>
        </w:rPr>
      </w:pPr>
    </w:p>
    <w:p w:rsidR="00223F69" w:rsidRPr="00670305" w:rsidRDefault="00223F69" w:rsidP="008E4320">
      <w:pPr>
        <w:spacing w:before="75" w:after="75"/>
        <w:ind w:firstLine="375"/>
        <w:jc w:val="both"/>
        <w:rPr>
          <w:sz w:val="26"/>
          <w:szCs w:val="26"/>
        </w:rPr>
      </w:pPr>
      <w:r w:rsidRPr="00670305">
        <w:rPr>
          <w:sz w:val="26"/>
          <w:szCs w:val="26"/>
        </w:rPr>
        <w:t>Anotācijas II, III</w:t>
      </w:r>
      <w:r w:rsidR="003D34EF">
        <w:rPr>
          <w:sz w:val="26"/>
          <w:szCs w:val="26"/>
        </w:rPr>
        <w:t>, IV</w:t>
      </w:r>
      <w:r w:rsidRPr="00670305">
        <w:rPr>
          <w:sz w:val="26"/>
          <w:szCs w:val="26"/>
        </w:rPr>
        <w:t xml:space="preserve"> un VI sadaļa – Projekts šīs jomas neskar.</w:t>
      </w:r>
    </w:p>
    <w:p w:rsidR="003D34EF" w:rsidRDefault="003D34EF" w:rsidP="00374C08">
      <w:pPr>
        <w:pStyle w:val="Signature"/>
        <w:widowControl/>
        <w:tabs>
          <w:tab w:val="left" w:pos="6120"/>
        </w:tabs>
        <w:spacing w:before="120"/>
        <w:rPr>
          <w:color w:val="000000"/>
          <w:sz w:val="26"/>
          <w:szCs w:val="26"/>
        </w:rPr>
      </w:pPr>
    </w:p>
    <w:p w:rsidR="00223F69" w:rsidRPr="00D31D4B" w:rsidRDefault="00223F69" w:rsidP="00374C08">
      <w:pPr>
        <w:pStyle w:val="Signature"/>
        <w:widowControl/>
        <w:tabs>
          <w:tab w:val="left" w:pos="6120"/>
        </w:tabs>
        <w:spacing w:before="120"/>
        <w:rPr>
          <w:color w:val="000000"/>
          <w:sz w:val="26"/>
          <w:szCs w:val="26"/>
        </w:rPr>
      </w:pPr>
      <w:r w:rsidRPr="00D31D4B">
        <w:rPr>
          <w:color w:val="000000"/>
          <w:sz w:val="26"/>
          <w:szCs w:val="26"/>
        </w:rPr>
        <w:t>Satiksmes ministr</w:t>
      </w:r>
      <w:r w:rsidR="005D2EDD">
        <w:rPr>
          <w:color w:val="000000"/>
          <w:sz w:val="26"/>
          <w:szCs w:val="26"/>
        </w:rPr>
        <w:t>s</w:t>
      </w:r>
      <w:r w:rsidRPr="00D31D4B">
        <w:rPr>
          <w:color w:val="000000"/>
          <w:sz w:val="26"/>
          <w:szCs w:val="26"/>
        </w:rPr>
        <w:tab/>
        <w:t>A.</w:t>
      </w:r>
      <w:r w:rsidR="005D2EDD">
        <w:rPr>
          <w:color w:val="000000"/>
          <w:sz w:val="26"/>
          <w:szCs w:val="26"/>
        </w:rPr>
        <w:t>Matīss</w:t>
      </w:r>
    </w:p>
    <w:p w:rsidR="00223F69" w:rsidRPr="00D31D4B" w:rsidRDefault="00223F69" w:rsidP="008E4320">
      <w:pPr>
        <w:tabs>
          <w:tab w:val="left" w:pos="6480"/>
        </w:tabs>
        <w:ind w:firstLine="720"/>
        <w:jc w:val="both"/>
        <w:rPr>
          <w:color w:val="000000"/>
          <w:sz w:val="26"/>
          <w:szCs w:val="26"/>
        </w:rPr>
      </w:pPr>
    </w:p>
    <w:p w:rsidR="00223F69" w:rsidRPr="00D31D4B" w:rsidRDefault="00223F69" w:rsidP="00D422E6">
      <w:pPr>
        <w:tabs>
          <w:tab w:val="left" w:pos="6120"/>
        </w:tabs>
        <w:ind w:firstLine="720"/>
        <w:jc w:val="both"/>
        <w:rPr>
          <w:color w:val="000000"/>
          <w:sz w:val="26"/>
          <w:szCs w:val="26"/>
        </w:rPr>
      </w:pPr>
      <w:r w:rsidRPr="00D31D4B">
        <w:rPr>
          <w:color w:val="000000"/>
          <w:sz w:val="26"/>
          <w:szCs w:val="26"/>
        </w:rPr>
        <w:t xml:space="preserve">Vīza: </w:t>
      </w:r>
      <w:r w:rsidR="000D4CD1">
        <w:rPr>
          <w:color w:val="000000"/>
          <w:sz w:val="26"/>
          <w:szCs w:val="26"/>
        </w:rPr>
        <w:t>V</w:t>
      </w:r>
      <w:r w:rsidRPr="00D31D4B">
        <w:rPr>
          <w:color w:val="000000"/>
          <w:sz w:val="26"/>
          <w:szCs w:val="26"/>
        </w:rPr>
        <w:t>alsts sekretārs</w:t>
      </w:r>
      <w:r w:rsidRPr="00D31D4B">
        <w:rPr>
          <w:color w:val="000000"/>
          <w:sz w:val="26"/>
          <w:szCs w:val="26"/>
        </w:rPr>
        <w:tab/>
      </w:r>
      <w:r w:rsidR="005D2EDD">
        <w:rPr>
          <w:color w:val="000000"/>
          <w:sz w:val="26"/>
          <w:szCs w:val="26"/>
        </w:rPr>
        <w:t>K.Ozoliņš</w:t>
      </w:r>
    </w:p>
    <w:p w:rsidR="00223F69" w:rsidRDefault="00223F69" w:rsidP="008E4320">
      <w:pPr>
        <w:pStyle w:val="Header"/>
        <w:tabs>
          <w:tab w:val="left" w:pos="720"/>
        </w:tabs>
        <w:rPr>
          <w:color w:val="000000"/>
          <w:sz w:val="26"/>
          <w:szCs w:val="26"/>
        </w:rPr>
      </w:pPr>
    </w:p>
    <w:p w:rsidR="00DF37C4" w:rsidRDefault="00DF37C4" w:rsidP="008E4320">
      <w:pPr>
        <w:pStyle w:val="Header"/>
        <w:tabs>
          <w:tab w:val="left" w:pos="720"/>
        </w:tabs>
        <w:rPr>
          <w:color w:val="000000"/>
          <w:sz w:val="26"/>
          <w:szCs w:val="26"/>
        </w:rPr>
      </w:pPr>
    </w:p>
    <w:p w:rsidR="00A11C63" w:rsidRDefault="00A11C63" w:rsidP="008E4320">
      <w:pPr>
        <w:pStyle w:val="Header"/>
        <w:tabs>
          <w:tab w:val="left" w:pos="720"/>
        </w:tabs>
        <w:rPr>
          <w:color w:val="000000"/>
          <w:sz w:val="26"/>
          <w:szCs w:val="26"/>
        </w:rPr>
      </w:pPr>
    </w:p>
    <w:p w:rsidR="002945F3" w:rsidRDefault="002945F3" w:rsidP="008E4320">
      <w:pPr>
        <w:pStyle w:val="Header"/>
        <w:tabs>
          <w:tab w:val="left" w:pos="720"/>
        </w:tabs>
        <w:rPr>
          <w:color w:val="000000"/>
          <w:sz w:val="26"/>
          <w:szCs w:val="26"/>
        </w:rPr>
      </w:pPr>
    </w:p>
    <w:p w:rsidR="002945F3" w:rsidRDefault="002945F3" w:rsidP="008E4320">
      <w:pPr>
        <w:pStyle w:val="Header"/>
        <w:tabs>
          <w:tab w:val="left" w:pos="720"/>
        </w:tabs>
        <w:rPr>
          <w:color w:val="000000"/>
          <w:sz w:val="26"/>
          <w:szCs w:val="26"/>
        </w:rPr>
      </w:pPr>
    </w:p>
    <w:p w:rsidR="00223F69" w:rsidRPr="00670305" w:rsidRDefault="00223F69" w:rsidP="008E4320">
      <w:pPr>
        <w:pStyle w:val="Header"/>
        <w:tabs>
          <w:tab w:val="left" w:pos="720"/>
        </w:tabs>
        <w:rPr>
          <w:color w:val="000000"/>
          <w:sz w:val="26"/>
          <w:szCs w:val="26"/>
        </w:rPr>
      </w:pPr>
    </w:p>
    <w:p w:rsidR="00223F69" w:rsidRPr="00670305" w:rsidRDefault="00EB16AB" w:rsidP="008E4320">
      <w:pPr>
        <w:pStyle w:val="Header"/>
        <w:tabs>
          <w:tab w:val="left" w:pos="720"/>
        </w:tabs>
        <w:rPr>
          <w:color w:val="000000"/>
          <w:sz w:val="26"/>
          <w:szCs w:val="26"/>
        </w:rPr>
      </w:pPr>
      <w:r>
        <w:rPr>
          <w:color w:val="000000"/>
          <w:sz w:val="26"/>
          <w:szCs w:val="26"/>
        </w:rPr>
        <w:t>03</w:t>
      </w:r>
      <w:r w:rsidR="00B96B29">
        <w:rPr>
          <w:color w:val="000000"/>
          <w:sz w:val="26"/>
          <w:szCs w:val="26"/>
        </w:rPr>
        <w:t>.</w:t>
      </w:r>
      <w:r>
        <w:rPr>
          <w:color w:val="000000"/>
          <w:sz w:val="26"/>
          <w:szCs w:val="26"/>
        </w:rPr>
        <w:t>11</w:t>
      </w:r>
      <w:r w:rsidR="00223F69" w:rsidRPr="00670305">
        <w:rPr>
          <w:color w:val="000000"/>
          <w:sz w:val="26"/>
          <w:szCs w:val="26"/>
        </w:rPr>
        <w:t>.201</w:t>
      </w:r>
      <w:r w:rsidR="00D1377E">
        <w:rPr>
          <w:color w:val="000000"/>
          <w:sz w:val="26"/>
          <w:szCs w:val="26"/>
        </w:rPr>
        <w:t>4</w:t>
      </w:r>
      <w:r w:rsidR="00223F69" w:rsidRPr="00670305">
        <w:rPr>
          <w:color w:val="000000"/>
          <w:sz w:val="26"/>
          <w:szCs w:val="26"/>
        </w:rPr>
        <w:t>. 13:00</w:t>
      </w:r>
    </w:p>
    <w:p w:rsidR="00223F69" w:rsidRDefault="009E26E4" w:rsidP="008E4320">
      <w:pPr>
        <w:pStyle w:val="Header"/>
        <w:tabs>
          <w:tab w:val="left" w:pos="720"/>
        </w:tabs>
        <w:rPr>
          <w:color w:val="000000"/>
          <w:sz w:val="26"/>
          <w:szCs w:val="26"/>
        </w:rPr>
      </w:pPr>
      <w:r>
        <w:rPr>
          <w:color w:val="000000"/>
          <w:sz w:val="26"/>
          <w:szCs w:val="26"/>
        </w:rPr>
        <w:t>1</w:t>
      </w:r>
      <w:r w:rsidR="00717A32">
        <w:rPr>
          <w:color w:val="000000"/>
          <w:sz w:val="26"/>
          <w:szCs w:val="26"/>
        </w:rPr>
        <w:t>73</w:t>
      </w:r>
      <w:r w:rsidR="00E4777C">
        <w:rPr>
          <w:color w:val="000000"/>
          <w:sz w:val="26"/>
          <w:szCs w:val="26"/>
        </w:rPr>
        <w:t>3</w:t>
      </w:r>
    </w:p>
    <w:p w:rsidR="00223F69" w:rsidRPr="00670305" w:rsidRDefault="00223F69" w:rsidP="008E4320">
      <w:pPr>
        <w:pStyle w:val="Header"/>
        <w:tabs>
          <w:tab w:val="left" w:pos="720"/>
        </w:tabs>
        <w:rPr>
          <w:color w:val="000000"/>
          <w:sz w:val="26"/>
          <w:szCs w:val="26"/>
        </w:rPr>
      </w:pPr>
      <w:proofErr w:type="spellStart"/>
      <w:r w:rsidRPr="00670305">
        <w:rPr>
          <w:color w:val="000000"/>
          <w:sz w:val="26"/>
          <w:szCs w:val="26"/>
        </w:rPr>
        <w:t>I.Dambe</w:t>
      </w:r>
      <w:proofErr w:type="spellEnd"/>
    </w:p>
    <w:p w:rsidR="00223F69" w:rsidRPr="00670305" w:rsidRDefault="00223F69" w:rsidP="00F80A1C">
      <w:pPr>
        <w:pStyle w:val="Header"/>
        <w:tabs>
          <w:tab w:val="left" w:pos="720"/>
        </w:tabs>
        <w:rPr>
          <w:sz w:val="26"/>
          <w:szCs w:val="26"/>
        </w:rPr>
      </w:pPr>
      <w:r w:rsidRPr="00670305">
        <w:rPr>
          <w:color w:val="000000"/>
          <w:sz w:val="26"/>
          <w:szCs w:val="26"/>
        </w:rPr>
        <w:t>67830941, inta.dambe@latcaa.gov.lv</w:t>
      </w:r>
      <w:bookmarkStart w:id="3" w:name="_GoBack"/>
      <w:bookmarkEnd w:id="3"/>
    </w:p>
    <w:sectPr w:rsidR="00223F69" w:rsidRPr="00670305"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D4" w:rsidRDefault="00A539D4">
      <w:r>
        <w:separator/>
      </w:r>
    </w:p>
  </w:endnote>
  <w:endnote w:type="continuationSeparator" w:id="0">
    <w:p w:rsidR="00A539D4" w:rsidRDefault="00A5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8E4320" w:rsidRDefault="00223F69" w:rsidP="008E4320">
    <w:pPr>
      <w:pStyle w:val="Footer"/>
      <w:jc w:val="both"/>
    </w:pPr>
    <w:r w:rsidRPr="00B52CC0">
      <w:t>SAMAnot_</w:t>
    </w:r>
    <w:r w:rsidR="00EB16AB">
      <w:t>0311</w:t>
    </w:r>
    <w:r w:rsidR="00826E7D">
      <w:t>14</w:t>
    </w:r>
    <w:r>
      <w:t>_</w:t>
    </w:r>
    <w:r w:rsidRPr="00B52CC0">
      <w:t xml:space="preserve">CAAbudz; </w:t>
    </w:r>
    <w:r w:rsidRPr="00B52CC0">
      <w:rPr>
        <w:bCs/>
      </w:rPr>
      <w:t>Ministru kabineta rīkojuma projekta “</w:t>
    </w:r>
    <w:r w:rsidRPr="00B52CC0">
      <w:t>Par valsts aģentūras „Civilās aviācijas aģentūra”</w:t>
    </w:r>
    <w:r w:rsidR="00656FD9">
      <w:t xml:space="preserve"> 201</w:t>
    </w:r>
    <w:r w:rsidR="00826E7D">
      <w:t>5</w:t>
    </w:r>
    <w:r w:rsidR="00656FD9">
      <w:t>.gada</w:t>
    </w:r>
    <w:r w:rsidRPr="00B52CC0">
      <w:t xml:space="preserve"> budžeta apstiprināšanu</w:t>
    </w:r>
    <w:r w:rsidRPr="00B52CC0">
      <w:rPr>
        <w:bCs/>
      </w:rPr>
      <w:t xml:space="preserve">” </w:t>
    </w:r>
    <w:r w:rsidRPr="00B52CC0">
      <w:t>sākotnējās ietekmes n</w:t>
    </w:r>
    <w: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5B31E2" w:rsidRDefault="005B31E2" w:rsidP="00BC6AED">
    <w:pPr>
      <w:pStyle w:val="Footer"/>
      <w:jc w:val="both"/>
    </w:pPr>
    <w:r w:rsidRPr="00B52CC0">
      <w:t>SAMAnot_</w:t>
    </w:r>
    <w:r w:rsidR="00EB16AB">
      <w:t>0311</w:t>
    </w:r>
    <w:r w:rsidR="00826E7D">
      <w:t>14</w:t>
    </w:r>
    <w:r>
      <w:t>_</w:t>
    </w:r>
    <w:r w:rsidRPr="00B52CC0">
      <w:t xml:space="preserve">CAAbudz; </w:t>
    </w:r>
    <w:r w:rsidRPr="00B52CC0">
      <w:rPr>
        <w:bCs/>
      </w:rPr>
      <w:t>Ministru kabineta rīkojuma projekta “</w:t>
    </w:r>
    <w:r w:rsidRPr="00B52CC0">
      <w:t>Par valsts aģentūras „Civilās aviācijas aģentūra”</w:t>
    </w:r>
    <w:r>
      <w:t xml:space="preserve"> 201</w:t>
    </w:r>
    <w:r w:rsidR="00826E7D">
      <w:t>5</w:t>
    </w:r>
    <w:r>
      <w:t>.gada</w:t>
    </w:r>
    <w:r w:rsidRPr="00B52CC0">
      <w:t xml:space="preserve"> budžeta apstiprināšanu</w:t>
    </w:r>
    <w:r w:rsidRPr="00B52CC0">
      <w:rPr>
        <w:bCs/>
      </w:rPr>
      <w:t xml:space="preserve">” </w:t>
    </w:r>
    <w:r w:rsidRPr="00B52CC0">
      <w:t>sākotnējās ietekmes n</w:t>
    </w:r>
    <w: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D4" w:rsidRDefault="00A539D4">
      <w:r>
        <w:separator/>
      </w:r>
    </w:p>
  </w:footnote>
  <w:footnote w:type="continuationSeparator" w:id="0">
    <w:p w:rsidR="00A539D4" w:rsidRDefault="00A5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F69" w:rsidRDefault="0022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5D9">
      <w:rPr>
        <w:rStyle w:val="PageNumber"/>
        <w:noProof/>
      </w:rPr>
      <w:t>7</w:t>
    </w:r>
    <w:r>
      <w:rPr>
        <w:rStyle w:val="PageNumber"/>
      </w:rPr>
      <w:fldChar w:fldCharType="end"/>
    </w:r>
  </w:p>
  <w:p w:rsidR="00223F69" w:rsidRDefault="0022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7">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3">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2"/>
  </w:num>
  <w:num w:numId="6">
    <w:abstractNumId w:val="13"/>
  </w:num>
  <w:num w:numId="7">
    <w:abstractNumId w:val="16"/>
  </w:num>
  <w:num w:numId="8">
    <w:abstractNumId w:val="3"/>
  </w:num>
  <w:num w:numId="9">
    <w:abstractNumId w:val="11"/>
  </w:num>
  <w:num w:numId="10">
    <w:abstractNumId w:val="15"/>
  </w:num>
  <w:num w:numId="11">
    <w:abstractNumId w:val="1"/>
  </w:num>
  <w:num w:numId="12">
    <w:abstractNumId w:val="9"/>
  </w:num>
  <w:num w:numId="13">
    <w:abstractNumId w:val="8"/>
  </w:num>
  <w:num w:numId="14">
    <w:abstractNumId w:val="7"/>
  </w:num>
  <w:num w:numId="15">
    <w:abstractNumId w:val="17"/>
  </w:num>
  <w:num w:numId="16">
    <w:abstractNumId w:val="18"/>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1A9C"/>
    <w:rsid w:val="00002E57"/>
    <w:rsid w:val="0000382A"/>
    <w:rsid w:val="0000501A"/>
    <w:rsid w:val="00005A95"/>
    <w:rsid w:val="00005AF7"/>
    <w:rsid w:val="00005D86"/>
    <w:rsid w:val="000105B2"/>
    <w:rsid w:val="00010D1C"/>
    <w:rsid w:val="000119BF"/>
    <w:rsid w:val="00014230"/>
    <w:rsid w:val="00014ADE"/>
    <w:rsid w:val="0001545C"/>
    <w:rsid w:val="00015FAE"/>
    <w:rsid w:val="0001667B"/>
    <w:rsid w:val="00016B77"/>
    <w:rsid w:val="00017624"/>
    <w:rsid w:val="00017C6F"/>
    <w:rsid w:val="00021728"/>
    <w:rsid w:val="0002187A"/>
    <w:rsid w:val="00021CA2"/>
    <w:rsid w:val="0002705F"/>
    <w:rsid w:val="0002786E"/>
    <w:rsid w:val="00027BDC"/>
    <w:rsid w:val="00027D21"/>
    <w:rsid w:val="00030358"/>
    <w:rsid w:val="0003178B"/>
    <w:rsid w:val="000326F3"/>
    <w:rsid w:val="0003284B"/>
    <w:rsid w:val="00032FAD"/>
    <w:rsid w:val="000344BF"/>
    <w:rsid w:val="000353D7"/>
    <w:rsid w:val="000354E3"/>
    <w:rsid w:val="00036007"/>
    <w:rsid w:val="000362CB"/>
    <w:rsid w:val="0004040D"/>
    <w:rsid w:val="00040993"/>
    <w:rsid w:val="00040ADD"/>
    <w:rsid w:val="000411EE"/>
    <w:rsid w:val="0004167C"/>
    <w:rsid w:val="00042498"/>
    <w:rsid w:val="00042695"/>
    <w:rsid w:val="00042E1D"/>
    <w:rsid w:val="00043518"/>
    <w:rsid w:val="00045B7D"/>
    <w:rsid w:val="00046EA4"/>
    <w:rsid w:val="0004725E"/>
    <w:rsid w:val="00047EE8"/>
    <w:rsid w:val="00050DC2"/>
    <w:rsid w:val="000531AD"/>
    <w:rsid w:val="000533B5"/>
    <w:rsid w:val="00054094"/>
    <w:rsid w:val="00056395"/>
    <w:rsid w:val="000577E3"/>
    <w:rsid w:val="0006083D"/>
    <w:rsid w:val="00061424"/>
    <w:rsid w:val="00061C89"/>
    <w:rsid w:val="00063B09"/>
    <w:rsid w:val="000645FB"/>
    <w:rsid w:val="000649AF"/>
    <w:rsid w:val="0006710F"/>
    <w:rsid w:val="00071D2C"/>
    <w:rsid w:val="000723E0"/>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4EA6"/>
    <w:rsid w:val="00117D86"/>
    <w:rsid w:val="001208EA"/>
    <w:rsid w:val="00120B6F"/>
    <w:rsid w:val="0012222F"/>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10B"/>
    <w:rsid w:val="00136884"/>
    <w:rsid w:val="0014014A"/>
    <w:rsid w:val="001401EA"/>
    <w:rsid w:val="00143F71"/>
    <w:rsid w:val="00144AA0"/>
    <w:rsid w:val="0014517F"/>
    <w:rsid w:val="001456BE"/>
    <w:rsid w:val="00146095"/>
    <w:rsid w:val="001460F9"/>
    <w:rsid w:val="00150C13"/>
    <w:rsid w:val="00150E66"/>
    <w:rsid w:val="00151B58"/>
    <w:rsid w:val="00152502"/>
    <w:rsid w:val="00152AFC"/>
    <w:rsid w:val="00153E4C"/>
    <w:rsid w:val="00154808"/>
    <w:rsid w:val="00154EEF"/>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2A2F"/>
    <w:rsid w:val="0019415D"/>
    <w:rsid w:val="001943A5"/>
    <w:rsid w:val="00194694"/>
    <w:rsid w:val="00194C69"/>
    <w:rsid w:val="001955D0"/>
    <w:rsid w:val="00197517"/>
    <w:rsid w:val="001A029B"/>
    <w:rsid w:val="001A0819"/>
    <w:rsid w:val="001A0CEA"/>
    <w:rsid w:val="001A32FD"/>
    <w:rsid w:val="001A3426"/>
    <w:rsid w:val="001A38A0"/>
    <w:rsid w:val="001A3B04"/>
    <w:rsid w:val="001A5FD0"/>
    <w:rsid w:val="001A60E6"/>
    <w:rsid w:val="001A6160"/>
    <w:rsid w:val="001A6301"/>
    <w:rsid w:val="001A7302"/>
    <w:rsid w:val="001A7F1B"/>
    <w:rsid w:val="001B14A5"/>
    <w:rsid w:val="001B21BD"/>
    <w:rsid w:val="001B31B5"/>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1410"/>
    <w:rsid w:val="001D1932"/>
    <w:rsid w:val="001D255E"/>
    <w:rsid w:val="001D2CBE"/>
    <w:rsid w:val="001D30FC"/>
    <w:rsid w:val="001D3872"/>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E37"/>
    <w:rsid w:val="001F5A58"/>
    <w:rsid w:val="001F5EA3"/>
    <w:rsid w:val="001F6AEA"/>
    <w:rsid w:val="001F6C79"/>
    <w:rsid w:val="00201169"/>
    <w:rsid w:val="00201EF5"/>
    <w:rsid w:val="002029D3"/>
    <w:rsid w:val="002033F4"/>
    <w:rsid w:val="00203A40"/>
    <w:rsid w:val="00204132"/>
    <w:rsid w:val="0020477D"/>
    <w:rsid w:val="00207430"/>
    <w:rsid w:val="002109C9"/>
    <w:rsid w:val="00212C8A"/>
    <w:rsid w:val="00213DC2"/>
    <w:rsid w:val="002146D2"/>
    <w:rsid w:val="002153B9"/>
    <w:rsid w:val="002155BE"/>
    <w:rsid w:val="00215A51"/>
    <w:rsid w:val="00217C61"/>
    <w:rsid w:val="00217D74"/>
    <w:rsid w:val="00220EE6"/>
    <w:rsid w:val="00221799"/>
    <w:rsid w:val="00223DC7"/>
    <w:rsid w:val="00223F69"/>
    <w:rsid w:val="00224B1E"/>
    <w:rsid w:val="00225E7B"/>
    <w:rsid w:val="00225FB9"/>
    <w:rsid w:val="002276A2"/>
    <w:rsid w:val="00227D8C"/>
    <w:rsid w:val="00230485"/>
    <w:rsid w:val="00231282"/>
    <w:rsid w:val="002321BA"/>
    <w:rsid w:val="002322A6"/>
    <w:rsid w:val="002323BC"/>
    <w:rsid w:val="00232D44"/>
    <w:rsid w:val="00233475"/>
    <w:rsid w:val="00233F5E"/>
    <w:rsid w:val="002350B7"/>
    <w:rsid w:val="002358D4"/>
    <w:rsid w:val="00236611"/>
    <w:rsid w:val="00236A30"/>
    <w:rsid w:val="00236DA5"/>
    <w:rsid w:val="002377D0"/>
    <w:rsid w:val="00241695"/>
    <w:rsid w:val="00242023"/>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C131F"/>
    <w:rsid w:val="002C2A15"/>
    <w:rsid w:val="002C34CB"/>
    <w:rsid w:val="002C365B"/>
    <w:rsid w:val="002C4523"/>
    <w:rsid w:val="002C49B4"/>
    <w:rsid w:val="002C526C"/>
    <w:rsid w:val="002C543C"/>
    <w:rsid w:val="002C5D95"/>
    <w:rsid w:val="002C6385"/>
    <w:rsid w:val="002C7408"/>
    <w:rsid w:val="002C7F2F"/>
    <w:rsid w:val="002D0D8F"/>
    <w:rsid w:val="002D2471"/>
    <w:rsid w:val="002D3286"/>
    <w:rsid w:val="002D383A"/>
    <w:rsid w:val="002D3916"/>
    <w:rsid w:val="002D4342"/>
    <w:rsid w:val="002D4574"/>
    <w:rsid w:val="002D7065"/>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7D31"/>
    <w:rsid w:val="003400F9"/>
    <w:rsid w:val="003420EE"/>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EA0"/>
    <w:rsid w:val="00390B0F"/>
    <w:rsid w:val="00390E8F"/>
    <w:rsid w:val="00391224"/>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BBB"/>
    <w:rsid w:val="003B0683"/>
    <w:rsid w:val="003B1182"/>
    <w:rsid w:val="003B1C8F"/>
    <w:rsid w:val="003B5A37"/>
    <w:rsid w:val="003B61E3"/>
    <w:rsid w:val="003B67ED"/>
    <w:rsid w:val="003C15DC"/>
    <w:rsid w:val="003C2645"/>
    <w:rsid w:val="003C3BD8"/>
    <w:rsid w:val="003C4522"/>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60C9"/>
    <w:rsid w:val="0040665A"/>
    <w:rsid w:val="00407965"/>
    <w:rsid w:val="00407C38"/>
    <w:rsid w:val="00407C71"/>
    <w:rsid w:val="00407CE5"/>
    <w:rsid w:val="00407E9E"/>
    <w:rsid w:val="004106A9"/>
    <w:rsid w:val="00410C3E"/>
    <w:rsid w:val="004118C8"/>
    <w:rsid w:val="00411A34"/>
    <w:rsid w:val="00412EFC"/>
    <w:rsid w:val="00414963"/>
    <w:rsid w:val="00416B6C"/>
    <w:rsid w:val="004170D2"/>
    <w:rsid w:val="00417431"/>
    <w:rsid w:val="00420059"/>
    <w:rsid w:val="00420219"/>
    <w:rsid w:val="004214D3"/>
    <w:rsid w:val="00422C52"/>
    <w:rsid w:val="00422D62"/>
    <w:rsid w:val="00423DD6"/>
    <w:rsid w:val="00424A83"/>
    <w:rsid w:val="004321AB"/>
    <w:rsid w:val="0043285B"/>
    <w:rsid w:val="00432EE8"/>
    <w:rsid w:val="00434333"/>
    <w:rsid w:val="00435BEF"/>
    <w:rsid w:val="00436964"/>
    <w:rsid w:val="00436B09"/>
    <w:rsid w:val="00436F8B"/>
    <w:rsid w:val="00441D5D"/>
    <w:rsid w:val="00443BDF"/>
    <w:rsid w:val="004443EC"/>
    <w:rsid w:val="00446970"/>
    <w:rsid w:val="004500F0"/>
    <w:rsid w:val="00451F9D"/>
    <w:rsid w:val="00452D9F"/>
    <w:rsid w:val="004542A7"/>
    <w:rsid w:val="004572C0"/>
    <w:rsid w:val="004574E1"/>
    <w:rsid w:val="0046288C"/>
    <w:rsid w:val="00463911"/>
    <w:rsid w:val="00464642"/>
    <w:rsid w:val="00465629"/>
    <w:rsid w:val="0046598D"/>
    <w:rsid w:val="004671F0"/>
    <w:rsid w:val="00467D40"/>
    <w:rsid w:val="004701B1"/>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A0038"/>
    <w:rsid w:val="004A00F9"/>
    <w:rsid w:val="004A0697"/>
    <w:rsid w:val="004A0F1D"/>
    <w:rsid w:val="004A11E2"/>
    <w:rsid w:val="004A14D7"/>
    <w:rsid w:val="004A1C63"/>
    <w:rsid w:val="004A248C"/>
    <w:rsid w:val="004A2AA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C9E"/>
    <w:rsid w:val="004C30A4"/>
    <w:rsid w:val="004C57C5"/>
    <w:rsid w:val="004C5F09"/>
    <w:rsid w:val="004D1D87"/>
    <w:rsid w:val="004D2B49"/>
    <w:rsid w:val="004D3851"/>
    <w:rsid w:val="004D5742"/>
    <w:rsid w:val="004D7426"/>
    <w:rsid w:val="004E0C87"/>
    <w:rsid w:val="004E0D39"/>
    <w:rsid w:val="004E1AB5"/>
    <w:rsid w:val="004E2EE7"/>
    <w:rsid w:val="004E3634"/>
    <w:rsid w:val="004E3737"/>
    <w:rsid w:val="004E438A"/>
    <w:rsid w:val="004E4991"/>
    <w:rsid w:val="004E5866"/>
    <w:rsid w:val="004E5D93"/>
    <w:rsid w:val="004E5EF4"/>
    <w:rsid w:val="004E78B7"/>
    <w:rsid w:val="004F1C5D"/>
    <w:rsid w:val="004F22E6"/>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44A7"/>
    <w:rsid w:val="005447B7"/>
    <w:rsid w:val="00545FB3"/>
    <w:rsid w:val="00546025"/>
    <w:rsid w:val="005474EE"/>
    <w:rsid w:val="00547978"/>
    <w:rsid w:val="005519E5"/>
    <w:rsid w:val="00552CDD"/>
    <w:rsid w:val="00552F6E"/>
    <w:rsid w:val="00553B58"/>
    <w:rsid w:val="005547AA"/>
    <w:rsid w:val="00554827"/>
    <w:rsid w:val="00560D00"/>
    <w:rsid w:val="00562242"/>
    <w:rsid w:val="00562A5D"/>
    <w:rsid w:val="0056492F"/>
    <w:rsid w:val="00565639"/>
    <w:rsid w:val="00565BD0"/>
    <w:rsid w:val="0056676D"/>
    <w:rsid w:val="00566E11"/>
    <w:rsid w:val="0057006C"/>
    <w:rsid w:val="005708B2"/>
    <w:rsid w:val="00570C45"/>
    <w:rsid w:val="00570D30"/>
    <w:rsid w:val="0057108E"/>
    <w:rsid w:val="0057381B"/>
    <w:rsid w:val="005753AD"/>
    <w:rsid w:val="00576EEE"/>
    <w:rsid w:val="00576F4F"/>
    <w:rsid w:val="00577DE3"/>
    <w:rsid w:val="005814ED"/>
    <w:rsid w:val="00581EE3"/>
    <w:rsid w:val="005823BE"/>
    <w:rsid w:val="00582897"/>
    <w:rsid w:val="00582A99"/>
    <w:rsid w:val="00586263"/>
    <w:rsid w:val="005866CE"/>
    <w:rsid w:val="00587E1A"/>
    <w:rsid w:val="005907C0"/>
    <w:rsid w:val="0059132A"/>
    <w:rsid w:val="00591D99"/>
    <w:rsid w:val="005922A6"/>
    <w:rsid w:val="005939B5"/>
    <w:rsid w:val="0059458D"/>
    <w:rsid w:val="005954B8"/>
    <w:rsid w:val="00595541"/>
    <w:rsid w:val="005A161F"/>
    <w:rsid w:val="005A1CC0"/>
    <w:rsid w:val="005A2BF1"/>
    <w:rsid w:val="005A361C"/>
    <w:rsid w:val="005A3CDD"/>
    <w:rsid w:val="005A4930"/>
    <w:rsid w:val="005A5046"/>
    <w:rsid w:val="005A76E8"/>
    <w:rsid w:val="005B27B3"/>
    <w:rsid w:val="005B31E2"/>
    <w:rsid w:val="005B34DA"/>
    <w:rsid w:val="005B43A0"/>
    <w:rsid w:val="005B47B9"/>
    <w:rsid w:val="005B54E5"/>
    <w:rsid w:val="005B6718"/>
    <w:rsid w:val="005B75A9"/>
    <w:rsid w:val="005C28BB"/>
    <w:rsid w:val="005C4E03"/>
    <w:rsid w:val="005C4F14"/>
    <w:rsid w:val="005C694B"/>
    <w:rsid w:val="005D0E52"/>
    <w:rsid w:val="005D1416"/>
    <w:rsid w:val="005D2490"/>
    <w:rsid w:val="005D2EDD"/>
    <w:rsid w:val="005D3B91"/>
    <w:rsid w:val="005D625C"/>
    <w:rsid w:val="005D654C"/>
    <w:rsid w:val="005D796F"/>
    <w:rsid w:val="005E0F82"/>
    <w:rsid w:val="005E10B3"/>
    <w:rsid w:val="005E233C"/>
    <w:rsid w:val="005E280A"/>
    <w:rsid w:val="005E2F07"/>
    <w:rsid w:val="005E332B"/>
    <w:rsid w:val="005E357A"/>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2F1D"/>
    <w:rsid w:val="006541B3"/>
    <w:rsid w:val="00654367"/>
    <w:rsid w:val="0065495F"/>
    <w:rsid w:val="00654B7B"/>
    <w:rsid w:val="00655012"/>
    <w:rsid w:val="006555EA"/>
    <w:rsid w:val="00655603"/>
    <w:rsid w:val="00656FD9"/>
    <w:rsid w:val="00660F3C"/>
    <w:rsid w:val="00663375"/>
    <w:rsid w:val="006645E6"/>
    <w:rsid w:val="0066550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58C"/>
    <w:rsid w:val="006A0EDB"/>
    <w:rsid w:val="006A155D"/>
    <w:rsid w:val="006A27C2"/>
    <w:rsid w:val="006A2A14"/>
    <w:rsid w:val="006A350E"/>
    <w:rsid w:val="006A4A0B"/>
    <w:rsid w:val="006A718B"/>
    <w:rsid w:val="006A7558"/>
    <w:rsid w:val="006B0F76"/>
    <w:rsid w:val="006B181E"/>
    <w:rsid w:val="006B1ED4"/>
    <w:rsid w:val="006B2EF8"/>
    <w:rsid w:val="006B4E25"/>
    <w:rsid w:val="006B78BE"/>
    <w:rsid w:val="006B7958"/>
    <w:rsid w:val="006C01E9"/>
    <w:rsid w:val="006C0553"/>
    <w:rsid w:val="006C3480"/>
    <w:rsid w:val="006C733B"/>
    <w:rsid w:val="006C74BB"/>
    <w:rsid w:val="006D22BC"/>
    <w:rsid w:val="006D2E11"/>
    <w:rsid w:val="006D3ABF"/>
    <w:rsid w:val="006D424A"/>
    <w:rsid w:val="006D51C8"/>
    <w:rsid w:val="006D7CED"/>
    <w:rsid w:val="006E0565"/>
    <w:rsid w:val="006E0BC6"/>
    <w:rsid w:val="006E1442"/>
    <w:rsid w:val="006E2B28"/>
    <w:rsid w:val="006E342D"/>
    <w:rsid w:val="006E5050"/>
    <w:rsid w:val="006E704D"/>
    <w:rsid w:val="006F0563"/>
    <w:rsid w:val="006F18E7"/>
    <w:rsid w:val="006F2043"/>
    <w:rsid w:val="006F2509"/>
    <w:rsid w:val="006F2C8A"/>
    <w:rsid w:val="006F3BCD"/>
    <w:rsid w:val="006F49E4"/>
    <w:rsid w:val="006F6D4E"/>
    <w:rsid w:val="006F7C48"/>
    <w:rsid w:val="007009D3"/>
    <w:rsid w:val="00701E5D"/>
    <w:rsid w:val="00702797"/>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935"/>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1913"/>
    <w:rsid w:val="00751925"/>
    <w:rsid w:val="00751EBC"/>
    <w:rsid w:val="00754060"/>
    <w:rsid w:val="00754600"/>
    <w:rsid w:val="0075479A"/>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F5C"/>
    <w:rsid w:val="00775FE0"/>
    <w:rsid w:val="00776280"/>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B8A"/>
    <w:rsid w:val="00791939"/>
    <w:rsid w:val="0079218C"/>
    <w:rsid w:val="007921C4"/>
    <w:rsid w:val="00792B86"/>
    <w:rsid w:val="00792C8D"/>
    <w:rsid w:val="007945D9"/>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10B7"/>
    <w:rsid w:val="007B1F8F"/>
    <w:rsid w:val="007B225B"/>
    <w:rsid w:val="007B22A9"/>
    <w:rsid w:val="007B2460"/>
    <w:rsid w:val="007B4620"/>
    <w:rsid w:val="007B4E8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A3B"/>
    <w:rsid w:val="007D0D49"/>
    <w:rsid w:val="007D19F5"/>
    <w:rsid w:val="007D44F7"/>
    <w:rsid w:val="007D7B71"/>
    <w:rsid w:val="007D7E1B"/>
    <w:rsid w:val="007E2675"/>
    <w:rsid w:val="007E2A5C"/>
    <w:rsid w:val="007E2D4D"/>
    <w:rsid w:val="007E37C4"/>
    <w:rsid w:val="007E3E4B"/>
    <w:rsid w:val="007E451B"/>
    <w:rsid w:val="007E4681"/>
    <w:rsid w:val="007E4F35"/>
    <w:rsid w:val="007E55C9"/>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B1F"/>
    <w:rsid w:val="00807862"/>
    <w:rsid w:val="00807CEC"/>
    <w:rsid w:val="00811F4E"/>
    <w:rsid w:val="0081261F"/>
    <w:rsid w:val="00813C1F"/>
    <w:rsid w:val="00814831"/>
    <w:rsid w:val="0081495A"/>
    <w:rsid w:val="00814F5D"/>
    <w:rsid w:val="008151A1"/>
    <w:rsid w:val="00816659"/>
    <w:rsid w:val="00816EF3"/>
    <w:rsid w:val="00817A9D"/>
    <w:rsid w:val="00817F22"/>
    <w:rsid w:val="008207AF"/>
    <w:rsid w:val="00820B03"/>
    <w:rsid w:val="00820ECC"/>
    <w:rsid w:val="00821CB2"/>
    <w:rsid w:val="008228E7"/>
    <w:rsid w:val="00822F3F"/>
    <w:rsid w:val="00823B8F"/>
    <w:rsid w:val="008242E1"/>
    <w:rsid w:val="00824A8F"/>
    <w:rsid w:val="00825355"/>
    <w:rsid w:val="00826551"/>
    <w:rsid w:val="00826E7D"/>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9013FB"/>
    <w:rsid w:val="009014AA"/>
    <w:rsid w:val="009023D4"/>
    <w:rsid w:val="00905B0E"/>
    <w:rsid w:val="0090612B"/>
    <w:rsid w:val="00906D82"/>
    <w:rsid w:val="009070A4"/>
    <w:rsid w:val="00907203"/>
    <w:rsid w:val="00910A46"/>
    <w:rsid w:val="0091136F"/>
    <w:rsid w:val="00913B9A"/>
    <w:rsid w:val="0091491A"/>
    <w:rsid w:val="00915C04"/>
    <w:rsid w:val="0091692F"/>
    <w:rsid w:val="00917354"/>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CF3"/>
    <w:rsid w:val="00943D2F"/>
    <w:rsid w:val="009442AE"/>
    <w:rsid w:val="009447A9"/>
    <w:rsid w:val="0094532F"/>
    <w:rsid w:val="00946EEE"/>
    <w:rsid w:val="0095221B"/>
    <w:rsid w:val="00952E17"/>
    <w:rsid w:val="00953900"/>
    <w:rsid w:val="00954982"/>
    <w:rsid w:val="00954B0B"/>
    <w:rsid w:val="00957852"/>
    <w:rsid w:val="00957B3A"/>
    <w:rsid w:val="00957FE6"/>
    <w:rsid w:val="00961FB2"/>
    <w:rsid w:val="00962423"/>
    <w:rsid w:val="00963374"/>
    <w:rsid w:val="0096347E"/>
    <w:rsid w:val="009645FB"/>
    <w:rsid w:val="00965701"/>
    <w:rsid w:val="0097062E"/>
    <w:rsid w:val="00970A86"/>
    <w:rsid w:val="00970AF8"/>
    <w:rsid w:val="00971C4A"/>
    <w:rsid w:val="00972741"/>
    <w:rsid w:val="00973A19"/>
    <w:rsid w:val="00974487"/>
    <w:rsid w:val="009752C6"/>
    <w:rsid w:val="00975C38"/>
    <w:rsid w:val="009761B7"/>
    <w:rsid w:val="009761BE"/>
    <w:rsid w:val="0097642D"/>
    <w:rsid w:val="0097729C"/>
    <w:rsid w:val="00981382"/>
    <w:rsid w:val="0098175C"/>
    <w:rsid w:val="00981968"/>
    <w:rsid w:val="00983C5C"/>
    <w:rsid w:val="009842D8"/>
    <w:rsid w:val="00984C91"/>
    <w:rsid w:val="00985081"/>
    <w:rsid w:val="009851B0"/>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4A2C"/>
    <w:rsid w:val="009B64C8"/>
    <w:rsid w:val="009B7EA4"/>
    <w:rsid w:val="009C0478"/>
    <w:rsid w:val="009C21B3"/>
    <w:rsid w:val="009C430E"/>
    <w:rsid w:val="009C608F"/>
    <w:rsid w:val="009C669B"/>
    <w:rsid w:val="009C718E"/>
    <w:rsid w:val="009C71BC"/>
    <w:rsid w:val="009C7D5C"/>
    <w:rsid w:val="009D1CC3"/>
    <w:rsid w:val="009D2490"/>
    <w:rsid w:val="009D2A70"/>
    <w:rsid w:val="009D3447"/>
    <w:rsid w:val="009D3765"/>
    <w:rsid w:val="009D3B84"/>
    <w:rsid w:val="009D6008"/>
    <w:rsid w:val="009D633F"/>
    <w:rsid w:val="009D6DC8"/>
    <w:rsid w:val="009D6DE8"/>
    <w:rsid w:val="009D7637"/>
    <w:rsid w:val="009D79B5"/>
    <w:rsid w:val="009E0ADD"/>
    <w:rsid w:val="009E18B0"/>
    <w:rsid w:val="009E1C87"/>
    <w:rsid w:val="009E26E4"/>
    <w:rsid w:val="009E2B49"/>
    <w:rsid w:val="009E347F"/>
    <w:rsid w:val="009E622C"/>
    <w:rsid w:val="009E6790"/>
    <w:rsid w:val="009E7B3D"/>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B74"/>
    <w:rsid w:val="00A24F3C"/>
    <w:rsid w:val="00A26A2E"/>
    <w:rsid w:val="00A26A3C"/>
    <w:rsid w:val="00A27035"/>
    <w:rsid w:val="00A277AC"/>
    <w:rsid w:val="00A2797E"/>
    <w:rsid w:val="00A3009B"/>
    <w:rsid w:val="00A30297"/>
    <w:rsid w:val="00A317D2"/>
    <w:rsid w:val="00A31939"/>
    <w:rsid w:val="00A33DDD"/>
    <w:rsid w:val="00A34EDD"/>
    <w:rsid w:val="00A37522"/>
    <w:rsid w:val="00A37D71"/>
    <w:rsid w:val="00A40B71"/>
    <w:rsid w:val="00A4139C"/>
    <w:rsid w:val="00A41EC0"/>
    <w:rsid w:val="00A42296"/>
    <w:rsid w:val="00A43940"/>
    <w:rsid w:val="00A43A91"/>
    <w:rsid w:val="00A43E79"/>
    <w:rsid w:val="00A449E9"/>
    <w:rsid w:val="00A51734"/>
    <w:rsid w:val="00A5279D"/>
    <w:rsid w:val="00A52898"/>
    <w:rsid w:val="00A52C1E"/>
    <w:rsid w:val="00A539D4"/>
    <w:rsid w:val="00A540B9"/>
    <w:rsid w:val="00A54959"/>
    <w:rsid w:val="00A55384"/>
    <w:rsid w:val="00A573CD"/>
    <w:rsid w:val="00A57799"/>
    <w:rsid w:val="00A60346"/>
    <w:rsid w:val="00A616A9"/>
    <w:rsid w:val="00A61768"/>
    <w:rsid w:val="00A62431"/>
    <w:rsid w:val="00A644D2"/>
    <w:rsid w:val="00A64842"/>
    <w:rsid w:val="00A64A47"/>
    <w:rsid w:val="00A667EF"/>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A4F"/>
    <w:rsid w:val="00AA0F3E"/>
    <w:rsid w:val="00AA1122"/>
    <w:rsid w:val="00AA1ABD"/>
    <w:rsid w:val="00AA381C"/>
    <w:rsid w:val="00AA4006"/>
    <w:rsid w:val="00AA6F0E"/>
    <w:rsid w:val="00AA750E"/>
    <w:rsid w:val="00AB081D"/>
    <w:rsid w:val="00AB0A98"/>
    <w:rsid w:val="00AB0E60"/>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50A0"/>
    <w:rsid w:val="00AC75F1"/>
    <w:rsid w:val="00AD0577"/>
    <w:rsid w:val="00AD05EF"/>
    <w:rsid w:val="00AD0793"/>
    <w:rsid w:val="00AD0CC8"/>
    <w:rsid w:val="00AD22BE"/>
    <w:rsid w:val="00AD2B9A"/>
    <w:rsid w:val="00AD3AF3"/>
    <w:rsid w:val="00AD4E31"/>
    <w:rsid w:val="00AE20DA"/>
    <w:rsid w:val="00AE3F90"/>
    <w:rsid w:val="00AE44CA"/>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B00037"/>
    <w:rsid w:val="00B003A4"/>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2030E"/>
    <w:rsid w:val="00B2181D"/>
    <w:rsid w:val="00B22BCA"/>
    <w:rsid w:val="00B26086"/>
    <w:rsid w:val="00B27464"/>
    <w:rsid w:val="00B2765D"/>
    <w:rsid w:val="00B30824"/>
    <w:rsid w:val="00B30EF3"/>
    <w:rsid w:val="00B3292A"/>
    <w:rsid w:val="00B32C2D"/>
    <w:rsid w:val="00B33751"/>
    <w:rsid w:val="00B3400B"/>
    <w:rsid w:val="00B34780"/>
    <w:rsid w:val="00B35330"/>
    <w:rsid w:val="00B35447"/>
    <w:rsid w:val="00B357AA"/>
    <w:rsid w:val="00B35891"/>
    <w:rsid w:val="00B401D4"/>
    <w:rsid w:val="00B415D7"/>
    <w:rsid w:val="00B41A3A"/>
    <w:rsid w:val="00B426BE"/>
    <w:rsid w:val="00B42709"/>
    <w:rsid w:val="00B42AE0"/>
    <w:rsid w:val="00B42D09"/>
    <w:rsid w:val="00B43725"/>
    <w:rsid w:val="00B43B28"/>
    <w:rsid w:val="00B43B51"/>
    <w:rsid w:val="00B45264"/>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213A"/>
    <w:rsid w:val="00B72F82"/>
    <w:rsid w:val="00B73A14"/>
    <w:rsid w:val="00B74398"/>
    <w:rsid w:val="00B746EA"/>
    <w:rsid w:val="00B75652"/>
    <w:rsid w:val="00B76AC8"/>
    <w:rsid w:val="00B76BF5"/>
    <w:rsid w:val="00B774EB"/>
    <w:rsid w:val="00B8046C"/>
    <w:rsid w:val="00B82819"/>
    <w:rsid w:val="00B82EA2"/>
    <w:rsid w:val="00B83138"/>
    <w:rsid w:val="00B832E8"/>
    <w:rsid w:val="00B83D54"/>
    <w:rsid w:val="00B84A66"/>
    <w:rsid w:val="00B84BE9"/>
    <w:rsid w:val="00B8529E"/>
    <w:rsid w:val="00B91721"/>
    <w:rsid w:val="00B91E61"/>
    <w:rsid w:val="00B92D61"/>
    <w:rsid w:val="00B93723"/>
    <w:rsid w:val="00B93A25"/>
    <w:rsid w:val="00B93F10"/>
    <w:rsid w:val="00B942D1"/>
    <w:rsid w:val="00B95040"/>
    <w:rsid w:val="00B95303"/>
    <w:rsid w:val="00B95C1D"/>
    <w:rsid w:val="00B95C9F"/>
    <w:rsid w:val="00B96B29"/>
    <w:rsid w:val="00B96EB2"/>
    <w:rsid w:val="00B96FAE"/>
    <w:rsid w:val="00B973C6"/>
    <w:rsid w:val="00B97AAF"/>
    <w:rsid w:val="00BA0E2A"/>
    <w:rsid w:val="00BA118E"/>
    <w:rsid w:val="00BA1298"/>
    <w:rsid w:val="00BA1B1B"/>
    <w:rsid w:val="00BA46AE"/>
    <w:rsid w:val="00BA5104"/>
    <w:rsid w:val="00BA5A7A"/>
    <w:rsid w:val="00BB2BEB"/>
    <w:rsid w:val="00BB5713"/>
    <w:rsid w:val="00BB7127"/>
    <w:rsid w:val="00BB79F4"/>
    <w:rsid w:val="00BC0EF8"/>
    <w:rsid w:val="00BC1362"/>
    <w:rsid w:val="00BC13E6"/>
    <w:rsid w:val="00BC1918"/>
    <w:rsid w:val="00BC4FF5"/>
    <w:rsid w:val="00BC530E"/>
    <w:rsid w:val="00BC5AEC"/>
    <w:rsid w:val="00BC6AED"/>
    <w:rsid w:val="00BD0CC4"/>
    <w:rsid w:val="00BD186D"/>
    <w:rsid w:val="00BD2069"/>
    <w:rsid w:val="00BD211A"/>
    <w:rsid w:val="00BD2131"/>
    <w:rsid w:val="00BD348C"/>
    <w:rsid w:val="00BD42B5"/>
    <w:rsid w:val="00BD60B9"/>
    <w:rsid w:val="00BE261C"/>
    <w:rsid w:val="00BE3C04"/>
    <w:rsid w:val="00BE4391"/>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9B2"/>
    <w:rsid w:val="00CE5A72"/>
    <w:rsid w:val="00CE5D89"/>
    <w:rsid w:val="00CE7344"/>
    <w:rsid w:val="00CF0286"/>
    <w:rsid w:val="00CF071E"/>
    <w:rsid w:val="00CF0762"/>
    <w:rsid w:val="00CF2A10"/>
    <w:rsid w:val="00CF2DCB"/>
    <w:rsid w:val="00CF33BB"/>
    <w:rsid w:val="00CF5187"/>
    <w:rsid w:val="00CF524D"/>
    <w:rsid w:val="00CF53EF"/>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1A37"/>
    <w:rsid w:val="00DA27A8"/>
    <w:rsid w:val="00DA3958"/>
    <w:rsid w:val="00DA47D5"/>
    <w:rsid w:val="00DA603C"/>
    <w:rsid w:val="00DB12A9"/>
    <w:rsid w:val="00DB59E0"/>
    <w:rsid w:val="00DB5A6B"/>
    <w:rsid w:val="00DB602B"/>
    <w:rsid w:val="00DB6FFC"/>
    <w:rsid w:val="00DB73D3"/>
    <w:rsid w:val="00DB7DDD"/>
    <w:rsid w:val="00DC0DE8"/>
    <w:rsid w:val="00DC1021"/>
    <w:rsid w:val="00DC12C1"/>
    <w:rsid w:val="00DC140B"/>
    <w:rsid w:val="00DC162D"/>
    <w:rsid w:val="00DC283C"/>
    <w:rsid w:val="00DC3667"/>
    <w:rsid w:val="00DC5052"/>
    <w:rsid w:val="00DC5FDC"/>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13B0"/>
    <w:rsid w:val="00E12B69"/>
    <w:rsid w:val="00E13829"/>
    <w:rsid w:val="00E162B2"/>
    <w:rsid w:val="00E1766E"/>
    <w:rsid w:val="00E178C2"/>
    <w:rsid w:val="00E20784"/>
    <w:rsid w:val="00E21891"/>
    <w:rsid w:val="00E220B4"/>
    <w:rsid w:val="00E229A8"/>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5F33"/>
    <w:rsid w:val="00E3606F"/>
    <w:rsid w:val="00E364C8"/>
    <w:rsid w:val="00E37F60"/>
    <w:rsid w:val="00E4170C"/>
    <w:rsid w:val="00E41A2D"/>
    <w:rsid w:val="00E422F9"/>
    <w:rsid w:val="00E43C7A"/>
    <w:rsid w:val="00E441D2"/>
    <w:rsid w:val="00E449C8"/>
    <w:rsid w:val="00E46923"/>
    <w:rsid w:val="00E46C1E"/>
    <w:rsid w:val="00E4777C"/>
    <w:rsid w:val="00E47B26"/>
    <w:rsid w:val="00E50CDB"/>
    <w:rsid w:val="00E51660"/>
    <w:rsid w:val="00E51A00"/>
    <w:rsid w:val="00E5551A"/>
    <w:rsid w:val="00E557AD"/>
    <w:rsid w:val="00E56A1E"/>
    <w:rsid w:val="00E571D6"/>
    <w:rsid w:val="00E57C82"/>
    <w:rsid w:val="00E60B2F"/>
    <w:rsid w:val="00E6184A"/>
    <w:rsid w:val="00E62070"/>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A46"/>
    <w:rsid w:val="00E80029"/>
    <w:rsid w:val="00E8051D"/>
    <w:rsid w:val="00E81A80"/>
    <w:rsid w:val="00E84C11"/>
    <w:rsid w:val="00E86390"/>
    <w:rsid w:val="00E86D09"/>
    <w:rsid w:val="00E87245"/>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FB8"/>
    <w:rsid w:val="00EC0435"/>
    <w:rsid w:val="00EC20A5"/>
    <w:rsid w:val="00EC3A4D"/>
    <w:rsid w:val="00EC5771"/>
    <w:rsid w:val="00EC5D68"/>
    <w:rsid w:val="00ED0375"/>
    <w:rsid w:val="00ED0FAB"/>
    <w:rsid w:val="00ED18E9"/>
    <w:rsid w:val="00ED1B41"/>
    <w:rsid w:val="00ED2E17"/>
    <w:rsid w:val="00ED3073"/>
    <w:rsid w:val="00ED46A8"/>
    <w:rsid w:val="00ED531D"/>
    <w:rsid w:val="00ED6354"/>
    <w:rsid w:val="00ED6B33"/>
    <w:rsid w:val="00ED70DA"/>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E88"/>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FA"/>
    <w:rsid w:val="00F129B4"/>
    <w:rsid w:val="00F1329E"/>
    <w:rsid w:val="00F13D2A"/>
    <w:rsid w:val="00F13FC3"/>
    <w:rsid w:val="00F15854"/>
    <w:rsid w:val="00F21787"/>
    <w:rsid w:val="00F219A5"/>
    <w:rsid w:val="00F21E7C"/>
    <w:rsid w:val="00F22209"/>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48F5"/>
    <w:rsid w:val="00F554B7"/>
    <w:rsid w:val="00F5618B"/>
    <w:rsid w:val="00F56631"/>
    <w:rsid w:val="00F56F0E"/>
    <w:rsid w:val="00F57B8A"/>
    <w:rsid w:val="00F60D1E"/>
    <w:rsid w:val="00F618E3"/>
    <w:rsid w:val="00F62314"/>
    <w:rsid w:val="00F62AAF"/>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44B1"/>
    <w:rsid w:val="00F8504D"/>
    <w:rsid w:val="00F85596"/>
    <w:rsid w:val="00F8639E"/>
    <w:rsid w:val="00F86AD0"/>
    <w:rsid w:val="00F91590"/>
    <w:rsid w:val="00F9269E"/>
    <w:rsid w:val="00F92950"/>
    <w:rsid w:val="00F947F2"/>
    <w:rsid w:val="00F9551C"/>
    <w:rsid w:val="00F96830"/>
    <w:rsid w:val="00F973CF"/>
    <w:rsid w:val="00F97669"/>
    <w:rsid w:val="00FA14BE"/>
    <w:rsid w:val="00FA396D"/>
    <w:rsid w:val="00FA409F"/>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40BE"/>
    <w:rsid w:val="00FD573B"/>
    <w:rsid w:val="00FD73C0"/>
    <w:rsid w:val="00FD7DA3"/>
    <w:rsid w:val="00FE0267"/>
    <w:rsid w:val="00FE307E"/>
    <w:rsid w:val="00FE6081"/>
    <w:rsid w:val="00FE6A26"/>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CFD5-7844-4970-84C0-46FF0FBD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1701</Words>
  <Characters>12335</Characters>
  <Application>Microsoft Office Word</Application>
  <DocSecurity>0</DocSecurity>
  <Lines>560</Lines>
  <Paragraphs>230</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2015.gada budžeta apstiprināšanu” sākotnējās ietekmes novērtējuma ziņojums (anotācija)</vt:lpstr>
    </vt:vector>
  </TitlesOfParts>
  <Company>Satiksmes ministrija</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2015.gada budžeta apstiprināšanu” sākotnējās ietekmes novērtējuma ziņojums (anotācija)</dc:title>
  <dc:subject>Anotācija</dc:subject>
  <dc:creator>I.Dambe</dc:creator>
  <dc:description>67830941,  inta.dambe@latcaa.gov.lv</dc:description>
  <cp:lastModifiedBy>Žanete Jansone</cp:lastModifiedBy>
  <cp:revision>13</cp:revision>
  <cp:lastPrinted>2014-11-13T09:38:00Z</cp:lastPrinted>
  <dcterms:created xsi:type="dcterms:W3CDTF">2014-11-13T09:13:00Z</dcterms:created>
  <dcterms:modified xsi:type="dcterms:W3CDTF">2014-12-03T07:28:00Z</dcterms:modified>
</cp:coreProperties>
</file>