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5F" w:rsidRPr="000871E5" w:rsidRDefault="00027B41" w:rsidP="00B76630">
      <w:pPr>
        <w:spacing w:line="240" w:lineRule="auto"/>
        <w:ind w:firstLine="0"/>
        <w:jc w:val="center"/>
        <w:rPr>
          <w:rFonts w:eastAsia="Times New Roman"/>
          <w:b/>
          <w:bCs/>
          <w:color w:val="000000" w:themeColor="text1"/>
          <w:szCs w:val="28"/>
          <w:lang w:eastAsia="lv-LV"/>
        </w:rPr>
      </w:pPr>
      <w:r w:rsidRPr="000871E5">
        <w:rPr>
          <w:b/>
          <w:color w:val="000000" w:themeColor="text1"/>
          <w:szCs w:val="28"/>
        </w:rPr>
        <w:t>Likumprojekta „ Grozījumi Autoceļu lietošanas nodevas likumā” sākotnējās ietekmes novērtējuma ziņojums (anotācija)</w:t>
      </w:r>
    </w:p>
    <w:p w:rsidR="00B0361B" w:rsidRPr="000871E5" w:rsidRDefault="00B0361B" w:rsidP="0083428E">
      <w:pPr>
        <w:ind w:firstLine="0"/>
        <w:rPr>
          <w:rFonts w:eastAsia="Times New Roman"/>
          <w:b/>
          <w:color w:val="000000" w:themeColor="text1"/>
          <w:szCs w:val="28"/>
          <w:lang w:eastAsia="lv-LV"/>
        </w:rPr>
      </w:pPr>
    </w:p>
    <w:tbl>
      <w:tblPr>
        <w:tblW w:w="8872" w:type="dxa"/>
        <w:tblCellSpacing w:w="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984"/>
        <w:gridCol w:w="420"/>
        <w:gridCol w:w="5108"/>
      </w:tblGrid>
      <w:tr w:rsidR="000871E5" w:rsidRPr="000871E5" w:rsidTr="00F709CF">
        <w:trPr>
          <w:trHeight w:val="331"/>
          <w:tblCellSpacing w:w="0" w:type="dxa"/>
        </w:trPr>
        <w:tc>
          <w:tcPr>
            <w:tcW w:w="8872" w:type="dxa"/>
            <w:gridSpan w:val="4"/>
            <w:vAlign w:val="center"/>
          </w:tcPr>
          <w:p w:rsidR="00844CA5" w:rsidRPr="000871E5" w:rsidRDefault="00B0361B" w:rsidP="00503578">
            <w:pPr>
              <w:spacing w:before="100" w:beforeAutospacing="1" w:after="100" w:afterAutospacing="1" w:line="240" w:lineRule="auto"/>
              <w:ind w:firstLine="0"/>
              <w:jc w:val="center"/>
              <w:rPr>
                <w:rFonts w:eastAsia="Times New Roman"/>
                <w:color w:val="000000" w:themeColor="text1"/>
                <w:sz w:val="24"/>
                <w:szCs w:val="24"/>
                <w:lang w:eastAsia="lv-LV"/>
              </w:rPr>
            </w:pPr>
            <w:r w:rsidRPr="000871E5">
              <w:rPr>
                <w:rFonts w:eastAsia="Times New Roman"/>
                <w:b/>
                <w:bCs/>
                <w:color w:val="000000" w:themeColor="text1"/>
                <w:sz w:val="24"/>
                <w:szCs w:val="24"/>
                <w:lang w:eastAsia="lv-LV"/>
              </w:rPr>
              <w:t>I. Tiesību akta projekta izstrādes nepieciešamība</w:t>
            </w:r>
          </w:p>
        </w:tc>
      </w:tr>
      <w:tr w:rsidR="000871E5" w:rsidRPr="000871E5" w:rsidTr="00F709CF">
        <w:trPr>
          <w:trHeight w:val="581"/>
          <w:tblCellSpacing w:w="0" w:type="dxa"/>
        </w:trPr>
        <w:tc>
          <w:tcPr>
            <w:tcW w:w="360"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1.</w:t>
            </w:r>
          </w:p>
        </w:tc>
        <w:tc>
          <w:tcPr>
            <w:tcW w:w="2984"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Pamatojums</w:t>
            </w:r>
          </w:p>
        </w:tc>
        <w:tc>
          <w:tcPr>
            <w:tcW w:w="5528" w:type="dxa"/>
            <w:gridSpan w:val="2"/>
          </w:tcPr>
          <w:p w:rsidR="00844CA5" w:rsidRPr="000871E5" w:rsidRDefault="00027B41" w:rsidP="00027B41">
            <w:pPr>
              <w:spacing w:line="240" w:lineRule="auto"/>
              <w:ind w:firstLine="0"/>
              <w:rPr>
                <w:rFonts w:eastAsia="Times New Roman"/>
                <w:color w:val="000000" w:themeColor="text1"/>
                <w:sz w:val="24"/>
                <w:szCs w:val="24"/>
                <w:lang w:eastAsia="lv-LV"/>
              </w:rPr>
            </w:pPr>
            <w:r w:rsidRPr="000871E5">
              <w:rPr>
                <w:rFonts w:eastAsia="Times New Roman"/>
                <w:color w:val="000000" w:themeColor="text1"/>
                <w:sz w:val="24"/>
                <w:szCs w:val="24"/>
                <w:lang w:eastAsia="lv-LV"/>
              </w:rPr>
              <w:t>Ministru kabineta 2014</w:t>
            </w:r>
            <w:r w:rsidR="000871E5">
              <w:rPr>
                <w:rFonts w:eastAsia="Times New Roman"/>
                <w:color w:val="000000" w:themeColor="text1"/>
                <w:sz w:val="24"/>
                <w:szCs w:val="24"/>
                <w:lang w:eastAsia="lv-LV"/>
              </w:rPr>
              <w:t>.gada 26.maija sēdē (protokols N</w:t>
            </w:r>
            <w:r w:rsidRPr="000871E5">
              <w:rPr>
                <w:rFonts w:eastAsia="Times New Roman"/>
                <w:color w:val="000000" w:themeColor="text1"/>
                <w:sz w:val="24"/>
                <w:szCs w:val="24"/>
                <w:lang w:eastAsia="lv-LV"/>
              </w:rPr>
              <w:t>r.30</w:t>
            </w:r>
            <w:r w:rsidR="005C7645" w:rsidRPr="000871E5">
              <w:rPr>
                <w:rFonts w:eastAsia="Times New Roman"/>
                <w:color w:val="000000" w:themeColor="text1"/>
                <w:sz w:val="24"/>
                <w:szCs w:val="24"/>
                <w:lang w:eastAsia="lv-LV"/>
              </w:rPr>
              <w:t xml:space="preserve"> 34.§</w:t>
            </w:r>
            <w:r w:rsidRPr="000871E5">
              <w:rPr>
                <w:rFonts w:eastAsia="Times New Roman"/>
                <w:color w:val="000000" w:themeColor="text1"/>
                <w:sz w:val="24"/>
                <w:szCs w:val="24"/>
                <w:lang w:eastAsia="lv-LV"/>
              </w:rPr>
              <w:t xml:space="preserve">) Satiksmes ministrijai uzdots </w:t>
            </w:r>
            <w:r w:rsidR="004A1A8E" w:rsidRPr="000871E5">
              <w:rPr>
                <w:rFonts w:eastAsia="Times New Roman"/>
                <w:color w:val="000000" w:themeColor="text1"/>
                <w:sz w:val="24"/>
                <w:szCs w:val="24"/>
                <w:lang w:eastAsia="lv-LV"/>
              </w:rPr>
              <w:t>sagatavot un iesniegt izskatīšanai Ministru kabineta 2014.gada 3.jūnija sēdē likumprojektu "Grozījumi Autoceļu lietošanas nodevas likumā", kurā paredzēt autoceļu lietošanas nodevas iekasēšanas tiesības privāto tiesību juridiskām personām.</w:t>
            </w:r>
          </w:p>
        </w:tc>
      </w:tr>
      <w:tr w:rsidR="000871E5" w:rsidRPr="000871E5" w:rsidTr="00F709CF">
        <w:trPr>
          <w:trHeight w:val="1247"/>
          <w:tblCellSpacing w:w="0" w:type="dxa"/>
        </w:trPr>
        <w:tc>
          <w:tcPr>
            <w:tcW w:w="360"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2.</w:t>
            </w:r>
          </w:p>
        </w:tc>
        <w:tc>
          <w:tcPr>
            <w:tcW w:w="2984"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w:t>
            </w:r>
            <w:r w:rsidR="0083428E" w:rsidRPr="000871E5">
              <w:rPr>
                <w:color w:val="000000" w:themeColor="text1"/>
                <w:sz w:val="24"/>
                <w:szCs w:val="24"/>
              </w:rPr>
              <w:t>Pašreizējā situācija un problēmas, kuru risināšanai tiesību akta projekts izstrādāts, tiesiskā regulējuma mērķis un būtība</w:t>
            </w:r>
          </w:p>
        </w:tc>
        <w:tc>
          <w:tcPr>
            <w:tcW w:w="5528" w:type="dxa"/>
            <w:gridSpan w:val="2"/>
          </w:tcPr>
          <w:p w:rsidR="0005135F" w:rsidRPr="000871E5" w:rsidRDefault="009541A6" w:rsidP="0005135F">
            <w:pPr>
              <w:spacing w:line="240" w:lineRule="auto"/>
              <w:ind w:firstLine="0"/>
              <w:rPr>
                <w:color w:val="000000" w:themeColor="text1"/>
                <w:sz w:val="24"/>
                <w:szCs w:val="24"/>
              </w:rPr>
            </w:pPr>
            <w:r w:rsidRPr="000871E5">
              <w:rPr>
                <w:color w:val="000000" w:themeColor="text1"/>
                <w:sz w:val="24"/>
                <w:szCs w:val="24"/>
              </w:rPr>
              <w:t xml:space="preserve">   </w:t>
            </w:r>
            <w:r w:rsidR="0073559B" w:rsidRPr="000871E5">
              <w:rPr>
                <w:color w:val="000000" w:themeColor="text1"/>
                <w:sz w:val="24"/>
                <w:szCs w:val="24"/>
              </w:rPr>
              <w:t>Autoceļu lietošanas nodevas likuma</w:t>
            </w:r>
            <w:r w:rsidR="00A55A94" w:rsidRPr="000871E5">
              <w:rPr>
                <w:color w:val="000000" w:themeColor="text1"/>
                <w:sz w:val="24"/>
                <w:szCs w:val="24"/>
              </w:rPr>
              <w:t xml:space="preserve"> 3.pantā un 5.panta trešajā daļā Ministru kabinetam dots deleģējums izdot noteikumus par autoceļu lietošanas nodevas maksāšanas, iekasēšanas un administrēšanas kārtību</w:t>
            </w:r>
            <w:r w:rsidR="0005135F" w:rsidRPr="000871E5">
              <w:rPr>
                <w:color w:val="000000" w:themeColor="text1"/>
                <w:sz w:val="24"/>
                <w:szCs w:val="24"/>
              </w:rPr>
              <w:t>.</w:t>
            </w:r>
            <w:r w:rsidR="00A55A94" w:rsidRPr="000871E5">
              <w:rPr>
                <w:color w:val="000000" w:themeColor="text1"/>
                <w:sz w:val="24"/>
                <w:szCs w:val="24"/>
              </w:rPr>
              <w:t xml:space="preserve"> Likumā nav noteiks </w:t>
            </w:r>
            <w:r w:rsidR="00045782" w:rsidRPr="000871E5">
              <w:rPr>
                <w:color w:val="000000" w:themeColor="text1"/>
                <w:sz w:val="24"/>
                <w:szCs w:val="24"/>
              </w:rPr>
              <w:t xml:space="preserve">to </w:t>
            </w:r>
            <w:r w:rsidR="00A55A94" w:rsidRPr="000871E5">
              <w:rPr>
                <w:color w:val="000000" w:themeColor="text1"/>
                <w:sz w:val="24"/>
                <w:szCs w:val="24"/>
              </w:rPr>
              <w:t>personu loks, k</w:t>
            </w:r>
            <w:r w:rsidR="00045782" w:rsidRPr="000871E5">
              <w:rPr>
                <w:color w:val="000000" w:themeColor="text1"/>
                <w:sz w:val="24"/>
                <w:szCs w:val="24"/>
              </w:rPr>
              <w:t>uras</w:t>
            </w:r>
            <w:r w:rsidR="00A55A94" w:rsidRPr="000871E5">
              <w:rPr>
                <w:color w:val="000000" w:themeColor="text1"/>
                <w:sz w:val="24"/>
                <w:szCs w:val="24"/>
              </w:rPr>
              <w:t xml:space="preserve"> ir tiesīg</w:t>
            </w:r>
            <w:r w:rsidR="00045782" w:rsidRPr="000871E5">
              <w:rPr>
                <w:color w:val="000000" w:themeColor="text1"/>
                <w:sz w:val="24"/>
                <w:szCs w:val="24"/>
              </w:rPr>
              <w:t>as</w:t>
            </w:r>
            <w:r w:rsidR="00A55A94" w:rsidRPr="000871E5">
              <w:rPr>
                <w:color w:val="000000" w:themeColor="text1"/>
                <w:sz w:val="24"/>
                <w:szCs w:val="24"/>
              </w:rPr>
              <w:t xml:space="preserve"> sniegt nodevas iekasēšanas pakalpojumus</w:t>
            </w:r>
            <w:r w:rsidR="00064DD0" w:rsidRPr="000871E5">
              <w:rPr>
                <w:color w:val="000000" w:themeColor="text1"/>
                <w:sz w:val="24"/>
                <w:szCs w:val="24"/>
              </w:rPr>
              <w:t>.</w:t>
            </w:r>
            <w:r w:rsidR="0005135F" w:rsidRPr="000871E5">
              <w:rPr>
                <w:color w:val="000000" w:themeColor="text1"/>
                <w:sz w:val="24"/>
                <w:szCs w:val="24"/>
              </w:rPr>
              <w:t xml:space="preserve"> </w:t>
            </w:r>
          </w:p>
          <w:p w:rsidR="009541A6" w:rsidRPr="000871E5" w:rsidRDefault="009541A6" w:rsidP="0005135F">
            <w:pPr>
              <w:spacing w:line="240" w:lineRule="auto"/>
              <w:ind w:firstLine="0"/>
              <w:rPr>
                <w:color w:val="000000" w:themeColor="text1"/>
                <w:sz w:val="24"/>
                <w:szCs w:val="24"/>
              </w:rPr>
            </w:pPr>
            <w:r w:rsidRPr="000871E5">
              <w:rPr>
                <w:color w:val="000000" w:themeColor="text1"/>
                <w:sz w:val="24"/>
                <w:szCs w:val="24"/>
              </w:rPr>
              <w:t xml:space="preserve">   </w:t>
            </w:r>
            <w:r w:rsidR="00231C9D" w:rsidRPr="00112E69">
              <w:rPr>
                <w:sz w:val="24"/>
                <w:szCs w:val="24"/>
              </w:rPr>
              <w:t>Eiropas Parlamenta un Padomes</w:t>
            </w:r>
            <w:r w:rsidR="00231C9D" w:rsidRPr="000871E5">
              <w:rPr>
                <w:color w:val="000000" w:themeColor="text1"/>
                <w:sz w:val="24"/>
                <w:szCs w:val="24"/>
              </w:rPr>
              <w:t xml:space="preserve"> </w:t>
            </w:r>
            <w:r w:rsidRPr="000871E5">
              <w:rPr>
                <w:color w:val="000000" w:themeColor="text1"/>
                <w:sz w:val="24"/>
                <w:szCs w:val="24"/>
              </w:rPr>
              <w:t xml:space="preserve">1999.gada 17.jūnija Direktīvas 1999/62/EK par dažu infrastruktūru lietošanas maksas noteikšanu smagajiem kravas transportlīdzekļiem un </w:t>
            </w:r>
            <w:r w:rsidR="00231C9D" w:rsidRPr="00112E69">
              <w:rPr>
                <w:sz w:val="24"/>
                <w:szCs w:val="24"/>
              </w:rPr>
              <w:t xml:space="preserve">Eiropas Parlamenta un Padomes </w:t>
            </w:r>
            <w:r w:rsidRPr="000871E5">
              <w:rPr>
                <w:color w:val="000000" w:themeColor="text1"/>
                <w:sz w:val="24"/>
                <w:szCs w:val="24"/>
              </w:rPr>
              <w:t>2006.gada 17.maija Direktīvas 2006/38/EK, ar ko groza direktīvu 1999/62/EK 7.j pants paredz, ka autoceļu nodevas un lietošanas maksu piemēro un iekasē, un to samaksu pārrauga tā, lai iespējami mazāk traucētu brīvu satiksmes plūsmu un lai pie Savienības iekšējām robežām nenotiktu nekādas obligātas pārbaudes vai kontroles pasākumi. Lai to nodrošinātu, dalībvalstis sadarbojas, izstrādājot metodes, kā pārvadātāji vismaz lielākajās tirdzniecības vietās var samaksāt autoceļu nodevas un lietošanas maksu 24 stundas diennaktī, izmantojot parastus maksāšanas līdzekļus, gan dalībvalstīs, kur tā ir piemērota, gan ārpus tām. Autoceļu nodevu un lietošanas maksājumu iekasēšanas vietās dalībvalstis attiecīgas iekārtas uzstāda tā, lai nodrošinātu parasto satiksmes drošības standartu ievērošanu.</w:t>
            </w:r>
          </w:p>
          <w:p w:rsidR="0005135F" w:rsidRPr="000871E5" w:rsidRDefault="0005135F" w:rsidP="00B703D0">
            <w:pPr>
              <w:spacing w:line="240" w:lineRule="auto"/>
              <w:ind w:firstLine="0"/>
              <w:rPr>
                <w:color w:val="000000" w:themeColor="text1"/>
                <w:sz w:val="24"/>
                <w:szCs w:val="24"/>
              </w:rPr>
            </w:pPr>
            <w:r w:rsidRPr="000871E5">
              <w:rPr>
                <w:color w:val="000000" w:themeColor="text1"/>
                <w:sz w:val="24"/>
                <w:szCs w:val="24"/>
              </w:rPr>
              <w:t xml:space="preserve">     </w:t>
            </w:r>
            <w:r w:rsidR="00064DD0" w:rsidRPr="000871E5">
              <w:rPr>
                <w:color w:val="000000" w:themeColor="text1"/>
                <w:sz w:val="24"/>
                <w:szCs w:val="24"/>
              </w:rPr>
              <w:t>M</w:t>
            </w:r>
            <w:r w:rsidR="00B703D0" w:rsidRPr="000871E5">
              <w:rPr>
                <w:color w:val="000000" w:themeColor="text1"/>
                <w:sz w:val="24"/>
                <w:szCs w:val="24"/>
              </w:rPr>
              <w:t xml:space="preserve">inistru kabineta </w:t>
            </w:r>
            <w:r w:rsidR="000C17B3" w:rsidRPr="000871E5">
              <w:rPr>
                <w:color w:val="000000" w:themeColor="text1"/>
                <w:sz w:val="24"/>
                <w:szCs w:val="24"/>
              </w:rPr>
              <w:t xml:space="preserve">2014.gada 26.maija </w:t>
            </w:r>
            <w:r w:rsidR="00B703D0" w:rsidRPr="000871E5">
              <w:rPr>
                <w:color w:val="000000" w:themeColor="text1"/>
                <w:sz w:val="24"/>
                <w:szCs w:val="24"/>
              </w:rPr>
              <w:t>sēdē</w:t>
            </w:r>
            <w:r w:rsidR="003A038F" w:rsidRPr="000871E5">
              <w:rPr>
                <w:color w:val="000000" w:themeColor="text1"/>
                <w:sz w:val="24"/>
                <w:szCs w:val="24"/>
              </w:rPr>
              <w:t xml:space="preserve"> </w:t>
            </w:r>
            <w:r w:rsidR="003A038F" w:rsidRPr="000871E5">
              <w:rPr>
                <w:rFonts w:eastAsia="Times New Roman"/>
                <w:color w:val="000000" w:themeColor="text1"/>
                <w:sz w:val="24"/>
                <w:szCs w:val="24"/>
                <w:lang w:eastAsia="lv-LV"/>
              </w:rPr>
              <w:t xml:space="preserve">(protokols </w:t>
            </w:r>
            <w:r w:rsidR="000871E5">
              <w:rPr>
                <w:rFonts w:eastAsia="Times New Roman"/>
                <w:color w:val="000000" w:themeColor="text1"/>
                <w:sz w:val="24"/>
                <w:szCs w:val="24"/>
                <w:lang w:eastAsia="lv-LV"/>
              </w:rPr>
              <w:t>N</w:t>
            </w:r>
            <w:r w:rsidR="003A038F" w:rsidRPr="000871E5">
              <w:rPr>
                <w:rFonts w:eastAsia="Times New Roman"/>
                <w:color w:val="000000" w:themeColor="text1"/>
                <w:sz w:val="24"/>
                <w:szCs w:val="24"/>
                <w:lang w:eastAsia="lv-LV"/>
              </w:rPr>
              <w:t xml:space="preserve">r.30 34.§) </w:t>
            </w:r>
            <w:r w:rsidR="00B703D0" w:rsidRPr="000871E5">
              <w:rPr>
                <w:color w:val="000000" w:themeColor="text1"/>
                <w:sz w:val="24"/>
                <w:szCs w:val="24"/>
              </w:rPr>
              <w:t>apstiprinātais</w:t>
            </w:r>
            <w:r w:rsidR="00064DD0" w:rsidRPr="000871E5">
              <w:rPr>
                <w:color w:val="000000" w:themeColor="text1"/>
                <w:sz w:val="24"/>
                <w:szCs w:val="24"/>
              </w:rPr>
              <w:t xml:space="preserve"> </w:t>
            </w:r>
            <w:r w:rsidR="003B13D7" w:rsidRPr="000871E5">
              <w:rPr>
                <w:color w:val="000000" w:themeColor="text1"/>
                <w:sz w:val="24"/>
                <w:szCs w:val="24"/>
              </w:rPr>
              <w:t>n</w:t>
            </w:r>
            <w:r w:rsidRPr="000871E5">
              <w:rPr>
                <w:color w:val="000000" w:themeColor="text1"/>
                <w:sz w:val="24"/>
                <w:szCs w:val="24"/>
              </w:rPr>
              <w:t>oteikumu projekt</w:t>
            </w:r>
            <w:r w:rsidR="0036197F" w:rsidRPr="000871E5">
              <w:rPr>
                <w:color w:val="000000" w:themeColor="text1"/>
                <w:sz w:val="24"/>
                <w:szCs w:val="24"/>
              </w:rPr>
              <w:t>s</w:t>
            </w:r>
            <w:r w:rsidR="00B703D0" w:rsidRPr="000871E5">
              <w:rPr>
                <w:color w:val="000000" w:themeColor="text1"/>
                <w:sz w:val="24"/>
                <w:szCs w:val="24"/>
              </w:rPr>
              <w:t xml:space="preserve"> “Autoceļu lietošanas nodevas maksāšanas, iekasēšanas un administrēšanas kārtība”</w:t>
            </w:r>
            <w:r w:rsidR="0036197F" w:rsidRPr="000871E5">
              <w:rPr>
                <w:color w:val="000000" w:themeColor="text1"/>
                <w:sz w:val="24"/>
                <w:szCs w:val="24"/>
              </w:rPr>
              <w:t xml:space="preserve"> </w:t>
            </w:r>
            <w:r w:rsidR="00B703D0" w:rsidRPr="000871E5">
              <w:rPr>
                <w:color w:val="000000" w:themeColor="text1"/>
                <w:sz w:val="24"/>
                <w:szCs w:val="24"/>
              </w:rPr>
              <w:t xml:space="preserve">(turpmāk tekstā – Noteikumi) </w:t>
            </w:r>
            <w:r w:rsidR="0036197F" w:rsidRPr="000871E5">
              <w:rPr>
                <w:color w:val="000000" w:themeColor="text1"/>
                <w:sz w:val="24"/>
                <w:szCs w:val="24"/>
              </w:rPr>
              <w:t>tika izstrādāts</w:t>
            </w:r>
            <w:r w:rsidRPr="000871E5">
              <w:rPr>
                <w:color w:val="000000" w:themeColor="text1"/>
                <w:sz w:val="24"/>
                <w:szCs w:val="24"/>
              </w:rPr>
              <w:t xml:space="preserve">, </w:t>
            </w:r>
            <w:r w:rsidR="00931B00" w:rsidRPr="000871E5">
              <w:rPr>
                <w:color w:val="000000" w:themeColor="text1"/>
                <w:sz w:val="24"/>
                <w:szCs w:val="24"/>
              </w:rPr>
              <w:t xml:space="preserve">vadoties no </w:t>
            </w:r>
            <w:r w:rsidR="009541A6" w:rsidRPr="000871E5">
              <w:rPr>
                <w:color w:val="000000" w:themeColor="text1"/>
                <w:sz w:val="24"/>
                <w:szCs w:val="24"/>
              </w:rPr>
              <w:t xml:space="preserve">Direktīvas prasībām un </w:t>
            </w:r>
            <w:r w:rsidR="00931B00" w:rsidRPr="000871E5">
              <w:rPr>
                <w:color w:val="000000" w:themeColor="text1"/>
                <w:sz w:val="24"/>
                <w:szCs w:val="24"/>
              </w:rPr>
              <w:t xml:space="preserve">Valsts pārvaldes iekārtas likuma 10.panta desmitajā daļā noteiktā, </w:t>
            </w:r>
            <w:r w:rsidRPr="000871E5">
              <w:rPr>
                <w:color w:val="000000" w:themeColor="text1"/>
                <w:sz w:val="24"/>
                <w:szCs w:val="24"/>
              </w:rPr>
              <w:t xml:space="preserve">lai </w:t>
            </w:r>
            <w:r w:rsidR="00931B00" w:rsidRPr="000871E5">
              <w:rPr>
                <w:color w:val="000000" w:themeColor="text1"/>
                <w:sz w:val="24"/>
                <w:szCs w:val="24"/>
              </w:rPr>
              <w:t>ieviestu</w:t>
            </w:r>
            <w:r w:rsidRPr="000871E5">
              <w:rPr>
                <w:color w:val="000000" w:themeColor="text1"/>
                <w:sz w:val="24"/>
                <w:szCs w:val="24"/>
              </w:rPr>
              <w:t xml:space="preserve"> vairākus nodevas samaksas veidus, kādos transportlīdzekļu īpašnieki (vadītāji) varētu veikt nodevas samaksu, lai varētu izmantot Autoceļu lietošanas nodevas likumā noteikto galveno valsts autoceļu posmus. </w:t>
            </w:r>
          </w:p>
          <w:p w:rsidR="00C52448" w:rsidRPr="000871E5" w:rsidRDefault="0005135F" w:rsidP="003B13D7">
            <w:pPr>
              <w:spacing w:line="240" w:lineRule="auto"/>
              <w:ind w:firstLine="0"/>
              <w:rPr>
                <w:color w:val="000000" w:themeColor="text1"/>
                <w:sz w:val="24"/>
                <w:szCs w:val="24"/>
              </w:rPr>
            </w:pPr>
            <w:r w:rsidRPr="000871E5">
              <w:rPr>
                <w:color w:val="000000" w:themeColor="text1"/>
                <w:sz w:val="24"/>
                <w:szCs w:val="24"/>
              </w:rPr>
              <w:t xml:space="preserve">    Noteikum</w:t>
            </w:r>
            <w:r w:rsidR="00B703D0" w:rsidRPr="000871E5">
              <w:rPr>
                <w:color w:val="000000" w:themeColor="text1"/>
                <w:sz w:val="24"/>
                <w:szCs w:val="24"/>
              </w:rPr>
              <w:t>i</w:t>
            </w:r>
            <w:r w:rsidRPr="000871E5">
              <w:rPr>
                <w:color w:val="000000" w:themeColor="text1"/>
                <w:sz w:val="24"/>
                <w:szCs w:val="24"/>
              </w:rPr>
              <w:t xml:space="preserve"> paredz iespēju samaksāt nodevu gan ar skaidru naudu, gan ar maksājumu karti, gan arī iespēju </w:t>
            </w:r>
            <w:r w:rsidRPr="000871E5">
              <w:rPr>
                <w:color w:val="000000" w:themeColor="text1"/>
                <w:sz w:val="24"/>
                <w:szCs w:val="24"/>
              </w:rPr>
              <w:lastRenderedPageBreak/>
              <w:t>samaksāt nodevu</w:t>
            </w:r>
            <w:r w:rsidR="00C4470B">
              <w:rPr>
                <w:color w:val="000000" w:themeColor="text1"/>
                <w:sz w:val="24"/>
                <w:szCs w:val="24"/>
              </w:rPr>
              <w:t>,</w:t>
            </w:r>
            <w:r w:rsidRPr="000871E5">
              <w:rPr>
                <w:color w:val="000000" w:themeColor="text1"/>
                <w:sz w:val="24"/>
                <w:szCs w:val="24"/>
              </w:rPr>
              <w:t xml:space="preserve"> atrodoties ārvalstī.</w:t>
            </w:r>
            <w:r w:rsidR="003B13D7" w:rsidRPr="000871E5">
              <w:rPr>
                <w:color w:val="000000" w:themeColor="text1"/>
                <w:sz w:val="24"/>
                <w:szCs w:val="24"/>
              </w:rPr>
              <w:t xml:space="preserve"> Saskaņā ar</w:t>
            </w:r>
            <w:r w:rsidRPr="000871E5">
              <w:rPr>
                <w:color w:val="000000" w:themeColor="text1"/>
                <w:sz w:val="24"/>
                <w:szCs w:val="24"/>
              </w:rPr>
              <w:t xml:space="preserve"> </w:t>
            </w:r>
            <w:r w:rsidR="003B13D7" w:rsidRPr="000871E5">
              <w:rPr>
                <w:color w:val="000000" w:themeColor="text1"/>
                <w:sz w:val="24"/>
                <w:szCs w:val="24"/>
              </w:rPr>
              <w:t>Ministru kabineta sēdē apstiprin</w:t>
            </w:r>
            <w:r w:rsidR="00B703D0" w:rsidRPr="000871E5">
              <w:rPr>
                <w:color w:val="000000" w:themeColor="text1"/>
                <w:sz w:val="24"/>
                <w:szCs w:val="24"/>
              </w:rPr>
              <w:t>ātajiem N</w:t>
            </w:r>
            <w:r w:rsidR="003B13D7" w:rsidRPr="000871E5">
              <w:rPr>
                <w:color w:val="000000" w:themeColor="text1"/>
                <w:sz w:val="24"/>
                <w:szCs w:val="24"/>
              </w:rPr>
              <w:t xml:space="preserve">oteikumiem, </w:t>
            </w:r>
            <w:r w:rsidRPr="000871E5">
              <w:rPr>
                <w:color w:val="000000" w:themeColor="text1"/>
                <w:sz w:val="24"/>
                <w:szCs w:val="24"/>
              </w:rPr>
              <w:t xml:space="preserve">nodevu </w:t>
            </w:r>
            <w:r w:rsidR="00B703D0" w:rsidRPr="000871E5">
              <w:rPr>
                <w:color w:val="000000" w:themeColor="text1"/>
                <w:sz w:val="24"/>
                <w:szCs w:val="24"/>
              </w:rPr>
              <w:t xml:space="preserve">ar maksājumu karti </w:t>
            </w:r>
            <w:r w:rsidRPr="000871E5">
              <w:rPr>
                <w:color w:val="000000" w:themeColor="text1"/>
                <w:sz w:val="24"/>
                <w:szCs w:val="24"/>
              </w:rPr>
              <w:t xml:space="preserve">varēs samaksāt portālā </w:t>
            </w:r>
            <w:proofErr w:type="spellStart"/>
            <w:r w:rsidRPr="000871E5">
              <w:rPr>
                <w:color w:val="000000" w:themeColor="text1"/>
                <w:sz w:val="24"/>
                <w:szCs w:val="24"/>
              </w:rPr>
              <w:t>www.lvvignette.eu</w:t>
            </w:r>
            <w:proofErr w:type="spellEnd"/>
            <w:r w:rsidR="00C4470B">
              <w:rPr>
                <w:color w:val="000000" w:themeColor="text1"/>
                <w:sz w:val="24"/>
                <w:szCs w:val="24"/>
              </w:rPr>
              <w:t>,</w:t>
            </w:r>
            <w:r w:rsidR="00050528" w:rsidRPr="000871E5">
              <w:rPr>
                <w:color w:val="000000" w:themeColor="text1"/>
                <w:sz w:val="24"/>
                <w:szCs w:val="24"/>
              </w:rPr>
              <w:t xml:space="preserve"> </w:t>
            </w:r>
            <w:r w:rsidRPr="000871E5">
              <w:rPr>
                <w:color w:val="000000" w:themeColor="text1"/>
                <w:sz w:val="24"/>
                <w:szCs w:val="24"/>
              </w:rPr>
              <w:t>ar skaidru naudu vai maksājumu karti izmantojot nodevas iekasēšanas pakalpojuma sni</w:t>
            </w:r>
            <w:r w:rsidR="003B13D7" w:rsidRPr="000871E5">
              <w:rPr>
                <w:color w:val="000000" w:themeColor="text1"/>
                <w:sz w:val="24"/>
                <w:szCs w:val="24"/>
              </w:rPr>
              <w:t>edzēju pakalpojumus</w:t>
            </w:r>
            <w:r w:rsidRPr="000871E5">
              <w:rPr>
                <w:color w:val="000000" w:themeColor="text1"/>
                <w:sz w:val="24"/>
                <w:szCs w:val="24"/>
              </w:rPr>
              <w:t>.</w:t>
            </w:r>
          </w:p>
          <w:p w:rsidR="0005135F" w:rsidRPr="000871E5" w:rsidRDefault="00C52448" w:rsidP="003B13D7">
            <w:pPr>
              <w:spacing w:line="240" w:lineRule="auto"/>
              <w:ind w:firstLine="0"/>
              <w:rPr>
                <w:color w:val="000000" w:themeColor="text1"/>
                <w:sz w:val="24"/>
                <w:szCs w:val="24"/>
              </w:rPr>
            </w:pPr>
            <w:r w:rsidRPr="000871E5">
              <w:rPr>
                <w:color w:val="000000" w:themeColor="text1"/>
                <w:sz w:val="24"/>
                <w:szCs w:val="24"/>
              </w:rPr>
              <w:t xml:space="preserve">   Noteikumu saskaņošanas gaitā Tieslietu ministrija izteica iebildumu, ka </w:t>
            </w:r>
            <w:r w:rsidR="00C20B9B" w:rsidRPr="000871E5">
              <w:rPr>
                <w:color w:val="000000" w:themeColor="text1"/>
                <w:sz w:val="24"/>
                <w:szCs w:val="24"/>
              </w:rPr>
              <w:t xml:space="preserve">likumā nav norādīta valsts institūcija, kura iekasē nodevu un </w:t>
            </w:r>
            <w:r w:rsidRPr="000871E5">
              <w:rPr>
                <w:color w:val="000000" w:themeColor="text1"/>
                <w:sz w:val="24"/>
                <w:szCs w:val="24"/>
              </w:rPr>
              <w:t xml:space="preserve">Noteikumos </w:t>
            </w:r>
            <w:r w:rsidR="00642518" w:rsidRPr="000871E5">
              <w:rPr>
                <w:color w:val="000000" w:themeColor="text1"/>
                <w:sz w:val="24"/>
                <w:szCs w:val="24"/>
              </w:rPr>
              <w:t>paredzētā</w:t>
            </w:r>
            <w:r w:rsidRPr="000871E5">
              <w:rPr>
                <w:color w:val="000000" w:themeColor="text1"/>
                <w:sz w:val="24"/>
                <w:szCs w:val="24"/>
              </w:rPr>
              <w:t xml:space="preserve"> līguma slēgšana ar privāto tiesību juridiskām personām par nodevas iek</w:t>
            </w:r>
            <w:r w:rsidR="00CA1561" w:rsidRPr="000871E5">
              <w:rPr>
                <w:color w:val="000000" w:themeColor="text1"/>
                <w:sz w:val="24"/>
                <w:szCs w:val="24"/>
              </w:rPr>
              <w:t>asēšanas pakalpojuma sniegšanas kārtību</w:t>
            </w:r>
            <w:r w:rsidR="0005135F" w:rsidRPr="000871E5">
              <w:rPr>
                <w:color w:val="000000" w:themeColor="text1"/>
                <w:sz w:val="24"/>
                <w:szCs w:val="24"/>
              </w:rPr>
              <w:t xml:space="preserve"> </w:t>
            </w:r>
            <w:r w:rsidRPr="000871E5">
              <w:rPr>
                <w:color w:val="000000" w:themeColor="text1"/>
                <w:sz w:val="24"/>
                <w:szCs w:val="24"/>
              </w:rPr>
              <w:t>ir</w:t>
            </w:r>
            <w:r w:rsidR="00C20B9B" w:rsidRPr="000871E5">
              <w:rPr>
                <w:color w:val="000000" w:themeColor="text1"/>
                <w:sz w:val="24"/>
                <w:szCs w:val="24"/>
              </w:rPr>
              <w:t xml:space="preserve"> uzskatāma par valsts pārvaldes uzdevuma deleģēšanu. Līdz ar to ir nepieciešami grozījumi </w:t>
            </w:r>
            <w:r w:rsidRPr="000871E5">
              <w:rPr>
                <w:color w:val="000000" w:themeColor="text1"/>
                <w:sz w:val="24"/>
                <w:szCs w:val="24"/>
              </w:rPr>
              <w:t>Autoceļu lietošanas nodevas likumā.</w:t>
            </w:r>
          </w:p>
          <w:p w:rsidR="00C20B9B" w:rsidRPr="000871E5" w:rsidRDefault="00C20B9B" w:rsidP="003B13D7">
            <w:pPr>
              <w:spacing w:line="240" w:lineRule="auto"/>
              <w:ind w:firstLine="0"/>
              <w:rPr>
                <w:color w:val="000000" w:themeColor="text1"/>
                <w:sz w:val="24"/>
                <w:szCs w:val="24"/>
              </w:rPr>
            </w:pPr>
            <w:r w:rsidRPr="000871E5">
              <w:rPr>
                <w:color w:val="000000" w:themeColor="text1"/>
                <w:sz w:val="24"/>
                <w:szCs w:val="24"/>
              </w:rPr>
              <w:t xml:space="preserve">     Tā kā autoceļu lietošanas nodeva ir maksājums par ceļa lietošanu, nevis valsts institūcijas veiktu darbību vai sniegtu nodrošinājumu, likumā nav </w:t>
            </w:r>
            <w:r w:rsidR="00D73505" w:rsidRPr="000871E5">
              <w:rPr>
                <w:color w:val="000000" w:themeColor="text1"/>
                <w:sz w:val="24"/>
                <w:szCs w:val="24"/>
              </w:rPr>
              <w:t>nosakāma</w:t>
            </w:r>
            <w:r w:rsidRPr="000871E5">
              <w:rPr>
                <w:color w:val="000000" w:themeColor="text1"/>
                <w:sz w:val="24"/>
                <w:szCs w:val="24"/>
              </w:rPr>
              <w:t xml:space="preserve"> valsts institūcij</w:t>
            </w:r>
            <w:r w:rsidR="00D73505" w:rsidRPr="000871E5">
              <w:rPr>
                <w:color w:val="000000" w:themeColor="text1"/>
                <w:sz w:val="24"/>
                <w:szCs w:val="24"/>
              </w:rPr>
              <w:t>a</w:t>
            </w:r>
            <w:r w:rsidRPr="000871E5">
              <w:rPr>
                <w:color w:val="000000" w:themeColor="text1"/>
                <w:sz w:val="24"/>
                <w:szCs w:val="24"/>
              </w:rPr>
              <w:t>, kas būtu nodevas iekasētāja. Bez tam, nevienai valsts iestādei šobrīd nav pakalpojumu sniegšanas vietas uz visiem tiem valsts autoceļu posmiem, par kuriem ir veicams nodevas maksājums. Arī jaunas valsts pārvaldes iestādes izveidošana nav paredzēta un šādas iestādes izveide un uzturēšana būtu nesamērīgs, jauns administratīvs slogs un apgrūtinājums valsts budžetam, salīdzinot ar prognozējamiem valsts budžeta ieņēmumiem no nodevas maksājumiem. Satiksmes ministrija, vadoties no Valsts pārvaldes iekārtas likuma 10.panta desmitajā daļā noteiktā, ir paredzējusi trīs nodevas maksāšanas veidus, tai skaitā izmantojot jau esošo privāto tiesību juridisko personu filiāļu tīklu, kur tiek sniegti dažāda veida pakalpojumi transportlīdzekļu vadītājiem un īpašniekiem (degvielas uzpildes stacijas, muitas brokeri  u.tml.). Ar līgumu tiks noteikta kārtība, kādā juridiskā persona var piedāvāt nodevas samaksas pakalpojumus transportlīdzekļu vadītājiem, kuri izmanto Latvijas galveno autoceļu posmus.</w:t>
            </w:r>
          </w:p>
          <w:p w:rsidR="00C32077" w:rsidRPr="000871E5" w:rsidRDefault="0005135F" w:rsidP="003F4C1A">
            <w:pPr>
              <w:spacing w:line="240" w:lineRule="auto"/>
              <w:ind w:firstLine="0"/>
              <w:rPr>
                <w:color w:val="000000" w:themeColor="text1"/>
                <w:sz w:val="24"/>
                <w:szCs w:val="24"/>
              </w:rPr>
            </w:pPr>
            <w:r w:rsidRPr="000871E5">
              <w:rPr>
                <w:color w:val="000000" w:themeColor="text1"/>
                <w:sz w:val="24"/>
                <w:szCs w:val="24"/>
              </w:rPr>
              <w:t xml:space="preserve">    </w:t>
            </w:r>
            <w:r w:rsidR="00C52448" w:rsidRPr="000871E5">
              <w:rPr>
                <w:color w:val="000000" w:themeColor="text1"/>
                <w:sz w:val="24"/>
                <w:szCs w:val="24"/>
              </w:rPr>
              <w:t>Ņemot vērā iepriekš minēto, ir sagatavots grozījums Autoceļu lietošanas nodevas likuma 5.panta otrajā daļā, kurā tiek noteikti nodevas iekasēšanas veidi</w:t>
            </w:r>
            <w:r w:rsidR="003F4C1A" w:rsidRPr="000871E5">
              <w:rPr>
                <w:color w:val="000000" w:themeColor="text1"/>
                <w:sz w:val="24"/>
                <w:szCs w:val="24"/>
              </w:rPr>
              <w:t>, tai skait</w:t>
            </w:r>
            <w:r w:rsidR="0032337A" w:rsidRPr="000871E5">
              <w:rPr>
                <w:color w:val="000000" w:themeColor="text1"/>
                <w:sz w:val="24"/>
                <w:szCs w:val="24"/>
              </w:rPr>
              <w:t>ā paredzot</w:t>
            </w:r>
            <w:r w:rsidR="003F4C1A" w:rsidRPr="000871E5">
              <w:rPr>
                <w:color w:val="000000" w:themeColor="text1"/>
                <w:sz w:val="24"/>
                <w:szCs w:val="24"/>
              </w:rPr>
              <w:t xml:space="preserve"> nodevas maksāšanu ar tādas privāto tiesību juridiskas personas starpniecību, kura ar valsts akciju sabiedrību “Latvijas Valsts ceļi” un valsts akciju sabiedrību “Ceļu satiksmes drošības direkcija” būs noslēgusi līgumu par nodevas iekasēšanas pakalpojumu sniegšanas kārtību</w:t>
            </w:r>
            <w:r w:rsidR="00C52448" w:rsidRPr="000871E5">
              <w:rPr>
                <w:color w:val="000000" w:themeColor="text1"/>
                <w:sz w:val="24"/>
                <w:szCs w:val="24"/>
              </w:rPr>
              <w:t>.</w:t>
            </w:r>
            <w:r w:rsidRPr="000871E5">
              <w:rPr>
                <w:color w:val="000000" w:themeColor="text1"/>
                <w:sz w:val="24"/>
                <w:szCs w:val="24"/>
              </w:rPr>
              <w:t xml:space="preserve"> </w:t>
            </w:r>
          </w:p>
        </w:tc>
      </w:tr>
      <w:tr w:rsidR="000871E5" w:rsidRPr="000871E5" w:rsidTr="00F709CF">
        <w:trPr>
          <w:trHeight w:val="507"/>
          <w:tblCellSpacing w:w="0" w:type="dxa"/>
        </w:trPr>
        <w:tc>
          <w:tcPr>
            <w:tcW w:w="360"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lastRenderedPageBreak/>
              <w:t> 3.</w:t>
            </w:r>
          </w:p>
        </w:tc>
        <w:tc>
          <w:tcPr>
            <w:tcW w:w="2984"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w:t>
            </w:r>
            <w:r w:rsidR="0083428E" w:rsidRPr="000871E5">
              <w:rPr>
                <w:rFonts w:eastAsia="Times New Roman"/>
                <w:color w:val="000000" w:themeColor="text1"/>
                <w:sz w:val="24"/>
                <w:szCs w:val="24"/>
                <w:lang w:eastAsia="lv-LV"/>
              </w:rPr>
              <w:t>Projekta izstrādē iesaistītās institūcijas</w:t>
            </w:r>
          </w:p>
        </w:tc>
        <w:tc>
          <w:tcPr>
            <w:tcW w:w="5528" w:type="dxa"/>
            <w:gridSpan w:val="2"/>
          </w:tcPr>
          <w:p w:rsidR="00B0361B" w:rsidRPr="000871E5" w:rsidRDefault="00D91529"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Valsts akciju sabiedrība „Ceļu satiksmes drošības direkcija”, valsts akciju sabiedrība „Latvijas Valsts ceļi”.</w:t>
            </w:r>
          </w:p>
        </w:tc>
      </w:tr>
      <w:tr w:rsidR="000871E5" w:rsidRPr="000871E5" w:rsidTr="00F709CF">
        <w:trPr>
          <w:tblCellSpacing w:w="0" w:type="dxa"/>
        </w:trPr>
        <w:tc>
          <w:tcPr>
            <w:tcW w:w="360" w:type="dxa"/>
          </w:tcPr>
          <w:p w:rsidR="00B0361B" w:rsidRPr="000871E5" w:rsidRDefault="00B0361B" w:rsidP="0083428E">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w:t>
            </w:r>
            <w:r w:rsidR="0083428E" w:rsidRPr="000871E5">
              <w:rPr>
                <w:rFonts w:eastAsia="Times New Roman"/>
                <w:color w:val="000000" w:themeColor="text1"/>
                <w:sz w:val="24"/>
                <w:szCs w:val="24"/>
                <w:lang w:eastAsia="lv-LV"/>
              </w:rPr>
              <w:t>4</w:t>
            </w:r>
            <w:r w:rsidRPr="000871E5">
              <w:rPr>
                <w:rFonts w:eastAsia="Times New Roman"/>
                <w:color w:val="000000" w:themeColor="text1"/>
                <w:sz w:val="24"/>
                <w:szCs w:val="24"/>
                <w:lang w:eastAsia="lv-LV"/>
              </w:rPr>
              <w:t>.</w:t>
            </w:r>
          </w:p>
        </w:tc>
        <w:tc>
          <w:tcPr>
            <w:tcW w:w="2984"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Cita informācija</w:t>
            </w:r>
          </w:p>
        </w:tc>
        <w:tc>
          <w:tcPr>
            <w:tcW w:w="5528" w:type="dxa"/>
            <w:gridSpan w:val="2"/>
          </w:tcPr>
          <w:p w:rsidR="00B0361B" w:rsidRPr="000871E5" w:rsidRDefault="0083428E" w:rsidP="0083428E">
            <w:pPr>
              <w:spacing w:line="240" w:lineRule="auto"/>
              <w:ind w:firstLine="0"/>
              <w:rPr>
                <w:rFonts w:eastAsia="Times New Roman"/>
                <w:color w:val="000000" w:themeColor="text1"/>
                <w:sz w:val="24"/>
                <w:szCs w:val="24"/>
                <w:lang w:eastAsia="lv-LV"/>
              </w:rPr>
            </w:pPr>
            <w:r w:rsidRPr="000871E5">
              <w:rPr>
                <w:rFonts w:eastAsia="Times New Roman"/>
                <w:color w:val="000000" w:themeColor="text1"/>
                <w:sz w:val="24"/>
                <w:szCs w:val="24"/>
                <w:lang w:eastAsia="lv-LV"/>
              </w:rPr>
              <w:t>Nav</w:t>
            </w:r>
          </w:p>
        </w:tc>
      </w:tr>
      <w:tr w:rsidR="000871E5" w:rsidRPr="000871E5" w:rsidTr="00F709CF">
        <w:trPr>
          <w:tblCellSpacing w:w="0" w:type="dxa"/>
        </w:trPr>
        <w:tc>
          <w:tcPr>
            <w:tcW w:w="8872" w:type="dxa"/>
            <w:gridSpan w:val="4"/>
            <w:vAlign w:val="center"/>
          </w:tcPr>
          <w:p w:rsidR="00844CA5" w:rsidRPr="000871E5" w:rsidRDefault="00B0361B" w:rsidP="008F7DF9">
            <w:pPr>
              <w:spacing w:before="100" w:beforeAutospacing="1" w:after="100" w:afterAutospacing="1" w:line="240" w:lineRule="auto"/>
              <w:ind w:firstLine="0"/>
              <w:jc w:val="center"/>
              <w:rPr>
                <w:rFonts w:eastAsia="Times New Roman"/>
                <w:b/>
                <w:color w:val="000000" w:themeColor="text1"/>
                <w:sz w:val="24"/>
                <w:szCs w:val="24"/>
                <w:lang w:eastAsia="lv-LV"/>
              </w:rPr>
            </w:pPr>
            <w:r w:rsidRPr="000871E5">
              <w:rPr>
                <w:rFonts w:eastAsia="Times New Roman"/>
                <w:color w:val="000000" w:themeColor="text1"/>
                <w:sz w:val="24"/>
                <w:szCs w:val="24"/>
                <w:lang w:eastAsia="lv-LV"/>
              </w:rPr>
              <w:lastRenderedPageBreak/>
              <w:t> </w:t>
            </w:r>
            <w:r w:rsidRPr="000871E5">
              <w:rPr>
                <w:rFonts w:eastAsia="Times New Roman"/>
                <w:b/>
                <w:color w:val="000000" w:themeColor="text1"/>
                <w:sz w:val="24"/>
                <w:szCs w:val="24"/>
                <w:lang w:eastAsia="lv-LV"/>
              </w:rPr>
              <w:t xml:space="preserve">II. </w:t>
            </w:r>
            <w:r w:rsidR="0083428E" w:rsidRPr="000871E5">
              <w:rPr>
                <w:rFonts w:eastAsia="Times New Roman"/>
                <w:b/>
                <w:color w:val="000000" w:themeColor="text1"/>
                <w:sz w:val="24"/>
                <w:szCs w:val="24"/>
                <w:lang w:eastAsia="lv-LV"/>
              </w:rPr>
              <w:t xml:space="preserve">Tiesību akta projekta ietekme uz </w:t>
            </w:r>
            <w:r w:rsidR="0083428E" w:rsidRPr="000871E5">
              <w:rPr>
                <w:rFonts w:eastAsia="Times New Roman"/>
                <w:b/>
                <w:bCs/>
                <w:color w:val="000000" w:themeColor="text1"/>
                <w:sz w:val="24"/>
                <w:szCs w:val="24"/>
                <w:lang w:eastAsia="lv-LV"/>
              </w:rPr>
              <w:t>sabiedrību</w:t>
            </w:r>
            <w:r w:rsidR="0083428E" w:rsidRPr="000871E5">
              <w:rPr>
                <w:b/>
                <w:bCs/>
                <w:color w:val="000000" w:themeColor="text1"/>
                <w:sz w:val="24"/>
                <w:szCs w:val="24"/>
                <w:shd w:val="clear" w:color="auto" w:fill="FFFFFF"/>
              </w:rPr>
              <w:t>, tautsaimniecības attīstību un administratīvo slogu</w:t>
            </w:r>
          </w:p>
        </w:tc>
      </w:tr>
      <w:tr w:rsidR="000871E5" w:rsidRPr="000871E5" w:rsidTr="00F709CF">
        <w:trPr>
          <w:trHeight w:val="467"/>
          <w:tblCellSpacing w:w="0" w:type="dxa"/>
        </w:trPr>
        <w:tc>
          <w:tcPr>
            <w:tcW w:w="360"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1.</w:t>
            </w:r>
          </w:p>
        </w:tc>
        <w:tc>
          <w:tcPr>
            <w:tcW w:w="3404" w:type="dxa"/>
            <w:gridSpan w:val="2"/>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w:t>
            </w:r>
            <w:r w:rsidR="0083428E" w:rsidRPr="000871E5">
              <w:rPr>
                <w:color w:val="000000" w:themeColor="text1"/>
                <w:sz w:val="24"/>
                <w:szCs w:val="24"/>
                <w:shd w:val="clear" w:color="auto" w:fill="FFFFFF"/>
              </w:rPr>
              <w:t>Sabiedrības mērķgrupas, kuras tiesiskais regulējums ietekmē vai varētu ietekmēt</w:t>
            </w:r>
          </w:p>
        </w:tc>
        <w:tc>
          <w:tcPr>
            <w:tcW w:w="5108" w:type="dxa"/>
          </w:tcPr>
          <w:p w:rsidR="00B0361B" w:rsidRPr="000871E5" w:rsidRDefault="00C52448" w:rsidP="00C52448">
            <w:pPr>
              <w:spacing w:before="100" w:beforeAutospacing="1" w:after="100" w:afterAutospacing="1" w:line="240" w:lineRule="auto"/>
              <w:ind w:firstLine="0"/>
              <w:rPr>
                <w:rFonts w:eastAsia="Times New Roman"/>
                <w:color w:val="000000" w:themeColor="text1"/>
                <w:sz w:val="24"/>
                <w:szCs w:val="24"/>
                <w:lang w:eastAsia="lv-LV"/>
              </w:rPr>
            </w:pPr>
            <w:r w:rsidRPr="000871E5">
              <w:rPr>
                <w:rFonts w:eastAsia="Times New Roman"/>
                <w:color w:val="000000" w:themeColor="text1"/>
                <w:sz w:val="24"/>
                <w:szCs w:val="24"/>
                <w:lang w:eastAsia="lv-LV"/>
              </w:rPr>
              <w:t>Likum</w:t>
            </w:r>
            <w:r w:rsidR="00D91529" w:rsidRPr="000871E5">
              <w:rPr>
                <w:rFonts w:eastAsia="Times New Roman"/>
                <w:color w:val="000000" w:themeColor="text1"/>
                <w:sz w:val="24"/>
                <w:szCs w:val="24"/>
                <w:lang w:eastAsia="lv-LV"/>
              </w:rPr>
              <w:t>projekts attiecas uz kravas transportlīdzekļu īpašniekiem (vadītājiem), kuri lietos likumā noteiktos valsts galveno autoceļu posmus.</w:t>
            </w:r>
          </w:p>
        </w:tc>
      </w:tr>
      <w:tr w:rsidR="000871E5" w:rsidRPr="000871E5" w:rsidTr="00F709CF">
        <w:trPr>
          <w:trHeight w:val="523"/>
          <w:tblCellSpacing w:w="0" w:type="dxa"/>
        </w:trPr>
        <w:tc>
          <w:tcPr>
            <w:tcW w:w="360" w:type="dxa"/>
          </w:tcPr>
          <w:p w:rsidR="0083428E" w:rsidRPr="000871E5" w:rsidRDefault="0083428E"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2.</w:t>
            </w:r>
          </w:p>
        </w:tc>
        <w:tc>
          <w:tcPr>
            <w:tcW w:w="3404" w:type="dxa"/>
            <w:gridSpan w:val="2"/>
          </w:tcPr>
          <w:p w:rsidR="0083428E" w:rsidRPr="000871E5" w:rsidRDefault="0083428E"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w:t>
            </w:r>
            <w:r w:rsidRPr="000871E5">
              <w:rPr>
                <w:color w:val="000000" w:themeColor="text1"/>
                <w:sz w:val="24"/>
                <w:szCs w:val="24"/>
                <w:shd w:val="clear" w:color="auto" w:fill="FFFFFF"/>
              </w:rPr>
              <w:t>Tiesiskā regulējuma ietekme uz tautsaimniecību un administratīvo slogu</w:t>
            </w:r>
          </w:p>
        </w:tc>
        <w:tc>
          <w:tcPr>
            <w:tcW w:w="5108" w:type="dxa"/>
          </w:tcPr>
          <w:p w:rsidR="0083428E" w:rsidRPr="000871E5" w:rsidRDefault="00D91529" w:rsidP="00882B12">
            <w:pPr>
              <w:spacing w:line="240" w:lineRule="auto"/>
              <w:ind w:firstLine="0"/>
              <w:jc w:val="left"/>
              <w:rPr>
                <w:color w:val="000000" w:themeColor="text1"/>
              </w:rPr>
            </w:pPr>
            <w:r w:rsidRPr="000871E5">
              <w:rPr>
                <w:color w:val="000000" w:themeColor="text1"/>
                <w:sz w:val="24"/>
                <w:szCs w:val="24"/>
                <w:lang w:eastAsia="lv-LV"/>
              </w:rPr>
              <w:t>Projekts šo jomu neskar.</w:t>
            </w:r>
          </w:p>
        </w:tc>
      </w:tr>
      <w:tr w:rsidR="000871E5" w:rsidRPr="000871E5" w:rsidTr="00F709CF">
        <w:trPr>
          <w:trHeight w:val="517"/>
          <w:tblCellSpacing w:w="0" w:type="dxa"/>
        </w:trPr>
        <w:tc>
          <w:tcPr>
            <w:tcW w:w="360"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3.</w:t>
            </w:r>
          </w:p>
        </w:tc>
        <w:tc>
          <w:tcPr>
            <w:tcW w:w="3404" w:type="dxa"/>
            <w:gridSpan w:val="2"/>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w:t>
            </w:r>
            <w:r w:rsidR="0083428E" w:rsidRPr="000871E5">
              <w:rPr>
                <w:color w:val="000000" w:themeColor="text1"/>
                <w:sz w:val="24"/>
                <w:szCs w:val="24"/>
                <w:shd w:val="clear" w:color="auto" w:fill="FFFFFF"/>
              </w:rPr>
              <w:t>Administratīvo izmaksu monetārs novērtējums</w:t>
            </w:r>
          </w:p>
        </w:tc>
        <w:tc>
          <w:tcPr>
            <w:tcW w:w="5108" w:type="dxa"/>
          </w:tcPr>
          <w:p w:rsidR="00B0361B" w:rsidRPr="000871E5" w:rsidRDefault="00B0361B" w:rsidP="00907343">
            <w:pPr>
              <w:ind w:firstLine="0"/>
              <w:jc w:val="left"/>
              <w:rPr>
                <w:color w:val="000000" w:themeColor="text1"/>
              </w:rPr>
            </w:pPr>
            <w:r w:rsidRPr="000871E5">
              <w:rPr>
                <w:rFonts w:eastAsia="Times New Roman"/>
                <w:color w:val="000000" w:themeColor="text1"/>
                <w:sz w:val="24"/>
                <w:szCs w:val="24"/>
                <w:lang w:eastAsia="lv-LV"/>
              </w:rPr>
              <w:t xml:space="preserve">Projekts šo jomu neskar. </w:t>
            </w:r>
          </w:p>
        </w:tc>
      </w:tr>
      <w:tr w:rsidR="000871E5" w:rsidRPr="000871E5" w:rsidTr="00F709CF">
        <w:trPr>
          <w:tblCellSpacing w:w="0" w:type="dxa"/>
        </w:trPr>
        <w:tc>
          <w:tcPr>
            <w:tcW w:w="360" w:type="dxa"/>
          </w:tcPr>
          <w:p w:rsidR="00B0361B" w:rsidRPr="000871E5" w:rsidRDefault="0083428E"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4</w:t>
            </w:r>
            <w:r w:rsidR="00B0361B" w:rsidRPr="000871E5">
              <w:rPr>
                <w:rFonts w:eastAsia="Times New Roman"/>
                <w:color w:val="000000" w:themeColor="text1"/>
                <w:sz w:val="24"/>
                <w:szCs w:val="24"/>
                <w:lang w:eastAsia="lv-LV"/>
              </w:rPr>
              <w:t>.</w:t>
            </w:r>
          </w:p>
        </w:tc>
        <w:tc>
          <w:tcPr>
            <w:tcW w:w="3404" w:type="dxa"/>
            <w:gridSpan w:val="2"/>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Cita informācija</w:t>
            </w:r>
          </w:p>
        </w:tc>
        <w:tc>
          <w:tcPr>
            <w:tcW w:w="5108" w:type="dxa"/>
          </w:tcPr>
          <w:p w:rsidR="00B0361B" w:rsidRPr="000871E5"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Nav.</w:t>
            </w:r>
          </w:p>
        </w:tc>
      </w:tr>
    </w:tbl>
    <w:p w:rsidR="00C1051F" w:rsidRPr="000871E5" w:rsidRDefault="00C1051F" w:rsidP="00C1051F">
      <w:pPr>
        <w:spacing w:line="240" w:lineRule="auto"/>
        <w:ind w:firstLine="0"/>
        <w:jc w:val="left"/>
        <w:rPr>
          <w:rFonts w:eastAsia="Times New Roman"/>
          <w:color w:val="000000" w:themeColor="text1"/>
          <w:sz w:val="24"/>
          <w:szCs w:val="24"/>
          <w:lang w:eastAsia="lv-LV"/>
        </w:rPr>
      </w:pPr>
    </w:p>
    <w:tbl>
      <w:tblPr>
        <w:tblW w:w="9098" w:type="dxa"/>
        <w:tblCellSpacing w:w="0" w:type="dxa"/>
        <w:tblInd w:w="-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500"/>
        <w:gridCol w:w="5598"/>
      </w:tblGrid>
      <w:tr w:rsidR="000871E5" w:rsidRPr="000871E5" w:rsidTr="00F709CF">
        <w:trPr>
          <w:tblCellSpacing w:w="0" w:type="dxa"/>
        </w:trPr>
        <w:tc>
          <w:tcPr>
            <w:tcW w:w="9098" w:type="dxa"/>
            <w:gridSpan w:val="2"/>
          </w:tcPr>
          <w:p w:rsidR="00B10BFA" w:rsidRPr="000871E5" w:rsidRDefault="00B10BFA" w:rsidP="00C32077">
            <w:pPr>
              <w:spacing w:before="100" w:beforeAutospacing="1" w:after="100" w:afterAutospacing="1" w:line="240" w:lineRule="auto"/>
              <w:ind w:firstLine="0"/>
              <w:jc w:val="center"/>
              <w:rPr>
                <w:rFonts w:eastAsia="Times New Roman"/>
                <w:b/>
                <w:bCs/>
                <w:color w:val="000000" w:themeColor="text1"/>
                <w:sz w:val="24"/>
                <w:szCs w:val="24"/>
                <w:lang w:eastAsia="lv-LV"/>
              </w:rPr>
            </w:pPr>
            <w:r w:rsidRPr="000871E5">
              <w:rPr>
                <w:rFonts w:eastAsia="Times New Roman"/>
                <w:b/>
                <w:bCs/>
                <w:color w:val="000000" w:themeColor="text1"/>
                <w:sz w:val="24"/>
                <w:szCs w:val="24"/>
                <w:lang w:eastAsia="lv-LV"/>
              </w:rPr>
              <w:t>VII. Tiesību akta projekta izpildes nodrošināšana un tās ietekme uz institūcijām</w:t>
            </w:r>
          </w:p>
        </w:tc>
      </w:tr>
      <w:tr w:rsidR="000871E5" w:rsidRPr="000871E5" w:rsidTr="00F709CF">
        <w:trPr>
          <w:trHeight w:val="643"/>
          <w:tblCellSpacing w:w="0" w:type="dxa"/>
        </w:trPr>
        <w:tc>
          <w:tcPr>
            <w:tcW w:w="3500" w:type="dxa"/>
          </w:tcPr>
          <w:p w:rsidR="00B10BFA" w:rsidRPr="000871E5" w:rsidRDefault="00B10BFA" w:rsidP="0083428E">
            <w:pPr>
              <w:numPr>
                <w:ilvl w:val="0"/>
                <w:numId w:val="4"/>
              </w:numPr>
              <w:spacing w:before="100" w:beforeAutospacing="1" w:after="100" w:afterAutospacing="1" w:line="240" w:lineRule="auto"/>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Projekta izpildē iesaistītās institūcijas</w:t>
            </w:r>
          </w:p>
        </w:tc>
        <w:tc>
          <w:tcPr>
            <w:tcW w:w="5598" w:type="dxa"/>
          </w:tcPr>
          <w:p w:rsidR="00B10BFA" w:rsidRPr="000871E5" w:rsidRDefault="00B10BFA" w:rsidP="00C05E54">
            <w:pPr>
              <w:spacing w:before="100" w:beforeAutospacing="1" w:after="100" w:afterAutospacing="1" w:line="240" w:lineRule="auto"/>
              <w:ind w:firstLine="0"/>
              <w:rPr>
                <w:rFonts w:eastAsia="Times New Roman"/>
                <w:color w:val="000000" w:themeColor="text1"/>
                <w:sz w:val="24"/>
                <w:szCs w:val="24"/>
                <w:lang w:eastAsia="lv-LV"/>
              </w:rPr>
            </w:pPr>
            <w:r w:rsidRPr="000871E5">
              <w:rPr>
                <w:rFonts w:eastAsia="Times New Roman"/>
                <w:color w:val="000000" w:themeColor="text1"/>
                <w:sz w:val="24"/>
                <w:szCs w:val="24"/>
                <w:lang w:eastAsia="lv-LV"/>
              </w:rPr>
              <w:t>Valsts akciju sabiedrība „Ceļu satiksmes drošības direkcija”</w:t>
            </w:r>
            <w:r w:rsidR="00D91529" w:rsidRPr="000871E5">
              <w:rPr>
                <w:rFonts w:eastAsia="Times New Roman"/>
                <w:color w:val="000000" w:themeColor="text1"/>
                <w:sz w:val="24"/>
                <w:szCs w:val="24"/>
                <w:lang w:eastAsia="lv-LV"/>
              </w:rPr>
              <w:t>, Valsts akciju sabiedrība „Latvijas Valsts ceļi” un Valsts ieņēmumu dienests</w:t>
            </w:r>
            <w:r w:rsidRPr="000871E5">
              <w:rPr>
                <w:rFonts w:eastAsia="Times New Roman"/>
                <w:color w:val="000000" w:themeColor="text1"/>
                <w:sz w:val="24"/>
                <w:szCs w:val="24"/>
                <w:lang w:eastAsia="lv-LV"/>
              </w:rPr>
              <w:t>.</w:t>
            </w:r>
          </w:p>
        </w:tc>
      </w:tr>
      <w:tr w:rsidR="000871E5" w:rsidRPr="000871E5" w:rsidTr="00F709CF">
        <w:trPr>
          <w:trHeight w:val="2075"/>
          <w:tblCellSpacing w:w="0" w:type="dxa"/>
        </w:trPr>
        <w:tc>
          <w:tcPr>
            <w:tcW w:w="3500" w:type="dxa"/>
          </w:tcPr>
          <w:p w:rsidR="00B10BFA" w:rsidRPr="000871E5" w:rsidRDefault="0083428E" w:rsidP="0083428E">
            <w:pPr>
              <w:numPr>
                <w:ilvl w:val="0"/>
                <w:numId w:val="4"/>
              </w:numPr>
              <w:spacing w:before="100" w:beforeAutospacing="1" w:after="100" w:afterAutospacing="1" w:line="240" w:lineRule="auto"/>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598" w:type="dxa"/>
          </w:tcPr>
          <w:p w:rsidR="00B10BFA" w:rsidRPr="000871E5" w:rsidRDefault="00B10BFA" w:rsidP="00C05E54">
            <w:pPr>
              <w:ind w:firstLine="0"/>
              <w:rPr>
                <w:color w:val="000000" w:themeColor="text1"/>
              </w:rPr>
            </w:pPr>
            <w:r w:rsidRPr="000871E5">
              <w:rPr>
                <w:rFonts w:eastAsia="Times New Roman"/>
                <w:color w:val="000000" w:themeColor="text1"/>
                <w:sz w:val="24"/>
                <w:szCs w:val="24"/>
                <w:lang w:eastAsia="lv-LV"/>
              </w:rPr>
              <w:t xml:space="preserve">Projekts šo jomu neskar. </w:t>
            </w:r>
          </w:p>
        </w:tc>
      </w:tr>
      <w:tr w:rsidR="000871E5" w:rsidRPr="000871E5" w:rsidTr="00F709CF">
        <w:trPr>
          <w:trHeight w:val="310"/>
          <w:tblCellSpacing w:w="0" w:type="dxa"/>
        </w:trPr>
        <w:tc>
          <w:tcPr>
            <w:tcW w:w="3500" w:type="dxa"/>
          </w:tcPr>
          <w:p w:rsidR="00B10BFA" w:rsidRPr="000871E5" w:rsidRDefault="00B10BFA" w:rsidP="0083428E">
            <w:pPr>
              <w:numPr>
                <w:ilvl w:val="0"/>
                <w:numId w:val="4"/>
              </w:numPr>
              <w:spacing w:before="100" w:beforeAutospacing="1" w:after="100" w:afterAutospacing="1" w:line="240" w:lineRule="auto"/>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Cita informācija</w:t>
            </w:r>
          </w:p>
        </w:tc>
        <w:tc>
          <w:tcPr>
            <w:tcW w:w="5598" w:type="dxa"/>
          </w:tcPr>
          <w:p w:rsidR="00B10BFA" w:rsidRPr="000871E5" w:rsidRDefault="00B10BFA" w:rsidP="00C05E54">
            <w:pPr>
              <w:spacing w:before="100" w:beforeAutospacing="1" w:after="100" w:afterAutospacing="1" w:line="240" w:lineRule="auto"/>
              <w:ind w:firstLine="0"/>
              <w:jc w:val="left"/>
              <w:rPr>
                <w:rFonts w:eastAsia="Times New Roman"/>
                <w:color w:val="000000" w:themeColor="text1"/>
                <w:sz w:val="24"/>
                <w:szCs w:val="24"/>
                <w:lang w:eastAsia="lv-LV"/>
              </w:rPr>
            </w:pPr>
            <w:r w:rsidRPr="000871E5">
              <w:rPr>
                <w:rFonts w:eastAsia="Times New Roman"/>
                <w:color w:val="000000" w:themeColor="text1"/>
                <w:sz w:val="24"/>
                <w:szCs w:val="24"/>
                <w:lang w:eastAsia="lv-LV"/>
              </w:rPr>
              <w:t> Nav.</w:t>
            </w:r>
          </w:p>
        </w:tc>
      </w:tr>
    </w:tbl>
    <w:p w:rsidR="00B10BFA" w:rsidRPr="000871E5" w:rsidRDefault="00B10BFA" w:rsidP="00C1051F">
      <w:pPr>
        <w:spacing w:line="240" w:lineRule="auto"/>
        <w:ind w:firstLine="0"/>
        <w:jc w:val="left"/>
        <w:rPr>
          <w:rFonts w:eastAsia="Times New Roman"/>
          <w:color w:val="000000" w:themeColor="text1"/>
          <w:sz w:val="24"/>
          <w:szCs w:val="24"/>
          <w:lang w:eastAsia="lv-LV"/>
        </w:rPr>
      </w:pPr>
    </w:p>
    <w:p w:rsidR="00C1051F" w:rsidRPr="000871E5" w:rsidRDefault="00C42EC4" w:rsidP="00C52324">
      <w:pPr>
        <w:spacing w:line="240" w:lineRule="auto"/>
        <w:ind w:firstLine="0"/>
        <w:jc w:val="center"/>
        <w:rPr>
          <w:rFonts w:eastAsia="Times New Roman"/>
          <w:color w:val="000000" w:themeColor="text1"/>
          <w:sz w:val="24"/>
          <w:szCs w:val="24"/>
          <w:lang w:eastAsia="lv-LV"/>
        </w:rPr>
      </w:pPr>
      <w:r>
        <w:rPr>
          <w:rFonts w:eastAsia="Times New Roman"/>
          <w:color w:val="000000" w:themeColor="text1"/>
          <w:sz w:val="24"/>
          <w:szCs w:val="24"/>
          <w:lang w:eastAsia="lv-LV"/>
        </w:rPr>
        <w:t>Anotācijas III, IV,</w:t>
      </w:r>
      <w:r w:rsidR="000F4360" w:rsidRPr="000F4360">
        <w:rPr>
          <w:rFonts w:eastAsia="Times New Roman"/>
          <w:color w:val="000000" w:themeColor="text1"/>
          <w:sz w:val="24"/>
          <w:szCs w:val="24"/>
          <w:lang w:eastAsia="lv-LV"/>
        </w:rPr>
        <w:t xml:space="preserve"> </w:t>
      </w:r>
      <w:r w:rsidR="000F4360">
        <w:rPr>
          <w:rFonts w:eastAsia="Times New Roman"/>
          <w:color w:val="000000" w:themeColor="text1"/>
          <w:sz w:val="24"/>
          <w:szCs w:val="24"/>
          <w:lang w:eastAsia="lv-LV"/>
        </w:rPr>
        <w:t>V un</w:t>
      </w:r>
      <w:r w:rsidR="000F4360" w:rsidRPr="000871E5">
        <w:rPr>
          <w:rFonts w:eastAsia="Times New Roman"/>
          <w:color w:val="000000" w:themeColor="text1"/>
          <w:sz w:val="24"/>
          <w:szCs w:val="24"/>
          <w:lang w:eastAsia="lv-LV"/>
        </w:rPr>
        <w:t xml:space="preserve"> </w:t>
      </w:r>
      <w:r w:rsidR="0083428E" w:rsidRPr="000871E5">
        <w:rPr>
          <w:rFonts w:eastAsia="Times New Roman"/>
          <w:color w:val="000000" w:themeColor="text1"/>
          <w:sz w:val="24"/>
          <w:szCs w:val="24"/>
          <w:lang w:eastAsia="lv-LV"/>
        </w:rPr>
        <w:t>VI</w:t>
      </w:r>
      <w:r>
        <w:rPr>
          <w:rFonts w:eastAsia="Times New Roman"/>
          <w:color w:val="000000" w:themeColor="text1"/>
          <w:sz w:val="24"/>
          <w:szCs w:val="24"/>
          <w:lang w:eastAsia="lv-LV"/>
        </w:rPr>
        <w:t xml:space="preserve"> </w:t>
      </w:r>
      <w:r w:rsidR="0083428E" w:rsidRPr="000871E5">
        <w:rPr>
          <w:rFonts w:eastAsia="Times New Roman"/>
          <w:color w:val="000000" w:themeColor="text1"/>
          <w:sz w:val="24"/>
          <w:szCs w:val="24"/>
          <w:lang w:eastAsia="lv-LV"/>
        </w:rPr>
        <w:t>sadaļas – projekts šīs jomas neskar.</w:t>
      </w:r>
    </w:p>
    <w:p w:rsidR="00C32077" w:rsidRPr="000871E5" w:rsidRDefault="00C32077" w:rsidP="00040810">
      <w:pPr>
        <w:spacing w:before="58" w:after="58"/>
        <w:ind w:right="-341" w:firstLine="709"/>
        <w:rPr>
          <w:color w:val="000000" w:themeColor="text1"/>
          <w:szCs w:val="28"/>
        </w:rPr>
      </w:pPr>
    </w:p>
    <w:p w:rsidR="00040810" w:rsidRPr="000871E5" w:rsidRDefault="00040810" w:rsidP="00040810">
      <w:pPr>
        <w:spacing w:before="58" w:after="58"/>
        <w:ind w:right="-341" w:firstLine="709"/>
        <w:rPr>
          <w:color w:val="000000" w:themeColor="text1"/>
          <w:szCs w:val="28"/>
        </w:rPr>
      </w:pPr>
      <w:r w:rsidRPr="000871E5">
        <w:rPr>
          <w:color w:val="000000" w:themeColor="text1"/>
          <w:szCs w:val="28"/>
        </w:rPr>
        <w:t>Satiksmes ministrs</w:t>
      </w:r>
      <w:r w:rsidRPr="000871E5">
        <w:rPr>
          <w:color w:val="000000" w:themeColor="text1"/>
          <w:szCs w:val="28"/>
        </w:rPr>
        <w:tab/>
      </w:r>
      <w:r w:rsidRPr="000871E5">
        <w:rPr>
          <w:color w:val="000000" w:themeColor="text1"/>
          <w:szCs w:val="28"/>
        </w:rPr>
        <w:tab/>
      </w:r>
      <w:r w:rsidRPr="000871E5">
        <w:rPr>
          <w:color w:val="000000" w:themeColor="text1"/>
          <w:szCs w:val="28"/>
        </w:rPr>
        <w:tab/>
      </w:r>
      <w:r w:rsidRPr="000871E5">
        <w:rPr>
          <w:color w:val="000000" w:themeColor="text1"/>
          <w:szCs w:val="28"/>
        </w:rPr>
        <w:tab/>
      </w:r>
      <w:r w:rsidRPr="000871E5">
        <w:rPr>
          <w:color w:val="000000" w:themeColor="text1"/>
          <w:szCs w:val="28"/>
        </w:rPr>
        <w:tab/>
      </w:r>
      <w:r w:rsidRPr="000871E5">
        <w:rPr>
          <w:color w:val="000000" w:themeColor="text1"/>
          <w:szCs w:val="28"/>
        </w:rPr>
        <w:tab/>
      </w:r>
      <w:r w:rsidR="0083428E" w:rsidRPr="000871E5">
        <w:rPr>
          <w:color w:val="000000" w:themeColor="text1"/>
          <w:szCs w:val="28"/>
        </w:rPr>
        <w:tab/>
      </w:r>
      <w:r w:rsidRPr="000871E5">
        <w:rPr>
          <w:color w:val="000000" w:themeColor="text1"/>
          <w:szCs w:val="28"/>
        </w:rPr>
        <w:t>A.Matīss</w:t>
      </w:r>
    </w:p>
    <w:p w:rsidR="00040810" w:rsidRPr="000871E5" w:rsidRDefault="00040810" w:rsidP="00040810">
      <w:pPr>
        <w:spacing w:line="240" w:lineRule="auto"/>
        <w:ind w:right="-341"/>
        <w:rPr>
          <w:color w:val="000000" w:themeColor="text1"/>
          <w:szCs w:val="28"/>
          <w:lang w:eastAsia="lv-LV"/>
        </w:rPr>
      </w:pPr>
    </w:p>
    <w:p w:rsidR="00040810" w:rsidRPr="000871E5" w:rsidRDefault="00040810" w:rsidP="00040810">
      <w:pPr>
        <w:spacing w:line="240" w:lineRule="auto"/>
        <w:ind w:right="-341"/>
        <w:rPr>
          <w:color w:val="000000" w:themeColor="text1"/>
          <w:szCs w:val="28"/>
        </w:rPr>
      </w:pPr>
      <w:r w:rsidRPr="000871E5">
        <w:rPr>
          <w:color w:val="000000" w:themeColor="text1"/>
          <w:szCs w:val="28"/>
        </w:rPr>
        <w:t xml:space="preserve">Vīza: </w:t>
      </w:r>
    </w:p>
    <w:p w:rsidR="00040810" w:rsidRPr="000871E5" w:rsidRDefault="00040810" w:rsidP="00040810">
      <w:pPr>
        <w:spacing w:line="240" w:lineRule="auto"/>
        <w:ind w:firstLine="709"/>
        <w:rPr>
          <w:color w:val="000000" w:themeColor="text1"/>
          <w:szCs w:val="28"/>
        </w:rPr>
      </w:pPr>
      <w:r w:rsidRPr="000871E5">
        <w:rPr>
          <w:color w:val="000000" w:themeColor="text1"/>
          <w:szCs w:val="28"/>
        </w:rPr>
        <w:t>Valsts sekretār</w:t>
      </w:r>
      <w:r w:rsidR="0083428E" w:rsidRPr="000871E5">
        <w:rPr>
          <w:color w:val="000000" w:themeColor="text1"/>
          <w:szCs w:val="28"/>
        </w:rPr>
        <w:t>s</w:t>
      </w:r>
      <w:r w:rsidRPr="000871E5">
        <w:rPr>
          <w:color w:val="000000" w:themeColor="text1"/>
          <w:szCs w:val="28"/>
        </w:rPr>
        <w:t xml:space="preserve"> </w:t>
      </w:r>
      <w:r w:rsidRPr="000871E5">
        <w:rPr>
          <w:color w:val="000000" w:themeColor="text1"/>
          <w:szCs w:val="28"/>
        </w:rPr>
        <w:tab/>
      </w:r>
      <w:r w:rsidRPr="000871E5">
        <w:rPr>
          <w:color w:val="000000" w:themeColor="text1"/>
          <w:szCs w:val="28"/>
        </w:rPr>
        <w:tab/>
      </w:r>
      <w:r w:rsidRPr="000871E5">
        <w:rPr>
          <w:color w:val="000000" w:themeColor="text1"/>
          <w:szCs w:val="28"/>
        </w:rPr>
        <w:tab/>
      </w:r>
      <w:r w:rsidRPr="000871E5">
        <w:rPr>
          <w:color w:val="000000" w:themeColor="text1"/>
          <w:szCs w:val="28"/>
        </w:rPr>
        <w:tab/>
      </w:r>
      <w:r w:rsidR="0083428E" w:rsidRPr="000871E5">
        <w:rPr>
          <w:color w:val="000000" w:themeColor="text1"/>
          <w:szCs w:val="28"/>
        </w:rPr>
        <w:t xml:space="preserve">  </w:t>
      </w:r>
      <w:r w:rsidRPr="000871E5">
        <w:rPr>
          <w:color w:val="000000" w:themeColor="text1"/>
          <w:szCs w:val="28"/>
        </w:rPr>
        <w:tab/>
      </w:r>
      <w:r w:rsidR="0083428E" w:rsidRPr="000871E5">
        <w:rPr>
          <w:color w:val="000000" w:themeColor="text1"/>
          <w:szCs w:val="28"/>
        </w:rPr>
        <w:t xml:space="preserve">      </w:t>
      </w:r>
      <w:r w:rsidR="0083428E" w:rsidRPr="000871E5">
        <w:rPr>
          <w:color w:val="000000" w:themeColor="text1"/>
          <w:szCs w:val="28"/>
        </w:rPr>
        <w:tab/>
        <w:t xml:space="preserve">         K.Ozoliņš</w:t>
      </w:r>
    </w:p>
    <w:p w:rsidR="00C32077" w:rsidRPr="000871E5" w:rsidRDefault="00C32077" w:rsidP="00901F1D">
      <w:pPr>
        <w:ind w:firstLine="0"/>
        <w:rPr>
          <w:color w:val="000000" w:themeColor="text1"/>
          <w:sz w:val="24"/>
          <w:szCs w:val="24"/>
        </w:rPr>
      </w:pPr>
    </w:p>
    <w:p w:rsidR="00040810" w:rsidRPr="000871E5" w:rsidRDefault="00040810" w:rsidP="00901F1D">
      <w:pPr>
        <w:ind w:firstLine="0"/>
        <w:rPr>
          <w:color w:val="000000" w:themeColor="text1"/>
          <w:sz w:val="24"/>
          <w:szCs w:val="24"/>
        </w:rPr>
      </w:pPr>
    </w:p>
    <w:p w:rsidR="008F7DF9" w:rsidRPr="000871E5" w:rsidRDefault="008F7DF9" w:rsidP="00901F1D">
      <w:pPr>
        <w:ind w:firstLine="0"/>
        <w:rPr>
          <w:color w:val="000000" w:themeColor="text1"/>
          <w:sz w:val="24"/>
          <w:szCs w:val="24"/>
        </w:rPr>
      </w:pPr>
    </w:p>
    <w:p w:rsidR="00C1051F" w:rsidRPr="000871E5" w:rsidRDefault="00B731EA" w:rsidP="00C1051F">
      <w:pPr>
        <w:spacing w:line="240" w:lineRule="auto"/>
        <w:ind w:right="-341" w:firstLine="0"/>
        <w:rPr>
          <w:color w:val="000000" w:themeColor="text1"/>
          <w:sz w:val="22"/>
        </w:rPr>
      </w:pPr>
      <w:r w:rsidRPr="000871E5">
        <w:rPr>
          <w:color w:val="000000" w:themeColor="text1"/>
          <w:sz w:val="22"/>
        </w:rPr>
        <w:fldChar w:fldCharType="begin"/>
      </w:r>
      <w:r w:rsidRPr="000871E5">
        <w:rPr>
          <w:color w:val="000000" w:themeColor="text1"/>
          <w:sz w:val="22"/>
          <w:lang w:val="ru-RU"/>
        </w:rPr>
        <w:instrText xml:space="preserve"> TIME \@ "dd.MM.yyyy H:mm" </w:instrText>
      </w:r>
      <w:r w:rsidRPr="000871E5">
        <w:rPr>
          <w:color w:val="000000" w:themeColor="text1"/>
          <w:sz w:val="22"/>
        </w:rPr>
        <w:fldChar w:fldCharType="separate"/>
      </w:r>
      <w:r w:rsidR="00DC1F2F">
        <w:rPr>
          <w:noProof/>
          <w:color w:val="000000" w:themeColor="text1"/>
          <w:sz w:val="22"/>
        </w:rPr>
        <w:t>2</w:t>
      </w:r>
      <w:r w:rsidR="004700BE">
        <w:rPr>
          <w:noProof/>
          <w:color w:val="000000" w:themeColor="text1"/>
          <w:sz w:val="22"/>
        </w:rPr>
        <w:t>9</w:t>
      </w:r>
      <w:r w:rsidR="004700BE">
        <w:rPr>
          <w:noProof/>
          <w:color w:val="000000" w:themeColor="text1"/>
          <w:sz w:val="22"/>
          <w:lang w:val="ru-RU"/>
        </w:rPr>
        <w:t>.05.2014 13:43</w:t>
      </w:r>
      <w:r w:rsidRPr="000871E5">
        <w:rPr>
          <w:color w:val="000000" w:themeColor="text1"/>
          <w:sz w:val="22"/>
        </w:rPr>
        <w:fldChar w:fldCharType="end"/>
      </w:r>
    </w:p>
    <w:p w:rsidR="00C1051F" w:rsidRPr="000871E5" w:rsidRDefault="005F0928" w:rsidP="00C1051F">
      <w:pPr>
        <w:spacing w:line="240" w:lineRule="auto"/>
        <w:ind w:right="-341" w:firstLine="0"/>
        <w:rPr>
          <w:color w:val="000000" w:themeColor="text1"/>
          <w:sz w:val="22"/>
        </w:rPr>
      </w:pPr>
      <w:r>
        <w:rPr>
          <w:color w:val="000000" w:themeColor="text1"/>
          <w:sz w:val="22"/>
        </w:rPr>
        <w:t>76</w:t>
      </w:r>
      <w:r w:rsidR="00F90D18">
        <w:rPr>
          <w:color w:val="000000" w:themeColor="text1"/>
          <w:sz w:val="22"/>
        </w:rPr>
        <w:t>9</w:t>
      </w:r>
    </w:p>
    <w:p w:rsidR="00721B24" w:rsidRPr="000871E5" w:rsidRDefault="00C52324" w:rsidP="0083428E">
      <w:pPr>
        <w:spacing w:line="240" w:lineRule="auto"/>
        <w:ind w:firstLine="0"/>
        <w:rPr>
          <w:color w:val="000000" w:themeColor="text1"/>
          <w:sz w:val="22"/>
        </w:rPr>
      </w:pPr>
      <w:r w:rsidRPr="000871E5">
        <w:rPr>
          <w:color w:val="000000" w:themeColor="text1"/>
          <w:sz w:val="22"/>
        </w:rPr>
        <w:t>Nīmanis, 67025719</w:t>
      </w:r>
    </w:p>
    <w:p w:rsidR="00C52324" w:rsidRPr="000871E5" w:rsidRDefault="00C52324" w:rsidP="0083428E">
      <w:pPr>
        <w:spacing w:line="240" w:lineRule="auto"/>
        <w:ind w:firstLine="0"/>
        <w:rPr>
          <w:color w:val="000000" w:themeColor="text1"/>
          <w:sz w:val="22"/>
        </w:rPr>
      </w:pPr>
      <w:r w:rsidRPr="000871E5">
        <w:rPr>
          <w:color w:val="000000" w:themeColor="text1"/>
          <w:sz w:val="22"/>
        </w:rPr>
        <w:t>reinis.nimanis@csdd.gov.lv</w:t>
      </w:r>
      <w:bookmarkStart w:id="0" w:name="_GoBack"/>
      <w:bookmarkEnd w:id="0"/>
    </w:p>
    <w:sectPr w:rsidR="00C52324" w:rsidRPr="000871E5" w:rsidSect="00EF4DBC">
      <w:headerReference w:type="default" r:id="rId9"/>
      <w:footerReference w:type="default" r:id="rId10"/>
      <w:footerReference w:type="first" r:id="rId11"/>
      <w:pgSz w:w="11906" w:h="16838" w:code="9"/>
      <w:pgMar w:top="1440"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0D" w:rsidRDefault="00751C0D" w:rsidP="00E65F54">
      <w:pPr>
        <w:spacing w:line="240" w:lineRule="auto"/>
      </w:pPr>
      <w:r>
        <w:separator/>
      </w:r>
    </w:p>
  </w:endnote>
  <w:endnote w:type="continuationSeparator" w:id="0">
    <w:p w:rsidR="00751C0D" w:rsidRDefault="00751C0D"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E5" w:rsidRPr="000871E5" w:rsidRDefault="000871E5" w:rsidP="002F4606">
    <w:pPr>
      <w:spacing w:line="240" w:lineRule="auto"/>
      <w:ind w:firstLine="0"/>
      <w:rPr>
        <w:sz w:val="20"/>
        <w:szCs w:val="20"/>
      </w:rPr>
    </w:pPr>
    <w:r w:rsidRPr="00D91529">
      <w:rPr>
        <w:sz w:val="20"/>
        <w:szCs w:val="20"/>
      </w:rPr>
      <w:t>SAMAnot_</w:t>
    </w:r>
    <w:r>
      <w:rPr>
        <w:sz w:val="20"/>
        <w:szCs w:val="20"/>
      </w:rPr>
      <w:t>2</w:t>
    </w:r>
    <w:r w:rsidR="00DC7907">
      <w:rPr>
        <w:sz w:val="20"/>
        <w:szCs w:val="20"/>
      </w:rPr>
      <w:t>9</w:t>
    </w:r>
    <w:r>
      <w:rPr>
        <w:sz w:val="20"/>
        <w:szCs w:val="20"/>
      </w:rPr>
      <w:t>05</w:t>
    </w:r>
    <w:r w:rsidRPr="00D91529">
      <w:rPr>
        <w:sz w:val="20"/>
        <w:szCs w:val="20"/>
      </w:rPr>
      <w:t>14</w:t>
    </w:r>
    <w:r>
      <w:rPr>
        <w:sz w:val="20"/>
        <w:szCs w:val="20"/>
      </w:rPr>
      <w:t>_grozALN</w:t>
    </w:r>
    <w:r w:rsidRPr="00D91529">
      <w:rPr>
        <w:sz w:val="20"/>
        <w:szCs w:val="20"/>
      </w:rPr>
      <w:t>;</w:t>
    </w:r>
    <w:r>
      <w:rPr>
        <w:sz w:val="20"/>
        <w:szCs w:val="20"/>
      </w:rPr>
      <w:t xml:space="preserve"> Likumprojekta „</w:t>
    </w:r>
    <w:r w:rsidRPr="000871E5">
      <w:rPr>
        <w:sz w:val="20"/>
        <w:szCs w:val="20"/>
      </w:rPr>
      <w:t>Grozījums Autoceļu lietošanas nodevas likumā"</w:t>
    </w:r>
  </w:p>
  <w:p w:rsidR="000871E5" w:rsidRPr="006E6B2E" w:rsidRDefault="000871E5" w:rsidP="002F4606">
    <w:pPr>
      <w:spacing w:line="240" w:lineRule="auto"/>
      <w:ind w:firstLine="0"/>
      <w:rPr>
        <w:rFonts w:eastAsia="Times New Roman"/>
        <w:bCs/>
        <w:sz w:val="20"/>
        <w:szCs w:val="20"/>
        <w:lang w:eastAsia="lv-LV"/>
      </w:rPr>
    </w:pPr>
    <w:r w:rsidRPr="00D91529">
      <w:rPr>
        <w:sz w:val="20"/>
        <w:szCs w:val="20"/>
      </w:rPr>
      <w:t>sākotnējās ietekmes novērtējuma ziņojums (anotācija)</w:t>
    </w:r>
  </w:p>
  <w:p w:rsidR="006E6B2E" w:rsidRPr="000871E5" w:rsidRDefault="006E6B2E" w:rsidP="000871E5">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E5" w:rsidRPr="000871E5" w:rsidRDefault="00D91529" w:rsidP="002F4606">
    <w:pPr>
      <w:spacing w:line="240" w:lineRule="auto"/>
      <w:ind w:firstLine="0"/>
      <w:rPr>
        <w:sz w:val="20"/>
        <w:szCs w:val="20"/>
      </w:rPr>
    </w:pPr>
    <w:r w:rsidRPr="00D91529">
      <w:rPr>
        <w:sz w:val="20"/>
        <w:szCs w:val="20"/>
      </w:rPr>
      <w:t>SAMAnot_</w:t>
    </w:r>
    <w:r w:rsidR="000871E5">
      <w:rPr>
        <w:sz w:val="20"/>
        <w:szCs w:val="20"/>
      </w:rPr>
      <w:t>2</w:t>
    </w:r>
    <w:r w:rsidR="00DC7907">
      <w:rPr>
        <w:sz w:val="20"/>
        <w:szCs w:val="20"/>
      </w:rPr>
      <w:t>9</w:t>
    </w:r>
    <w:r w:rsidR="000D008D">
      <w:rPr>
        <w:sz w:val="20"/>
        <w:szCs w:val="20"/>
      </w:rPr>
      <w:t>05</w:t>
    </w:r>
    <w:r w:rsidRPr="00D91529">
      <w:rPr>
        <w:sz w:val="20"/>
        <w:szCs w:val="20"/>
      </w:rPr>
      <w:t>14</w:t>
    </w:r>
    <w:r w:rsidR="002040EB">
      <w:rPr>
        <w:sz w:val="20"/>
        <w:szCs w:val="20"/>
      </w:rPr>
      <w:t>_</w:t>
    </w:r>
    <w:r w:rsidR="000871E5">
      <w:rPr>
        <w:sz w:val="20"/>
        <w:szCs w:val="20"/>
      </w:rPr>
      <w:t>grozALN</w:t>
    </w:r>
    <w:r w:rsidRPr="00D91529">
      <w:rPr>
        <w:sz w:val="20"/>
        <w:szCs w:val="20"/>
      </w:rPr>
      <w:t>;</w:t>
    </w:r>
    <w:r w:rsidR="000871E5">
      <w:rPr>
        <w:sz w:val="20"/>
        <w:szCs w:val="20"/>
      </w:rPr>
      <w:t xml:space="preserve"> Likumprojekta „</w:t>
    </w:r>
    <w:r w:rsidR="000871E5" w:rsidRPr="000871E5">
      <w:rPr>
        <w:sz w:val="20"/>
        <w:szCs w:val="20"/>
      </w:rPr>
      <w:t>Grozījums Autoceļu lietošanas nodevas likumā"</w:t>
    </w:r>
  </w:p>
  <w:p w:rsidR="006E6B2E" w:rsidRPr="006E6B2E" w:rsidRDefault="00D91529" w:rsidP="002F4606">
    <w:pPr>
      <w:spacing w:line="240" w:lineRule="auto"/>
      <w:ind w:firstLine="0"/>
      <w:rPr>
        <w:rFonts w:eastAsia="Times New Roman"/>
        <w:bCs/>
        <w:sz w:val="20"/>
        <w:szCs w:val="20"/>
        <w:lang w:eastAsia="lv-LV"/>
      </w:rPr>
    </w:pPr>
    <w:r w:rsidRPr="00D9152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0D" w:rsidRDefault="00751C0D" w:rsidP="00E65F54">
      <w:pPr>
        <w:spacing w:line="240" w:lineRule="auto"/>
      </w:pPr>
      <w:r>
        <w:separator/>
      </w:r>
    </w:p>
  </w:footnote>
  <w:footnote w:type="continuationSeparator" w:id="0">
    <w:p w:rsidR="00751C0D" w:rsidRDefault="00751C0D"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0A204C" w:rsidP="0047322B">
    <w:pPr>
      <w:pStyle w:val="Header"/>
      <w:ind w:firstLine="0"/>
      <w:jc w:val="center"/>
    </w:pPr>
    <w:r>
      <w:fldChar w:fldCharType="begin"/>
    </w:r>
    <w:r>
      <w:instrText xml:space="preserve"> PAGE   \* MERGEFORMAT </w:instrText>
    </w:r>
    <w:r>
      <w:fldChar w:fldCharType="separate"/>
    </w:r>
    <w:r w:rsidR="00DC1F2F">
      <w:rPr>
        <w:noProof/>
      </w:rPr>
      <w:t>3</w:t>
    </w:r>
    <w:r>
      <w:fldChar w:fldCharType="end"/>
    </w:r>
  </w:p>
  <w:p w:rsidR="000A204C" w:rsidRDefault="000A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0D1FBC"/>
    <w:multiLevelType w:val="hybridMultilevel"/>
    <w:tmpl w:val="56EC386E"/>
    <w:lvl w:ilvl="0" w:tplc="9AAE7470">
      <w:start w:val="1"/>
      <w:numFmt w:val="decimal"/>
      <w:lvlText w:val="%1."/>
      <w:lvlJc w:val="left"/>
      <w:pPr>
        <w:ind w:left="754" w:hanging="420"/>
      </w:pPr>
      <w:rPr>
        <w:rFonts w:hint="default"/>
        <w:color w:val="auto"/>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
    <w:nsid w:val="167A7049"/>
    <w:multiLevelType w:val="hybridMultilevel"/>
    <w:tmpl w:val="9DEAC484"/>
    <w:lvl w:ilvl="0" w:tplc="31D644F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F9C2E5D"/>
    <w:multiLevelType w:val="hybridMultilevel"/>
    <w:tmpl w:val="C8AAD69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5D91"/>
    <w:rsid w:val="0000712B"/>
    <w:rsid w:val="00007EEF"/>
    <w:rsid w:val="000179C0"/>
    <w:rsid w:val="000240B2"/>
    <w:rsid w:val="0002755E"/>
    <w:rsid w:val="00027B41"/>
    <w:rsid w:val="00040810"/>
    <w:rsid w:val="0004524B"/>
    <w:rsid w:val="00045782"/>
    <w:rsid w:val="00050528"/>
    <w:rsid w:val="0005135F"/>
    <w:rsid w:val="00052DB2"/>
    <w:rsid w:val="0005308A"/>
    <w:rsid w:val="00056AAB"/>
    <w:rsid w:val="00056D4D"/>
    <w:rsid w:val="000576BA"/>
    <w:rsid w:val="00064DD0"/>
    <w:rsid w:val="0006501B"/>
    <w:rsid w:val="0006748D"/>
    <w:rsid w:val="00073CFE"/>
    <w:rsid w:val="000871E5"/>
    <w:rsid w:val="00094458"/>
    <w:rsid w:val="00096E19"/>
    <w:rsid w:val="000A204C"/>
    <w:rsid w:val="000A26F1"/>
    <w:rsid w:val="000A2ABA"/>
    <w:rsid w:val="000A307A"/>
    <w:rsid w:val="000A4071"/>
    <w:rsid w:val="000B7137"/>
    <w:rsid w:val="000B7533"/>
    <w:rsid w:val="000C049D"/>
    <w:rsid w:val="000C17B3"/>
    <w:rsid w:val="000C6A5A"/>
    <w:rsid w:val="000D008D"/>
    <w:rsid w:val="000D1D5A"/>
    <w:rsid w:val="000D36CD"/>
    <w:rsid w:val="000D3F6C"/>
    <w:rsid w:val="000E419E"/>
    <w:rsid w:val="000E72D7"/>
    <w:rsid w:val="000F4360"/>
    <w:rsid w:val="000F4E77"/>
    <w:rsid w:val="000F61A4"/>
    <w:rsid w:val="00100CF6"/>
    <w:rsid w:val="00122C18"/>
    <w:rsid w:val="00126375"/>
    <w:rsid w:val="00142AD0"/>
    <w:rsid w:val="001471D3"/>
    <w:rsid w:val="001503F6"/>
    <w:rsid w:val="00155154"/>
    <w:rsid w:val="00167D64"/>
    <w:rsid w:val="00171F18"/>
    <w:rsid w:val="00172009"/>
    <w:rsid w:val="001730AE"/>
    <w:rsid w:val="0017730B"/>
    <w:rsid w:val="00181860"/>
    <w:rsid w:val="00183CEC"/>
    <w:rsid w:val="001844CC"/>
    <w:rsid w:val="00186915"/>
    <w:rsid w:val="0019254C"/>
    <w:rsid w:val="001954F7"/>
    <w:rsid w:val="00196AC6"/>
    <w:rsid w:val="001A05E0"/>
    <w:rsid w:val="001A127C"/>
    <w:rsid w:val="001A3DD6"/>
    <w:rsid w:val="001A5340"/>
    <w:rsid w:val="001A56A7"/>
    <w:rsid w:val="001A69E2"/>
    <w:rsid w:val="001A6C49"/>
    <w:rsid w:val="001B24BB"/>
    <w:rsid w:val="001B46BB"/>
    <w:rsid w:val="001D35B7"/>
    <w:rsid w:val="001D550D"/>
    <w:rsid w:val="001E685A"/>
    <w:rsid w:val="001E707E"/>
    <w:rsid w:val="001E7275"/>
    <w:rsid w:val="001F7D74"/>
    <w:rsid w:val="00200D00"/>
    <w:rsid w:val="00203BFE"/>
    <w:rsid w:val="00203DF6"/>
    <w:rsid w:val="002040EB"/>
    <w:rsid w:val="00204AE3"/>
    <w:rsid w:val="0020589F"/>
    <w:rsid w:val="002121C1"/>
    <w:rsid w:val="0021249F"/>
    <w:rsid w:val="00227D24"/>
    <w:rsid w:val="00231C9D"/>
    <w:rsid w:val="002333FB"/>
    <w:rsid w:val="002431F8"/>
    <w:rsid w:val="00246D0A"/>
    <w:rsid w:val="002511A0"/>
    <w:rsid w:val="00253663"/>
    <w:rsid w:val="00254AAA"/>
    <w:rsid w:val="00254E6C"/>
    <w:rsid w:val="00255CA8"/>
    <w:rsid w:val="002620AA"/>
    <w:rsid w:val="0027189F"/>
    <w:rsid w:val="002723AB"/>
    <w:rsid w:val="00272789"/>
    <w:rsid w:val="00274CA1"/>
    <w:rsid w:val="00277886"/>
    <w:rsid w:val="00282ABD"/>
    <w:rsid w:val="002868E5"/>
    <w:rsid w:val="00287FD2"/>
    <w:rsid w:val="00291BEF"/>
    <w:rsid w:val="0029276A"/>
    <w:rsid w:val="002954F6"/>
    <w:rsid w:val="002A469E"/>
    <w:rsid w:val="002A7E61"/>
    <w:rsid w:val="002C009C"/>
    <w:rsid w:val="002C5EB8"/>
    <w:rsid w:val="002C74C8"/>
    <w:rsid w:val="002D0145"/>
    <w:rsid w:val="002D728B"/>
    <w:rsid w:val="002E01C2"/>
    <w:rsid w:val="002E61AA"/>
    <w:rsid w:val="002F4606"/>
    <w:rsid w:val="003145D0"/>
    <w:rsid w:val="0031568F"/>
    <w:rsid w:val="0032337A"/>
    <w:rsid w:val="00331B69"/>
    <w:rsid w:val="00332A51"/>
    <w:rsid w:val="00333D07"/>
    <w:rsid w:val="0033441D"/>
    <w:rsid w:val="00336FD7"/>
    <w:rsid w:val="00350EF3"/>
    <w:rsid w:val="00354129"/>
    <w:rsid w:val="00356571"/>
    <w:rsid w:val="0036197F"/>
    <w:rsid w:val="00361D63"/>
    <w:rsid w:val="00363705"/>
    <w:rsid w:val="003704C4"/>
    <w:rsid w:val="00376572"/>
    <w:rsid w:val="003808DC"/>
    <w:rsid w:val="00394EB3"/>
    <w:rsid w:val="003A038F"/>
    <w:rsid w:val="003A2595"/>
    <w:rsid w:val="003B13D7"/>
    <w:rsid w:val="003B3844"/>
    <w:rsid w:val="003C25DC"/>
    <w:rsid w:val="003C78BC"/>
    <w:rsid w:val="003E176C"/>
    <w:rsid w:val="003E1A6C"/>
    <w:rsid w:val="003E34EB"/>
    <w:rsid w:val="003E6B9C"/>
    <w:rsid w:val="003F1D0B"/>
    <w:rsid w:val="003F3F9B"/>
    <w:rsid w:val="003F4C1A"/>
    <w:rsid w:val="00401786"/>
    <w:rsid w:val="004063EA"/>
    <w:rsid w:val="00410D4D"/>
    <w:rsid w:val="004146B9"/>
    <w:rsid w:val="00416B05"/>
    <w:rsid w:val="00421A23"/>
    <w:rsid w:val="00431C58"/>
    <w:rsid w:val="004430AD"/>
    <w:rsid w:val="004700BE"/>
    <w:rsid w:val="00471594"/>
    <w:rsid w:val="0047322B"/>
    <w:rsid w:val="00481CBC"/>
    <w:rsid w:val="004837F3"/>
    <w:rsid w:val="004871FD"/>
    <w:rsid w:val="00497897"/>
    <w:rsid w:val="004A01ED"/>
    <w:rsid w:val="004A09DA"/>
    <w:rsid w:val="004A1A8E"/>
    <w:rsid w:val="004A5D15"/>
    <w:rsid w:val="004B14CA"/>
    <w:rsid w:val="004B2FAA"/>
    <w:rsid w:val="004C7582"/>
    <w:rsid w:val="004E75E2"/>
    <w:rsid w:val="004F4838"/>
    <w:rsid w:val="004F4EAC"/>
    <w:rsid w:val="00503578"/>
    <w:rsid w:val="005037D2"/>
    <w:rsid w:val="00505E87"/>
    <w:rsid w:val="00506092"/>
    <w:rsid w:val="00506340"/>
    <w:rsid w:val="005124B1"/>
    <w:rsid w:val="00513991"/>
    <w:rsid w:val="005140BF"/>
    <w:rsid w:val="005143C7"/>
    <w:rsid w:val="00515848"/>
    <w:rsid w:val="00523707"/>
    <w:rsid w:val="00536A82"/>
    <w:rsid w:val="00550601"/>
    <w:rsid w:val="00556F00"/>
    <w:rsid w:val="00557A00"/>
    <w:rsid w:val="00560AED"/>
    <w:rsid w:val="0056545F"/>
    <w:rsid w:val="00565973"/>
    <w:rsid w:val="005822C3"/>
    <w:rsid w:val="00585852"/>
    <w:rsid w:val="00591A7F"/>
    <w:rsid w:val="005922A7"/>
    <w:rsid w:val="005A0227"/>
    <w:rsid w:val="005A2687"/>
    <w:rsid w:val="005A6005"/>
    <w:rsid w:val="005B1B46"/>
    <w:rsid w:val="005B6D00"/>
    <w:rsid w:val="005C7645"/>
    <w:rsid w:val="005E45C1"/>
    <w:rsid w:val="005E5A09"/>
    <w:rsid w:val="005F0928"/>
    <w:rsid w:val="0060264C"/>
    <w:rsid w:val="00606CFD"/>
    <w:rsid w:val="00615D4B"/>
    <w:rsid w:val="00615F2D"/>
    <w:rsid w:val="006270F1"/>
    <w:rsid w:val="00632330"/>
    <w:rsid w:val="00632DFC"/>
    <w:rsid w:val="00641170"/>
    <w:rsid w:val="00642518"/>
    <w:rsid w:val="006428AB"/>
    <w:rsid w:val="00655313"/>
    <w:rsid w:val="0066319E"/>
    <w:rsid w:val="0067242E"/>
    <w:rsid w:val="00672C29"/>
    <w:rsid w:val="00681A6F"/>
    <w:rsid w:val="0068314D"/>
    <w:rsid w:val="006863E5"/>
    <w:rsid w:val="00686E9C"/>
    <w:rsid w:val="00690C83"/>
    <w:rsid w:val="006946B7"/>
    <w:rsid w:val="0069642A"/>
    <w:rsid w:val="00697153"/>
    <w:rsid w:val="006B281B"/>
    <w:rsid w:val="006D0693"/>
    <w:rsid w:val="006E0766"/>
    <w:rsid w:val="006E0BE4"/>
    <w:rsid w:val="006E2924"/>
    <w:rsid w:val="006E6B2E"/>
    <w:rsid w:val="006F020E"/>
    <w:rsid w:val="006F2DBC"/>
    <w:rsid w:val="00701879"/>
    <w:rsid w:val="007034AE"/>
    <w:rsid w:val="00706A25"/>
    <w:rsid w:val="00710C9A"/>
    <w:rsid w:val="00716594"/>
    <w:rsid w:val="00721962"/>
    <w:rsid w:val="00721B24"/>
    <w:rsid w:val="0072606B"/>
    <w:rsid w:val="00730F54"/>
    <w:rsid w:val="0073167E"/>
    <w:rsid w:val="007323E8"/>
    <w:rsid w:val="0073559B"/>
    <w:rsid w:val="0074150F"/>
    <w:rsid w:val="00745558"/>
    <w:rsid w:val="00747735"/>
    <w:rsid w:val="00751C0D"/>
    <w:rsid w:val="00751EC7"/>
    <w:rsid w:val="00752546"/>
    <w:rsid w:val="00756D89"/>
    <w:rsid w:val="00757000"/>
    <w:rsid w:val="00763319"/>
    <w:rsid w:val="00767A00"/>
    <w:rsid w:val="007749B3"/>
    <w:rsid w:val="00774D34"/>
    <w:rsid w:val="0077555E"/>
    <w:rsid w:val="0078706B"/>
    <w:rsid w:val="0078785B"/>
    <w:rsid w:val="0079006F"/>
    <w:rsid w:val="00790A91"/>
    <w:rsid w:val="007940BE"/>
    <w:rsid w:val="007A002E"/>
    <w:rsid w:val="007B00B9"/>
    <w:rsid w:val="007B2D40"/>
    <w:rsid w:val="007C60A2"/>
    <w:rsid w:val="007C6727"/>
    <w:rsid w:val="007D089C"/>
    <w:rsid w:val="007D28F5"/>
    <w:rsid w:val="007D487B"/>
    <w:rsid w:val="007D6C45"/>
    <w:rsid w:val="007F47D0"/>
    <w:rsid w:val="008057EB"/>
    <w:rsid w:val="00815AEC"/>
    <w:rsid w:val="008209E9"/>
    <w:rsid w:val="00824AC5"/>
    <w:rsid w:val="0083428E"/>
    <w:rsid w:val="008352A4"/>
    <w:rsid w:val="00835472"/>
    <w:rsid w:val="00836607"/>
    <w:rsid w:val="00844CA5"/>
    <w:rsid w:val="00850010"/>
    <w:rsid w:val="00851060"/>
    <w:rsid w:val="00851B2B"/>
    <w:rsid w:val="00863DFA"/>
    <w:rsid w:val="00863FCF"/>
    <w:rsid w:val="00870478"/>
    <w:rsid w:val="00882B12"/>
    <w:rsid w:val="008B0CE6"/>
    <w:rsid w:val="008C3594"/>
    <w:rsid w:val="008D460A"/>
    <w:rsid w:val="008E33C4"/>
    <w:rsid w:val="008E4E9E"/>
    <w:rsid w:val="008F3C11"/>
    <w:rsid w:val="008F66F6"/>
    <w:rsid w:val="008F7DF9"/>
    <w:rsid w:val="00901F1D"/>
    <w:rsid w:val="0090208C"/>
    <w:rsid w:val="00903C74"/>
    <w:rsid w:val="009062EF"/>
    <w:rsid w:val="009068C0"/>
    <w:rsid w:val="00907343"/>
    <w:rsid w:val="009105E0"/>
    <w:rsid w:val="009106B5"/>
    <w:rsid w:val="00912417"/>
    <w:rsid w:val="0091377F"/>
    <w:rsid w:val="00915BF7"/>
    <w:rsid w:val="009232BF"/>
    <w:rsid w:val="00923AB3"/>
    <w:rsid w:val="00927A4C"/>
    <w:rsid w:val="00931B00"/>
    <w:rsid w:val="00940895"/>
    <w:rsid w:val="009467F5"/>
    <w:rsid w:val="009541A6"/>
    <w:rsid w:val="00963005"/>
    <w:rsid w:val="00964B88"/>
    <w:rsid w:val="00974550"/>
    <w:rsid w:val="00980690"/>
    <w:rsid w:val="00980BBA"/>
    <w:rsid w:val="00982781"/>
    <w:rsid w:val="00986FAE"/>
    <w:rsid w:val="009A6A32"/>
    <w:rsid w:val="009C54B3"/>
    <w:rsid w:val="009D3518"/>
    <w:rsid w:val="009E510B"/>
    <w:rsid w:val="009F0A35"/>
    <w:rsid w:val="009F5F30"/>
    <w:rsid w:val="009F7F81"/>
    <w:rsid w:val="00A01523"/>
    <w:rsid w:val="00A213F0"/>
    <w:rsid w:val="00A25E9A"/>
    <w:rsid w:val="00A30CB6"/>
    <w:rsid w:val="00A31204"/>
    <w:rsid w:val="00A372B2"/>
    <w:rsid w:val="00A37CC3"/>
    <w:rsid w:val="00A37F84"/>
    <w:rsid w:val="00A44091"/>
    <w:rsid w:val="00A51089"/>
    <w:rsid w:val="00A55810"/>
    <w:rsid w:val="00A55A94"/>
    <w:rsid w:val="00A6408F"/>
    <w:rsid w:val="00A671C5"/>
    <w:rsid w:val="00A84B58"/>
    <w:rsid w:val="00A91D84"/>
    <w:rsid w:val="00AA1C2D"/>
    <w:rsid w:val="00AB3A67"/>
    <w:rsid w:val="00AC6A6B"/>
    <w:rsid w:val="00AC6ADF"/>
    <w:rsid w:val="00AD2DE5"/>
    <w:rsid w:val="00AD7A9B"/>
    <w:rsid w:val="00AD7B47"/>
    <w:rsid w:val="00B013AA"/>
    <w:rsid w:val="00B0361B"/>
    <w:rsid w:val="00B0711B"/>
    <w:rsid w:val="00B10BFA"/>
    <w:rsid w:val="00B150E5"/>
    <w:rsid w:val="00B244CE"/>
    <w:rsid w:val="00B27C37"/>
    <w:rsid w:val="00B30FC5"/>
    <w:rsid w:val="00B35BBE"/>
    <w:rsid w:val="00B460AC"/>
    <w:rsid w:val="00B46203"/>
    <w:rsid w:val="00B511FA"/>
    <w:rsid w:val="00B54261"/>
    <w:rsid w:val="00B61248"/>
    <w:rsid w:val="00B628C1"/>
    <w:rsid w:val="00B63B7A"/>
    <w:rsid w:val="00B669A9"/>
    <w:rsid w:val="00B703D0"/>
    <w:rsid w:val="00B731EA"/>
    <w:rsid w:val="00B76630"/>
    <w:rsid w:val="00B77A26"/>
    <w:rsid w:val="00B873F9"/>
    <w:rsid w:val="00B92D4F"/>
    <w:rsid w:val="00B9438D"/>
    <w:rsid w:val="00B94AAF"/>
    <w:rsid w:val="00B94DED"/>
    <w:rsid w:val="00BA031B"/>
    <w:rsid w:val="00BA117F"/>
    <w:rsid w:val="00BA2FFA"/>
    <w:rsid w:val="00BA719A"/>
    <w:rsid w:val="00BB634E"/>
    <w:rsid w:val="00BC5919"/>
    <w:rsid w:val="00BC6FFB"/>
    <w:rsid w:val="00BD3ED8"/>
    <w:rsid w:val="00BE3EA5"/>
    <w:rsid w:val="00BE5F5D"/>
    <w:rsid w:val="00BF0E50"/>
    <w:rsid w:val="00C02AC5"/>
    <w:rsid w:val="00C0473F"/>
    <w:rsid w:val="00C05E54"/>
    <w:rsid w:val="00C1051F"/>
    <w:rsid w:val="00C1496F"/>
    <w:rsid w:val="00C1626C"/>
    <w:rsid w:val="00C20B9B"/>
    <w:rsid w:val="00C23DE7"/>
    <w:rsid w:val="00C2420E"/>
    <w:rsid w:val="00C25EDD"/>
    <w:rsid w:val="00C3190C"/>
    <w:rsid w:val="00C32077"/>
    <w:rsid w:val="00C371A7"/>
    <w:rsid w:val="00C40873"/>
    <w:rsid w:val="00C42EC4"/>
    <w:rsid w:val="00C4470B"/>
    <w:rsid w:val="00C515F0"/>
    <w:rsid w:val="00C52324"/>
    <w:rsid w:val="00C52448"/>
    <w:rsid w:val="00C5629F"/>
    <w:rsid w:val="00C56382"/>
    <w:rsid w:val="00C8074F"/>
    <w:rsid w:val="00C808FF"/>
    <w:rsid w:val="00C82EFF"/>
    <w:rsid w:val="00C96F98"/>
    <w:rsid w:val="00CA1561"/>
    <w:rsid w:val="00CA1E38"/>
    <w:rsid w:val="00CA620A"/>
    <w:rsid w:val="00CB0ABA"/>
    <w:rsid w:val="00CC171D"/>
    <w:rsid w:val="00CC1A72"/>
    <w:rsid w:val="00CC1F7D"/>
    <w:rsid w:val="00CC3C26"/>
    <w:rsid w:val="00CC41E5"/>
    <w:rsid w:val="00CC5C0A"/>
    <w:rsid w:val="00CC6000"/>
    <w:rsid w:val="00CE422F"/>
    <w:rsid w:val="00CF3B6C"/>
    <w:rsid w:val="00CF5369"/>
    <w:rsid w:val="00D01041"/>
    <w:rsid w:val="00D12520"/>
    <w:rsid w:val="00D172CD"/>
    <w:rsid w:val="00D332B2"/>
    <w:rsid w:val="00D33E56"/>
    <w:rsid w:val="00D36C4A"/>
    <w:rsid w:val="00D40B9D"/>
    <w:rsid w:val="00D430AA"/>
    <w:rsid w:val="00D45535"/>
    <w:rsid w:val="00D73505"/>
    <w:rsid w:val="00D77917"/>
    <w:rsid w:val="00D91529"/>
    <w:rsid w:val="00D92789"/>
    <w:rsid w:val="00D932F7"/>
    <w:rsid w:val="00D93F76"/>
    <w:rsid w:val="00D97440"/>
    <w:rsid w:val="00DA1738"/>
    <w:rsid w:val="00DA3E35"/>
    <w:rsid w:val="00DB42EB"/>
    <w:rsid w:val="00DC1F2F"/>
    <w:rsid w:val="00DC2F9A"/>
    <w:rsid w:val="00DC4775"/>
    <w:rsid w:val="00DC7907"/>
    <w:rsid w:val="00DD5752"/>
    <w:rsid w:val="00DE2162"/>
    <w:rsid w:val="00DE2F7E"/>
    <w:rsid w:val="00DE36A0"/>
    <w:rsid w:val="00DE4A48"/>
    <w:rsid w:val="00DE6125"/>
    <w:rsid w:val="00DF62FE"/>
    <w:rsid w:val="00E039C4"/>
    <w:rsid w:val="00E07A31"/>
    <w:rsid w:val="00E135D7"/>
    <w:rsid w:val="00E15490"/>
    <w:rsid w:val="00E20375"/>
    <w:rsid w:val="00E213EF"/>
    <w:rsid w:val="00E32F2A"/>
    <w:rsid w:val="00E35DAD"/>
    <w:rsid w:val="00E362E9"/>
    <w:rsid w:val="00E4685F"/>
    <w:rsid w:val="00E5467C"/>
    <w:rsid w:val="00E5622B"/>
    <w:rsid w:val="00E60DB5"/>
    <w:rsid w:val="00E623D9"/>
    <w:rsid w:val="00E65F54"/>
    <w:rsid w:val="00E668D0"/>
    <w:rsid w:val="00E6691A"/>
    <w:rsid w:val="00E84F60"/>
    <w:rsid w:val="00E853AD"/>
    <w:rsid w:val="00E90A80"/>
    <w:rsid w:val="00E93554"/>
    <w:rsid w:val="00EA001B"/>
    <w:rsid w:val="00EB207A"/>
    <w:rsid w:val="00EC20CA"/>
    <w:rsid w:val="00ED018F"/>
    <w:rsid w:val="00ED72A7"/>
    <w:rsid w:val="00ED72FF"/>
    <w:rsid w:val="00EE0D7C"/>
    <w:rsid w:val="00EE3AAB"/>
    <w:rsid w:val="00EF4DBC"/>
    <w:rsid w:val="00EF4E1A"/>
    <w:rsid w:val="00F03118"/>
    <w:rsid w:val="00F03A0B"/>
    <w:rsid w:val="00F04300"/>
    <w:rsid w:val="00F1388D"/>
    <w:rsid w:val="00F1660A"/>
    <w:rsid w:val="00F21982"/>
    <w:rsid w:val="00F24F4C"/>
    <w:rsid w:val="00F34505"/>
    <w:rsid w:val="00F417EB"/>
    <w:rsid w:val="00F42BC4"/>
    <w:rsid w:val="00F46B09"/>
    <w:rsid w:val="00F57D32"/>
    <w:rsid w:val="00F6543D"/>
    <w:rsid w:val="00F65A72"/>
    <w:rsid w:val="00F67BFB"/>
    <w:rsid w:val="00F67D4B"/>
    <w:rsid w:val="00F70519"/>
    <w:rsid w:val="00F709CF"/>
    <w:rsid w:val="00F71BAA"/>
    <w:rsid w:val="00F77785"/>
    <w:rsid w:val="00F84216"/>
    <w:rsid w:val="00F90D18"/>
    <w:rsid w:val="00F95821"/>
    <w:rsid w:val="00FA250F"/>
    <w:rsid w:val="00FA252C"/>
    <w:rsid w:val="00FA5938"/>
    <w:rsid w:val="00FA70D0"/>
    <w:rsid w:val="00FB092C"/>
    <w:rsid w:val="00FB1A67"/>
    <w:rsid w:val="00FB4504"/>
    <w:rsid w:val="00FB6014"/>
    <w:rsid w:val="00FC2928"/>
    <w:rsid w:val="00FC34CE"/>
    <w:rsid w:val="00FD02AC"/>
    <w:rsid w:val="00FD0D3B"/>
    <w:rsid w:val="00FD1156"/>
    <w:rsid w:val="00FE6D75"/>
    <w:rsid w:val="00FF3A41"/>
    <w:rsid w:val="00FF51BC"/>
    <w:rsid w:val="00FF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26569445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2567873">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1824152793">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C435-DBD8-48C8-A081-4F41BC42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4063</Words>
  <Characters>2316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„„Autoceļu lietošanas nodevas maksāšanas, iekasēšanas un administrēšanas kārtība" anotācija</vt:lpstr>
    </vt:vector>
  </TitlesOfParts>
  <Company>Satiksmes ministrija</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Autoceļu lietošanas nodevas likumā”  </dc:title>
  <dc:subject>anotācija</dc:subject>
  <dc:creator>Reinis.Nimanis@csdd.gov.lv</dc:creator>
  <cp:keywords>anotācija</cp:keywords>
  <dc:description>reinis.nimanis@csdd.gov.lv, 67025719
maris.pekalis@sam.gov.lv, 67028300</dc:description>
  <cp:lastModifiedBy>Elīna Saule</cp:lastModifiedBy>
  <cp:revision>15</cp:revision>
  <cp:lastPrinted>2014-05-29T14:07:00Z</cp:lastPrinted>
  <dcterms:created xsi:type="dcterms:W3CDTF">2014-05-29T11:37:00Z</dcterms:created>
  <dcterms:modified xsi:type="dcterms:W3CDTF">2014-05-30T10:44:00Z</dcterms:modified>
</cp:coreProperties>
</file>