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DA0" w:rsidRDefault="008D1DA0" w:rsidP="008F621A">
      <w:pPr>
        <w:jc w:val="center"/>
        <w:rPr>
          <w:b/>
        </w:rPr>
      </w:pPr>
      <w:bookmarkStart w:id="0" w:name="OLE_LINK3"/>
      <w:bookmarkStart w:id="1" w:name="OLE_LINK4"/>
    </w:p>
    <w:p w:rsidR="00200995" w:rsidRPr="0010710F" w:rsidRDefault="00200995" w:rsidP="008F621A">
      <w:pPr>
        <w:jc w:val="center"/>
        <w:rPr>
          <w:b/>
        </w:rPr>
      </w:pPr>
      <w:r w:rsidRPr="0010710F">
        <w:rPr>
          <w:b/>
        </w:rPr>
        <w:t>Ministru kabineta noteikumu projekta „Grozījumi Ministru kabineta 2012.gada 4.septembra noteikumos Nr.619 „Noteikumi par atpūtas kuģu vadītāju apmācību, sertificēšanu un reģistrāciju”” sākotnējās ietekmes novērtējuma ziņojums (anotācija)</w:t>
      </w:r>
    </w:p>
    <w:bookmarkEnd w:id="0"/>
    <w:bookmarkEnd w:id="1"/>
    <w:p w:rsidR="00200995" w:rsidRPr="0010710F" w:rsidRDefault="00200995" w:rsidP="008F621A">
      <w:pPr>
        <w:jc w:val="center"/>
      </w:pPr>
    </w:p>
    <w:p w:rsidR="00200995" w:rsidRPr="0010710F" w:rsidRDefault="00200995" w:rsidP="008F621A">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863"/>
        <w:gridCol w:w="6800"/>
      </w:tblGrid>
      <w:tr w:rsidR="00200995" w:rsidRPr="0010710F" w:rsidTr="00106C0F">
        <w:trPr>
          <w:trHeight w:val="495"/>
        </w:trPr>
        <w:tc>
          <w:tcPr>
            <w:tcW w:w="9089" w:type="dxa"/>
            <w:gridSpan w:val="3"/>
          </w:tcPr>
          <w:p w:rsidR="00200995" w:rsidRPr="0010710F" w:rsidRDefault="00200995" w:rsidP="008F621A">
            <w:pPr>
              <w:jc w:val="center"/>
            </w:pPr>
            <w:r w:rsidRPr="0010710F">
              <w:rPr>
                <w:b/>
              </w:rPr>
              <w:t>I. Tiesību akta projekta izstrādes nepieciešamība</w:t>
            </w:r>
          </w:p>
        </w:tc>
      </w:tr>
      <w:tr w:rsidR="00200995" w:rsidRPr="0010710F" w:rsidTr="00106C0F">
        <w:trPr>
          <w:trHeight w:val="1087"/>
        </w:trPr>
        <w:tc>
          <w:tcPr>
            <w:tcW w:w="426" w:type="dxa"/>
          </w:tcPr>
          <w:p w:rsidR="00200995" w:rsidRPr="0010710F" w:rsidRDefault="00200995" w:rsidP="008F621A">
            <w:pPr>
              <w:jc w:val="center"/>
            </w:pPr>
            <w:r w:rsidRPr="0010710F">
              <w:t>1.</w:t>
            </w:r>
          </w:p>
        </w:tc>
        <w:tc>
          <w:tcPr>
            <w:tcW w:w="1863" w:type="dxa"/>
          </w:tcPr>
          <w:p w:rsidR="00200995" w:rsidRPr="0010710F" w:rsidRDefault="00200995" w:rsidP="00106C0F">
            <w:r w:rsidRPr="0010710F">
              <w:t>Pamatojums</w:t>
            </w:r>
          </w:p>
        </w:tc>
        <w:tc>
          <w:tcPr>
            <w:tcW w:w="6800" w:type="dxa"/>
          </w:tcPr>
          <w:p w:rsidR="00200995" w:rsidRPr="0010710F" w:rsidRDefault="00200995" w:rsidP="00106C0F">
            <w:pPr>
              <w:jc w:val="both"/>
            </w:pPr>
            <w:r w:rsidRPr="0010710F">
              <w:t>Projekts izstrādāts, pamatojoties uz Jūrlietu pārvaldes un jūras drošības likuma 26.panta ceturto daļu, kas noteic, ka atpūtas kuģu vadītāju apmācības, sertificēšanas un reģistrācijas kārtību nosaka Ministru kabinets.</w:t>
            </w:r>
          </w:p>
        </w:tc>
      </w:tr>
      <w:tr w:rsidR="00200995" w:rsidRPr="0010710F" w:rsidTr="00404553">
        <w:trPr>
          <w:trHeight w:val="416"/>
        </w:trPr>
        <w:tc>
          <w:tcPr>
            <w:tcW w:w="426" w:type="dxa"/>
          </w:tcPr>
          <w:p w:rsidR="00200995" w:rsidRPr="0010710F" w:rsidRDefault="00200995" w:rsidP="008F621A">
            <w:pPr>
              <w:jc w:val="center"/>
            </w:pPr>
            <w:r w:rsidRPr="0010710F">
              <w:t>2.</w:t>
            </w:r>
          </w:p>
        </w:tc>
        <w:tc>
          <w:tcPr>
            <w:tcW w:w="1863" w:type="dxa"/>
          </w:tcPr>
          <w:p w:rsidR="00200995" w:rsidRPr="0010710F" w:rsidRDefault="00200995" w:rsidP="00106C0F">
            <w:r w:rsidRPr="0010710F">
              <w:t>Pašreizējā situācija un problēmas, kuru risināšanai tiesību akta projekts izstrādāts, tiesiskā regulējuma mērķis un būtība</w:t>
            </w:r>
          </w:p>
        </w:tc>
        <w:tc>
          <w:tcPr>
            <w:tcW w:w="6800" w:type="dxa"/>
          </w:tcPr>
          <w:p w:rsidR="00200995" w:rsidRPr="00481F99" w:rsidRDefault="00200995" w:rsidP="009D59B2">
            <w:pPr>
              <w:jc w:val="both"/>
            </w:pPr>
            <w:r w:rsidRPr="0010710F">
              <w:t xml:space="preserve">No Eiropas Savienības Tiesas 2014.gada 6.februāra sprieduma lietā Nr. C-509/12 „Instituto Portuario e dos Transportes Maritimos (IPTM) pret Navileme – Consultadoria Nautica Lda un Nautizende </w:t>
            </w:r>
            <w:r w:rsidRPr="00C557B4">
              <w:t>– Consultadoria Nautica Lda</w:t>
            </w:r>
            <w:r w:rsidRPr="00FC278D">
              <w:t xml:space="preserve">” izriet, ka Eiropas Savienības pilsoņi var kārtot attiecīgus eksāmenus un saņemt atpūtas kuģu vadītāja apliecību  jebkurā Eiropas Savienības dalībvalstī, </w:t>
            </w:r>
            <w:r w:rsidRPr="00B80218">
              <w:t xml:space="preserve">arī tādā, </w:t>
            </w:r>
            <w:r w:rsidRPr="00D16BE2">
              <w:t>kurā tie nedzīvo. Lai realizētu Ei</w:t>
            </w:r>
            <w:r w:rsidRPr="0010710F">
              <w:t>ropas Savienības Tiesas spriedumā noteikto</w:t>
            </w:r>
            <w:r w:rsidRPr="00481F99">
              <w:t xml:space="preserve">,  </w:t>
            </w:r>
            <w:r w:rsidRPr="00481F99">
              <w:rPr>
                <w:b/>
              </w:rPr>
              <w:t>projekta 1.punkts</w:t>
            </w:r>
            <w:r w:rsidRPr="00481F99">
              <w:t xml:space="preserve"> paredz iespēju arī citu Eiropas Savienības  un Eiropas Brīvās tirdzniecības asociācijas dalībvalstu pilsoņiem iegūt Latvijā izdotās</w:t>
            </w:r>
            <w:r w:rsidRPr="00481F99">
              <w:rPr>
                <w:color w:val="FF0000"/>
              </w:rPr>
              <w:t xml:space="preserve"> </w:t>
            </w:r>
            <w:r w:rsidRPr="00481F99">
              <w:t xml:space="preserve">atpūtas kuģu vadītāja apliecības. </w:t>
            </w:r>
          </w:p>
          <w:p w:rsidR="00200995" w:rsidRPr="00481F99" w:rsidRDefault="00200995" w:rsidP="00CB6C48">
            <w:pPr>
              <w:ind w:firstLine="426"/>
              <w:jc w:val="both"/>
            </w:pPr>
          </w:p>
          <w:p w:rsidR="00200995" w:rsidRPr="00481F99" w:rsidRDefault="00200995" w:rsidP="00404553">
            <w:pPr>
              <w:jc w:val="both"/>
            </w:pPr>
            <w:r w:rsidRPr="00481F99">
              <w:t xml:space="preserve">Šobrīd noteikumu 16.3. un 40.3.apakšpunkti  paredz, ka atpūtas kuģu vadītāja apliecība ir uzskatāma par nederīgu, ja persona ir mainījusi vārdu, uzvārdu vai personas kodu un 30 dienu laikā tā nav apmainīta. Lai minēto normu izteiktu skaidrāk, kā arī, lai risinātu situāciju, kad personu apliecinošajā dokumentā vārda un/vai uzvārda transkripcija nesakrīt ar atpūtas kuģu vadītāja apliecība esošo, </w:t>
            </w:r>
            <w:r w:rsidRPr="00481F99">
              <w:rPr>
                <w:b/>
              </w:rPr>
              <w:t>projekta 2. un 5.punkts</w:t>
            </w:r>
            <w:r w:rsidRPr="00481F99">
              <w:t xml:space="preserve"> paredz redakcionāli precizēt noteikumu 16.3. un 40.3.apakšpunktu. </w:t>
            </w:r>
          </w:p>
          <w:p w:rsidR="00200995" w:rsidRPr="00481F99" w:rsidRDefault="00200995" w:rsidP="00391F94">
            <w:pPr>
              <w:ind w:firstLine="426"/>
              <w:jc w:val="both"/>
            </w:pPr>
          </w:p>
          <w:p w:rsidR="00200995" w:rsidRPr="00481F99" w:rsidRDefault="00200995" w:rsidP="00404553">
            <w:pPr>
              <w:jc w:val="both"/>
            </w:pPr>
            <w:r w:rsidRPr="00481F99">
              <w:t xml:space="preserve">Latvija ar Ministru kabineta 2012.gada 4.septembra noteikumiem Nr.619 „Noteikumi par atpūtas kuģu vadītāju apmācību, sertificēšanu un reģistrāciju”” (turpmāk – noteikumi) ir ieviesusi ANO Eiropas Ekonomikas komisijas Iekšzemes transporta komitejas Iekšējo ūdeņu transporta darba grupas 1998.gada 16.oktobra rezolūcijā Nr.40 „Starptautiskā atpūtas kuģu vadītāja apliecība” (turpmāk – EEK rezolūcija) un  1. un 3. pielikumā noteiktās prasības starptautisko atpūtas kuģu vadītāju apliecību saņemšanai (izņemot prasību par citās EEK rezolūcijas dalībvalstīs izdoto starptautisko atpūta kuģu vadītāja apliecību atzīšanu, ko paredzēts atrunāt MK 01.03.2005. noteikumos Nr.158 </w:t>
            </w:r>
            <w:r w:rsidRPr="00481F99">
              <w:rPr>
                <w:lang w:eastAsia="en-US"/>
              </w:rPr>
              <w:t>„Noteikumi par kuģošanas līdzekļu satiksmi iekšējos ūdeņos”)</w:t>
            </w:r>
            <w:r w:rsidRPr="00481F99">
              <w:t>. Par minēto no Latvijas puses pa diplomātiskiem kanāliem 2014.gada 20.februārī ir nosūtīta EEK rezolūcijas prasībām atbilstoša informācija ANO Eiropas Ekonomikas komisijas</w:t>
            </w:r>
            <w:r w:rsidRPr="00481F99" w:rsidDel="00823AE8">
              <w:t xml:space="preserve"> </w:t>
            </w:r>
            <w:r w:rsidRPr="00481F99">
              <w:t xml:space="preserve">sekretariātam. Ņemot vērā to, ka EEK rezolūcijas dalībvalstis  atzīst citu rezolūcijas dalībvalstu izsniegtās starptautiskās atpūtas kuģu vadītāja apliecības, </w:t>
            </w:r>
            <w:r w:rsidRPr="00481F99">
              <w:rPr>
                <w:b/>
              </w:rPr>
              <w:t>projekta 3.punkts</w:t>
            </w:r>
            <w:r w:rsidRPr="00481F99">
              <w:t xml:space="preserve"> paredz noteikumus papildināt, nosakot, ka jūras prakses </w:t>
            </w:r>
            <w:r w:rsidRPr="00481F99">
              <w:lastRenderedPageBreak/>
              <w:t>izziņu var izsniegt vai apliecināt arī ārvalstīs izdotas EEK rezolūcijas prasībām atbilstošas starptautiskās atpūtas kuģu vadītāja apliecības turētājs.</w:t>
            </w:r>
          </w:p>
          <w:p w:rsidR="00200995" w:rsidRPr="00481F99" w:rsidRDefault="00200995" w:rsidP="008B7381">
            <w:pPr>
              <w:ind w:firstLine="426"/>
              <w:jc w:val="both"/>
            </w:pPr>
          </w:p>
          <w:p w:rsidR="00200995" w:rsidRPr="00481F99" w:rsidRDefault="00200995" w:rsidP="00823AE8">
            <w:pPr>
              <w:jc w:val="both"/>
            </w:pPr>
            <w:r w:rsidRPr="00481F99">
              <w:t xml:space="preserve">Atbilstoši noteikumu 32.punktam starptautiskās atpūtas kuģu vadītāja apliecības pretendents eksāmena praktiskajā daļā savas atpūtas kuģa vadīšanas prasmes apliecina uz attiecīga tipa (buru vai motorizētā) atpūtas kuģa. Starptautiskā atpūtas kuģu vadītāja apliecība motorizēto atpūtas kuģu vadītājiem tiek izdota kuģošanai attiecīgos ūdeņos ar atpūtas kuģiem, kuru garums nepārsniedz 24 metrus. Ņemot vērā to, ka vairums atpūtas kuģu vadītāju pretendentu praktisko eksāmenu kārto, lai iegūtu attiecīgas tiesības atpūtas kuģu vadīšanai piekrastes ūdeņos, tad, lai pārbaudītu atpūtas kuģu vadītāja pretendenta prasmes un iemaņas, eksaminācijas kuģošanas līdzeklim būtu jābūt pietiekami lielam un tam jāatbilst motorizētā atpūtas kuģa tipam, ar kuru var kuģot piekrastes ūdeņos. </w:t>
            </w:r>
          </w:p>
          <w:p w:rsidR="00200995" w:rsidRPr="00481F99" w:rsidRDefault="00200995" w:rsidP="00404553">
            <w:pPr>
              <w:jc w:val="both"/>
            </w:pPr>
            <w:r w:rsidRPr="00481F99">
              <w:rPr>
                <w:b/>
              </w:rPr>
              <w:t>Projekta 4.punkts</w:t>
            </w:r>
            <w:r w:rsidRPr="00481F99">
              <w:t xml:space="preserve"> papildina noteikumus ar jaunu 32.</w:t>
            </w:r>
            <w:r w:rsidRPr="00481F99">
              <w:rPr>
                <w:vertAlign w:val="superscript"/>
              </w:rPr>
              <w:t>1</w:t>
            </w:r>
            <w:r w:rsidRPr="00481F99">
              <w:t xml:space="preserve"> punktu, paredzot, ka eksāmena praktisko daļu starptautiskās apliecības pretendents kārto ar Ceļu satiksmes drošības direkcijas, atpūtas kuģu vadītāju mācību iestādes vai pretendenta eksāmenam nodrošināto motorlaivu, kuteri vai motorjahtu (tā garums pārsniedz 10 metrus) vai buru jahtu (tās garums pārsniedz 6 metrus). Attiecīgi, ar </w:t>
            </w:r>
            <w:r w:rsidRPr="00F86135">
              <w:t>projekta 4.punktu</w:t>
            </w:r>
            <w:r w:rsidRPr="00481F99">
              <w:t xml:space="preserve"> paredzēts nodrošināt, ka praktiskā eksāmena kārtošanā varēs izmantot arī pretendenta vai atpūtas kuģu vadītāja mācību iestādes piestādītu buru jahtu, motorlaivu, kuteri vai motorjahtu, vai arī  atpūtas kuģi, kurš likumīgi nodots šo personu valdījumā. Šāda pieeja ļautu samazināt atpūtas kuģu vadītāja pretendenta  kopējās izmaksas atpūtas kuģu vadītāja tiesību iegūšanā. Pašreiz praktisko eksāmenu kārtošanai tiek izmantota CSDD nomāta motorjahta, kuras garums pārsniedz 10 metrus, un buru jahta. </w:t>
            </w:r>
          </w:p>
          <w:p w:rsidR="00200995" w:rsidRDefault="00200995" w:rsidP="008B7381">
            <w:pPr>
              <w:ind w:firstLine="426"/>
              <w:jc w:val="both"/>
            </w:pPr>
          </w:p>
          <w:p w:rsidR="00200995" w:rsidRPr="0010710F" w:rsidRDefault="00200995" w:rsidP="00404553">
            <w:pPr>
              <w:jc w:val="both"/>
            </w:pPr>
            <w:r w:rsidRPr="00CB6C48">
              <w:t xml:space="preserve">Noteikumu 72.punkts noteic, ka SIA „Jūrniecības tehniskais centrs” (turpmāk – </w:t>
            </w:r>
            <w:r w:rsidRPr="00B9375A">
              <w:t xml:space="preserve">JTC) laika posmā no 2007.gada 13.jūnija līdz 2010.gada 1.jūlijam izsniegtās motorjahtu vadītāju apliecības </w:t>
            </w:r>
            <w:r w:rsidRPr="002830E5">
              <w:t>ir derīgas kuģošanas līdzekļu vadīšanai līdz 2013.gada 31.decembrim</w:t>
            </w:r>
            <w:r w:rsidRPr="00F50447">
              <w:t>, kā arī, ka personas, kuras ieguvušas šādas apliecības, ir tiesīgas kārtot eksāmenu starptautiskās atpūtas kuģu vadītāja ap</w:t>
            </w:r>
            <w:r w:rsidRPr="0010710F">
              <w:t xml:space="preserve">liecības saņemšanai atbilstoši šo noteikumu III nodaļai kategorijā „jahtu vadītājs iekšējos ūdeņos” vai „jahtu vadītājs piekrastes ūdeņos” un uz tām neattiecina noteikumu 22.5.apakšpunkta minētās prasības par sekmīgu mācību programmas apguvi un jūras praksi. Minētais regulējums bija pamatots ar to, ka, lai gan JTC bija izsniedzis starptautiskās atpūtas kuģu vadītāju apliecības kuģošanai neierobežotā rajonā, uz apliecības norādot atbilstību EEK rezolūcijai, tomēr praksē īstenoja tikai teorētisko apmācību, kā arī apliecības turpināja izsniegt arī tad, kad Jūrlietu pārvaldes un jūras drošības likums šādu pilnvarojumu licencētiem mācību centriem vairs neparedzēja. Turklāt JTC bija saņēmis licenci mācību programmai atbilstoši profesijas standartam PS 0281 „Mazizmēra </w:t>
            </w:r>
            <w:r w:rsidRPr="0010710F">
              <w:lastRenderedPageBreak/>
              <w:t xml:space="preserve">kuģu vadītājs”, kur iegūstamā kvalifikācija ir mazizmēra kuģa vadītājs un kuru atbilstoši profesionālo izglītību reglamentējošajiem aktiem bija nepieciešams akreditēt, savukārt sertificēja atpūtas kuģu vadītājus. </w:t>
            </w:r>
          </w:p>
          <w:p w:rsidR="00200995" w:rsidRPr="0010710F" w:rsidRDefault="00200995" w:rsidP="00404553">
            <w:pPr>
              <w:jc w:val="both"/>
            </w:pPr>
            <w:r w:rsidRPr="0010710F">
              <w:t xml:space="preserve">Pēc noteikumu Nr.619 pieņemšanas Satiksmes ministrijā un VAS „Ceļu satiksmes drošības direkcija” (turpmāk – CSDD) ir saņemti vairāki JTC izsniegto apliecību turētāju iesniegumi ar lūgumu pārskatīt noteikumu 72.punktu, norādot, ka viņi nav bijuši informēti par to, ka JTC veiktā apmācība un izdotās apliecības neatbilst normatīvā regulējuma prasībām. </w:t>
            </w:r>
          </w:p>
          <w:p w:rsidR="00200995" w:rsidRDefault="00200995" w:rsidP="00404553">
            <w:pPr>
              <w:pStyle w:val="NoSpacing"/>
              <w:jc w:val="both"/>
              <w:rPr>
                <w:rFonts w:ascii="Times New Roman" w:hAnsi="Times New Roman"/>
                <w:sz w:val="24"/>
                <w:szCs w:val="24"/>
              </w:rPr>
            </w:pPr>
            <w:r w:rsidRPr="006E4625">
              <w:rPr>
                <w:rFonts w:ascii="Times New Roman" w:hAnsi="Times New Roman"/>
                <w:sz w:val="24"/>
                <w:szCs w:val="24"/>
              </w:rPr>
              <w:t xml:space="preserve">Ņemot vērā minēto, Satiksmes ministrija sadarbībā ar CSDD atkārtoti izvērtēja minēto jautājumu, un, tā kā Jūrlietu pārvaldes un jūras drošības likumā nebija noteikts, ka mācību centri atpūtas kuģu vadītāju apmācību un sertifikāciju veic saskaņā ar EEK rezolūciju, kā arī, ka JTC īstenotā apmācības programma (atbilstoši profesiju standartam) lielā mērā atbilda EEK rezolūcijā noteiktajai, uzskata par iespējamu papildināt noteikumu 72.punktu ar </w:t>
            </w:r>
            <w:r w:rsidRPr="006E4625">
              <w:rPr>
                <w:rFonts w:ascii="Times New Roman" w:hAnsi="Times New Roman"/>
                <w:b/>
                <w:sz w:val="24"/>
                <w:szCs w:val="24"/>
              </w:rPr>
              <w:t>projekta 6.punktā</w:t>
            </w:r>
            <w:r w:rsidRPr="006E4625">
              <w:rPr>
                <w:rFonts w:ascii="Times New Roman" w:hAnsi="Times New Roman"/>
                <w:sz w:val="24"/>
                <w:szCs w:val="24"/>
              </w:rPr>
              <w:t xml:space="preserve"> ietverto normu, </w:t>
            </w:r>
            <w:r w:rsidRPr="0059414D">
              <w:rPr>
                <w:rFonts w:ascii="Times New Roman" w:hAnsi="Times New Roman"/>
                <w:sz w:val="24"/>
                <w:szCs w:val="24"/>
              </w:rPr>
              <w:t xml:space="preserve">kas paredz tiesības JTC izsniegto apliecību īpašniekiem </w:t>
            </w:r>
            <w:r w:rsidR="00C962C8" w:rsidRPr="0059414D">
              <w:rPr>
                <w:rFonts w:ascii="Times New Roman" w:hAnsi="Times New Roman"/>
                <w:sz w:val="24"/>
                <w:szCs w:val="24"/>
              </w:rPr>
              <w:t>kārtot eksāmenu starptautiskās apliecības saņemšanai atbilstoši noteikumu Nr</w:t>
            </w:r>
            <w:r w:rsidR="00786D27" w:rsidRPr="0059414D">
              <w:rPr>
                <w:rFonts w:ascii="Times New Roman" w:hAnsi="Times New Roman"/>
                <w:sz w:val="24"/>
                <w:szCs w:val="24"/>
              </w:rPr>
              <w:t>.</w:t>
            </w:r>
            <w:r w:rsidR="00C962C8" w:rsidRPr="0059414D">
              <w:rPr>
                <w:rFonts w:ascii="Times New Roman" w:hAnsi="Times New Roman"/>
                <w:sz w:val="24"/>
                <w:szCs w:val="24"/>
              </w:rPr>
              <w:t xml:space="preserve">619 III nodaļai kategorijā </w:t>
            </w:r>
            <w:r w:rsidR="00786D27" w:rsidRPr="0059414D">
              <w:rPr>
                <w:rFonts w:ascii="Times New Roman" w:hAnsi="Times New Roman"/>
                <w:sz w:val="24"/>
                <w:szCs w:val="24"/>
              </w:rPr>
              <w:t xml:space="preserve">„jahtu vadītājs iekšējos ūdeņos” vai kategorijā </w:t>
            </w:r>
            <w:r w:rsidR="00C962C8" w:rsidRPr="0059414D">
              <w:rPr>
                <w:rFonts w:ascii="Times New Roman" w:hAnsi="Times New Roman"/>
                <w:sz w:val="24"/>
                <w:szCs w:val="24"/>
              </w:rPr>
              <w:t xml:space="preserve">„jahtu vadītājs piekrastes ūdeņos” </w:t>
            </w:r>
            <w:r w:rsidR="00E84230" w:rsidRPr="0059414D">
              <w:rPr>
                <w:rFonts w:ascii="Times New Roman" w:hAnsi="Times New Roman"/>
                <w:sz w:val="24"/>
                <w:szCs w:val="24"/>
              </w:rPr>
              <w:t xml:space="preserve">motorizēto atpūtas kuģu vadīšanai </w:t>
            </w:r>
            <w:r w:rsidR="00C962C8" w:rsidRPr="0059414D">
              <w:rPr>
                <w:rFonts w:ascii="Times New Roman" w:hAnsi="Times New Roman"/>
                <w:sz w:val="24"/>
                <w:szCs w:val="24"/>
              </w:rPr>
              <w:t>bez attiecīgas apmācības, kā arī</w:t>
            </w:r>
            <w:r w:rsidR="00786D27" w:rsidRPr="0059414D">
              <w:rPr>
                <w:rFonts w:ascii="Times New Roman" w:hAnsi="Times New Roman"/>
                <w:sz w:val="24"/>
                <w:szCs w:val="24"/>
              </w:rPr>
              <w:t xml:space="preserve"> pārejas periodā</w:t>
            </w:r>
            <w:r w:rsidR="00C962C8" w:rsidRPr="0059414D">
              <w:rPr>
                <w:rFonts w:ascii="Times New Roman" w:hAnsi="Times New Roman"/>
                <w:sz w:val="24"/>
                <w:szCs w:val="24"/>
              </w:rPr>
              <w:t xml:space="preserve"> līdz 2015.gada </w:t>
            </w:r>
            <w:r w:rsidR="00786D27" w:rsidRPr="0059414D">
              <w:rPr>
                <w:rFonts w:ascii="Times New Roman" w:hAnsi="Times New Roman"/>
                <w:sz w:val="24"/>
                <w:szCs w:val="24"/>
              </w:rPr>
              <w:t>30</w:t>
            </w:r>
            <w:r w:rsidR="00C962C8" w:rsidRPr="0059414D">
              <w:rPr>
                <w:rFonts w:ascii="Times New Roman" w:hAnsi="Times New Roman"/>
                <w:sz w:val="24"/>
                <w:szCs w:val="24"/>
              </w:rPr>
              <w:t>.</w:t>
            </w:r>
            <w:r w:rsidR="00786D27" w:rsidRPr="0059414D">
              <w:rPr>
                <w:rFonts w:ascii="Times New Roman" w:hAnsi="Times New Roman"/>
                <w:sz w:val="24"/>
                <w:szCs w:val="24"/>
              </w:rPr>
              <w:t>jūnijam</w:t>
            </w:r>
            <w:r w:rsidR="00C962C8" w:rsidRPr="0059414D">
              <w:rPr>
                <w:rFonts w:ascii="Times New Roman" w:hAnsi="Times New Roman"/>
                <w:sz w:val="24"/>
                <w:szCs w:val="24"/>
              </w:rPr>
              <w:t xml:space="preserve"> pieprasīt un </w:t>
            </w:r>
            <w:r w:rsidRPr="0059414D">
              <w:rPr>
                <w:rFonts w:ascii="Times New Roman" w:hAnsi="Times New Roman"/>
                <w:sz w:val="24"/>
                <w:szCs w:val="24"/>
              </w:rPr>
              <w:t>saņemt CSDD starptautisk</w:t>
            </w:r>
            <w:r w:rsidR="00E84230" w:rsidRPr="0059414D">
              <w:rPr>
                <w:rFonts w:ascii="Times New Roman" w:hAnsi="Times New Roman"/>
                <w:sz w:val="24"/>
                <w:szCs w:val="24"/>
              </w:rPr>
              <w:t>ās</w:t>
            </w:r>
            <w:r w:rsidRPr="0059414D">
              <w:rPr>
                <w:rFonts w:ascii="Times New Roman" w:hAnsi="Times New Roman"/>
                <w:sz w:val="24"/>
                <w:szCs w:val="24"/>
              </w:rPr>
              <w:t xml:space="preserve"> atpūtas kuģu vadītāja apliecības kategorijā “jahtu vadītājs iekšējos ūdeņos” motorizēto atpūtas kuģu vadīšanai bez attiecīgas apmācības un eksāmenu kārtošanas.</w:t>
            </w:r>
            <w:r w:rsidRPr="006E4625">
              <w:rPr>
                <w:rFonts w:ascii="Times New Roman" w:hAnsi="Times New Roman"/>
                <w:sz w:val="24"/>
                <w:szCs w:val="24"/>
              </w:rPr>
              <w:t xml:space="preserve"> Minēto apliecību ieguvējiem ir atļauts vadīt motorizētos atpūtas kuģus, ja atpūtas kuģa garums nepārsniedz 24 metrus, Latvijas Republikas iekšējos ūdeņos un 3000 metru platā joslā no krasta līnijas uz jūras pusi Rīgas jūras līča un Baltijas jūras Latvijas Republikas piekrastes daļā. </w:t>
            </w:r>
          </w:p>
          <w:p w:rsidR="00E84230" w:rsidRPr="006E4625" w:rsidRDefault="00E84230" w:rsidP="00404553">
            <w:pPr>
              <w:pStyle w:val="NoSpacing"/>
              <w:jc w:val="both"/>
              <w:rPr>
                <w:rFonts w:ascii="Times New Roman" w:hAnsi="Times New Roman"/>
                <w:sz w:val="24"/>
                <w:szCs w:val="24"/>
              </w:rPr>
            </w:pPr>
            <w:r w:rsidRPr="00E84230">
              <w:rPr>
                <w:rFonts w:ascii="Times New Roman" w:hAnsi="Times New Roman"/>
                <w:sz w:val="24"/>
                <w:szCs w:val="24"/>
              </w:rPr>
              <w:t xml:space="preserve">CSDD tehniski nodrošinās atpūtas kuģu vadītāja apliecības izsniegšanu tajā pat dienā, kad būs saņemts attiecīgs </w:t>
            </w:r>
            <w:r>
              <w:rPr>
                <w:rFonts w:ascii="Times New Roman" w:hAnsi="Times New Roman"/>
                <w:sz w:val="24"/>
                <w:szCs w:val="24"/>
              </w:rPr>
              <w:t>iesniegums</w:t>
            </w:r>
            <w:r w:rsidRPr="00E84230">
              <w:rPr>
                <w:rFonts w:ascii="Times New Roman" w:hAnsi="Times New Roman"/>
                <w:sz w:val="24"/>
                <w:szCs w:val="24"/>
              </w:rPr>
              <w:t xml:space="preserve">.  </w:t>
            </w:r>
          </w:p>
          <w:p w:rsidR="00200995" w:rsidRPr="00D16BE2" w:rsidRDefault="00200995" w:rsidP="00404553">
            <w:pPr>
              <w:jc w:val="both"/>
            </w:pPr>
            <w:r w:rsidRPr="006E4625">
              <w:rPr>
                <w:noProof/>
              </w:rPr>
              <w:t>Starptautisk</w:t>
            </w:r>
            <w:r w:rsidR="00786D27">
              <w:rPr>
                <w:noProof/>
              </w:rPr>
              <w:t>ās</w:t>
            </w:r>
            <w:r w:rsidRPr="006E4625">
              <w:rPr>
                <w:noProof/>
              </w:rPr>
              <w:t xml:space="preserve"> atpūtas </w:t>
            </w:r>
            <w:r w:rsidRPr="005E4D43">
              <w:rPr>
                <w:noProof/>
                <w:lang w:eastAsia="en-US"/>
              </w:rPr>
              <w:t xml:space="preserve">kuģu vadītāju apliecības tiks izsniegtas, ja attiecīgā persona būs iekļauta SIA „Jūrniecības tehniskais centrs” CSDD iesniegtajā sertificēto atpūtas kuģu vadītāju sarakstā </w:t>
            </w:r>
            <w:r>
              <w:rPr>
                <w:noProof/>
                <w:lang w:eastAsia="en-US"/>
              </w:rPr>
              <w:t xml:space="preserve">atbilstoši </w:t>
            </w:r>
            <w:r w:rsidRPr="005E4D43">
              <w:rPr>
                <w:noProof/>
                <w:lang w:eastAsia="en-US"/>
              </w:rPr>
              <w:t>noteikumu 74.punkt</w:t>
            </w:r>
            <w:r>
              <w:rPr>
                <w:noProof/>
                <w:lang w:eastAsia="en-US"/>
              </w:rPr>
              <w:t>am</w:t>
            </w:r>
            <w:r w:rsidRPr="005E4D43">
              <w:rPr>
                <w:noProof/>
                <w:lang w:eastAsia="en-US"/>
              </w:rPr>
              <w:t xml:space="preserve"> un uzrādīs tai </w:t>
            </w:r>
            <w:r>
              <w:rPr>
                <w:noProof/>
                <w:lang w:eastAsia="en-US"/>
              </w:rPr>
              <w:t xml:space="preserve">JTC </w:t>
            </w:r>
            <w:r w:rsidRPr="005E4D43">
              <w:rPr>
                <w:noProof/>
                <w:lang w:eastAsia="en-US"/>
              </w:rPr>
              <w:t>izsniegto apliecību.</w:t>
            </w:r>
          </w:p>
          <w:p w:rsidR="00200995" w:rsidRPr="00CB6C48" w:rsidRDefault="00200995" w:rsidP="006E4625">
            <w:pPr>
              <w:jc w:val="both"/>
            </w:pPr>
          </w:p>
          <w:p w:rsidR="008D1DA0" w:rsidRDefault="00200995" w:rsidP="00404553">
            <w:pPr>
              <w:jc w:val="both"/>
            </w:pPr>
            <w:r w:rsidRPr="00B9375A">
              <w:t>Šobrīd noteikumos ir noteikts, ka atpūtas kuģu vadītāja apmācības iestād</w:t>
            </w:r>
            <w:r>
              <w:t>e</w:t>
            </w:r>
            <w:r w:rsidRPr="00B9375A">
              <w:t>s rīcībā jābūt atpūtas kuģiem, kuru garums ir no 6 līdz 10 metriem. Ņemot vērā projekt</w:t>
            </w:r>
            <w:r>
              <w:t>a 4.punktā ir</w:t>
            </w:r>
            <w:r w:rsidRPr="00B9375A">
              <w:t xml:space="preserve"> iek</w:t>
            </w:r>
            <w:r w:rsidRPr="002830E5">
              <w:t>ļaut</w:t>
            </w:r>
            <w:r>
              <w:t>o</w:t>
            </w:r>
            <w:r w:rsidRPr="002830E5">
              <w:t xml:space="preserve"> norm</w:t>
            </w:r>
            <w:r>
              <w:t>u</w:t>
            </w:r>
            <w:r w:rsidRPr="002830E5">
              <w:t xml:space="preserve"> par to, </w:t>
            </w:r>
            <w:r w:rsidRPr="008D79DC">
              <w:t>ka praktiskā eksāmena kārtošanā var izmantot arī atpūtas kuģu vadītāja mācību iestādes pie</w:t>
            </w:r>
            <w:bookmarkStart w:id="2" w:name="_GoBack"/>
            <w:bookmarkEnd w:id="2"/>
            <w:r w:rsidRPr="008D79DC">
              <w:t xml:space="preserve">stādītu atpūtas kuģi, </w:t>
            </w:r>
            <w:r w:rsidRPr="00F50447">
              <w:t>a</w:t>
            </w:r>
            <w:r w:rsidRPr="0010710F">
              <w:t>r grozījumiem noteikumu 7.pielikuma 1.7.1. un 1.7.2.apkšpunktā</w:t>
            </w:r>
            <w:r>
              <w:t xml:space="preserve"> (</w:t>
            </w:r>
            <w:r w:rsidRPr="004230E1">
              <w:rPr>
                <w:b/>
              </w:rPr>
              <w:t>projekta 7.punkts</w:t>
            </w:r>
            <w:r>
              <w:t>)</w:t>
            </w:r>
            <w:r w:rsidRPr="0010710F">
              <w:t xml:space="preserve"> ir precizētas prasības </w:t>
            </w:r>
            <w:r>
              <w:t xml:space="preserve">attiecībā uz </w:t>
            </w:r>
            <w:r w:rsidRPr="0010710F">
              <w:t>mācību atpūtas kuģa, kas ir mācību iestādes rīcībā, garum</w:t>
            </w:r>
            <w:r>
              <w:t>u</w:t>
            </w:r>
            <w:r w:rsidRPr="0010710F">
              <w:t xml:space="preserve">, nosakot, ka </w:t>
            </w:r>
            <w:r>
              <w:t xml:space="preserve">tas var būt </w:t>
            </w:r>
            <w:r w:rsidRPr="0010710F">
              <w:t xml:space="preserve"> no 6 līdz 24 metriem. </w:t>
            </w:r>
          </w:p>
          <w:p w:rsidR="00200995" w:rsidRDefault="00200995" w:rsidP="005E54D0">
            <w:pPr>
              <w:ind w:firstLine="426"/>
              <w:jc w:val="both"/>
            </w:pPr>
          </w:p>
          <w:p w:rsidR="00200995" w:rsidRPr="000A3753" w:rsidRDefault="00200995" w:rsidP="00404553">
            <w:pPr>
              <w:jc w:val="both"/>
            </w:pPr>
            <w:r w:rsidRPr="00AD62D0">
              <w:t xml:space="preserve">Projektā ietvertās tiesiskā regulējuma izmaiņas minētās problēmas </w:t>
            </w:r>
            <w:r w:rsidRPr="00AD62D0">
              <w:lastRenderedPageBreak/>
              <w:t>atrisinās pilnībā.</w:t>
            </w:r>
          </w:p>
        </w:tc>
      </w:tr>
      <w:tr w:rsidR="00200995" w:rsidRPr="0010710F" w:rsidTr="00106C0F">
        <w:trPr>
          <w:trHeight w:val="983"/>
        </w:trPr>
        <w:tc>
          <w:tcPr>
            <w:tcW w:w="426" w:type="dxa"/>
          </w:tcPr>
          <w:p w:rsidR="00200995" w:rsidRPr="0010710F" w:rsidRDefault="00200995" w:rsidP="00BD4303">
            <w:r w:rsidRPr="0010710F">
              <w:lastRenderedPageBreak/>
              <w:t>3.</w:t>
            </w:r>
          </w:p>
        </w:tc>
        <w:tc>
          <w:tcPr>
            <w:tcW w:w="1863" w:type="dxa"/>
          </w:tcPr>
          <w:p w:rsidR="00200995" w:rsidRPr="0010710F" w:rsidRDefault="00200995" w:rsidP="00E26224">
            <w:r w:rsidRPr="0010710F">
              <w:t>Projekta izstrādē iesaistītās institūcijas</w:t>
            </w:r>
          </w:p>
        </w:tc>
        <w:tc>
          <w:tcPr>
            <w:tcW w:w="6800" w:type="dxa"/>
          </w:tcPr>
          <w:p w:rsidR="00200995" w:rsidRPr="0010710F" w:rsidRDefault="00200995" w:rsidP="003C7122">
            <w:r w:rsidRPr="0010710F">
              <w:t>CSDD, Satiksmes ministrija.</w:t>
            </w:r>
          </w:p>
        </w:tc>
      </w:tr>
      <w:tr w:rsidR="00200995" w:rsidRPr="00404553" w:rsidTr="00106C0F">
        <w:trPr>
          <w:trHeight w:val="406"/>
        </w:trPr>
        <w:tc>
          <w:tcPr>
            <w:tcW w:w="426" w:type="dxa"/>
          </w:tcPr>
          <w:p w:rsidR="00200995" w:rsidRPr="00404553" w:rsidRDefault="00200995" w:rsidP="00BD4303">
            <w:r w:rsidRPr="00404553">
              <w:t>4.</w:t>
            </w:r>
          </w:p>
        </w:tc>
        <w:tc>
          <w:tcPr>
            <w:tcW w:w="1863" w:type="dxa"/>
          </w:tcPr>
          <w:p w:rsidR="00200995" w:rsidRPr="00404553" w:rsidRDefault="00200995" w:rsidP="00E26224">
            <w:r w:rsidRPr="00404553">
              <w:t>Cita informācija</w:t>
            </w:r>
          </w:p>
        </w:tc>
        <w:tc>
          <w:tcPr>
            <w:tcW w:w="6800" w:type="dxa"/>
          </w:tcPr>
          <w:p w:rsidR="003933AC" w:rsidRPr="00404553" w:rsidRDefault="00277B4A" w:rsidP="003933AC">
            <w:pPr>
              <w:ind w:firstLine="720"/>
              <w:jc w:val="both"/>
              <w:rPr>
                <w:noProof/>
              </w:rPr>
            </w:pPr>
            <w:r w:rsidRPr="00404553">
              <w:t>Pašreiz nav īpaša tiesiskā</w:t>
            </w:r>
            <w:r w:rsidR="005D6472" w:rsidRPr="00404553">
              <w:t xml:space="preserve"> regulējuma, kas noteiktu kvalifikācijas un sertificēšanas prasības dienesta kuģu vadītājiem.</w:t>
            </w:r>
            <w:r w:rsidR="003933AC" w:rsidRPr="00404553">
              <w:t xml:space="preserve"> </w:t>
            </w:r>
            <w:r w:rsidR="005D6472" w:rsidRPr="00404553">
              <w:t xml:space="preserve"> Līdz ar to uz dienesta kuģu vadītājiem </w:t>
            </w:r>
            <w:r w:rsidR="003933AC" w:rsidRPr="00404553">
              <w:t xml:space="preserve">tiek attiecināts </w:t>
            </w:r>
            <w:r w:rsidR="003933AC" w:rsidRPr="00404553">
              <w:rPr>
                <w:noProof/>
              </w:rPr>
              <w:t xml:space="preserve">Ministru kabineta 2005.gada 1.marta noteikumu Nr.158 „Noteikumi par kuģošanas līdzekļu satiksmi iekšējos ūdeņos” (turpmāk – </w:t>
            </w:r>
            <w:r w:rsidR="006D54FE" w:rsidRPr="00404553">
              <w:rPr>
                <w:noProof/>
              </w:rPr>
              <w:t>n</w:t>
            </w:r>
            <w:r w:rsidR="003933AC" w:rsidRPr="00404553">
              <w:rPr>
                <w:noProof/>
              </w:rPr>
              <w:t xml:space="preserve">oteikumi Nr.158) 76.punkts, kas paredz, ka vadīt ūdensmotociklus, motorlaivas, kuterus un motorjahtas atļauts personām, kurām ir normatīvajos aktos par atpūtas kuģu vadītāju sertificēšanu noteiktajā kārtībā iegūtas attiecīga kuģošanas līdzekļa vadīšanas tiesības. </w:t>
            </w:r>
          </w:p>
          <w:p w:rsidR="007F2CD8" w:rsidRPr="00404553" w:rsidRDefault="003933AC" w:rsidP="003222B4">
            <w:pPr>
              <w:ind w:firstLine="720"/>
              <w:jc w:val="both"/>
            </w:pPr>
            <w:r w:rsidRPr="00404553">
              <w:rPr>
                <w:noProof/>
              </w:rPr>
              <w:t xml:space="preserve">Iekšlietu ministrija ir ierosinājusi mainīt </w:t>
            </w:r>
            <w:r w:rsidR="003222B4" w:rsidRPr="00404553">
              <w:rPr>
                <w:noProof/>
              </w:rPr>
              <w:t xml:space="preserve">minēto situāciju, lai </w:t>
            </w:r>
            <w:r w:rsidR="00C243C4" w:rsidRPr="00404553">
              <w:t>uz Valsts ugunsdzēsības un glābšanas dienesta</w:t>
            </w:r>
            <w:r w:rsidR="0085619B" w:rsidRPr="00404553">
              <w:t xml:space="preserve"> (turpmāk – VUGD)</w:t>
            </w:r>
            <w:r w:rsidR="00C243C4" w:rsidRPr="00404553">
              <w:t xml:space="preserve"> amatpersonām, tām pildot dienesta pienākumus</w:t>
            </w:r>
            <w:r w:rsidR="00AD40F6" w:rsidRPr="00404553">
              <w:t xml:space="preserve"> – veicot glābšanas darbus uz ūdens</w:t>
            </w:r>
            <w:r w:rsidR="00C243C4" w:rsidRPr="00404553">
              <w:t xml:space="preserve"> </w:t>
            </w:r>
            <w:r w:rsidR="00D3243F" w:rsidRPr="00404553">
              <w:t>–</w:t>
            </w:r>
            <w:r w:rsidR="00B47592" w:rsidRPr="00404553">
              <w:t xml:space="preserve"> </w:t>
            </w:r>
            <w:r w:rsidR="003222B4" w:rsidRPr="00404553">
              <w:t>turpmāk neattiecinātu</w:t>
            </w:r>
            <w:r w:rsidR="00E84230" w:rsidRPr="00404553">
              <w:t xml:space="preserve"> prasīb</w:t>
            </w:r>
            <w:r w:rsidR="003222B4" w:rsidRPr="00404553">
              <w:t>u</w:t>
            </w:r>
            <w:r w:rsidR="00CC1285" w:rsidRPr="00404553">
              <w:t xml:space="preserve"> par atpūtas kuģa vadītāja </w:t>
            </w:r>
            <w:r w:rsidR="00DB4973" w:rsidRPr="00404553">
              <w:t xml:space="preserve">apliecības </w:t>
            </w:r>
            <w:r w:rsidR="00CC1285" w:rsidRPr="00404553">
              <w:t xml:space="preserve">esamību, ja attiecīgās personas ir apguvušas </w:t>
            </w:r>
            <w:r w:rsidR="0085619B" w:rsidRPr="00404553">
              <w:t>atbilstošu profesion</w:t>
            </w:r>
            <w:r w:rsidR="00202B68" w:rsidRPr="00404553">
              <w:t>ālās</w:t>
            </w:r>
            <w:r w:rsidR="0085619B" w:rsidRPr="00404553">
              <w:t xml:space="preserve"> izglītības </w:t>
            </w:r>
            <w:r w:rsidR="00202B68" w:rsidRPr="00404553">
              <w:t>programmu</w:t>
            </w:r>
            <w:r w:rsidR="0085619B" w:rsidRPr="00404553">
              <w:t xml:space="preserve">. </w:t>
            </w:r>
            <w:r w:rsidR="003222B4" w:rsidRPr="00404553">
              <w:t>VUGD padotības iestāde Ugunsdrošības un civilās aizsardzības koledža īsteno vairākas izglītības programmas ugunsdzēsēju – glābēju sagatavošanai, kas apmācības ietvaros apgūst arī zināšanas par VUGD kuģošanas līdzekļu vadīšanu, t.sk. praktiski apgū</w:t>
            </w:r>
            <w:r w:rsidR="007E6934" w:rsidRPr="00404553">
              <w:t>stot</w:t>
            </w:r>
            <w:r w:rsidR="003222B4" w:rsidRPr="00404553">
              <w:t xml:space="preserve"> kuģošanas līdzekļa vadīšan</w:t>
            </w:r>
            <w:r w:rsidR="007E6934" w:rsidRPr="00404553">
              <w:t>u uz ūdens,</w:t>
            </w:r>
            <w:r w:rsidR="003222B4" w:rsidRPr="00404553">
              <w:t xml:space="preserve"> un satiksmi iekšējos ūdeņos.  </w:t>
            </w:r>
          </w:p>
          <w:p w:rsidR="007F2CD8" w:rsidRPr="00404553" w:rsidRDefault="00404553" w:rsidP="003222B4">
            <w:pPr>
              <w:ind w:firstLine="720"/>
              <w:jc w:val="both"/>
            </w:pPr>
            <w:r>
              <w:t>L</w:t>
            </w:r>
            <w:r w:rsidR="00CE304C" w:rsidRPr="00404553">
              <w:t xml:space="preserve">ai nodrošinātu </w:t>
            </w:r>
            <w:r w:rsidR="006D54FE" w:rsidRPr="00404553">
              <w:t>n</w:t>
            </w:r>
            <w:r w:rsidR="00CE304C" w:rsidRPr="00404553">
              <w:t xml:space="preserve">oteikumu Nr.158 76.punkta izpildi, </w:t>
            </w:r>
            <w:r w:rsidR="000E2180" w:rsidRPr="00404553">
              <w:t xml:space="preserve">VUGD </w:t>
            </w:r>
            <w:r>
              <w:t>p</w:t>
            </w:r>
            <w:r w:rsidRPr="00404553">
              <w:t xml:space="preserve">ašreiz </w:t>
            </w:r>
            <w:r w:rsidR="000E2180" w:rsidRPr="00404553">
              <w:t>organizē VUGD</w:t>
            </w:r>
            <w:r w:rsidR="007F2CD8" w:rsidRPr="00404553">
              <w:t xml:space="preserve"> </w:t>
            </w:r>
            <w:r w:rsidR="000E2180" w:rsidRPr="00404553">
              <w:t>amatpersonu ar speciālajām dienesta pakāpēm centralizētu nosūtīšanu uz CSDD teorētiskā kvalifikācijas eksāmena nokārtošanai, lai iegūtu nepieciešamo atpūtas kuģa vadītāja apliecību</w:t>
            </w:r>
            <w:r w:rsidR="00CE304C" w:rsidRPr="00404553">
              <w:t xml:space="preserve">, kas saskaņā ar CSDD maksas pakalpojumu cenrādi vienai personai izmaksā apmēram 42 EUR. Tā kā Latvijas teritorijā VUGD noteiktos uzdevumus veic 92 dežūrmaiņas, atpūtas kuģa vadītāja tiesību nodrošināšanai VUGD rada ievērojamas izmaksas. </w:t>
            </w:r>
            <w:r w:rsidR="00EA27AA" w:rsidRPr="00404553">
              <w:t>Tā kā amatpersonu, kurām ir atpūtas kuģa vadītāja tiesības, amata pienākumi ir saistīti ne tikai ar kuģošanas līdzekļa vadīšanu, bet arī ar citu glābšanas darbu nodrošināšanu, tad amatpersonu, kurām ir atpūtas kuģa vadītāja tiesības, skaits VUGD nav pietiekams.</w:t>
            </w:r>
          </w:p>
          <w:p w:rsidR="00EA27AA" w:rsidRPr="00404553" w:rsidRDefault="00EA27AA" w:rsidP="003222B4">
            <w:pPr>
              <w:ind w:firstLine="720"/>
              <w:jc w:val="both"/>
            </w:pPr>
            <w:r w:rsidRPr="00404553">
              <w:t xml:space="preserve">Ņemot vērā to, ka ar noteikumu projektu minēto problēmu nevar atrisināt, </w:t>
            </w:r>
            <w:r w:rsidR="00422AB2" w:rsidRPr="00404553">
              <w:t xml:space="preserve">Satiksmes ministrija </w:t>
            </w:r>
            <w:r w:rsidRPr="00404553">
              <w:t>Iekšlietu ministrijas ierosinājum</w:t>
            </w:r>
            <w:r w:rsidR="00422AB2" w:rsidRPr="00404553">
              <w:t xml:space="preserve">u var </w:t>
            </w:r>
            <w:r w:rsidRPr="00404553">
              <w:t>izskat</w:t>
            </w:r>
            <w:r w:rsidR="00422AB2" w:rsidRPr="00404553">
              <w:t>īt,  grozot</w:t>
            </w:r>
            <w:r w:rsidRPr="00404553">
              <w:t xml:space="preserve"> </w:t>
            </w:r>
            <w:r w:rsidR="006D54FE" w:rsidRPr="00404553">
              <w:t>n</w:t>
            </w:r>
            <w:r w:rsidRPr="00404553">
              <w:t>oteikum</w:t>
            </w:r>
            <w:r w:rsidR="006D54FE" w:rsidRPr="00404553">
              <w:t>u</w:t>
            </w:r>
            <w:r w:rsidR="00422AB2" w:rsidRPr="00404553">
              <w:t>s</w:t>
            </w:r>
            <w:r w:rsidRPr="00404553">
              <w:t xml:space="preserve"> Nr.158</w:t>
            </w:r>
            <w:r w:rsidR="00422AB2" w:rsidRPr="00404553">
              <w:t>, likumā dotā deleģējuma ietvaros</w:t>
            </w:r>
            <w:r w:rsidRPr="00404553">
              <w:t xml:space="preserve">. </w:t>
            </w:r>
          </w:p>
          <w:p w:rsidR="0027762C" w:rsidRPr="00404553" w:rsidRDefault="007E0930" w:rsidP="00422AB2">
            <w:pPr>
              <w:ind w:firstLine="720"/>
              <w:jc w:val="both"/>
            </w:pPr>
            <w:r w:rsidRPr="00404553">
              <w:rPr>
                <w:noProof/>
              </w:rPr>
              <w:t>Valsts sekretāru sanāksmē 2014.gada 19.jūnijā ir izsludināts likumprojekts „Grozījumi Jūrlietu pārvaldes un jūras drošības likumā” (VSS-557), kas paredz deleģējumu Ministru kabinetam noteikt kuģošanas līdzekļu satiksmes kārtību</w:t>
            </w:r>
            <w:r w:rsidR="00812FEA" w:rsidRPr="00404553">
              <w:rPr>
                <w:noProof/>
              </w:rPr>
              <w:t xml:space="preserve">, izdodot noteikumus līdz 2015.gada 30.maijam. </w:t>
            </w:r>
            <w:r w:rsidR="006D54FE" w:rsidRPr="00404553">
              <w:rPr>
                <w:noProof/>
              </w:rPr>
              <w:t>Attiecīgi,</w:t>
            </w:r>
            <w:r w:rsidR="00812FEA" w:rsidRPr="00404553">
              <w:rPr>
                <w:noProof/>
              </w:rPr>
              <w:t xml:space="preserve"> noteikum</w:t>
            </w:r>
            <w:r w:rsidR="00081E77" w:rsidRPr="00404553">
              <w:rPr>
                <w:noProof/>
              </w:rPr>
              <w:t>i</w:t>
            </w:r>
            <w:r w:rsidR="00812FEA" w:rsidRPr="00404553">
              <w:rPr>
                <w:noProof/>
              </w:rPr>
              <w:t xml:space="preserve"> Nr.158, kas pašreiz ir izdoti uz Jūras kodeksā noteiktā deleģējuma pamata, pēc minētā likumprojekta pieņemšanas tiks pārizdoti. </w:t>
            </w:r>
            <w:r w:rsidR="00422AB2" w:rsidRPr="00404553">
              <w:rPr>
                <w:noProof/>
              </w:rPr>
              <w:t>Atbilstošā n</w:t>
            </w:r>
            <w:r w:rsidR="006D54FE" w:rsidRPr="00404553">
              <w:rPr>
                <w:noProof/>
              </w:rPr>
              <w:t xml:space="preserve">oteikumu projekta izstrādes procesā tiks veidota darba grupa, pieaicinot  </w:t>
            </w:r>
            <w:r w:rsidR="006D54FE" w:rsidRPr="00404553">
              <w:rPr>
                <w:noProof/>
              </w:rPr>
              <w:lastRenderedPageBreak/>
              <w:t xml:space="preserve">ieinteresēto institūciju pārstāvjus. </w:t>
            </w:r>
          </w:p>
        </w:tc>
      </w:tr>
    </w:tbl>
    <w:p w:rsidR="00200995" w:rsidRPr="00404553" w:rsidRDefault="00200995" w:rsidP="0033432F">
      <w:pPr>
        <w:rPr>
          <w:b/>
        </w:rPr>
      </w:pPr>
    </w:p>
    <w:p w:rsidR="00200995" w:rsidRPr="0010710F" w:rsidRDefault="00200995" w:rsidP="0033432F">
      <w:pPr>
        <w:rPr>
          <w:b/>
        </w:rPr>
      </w:pPr>
    </w:p>
    <w:p w:rsidR="00200995" w:rsidRPr="0010710F" w:rsidRDefault="00200995" w:rsidP="008F621A">
      <w:pPr>
        <w:jc w:val="center"/>
        <w:rPr>
          <w:b/>
        </w:rPr>
      </w:pPr>
      <w:r w:rsidRPr="0010710F">
        <w:rPr>
          <w:b/>
        </w:rPr>
        <w:t>II. Tiesību akta projekta ietekme uz sabiedrību, tautsaimniecības attīstību un administratīvo slogu</w:t>
      </w:r>
    </w:p>
    <w:p w:rsidR="00200995" w:rsidRPr="0010710F" w:rsidRDefault="00200995" w:rsidP="008F621A">
      <w:pPr>
        <w:jc w:val="center"/>
        <w:rPr>
          <w:b/>
        </w:rPr>
      </w:pP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693"/>
        <w:gridCol w:w="5879"/>
      </w:tblGrid>
      <w:tr w:rsidR="00200995" w:rsidRPr="0010710F" w:rsidTr="00106C0F">
        <w:trPr>
          <w:trHeight w:val="1269"/>
        </w:trPr>
        <w:tc>
          <w:tcPr>
            <w:tcW w:w="426" w:type="dxa"/>
          </w:tcPr>
          <w:p w:rsidR="00200995" w:rsidRPr="0010710F" w:rsidRDefault="00200995" w:rsidP="0092564D">
            <w:pPr>
              <w:jc w:val="center"/>
            </w:pPr>
            <w:r w:rsidRPr="0010710F">
              <w:t>1.</w:t>
            </w:r>
          </w:p>
        </w:tc>
        <w:tc>
          <w:tcPr>
            <w:tcW w:w="2693" w:type="dxa"/>
          </w:tcPr>
          <w:p w:rsidR="00200995" w:rsidRPr="0010710F" w:rsidRDefault="00200995" w:rsidP="0092564D">
            <w:r w:rsidRPr="0010710F">
              <w:t>Sabiedrības mērķgrupas, kuras tiesiskais regulējums ietekmē vai varētu ietekmēt</w:t>
            </w:r>
          </w:p>
        </w:tc>
        <w:tc>
          <w:tcPr>
            <w:tcW w:w="5879" w:type="dxa"/>
          </w:tcPr>
          <w:p w:rsidR="00200995" w:rsidRPr="0010710F" w:rsidRDefault="00200995" w:rsidP="00C85FB2">
            <w:r w:rsidRPr="0010710F">
              <w:t>Atpūtas kuģu vadītāji.</w:t>
            </w:r>
          </w:p>
          <w:p w:rsidR="00200995" w:rsidRPr="0010710F" w:rsidRDefault="00200995" w:rsidP="00106C0F">
            <w:r w:rsidRPr="0010710F">
              <w:t xml:space="preserve">Mācību iestādes, kas veic motorizēto atpūtas kuģu vadītāju apmācību. </w:t>
            </w:r>
          </w:p>
          <w:p w:rsidR="00200995" w:rsidRPr="0010710F" w:rsidRDefault="00200995" w:rsidP="00106C0F">
            <w:r w:rsidRPr="0010710F">
              <w:t>Personas, kuras vēlas kļūt par atpūtas kuģu vadītājiem.</w:t>
            </w:r>
          </w:p>
          <w:p w:rsidR="00200995" w:rsidRPr="0010710F" w:rsidRDefault="00200995" w:rsidP="00106C0F"/>
        </w:tc>
      </w:tr>
      <w:tr w:rsidR="00200995" w:rsidRPr="0010710F" w:rsidTr="00106C0F">
        <w:trPr>
          <w:trHeight w:val="1247"/>
        </w:trPr>
        <w:tc>
          <w:tcPr>
            <w:tcW w:w="426" w:type="dxa"/>
          </w:tcPr>
          <w:p w:rsidR="00200995" w:rsidRPr="0010710F" w:rsidRDefault="00200995" w:rsidP="0092564D">
            <w:r w:rsidRPr="0010710F">
              <w:t>2.</w:t>
            </w:r>
          </w:p>
        </w:tc>
        <w:tc>
          <w:tcPr>
            <w:tcW w:w="2693" w:type="dxa"/>
          </w:tcPr>
          <w:p w:rsidR="00200995" w:rsidRPr="0010710F" w:rsidRDefault="00200995" w:rsidP="0092564D">
            <w:r w:rsidRPr="0010710F">
              <w:t>Tiesiskā regulējuma ietekme uz tautsaimniecību un administratīvo slogu</w:t>
            </w:r>
          </w:p>
        </w:tc>
        <w:tc>
          <w:tcPr>
            <w:tcW w:w="5879" w:type="dxa"/>
          </w:tcPr>
          <w:p w:rsidR="00200995" w:rsidRPr="0010710F" w:rsidRDefault="00200995" w:rsidP="0092564D">
            <w:r w:rsidRPr="0010710F">
              <w:t>Projekts šo jomu neskar.</w:t>
            </w:r>
          </w:p>
        </w:tc>
      </w:tr>
      <w:tr w:rsidR="00200995" w:rsidRPr="0010710F" w:rsidTr="00106C0F">
        <w:trPr>
          <w:trHeight w:val="881"/>
        </w:trPr>
        <w:tc>
          <w:tcPr>
            <w:tcW w:w="426" w:type="dxa"/>
          </w:tcPr>
          <w:p w:rsidR="00200995" w:rsidRPr="0010710F" w:rsidRDefault="00200995" w:rsidP="0092564D">
            <w:r w:rsidRPr="0010710F">
              <w:t>3.</w:t>
            </w:r>
          </w:p>
        </w:tc>
        <w:tc>
          <w:tcPr>
            <w:tcW w:w="2693" w:type="dxa"/>
          </w:tcPr>
          <w:p w:rsidR="00200995" w:rsidRPr="0010710F" w:rsidRDefault="00200995" w:rsidP="0092564D">
            <w:r w:rsidRPr="0010710F">
              <w:t>Administratīvo izmaksu monetārs novērtējums</w:t>
            </w:r>
          </w:p>
        </w:tc>
        <w:tc>
          <w:tcPr>
            <w:tcW w:w="5879" w:type="dxa"/>
          </w:tcPr>
          <w:p w:rsidR="00200995" w:rsidRPr="0010710F" w:rsidRDefault="00200995" w:rsidP="0092564D">
            <w:r w:rsidRPr="0010710F">
              <w:t>Projekts šo jomu neskar.</w:t>
            </w:r>
          </w:p>
        </w:tc>
      </w:tr>
      <w:tr w:rsidR="00200995" w:rsidRPr="0010710F" w:rsidTr="00106C0F">
        <w:trPr>
          <w:trHeight w:val="498"/>
        </w:trPr>
        <w:tc>
          <w:tcPr>
            <w:tcW w:w="426" w:type="dxa"/>
          </w:tcPr>
          <w:p w:rsidR="00200995" w:rsidRPr="0010710F" w:rsidRDefault="00200995" w:rsidP="0092564D">
            <w:r w:rsidRPr="0010710F">
              <w:t>4.</w:t>
            </w:r>
          </w:p>
        </w:tc>
        <w:tc>
          <w:tcPr>
            <w:tcW w:w="2693" w:type="dxa"/>
          </w:tcPr>
          <w:p w:rsidR="00200995" w:rsidRPr="0010710F" w:rsidRDefault="00200995" w:rsidP="008F621A">
            <w:r w:rsidRPr="0010710F">
              <w:t>Cita informācija</w:t>
            </w:r>
          </w:p>
        </w:tc>
        <w:tc>
          <w:tcPr>
            <w:tcW w:w="5879" w:type="dxa"/>
          </w:tcPr>
          <w:p w:rsidR="00200995" w:rsidRPr="0010710F" w:rsidRDefault="00200995" w:rsidP="00FC5533">
            <w:pPr>
              <w:jc w:val="both"/>
            </w:pPr>
            <w:r w:rsidRPr="0010710F">
              <w:t>Līdz šim neviens Jūrniecības tehniskā centra izsniegtās starptautiskās atpūtas kuģu vadītāju apliecības īpašnieks nav pieteicies eksāmenu kārtošanai noteikumos noteiktās starptautiskās atpūtas kuģu vadītāja apliecības saņemšanai.</w:t>
            </w:r>
          </w:p>
        </w:tc>
      </w:tr>
    </w:tbl>
    <w:p w:rsidR="00200995" w:rsidRPr="0010710F" w:rsidRDefault="00200995" w:rsidP="0033432F">
      <w:pPr>
        <w:jc w:val="center"/>
        <w:rPr>
          <w:b/>
        </w:rPr>
      </w:pPr>
    </w:p>
    <w:p w:rsidR="00200995" w:rsidRPr="0010710F" w:rsidRDefault="00200995" w:rsidP="0033432F">
      <w:pPr>
        <w:jc w:val="center"/>
        <w:rPr>
          <w:b/>
        </w:rPr>
      </w:pPr>
    </w:p>
    <w:p w:rsidR="00200995" w:rsidRPr="0010710F" w:rsidRDefault="00200995" w:rsidP="0033432F">
      <w:pPr>
        <w:jc w:val="center"/>
        <w:rPr>
          <w:b/>
        </w:rPr>
      </w:pPr>
      <w:r w:rsidRPr="0010710F">
        <w:rPr>
          <w:b/>
        </w:rPr>
        <w:t>VII. Tiesību akta projekta izpildes nodrošināšana un tās ietekme uz institūcijām</w:t>
      </w:r>
    </w:p>
    <w:p w:rsidR="00200995" w:rsidRPr="0010710F" w:rsidRDefault="00200995" w:rsidP="0033432F">
      <w:pPr>
        <w:jc w:val="center"/>
        <w:rPr>
          <w:b/>
        </w:rPr>
      </w:pP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5244"/>
        <w:gridCol w:w="3328"/>
      </w:tblGrid>
      <w:tr w:rsidR="00200995" w:rsidRPr="0010710F" w:rsidTr="00404553">
        <w:trPr>
          <w:trHeight w:val="502"/>
        </w:trPr>
        <w:tc>
          <w:tcPr>
            <w:tcW w:w="426" w:type="dxa"/>
          </w:tcPr>
          <w:p w:rsidR="00200995" w:rsidRPr="0010710F" w:rsidRDefault="00200995" w:rsidP="00FF6D3E">
            <w:r w:rsidRPr="0010710F">
              <w:t>1.</w:t>
            </w:r>
          </w:p>
        </w:tc>
        <w:tc>
          <w:tcPr>
            <w:tcW w:w="5244" w:type="dxa"/>
          </w:tcPr>
          <w:p w:rsidR="00200995" w:rsidRPr="0010710F" w:rsidRDefault="00200995" w:rsidP="00FF6D3E">
            <w:pPr>
              <w:spacing w:before="100" w:beforeAutospacing="1" w:after="100" w:afterAutospacing="1"/>
            </w:pPr>
            <w:r w:rsidRPr="0010710F">
              <w:t> Projekta izpildē iesaistītās institūcijas</w:t>
            </w:r>
          </w:p>
        </w:tc>
        <w:tc>
          <w:tcPr>
            <w:tcW w:w="3328" w:type="dxa"/>
          </w:tcPr>
          <w:p w:rsidR="00200995" w:rsidRPr="0010710F" w:rsidRDefault="00200995" w:rsidP="00FF6D3E">
            <w:pPr>
              <w:spacing w:before="100" w:beforeAutospacing="1" w:after="100" w:afterAutospacing="1"/>
            </w:pPr>
            <w:r w:rsidRPr="0010710F">
              <w:t>CSDD</w:t>
            </w:r>
          </w:p>
        </w:tc>
      </w:tr>
      <w:tr w:rsidR="00200995" w:rsidRPr="0010710F" w:rsidTr="00106C0F">
        <w:trPr>
          <w:trHeight w:val="557"/>
        </w:trPr>
        <w:tc>
          <w:tcPr>
            <w:tcW w:w="426" w:type="dxa"/>
          </w:tcPr>
          <w:p w:rsidR="00200995" w:rsidRPr="0010710F" w:rsidRDefault="00200995" w:rsidP="000B3265">
            <w:r w:rsidRPr="0010710F">
              <w:t>2.</w:t>
            </w:r>
          </w:p>
        </w:tc>
        <w:tc>
          <w:tcPr>
            <w:tcW w:w="5244" w:type="dxa"/>
          </w:tcPr>
          <w:p w:rsidR="00200995" w:rsidRPr="0010710F" w:rsidRDefault="00200995" w:rsidP="000B3265">
            <w:pPr>
              <w:spacing w:before="100" w:beforeAutospacing="1" w:after="100" w:afterAutospacing="1"/>
            </w:pPr>
            <w:r w:rsidRPr="0010710F">
              <w:t>Projekta izpildes ietekme uz pārvaldes funkcijām un institucionālo struktūru. Jaunu institūciju izveide, esošu institūciju likvidācija vai reorganizācija, to ietekme uz institūcijas cilvēkresursiem</w:t>
            </w:r>
          </w:p>
        </w:tc>
        <w:tc>
          <w:tcPr>
            <w:tcW w:w="3328" w:type="dxa"/>
          </w:tcPr>
          <w:p w:rsidR="00200995" w:rsidRPr="0010710F" w:rsidRDefault="00200995" w:rsidP="00FF6D3E">
            <w:r w:rsidRPr="0010710F">
              <w:t>Projekts šo jomu neskar.</w:t>
            </w:r>
          </w:p>
        </w:tc>
      </w:tr>
      <w:tr w:rsidR="00200995" w:rsidRPr="0010710F" w:rsidTr="00106C0F">
        <w:trPr>
          <w:trHeight w:val="219"/>
        </w:trPr>
        <w:tc>
          <w:tcPr>
            <w:tcW w:w="426" w:type="dxa"/>
          </w:tcPr>
          <w:p w:rsidR="00200995" w:rsidRPr="0010710F" w:rsidRDefault="00200995" w:rsidP="004476BE">
            <w:r w:rsidRPr="0010710F">
              <w:t>3.</w:t>
            </w:r>
          </w:p>
        </w:tc>
        <w:tc>
          <w:tcPr>
            <w:tcW w:w="5244" w:type="dxa"/>
          </w:tcPr>
          <w:p w:rsidR="00200995" w:rsidRPr="0010710F" w:rsidRDefault="00200995" w:rsidP="00FF6D3E">
            <w:pPr>
              <w:spacing w:before="100" w:beforeAutospacing="1" w:after="100" w:afterAutospacing="1"/>
            </w:pPr>
            <w:r w:rsidRPr="0010710F">
              <w:t> Cita informācija</w:t>
            </w:r>
          </w:p>
        </w:tc>
        <w:tc>
          <w:tcPr>
            <w:tcW w:w="3328" w:type="dxa"/>
          </w:tcPr>
          <w:p w:rsidR="00200995" w:rsidRPr="0010710F" w:rsidRDefault="00200995" w:rsidP="00FF6D3E">
            <w:pPr>
              <w:spacing w:before="100" w:beforeAutospacing="1" w:after="100" w:afterAutospacing="1"/>
            </w:pPr>
            <w:r w:rsidRPr="0010710F">
              <w:t> Nav</w:t>
            </w:r>
          </w:p>
        </w:tc>
      </w:tr>
    </w:tbl>
    <w:p w:rsidR="00200995" w:rsidRPr="0010710F" w:rsidRDefault="00200995" w:rsidP="008F621A">
      <w:pPr>
        <w:jc w:val="center"/>
      </w:pPr>
    </w:p>
    <w:p w:rsidR="00200995" w:rsidRPr="0010710F" w:rsidRDefault="00200995" w:rsidP="00106C0F">
      <w:pPr>
        <w:ind w:firstLine="709"/>
      </w:pPr>
      <w:r w:rsidRPr="0010710F">
        <w:t>Anotācijas III, IV, V un VI sadaļa – projekts šīs jomas neskar.</w:t>
      </w:r>
    </w:p>
    <w:p w:rsidR="00200995" w:rsidRPr="0010710F" w:rsidRDefault="00200995" w:rsidP="008F621A"/>
    <w:p w:rsidR="00200995" w:rsidRPr="0010710F" w:rsidRDefault="00200995" w:rsidP="008F621A"/>
    <w:p w:rsidR="00200995" w:rsidRPr="0010710F" w:rsidRDefault="00200995" w:rsidP="00F72540">
      <w:r w:rsidRPr="0010710F">
        <w:t xml:space="preserve">Satiksmes ministrs  </w:t>
      </w:r>
      <w:r w:rsidRPr="0010710F">
        <w:tab/>
      </w:r>
      <w:r w:rsidRPr="0010710F">
        <w:tab/>
      </w:r>
      <w:r w:rsidRPr="0010710F">
        <w:tab/>
      </w:r>
      <w:r w:rsidRPr="0010710F">
        <w:tab/>
      </w:r>
      <w:r w:rsidRPr="0010710F">
        <w:tab/>
      </w:r>
      <w:r w:rsidRPr="0010710F">
        <w:tab/>
      </w:r>
      <w:r w:rsidRPr="0010710F">
        <w:tab/>
      </w:r>
      <w:r w:rsidRPr="0010710F">
        <w:tab/>
        <w:t>A. Matīss</w:t>
      </w:r>
      <w:r w:rsidRPr="0010710F">
        <w:tab/>
      </w:r>
    </w:p>
    <w:p w:rsidR="00200995" w:rsidRDefault="00200995" w:rsidP="00F72540"/>
    <w:p w:rsidR="00404553" w:rsidRDefault="00404553" w:rsidP="00F72540"/>
    <w:p w:rsidR="00404553" w:rsidRPr="0010710F" w:rsidRDefault="00404553" w:rsidP="00F72540"/>
    <w:p w:rsidR="00200995" w:rsidRDefault="00200995" w:rsidP="00F72540">
      <w:r w:rsidRPr="0010710F">
        <w:t xml:space="preserve">Vīza: </w:t>
      </w:r>
      <w:r w:rsidRPr="0010710F">
        <w:tab/>
        <w:t xml:space="preserve">Valsts sekretārs </w:t>
      </w:r>
      <w:r w:rsidRPr="0010710F">
        <w:tab/>
      </w:r>
      <w:r w:rsidRPr="0010710F">
        <w:tab/>
      </w:r>
      <w:r w:rsidRPr="0010710F">
        <w:tab/>
      </w:r>
      <w:r w:rsidRPr="0010710F">
        <w:tab/>
      </w:r>
      <w:r w:rsidRPr="0010710F">
        <w:tab/>
      </w:r>
      <w:r w:rsidRPr="0010710F">
        <w:tab/>
      </w:r>
      <w:r w:rsidRPr="0010710F">
        <w:tab/>
        <w:t>K. Ozoliņš</w:t>
      </w:r>
    </w:p>
    <w:p w:rsidR="00404553" w:rsidRPr="0010710F" w:rsidRDefault="00404553" w:rsidP="00F72540"/>
    <w:p w:rsidR="00200995" w:rsidRPr="0010710F" w:rsidRDefault="00200995" w:rsidP="00F72540"/>
    <w:p w:rsidR="00200995" w:rsidRPr="0010710F" w:rsidRDefault="00322838" w:rsidP="00F72540">
      <w:pPr>
        <w:rPr>
          <w:sz w:val="20"/>
          <w:szCs w:val="20"/>
        </w:rPr>
      </w:pPr>
      <w:r>
        <w:rPr>
          <w:sz w:val="20"/>
          <w:szCs w:val="20"/>
        </w:rPr>
        <w:t>0</w:t>
      </w:r>
      <w:r w:rsidR="006D54FE">
        <w:rPr>
          <w:sz w:val="20"/>
          <w:szCs w:val="20"/>
        </w:rPr>
        <w:t>8</w:t>
      </w:r>
      <w:r w:rsidR="00200995" w:rsidRPr="0010710F">
        <w:rPr>
          <w:sz w:val="20"/>
          <w:szCs w:val="20"/>
        </w:rPr>
        <w:t>.0</w:t>
      </w:r>
      <w:r>
        <w:rPr>
          <w:sz w:val="20"/>
          <w:szCs w:val="20"/>
        </w:rPr>
        <w:t>8</w:t>
      </w:r>
      <w:r w:rsidR="00200995" w:rsidRPr="0010710F">
        <w:rPr>
          <w:sz w:val="20"/>
          <w:szCs w:val="20"/>
        </w:rPr>
        <w:t xml:space="preserve">.2014.  </w:t>
      </w:r>
      <w:r>
        <w:rPr>
          <w:sz w:val="20"/>
          <w:szCs w:val="20"/>
        </w:rPr>
        <w:t>10</w:t>
      </w:r>
      <w:r w:rsidR="00200995" w:rsidRPr="0010710F">
        <w:rPr>
          <w:sz w:val="20"/>
          <w:szCs w:val="20"/>
        </w:rPr>
        <w:t>:20</w:t>
      </w:r>
    </w:p>
    <w:p w:rsidR="00200995" w:rsidRPr="0010710F" w:rsidRDefault="001C4CE9" w:rsidP="00F72540">
      <w:pPr>
        <w:rPr>
          <w:sz w:val="20"/>
          <w:szCs w:val="20"/>
        </w:rPr>
      </w:pPr>
      <w:r>
        <w:rPr>
          <w:sz w:val="20"/>
          <w:szCs w:val="20"/>
        </w:rPr>
        <w:t>1</w:t>
      </w:r>
      <w:r w:rsidR="006D54FE">
        <w:rPr>
          <w:sz w:val="20"/>
          <w:szCs w:val="20"/>
        </w:rPr>
        <w:t>62</w:t>
      </w:r>
      <w:r w:rsidR="00BA7E15">
        <w:rPr>
          <w:sz w:val="20"/>
          <w:szCs w:val="20"/>
        </w:rPr>
        <w:t>8</w:t>
      </w:r>
    </w:p>
    <w:p w:rsidR="00200995" w:rsidRPr="0010710F" w:rsidRDefault="00200995" w:rsidP="00F72540">
      <w:pPr>
        <w:rPr>
          <w:sz w:val="20"/>
          <w:szCs w:val="20"/>
        </w:rPr>
      </w:pPr>
      <w:r w:rsidRPr="0010710F">
        <w:rPr>
          <w:sz w:val="20"/>
          <w:szCs w:val="20"/>
        </w:rPr>
        <w:t>Maščinskis 67025726</w:t>
      </w:r>
    </w:p>
    <w:p w:rsidR="00200995" w:rsidRPr="0010710F" w:rsidRDefault="00200995" w:rsidP="00365E47">
      <w:pPr>
        <w:rPr>
          <w:lang w:eastAsia="en-US"/>
        </w:rPr>
      </w:pPr>
      <w:r w:rsidRPr="0010710F">
        <w:rPr>
          <w:sz w:val="20"/>
          <w:szCs w:val="20"/>
        </w:rPr>
        <w:t>ojars.mascinskis@csdd.gov.lv</w:t>
      </w:r>
    </w:p>
    <w:sectPr w:rsidR="00200995" w:rsidRPr="0010710F" w:rsidSect="00C77709">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B96" w:rsidRDefault="00641B96">
      <w:r>
        <w:separator/>
      </w:r>
    </w:p>
  </w:endnote>
  <w:endnote w:type="continuationSeparator" w:id="0">
    <w:p w:rsidR="00641B96" w:rsidRDefault="0064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95" w:rsidRDefault="00200995" w:rsidP="00106C0F">
    <w:pPr>
      <w:pStyle w:val="Footer"/>
      <w:jc w:val="both"/>
    </w:pPr>
    <w:r>
      <w:rPr>
        <w:sz w:val="20"/>
        <w:szCs w:val="20"/>
      </w:rPr>
      <w:t>SAM</w:t>
    </w:r>
    <w:r w:rsidRPr="00DE0B7D">
      <w:rPr>
        <w:sz w:val="20"/>
        <w:szCs w:val="20"/>
      </w:rPr>
      <w:t>Anot_</w:t>
    </w:r>
    <w:r w:rsidR="008F0650">
      <w:rPr>
        <w:sz w:val="20"/>
        <w:szCs w:val="20"/>
      </w:rPr>
      <w:t>310714</w:t>
    </w:r>
    <w:r w:rsidRPr="00DE0B7D">
      <w:rPr>
        <w:sz w:val="20"/>
        <w:szCs w:val="20"/>
      </w:rPr>
      <w:t>_</w:t>
    </w:r>
    <w:r>
      <w:rPr>
        <w:sz w:val="20"/>
        <w:szCs w:val="20"/>
      </w:rPr>
      <w:t>groz619</w:t>
    </w:r>
    <w:r w:rsidRPr="00DE0B7D">
      <w:rPr>
        <w:sz w:val="20"/>
        <w:szCs w:val="20"/>
      </w:rPr>
      <w:t xml:space="preserve">; </w:t>
    </w:r>
    <w:r w:rsidRPr="007C41D0">
      <w:rPr>
        <w:sz w:val="20"/>
        <w:szCs w:val="20"/>
      </w:rPr>
      <w:t>Ministru kabineta noteikumu projekta „Grozījum</w:t>
    </w:r>
    <w:r>
      <w:rPr>
        <w:sz w:val="20"/>
        <w:szCs w:val="20"/>
      </w:rPr>
      <w:t>i Ministru kabineta 2012</w:t>
    </w:r>
    <w:r w:rsidRPr="007C41D0">
      <w:rPr>
        <w:sz w:val="20"/>
        <w:szCs w:val="20"/>
      </w:rPr>
      <w:t xml:space="preserve">.gada </w:t>
    </w:r>
    <w:r>
      <w:rPr>
        <w:sz w:val="20"/>
        <w:szCs w:val="20"/>
      </w:rPr>
      <w:t>4.septembra</w:t>
    </w:r>
    <w:r w:rsidRPr="007C41D0">
      <w:rPr>
        <w:sz w:val="20"/>
        <w:szCs w:val="20"/>
      </w:rPr>
      <w:t xml:space="preserve"> noteikumos Nr.</w:t>
    </w:r>
    <w:r>
      <w:rPr>
        <w:sz w:val="20"/>
        <w:szCs w:val="20"/>
      </w:rPr>
      <w:t>619</w:t>
    </w:r>
    <w:r w:rsidRPr="007C41D0">
      <w:rPr>
        <w:sz w:val="20"/>
        <w:szCs w:val="20"/>
      </w:rPr>
      <w:t xml:space="preserve"> „</w:t>
    </w:r>
    <w:r>
      <w:rPr>
        <w:sz w:val="20"/>
        <w:szCs w:val="20"/>
      </w:rPr>
      <w:t>Noteikumi par atpūtas kuģu vadītāju apmācību, sertificēšanu un reģistrāciju””</w:t>
    </w:r>
    <w:r w:rsidRPr="007C41D0">
      <w:rPr>
        <w:sz w:val="20"/>
        <w:szCs w:val="20"/>
      </w:rPr>
      <w:t xml:space="preserve"> sākotnējās ietekmes n</w:t>
    </w:r>
    <w:r>
      <w:rPr>
        <w:sz w:val="20"/>
        <w:szCs w:val="20"/>
      </w:rPr>
      <w:t>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95" w:rsidRPr="009F3C4D" w:rsidRDefault="00200995" w:rsidP="009F3C4D">
    <w:pPr>
      <w:pStyle w:val="Footer"/>
      <w:jc w:val="both"/>
      <w:rPr>
        <w:sz w:val="20"/>
        <w:szCs w:val="20"/>
      </w:rPr>
    </w:pPr>
    <w:r>
      <w:rPr>
        <w:sz w:val="20"/>
        <w:szCs w:val="20"/>
      </w:rPr>
      <w:t>SAM</w:t>
    </w:r>
    <w:r w:rsidRPr="00DE0B7D">
      <w:rPr>
        <w:sz w:val="20"/>
        <w:szCs w:val="20"/>
      </w:rPr>
      <w:t>Anot_</w:t>
    </w:r>
    <w:r w:rsidR="008F0650">
      <w:rPr>
        <w:sz w:val="20"/>
        <w:szCs w:val="20"/>
      </w:rPr>
      <w:t>310714</w:t>
    </w:r>
    <w:r w:rsidRPr="00DE0B7D">
      <w:rPr>
        <w:sz w:val="20"/>
        <w:szCs w:val="20"/>
      </w:rPr>
      <w:t>_</w:t>
    </w:r>
    <w:r>
      <w:rPr>
        <w:sz w:val="20"/>
        <w:szCs w:val="20"/>
      </w:rPr>
      <w:t>groz619</w:t>
    </w:r>
    <w:r w:rsidRPr="00DE0B7D">
      <w:rPr>
        <w:sz w:val="20"/>
        <w:szCs w:val="20"/>
      </w:rPr>
      <w:t xml:space="preserve">; </w:t>
    </w:r>
    <w:r w:rsidRPr="007C41D0">
      <w:rPr>
        <w:sz w:val="20"/>
        <w:szCs w:val="20"/>
      </w:rPr>
      <w:t>Ministru kabineta noteikumu projekta „Grozījum</w:t>
    </w:r>
    <w:r>
      <w:rPr>
        <w:sz w:val="20"/>
        <w:szCs w:val="20"/>
      </w:rPr>
      <w:t>i Ministru kabineta 2012</w:t>
    </w:r>
    <w:r w:rsidRPr="007C41D0">
      <w:rPr>
        <w:sz w:val="20"/>
        <w:szCs w:val="20"/>
      </w:rPr>
      <w:t xml:space="preserve">.gada </w:t>
    </w:r>
    <w:r>
      <w:rPr>
        <w:sz w:val="20"/>
        <w:szCs w:val="20"/>
      </w:rPr>
      <w:t>4.septembra</w:t>
    </w:r>
    <w:r w:rsidRPr="007C41D0">
      <w:rPr>
        <w:sz w:val="20"/>
        <w:szCs w:val="20"/>
      </w:rPr>
      <w:t xml:space="preserve"> noteikumos Nr.</w:t>
    </w:r>
    <w:r>
      <w:rPr>
        <w:sz w:val="20"/>
        <w:szCs w:val="20"/>
      </w:rPr>
      <w:t>619</w:t>
    </w:r>
    <w:r w:rsidRPr="007C41D0">
      <w:rPr>
        <w:sz w:val="20"/>
        <w:szCs w:val="20"/>
      </w:rPr>
      <w:t xml:space="preserve"> „</w:t>
    </w:r>
    <w:r>
      <w:rPr>
        <w:sz w:val="20"/>
        <w:szCs w:val="20"/>
      </w:rPr>
      <w:t>Noteikumi par atpūtas kuģu vadītāju apmācību, sertificēšanu un reģistrāciju””</w:t>
    </w:r>
    <w:r w:rsidRPr="007C41D0">
      <w:rPr>
        <w:sz w:val="20"/>
        <w:szCs w:val="20"/>
      </w:rPr>
      <w:t xml:space="preserve"> sākotnējās ietekmes n</w:t>
    </w:r>
    <w:r>
      <w:rPr>
        <w:sz w:val="20"/>
        <w:szCs w:val="20"/>
      </w:rPr>
      <w:t>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B96" w:rsidRDefault="00641B96">
      <w:r>
        <w:separator/>
      </w:r>
    </w:p>
  </w:footnote>
  <w:footnote w:type="continuationSeparator" w:id="0">
    <w:p w:rsidR="00641B96" w:rsidRDefault="00641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95" w:rsidRDefault="00200995" w:rsidP="009F22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0995" w:rsidRDefault="002009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95" w:rsidRDefault="00200995" w:rsidP="009F22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414D">
      <w:rPr>
        <w:rStyle w:val="PageNumber"/>
        <w:noProof/>
      </w:rPr>
      <w:t>5</w:t>
    </w:r>
    <w:r>
      <w:rPr>
        <w:rStyle w:val="PageNumber"/>
      </w:rPr>
      <w:fldChar w:fldCharType="end"/>
    </w:r>
  </w:p>
  <w:p w:rsidR="00200995" w:rsidRDefault="00200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57A4"/>
    <w:multiLevelType w:val="hybridMultilevel"/>
    <w:tmpl w:val="DC0AE42C"/>
    <w:lvl w:ilvl="0" w:tplc="743247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3D30BCB"/>
    <w:multiLevelType w:val="hybridMultilevel"/>
    <w:tmpl w:val="616CDEDC"/>
    <w:lvl w:ilvl="0" w:tplc="F77C13F0">
      <w:start w:val="22"/>
      <w:numFmt w:val="bullet"/>
      <w:lvlText w:val="-"/>
      <w:lvlJc w:val="left"/>
      <w:pPr>
        <w:ind w:left="927" w:hanging="360"/>
      </w:pPr>
      <w:rPr>
        <w:rFonts w:ascii="Times New Roman" w:eastAsia="Times New Roman" w:hAnsi="Times New Roman" w:hint="default"/>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nsid w:val="5A3B4E53"/>
    <w:multiLevelType w:val="hybridMultilevel"/>
    <w:tmpl w:val="04906C98"/>
    <w:lvl w:ilvl="0" w:tplc="156E5A2E">
      <w:start w:val="7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BB5493D"/>
    <w:multiLevelType w:val="hybridMultilevel"/>
    <w:tmpl w:val="CB20153A"/>
    <w:lvl w:ilvl="0" w:tplc="743247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1A"/>
    <w:rsid w:val="00003A25"/>
    <w:rsid w:val="00010F53"/>
    <w:rsid w:val="00011DF0"/>
    <w:rsid w:val="00025847"/>
    <w:rsid w:val="000366E0"/>
    <w:rsid w:val="00061EA9"/>
    <w:rsid w:val="00067556"/>
    <w:rsid w:val="000710BC"/>
    <w:rsid w:val="00081E77"/>
    <w:rsid w:val="00095420"/>
    <w:rsid w:val="000A3753"/>
    <w:rsid w:val="000A6340"/>
    <w:rsid w:val="000B3265"/>
    <w:rsid w:val="000B5953"/>
    <w:rsid w:val="000D6617"/>
    <w:rsid w:val="000E2180"/>
    <w:rsid w:val="000E75E9"/>
    <w:rsid w:val="000F5094"/>
    <w:rsid w:val="00105F13"/>
    <w:rsid w:val="00106C0F"/>
    <w:rsid w:val="0010710F"/>
    <w:rsid w:val="0010746E"/>
    <w:rsid w:val="001250FB"/>
    <w:rsid w:val="00145E14"/>
    <w:rsid w:val="00170393"/>
    <w:rsid w:val="001A70DD"/>
    <w:rsid w:val="001B2444"/>
    <w:rsid w:val="001C37EB"/>
    <w:rsid w:val="001C4CE9"/>
    <w:rsid w:val="001E199F"/>
    <w:rsid w:val="001E4354"/>
    <w:rsid w:val="00200995"/>
    <w:rsid w:val="00202B68"/>
    <w:rsid w:val="002125C0"/>
    <w:rsid w:val="00233F17"/>
    <w:rsid w:val="00235A54"/>
    <w:rsid w:val="0026016C"/>
    <w:rsid w:val="00264C7C"/>
    <w:rsid w:val="00277010"/>
    <w:rsid w:val="0027762C"/>
    <w:rsid w:val="00277B4A"/>
    <w:rsid w:val="002830E5"/>
    <w:rsid w:val="00295B20"/>
    <w:rsid w:val="002D0DBD"/>
    <w:rsid w:val="002D22B8"/>
    <w:rsid w:val="00321ABE"/>
    <w:rsid w:val="003222B4"/>
    <w:rsid w:val="00322838"/>
    <w:rsid w:val="0033432F"/>
    <w:rsid w:val="00341933"/>
    <w:rsid w:val="00354DDC"/>
    <w:rsid w:val="003555E6"/>
    <w:rsid w:val="00365E47"/>
    <w:rsid w:val="003857F2"/>
    <w:rsid w:val="00391F94"/>
    <w:rsid w:val="003933AC"/>
    <w:rsid w:val="003945F2"/>
    <w:rsid w:val="003A696A"/>
    <w:rsid w:val="003C07AB"/>
    <w:rsid w:val="003C7122"/>
    <w:rsid w:val="003D2D89"/>
    <w:rsid w:val="003D4046"/>
    <w:rsid w:val="003D532B"/>
    <w:rsid w:val="003E648C"/>
    <w:rsid w:val="003F2B43"/>
    <w:rsid w:val="003F7877"/>
    <w:rsid w:val="00404553"/>
    <w:rsid w:val="00422AB2"/>
    <w:rsid w:val="004230E1"/>
    <w:rsid w:val="00433716"/>
    <w:rsid w:val="00434306"/>
    <w:rsid w:val="00440828"/>
    <w:rsid w:val="00446145"/>
    <w:rsid w:val="00446176"/>
    <w:rsid w:val="004476BE"/>
    <w:rsid w:val="004702D1"/>
    <w:rsid w:val="00481F99"/>
    <w:rsid w:val="004A7435"/>
    <w:rsid w:val="004B0375"/>
    <w:rsid w:val="004B3FF6"/>
    <w:rsid w:val="004B7C11"/>
    <w:rsid w:val="004C645E"/>
    <w:rsid w:val="004C76EA"/>
    <w:rsid w:val="00507B8D"/>
    <w:rsid w:val="005119EC"/>
    <w:rsid w:val="00512909"/>
    <w:rsid w:val="00535C39"/>
    <w:rsid w:val="00536C21"/>
    <w:rsid w:val="005551CE"/>
    <w:rsid w:val="005679B6"/>
    <w:rsid w:val="00580780"/>
    <w:rsid w:val="00582A49"/>
    <w:rsid w:val="0059414D"/>
    <w:rsid w:val="005A0BC9"/>
    <w:rsid w:val="005A6C42"/>
    <w:rsid w:val="005B14EE"/>
    <w:rsid w:val="005C1086"/>
    <w:rsid w:val="005C1912"/>
    <w:rsid w:val="005D6472"/>
    <w:rsid w:val="005E4D43"/>
    <w:rsid w:val="005E54D0"/>
    <w:rsid w:val="005F5B47"/>
    <w:rsid w:val="00602368"/>
    <w:rsid w:val="00610386"/>
    <w:rsid w:val="006322A9"/>
    <w:rsid w:val="0063751B"/>
    <w:rsid w:val="00641B96"/>
    <w:rsid w:val="0066145B"/>
    <w:rsid w:val="0066500A"/>
    <w:rsid w:val="006801F7"/>
    <w:rsid w:val="006A53C7"/>
    <w:rsid w:val="006B2D36"/>
    <w:rsid w:val="006C367C"/>
    <w:rsid w:val="006D0DA2"/>
    <w:rsid w:val="006D54FE"/>
    <w:rsid w:val="006E4625"/>
    <w:rsid w:val="00710634"/>
    <w:rsid w:val="00712B46"/>
    <w:rsid w:val="00730427"/>
    <w:rsid w:val="00746A34"/>
    <w:rsid w:val="00746E38"/>
    <w:rsid w:val="007662C5"/>
    <w:rsid w:val="00772E2D"/>
    <w:rsid w:val="007741BC"/>
    <w:rsid w:val="0078279B"/>
    <w:rsid w:val="00784259"/>
    <w:rsid w:val="007844DD"/>
    <w:rsid w:val="00786D27"/>
    <w:rsid w:val="007948D5"/>
    <w:rsid w:val="007A7EBA"/>
    <w:rsid w:val="007B3BDB"/>
    <w:rsid w:val="007B7654"/>
    <w:rsid w:val="007C41D0"/>
    <w:rsid w:val="007D4178"/>
    <w:rsid w:val="007E0930"/>
    <w:rsid w:val="007E2D0C"/>
    <w:rsid w:val="007E6934"/>
    <w:rsid w:val="007F2CD8"/>
    <w:rsid w:val="00801448"/>
    <w:rsid w:val="00805AF6"/>
    <w:rsid w:val="00810F69"/>
    <w:rsid w:val="00812FEA"/>
    <w:rsid w:val="00813937"/>
    <w:rsid w:val="008170FB"/>
    <w:rsid w:val="00823AE8"/>
    <w:rsid w:val="0082496B"/>
    <w:rsid w:val="008359EF"/>
    <w:rsid w:val="008417C2"/>
    <w:rsid w:val="0085619B"/>
    <w:rsid w:val="0087247E"/>
    <w:rsid w:val="00872E24"/>
    <w:rsid w:val="00881135"/>
    <w:rsid w:val="00884039"/>
    <w:rsid w:val="00893935"/>
    <w:rsid w:val="0089476D"/>
    <w:rsid w:val="008956F8"/>
    <w:rsid w:val="00896127"/>
    <w:rsid w:val="008A39AB"/>
    <w:rsid w:val="008A4F10"/>
    <w:rsid w:val="008A7DCD"/>
    <w:rsid w:val="008B1111"/>
    <w:rsid w:val="008B1F08"/>
    <w:rsid w:val="008B7381"/>
    <w:rsid w:val="008C13BE"/>
    <w:rsid w:val="008C75D5"/>
    <w:rsid w:val="008D1192"/>
    <w:rsid w:val="008D1DA0"/>
    <w:rsid w:val="008D79DC"/>
    <w:rsid w:val="008E478B"/>
    <w:rsid w:val="008E58A6"/>
    <w:rsid w:val="008F0650"/>
    <w:rsid w:val="008F621A"/>
    <w:rsid w:val="00912706"/>
    <w:rsid w:val="0092564D"/>
    <w:rsid w:val="009378BE"/>
    <w:rsid w:val="00946C43"/>
    <w:rsid w:val="00947514"/>
    <w:rsid w:val="00953C20"/>
    <w:rsid w:val="009648C3"/>
    <w:rsid w:val="009707C2"/>
    <w:rsid w:val="009B1315"/>
    <w:rsid w:val="009C29FA"/>
    <w:rsid w:val="009D59B2"/>
    <w:rsid w:val="009E3AD7"/>
    <w:rsid w:val="009F2296"/>
    <w:rsid w:val="009F3C4D"/>
    <w:rsid w:val="00A04EDF"/>
    <w:rsid w:val="00A11D58"/>
    <w:rsid w:val="00A20BDB"/>
    <w:rsid w:val="00A20D25"/>
    <w:rsid w:val="00A2250E"/>
    <w:rsid w:val="00A52E1D"/>
    <w:rsid w:val="00A532BB"/>
    <w:rsid w:val="00A56D1F"/>
    <w:rsid w:val="00A6771C"/>
    <w:rsid w:val="00A81150"/>
    <w:rsid w:val="00AA7159"/>
    <w:rsid w:val="00AA75F2"/>
    <w:rsid w:val="00AB6580"/>
    <w:rsid w:val="00AD40F6"/>
    <w:rsid w:val="00AD62D0"/>
    <w:rsid w:val="00AE4B39"/>
    <w:rsid w:val="00AF66DB"/>
    <w:rsid w:val="00AF7685"/>
    <w:rsid w:val="00B42B01"/>
    <w:rsid w:val="00B47592"/>
    <w:rsid w:val="00B50DAB"/>
    <w:rsid w:val="00B72287"/>
    <w:rsid w:val="00B80218"/>
    <w:rsid w:val="00B87CAF"/>
    <w:rsid w:val="00B9375A"/>
    <w:rsid w:val="00BA26E0"/>
    <w:rsid w:val="00BA28CC"/>
    <w:rsid w:val="00BA7E15"/>
    <w:rsid w:val="00BC4DE2"/>
    <w:rsid w:val="00BD4303"/>
    <w:rsid w:val="00BE0C0E"/>
    <w:rsid w:val="00C07A0E"/>
    <w:rsid w:val="00C243C4"/>
    <w:rsid w:val="00C2587F"/>
    <w:rsid w:val="00C31464"/>
    <w:rsid w:val="00C34C0A"/>
    <w:rsid w:val="00C35832"/>
    <w:rsid w:val="00C40416"/>
    <w:rsid w:val="00C44481"/>
    <w:rsid w:val="00C44DD9"/>
    <w:rsid w:val="00C557B4"/>
    <w:rsid w:val="00C71215"/>
    <w:rsid w:val="00C71759"/>
    <w:rsid w:val="00C77709"/>
    <w:rsid w:val="00C820DD"/>
    <w:rsid w:val="00C85FB2"/>
    <w:rsid w:val="00C90891"/>
    <w:rsid w:val="00C91369"/>
    <w:rsid w:val="00C962C8"/>
    <w:rsid w:val="00C96F72"/>
    <w:rsid w:val="00CA63B7"/>
    <w:rsid w:val="00CB140D"/>
    <w:rsid w:val="00CB18D3"/>
    <w:rsid w:val="00CB3EB3"/>
    <w:rsid w:val="00CB5969"/>
    <w:rsid w:val="00CB6C48"/>
    <w:rsid w:val="00CC1285"/>
    <w:rsid w:val="00CD6633"/>
    <w:rsid w:val="00CE304C"/>
    <w:rsid w:val="00CE77B5"/>
    <w:rsid w:val="00CF05DA"/>
    <w:rsid w:val="00CF43B4"/>
    <w:rsid w:val="00CF6B66"/>
    <w:rsid w:val="00D16BE2"/>
    <w:rsid w:val="00D2537C"/>
    <w:rsid w:val="00D27E15"/>
    <w:rsid w:val="00D3243F"/>
    <w:rsid w:val="00D33FA3"/>
    <w:rsid w:val="00D416B8"/>
    <w:rsid w:val="00D4251E"/>
    <w:rsid w:val="00D6061C"/>
    <w:rsid w:val="00D6245C"/>
    <w:rsid w:val="00D635E2"/>
    <w:rsid w:val="00D862B3"/>
    <w:rsid w:val="00D870BE"/>
    <w:rsid w:val="00D91A5D"/>
    <w:rsid w:val="00D93C56"/>
    <w:rsid w:val="00D951E7"/>
    <w:rsid w:val="00DB4973"/>
    <w:rsid w:val="00DC2FFA"/>
    <w:rsid w:val="00DE0B7D"/>
    <w:rsid w:val="00DE5BED"/>
    <w:rsid w:val="00E0214A"/>
    <w:rsid w:val="00E02900"/>
    <w:rsid w:val="00E0697A"/>
    <w:rsid w:val="00E26224"/>
    <w:rsid w:val="00E31C23"/>
    <w:rsid w:val="00E33D4B"/>
    <w:rsid w:val="00E64072"/>
    <w:rsid w:val="00E653D8"/>
    <w:rsid w:val="00E74B20"/>
    <w:rsid w:val="00E75EF8"/>
    <w:rsid w:val="00E774F2"/>
    <w:rsid w:val="00E84230"/>
    <w:rsid w:val="00E84DB8"/>
    <w:rsid w:val="00E858F5"/>
    <w:rsid w:val="00EA27AA"/>
    <w:rsid w:val="00ED7A9A"/>
    <w:rsid w:val="00F03F74"/>
    <w:rsid w:val="00F10776"/>
    <w:rsid w:val="00F1285D"/>
    <w:rsid w:val="00F15292"/>
    <w:rsid w:val="00F254A0"/>
    <w:rsid w:val="00F43E04"/>
    <w:rsid w:val="00F46174"/>
    <w:rsid w:val="00F50447"/>
    <w:rsid w:val="00F50BC2"/>
    <w:rsid w:val="00F51036"/>
    <w:rsid w:val="00F576BB"/>
    <w:rsid w:val="00F7248C"/>
    <w:rsid w:val="00F72540"/>
    <w:rsid w:val="00F86135"/>
    <w:rsid w:val="00F91A4A"/>
    <w:rsid w:val="00F94F2E"/>
    <w:rsid w:val="00FA2CB6"/>
    <w:rsid w:val="00FC278D"/>
    <w:rsid w:val="00FC5533"/>
    <w:rsid w:val="00FC68CF"/>
    <w:rsid w:val="00FD1053"/>
    <w:rsid w:val="00FF6D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F621A"/>
    <w:rPr>
      <w:rFonts w:cs="Times New Roman"/>
      <w:sz w:val="16"/>
    </w:rPr>
  </w:style>
  <w:style w:type="paragraph" w:styleId="CommentText">
    <w:name w:val="annotation text"/>
    <w:basedOn w:val="Normal"/>
    <w:link w:val="CommentTextChar"/>
    <w:uiPriority w:val="99"/>
    <w:semiHidden/>
    <w:rsid w:val="008F621A"/>
    <w:rPr>
      <w:sz w:val="20"/>
      <w:szCs w:val="20"/>
    </w:rPr>
  </w:style>
  <w:style w:type="character" w:customStyle="1" w:styleId="CommentTextChar">
    <w:name w:val="Comment Text Char"/>
    <w:basedOn w:val="DefaultParagraphFont"/>
    <w:link w:val="CommentText"/>
    <w:uiPriority w:val="99"/>
    <w:semiHidden/>
    <w:locked/>
    <w:rsid w:val="00E26224"/>
    <w:rPr>
      <w:rFonts w:cs="Times New Roman"/>
    </w:rPr>
  </w:style>
  <w:style w:type="paragraph" w:styleId="BalloonText">
    <w:name w:val="Balloon Text"/>
    <w:basedOn w:val="Normal"/>
    <w:link w:val="BalloonTextChar"/>
    <w:uiPriority w:val="99"/>
    <w:semiHidden/>
    <w:rsid w:val="008F621A"/>
    <w:rPr>
      <w:rFonts w:ascii="Tahoma" w:hAnsi="Tahoma" w:cs="Tahoma"/>
      <w:sz w:val="16"/>
      <w:szCs w:val="16"/>
    </w:rPr>
  </w:style>
  <w:style w:type="character" w:customStyle="1" w:styleId="BalloonTextChar">
    <w:name w:val="Balloon Text Char"/>
    <w:basedOn w:val="DefaultParagraphFont"/>
    <w:link w:val="BalloonText"/>
    <w:uiPriority w:val="99"/>
    <w:semiHidden/>
    <w:rsid w:val="00A72F1C"/>
    <w:rPr>
      <w:sz w:val="0"/>
      <w:szCs w:val="0"/>
    </w:rPr>
  </w:style>
  <w:style w:type="character" w:styleId="Hyperlink">
    <w:name w:val="Hyperlink"/>
    <w:basedOn w:val="DefaultParagraphFont"/>
    <w:uiPriority w:val="99"/>
    <w:rsid w:val="008F621A"/>
    <w:rPr>
      <w:rFonts w:cs="Times New Roman"/>
      <w:color w:val="0000FF"/>
      <w:u w:val="single"/>
    </w:rPr>
  </w:style>
  <w:style w:type="paragraph" w:styleId="Header">
    <w:name w:val="header"/>
    <w:basedOn w:val="Normal"/>
    <w:link w:val="HeaderChar"/>
    <w:uiPriority w:val="99"/>
    <w:rsid w:val="008F621A"/>
    <w:pPr>
      <w:tabs>
        <w:tab w:val="center" w:pos="4153"/>
        <w:tab w:val="right" w:pos="8306"/>
      </w:tabs>
    </w:pPr>
  </w:style>
  <w:style w:type="character" w:customStyle="1" w:styleId="HeaderChar">
    <w:name w:val="Header Char"/>
    <w:basedOn w:val="DefaultParagraphFont"/>
    <w:link w:val="Header"/>
    <w:uiPriority w:val="99"/>
    <w:semiHidden/>
    <w:rsid w:val="00A72F1C"/>
    <w:rPr>
      <w:sz w:val="24"/>
      <w:szCs w:val="24"/>
    </w:rPr>
  </w:style>
  <w:style w:type="paragraph" w:styleId="Footer">
    <w:name w:val="footer"/>
    <w:basedOn w:val="Normal"/>
    <w:link w:val="FooterChar"/>
    <w:uiPriority w:val="99"/>
    <w:rsid w:val="008F621A"/>
    <w:pPr>
      <w:tabs>
        <w:tab w:val="center" w:pos="4153"/>
        <w:tab w:val="right" w:pos="8306"/>
      </w:tabs>
    </w:pPr>
  </w:style>
  <w:style w:type="character" w:customStyle="1" w:styleId="FooterChar">
    <w:name w:val="Footer Char"/>
    <w:basedOn w:val="DefaultParagraphFont"/>
    <w:link w:val="Footer"/>
    <w:uiPriority w:val="99"/>
    <w:locked/>
    <w:rsid w:val="008F621A"/>
    <w:rPr>
      <w:sz w:val="24"/>
      <w:lang w:val="lv-LV" w:eastAsia="lv-LV"/>
    </w:rPr>
  </w:style>
  <w:style w:type="character" w:styleId="PageNumber">
    <w:name w:val="page number"/>
    <w:basedOn w:val="DefaultParagraphFont"/>
    <w:uiPriority w:val="99"/>
    <w:rsid w:val="00602368"/>
    <w:rPr>
      <w:rFonts w:cs="Times New Roman"/>
    </w:rPr>
  </w:style>
  <w:style w:type="character" w:styleId="FollowedHyperlink">
    <w:name w:val="FollowedHyperlink"/>
    <w:basedOn w:val="DefaultParagraphFont"/>
    <w:uiPriority w:val="99"/>
    <w:rsid w:val="005119EC"/>
    <w:rPr>
      <w:rFonts w:cs="Times New Roman"/>
      <w:color w:val="800080"/>
      <w:u w:val="single"/>
    </w:rPr>
  </w:style>
  <w:style w:type="paragraph" w:styleId="NoSpacing">
    <w:name w:val="No Spacing"/>
    <w:uiPriority w:val="99"/>
    <w:qFormat/>
    <w:rsid w:val="00C71215"/>
    <w:rPr>
      <w:rFonts w:ascii="Calibri" w:hAnsi="Calibri"/>
      <w:lang w:eastAsia="en-US"/>
    </w:rPr>
  </w:style>
  <w:style w:type="paragraph" w:styleId="CommentSubject">
    <w:name w:val="annotation subject"/>
    <w:basedOn w:val="CommentText"/>
    <w:next w:val="CommentText"/>
    <w:link w:val="CommentSubjectChar"/>
    <w:uiPriority w:val="99"/>
    <w:rsid w:val="00E26224"/>
    <w:rPr>
      <w:b/>
      <w:bCs/>
    </w:rPr>
  </w:style>
  <w:style w:type="character" w:customStyle="1" w:styleId="CommentSubjectChar">
    <w:name w:val="Comment Subject Char"/>
    <w:basedOn w:val="CommentTextChar"/>
    <w:link w:val="CommentSubject"/>
    <w:uiPriority w:val="99"/>
    <w:locked/>
    <w:rsid w:val="00E26224"/>
    <w:rPr>
      <w:rFonts w:cs="Times New Roman"/>
      <w:b/>
    </w:rPr>
  </w:style>
  <w:style w:type="paragraph" w:styleId="ListParagraph">
    <w:name w:val="List Paragraph"/>
    <w:basedOn w:val="Normal"/>
    <w:uiPriority w:val="34"/>
    <w:qFormat/>
    <w:rsid w:val="008561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F621A"/>
    <w:rPr>
      <w:rFonts w:cs="Times New Roman"/>
      <w:sz w:val="16"/>
    </w:rPr>
  </w:style>
  <w:style w:type="paragraph" w:styleId="CommentText">
    <w:name w:val="annotation text"/>
    <w:basedOn w:val="Normal"/>
    <w:link w:val="CommentTextChar"/>
    <w:uiPriority w:val="99"/>
    <w:semiHidden/>
    <w:rsid w:val="008F621A"/>
    <w:rPr>
      <w:sz w:val="20"/>
      <w:szCs w:val="20"/>
    </w:rPr>
  </w:style>
  <w:style w:type="character" w:customStyle="1" w:styleId="CommentTextChar">
    <w:name w:val="Comment Text Char"/>
    <w:basedOn w:val="DefaultParagraphFont"/>
    <w:link w:val="CommentText"/>
    <w:uiPriority w:val="99"/>
    <w:semiHidden/>
    <w:locked/>
    <w:rsid w:val="00E26224"/>
    <w:rPr>
      <w:rFonts w:cs="Times New Roman"/>
    </w:rPr>
  </w:style>
  <w:style w:type="paragraph" w:styleId="BalloonText">
    <w:name w:val="Balloon Text"/>
    <w:basedOn w:val="Normal"/>
    <w:link w:val="BalloonTextChar"/>
    <w:uiPriority w:val="99"/>
    <w:semiHidden/>
    <w:rsid w:val="008F621A"/>
    <w:rPr>
      <w:rFonts w:ascii="Tahoma" w:hAnsi="Tahoma" w:cs="Tahoma"/>
      <w:sz w:val="16"/>
      <w:szCs w:val="16"/>
    </w:rPr>
  </w:style>
  <w:style w:type="character" w:customStyle="1" w:styleId="BalloonTextChar">
    <w:name w:val="Balloon Text Char"/>
    <w:basedOn w:val="DefaultParagraphFont"/>
    <w:link w:val="BalloonText"/>
    <w:uiPriority w:val="99"/>
    <w:semiHidden/>
    <w:rsid w:val="00A72F1C"/>
    <w:rPr>
      <w:sz w:val="0"/>
      <w:szCs w:val="0"/>
    </w:rPr>
  </w:style>
  <w:style w:type="character" w:styleId="Hyperlink">
    <w:name w:val="Hyperlink"/>
    <w:basedOn w:val="DefaultParagraphFont"/>
    <w:uiPriority w:val="99"/>
    <w:rsid w:val="008F621A"/>
    <w:rPr>
      <w:rFonts w:cs="Times New Roman"/>
      <w:color w:val="0000FF"/>
      <w:u w:val="single"/>
    </w:rPr>
  </w:style>
  <w:style w:type="paragraph" w:styleId="Header">
    <w:name w:val="header"/>
    <w:basedOn w:val="Normal"/>
    <w:link w:val="HeaderChar"/>
    <w:uiPriority w:val="99"/>
    <w:rsid w:val="008F621A"/>
    <w:pPr>
      <w:tabs>
        <w:tab w:val="center" w:pos="4153"/>
        <w:tab w:val="right" w:pos="8306"/>
      </w:tabs>
    </w:pPr>
  </w:style>
  <w:style w:type="character" w:customStyle="1" w:styleId="HeaderChar">
    <w:name w:val="Header Char"/>
    <w:basedOn w:val="DefaultParagraphFont"/>
    <w:link w:val="Header"/>
    <w:uiPriority w:val="99"/>
    <w:semiHidden/>
    <w:rsid w:val="00A72F1C"/>
    <w:rPr>
      <w:sz w:val="24"/>
      <w:szCs w:val="24"/>
    </w:rPr>
  </w:style>
  <w:style w:type="paragraph" w:styleId="Footer">
    <w:name w:val="footer"/>
    <w:basedOn w:val="Normal"/>
    <w:link w:val="FooterChar"/>
    <w:uiPriority w:val="99"/>
    <w:rsid w:val="008F621A"/>
    <w:pPr>
      <w:tabs>
        <w:tab w:val="center" w:pos="4153"/>
        <w:tab w:val="right" w:pos="8306"/>
      </w:tabs>
    </w:pPr>
  </w:style>
  <w:style w:type="character" w:customStyle="1" w:styleId="FooterChar">
    <w:name w:val="Footer Char"/>
    <w:basedOn w:val="DefaultParagraphFont"/>
    <w:link w:val="Footer"/>
    <w:uiPriority w:val="99"/>
    <w:locked/>
    <w:rsid w:val="008F621A"/>
    <w:rPr>
      <w:sz w:val="24"/>
      <w:lang w:val="lv-LV" w:eastAsia="lv-LV"/>
    </w:rPr>
  </w:style>
  <w:style w:type="character" w:styleId="PageNumber">
    <w:name w:val="page number"/>
    <w:basedOn w:val="DefaultParagraphFont"/>
    <w:uiPriority w:val="99"/>
    <w:rsid w:val="00602368"/>
    <w:rPr>
      <w:rFonts w:cs="Times New Roman"/>
    </w:rPr>
  </w:style>
  <w:style w:type="character" w:styleId="FollowedHyperlink">
    <w:name w:val="FollowedHyperlink"/>
    <w:basedOn w:val="DefaultParagraphFont"/>
    <w:uiPriority w:val="99"/>
    <w:rsid w:val="005119EC"/>
    <w:rPr>
      <w:rFonts w:cs="Times New Roman"/>
      <w:color w:val="800080"/>
      <w:u w:val="single"/>
    </w:rPr>
  </w:style>
  <w:style w:type="paragraph" w:styleId="NoSpacing">
    <w:name w:val="No Spacing"/>
    <w:uiPriority w:val="99"/>
    <w:qFormat/>
    <w:rsid w:val="00C71215"/>
    <w:rPr>
      <w:rFonts w:ascii="Calibri" w:hAnsi="Calibri"/>
      <w:lang w:eastAsia="en-US"/>
    </w:rPr>
  </w:style>
  <w:style w:type="paragraph" w:styleId="CommentSubject">
    <w:name w:val="annotation subject"/>
    <w:basedOn w:val="CommentText"/>
    <w:next w:val="CommentText"/>
    <w:link w:val="CommentSubjectChar"/>
    <w:uiPriority w:val="99"/>
    <w:rsid w:val="00E26224"/>
    <w:rPr>
      <w:b/>
      <w:bCs/>
    </w:rPr>
  </w:style>
  <w:style w:type="character" w:customStyle="1" w:styleId="CommentSubjectChar">
    <w:name w:val="Comment Subject Char"/>
    <w:basedOn w:val="CommentTextChar"/>
    <w:link w:val="CommentSubject"/>
    <w:uiPriority w:val="99"/>
    <w:locked/>
    <w:rsid w:val="00E26224"/>
    <w:rPr>
      <w:rFonts w:cs="Times New Roman"/>
      <w:b/>
    </w:rPr>
  </w:style>
  <w:style w:type="paragraph" w:styleId="ListParagraph">
    <w:name w:val="List Paragraph"/>
    <w:basedOn w:val="Normal"/>
    <w:uiPriority w:val="34"/>
    <w:qFormat/>
    <w:rsid w:val="00856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574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B67EB-C95E-4A55-A761-08E85183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1628</Words>
  <Characters>11414</Characters>
  <Application>Microsoft Office Word</Application>
  <DocSecurity>0</DocSecurity>
  <Lines>671</Lines>
  <Paragraphs>63</Paragraphs>
  <ScaleCrop>false</ScaleCrop>
  <HeadingPairs>
    <vt:vector size="2" baseType="variant">
      <vt:variant>
        <vt:lpstr>Title</vt:lpstr>
      </vt:variant>
      <vt:variant>
        <vt:i4>1</vt:i4>
      </vt:variant>
    </vt:vector>
  </HeadingPairs>
  <TitlesOfParts>
    <vt:vector size="1" baseType="lpstr">
      <vt:lpstr>MK noteikumu projekta „Grozījumi Ministru kabineta 2012.gada 4.septembra noteikumos Nr.619 „Noteikumi par atpūtas kuģu vadītāju apmācību, sertificēšanu un reģistrāciju” sākotnējās ietekmes novērtējuma ziņojums (anotācija)</vt:lpstr>
    </vt:vector>
  </TitlesOfParts>
  <Company>VUGD</Company>
  <LinksUpToDate>false</LinksUpToDate>
  <CharactersWithSpaces>12979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2012.gada 4.septembra noteikumos Nr.619 „Noteikumi par atpūtas kuģu vadītāju apmācību, sertificēšanu un reģistrāciju” sākotnējās ietekmes novērtējuma ziņojums (anotācija)</dc:title>
  <dc:subject>Anotācija</dc:subject>
  <dc:creator>Satiksmes ministrija, CSDD</dc:creator>
  <dc:description>Ojars.Mascinskis@csdd.gov.lv, tel.67025726</dc:description>
  <cp:lastModifiedBy>Mārīte Augstmane</cp:lastModifiedBy>
  <cp:revision>17</cp:revision>
  <cp:lastPrinted>2014-09-04T09:47:00Z</cp:lastPrinted>
  <dcterms:created xsi:type="dcterms:W3CDTF">2014-07-31T12:15:00Z</dcterms:created>
  <dcterms:modified xsi:type="dcterms:W3CDTF">2014-09-04T09:48:00Z</dcterms:modified>
</cp:coreProperties>
</file>