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89" w:rsidRDefault="00112D89" w:rsidP="00CA260A">
      <w:pPr>
        <w:spacing w:after="0"/>
        <w:ind w:right="-483"/>
        <w:jc w:val="right"/>
        <w:rPr>
          <w:rFonts w:ascii="Times New Roman" w:hAnsi="Times New Roman"/>
          <w:sz w:val="28"/>
          <w:szCs w:val="28"/>
        </w:rPr>
      </w:pPr>
      <w:r w:rsidRPr="00402548">
        <w:rPr>
          <w:rFonts w:ascii="Times New Roman" w:hAnsi="Times New Roman"/>
          <w:sz w:val="28"/>
          <w:szCs w:val="28"/>
        </w:rPr>
        <w:t>Projekts</w:t>
      </w:r>
    </w:p>
    <w:p w:rsidR="00112D89" w:rsidRDefault="00112D89" w:rsidP="00CA260A">
      <w:pPr>
        <w:spacing w:after="0"/>
        <w:ind w:right="-483"/>
        <w:jc w:val="center"/>
        <w:rPr>
          <w:rFonts w:ascii="Times New Roman" w:hAnsi="Times New Roman"/>
          <w:sz w:val="28"/>
          <w:szCs w:val="28"/>
        </w:rPr>
      </w:pPr>
      <w:r w:rsidRPr="00402548">
        <w:rPr>
          <w:rFonts w:ascii="Times New Roman" w:hAnsi="Times New Roman"/>
          <w:sz w:val="28"/>
          <w:szCs w:val="28"/>
        </w:rPr>
        <w:t>LATVIJAS REPUBLIKAS MINISTRU KABINETS</w:t>
      </w:r>
    </w:p>
    <w:p w:rsidR="00062984" w:rsidRPr="00402548" w:rsidRDefault="00062984" w:rsidP="00CA260A">
      <w:pPr>
        <w:spacing w:after="0"/>
        <w:ind w:right="-483"/>
        <w:jc w:val="center"/>
        <w:rPr>
          <w:rFonts w:ascii="Times New Roman" w:hAnsi="Times New Roman"/>
          <w:sz w:val="28"/>
          <w:szCs w:val="28"/>
        </w:rPr>
      </w:pPr>
    </w:p>
    <w:p w:rsidR="00112D89" w:rsidRPr="00402548" w:rsidRDefault="00112D89" w:rsidP="00CA260A">
      <w:pPr>
        <w:spacing w:after="0"/>
        <w:ind w:right="-483"/>
        <w:jc w:val="both"/>
        <w:rPr>
          <w:rFonts w:ascii="Times New Roman" w:hAnsi="Times New Roman"/>
          <w:sz w:val="28"/>
          <w:szCs w:val="28"/>
        </w:rPr>
      </w:pPr>
      <w:r>
        <w:rPr>
          <w:rFonts w:ascii="Times New Roman" w:hAnsi="Times New Roman"/>
          <w:sz w:val="28"/>
          <w:szCs w:val="28"/>
        </w:rPr>
        <w:t>201</w:t>
      </w:r>
      <w:r w:rsidR="007B0A9B">
        <w:rPr>
          <w:rFonts w:ascii="Times New Roman" w:hAnsi="Times New Roman"/>
          <w:sz w:val="28"/>
          <w:szCs w:val="28"/>
        </w:rPr>
        <w:t>4</w:t>
      </w:r>
      <w:r w:rsidRPr="00402548">
        <w:rPr>
          <w:rFonts w:ascii="Times New Roman" w:hAnsi="Times New Roman"/>
          <w:sz w:val="28"/>
          <w:szCs w:val="28"/>
        </w:rPr>
        <w:t xml:space="preserve">.gada ___._______                                                Noteikumi </w:t>
      </w:r>
      <w:proofErr w:type="spellStart"/>
      <w:r w:rsidRPr="00402548">
        <w:rPr>
          <w:rFonts w:ascii="Times New Roman" w:hAnsi="Times New Roman"/>
          <w:sz w:val="28"/>
          <w:szCs w:val="28"/>
        </w:rPr>
        <w:t>Nr</w:t>
      </w:r>
      <w:proofErr w:type="spellEnd"/>
      <w:r w:rsidRPr="00402548">
        <w:rPr>
          <w:rFonts w:ascii="Times New Roman" w:hAnsi="Times New Roman"/>
          <w:sz w:val="28"/>
          <w:szCs w:val="28"/>
        </w:rPr>
        <w:t>.</w:t>
      </w:r>
      <w:r>
        <w:rPr>
          <w:rFonts w:ascii="Times New Roman" w:hAnsi="Times New Roman"/>
          <w:sz w:val="28"/>
          <w:szCs w:val="28"/>
        </w:rPr>
        <w:t>__</w:t>
      </w:r>
    </w:p>
    <w:p w:rsidR="00112D89" w:rsidRPr="00402548" w:rsidRDefault="00112D89" w:rsidP="00CA260A">
      <w:pPr>
        <w:spacing w:after="0"/>
        <w:ind w:right="-483"/>
        <w:jc w:val="both"/>
        <w:rPr>
          <w:rFonts w:ascii="Times New Roman" w:hAnsi="Times New Roman"/>
          <w:sz w:val="28"/>
          <w:szCs w:val="28"/>
        </w:rPr>
      </w:pPr>
      <w:r w:rsidRPr="00402548">
        <w:rPr>
          <w:rFonts w:ascii="Times New Roman" w:hAnsi="Times New Roman"/>
          <w:sz w:val="28"/>
          <w:szCs w:val="28"/>
        </w:rPr>
        <w:t>Rīgā                                                                               (</w:t>
      </w:r>
      <w:proofErr w:type="spellStart"/>
      <w:r w:rsidRPr="00402548">
        <w:rPr>
          <w:rFonts w:ascii="Times New Roman" w:hAnsi="Times New Roman"/>
          <w:sz w:val="28"/>
          <w:szCs w:val="28"/>
        </w:rPr>
        <w:t>prot</w:t>
      </w:r>
      <w:proofErr w:type="spellEnd"/>
      <w:r w:rsidRPr="00402548">
        <w:rPr>
          <w:rFonts w:ascii="Times New Roman" w:hAnsi="Times New Roman"/>
          <w:sz w:val="28"/>
          <w:szCs w:val="28"/>
        </w:rPr>
        <w:t xml:space="preserve">. </w:t>
      </w:r>
      <w:proofErr w:type="spellStart"/>
      <w:r w:rsidRPr="00402548">
        <w:rPr>
          <w:rFonts w:ascii="Times New Roman" w:hAnsi="Times New Roman"/>
          <w:sz w:val="28"/>
          <w:szCs w:val="28"/>
        </w:rPr>
        <w:t>Nr</w:t>
      </w:r>
      <w:proofErr w:type="spellEnd"/>
      <w:r w:rsidRPr="00402548">
        <w:rPr>
          <w:rFonts w:ascii="Times New Roman" w:hAnsi="Times New Roman"/>
          <w:sz w:val="28"/>
          <w:szCs w:val="28"/>
        </w:rPr>
        <w:t>.__  __.§)</w:t>
      </w:r>
    </w:p>
    <w:p w:rsidR="00062984" w:rsidRDefault="00062984" w:rsidP="00CA260A">
      <w:pPr>
        <w:spacing w:after="0"/>
        <w:ind w:right="-483"/>
        <w:jc w:val="both"/>
        <w:rPr>
          <w:rFonts w:ascii="Times New Roman" w:hAnsi="Times New Roman"/>
          <w:sz w:val="28"/>
          <w:szCs w:val="28"/>
        </w:rPr>
      </w:pPr>
    </w:p>
    <w:p w:rsidR="005821CC" w:rsidRDefault="005821CC" w:rsidP="00CA260A">
      <w:pPr>
        <w:pStyle w:val="NoSpacing"/>
        <w:ind w:right="-483"/>
        <w:jc w:val="center"/>
        <w:rPr>
          <w:rFonts w:ascii="Times New Roman" w:eastAsia="Times New Roman" w:hAnsi="Times New Roman"/>
          <w:b/>
          <w:sz w:val="28"/>
          <w:szCs w:val="28"/>
          <w:lang w:eastAsia="lv-LV"/>
        </w:rPr>
      </w:pPr>
      <w:r>
        <w:rPr>
          <w:rFonts w:ascii="Times New Roman" w:eastAsia="Times New Roman" w:hAnsi="Times New Roman"/>
          <w:b/>
          <w:bCs/>
          <w:sz w:val="28"/>
          <w:szCs w:val="28"/>
          <w:lang w:eastAsia="lv-LV"/>
        </w:rPr>
        <w:t>Grozījumi Ministru kabineta 2004.gada 29.jūnija</w:t>
      </w:r>
      <w:r>
        <w:rPr>
          <w:rFonts w:ascii="Times New Roman" w:eastAsia="Times New Roman" w:hAnsi="Times New Roman"/>
          <w:b/>
          <w:sz w:val="28"/>
          <w:szCs w:val="28"/>
          <w:lang w:eastAsia="lv-LV"/>
        </w:rPr>
        <w:t xml:space="preserve"> </w:t>
      </w:r>
      <w:r>
        <w:rPr>
          <w:rFonts w:ascii="Times New Roman" w:eastAsia="Times New Roman" w:hAnsi="Times New Roman"/>
          <w:b/>
          <w:bCs/>
          <w:sz w:val="28"/>
          <w:szCs w:val="28"/>
          <w:lang w:eastAsia="lv-LV"/>
        </w:rPr>
        <w:t>noteikumos Nr.571</w:t>
      </w:r>
      <w:r>
        <w:rPr>
          <w:rFonts w:ascii="Times New Roman" w:eastAsia="Times New Roman" w:hAnsi="Times New Roman"/>
          <w:b/>
          <w:sz w:val="28"/>
          <w:szCs w:val="28"/>
          <w:lang w:eastAsia="lv-LV"/>
        </w:rPr>
        <w:t xml:space="preserve"> </w:t>
      </w:r>
    </w:p>
    <w:p w:rsidR="005821CC" w:rsidRDefault="005821CC" w:rsidP="00CA260A">
      <w:pPr>
        <w:pStyle w:val="NoSpacing"/>
        <w:ind w:right="-483"/>
        <w:jc w:val="center"/>
      </w:pPr>
      <w:r>
        <w:rPr>
          <w:rFonts w:ascii="Times New Roman" w:eastAsia="Times New Roman" w:hAnsi="Times New Roman"/>
          <w:b/>
          <w:sz w:val="28"/>
          <w:szCs w:val="28"/>
          <w:lang w:eastAsia="lv-LV"/>
        </w:rPr>
        <w:t>„</w:t>
      </w:r>
      <w:r w:rsidRPr="00BC7DD0">
        <w:rPr>
          <w:rFonts w:ascii="Times New Roman" w:eastAsia="Times New Roman" w:hAnsi="Times New Roman"/>
          <w:b/>
          <w:sz w:val="28"/>
          <w:szCs w:val="28"/>
          <w:lang w:eastAsia="lv-LV"/>
        </w:rPr>
        <w:t>Ceļu satiksmes noteikumi</w:t>
      </w:r>
      <w:r>
        <w:rPr>
          <w:rFonts w:ascii="Times New Roman" w:eastAsia="Times New Roman" w:hAnsi="Times New Roman"/>
          <w:b/>
          <w:bCs/>
          <w:sz w:val="28"/>
          <w:szCs w:val="28"/>
          <w:lang w:eastAsia="lv-LV"/>
        </w:rPr>
        <w:t>”</w:t>
      </w:r>
    </w:p>
    <w:p w:rsidR="00B75DB3" w:rsidRDefault="00B75DB3" w:rsidP="00CA260A">
      <w:pPr>
        <w:pStyle w:val="NoSpacing"/>
        <w:ind w:right="-483"/>
        <w:rPr>
          <w:rFonts w:ascii="Times New Roman" w:eastAsia="Times New Roman" w:hAnsi="Times New Roman"/>
          <w:bCs/>
          <w:color w:val="414142"/>
          <w:sz w:val="28"/>
          <w:szCs w:val="28"/>
          <w:lang w:eastAsia="lv-LV"/>
        </w:rPr>
      </w:pPr>
    </w:p>
    <w:p w:rsidR="005821CC" w:rsidRDefault="005821CC" w:rsidP="00CA260A">
      <w:pPr>
        <w:pStyle w:val="NoSpacing"/>
        <w:ind w:right="-483"/>
        <w:jc w:val="right"/>
        <w:rPr>
          <w:rFonts w:ascii="Times New Roman" w:eastAsia="Times New Roman" w:hAnsi="Times New Roman"/>
          <w:iCs/>
          <w:sz w:val="28"/>
          <w:szCs w:val="28"/>
          <w:lang w:eastAsia="lv-LV"/>
        </w:rPr>
      </w:pPr>
      <w:r w:rsidRPr="00BC7DD0">
        <w:rPr>
          <w:rFonts w:ascii="Times New Roman" w:eastAsia="Times New Roman" w:hAnsi="Times New Roman"/>
          <w:iCs/>
          <w:sz w:val="28"/>
          <w:szCs w:val="28"/>
          <w:lang w:eastAsia="lv-LV"/>
        </w:rPr>
        <w:t xml:space="preserve">Izdoti saskaņā ar </w:t>
      </w:r>
    </w:p>
    <w:p w:rsidR="005821CC" w:rsidRDefault="005821CC" w:rsidP="00CA260A">
      <w:pPr>
        <w:pStyle w:val="NoSpacing"/>
        <w:ind w:right="-483"/>
        <w:jc w:val="right"/>
        <w:rPr>
          <w:rFonts w:ascii="Times New Roman" w:eastAsia="Times New Roman" w:hAnsi="Times New Roman"/>
          <w:iCs/>
          <w:sz w:val="28"/>
          <w:szCs w:val="28"/>
          <w:lang w:eastAsia="lv-LV"/>
        </w:rPr>
      </w:pPr>
      <w:r w:rsidRPr="00BC7DD0">
        <w:rPr>
          <w:rFonts w:ascii="Times New Roman" w:eastAsia="Times New Roman" w:hAnsi="Times New Roman"/>
          <w:iCs/>
          <w:sz w:val="28"/>
          <w:szCs w:val="28"/>
          <w:lang w:eastAsia="lv-LV"/>
        </w:rPr>
        <w:t xml:space="preserve">Ceļu satiksmes likuma </w:t>
      </w:r>
    </w:p>
    <w:p w:rsidR="005821CC" w:rsidRDefault="005821CC" w:rsidP="00CA260A">
      <w:pPr>
        <w:pStyle w:val="NoSpacing"/>
        <w:ind w:right="-483"/>
        <w:jc w:val="right"/>
        <w:rPr>
          <w:rFonts w:ascii="Times New Roman" w:eastAsia="Times New Roman" w:hAnsi="Times New Roman"/>
          <w:iCs/>
          <w:sz w:val="28"/>
          <w:szCs w:val="28"/>
          <w:lang w:eastAsia="lv-LV"/>
        </w:rPr>
      </w:pPr>
      <w:r w:rsidRPr="00BC7DD0">
        <w:rPr>
          <w:rFonts w:ascii="Times New Roman" w:eastAsia="Times New Roman" w:hAnsi="Times New Roman"/>
          <w:iCs/>
          <w:sz w:val="28"/>
          <w:szCs w:val="28"/>
          <w:lang w:eastAsia="lv-LV"/>
        </w:rPr>
        <w:t>3.panta otro daļu</w:t>
      </w:r>
    </w:p>
    <w:p w:rsidR="005821CC" w:rsidRDefault="005821CC" w:rsidP="00CA260A">
      <w:pPr>
        <w:pStyle w:val="NoSpacing"/>
        <w:ind w:right="-483"/>
        <w:jc w:val="right"/>
        <w:rPr>
          <w:rFonts w:ascii="Times New Roman" w:eastAsia="Times New Roman" w:hAnsi="Times New Roman"/>
          <w:iCs/>
          <w:sz w:val="28"/>
          <w:szCs w:val="28"/>
          <w:lang w:eastAsia="lv-LV"/>
        </w:rPr>
      </w:pPr>
    </w:p>
    <w:p w:rsidR="005821CC" w:rsidRDefault="005821CC" w:rsidP="00CA260A">
      <w:pPr>
        <w:spacing w:after="0" w:line="240" w:lineRule="auto"/>
        <w:ind w:right="-483" w:firstLine="720"/>
        <w:jc w:val="both"/>
        <w:rPr>
          <w:rFonts w:ascii="Times New Roman" w:hAnsi="Times New Roman"/>
          <w:sz w:val="28"/>
          <w:szCs w:val="28"/>
        </w:rPr>
      </w:pPr>
      <w:r>
        <w:rPr>
          <w:rFonts w:ascii="Times New Roman" w:hAnsi="Times New Roman"/>
          <w:sz w:val="28"/>
          <w:szCs w:val="28"/>
        </w:rPr>
        <w:t xml:space="preserve">Izdarīt Ministru kabineta </w:t>
      </w:r>
      <w:r w:rsidRPr="00BC7DD0">
        <w:rPr>
          <w:rFonts w:ascii="Times New Roman" w:hAnsi="Times New Roman"/>
          <w:sz w:val="28"/>
          <w:szCs w:val="28"/>
        </w:rPr>
        <w:t xml:space="preserve">2004.gada 29.jūnija noteikumos Nr.571 „Ceļu satiksmes noteikumi” </w:t>
      </w:r>
      <w:r>
        <w:rPr>
          <w:rFonts w:ascii="Times New Roman" w:hAnsi="Times New Roman"/>
          <w:sz w:val="28"/>
          <w:szCs w:val="28"/>
        </w:rPr>
        <w:t xml:space="preserve">(Latvijas Vēstnesis, </w:t>
      </w:r>
      <w:r w:rsidRPr="00BC7DD0">
        <w:rPr>
          <w:rFonts w:ascii="Times New Roman" w:hAnsi="Times New Roman"/>
          <w:sz w:val="28"/>
          <w:szCs w:val="28"/>
        </w:rPr>
        <w:t>2004, 103.nr., 2005, 100., 103.nr.; 2008, 26., 118., 178.nr., 2009, 132., 177.nr., 2010, 177.nr., 2011, 48.nr.</w:t>
      </w:r>
      <w:r>
        <w:rPr>
          <w:rFonts w:ascii="Times New Roman" w:hAnsi="Times New Roman"/>
          <w:sz w:val="28"/>
          <w:szCs w:val="28"/>
        </w:rPr>
        <w:t>) šādus grozījumus:</w:t>
      </w:r>
    </w:p>
    <w:p w:rsidR="005821CC" w:rsidRDefault="005821CC" w:rsidP="00CA260A">
      <w:pPr>
        <w:spacing w:after="0" w:line="240" w:lineRule="auto"/>
        <w:ind w:right="-483" w:firstLine="720"/>
        <w:jc w:val="both"/>
        <w:rPr>
          <w:rFonts w:ascii="Times New Roman" w:hAnsi="Times New Roman"/>
          <w:sz w:val="28"/>
          <w:szCs w:val="28"/>
        </w:rPr>
      </w:pPr>
    </w:p>
    <w:p w:rsidR="005821CC" w:rsidRDefault="005821CC" w:rsidP="00CA260A">
      <w:pPr>
        <w:numPr>
          <w:ilvl w:val="0"/>
          <w:numId w:val="1"/>
        </w:numPr>
        <w:spacing w:after="0" w:line="240" w:lineRule="auto"/>
        <w:ind w:right="-483"/>
        <w:jc w:val="both"/>
        <w:rPr>
          <w:rFonts w:ascii="Times New Roman" w:hAnsi="Times New Roman"/>
          <w:sz w:val="28"/>
          <w:szCs w:val="28"/>
        </w:rPr>
      </w:pPr>
      <w:r>
        <w:rPr>
          <w:rFonts w:ascii="Times New Roman" w:hAnsi="Times New Roman"/>
          <w:sz w:val="28"/>
          <w:szCs w:val="28"/>
        </w:rPr>
        <w:t>Izteikt 19.punktu šādā redakcijā:</w:t>
      </w:r>
    </w:p>
    <w:p w:rsidR="005821CC"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 xml:space="preserve">„19. </w:t>
      </w:r>
      <w:r w:rsidRPr="00C0446A">
        <w:rPr>
          <w:rFonts w:ascii="Times New Roman" w:hAnsi="Times New Roman"/>
          <w:sz w:val="28"/>
          <w:szCs w:val="28"/>
        </w:rPr>
        <w:t xml:space="preserve">Diennakts tumšajā laikā ārpus apdzīvotām vietām, kā arī apdzīvotās vietās, ja ceļš nav pietiekami un vienmērīgi apgaismots, gājējiem, kas pārvietojas pa brauktuvi vai nomali, jābūt tērptiem </w:t>
      </w:r>
      <w:r w:rsidR="0002680E">
        <w:rPr>
          <w:rFonts w:ascii="Times New Roman" w:hAnsi="Times New Roman"/>
          <w:sz w:val="28"/>
          <w:szCs w:val="28"/>
        </w:rPr>
        <w:t xml:space="preserve">vestē </w:t>
      </w:r>
      <w:r w:rsidRPr="00C0446A">
        <w:rPr>
          <w:rFonts w:ascii="Times New Roman" w:hAnsi="Times New Roman"/>
          <w:sz w:val="28"/>
          <w:szCs w:val="28"/>
        </w:rPr>
        <w:t>(</w:t>
      </w:r>
      <w:r w:rsidR="0002680E" w:rsidRPr="00C0446A">
        <w:rPr>
          <w:rFonts w:ascii="Times New Roman" w:hAnsi="Times New Roman"/>
          <w:sz w:val="28"/>
          <w:szCs w:val="28"/>
        </w:rPr>
        <w:t>apģērbā</w:t>
      </w:r>
      <w:r w:rsidRPr="00C0446A">
        <w:rPr>
          <w:rFonts w:ascii="Times New Roman" w:hAnsi="Times New Roman"/>
          <w:sz w:val="28"/>
          <w:szCs w:val="28"/>
        </w:rPr>
        <w:t>) ar labi redzamiem gaismu atstarojoša materiāla elementiem.</w:t>
      </w:r>
      <w:r>
        <w:rPr>
          <w:rFonts w:ascii="Times New Roman" w:hAnsi="Times New Roman"/>
          <w:sz w:val="28"/>
          <w:szCs w:val="28"/>
        </w:rPr>
        <w:t>”</w:t>
      </w:r>
      <w:r w:rsidR="00967D4D">
        <w:rPr>
          <w:rFonts w:ascii="Times New Roman" w:hAnsi="Times New Roman"/>
          <w:sz w:val="28"/>
          <w:szCs w:val="28"/>
        </w:rPr>
        <w:t>.</w:t>
      </w:r>
    </w:p>
    <w:p w:rsidR="005821CC" w:rsidRDefault="005821CC" w:rsidP="00CA260A">
      <w:pPr>
        <w:spacing w:after="0" w:line="240" w:lineRule="auto"/>
        <w:ind w:right="-483" w:firstLine="709"/>
        <w:jc w:val="both"/>
        <w:rPr>
          <w:rFonts w:ascii="Times New Roman" w:hAnsi="Times New Roman"/>
          <w:sz w:val="28"/>
          <w:szCs w:val="28"/>
        </w:rPr>
      </w:pPr>
    </w:p>
    <w:p w:rsidR="005821CC"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2. Izteikt 200.punktu šādā redakcijā:</w:t>
      </w:r>
    </w:p>
    <w:p w:rsidR="005821CC"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„200</w:t>
      </w:r>
      <w:r w:rsidRPr="00226C4A">
        <w:rPr>
          <w:rFonts w:ascii="Times New Roman" w:hAnsi="Times New Roman"/>
          <w:sz w:val="28"/>
          <w:szCs w:val="28"/>
        </w:rPr>
        <w:t>. Pārvadājot automobilī, kura sēdvietas aprīkotas ar drošības jostām bērnu, kura augums nepārsniedz 150 cm, bērnam jāatrodas un jābūt piesprādzētam ar drošības jostu viņa vecumam un svaram piemērotā bērnu sēdeklītī vai uz paliktņa, kas uzstādīts atbilstoši tā izgatavotāja noteiktajam.</w:t>
      </w:r>
      <w:r>
        <w:rPr>
          <w:rFonts w:ascii="Times New Roman" w:hAnsi="Times New Roman"/>
          <w:sz w:val="28"/>
          <w:szCs w:val="28"/>
        </w:rPr>
        <w:t>”</w:t>
      </w:r>
      <w:r w:rsidR="00967D4D">
        <w:rPr>
          <w:rFonts w:ascii="Times New Roman" w:hAnsi="Times New Roman"/>
          <w:sz w:val="28"/>
          <w:szCs w:val="28"/>
        </w:rPr>
        <w:t>.</w:t>
      </w:r>
    </w:p>
    <w:p w:rsidR="005821CC" w:rsidRDefault="005821CC" w:rsidP="00CA260A">
      <w:pPr>
        <w:spacing w:after="0" w:line="240" w:lineRule="auto"/>
        <w:ind w:right="-483" w:firstLine="709"/>
        <w:jc w:val="both"/>
        <w:rPr>
          <w:rFonts w:ascii="Times New Roman" w:hAnsi="Times New Roman"/>
          <w:sz w:val="28"/>
          <w:szCs w:val="28"/>
        </w:rPr>
      </w:pPr>
    </w:p>
    <w:p w:rsidR="005821CC"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3. Izteikt 203.punktu šādā redakcijā:</w:t>
      </w:r>
    </w:p>
    <w:p w:rsidR="005821CC" w:rsidRPr="00226C4A"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„203</w:t>
      </w:r>
      <w:r w:rsidRPr="00226C4A">
        <w:rPr>
          <w:rFonts w:ascii="Times New Roman" w:hAnsi="Times New Roman"/>
          <w:sz w:val="28"/>
          <w:szCs w:val="28"/>
        </w:rPr>
        <w:t>. Aizliegts pārvadāt pasažierus:</w:t>
      </w:r>
    </w:p>
    <w:p w:rsidR="005821CC" w:rsidRPr="00226C4A"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203</w:t>
      </w:r>
      <w:r w:rsidRPr="00226C4A">
        <w:rPr>
          <w:rFonts w:ascii="Times New Roman" w:hAnsi="Times New Roman"/>
          <w:sz w:val="28"/>
          <w:szCs w:val="28"/>
        </w:rPr>
        <w:t>.1. ārpus traktortehnikas kabīnes, piekabē (puspiekabē) un motocikla kravas nodalījumā;</w:t>
      </w:r>
    </w:p>
    <w:p w:rsidR="00450023"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203</w:t>
      </w:r>
      <w:r w:rsidRPr="00226C4A">
        <w:rPr>
          <w:rFonts w:ascii="Times New Roman" w:hAnsi="Times New Roman"/>
          <w:sz w:val="28"/>
          <w:szCs w:val="28"/>
        </w:rPr>
        <w:t xml:space="preserve">.2. </w:t>
      </w:r>
      <w:r w:rsidR="00967D4D">
        <w:rPr>
          <w:rFonts w:ascii="Times New Roman" w:hAnsi="Times New Roman"/>
          <w:sz w:val="28"/>
          <w:szCs w:val="28"/>
        </w:rPr>
        <w:t>bērnus, kas jaunāki par trim</w:t>
      </w:r>
      <w:r w:rsidR="00450023" w:rsidRPr="00226C4A">
        <w:rPr>
          <w:rFonts w:ascii="Times New Roman" w:hAnsi="Times New Roman"/>
          <w:sz w:val="28"/>
          <w:szCs w:val="28"/>
        </w:rPr>
        <w:t xml:space="preserve"> gadiem ar automobili, kura sēdvietas n</w:t>
      </w:r>
      <w:r w:rsidR="00450023">
        <w:rPr>
          <w:rFonts w:ascii="Times New Roman" w:hAnsi="Times New Roman"/>
          <w:sz w:val="28"/>
          <w:szCs w:val="28"/>
        </w:rPr>
        <w:t>av aprīkotas ar drošības jostām;</w:t>
      </w:r>
    </w:p>
    <w:p w:rsidR="005821CC" w:rsidRDefault="00450023"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203</w:t>
      </w:r>
      <w:r w:rsidRPr="00226C4A">
        <w:rPr>
          <w:rFonts w:ascii="Times New Roman" w:hAnsi="Times New Roman"/>
          <w:sz w:val="28"/>
          <w:szCs w:val="28"/>
        </w:rPr>
        <w:t xml:space="preserve">.3. </w:t>
      </w:r>
      <w:r w:rsidR="005821CC" w:rsidRPr="00226C4A">
        <w:rPr>
          <w:rFonts w:ascii="Times New Roman" w:hAnsi="Times New Roman"/>
          <w:sz w:val="28"/>
          <w:szCs w:val="28"/>
        </w:rPr>
        <w:t xml:space="preserve">bērnus, kuru augums nepārsniedz 150 cm, automobiļa, kura sēdvietas nav aprīkotas ar drošības jostām, priekšējā sēdeklī, kā arī ar mopēdu, motociklu, triciklu, kvadriciklu vai sniega motociklu, izņemot </w:t>
      </w:r>
      <w:r w:rsidR="005821CC" w:rsidRPr="00226C4A">
        <w:rPr>
          <w:rFonts w:ascii="Times New Roman" w:hAnsi="Times New Roman"/>
          <w:sz w:val="28"/>
          <w:szCs w:val="28"/>
        </w:rPr>
        <w:lastRenderedPageBreak/>
        <w:t xml:space="preserve">gadījumus, kad bērns var noturēt līdzsvaru un aizsniegt kāju atbalstus vai sēž uz viņa vecumam un svaram atbilstoša </w:t>
      </w:r>
      <w:r>
        <w:rPr>
          <w:rFonts w:ascii="Times New Roman" w:hAnsi="Times New Roman"/>
          <w:sz w:val="28"/>
          <w:szCs w:val="28"/>
        </w:rPr>
        <w:t>sēdeklīša.”</w:t>
      </w:r>
      <w:r w:rsidR="00967D4D">
        <w:rPr>
          <w:rFonts w:ascii="Times New Roman" w:hAnsi="Times New Roman"/>
          <w:sz w:val="28"/>
          <w:szCs w:val="28"/>
        </w:rPr>
        <w:t>.</w:t>
      </w:r>
    </w:p>
    <w:p w:rsidR="005821CC" w:rsidRDefault="005821CC" w:rsidP="00CA260A">
      <w:pPr>
        <w:spacing w:after="0" w:line="240" w:lineRule="auto"/>
        <w:ind w:right="-483"/>
        <w:jc w:val="both"/>
        <w:rPr>
          <w:rFonts w:ascii="Times New Roman" w:hAnsi="Times New Roman"/>
          <w:sz w:val="28"/>
          <w:szCs w:val="28"/>
        </w:rPr>
      </w:pPr>
    </w:p>
    <w:p w:rsidR="0038100F" w:rsidRDefault="0038100F"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4.Svītrot 218.punkta otro teikumu.</w:t>
      </w:r>
    </w:p>
    <w:p w:rsidR="0038100F" w:rsidRDefault="0038100F" w:rsidP="00CA260A">
      <w:pPr>
        <w:spacing w:after="0" w:line="240" w:lineRule="auto"/>
        <w:ind w:right="-483" w:firstLine="709"/>
        <w:jc w:val="both"/>
        <w:rPr>
          <w:rFonts w:ascii="Times New Roman" w:hAnsi="Times New Roman"/>
          <w:sz w:val="28"/>
          <w:szCs w:val="28"/>
        </w:rPr>
      </w:pPr>
    </w:p>
    <w:p w:rsidR="0038100F" w:rsidRDefault="0038100F"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5. Papildināt noteikumus ar 218.</w:t>
      </w:r>
      <w:r>
        <w:rPr>
          <w:rFonts w:ascii="Times New Roman" w:hAnsi="Times New Roman"/>
          <w:sz w:val="28"/>
          <w:szCs w:val="28"/>
          <w:vertAlign w:val="superscript"/>
        </w:rPr>
        <w:t>1</w:t>
      </w:r>
      <w:r>
        <w:rPr>
          <w:rFonts w:ascii="Times New Roman" w:hAnsi="Times New Roman"/>
          <w:sz w:val="28"/>
          <w:szCs w:val="28"/>
        </w:rPr>
        <w:t>punktu šādā redakcijā:</w:t>
      </w:r>
    </w:p>
    <w:p w:rsidR="0038100F" w:rsidRPr="0038100F" w:rsidRDefault="0038100F"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w:t>
      </w:r>
      <w:r w:rsidRPr="0038100F">
        <w:rPr>
          <w:rFonts w:ascii="Times New Roman" w:hAnsi="Times New Roman"/>
          <w:sz w:val="28"/>
          <w:szCs w:val="28"/>
        </w:rPr>
        <w:t>218.</w:t>
      </w:r>
      <w:r w:rsidRPr="0038100F">
        <w:rPr>
          <w:rFonts w:ascii="Times New Roman" w:hAnsi="Times New Roman"/>
          <w:sz w:val="28"/>
          <w:szCs w:val="28"/>
          <w:vertAlign w:val="superscript"/>
        </w:rPr>
        <w:t>1</w:t>
      </w:r>
      <w:r>
        <w:rPr>
          <w:rFonts w:ascii="Times New Roman" w:hAnsi="Times New Roman"/>
          <w:sz w:val="28"/>
          <w:szCs w:val="28"/>
        </w:rPr>
        <w:t xml:space="preserve"> </w:t>
      </w:r>
      <w:r w:rsidRPr="00C0446A">
        <w:rPr>
          <w:rFonts w:ascii="Times New Roman" w:hAnsi="Times New Roman"/>
          <w:sz w:val="28"/>
          <w:szCs w:val="28"/>
        </w:rPr>
        <w:t>Bērniem, kas jaunāki par 12 gadiem, braucot ar velosipēdu</w:t>
      </w:r>
      <w:r>
        <w:rPr>
          <w:rFonts w:ascii="Times New Roman" w:hAnsi="Times New Roman"/>
          <w:sz w:val="28"/>
          <w:szCs w:val="28"/>
        </w:rPr>
        <w:t>,</w:t>
      </w:r>
      <w:r w:rsidRPr="00C0446A">
        <w:rPr>
          <w:rFonts w:ascii="Times New Roman" w:hAnsi="Times New Roman"/>
          <w:sz w:val="28"/>
          <w:szCs w:val="28"/>
        </w:rPr>
        <w:t xml:space="preserve"> galvā jābūt aizsprādzētai aizsargķiverei.”</w:t>
      </w:r>
      <w:r>
        <w:rPr>
          <w:rFonts w:ascii="Times New Roman" w:hAnsi="Times New Roman"/>
          <w:sz w:val="28"/>
          <w:szCs w:val="28"/>
        </w:rPr>
        <w:t>.</w:t>
      </w:r>
    </w:p>
    <w:p w:rsidR="005821CC" w:rsidRDefault="005821CC" w:rsidP="00CA260A">
      <w:pPr>
        <w:spacing w:after="0" w:line="240" w:lineRule="auto"/>
        <w:ind w:right="-483"/>
        <w:jc w:val="both"/>
        <w:rPr>
          <w:rFonts w:ascii="Times New Roman" w:hAnsi="Times New Roman"/>
          <w:sz w:val="28"/>
          <w:szCs w:val="28"/>
        </w:rPr>
      </w:pPr>
    </w:p>
    <w:p w:rsidR="005821CC" w:rsidRDefault="0038100F" w:rsidP="00CA260A">
      <w:pPr>
        <w:spacing w:after="0" w:line="240" w:lineRule="auto"/>
        <w:ind w:left="709" w:right="-483"/>
        <w:jc w:val="both"/>
        <w:rPr>
          <w:rFonts w:ascii="Times New Roman" w:hAnsi="Times New Roman"/>
          <w:sz w:val="28"/>
          <w:szCs w:val="28"/>
        </w:rPr>
      </w:pPr>
      <w:r>
        <w:rPr>
          <w:rFonts w:ascii="Times New Roman" w:hAnsi="Times New Roman"/>
          <w:sz w:val="28"/>
          <w:szCs w:val="28"/>
        </w:rPr>
        <w:t>6.</w:t>
      </w:r>
      <w:r w:rsidR="005821CC">
        <w:rPr>
          <w:rFonts w:ascii="Times New Roman" w:hAnsi="Times New Roman"/>
          <w:sz w:val="28"/>
          <w:szCs w:val="28"/>
        </w:rPr>
        <w:t xml:space="preserve"> Izteikt 223.punktu šādā redakcijā:</w:t>
      </w:r>
    </w:p>
    <w:p w:rsidR="005821CC" w:rsidRPr="00C0446A"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 xml:space="preserve">„223. </w:t>
      </w:r>
      <w:r w:rsidRPr="00C0446A">
        <w:rPr>
          <w:rFonts w:ascii="Times New Roman" w:hAnsi="Times New Roman"/>
          <w:sz w:val="28"/>
          <w:szCs w:val="28"/>
        </w:rPr>
        <w:t xml:space="preserve">Braucot diennakts tumšajā laikā vai nepietiekamas redzamības apstākļos, velosipēdam abos </w:t>
      </w:r>
      <w:r w:rsidR="00B2501D">
        <w:rPr>
          <w:rFonts w:ascii="Times New Roman" w:hAnsi="Times New Roman"/>
          <w:sz w:val="28"/>
          <w:szCs w:val="28"/>
        </w:rPr>
        <w:t xml:space="preserve">tā </w:t>
      </w:r>
      <w:r w:rsidRPr="00C0446A">
        <w:rPr>
          <w:rFonts w:ascii="Times New Roman" w:hAnsi="Times New Roman"/>
          <w:sz w:val="28"/>
          <w:szCs w:val="28"/>
        </w:rPr>
        <w:t>sānos</w:t>
      </w:r>
      <w:r w:rsidR="00B2501D">
        <w:rPr>
          <w:rFonts w:ascii="Times New Roman" w:hAnsi="Times New Roman"/>
          <w:sz w:val="28"/>
          <w:szCs w:val="28"/>
        </w:rPr>
        <w:t>, riteņu abās pusēs</w:t>
      </w:r>
      <w:r w:rsidRPr="00C0446A">
        <w:rPr>
          <w:rFonts w:ascii="Times New Roman" w:hAnsi="Times New Roman"/>
          <w:sz w:val="28"/>
          <w:szCs w:val="28"/>
        </w:rPr>
        <w:t xml:space="preserve"> jābūt aprīkotam ar diviem oranžiem (dzelteniem) gaismas atstarotājiem, kā arī priekšpusē jādeg baltas gaismas lukturim, bet aizmugurē – sarkanas gaismas lukturim. Ja lukturu nav vai tie nedarbojas, velosipēdam priekšpusē jābūt aprīkotam ar baltu atstarotāju, bet aizmugurē ar sarkanu atstarotāju un velosipēda vadītājam jābūt tērptam </w:t>
      </w:r>
      <w:r w:rsidR="00F94036">
        <w:rPr>
          <w:rFonts w:ascii="Times New Roman" w:hAnsi="Times New Roman"/>
          <w:sz w:val="28"/>
          <w:szCs w:val="28"/>
        </w:rPr>
        <w:t xml:space="preserve">vestē </w:t>
      </w:r>
      <w:r w:rsidR="00F94036" w:rsidRPr="00C0446A">
        <w:rPr>
          <w:rFonts w:ascii="Times New Roman" w:hAnsi="Times New Roman"/>
          <w:sz w:val="28"/>
          <w:szCs w:val="28"/>
        </w:rPr>
        <w:t>(apģērbā</w:t>
      </w:r>
      <w:r w:rsidR="00F94036">
        <w:rPr>
          <w:rFonts w:ascii="Times New Roman" w:hAnsi="Times New Roman"/>
          <w:sz w:val="28"/>
          <w:szCs w:val="28"/>
        </w:rPr>
        <w:t xml:space="preserve">) </w:t>
      </w:r>
      <w:r w:rsidRPr="00C0446A">
        <w:rPr>
          <w:rFonts w:ascii="Times New Roman" w:hAnsi="Times New Roman"/>
          <w:sz w:val="28"/>
          <w:szCs w:val="28"/>
        </w:rPr>
        <w:t>ar labi redzamiem gaismu atstarojoša materiāla elementiem.</w:t>
      </w:r>
      <w:r>
        <w:rPr>
          <w:rFonts w:ascii="Times New Roman" w:hAnsi="Times New Roman"/>
          <w:sz w:val="28"/>
          <w:szCs w:val="28"/>
        </w:rPr>
        <w:t>”</w:t>
      </w:r>
      <w:r w:rsidR="001943D3">
        <w:rPr>
          <w:rFonts w:ascii="Times New Roman" w:hAnsi="Times New Roman"/>
          <w:sz w:val="28"/>
          <w:szCs w:val="28"/>
        </w:rPr>
        <w:t>.</w:t>
      </w:r>
    </w:p>
    <w:p w:rsidR="005821CC" w:rsidRDefault="005821CC" w:rsidP="00CA260A">
      <w:pPr>
        <w:spacing w:after="0" w:line="240" w:lineRule="auto"/>
        <w:ind w:right="-483"/>
        <w:jc w:val="both"/>
        <w:rPr>
          <w:rFonts w:ascii="Times New Roman" w:hAnsi="Times New Roman"/>
          <w:sz w:val="28"/>
          <w:szCs w:val="28"/>
        </w:rPr>
      </w:pPr>
    </w:p>
    <w:p w:rsidR="00C24D5D" w:rsidRDefault="0038100F"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7</w:t>
      </w:r>
      <w:r w:rsidR="00C24D5D">
        <w:rPr>
          <w:rFonts w:ascii="Times New Roman" w:hAnsi="Times New Roman"/>
          <w:sz w:val="28"/>
          <w:szCs w:val="28"/>
        </w:rPr>
        <w:t xml:space="preserve">. </w:t>
      </w:r>
      <w:r w:rsidR="001943D3">
        <w:rPr>
          <w:rFonts w:ascii="Times New Roman" w:hAnsi="Times New Roman"/>
          <w:sz w:val="28"/>
          <w:szCs w:val="28"/>
        </w:rPr>
        <w:t>Papildināt</w:t>
      </w:r>
      <w:r w:rsidR="00C24D5D">
        <w:rPr>
          <w:rFonts w:ascii="Times New Roman" w:hAnsi="Times New Roman"/>
          <w:sz w:val="28"/>
          <w:szCs w:val="28"/>
        </w:rPr>
        <w:t xml:space="preserve"> informatīvo atsauci u</w:t>
      </w:r>
      <w:r w:rsidR="001943D3">
        <w:rPr>
          <w:rFonts w:ascii="Times New Roman" w:hAnsi="Times New Roman"/>
          <w:sz w:val="28"/>
          <w:szCs w:val="28"/>
        </w:rPr>
        <w:t xml:space="preserve">z Eiropas Savienības Direktīvu ar 2.punktu </w:t>
      </w:r>
      <w:r w:rsidR="00C24D5D">
        <w:rPr>
          <w:rFonts w:ascii="Times New Roman" w:hAnsi="Times New Roman"/>
          <w:sz w:val="28"/>
          <w:szCs w:val="28"/>
        </w:rPr>
        <w:t>šādā redakcijā:</w:t>
      </w:r>
    </w:p>
    <w:p w:rsidR="00C24D5D" w:rsidRPr="00826DCE" w:rsidRDefault="001943D3" w:rsidP="00CA260A">
      <w:pPr>
        <w:pStyle w:val="NoSpacing"/>
        <w:ind w:right="-483"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w:t>
      </w:r>
      <w:r w:rsidR="00C24D5D">
        <w:rPr>
          <w:rFonts w:ascii="Times New Roman" w:eastAsia="Times New Roman" w:hAnsi="Times New Roman"/>
          <w:color w:val="000000"/>
          <w:sz w:val="28"/>
          <w:szCs w:val="28"/>
          <w:lang w:eastAsia="lv-LV"/>
        </w:rPr>
        <w:t xml:space="preserve">2) </w:t>
      </w:r>
      <w:r w:rsidR="00C24D5D" w:rsidRPr="00A56A70">
        <w:rPr>
          <w:rFonts w:ascii="Times New Roman" w:eastAsia="Times New Roman" w:hAnsi="Times New Roman"/>
          <w:color w:val="000000"/>
          <w:sz w:val="28"/>
          <w:szCs w:val="28"/>
          <w:lang w:eastAsia="lv-LV"/>
        </w:rPr>
        <w:t>Komisijas 2014.gada 27.februāra īstenošanas Direktīva</w:t>
      </w:r>
      <w:r w:rsidR="00C24D5D">
        <w:rPr>
          <w:rFonts w:ascii="Times New Roman" w:eastAsia="Times New Roman" w:hAnsi="Times New Roman"/>
          <w:color w:val="000000"/>
          <w:sz w:val="28"/>
          <w:szCs w:val="28"/>
          <w:lang w:eastAsia="lv-LV"/>
        </w:rPr>
        <w:t>s</w:t>
      </w:r>
      <w:r w:rsidR="00C24D5D" w:rsidRPr="00A56A70">
        <w:rPr>
          <w:rFonts w:ascii="Times New Roman" w:eastAsia="Times New Roman" w:hAnsi="Times New Roman"/>
          <w:color w:val="000000"/>
          <w:sz w:val="28"/>
          <w:szCs w:val="28"/>
          <w:lang w:eastAsia="lv-LV"/>
        </w:rPr>
        <w:t xml:space="preserve"> 2014/37/ES ar ko groza Padomes Direktīvu 91/671/EEK par drošības jostu un bērnu </w:t>
      </w:r>
      <w:proofErr w:type="spellStart"/>
      <w:r w:rsidR="00C24D5D" w:rsidRPr="00A56A70">
        <w:rPr>
          <w:rFonts w:ascii="Times New Roman" w:eastAsia="Times New Roman" w:hAnsi="Times New Roman"/>
          <w:color w:val="000000"/>
          <w:sz w:val="28"/>
          <w:szCs w:val="28"/>
          <w:lang w:eastAsia="lv-LV"/>
        </w:rPr>
        <w:t>ierobežotājsistēmu</w:t>
      </w:r>
      <w:proofErr w:type="spellEnd"/>
      <w:r w:rsidR="00C24D5D" w:rsidRPr="00A56A70">
        <w:rPr>
          <w:rFonts w:ascii="Times New Roman" w:eastAsia="Times New Roman" w:hAnsi="Times New Roman"/>
          <w:color w:val="000000"/>
          <w:sz w:val="28"/>
          <w:szCs w:val="28"/>
          <w:lang w:eastAsia="lv-LV"/>
        </w:rPr>
        <w:t xml:space="preserve"> obligātu lietošanu transportlīdzekļo</w:t>
      </w:r>
      <w:r w:rsidR="00C24D5D">
        <w:rPr>
          <w:rFonts w:ascii="Times New Roman" w:eastAsia="Times New Roman" w:hAnsi="Times New Roman"/>
          <w:color w:val="000000"/>
          <w:sz w:val="28"/>
          <w:szCs w:val="28"/>
          <w:lang w:eastAsia="lv-LV"/>
        </w:rPr>
        <w:t>s</w:t>
      </w:r>
      <w:r w:rsidR="00C24D5D" w:rsidRPr="00826DCE">
        <w:rPr>
          <w:rFonts w:ascii="Times New Roman" w:eastAsia="Times New Roman" w:hAnsi="Times New Roman"/>
          <w:color w:val="000000"/>
          <w:sz w:val="28"/>
          <w:szCs w:val="28"/>
          <w:lang w:eastAsia="lv-LV"/>
        </w:rPr>
        <w:t>.</w:t>
      </w:r>
      <w:r w:rsidR="00C24D5D">
        <w:rPr>
          <w:rFonts w:ascii="Times New Roman" w:eastAsia="Times New Roman" w:hAnsi="Times New Roman"/>
          <w:color w:val="000000"/>
          <w:sz w:val="28"/>
          <w:szCs w:val="28"/>
          <w:lang w:eastAsia="lv-LV"/>
        </w:rPr>
        <w:t>”.</w:t>
      </w:r>
    </w:p>
    <w:p w:rsidR="00703945" w:rsidRDefault="00703945" w:rsidP="00CA260A">
      <w:pPr>
        <w:spacing w:after="0" w:line="240" w:lineRule="auto"/>
        <w:ind w:right="-483"/>
        <w:jc w:val="both"/>
        <w:rPr>
          <w:rFonts w:ascii="Times New Roman" w:hAnsi="Times New Roman"/>
          <w:sz w:val="28"/>
          <w:szCs w:val="28"/>
        </w:rPr>
      </w:pPr>
    </w:p>
    <w:p w:rsidR="005821CC" w:rsidRDefault="005821CC" w:rsidP="00CA260A">
      <w:pPr>
        <w:spacing w:after="0" w:line="240" w:lineRule="auto"/>
        <w:ind w:right="-483"/>
        <w:jc w:val="both"/>
        <w:rPr>
          <w:rFonts w:ascii="Times New Roman" w:hAnsi="Times New Roman"/>
          <w:sz w:val="28"/>
          <w:szCs w:val="28"/>
        </w:rPr>
      </w:pPr>
    </w:p>
    <w:p w:rsidR="005821CC"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 xml:space="preserve">Ministru prezidente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L.Straujuma</w:t>
      </w:r>
    </w:p>
    <w:p w:rsidR="005821CC" w:rsidRDefault="005821CC" w:rsidP="00CA260A">
      <w:pPr>
        <w:spacing w:after="0" w:line="240" w:lineRule="auto"/>
        <w:ind w:right="-483" w:firstLine="709"/>
        <w:jc w:val="both"/>
        <w:rPr>
          <w:rFonts w:ascii="Times New Roman" w:hAnsi="Times New Roman"/>
          <w:sz w:val="28"/>
          <w:szCs w:val="28"/>
        </w:rPr>
      </w:pPr>
    </w:p>
    <w:p w:rsidR="00AD4C87" w:rsidRDefault="00AD4C87" w:rsidP="00CA260A">
      <w:pPr>
        <w:spacing w:after="0" w:line="240" w:lineRule="auto"/>
        <w:ind w:right="-483" w:firstLine="709"/>
        <w:jc w:val="both"/>
        <w:rPr>
          <w:rFonts w:ascii="Times New Roman" w:hAnsi="Times New Roman"/>
          <w:sz w:val="28"/>
          <w:szCs w:val="28"/>
        </w:rPr>
      </w:pPr>
    </w:p>
    <w:p w:rsidR="005821CC"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 xml:space="preserve">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A.Matīss</w:t>
      </w:r>
    </w:p>
    <w:p w:rsidR="005821CC" w:rsidRDefault="005821CC" w:rsidP="00CA260A">
      <w:pPr>
        <w:spacing w:after="0" w:line="240" w:lineRule="auto"/>
        <w:ind w:right="-483" w:firstLine="709"/>
        <w:jc w:val="both"/>
        <w:rPr>
          <w:rFonts w:ascii="Times New Roman" w:hAnsi="Times New Roman"/>
          <w:sz w:val="28"/>
          <w:szCs w:val="28"/>
        </w:rPr>
      </w:pPr>
    </w:p>
    <w:p w:rsidR="00405531" w:rsidRDefault="00405531" w:rsidP="00CA260A">
      <w:pPr>
        <w:spacing w:after="0" w:line="240" w:lineRule="auto"/>
        <w:ind w:right="-483" w:firstLine="709"/>
        <w:jc w:val="both"/>
        <w:rPr>
          <w:rFonts w:ascii="Times New Roman" w:hAnsi="Times New Roman"/>
          <w:sz w:val="28"/>
          <w:szCs w:val="28"/>
        </w:rPr>
      </w:pPr>
    </w:p>
    <w:p w:rsidR="005821CC" w:rsidRDefault="005821CC" w:rsidP="00CA260A">
      <w:pPr>
        <w:spacing w:after="0" w:line="240" w:lineRule="auto"/>
        <w:ind w:right="-483" w:firstLine="709"/>
        <w:jc w:val="both"/>
        <w:rPr>
          <w:rFonts w:ascii="Times New Roman" w:hAnsi="Times New Roman"/>
          <w:sz w:val="28"/>
          <w:szCs w:val="28"/>
        </w:rPr>
      </w:pPr>
      <w:r>
        <w:rPr>
          <w:rFonts w:ascii="Times New Roman" w:hAnsi="Times New Roman"/>
          <w:sz w:val="28"/>
          <w:szCs w:val="28"/>
        </w:rPr>
        <w:tab/>
        <w:t xml:space="preserve">Iesniedzējs: 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A.Matīss</w:t>
      </w:r>
    </w:p>
    <w:p w:rsidR="005821CC" w:rsidRDefault="005821CC" w:rsidP="00CA260A">
      <w:pPr>
        <w:spacing w:after="0" w:line="240" w:lineRule="auto"/>
        <w:ind w:right="-483" w:firstLine="709"/>
        <w:jc w:val="both"/>
        <w:rPr>
          <w:rFonts w:ascii="Times New Roman" w:hAnsi="Times New Roman"/>
          <w:sz w:val="28"/>
          <w:szCs w:val="28"/>
        </w:rPr>
      </w:pPr>
    </w:p>
    <w:p w:rsidR="00AD4C87" w:rsidRDefault="00AD4C87" w:rsidP="00AD4C87">
      <w:pPr>
        <w:spacing w:after="0" w:line="240" w:lineRule="auto"/>
        <w:ind w:right="-516" w:firstLine="709"/>
        <w:rPr>
          <w:rFonts w:ascii="Times New Roman" w:hAnsi="Times New Roman"/>
          <w:sz w:val="28"/>
          <w:szCs w:val="28"/>
        </w:rPr>
      </w:pPr>
    </w:p>
    <w:p w:rsidR="00AD4C87" w:rsidRPr="00AD4C87" w:rsidRDefault="00AD4C87" w:rsidP="00AD4C87">
      <w:pPr>
        <w:spacing w:after="0" w:line="240" w:lineRule="auto"/>
        <w:ind w:right="-516" w:firstLine="709"/>
        <w:rPr>
          <w:rFonts w:ascii="Times New Roman" w:hAnsi="Times New Roman"/>
          <w:sz w:val="28"/>
          <w:szCs w:val="28"/>
        </w:rPr>
      </w:pPr>
      <w:r w:rsidRPr="00AD4C87">
        <w:rPr>
          <w:rFonts w:ascii="Times New Roman" w:hAnsi="Times New Roman"/>
          <w:sz w:val="28"/>
          <w:szCs w:val="28"/>
        </w:rPr>
        <w:t>Vīza: Valsts sekretāra vietā -</w:t>
      </w:r>
    </w:p>
    <w:p w:rsidR="00AD4C87" w:rsidRPr="00AD4C87" w:rsidRDefault="00AD4C87" w:rsidP="00AD4C87">
      <w:pPr>
        <w:spacing w:after="0" w:line="240" w:lineRule="auto"/>
        <w:ind w:right="-516" w:firstLine="709"/>
        <w:rPr>
          <w:rFonts w:ascii="Times New Roman" w:hAnsi="Times New Roman"/>
          <w:sz w:val="28"/>
          <w:szCs w:val="28"/>
        </w:rPr>
      </w:pPr>
      <w:r w:rsidRPr="00AD4C87">
        <w:rPr>
          <w:rFonts w:ascii="Times New Roman" w:hAnsi="Times New Roman"/>
          <w:sz w:val="28"/>
          <w:szCs w:val="28"/>
        </w:rPr>
        <w:t>Valsts sekretāra vietniece</w:t>
      </w:r>
      <w:r w:rsidRPr="00AD4C87">
        <w:rPr>
          <w:rFonts w:ascii="Times New Roman" w:hAnsi="Times New Roman"/>
          <w:sz w:val="28"/>
          <w:szCs w:val="28"/>
        </w:rPr>
        <w:tab/>
      </w:r>
      <w:r w:rsidRPr="00AD4C87">
        <w:rPr>
          <w:rFonts w:ascii="Times New Roman" w:hAnsi="Times New Roman"/>
          <w:sz w:val="28"/>
          <w:szCs w:val="28"/>
        </w:rPr>
        <w:tab/>
      </w:r>
      <w:r w:rsidRPr="00AD4C87">
        <w:rPr>
          <w:rFonts w:ascii="Times New Roman" w:hAnsi="Times New Roman"/>
          <w:sz w:val="28"/>
          <w:szCs w:val="28"/>
        </w:rPr>
        <w:tab/>
      </w:r>
      <w:r w:rsidRPr="00AD4C87">
        <w:rPr>
          <w:rFonts w:ascii="Times New Roman" w:hAnsi="Times New Roman"/>
          <w:sz w:val="28"/>
          <w:szCs w:val="28"/>
        </w:rPr>
        <w:tab/>
      </w:r>
      <w:r w:rsidRPr="00AD4C87">
        <w:rPr>
          <w:rFonts w:ascii="Times New Roman" w:hAnsi="Times New Roman"/>
          <w:sz w:val="28"/>
          <w:szCs w:val="28"/>
        </w:rPr>
        <w:tab/>
      </w:r>
      <w:proofErr w:type="spellStart"/>
      <w:r w:rsidRPr="00AD4C87">
        <w:rPr>
          <w:rFonts w:ascii="Times New Roman" w:hAnsi="Times New Roman"/>
          <w:sz w:val="28"/>
          <w:szCs w:val="28"/>
        </w:rPr>
        <w:t>Dž.Innusa</w:t>
      </w:r>
      <w:proofErr w:type="spellEnd"/>
    </w:p>
    <w:p w:rsidR="00207ACB" w:rsidRDefault="00207ACB" w:rsidP="00CA260A">
      <w:pPr>
        <w:spacing w:after="0" w:line="240" w:lineRule="auto"/>
        <w:ind w:right="-483" w:firstLine="709"/>
        <w:jc w:val="both"/>
        <w:rPr>
          <w:rFonts w:ascii="Times New Roman" w:hAnsi="Times New Roman"/>
          <w:sz w:val="28"/>
          <w:szCs w:val="28"/>
        </w:rPr>
      </w:pPr>
    </w:p>
    <w:p w:rsidR="00AD4C87" w:rsidRDefault="00AD4C87" w:rsidP="00CA260A">
      <w:pPr>
        <w:spacing w:after="0" w:line="240" w:lineRule="auto"/>
        <w:ind w:right="-483" w:firstLine="709"/>
        <w:jc w:val="both"/>
        <w:rPr>
          <w:rFonts w:ascii="Times New Roman" w:hAnsi="Times New Roman"/>
          <w:sz w:val="28"/>
          <w:szCs w:val="28"/>
        </w:rPr>
      </w:pPr>
    </w:p>
    <w:p w:rsidR="00AD4C87" w:rsidRDefault="00AD4C87" w:rsidP="00CA260A">
      <w:pPr>
        <w:spacing w:after="0" w:line="240" w:lineRule="auto"/>
        <w:ind w:right="-483" w:firstLine="709"/>
        <w:jc w:val="both"/>
        <w:rPr>
          <w:rFonts w:ascii="Times New Roman" w:hAnsi="Times New Roman"/>
          <w:sz w:val="28"/>
          <w:szCs w:val="28"/>
        </w:rPr>
      </w:pPr>
    </w:p>
    <w:p w:rsidR="005821CC" w:rsidRPr="00343F11" w:rsidRDefault="00AA7745" w:rsidP="00CA260A">
      <w:pPr>
        <w:spacing w:after="0" w:line="240" w:lineRule="auto"/>
        <w:ind w:right="-483"/>
        <w:jc w:val="both"/>
        <w:rPr>
          <w:rFonts w:ascii="Times New Roman" w:hAnsi="Times New Roman"/>
        </w:rPr>
      </w:pPr>
      <w:r>
        <w:rPr>
          <w:rFonts w:ascii="Times New Roman" w:hAnsi="Times New Roman"/>
        </w:rPr>
        <w:t>05.08</w:t>
      </w:r>
      <w:r w:rsidR="005821CC">
        <w:rPr>
          <w:rFonts w:ascii="Times New Roman" w:hAnsi="Times New Roman"/>
        </w:rPr>
        <w:t>.2014</w:t>
      </w:r>
      <w:r w:rsidR="005821CC" w:rsidRPr="00343F11">
        <w:rPr>
          <w:rFonts w:ascii="Times New Roman" w:hAnsi="Times New Roman"/>
        </w:rPr>
        <w:t>. 1</w:t>
      </w:r>
      <w:r w:rsidR="005821CC">
        <w:rPr>
          <w:rFonts w:ascii="Times New Roman" w:hAnsi="Times New Roman"/>
        </w:rPr>
        <w:t>4:00</w:t>
      </w:r>
    </w:p>
    <w:p w:rsidR="005821CC" w:rsidRPr="00343F11" w:rsidRDefault="00F539B1" w:rsidP="00CA260A">
      <w:pPr>
        <w:spacing w:after="0" w:line="240" w:lineRule="auto"/>
        <w:ind w:right="-483"/>
        <w:jc w:val="both"/>
        <w:rPr>
          <w:rFonts w:ascii="Times New Roman" w:hAnsi="Times New Roman"/>
        </w:rPr>
      </w:pPr>
      <w:r>
        <w:rPr>
          <w:rFonts w:ascii="Times New Roman" w:hAnsi="Times New Roman"/>
        </w:rPr>
        <w:t>386</w:t>
      </w:r>
      <w:bookmarkStart w:id="0" w:name="_GoBack"/>
      <w:bookmarkEnd w:id="0"/>
    </w:p>
    <w:p w:rsidR="00405531" w:rsidRDefault="005821CC" w:rsidP="00CA260A">
      <w:pPr>
        <w:spacing w:after="0" w:line="240" w:lineRule="auto"/>
        <w:ind w:right="-483"/>
        <w:jc w:val="both"/>
        <w:rPr>
          <w:rFonts w:ascii="Times New Roman" w:hAnsi="Times New Roman"/>
        </w:rPr>
      </w:pPr>
      <w:r w:rsidRPr="00343F11">
        <w:rPr>
          <w:rFonts w:ascii="Times New Roman" w:hAnsi="Times New Roman"/>
        </w:rPr>
        <w:t>J</w:t>
      </w:r>
      <w:r>
        <w:rPr>
          <w:rFonts w:ascii="Times New Roman" w:hAnsi="Times New Roman"/>
        </w:rPr>
        <w:t>.</w:t>
      </w:r>
      <w:r w:rsidRPr="00343F11">
        <w:rPr>
          <w:rFonts w:ascii="Times New Roman" w:hAnsi="Times New Roman"/>
        </w:rPr>
        <w:t>Teteris</w:t>
      </w:r>
      <w:r>
        <w:rPr>
          <w:rFonts w:ascii="Times New Roman" w:hAnsi="Times New Roman"/>
        </w:rPr>
        <w:t xml:space="preserve">, </w:t>
      </w:r>
      <w:r w:rsidRPr="00343F11">
        <w:rPr>
          <w:rFonts w:ascii="Times New Roman" w:hAnsi="Times New Roman"/>
        </w:rPr>
        <w:t>67025725</w:t>
      </w:r>
    </w:p>
    <w:p w:rsidR="00112D89" w:rsidRPr="0038100F" w:rsidRDefault="005821CC" w:rsidP="0038100F">
      <w:pPr>
        <w:spacing w:after="0" w:line="240" w:lineRule="auto"/>
        <w:ind w:right="-483"/>
        <w:jc w:val="both"/>
      </w:pPr>
      <w:r w:rsidRPr="00343F11">
        <w:rPr>
          <w:rFonts w:ascii="Times New Roman" w:hAnsi="Times New Roman"/>
        </w:rPr>
        <w:t>juris.teteris@csdd.gov.lv</w:t>
      </w:r>
    </w:p>
    <w:sectPr w:rsidR="00112D89" w:rsidRPr="0038100F" w:rsidSect="00B75DB3">
      <w:headerReference w:type="default" r:id="rId8"/>
      <w:footerReference w:type="default" r:id="rId9"/>
      <w:footerReference w:type="first" r:id="rId10"/>
      <w:pgSz w:w="11906" w:h="16838"/>
      <w:pgMar w:top="1701" w:right="1800" w:bottom="1440" w:left="1800" w:header="708" w:footer="7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89" w:rsidRDefault="00112D89" w:rsidP="007C4062">
      <w:pPr>
        <w:spacing w:after="0" w:line="240" w:lineRule="auto"/>
      </w:pPr>
      <w:r>
        <w:separator/>
      </w:r>
    </w:p>
  </w:endnote>
  <w:endnote w:type="continuationSeparator" w:id="0">
    <w:p w:rsidR="00112D89" w:rsidRDefault="00112D89" w:rsidP="007C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B3" w:rsidRPr="00DF1AF5" w:rsidRDefault="00FB2F83" w:rsidP="00AD4C87">
    <w:pPr>
      <w:ind w:right="-483"/>
      <w:jc w:val="both"/>
      <w:rPr>
        <w:rFonts w:ascii="Times New Roman" w:hAnsi="Times New Roman"/>
      </w:rPr>
    </w:pPr>
    <w:r w:rsidRPr="00DF1AF5">
      <w:rPr>
        <w:rFonts w:ascii="Times New Roman" w:hAnsi="Times New Roman"/>
        <w:bCs/>
      </w:rPr>
      <w:t>SAMNot_</w:t>
    </w:r>
    <w:r w:rsidR="00AA7745">
      <w:rPr>
        <w:rFonts w:ascii="Times New Roman" w:hAnsi="Times New Roman"/>
        <w:bCs/>
      </w:rPr>
      <w:t>0508</w:t>
    </w:r>
    <w:r>
      <w:rPr>
        <w:rFonts w:ascii="Times New Roman" w:hAnsi="Times New Roman"/>
        <w:bCs/>
      </w:rPr>
      <w:t>14</w:t>
    </w:r>
    <w:r w:rsidRPr="00DF1AF5">
      <w:rPr>
        <w:rFonts w:ascii="Times New Roman" w:hAnsi="Times New Roman"/>
        <w:bCs/>
      </w:rPr>
      <w:t>_</w:t>
    </w:r>
    <w:r>
      <w:rPr>
        <w:rFonts w:ascii="Times New Roman" w:hAnsi="Times New Roman"/>
        <w:bCs/>
      </w:rPr>
      <w:t>csn</w:t>
    </w:r>
    <w:r w:rsidRPr="00DF1AF5">
      <w:rPr>
        <w:rFonts w:ascii="Times New Roman" w:hAnsi="Times New Roman"/>
        <w:bCs/>
      </w:rPr>
      <w:t xml:space="preserve">; </w:t>
    </w:r>
    <w:r>
      <w:rPr>
        <w:rFonts w:ascii="Times New Roman" w:hAnsi="Times New Roman"/>
        <w:bCs/>
      </w:rPr>
      <w:t>Ministru kabineta noteikumu projekts  „</w:t>
    </w:r>
    <w:r w:rsidRPr="00DF1AF5">
      <w:rPr>
        <w:rFonts w:ascii="Times New Roman" w:hAnsi="Times New Roman"/>
        <w:bCs/>
      </w:rPr>
      <w:t xml:space="preserve">Grozījumi Ministru kabineta 2004.gada </w:t>
    </w:r>
    <w:r>
      <w:rPr>
        <w:rFonts w:ascii="Times New Roman" w:hAnsi="Times New Roman"/>
        <w:bCs/>
      </w:rPr>
      <w:t>2</w:t>
    </w:r>
    <w:r w:rsidRPr="00DF1AF5">
      <w:rPr>
        <w:rFonts w:ascii="Times New Roman" w:hAnsi="Times New Roman"/>
        <w:bCs/>
      </w:rPr>
      <w:t xml:space="preserve">9.jūnija noteikumos Nr.571 </w:t>
    </w:r>
    <w:r>
      <w:rPr>
        <w:rFonts w:ascii="Times New Roman" w:hAnsi="Times New Roman"/>
        <w:bCs/>
      </w:rPr>
      <w:t>„</w:t>
    </w:r>
    <w:r w:rsidRPr="00DF1AF5">
      <w:rPr>
        <w:rFonts w:ascii="Times New Roman" w:hAnsi="Times New Roman"/>
      </w:rPr>
      <w:t>Ceļu satiksmes noteikumi</w:t>
    </w:r>
    <w:r>
      <w:rPr>
        <w:rFonts w:ascii="Times New Roman" w:hAnsi="Times New Roman"/>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B3" w:rsidRPr="00DF1AF5" w:rsidRDefault="00112D89" w:rsidP="00AD4C87">
    <w:pPr>
      <w:ind w:right="-483"/>
      <w:jc w:val="both"/>
      <w:rPr>
        <w:rFonts w:ascii="Times New Roman" w:hAnsi="Times New Roman"/>
      </w:rPr>
    </w:pPr>
    <w:r w:rsidRPr="00DF1AF5">
      <w:rPr>
        <w:rFonts w:ascii="Times New Roman" w:hAnsi="Times New Roman"/>
        <w:bCs/>
      </w:rPr>
      <w:t>SAMNot_</w:t>
    </w:r>
    <w:r w:rsidR="00AA7745">
      <w:rPr>
        <w:rFonts w:ascii="Times New Roman" w:hAnsi="Times New Roman"/>
        <w:bCs/>
      </w:rPr>
      <w:t>0508</w:t>
    </w:r>
    <w:r w:rsidR="00FB2F83">
      <w:rPr>
        <w:rFonts w:ascii="Times New Roman" w:hAnsi="Times New Roman"/>
        <w:bCs/>
      </w:rPr>
      <w:t>14</w:t>
    </w:r>
    <w:r w:rsidRPr="00DF1AF5">
      <w:rPr>
        <w:rFonts w:ascii="Times New Roman" w:hAnsi="Times New Roman"/>
        <w:bCs/>
      </w:rPr>
      <w:t>_</w:t>
    </w:r>
    <w:r w:rsidR="00FB2F83">
      <w:rPr>
        <w:rFonts w:ascii="Times New Roman" w:hAnsi="Times New Roman"/>
        <w:bCs/>
      </w:rPr>
      <w:t>csn</w:t>
    </w:r>
    <w:r w:rsidRPr="00DF1AF5">
      <w:rPr>
        <w:rFonts w:ascii="Times New Roman" w:hAnsi="Times New Roman"/>
        <w:bCs/>
      </w:rPr>
      <w:t xml:space="preserve">; </w:t>
    </w:r>
    <w:r w:rsidR="00FB2F83">
      <w:rPr>
        <w:rFonts w:ascii="Times New Roman" w:hAnsi="Times New Roman"/>
        <w:bCs/>
      </w:rPr>
      <w:t>Ministru kabineta noteikumu projekts  „</w:t>
    </w:r>
    <w:r w:rsidRPr="00DF1AF5">
      <w:rPr>
        <w:rFonts w:ascii="Times New Roman" w:hAnsi="Times New Roman"/>
        <w:bCs/>
      </w:rPr>
      <w:t xml:space="preserve">Grozījumi Ministru kabineta 2004.gada </w:t>
    </w:r>
    <w:r>
      <w:rPr>
        <w:rFonts w:ascii="Times New Roman" w:hAnsi="Times New Roman"/>
        <w:bCs/>
      </w:rPr>
      <w:t>2</w:t>
    </w:r>
    <w:r w:rsidRPr="00DF1AF5">
      <w:rPr>
        <w:rFonts w:ascii="Times New Roman" w:hAnsi="Times New Roman"/>
        <w:bCs/>
      </w:rPr>
      <w:t xml:space="preserve">9.jūnija noteikumos Nr.571 </w:t>
    </w:r>
    <w:r w:rsidR="00FB2F83">
      <w:rPr>
        <w:rFonts w:ascii="Times New Roman" w:hAnsi="Times New Roman"/>
        <w:bCs/>
      </w:rPr>
      <w:t>„</w:t>
    </w:r>
    <w:r w:rsidRPr="00DF1AF5">
      <w:rPr>
        <w:rFonts w:ascii="Times New Roman" w:hAnsi="Times New Roman"/>
      </w:rPr>
      <w:t>Ceļu satiksmes noteikumi</w:t>
    </w:r>
    <w:r w:rsidR="00FB2F83">
      <w:rPr>
        <w:rFonts w:ascii="Times New Roman" w:hAnsi="Times New Roman"/>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89" w:rsidRDefault="00112D89" w:rsidP="007C4062">
      <w:pPr>
        <w:spacing w:after="0" w:line="240" w:lineRule="auto"/>
      </w:pPr>
      <w:r>
        <w:separator/>
      </w:r>
    </w:p>
  </w:footnote>
  <w:footnote w:type="continuationSeparator" w:id="0">
    <w:p w:rsidR="00112D89" w:rsidRDefault="00112D89" w:rsidP="007C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89" w:rsidRDefault="007B0A9B">
    <w:pPr>
      <w:pStyle w:val="Header"/>
      <w:jc w:val="center"/>
    </w:pPr>
    <w:r>
      <w:fldChar w:fldCharType="begin"/>
    </w:r>
    <w:r>
      <w:instrText xml:space="preserve"> PAGE   \* MERGEFORMAT </w:instrText>
    </w:r>
    <w:r>
      <w:fldChar w:fldCharType="separate"/>
    </w:r>
    <w:r w:rsidR="00F539B1">
      <w:rPr>
        <w:noProof/>
      </w:rPr>
      <w:t>2</w:t>
    </w:r>
    <w:r>
      <w:rPr>
        <w:noProof/>
      </w:rPr>
      <w:fldChar w:fldCharType="end"/>
    </w:r>
  </w:p>
  <w:p w:rsidR="00112D89" w:rsidRDefault="00112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75544"/>
    <w:multiLevelType w:val="hybridMultilevel"/>
    <w:tmpl w:val="FB826FEC"/>
    <w:lvl w:ilvl="0" w:tplc="690A21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9D"/>
    <w:rsid w:val="0002680E"/>
    <w:rsid w:val="00057E01"/>
    <w:rsid w:val="00062984"/>
    <w:rsid w:val="000D1789"/>
    <w:rsid w:val="00112D89"/>
    <w:rsid w:val="001943D3"/>
    <w:rsid w:val="001B1652"/>
    <w:rsid w:val="001C51DE"/>
    <w:rsid w:val="001D11D7"/>
    <w:rsid w:val="00206B83"/>
    <w:rsid w:val="00207ACB"/>
    <w:rsid w:val="00226517"/>
    <w:rsid w:val="0023772F"/>
    <w:rsid w:val="002872FE"/>
    <w:rsid w:val="0031364F"/>
    <w:rsid w:val="0036714B"/>
    <w:rsid w:val="0038100F"/>
    <w:rsid w:val="003849BF"/>
    <w:rsid w:val="003A48C0"/>
    <w:rsid w:val="00402548"/>
    <w:rsid w:val="00405531"/>
    <w:rsid w:val="00450023"/>
    <w:rsid w:val="00454969"/>
    <w:rsid w:val="004A7BB7"/>
    <w:rsid w:val="004B0D9D"/>
    <w:rsid w:val="004D612C"/>
    <w:rsid w:val="004E5CC3"/>
    <w:rsid w:val="004F7ABB"/>
    <w:rsid w:val="005145AE"/>
    <w:rsid w:val="00572B32"/>
    <w:rsid w:val="005821CC"/>
    <w:rsid w:val="005A3393"/>
    <w:rsid w:val="006A07F4"/>
    <w:rsid w:val="006B586C"/>
    <w:rsid w:val="00703945"/>
    <w:rsid w:val="00762F95"/>
    <w:rsid w:val="00771188"/>
    <w:rsid w:val="00777EFE"/>
    <w:rsid w:val="007914C2"/>
    <w:rsid w:val="007B0A9B"/>
    <w:rsid w:val="007C4062"/>
    <w:rsid w:val="008368E5"/>
    <w:rsid w:val="008D4C57"/>
    <w:rsid w:val="008F268C"/>
    <w:rsid w:val="00906366"/>
    <w:rsid w:val="00915CF2"/>
    <w:rsid w:val="0095285F"/>
    <w:rsid w:val="009613C2"/>
    <w:rsid w:val="00967D4D"/>
    <w:rsid w:val="009A347C"/>
    <w:rsid w:val="009B11BA"/>
    <w:rsid w:val="009B4E79"/>
    <w:rsid w:val="009D32B2"/>
    <w:rsid w:val="00A662F1"/>
    <w:rsid w:val="00AA7745"/>
    <w:rsid w:val="00AB0E29"/>
    <w:rsid w:val="00AC5CEC"/>
    <w:rsid w:val="00AD4C87"/>
    <w:rsid w:val="00AF5C71"/>
    <w:rsid w:val="00B2501D"/>
    <w:rsid w:val="00B2560F"/>
    <w:rsid w:val="00B3784F"/>
    <w:rsid w:val="00B75DB3"/>
    <w:rsid w:val="00B83BB5"/>
    <w:rsid w:val="00B87AA8"/>
    <w:rsid w:val="00BB2ECD"/>
    <w:rsid w:val="00C24D5D"/>
    <w:rsid w:val="00C43FB8"/>
    <w:rsid w:val="00C6373F"/>
    <w:rsid w:val="00C74509"/>
    <w:rsid w:val="00C8046C"/>
    <w:rsid w:val="00C92A89"/>
    <w:rsid w:val="00CA260A"/>
    <w:rsid w:val="00CB4BBA"/>
    <w:rsid w:val="00CB7AA2"/>
    <w:rsid w:val="00CF6C0F"/>
    <w:rsid w:val="00D10454"/>
    <w:rsid w:val="00D273AC"/>
    <w:rsid w:val="00D45FB3"/>
    <w:rsid w:val="00D6421C"/>
    <w:rsid w:val="00D70B0B"/>
    <w:rsid w:val="00DF1AF5"/>
    <w:rsid w:val="00DF3DE1"/>
    <w:rsid w:val="00DF66E1"/>
    <w:rsid w:val="00E64CB7"/>
    <w:rsid w:val="00E77F19"/>
    <w:rsid w:val="00E96644"/>
    <w:rsid w:val="00ED39CB"/>
    <w:rsid w:val="00EF1546"/>
    <w:rsid w:val="00EF3B72"/>
    <w:rsid w:val="00F055F1"/>
    <w:rsid w:val="00F13BDC"/>
    <w:rsid w:val="00F3641C"/>
    <w:rsid w:val="00F539B1"/>
    <w:rsid w:val="00F94036"/>
    <w:rsid w:val="00FB2F83"/>
    <w:rsid w:val="00FB7D24"/>
    <w:rsid w:val="00FF5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0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4062"/>
    <w:rPr>
      <w:rFonts w:cs="Times New Roman"/>
    </w:rPr>
  </w:style>
  <w:style w:type="paragraph" w:styleId="Footer">
    <w:name w:val="footer"/>
    <w:basedOn w:val="Normal"/>
    <w:link w:val="FooterChar"/>
    <w:uiPriority w:val="99"/>
    <w:rsid w:val="007C40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4062"/>
    <w:rPr>
      <w:rFonts w:cs="Times New Roman"/>
    </w:rPr>
  </w:style>
  <w:style w:type="paragraph" w:styleId="BalloonText">
    <w:name w:val="Balloon Text"/>
    <w:basedOn w:val="Normal"/>
    <w:link w:val="BalloonTextChar"/>
    <w:uiPriority w:val="99"/>
    <w:semiHidden/>
    <w:rsid w:val="001C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DE"/>
    <w:rPr>
      <w:rFonts w:ascii="Tahoma" w:hAnsi="Tahoma" w:cs="Tahoma"/>
      <w:sz w:val="16"/>
      <w:szCs w:val="16"/>
    </w:rPr>
  </w:style>
  <w:style w:type="character" w:customStyle="1" w:styleId="CharChar">
    <w:name w:val="Char Char"/>
    <w:basedOn w:val="DefaultParagraphFont"/>
    <w:uiPriority w:val="99"/>
    <w:rsid w:val="00DF1AF5"/>
    <w:rPr>
      <w:rFonts w:cs="Times New Roman"/>
      <w:sz w:val="24"/>
      <w:szCs w:val="24"/>
      <w:lang w:val="lv-LV" w:eastAsia="lv-LV" w:bidi="ar-SA"/>
    </w:rPr>
  </w:style>
  <w:style w:type="character" w:styleId="Hyperlink">
    <w:name w:val="Hyperlink"/>
    <w:basedOn w:val="DefaultParagraphFont"/>
    <w:uiPriority w:val="99"/>
    <w:rsid w:val="00ED39CB"/>
    <w:rPr>
      <w:rFonts w:cs="Times New Roman"/>
      <w:color w:val="0000FF"/>
      <w:u w:val="single"/>
    </w:rPr>
  </w:style>
  <w:style w:type="paragraph" w:styleId="NoSpacing">
    <w:name w:val="No Spacing"/>
    <w:uiPriority w:val="1"/>
    <w:qFormat/>
    <w:rsid w:val="005821C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0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4062"/>
    <w:rPr>
      <w:rFonts w:cs="Times New Roman"/>
    </w:rPr>
  </w:style>
  <w:style w:type="paragraph" w:styleId="Footer">
    <w:name w:val="footer"/>
    <w:basedOn w:val="Normal"/>
    <w:link w:val="FooterChar"/>
    <w:uiPriority w:val="99"/>
    <w:rsid w:val="007C40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4062"/>
    <w:rPr>
      <w:rFonts w:cs="Times New Roman"/>
    </w:rPr>
  </w:style>
  <w:style w:type="paragraph" w:styleId="BalloonText">
    <w:name w:val="Balloon Text"/>
    <w:basedOn w:val="Normal"/>
    <w:link w:val="BalloonTextChar"/>
    <w:uiPriority w:val="99"/>
    <w:semiHidden/>
    <w:rsid w:val="001C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DE"/>
    <w:rPr>
      <w:rFonts w:ascii="Tahoma" w:hAnsi="Tahoma" w:cs="Tahoma"/>
      <w:sz w:val="16"/>
      <w:szCs w:val="16"/>
    </w:rPr>
  </w:style>
  <w:style w:type="character" w:customStyle="1" w:styleId="CharChar">
    <w:name w:val="Char Char"/>
    <w:basedOn w:val="DefaultParagraphFont"/>
    <w:uiPriority w:val="99"/>
    <w:rsid w:val="00DF1AF5"/>
    <w:rPr>
      <w:rFonts w:cs="Times New Roman"/>
      <w:sz w:val="24"/>
      <w:szCs w:val="24"/>
      <w:lang w:val="lv-LV" w:eastAsia="lv-LV" w:bidi="ar-SA"/>
    </w:rPr>
  </w:style>
  <w:style w:type="character" w:styleId="Hyperlink">
    <w:name w:val="Hyperlink"/>
    <w:basedOn w:val="DefaultParagraphFont"/>
    <w:uiPriority w:val="99"/>
    <w:rsid w:val="00ED39CB"/>
    <w:rPr>
      <w:rFonts w:cs="Times New Roman"/>
      <w:color w:val="0000FF"/>
      <w:u w:val="single"/>
    </w:rPr>
  </w:style>
  <w:style w:type="paragraph" w:styleId="NoSpacing">
    <w:name w:val="No Spacing"/>
    <w:uiPriority w:val="1"/>
    <w:qFormat/>
    <w:rsid w:val="005821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2051</Words>
  <Characters>1170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2004.gada 29.jūnija noteikumos Nr.571 „Ceļu satiksmes noteikumi””</vt:lpstr>
    </vt:vector>
  </TitlesOfParts>
  <Company>Satiksmes ministrija</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2004.gada 29.jūnija noteikumos Nr.571 „Ceļu satiksmes noteikumi””</dc:title>
  <dc:creator>Juris Teteris</dc:creator>
  <dc:description>juris.teteris@csdd.gov.lv67025725</dc:description>
  <cp:lastModifiedBy>Annija Novikova</cp:lastModifiedBy>
  <cp:revision>6</cp:revision>
  <cp:lastPrinted>2014-08-05T15:00:00Z</cp:lastPrinted>
  <dcterms:created xsi:type="dcterms:W3CDTF">2014-08-04T10:57:00Z</dcterms:created>
  <dcterms:modified xsi:type="dcterms:W3CDTF">2014-08-05T15:01:00Z</dcterms:modified>
</cp:coreProperties>
</file>