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6" w:rsidRPr="00CE3F25" w:rsidRDefault="008C57B6" w:rsidP="008C57B6">
      <w:pPr>
        <w:jc w:val="center"/>
        <w:rPr>
          <w:b/>
          <w:sz w:val="28"/>
          <w:szCs w:val="28"/>
        </w:rPr>
      </w:pPr>
      <w:bookmarkStart w:id="0" w:name="_GoBack"/>
      <w:bookmarkEnd w:id="0"/>
      <w:r w:rsidRPr="00CE3F25">
        <w:rPr>
          <w:b/>
          <w:sz w:val="28"/>
          <w:szCs w:val="28"/>
        </w:rPr>
        <w:t>Informatīvais ziņojums</w:t>
      </w:r>
    </w:p>
    <w:p w:rsidR="008C57B6" w:rsidRPr="00CE3F25" w:rsidRDefault="008C57B6" w:rsidP="008C57B6">
      <w:pPr>
        <w:jc w:val="center"/>
        <w:rPr>
          <w:b/>
          <w:sz w:val="28"/>
          <w:szCs w:val="28"/>
        </w:rPr>
      </w:pPr>
      <w:r w:rsidRPr="00CE3F25">
        <w:rPr>
          <w:b/>
          <w:sz w:val="28"/>
          <w:szCs w:val="28"/>
        </w:rPr>
        <w:t xml:space="preserve">„Par </w:t>
      </w:r>
      <w:r w:rsidR="00FD14DB" w:rsidRPr="00CE3F25">
        <w:rPr>
          <w:b/>
          <w:sz w:val="28"/>
          <w:szCs w:val="28"/>
        </w:rPr>
        <w:t xml:space="preserve">AS „Pasažieru vilciens” </w:t>
      </w:r>
      <w:r w:rsidR="00AA0A7D" w:rsidRPr="00CE3F25">
        <w:rPr>
          <w:b/>
          <w:sz w:val="28"/>
          <w:szCs w:val="28"/>
        </w:rPr>
        <w:t>sabiedriskā transporta pakalpojumu sniegšan</w:t>
      </w:r>
      <w:r w:rsidR="00FD14DB" w:rsidRPr="00CE3F25">
        <w:rPr>
          <w:b/>
          <w:sz w:val="28"/>
          <w:szCs w:val="28"/>
        </w:rPr>
        <w:t>u</w:t>
      </w:r>
      <w:r w:rsidR="00AA0A7D" w:rsidRPr="00CE3F25">
        <w:rPr>
          <w:b/>
          <w:sz w:val="28"/>
          <w:szCs w:val="28"/>
        </w:rPr>
        <w:t xml:space="preserve"> reģionālajos </w:t>
      </w:r>
      <w:r w:rsidR="00FD14DB" w:rsidRPr="00CE3F25">
        <w:rPr>
          <w:b/>
          <w:sz w:val="28"/>
          <w:szCs w:val="28"/>
        </w:rPr>
        <w:t>starppilsētu</w:t>
      </w:r>
      <w:r w:rsidR="00AA0A7D" w:rsidRPr="00CE3F25">
        <w:rPr>
          <w:b/>
          <w:sz w:val="28"/>
          <w:szCs w:val="28"/>
        </w:rPr>
        <w:t xml:space="preserve"> nozīmes maršrutos </w:t>
      </w:r>
      <w:r w:rsidR="00D14E87" w:rsidRPr="00CE3F25">
        <w:rPr>
          <w:b/>
          <w:sz w:val="28"/>
          <w:szCs w:val="28"/>
        </w:rPr>
        <w:t>2013.gadā</w:t>
      </w:r>
      <w:r w:rsidR="00FD14DB" w:rsidRPr="00CE3F25">
        <w:rPr>
          <w:b/>
          <w:sz w:val="28"/>
          <w:szCs w:val="28"/>
        </w:rPr>
        <w:t xml:space="preserve"> un 2014.gadā</w:t>
      </w:r>
      <w:r w:rsidRPr="00CE3F25">
        <w:rPr>
          <w:b/>
          <w:sz w:val="28"/>
          <w:szCs w:val="28"/>
        </w:rPr>
        <w:t>”</w:t>
      </w:r>
    </w:p>
    <w:p w:rsidR="00201FC1" w:rsidRPr="00201FC1" w:rsidRDefault="00201FC1" w:rsidP="008C57B6">
      <w:pPr>
        <w:jc w:val="both"/>
        <w:rPr>
          <w:sz w:val="26"/>
          <w:szCs w:val="26"/>
        </w:rPr>
      </w:pPr>
    </w:p>
    <w:p w:rsidR="008C57B6" w:rsidRPr="00CE3F25" w:rsidRDefault="00104F5B" w:rsidP="00EC4BA2">
      <w:pPr>
        <w:tabs>
          <w:tab w:val="left" w:pos="709"/>
        </w:tabs>
        <w:jc w:val="both"/>
        <w:rPr>
          <w:sz w:val="28"/>
          <w:szCs w:val="28"/>
        </w:rPr>
      </w:pPr>
      <w:r w:rsidRPr="00201FC1">
        <w:rPr>
          <w:sz w:val="26"/>
          <w:szCs w:val="26"/>
        </w:rPr>
        <w:tab/>
      </w:r>
      <w:r w:rsidRPr="00CE3F25">
        <w:rPr>
          <w:sz w:val="28"/>
          <w:szCs w:val="28"/>
        </w:rPr>
        <w:t xml:space="preserve">Ministru kabineta </w:t>
      </w:r>
      <w:r w:rsidR="003D170A" w:rsidRPr="00CE3F25">
        <w:rPr>
          <w:sz w:val="28"/>
          <w:szCs w:val="28"/>
        </w:rPr>
        <w:t xml:space="preserve">2012.gada 15.maija </w:t>
      </w:r>
      <w:r w:rsidRPr="00CE3F25">
        <w:rPr>
          <w:sz w:val="28"/>
          <w:szCs w:val="28"/>
        </w:rPr>
        <w:t>noteikumu Nr.341 „Kārtība, kādā nosaka un kompensē ar sabiedriskā transporta pakalpojumu sniegšanu saistītos zaudējumus un izdevumus un nosaka sabiedriskā transporta pakalpojuma tarifu” 22.punkts nosaka, ka, ja valsts budžeta programmā „Sabiedriskais transports” nepietiek līdzekļu, lai pilnībā kompensētu zaudējumus un izdevumus, par nepieciešamā finansējuma apmēru un avotu lemj Ministru kabinets.</w:t>
      </w:r>
    </w:p>
    <w:p w:rsidR="00FD14DB" w:rsidRDefault="00242F34">
      <w:pPr>
        <w:ind w:firstLine="709"/>
        <w:jc w:val="both"/>
        <w:rPr>
          <w:sz w:val="28"/>
          <w:szCs w:val="28"/>
        </w:rPr>
      </w:pPr>
      <w:r w:rsidRPr="00CE3F25">
        <w:rPr>
          <w:sz w:val="28"/>
          <w:szCs w:val="28"/>
        </w:rPr>
        <w:t>Saskaņā a</w:t>
      </w:r>
      <w:r w:rsidR="00FD14DB" w:rsidRPr="00CE3F25">
        <w:rPr>
          <w:sz w:val="28"/>
          <w:szCs w:val="28"/>
        </w:rPr>
        <w:t xml:space="preserve">r </w:t>
      </w:r>
      <w:r w:rsidRPr="00CE3F25">
        <w:rPr>
          <w:sz w:val="28"/>
          <w:szCs w:val="28"/>
        </w:rPr>
        <w:t>Sabiedriskā transporta pakalpojumu likuma 4.</w:t>
      </w:r>
      <w:r w:rsidRPr="00CE3F25">
        <w:rPr>
          <w:sz w:val="28"/>
          <w:szCs w:val="28"/>
          <w:vertAlign w:val="superscript"/>
        </w:rPr>
        <w:t>1</w:t>
      </w:r>
      <w:r w:rsidRPr="00CE3F25">
        <w:rPr>
          <w:sz w:val="28"/>
          <w:szCs w:val="28"/>
        </w:rPr>
        <w:t xml:space="preserve">pantu un </w:t>
      </w:r>
      <w:r w:rsidR="00FD14DB" w:rsidRPr="00CE3F25">
        <w:rPr>
          <w:sz w:val="28"/>
          <w:szCs w:val="28"/>
        </w:rPr>
        <w:t>2013.gada 17.decembra Ministru</w:t>
      </w:r>
      <w:r w:rsidR="00B910C8">
        <w:rPr>
          <w:sz w:val="28"/>
          <w:szCs w:val="28"/>
        </w:rPr>
        <w:t xml:space="preserve"> kabineta noteikumiem Nr.1511 „S</w:t>
      </w:r>
      <w:r w:rsidR="00FD14DB" w:rsidRPr="00CE3F25">
        <w:rPr>
          <w:sz w:val="28"/>
          <w:szCs w:val="28"/>
        </w:rPr>
        <w:t>abiedriskā transporta padomes nolikums”</w:t>
      </w:r>
      <w:r w:rsidR="00752A80" w:rsidRPr="00CE3F25">
        <w:rPr>
          <w:sz w:val="28"/>
          <w:szCs w:val="28"/>
        </w:rPr>
        <w:t>,</w:t>
      </w:r>
      <w:r w:rsidR="00FD14DB" w:rsidRPr="00CE3F25">
        <w:rPr>
          <w:sz w:val="28"/>
          <w:szCs w:val="28"/>
        </w:rPr>
        <w:t xml:space="preserve"> </w:t>
      </w:r>
      <w:r w:rsidR="00456092" w:rsidRPr="00CE3F25">
        <w:rPr>
          <w:sz w:val="28"/>
          <w:szCs w:val="28"/>
        </w:rPr>
        <w:t>s</w:t>
      </w:r>
      <w:r w:rsidR="00FD14DB" w:rsidRPr="00CE3F25">
        <w:rPr>
          <w:sz w:val="28"/>
          <w:szCs w:val="28"/>
        </w:rPr>
        <w:t>ākot ar 2014.gada 1.janvār</w:t>
      </w:r>
      <w:r w:rsidRPr="00CE3F25">
        <w:rPr>
          <w:sz w:val="28"/>
          <w:szCs w:val="28"/>
        </w:rPr>
        <w:t>i,</w:t>
      </w:r>
      <w:r w:rsidR="00FD14DB" w:rsidRPr="00CE3F25">
        <w:rPr>
          <w:sz w:val="28"/>
          <w:szCs w:val="28"/>
        </w:rPr>
        <w:t xml:space="preserve"> ir izveidota </w:t>
      </w:r>
      <w:r w:rsidRPr="00CE3F25">
        <w:rPr>
          <w:sz w:val="28"/>
          <w:szCs w:val="28"/>
        </w:rPr>
        <w:t>Sabiedriskā transporta padome, kas atbilstoši Sabiedriskā transporta pakalpojumu likuma 5.panta pirmās daļas 6. un 7.punktam pārrauga sabiedriskajam transportam no valsts budžeta iedalīto finanšu līdzekļu administrēšanu, sadali un piešķiršanu, kā arī sagatavo un iesniedz Satiksmes ministrijai priekšlikumus par valsts budžeta pieprasījumu sabiedriskā transporta pakalpojumu organizēšanai</w:t>
      </w:r>
      <w:r w:rsidR="0044311E">
        <w:rPr>
          <w:sz w:val="28"/>
          <w:szCs w:val="28"/>
        </w:rPr>
        <w:t xml:space="preserve"> un</w:t>
      </w:r>
      <w:r w:rsidRPr="00CE3F25">
        <w:rPr>
          <w:sz w:val="28"/>
          <w:szCs w:val="28"/>
        </w:rPr>
        <w:t xml:space="preserve"> par piešķirtā valsts budžeta sadalījumu</w:t>
      </w:r>
      <w:r w:rsidR="002C1C98" w:rsidRPr="00CE3F25">
        <w:rPr>
          <w:sz w:val="28"/>
          <w:szCs w:val="28"/>
        </w:rPr>
        <w:t xml:space="preserve"> starp </w:t>
      </w:r>
      <w:r w:rsidR="002C1C98" w:rsidRPr="000B7ADB">
        <w:rPr>
          <w:sz w:val="28"/>
          <w:szCs w:val="28"/>
        </w:rPr>
        <w:t>pārvadājumu veidiem</w:t>
      </w:r>
      <w:r w:rsidR="0044311E">
        <w:rPr>
          <w:sz w:val="28"/>
          <w:szCs w:val="28"/>
        </w:rPr>
        <w:t>, kā arī</w:t>
      </w:r>
      <w:r w:rsidR="002C1C98" w:rsidRPr="000B7ADB">
        <w:rPr>
          <w:sz w:val="28"/>
          <w:szCs w:val="28"/>
        </w:rPr>
        <w:t xml:space="preserve"> izstrādā valsts budžeta sadales principus attiecībā uz noslēgtajiem sabiedriskā transporta pakalpojumu līgumiem.</w:t>
      </w:r>
    </w:p>
    <w:p w:rsidR="005C22B2" w:rsidRPr="000B7ADB" w:rsidRDefault="005C22B2">
      <w:pPr>
        <w:ind w:firstLine="709"/>
        <w:jc w:val="both"/>
        <w:rPr>
          <w:sz w:val="28"/>
          <w:szCs w:val="28"/>
        </w:rPr>
      </w:pPr>
    </w:p>
    <w:p w:rsidR="001D3F18" w:rsidRDefault="00B910C8" w:rsidP="007D6889">
      <w:pPr>
        <w:ind w:firstLine="709"/>
        <w:jc w:val="both"/>
        <w:rPr>
          <w:sz w:val="28"/>
          <w:szCs w:val="28"/>
        </w:rPr>
      </w:pPr>
      <w:r w:rsidRPr="000B7ADB">
        <w:rPr>
          <w:sz w:val="28"/>
          <w:szCs w:val="28"/>
        </w:rPr>
        <w:t xml:space="preserve">Sabiedriskā transporta padomes 2014.gada 16.maija </w:t>
      </w:r>
      <w:r w:rsidR="007D6889">
        <w:rPr>
          <w:sz w:val="28"/>
          <w:szCs w:val="28"/>
        </w:rPr>
        <w:t>(prot. Nr.8§1) un 2014.gada 3.oktobra (prot. Nr.15§</w:t>
      </w:r>
      <w:r w:rsidR="00F70F19">
        <w:rPr>
          <w:sz w:val="28"/>
          <w:szCs w:val="28"/>
        </w:rPr>
        <w:t>5; Nr.15§7</w:t>
      </w:r>
      <w:r w:rsidR="007D6889">
        <w:rPr>
          <w:sz w:val="28"/>
          <w:szCs w:val="28"/>
        </w:rPr>
        <w:t xml:space="preserve">) </w:t>
      </w:r>
      <w:r w:rsidRPr="000B7ADB">
        <w:rPr>
          <w:sz w:val="28"/>
          <w:szCs w:val="28"/>
        </w:rPr>
        <w:t>sēdē tika izskatīts jautājums par AS „Pasažieru vilciens” 2013.gada faktisko</w:t>
      </w:r>
      <w:r w:rsidR="001D3F18" w:rsidRPr="000B7ADB">
        <w:rPr>
          <w:sz w:val="28"/>
          <w:szCs w:val="28"/>
        </w:rPr>
        <w:t xml:space="preserve"> sabiedriskā transporta pakalpojuma </w:t>
      </w:r>
      <w:r w:rsidRPr="000B7ADB">
        <w:rPr>
          <w:sz w:val="28"/>
          <w:szCs w:val="28"/>
        </w:rPr>
        <w:t xml:space="preserve">izpildi un nesegto zaudējumu apjomu un 2014.gada plānotajiem zaudējumiem, kā arī nepietiekamo finansējumu, un </w:t>
      </w:r>
      <w:r w:rsidR="001D3F18" w:rsidRPr="000B7ADB">
        <w:rPr>
          <w:sz w:val="28"/>
          <w:szCs w:val="28"/>
        </w:rPr>
        <w:t>Sabiedriskā transporta padome pieņēma lēmumu sniegt Satiksmes ministrijai sekojošus priekšlikumus:</w:t>
      </w:r>
    </w:p>
    <w:p w:rsidR="005C22B2" w:rsidRPr="000B7ADB" w:rsidRDefault="005C22B2">
      <w:pPr>
        <w:ind w:firstLine="709"/>
        <w:jc w:val="both"/>
        <w:rPr>
          <w:sz w:val="28"/>
          <w:szCs w:val="28"/>
        </w:rPr>
      </w:pPr>
    </w:p>
    <w:p w:rsidR="00E04C06" w:rsidRPr="005C22B2" w:rsidRDefault="005F4741" w:rsidP="00F70F19">
      <w:pPr>
        <w:tabs>
          <w:tab w:val="left" w:pos="709"/>
        </w:tabs>
        <w:ind w:firstLine="709"/>
        <w:jc w:val="both"/>
        <w:rPr>
          <w:sz w:val="28"/>
          <w:szCs w:val="28"/>
        </w:rPr>
      </w:pPr>
      <w:r w:rsidRPr="005F4741">
        <w:rPr>
          <w:sz w:val="28"/>
          <w:szCs w:val="28"/>
        </w:rPr>
        <w:t>1)</w:t>
      </w:r>
      <w:r>
        <w:rPr>
          <w:sz w:val="28"/>
          <w:szCs w:val="28"/>
        </w:rPr>
        <w:t xml:space="preserve"> </w:t>
      </w:r>
      <w:r w:rsidR="001D3F18" w:rsidRPr="005C22B2">
        <w:rPr>
          <w:sz w:val="28"/>
          <w:szCs w:val="28"/>
        </w:rPr>
        <w:t>I</w:t>
      </w:r>
      <w:r w:rsidR="001D3F18" w:rsidRPr="005F4741">
        <w:rPr>
          <w:sz w:val="28"/>
          <w:szCs w:val="28"/>
        </w:rPr>
        <w:t xml:space="preserve">evērojot to, ka </w:t>
      </w:r>
      <w:r w:rsidR="00E04C06" w:rsidRPr="005F4741">
        <w:rPr>
          <w:sz w:val="28"/>
          <w:szCs w:val="28"/>
        </w:rPr>
        <w:t>autopārvadātāju izmaksās maksa par infrastruktūras izmantošanu nav iekļauta</w:t>
      </w:r>
      <w:r w:rsidR="0044311E">
        <w:rPr>
          <w:sz w:val="28"/>
          <w:szCs w:val="28"/>
        </w:rPr>
        <w:t xml:space="preserve"> (izņemot maksa par autoostu pakalpojumu izmantošanu)</w:t>
      </w:r>
      <w:r w:rsidR="00E04C06" w:rsidRPr="005F4741">
        <w:rPr>
          <w:sz w:val="28"/>
          <w:szCs w:val="28"/>
        </w:rPr>
        <w:t xml:space="preserve">, jo autoceļu infrastruktūras uzturēšana notiek no valsts un pašvaldību tieša finansējuma, bet </w:t>
      </w:r>
      <w:r w:rsidR="001D3F18" w:rsidRPr="005F4741">
        <w:rPr>
          <w:sz w:val="28"/>
          <w:szCs w:val="28"/>
        </w:rPr>
        <w:t>izdevumi par publiskās lietošanas dzelzceļa infrastruktūras maksu</w:t>
      </w:r>
      <w:r w:rsidR="00E04C06" w:rsidRPr="005F4741">
        <w:rPr>
          <w:sz w:val="28"/>
          <w:szCs w:val="28"/>
        </w:rPr>
        <w:t xml:space="preserve">, kas </w:t>
      </w:r>
      <w:r w:rsidR="001D3F18" w:rsidRPr="005F4741">
        <w:rPr>
          <w:sz w:val="28"/>
          <w:szCs w:val="28"/>
        </w:rPr>
        <w:t>sastāda vismaz 50% no kopējiem AS „Pasažieru vilciens” izdevumiem būtiski ietekmē kopējos AS „Pasažieru vilciens” zaudējumus par pasažieru pārvadāšanu (aprakst</w:t>
      </w:r>
      <w:r w:rsidR="0080004D" w:rsidRPr="005F4741">
        <w:rPr>
          <w:sz w:val="28"/>
          <w:szCs w:val="28"/>
        </w:rPr>
        <w:t xml:space="preserve">s </w:t>
      </w:r>
      <w:r w:rsidR="001D3F18" w:rsidRPr="005F4741">
        <w:rPr>
          <w:sz w:val="28"/>
          <w:szCs w:val="28"/>
        </w:rPr>
        <w:t>informatīvajā ziņojumā)</w:t>
      </w:r>
      <w:r w:rsidR="00E04C06" w:rsidRPr="005F4741">
        <w:rPr>
          <w:sz w:val="28"/>
          <w:szCs w:val="28"/>
        </w:rPr>
        <w:t xml:space="preserve"> un</w:t>
      </w:r>
      <w:r w:rsidR="001D3F18" w:rsidRPr="005F4741">
        <w:rPr>
          <w:sz w:val="28"/>
          <w:szCs w:val="28"/>
        </w:rPr>
        <w:t xml:space="preserve"> </w:t>
      </w:r>
      <w:r w:rsidR="00E04C06" w:rsidRPr="005F4741">
        <w:rPr>
          <w:sz w:val="28"/>
          <w:szCs w:val="28"/>
        </w:rPr>
        <w:t xml:space="preserve">tas </w:t>
      </w:r>
      <w:r w:rsidR="003513DF" w:rsidRPr="005F4741">
        <w:rPr>
          <w:sz w:val="28"/>
          <w:szCs w:val="28"/>
        </w:rPr>
        <w:t>apgr</w:t>
      </w:r>
      <w:r w:rsidR="002E6A3B">
        <w:rPr>
          <w:sz w:val="28"/>
          <w:szCs w:val="28"/>
        </w:rPr>
        <w:t>ū</w:t>
      </w:r>
      <w:r w:rsidR="003513DF" w:rsidRPr="005F4741">
        <w:rPr>
          <w:sz w:val="28"/>
          <w:szCs w:val="28"/>
        </w:rPr>
        <w:t>tina</w:t>
      </w:r>
      <w:r w:rsidR="00E04C06" w:rsidRPr="005C22B2">
        <w:rPr>
          <w:sz w:val="28"/>
          <w:szCs w:val="28"/>
        </w:rPr>
        <w:t xml:space="preserve"> novērtēt atsevišķo transporta v</w:t>
      </w:r>
      <w:r w:rsidR="00E04C06" w:rsidRPr="005F4741">
        <w:rPr>
          <w:sz w:val="28"/>
          <w:szCs w:val="28"/>
        </w:rPr>
        <w:t>eidu</w:t>
      </w:r>
      <w:r w:rsidR="00E04C06" w:rsidRPr="005C22B2">
        <w:rPr>
          <w:sz w:val="28"/>
          <w:szCs w:val="28"/>
        </w:rPr>
        <w:t xml:space="preserve"> izmantošanas</w:t>
      </w:r>
      <w:r w:rsidR="00E04C06" w:rsidRPr="005F4741">
        <w:rPr>
          <w:sz w:val="28"/>
          <w:szCs w:val="28"/>
        </w:rPr>
        <w:t xml:space="preserve"> efektivitāti</w:t>
      </w:r>
      <w:r w:rsidR="0044311E">
        <w:rPr>
          <w:sz w:val="28"/>
          <w:szCs w:val="28"/>
        </w:rPr>
        <w:t>,</w:t>
      </w:r>
      <w:r w:rsidR="00E04C06" w:rsidRPr="005F4741">
        <w:rPr>
          <w:sz w:val="28"/>
          <w:szCs w:val="28"/>
        </w:rPr>
        <w:t xml:space="preserve"> </w:t>
      </w:r>
      <w:r w:rsidR="001D3F18" w:rsidRPr="005F4741">
        <w:rPr>
          <w:sz w:val="28"/>
          <w:szCs w:val="28"/>
        </w:rPr>
        <w:t xml:space="preserve">ir </w:t>
      </w:r>
      <w:r w:rsidRPr="005F4741">
        <w:rPr>
          <w:sz w:val="28"/>
          <w:szCs w:val="28"/>
        </w:rPr>
        <w:t>nepieciešams no</w:t>
      </w:r>
      <w:r w:rsidR="00E04C06" w:rsidRPr="005C22B2">
        <w:rPr>
          <w:sz w:val="28"/>
          <w:szCs w:val="28"/>
        </w:rPr>
        <w:t xml:space="preserve"> 2015.gada 1.janvāra paredzēt atsevišķu apakšprogrammu vai speciālu finansējumu valsts budžeta izdevumos dzelzceļa infrastruktūras maksas </w:t>
      </w:r>
      <w:r w:rsidR="00E8083D" w:rsidRPr="005C22B2">
        <w:rPr>
          <w:sz w:val="28"/>
          <w:szCs w:val="28"/>
        </w:rPr>
        <w:t>kompensēšan</w:t>
      </w:r>
      <w:r w:rsidR="00E8083D">
        <w:rPr>
          <w:sz w:val="28"/>
          <w:szCs w:val="28"/>
        </w:rPr>
        <w:t>ai</w:t>
      </w:r>
      <w:r w:rsidR="00E04C06" w:rsidRPr="005C22B2">
        <w:rPr>
          <w:sz w:val="28"/>
          <w:szCs w:val="28"/>
        </w:rPr>
        <w:t xml:space="preserve">, atdalot publiskās lietošanas dzelzceļa infrastruktūras maksu no pasažieru pārvadāšanai paredzētā finansējuma un saglabājot </w:t>
      </w:r>
      <w:r w:rsidR="00E8083D">
        <w:rPr>
          <w:sz w:val="28"/>
          <w:szCs w:val="28"/>
        </w:rPr>
        <w:t xml:space="preserve">finansējumu </w:t>
      </w:r>
      <w:r w:rsidR="00E04C06" w:rsidRPr="005C22B2">
        <w:rPr>
          <w:sz w:val="28"/>
          <w:szCs w:val="28"/>
        </w:rPr>
        <w:t xml:space="preserve">pasažieru pārvadājumiem pa dzelzceļu finansējumu esošajā ietvarā. </w:t>
      </w:r>
    </w:p>
    <w:p w:rsidR="00BD2EC2" w:rsidRPr="009841E3" w:rsidRDefault="005C22B2" w:rsidP="00F70F19">
      <w:pPr>
        <w:tabs>
          <w:tab w:val="left" w:pos="709"/>
        </w:tabs>
        <w:ind w:firstLine="709"/>
        <w:jc w:val="both"/>
        <w:rPr>
          <w:sz w:val="28"/>
          <w:szCs w:val="28"/>
        </w:rPr>
      </w:pPr>
      <w:r>
        <w:rPr>
          <w:sz w:val="28"/>
          <w:szCs w:val="28"/>
        </w:rPr>
        <w:lastRenderedPageBreak/>
        <w:t>2) Lūgt Satiksmes ministriju</w:t>
      </w:r>
      <w:r w:rsidR="005F4741">
        <w:rPr>
          <w:sz w:val="28"/>
          <w:szCs w:val="28"/>
        </w:rPr>
        <w:t xml:space="preserve"> </w:t>
      </w:r>
      <w:r w:rsidR="001D3F18" w:rsidRPr="005C22B2">
        <w:rPr>
          <w:sz w:val="28"/>
          <w:szCs w:val="28"/>
        </w:rPr>
        <w:t>vērsties Ministru kabinetā</w:t>
      </w:r>
      <w:r w:rsidR="0080004D" w:rsidRPr="005C22B2">
        <w:rPr>
          <w:sz w:val="28"/>
          <w:szCs w:val="28"/>
        </w:rPr>
        <w:t xml:space="preserve"> ar lūgumu</w:t>
      </w:r>
      <w:r w:rsidR="001D3F18" w:rsidRPr="005C22B2">
        <w:rPr>
          <w:sz w:val="28"/>
          <w:szCs w:val="28"/>
        </w:rPr>
        <w:t xml:space="preserve"> nodrošināt zaudējumu kompensēšanu par pasažieru pārvadāšanu pa dzelzceļu AS „Pasažieru vilciens” par 2013. un 2014.gadu</w:t>
      </w:r>
      <w:r w:rsidR="00E04C06" w:rsidRPr="005C22B2">
        <w:rPr>
          <w:sz w:val="28"/>
          <w:szCs w:val="28"/>
        </w:rPr>
        <w:t xml:space="preserve"> vismaz 2008.gada līmenī</w:t>
      </w:r>
      <w:r w:rsidR="006A0965" w:rsidRPr="005C22B2">
        <w:rPr>
          <w:sz w:val="28"/>
          <w:szCs w:val="28"/>
        </w:rPr>
        <w:t xml:space="preserve"> </w:t>
      </w:r>
      <w:r>
        <w:rPr>
          <w:sz w:val="28"/>
          <w:szCs w:val="28"/>
        </w:rPr>
        <w:t xml:space="preserve">ar korekciju atbilstoši inflācijas līmenim, </w:t>
      </w:r>
      <w:r w:rsidR="001D3F18" w:rsidRPr="005C22B2">
        <w:rPr>
          <w:sz w:val="28"/>
          <w:szCs w:val="28"/>
        </w:rPr>
        <w:t xml:space="preserve">jo sakarā ar </w:t>
      </w:r>
      <w:r w:rsidR="006A0965" w:rsidRPr="005C22B2">
        <w:rPr>
          <w:sz w:val="28"/>
          <w:szCs w:val="28"/>
        </w:rPr>
        <w:t xml:space="preserve">samazināto </w:t>
      </w:r>
      <w:r w:rsidR="001D3F18" w:rsidRPr="005C22B2">
        <w:rPr>
          <w:sz w:val="28"/>
          <w:szCs w:val="28"/>
        </w:rPr>
        <w:t xml:space="preserve">finansējumu pastāv draudi </w:t>
      </w:r>
      <w:r w:rsidR="0080004D" w:rsidRPr="005C22B2">
        <w:rPr>
          <w:sz w:val="28"/>
          <w:szCs w:val="28"/>
        </w:rPr>
        <w:t>pasažieru pārvadājumu</w:t>
      </w:r>
      <w:r w:rsidR="001D3F18" w:rsidRPr="005C22B2">
        <w:rPr>
          <w:sz w:val="28"/>
          <w:szCs w:val="28"/>
        </w:rPr>
        <w:t xml:space="preserve"> pa dzelzceļu </w:t>
      </w:r>
      <w:r>
        <w:rPr>
          <w:sz w:val="28"/>
          <w:szCs w:val="28"/>
        </w:rPr>
        <w:t>pārtraukumam</w:t>
      </w:r>
      <w:r w:rsidR="0044311E">
        <w:rPr>
          <w:sz w:val="28"/>
          <w:szCs w:val="28"/>
        </w:rPr>
        <w:t>.</w:t>
      </w:r>
      <w:r w:rsidR="00BD2EC2">
        <w:rPr>
          <w:sz w:val="28"/>
          <w:szCs w:val="28"/>
        </w:rPr>
        <w:t xml:space="preserve"> </w:t>
      </w:r>
    </w:p>
    <w:p w:rsidR="005C22B2" w:rsidRPr="005C22B2" w:rsidRDefault="005C22B2" w:rsidP="00BD2EC2">
      <w:pPr>
        <w:ind w:firstLine="709"/>
        <w:jc w:val="both"/>
        <w:rPr>
          <w:sz w:val="28"/>
          <w:szCs w:val="28"/>
        </w:rPr>
      </w:pPr>
    </w:p>
    <w:p w:rsidR="00FD14DB" w:rsidRPr="00B910C8" w:rsidRDefault="007D6889">
      <w:pPr>
        <w:ind w:firstLine="709"/>
        <w:jc w:val="both"/>
        <w:rPr>
          <w:sz w:val="28"/>
          <w:szCs w:val="28"/>
        </w:rPr>
      </w:pPr>
      <w:r>
        <w:rPr>
          <w:sz w:val="28"/>
          <w:szCs w:val="28"/>
        </w:rPr>
        <w:t>P</w:t>
      </w:r>
      <w:r w:rsidR="00CE3F25" w:rsidRPr="00CE3F25">
        <w:rPr>
          <w:sz w:val="28"/>
          <w:szCs w:val="28"/>
        </w:rPr>
        <w:t xml:space="preserve">asažieru pārvadājumu </w:t>
      </w:r>
      <w:r>
        <w:rPr>
          <w:sz w:val="28"/>
          <w:szCs w:val="28"/>
        </w:rPr>
        <w:t xml:space="preserve">pa dzelzceļu </w:t>
      </w:r>
      <w:r w:rsidR="00CE3F25" w:rsidRPr="00CE3F25">
        <w:rPr>
          <w:sz w:val="28"/>
          <w:szCs w:val="28"/>
        </w:rPr>
        <w:t>valsts pasūtījuma nodrošināšanai VSIA „Autotransporta direkcija” 2008.gada 19.decembrī, pamatojoties uz Sabiedriskā transporta pakalpojumu likuma 5.panta pirmās daļas 2.punktu, 8.panta trešo daļu, 8.panta septītās daļas 1.punktu un 2008.gada 2.septembra Ministru kabineta rīkojumu Nr.526 „Par akciju sabiedrības „Pasažieru vilciens” akciju pirkšanu un akciju turētāju”, ir noslēgusi ar AS „Pasažieru vilciens” Līgumu par sabiedriskā transporta pakalpojumu sniegšanu reģionālos starppilsētu noz</w:t>
      </w:r>
      <w:r w:rsidR="00CE3F25">
        <w:rPr>
          <w:sz w:val="28"/>
          <w:szCs w:val="28"/>
        </w:rPr>
        <w:t>īmes maršrutos pa dzelzceļu Nr.</w:t>
      </w:r>
      <w:r w:rsidR="00CE3F25" w:rsidRPr="00CE3F25">
        <w:rPr>
          <w:sz w:val="28"/>
          <w:szCs w:val="28"/>
        </w:rPr>
        <w:t>ATD/ST-2008/04PV262-08</w:t>
      </w:r>
      <w:r w:rsidR="00917847">
        <w:rPr>
          <w:sz w:val="28"/>
          <w:szCs w:val="28"/>
        </w:rPr>
        <w:t>,</w:t>
      </w:r>
      <w:r w:rsidR="00CE3F25" w:rsidRPr="00CE3F25">
        <w:rPr>
          <w:sz w:val="28"/>
          <w:szCs w:val="28"/>
        </w:rPr>
        <w:t xml:space="preserve"> </w:t>
      </w:r>
      <w:r w:rsidR="00917847">
        <w:rPr>
          <w:sz w:val="28"/>
          <w:szCs w:val="28"/>
        </w:rPr>
        <w:t xml:space="preserve">kura </w:t>
      </w:r>
      <w:r w:rsidR="00CE3F25" w:rsidRPr="00B910C8">
        <w:rPr>
          <w:sz w:val="28"/>
          <w:szCs w:val="28"/>
        </w:rPr>
        <w:t>termiņš ir noteikts līdz 2024.gada 31.decembrim.</w:t>
      </w:r>
    </w:p>
    <w:p w:rsidR="006A0965" w:rsidRDefault="00CE3F25" w:rsidP="006A0965">
      <w:pPr>
        <w:ind w:firstLine="709"/>
        <w:jc w:val="both"/>
        <w:rPr>
          <w:sz w:val="28"/>
          <w:szCs w:val="28"/>
        </w:rPr>
      </w:pPr>
      <w:r w:rsidRPr="00B910C8">
        <w:rPr>
          <w:sz w:val="28"/>
          <w:szCs w:val="28"/>
        </w:rPr>
        <w:t>Ņemot vērā kopējo valsts budžeta finansējuma samazinājumu zaudējumu segšanai sabiedriskā transporta</w:t>
      </w:r>
      <w:r>
        <w:rPr>
          <w:sz w:val="28"/>
          <w:szCs w:val="28"/>
        </w:rPr>
        <w:t xml:space="preserve"> sniedzējiem, valsts budžeta dotācijas ar katru gadu tiek samazinātas arī pasažieru pārvadātājiem pa dzelzceļu, to starpā arī AS „Pasažieru vilciens”. </w:t>
      </w:r>
      <w:r w:rsidR="009D23EE" w:rsidRPr="009D23EE">
        <w:rPr>
          <w:sz w:val="28"/>
          <w:szCs w:val="28"/>
        </w:rPr>
        <w:t xml:space="preserve">Proti, </w:t>
      </w:r>
      <w:r w:rsidR="009D23EE" w:rsidRPr="005C22B2">
        <w:rPr>
          <w:sz w:val="28"/>
          <w:szCs w:val="28"/>
          <w:u w:val="single"/>
        </w:rPr>
        <w:t xml:space="preserve">pēdējos </w:t>
      </w:r>
      <w:r w:rsidR="006A0965" w:rsidRPr="005C22B2">
        <w:rPr>
          <w:sz w:val="28"/>
          <w:szCs w:val="28"/>
          <w:u w:val="single"/>
        </w:rPr>
        <w:t>6</w:t>
      </w:r>
      <w:r w:rsidR="0032102E" w:rsidRPr="005C22B2">
        <w:rPr>
          <w:sz w:val="28"/>
          <w:szCs w:val="28"/>
          <w:u w:val="single"/>
        </w:rPr>
        <w:t xml:space="preserve"> </w:t>
      </w:r>
      <w:r w:rsidR="009D23EE" w:rsidRPr="005C22B2">
        <w:rPr>
          <w:sz w:val="28"/>
          <w:szCs w:val="28"/>
          <w:u w:val="single"/>
        </w:rPr>
        <w:t>gados pasažieru pārvadājumiem pa dzelzceļu nodrošināšanai valsts budžetā sākotnēji tiek piešķirts ievērojami mazāks finansējums</w:t>
      </w:r>
      <w:r w:rsidR="001C1AC0" w:rsidRPr="005C22B2">
        <w:rPr>
          <w:sz w:val="28"/>
          <w:szCs w:val="28"/>
          <w:u w:val="single"/>
        </w:rPr>
        <w:t xml:space="preserve"> nekā faktiski nepieciešamais</w:t>
      </w:r>
      <w:r w:rsidR="009D23EE" w:rsidRPr="009D23EE">
        <w:rPr>
          <w:sz w:val="28"/>
          <w:szCs w:val="28"/>
        </w:rPr>
        <w:t xml:space="preserve">, </w:t>
      </w:r>
      <w:r w:rsidR="009D23EE">
        <w:rPr>
          <w:sz w:val="28"/>
          <w:szCs w:val="28"/>
        </w:rPr>
        <w:t>bet</w:t>
      </w:r>
      <w:r w:rsidR="007D6889">
        <w:rPr>
          <w:sz w:val="28"/>
          <w:szCs w:val="28"/>
        </w:rPr>
        <w:t>,</w:t>
      </w:r>
      <w:r w:rsidR="009D23EE">
        <w:rPr>
          <w:sz w:val="28"/>
          <w:szCs w:val="28"/>
        </w:rPr>
        <w:t xml:space="preserve"> ievērojot pārvadājumu faktiskos zaudējumus</w:t>
      </w:r>
      <w:r w:rsidR="007D6889">
        <w:rPr>
          <w:sz w:val="28"/>
          <w:szCs w:val="28"/>
        </w:rPr>
        <w:t>,</w:t>
      </w:r>
      <w:r w:rsidR="001C1AC0">
        <w:rPr>
          <w:sz w:val="28"/>
          <w:szCs w:val="28"/>
        </w:rPr>
        <w:t xml:space="preserve"> </w:t>
      </w:r>
      <w:r w:rsidR="001C1AC0" w:rsidRPr="00BD2EC2">
        <w:rPr>
          <w:sz w:val="28"/>
          <w:szCs w:val="28"/>
          <w:u w:val="single"/>
        </w:rPr>
        <w:t>risinājumi</w:t>
      </w:r>
      <w:r w:rsidR="001C1AC0">
        <w:rPr>
          <w:sz w:val="28"/>
          <w:szCs w:val="28"/>
        </w:rPr>
        <w:t xml:space="preserve"> finansējuma nodrošināšanai </w:t>
      </w:r>
      <w:r w:rsidR="00AF68ED" w:rsidRPr="00BD2EC2">
        <w:rPr>
          <w:sz w:val="28"/>
          <w:szCs w:val="28"/>
          <w:u w:val="single"/>
        </w:rPr>
        <w:t xml:space="preserve">tika </w:t>
      </w:r>
      <w:r w:rsidR="001C1AC0" w:rsidRPr="00BD2EC2">
        <w:rPr>
          <w:sz w:val="28"/>
          <w:szCs w:val="28"/>
          <w:u w:val="single"/>
        </w:rPr>
        <w:t xml:space="preserve">rasti </w:t>
      </w:r>
      <w:r w:rsidR="006A0965" w:rsidRPr="00BD2EC2">
        <w:rPr>
          <w:sz w:val="28"/>
          <w:szCs w:val="28"/>
          <w:u w:val="single"/>
        </w:rPr>
        <w:t>dzelzceļa sektora ietvaros</w:t>
      </w:r>
      <w:r w:rsidR="006A0965">
        <w:rPr>
          <w:sz w:val="28"/>
          <w:szCs w:val="28"/>
        </w:rPr>
        <w:t>:</w:t>
      </w:r>
    </w:p>
    <w:p w:rsidR="006A0965" w:rsidRDefault="006A0965" w:rsidP="005C22B2">
      <w:pPr>
        <w:pStyle w:val="ListParagraph"/>
        <w:numPr>
          <w:ilvl w:val="0"/>
          <w:numId w:val="11"/>
        </w:numPr>
        <w:jc w:val="both"/>
        <w:rPr>
          <w:sz w:val="28"/>
          <w:szCs w:val="28"/>
        </w:rPr>
      </w:pPr>
      <w:r>
        <w:rPr>
          <w:sz w:val="28"/>
          <w:szCs w:val="28"/>
        </w:rPr>
        <w:t>20</w:t>
      </w:r>
      <w:r w:rsidR="00A871E2">
        <w:rPr>
          <w:sz w:val="28"/>
          <w:szCs w:val="28"/>
        </w:rPr>
        <w:t>10</w:t>
      </w:r>
      <w:r>
        <w:rPr>
          <w:sz w:val="28"/>
          <w:szCs w:val="28"/>
        </w:rPr>
        <w:t>.-</w:t>
      </w:r>
      <w:r w:rsidRPr="006A0965">
        <w:rPr>
          <w:sz w:val="28"/>
          <w:szCs w:val="28"/>
        </w:rPr>
        <w:t>201</w:t>
      </w:r>
      <w:r>
        <w:rPr>
          <w:sz w:val="28"/>
          <w:szCs w:val="28"/>
        </w:rPr>
        <w:t>1</w:t>
      </w:r>
      <w:r w:rsidRPr="005C22B2">
        <w:rPr>
          <w:sz w:val="28"/>
          <w:szCs w:val="28"/>
        </w:rPr>
        <w:t>.gad</w:t>
      </w:r>
      <w:r>
        <w:rPr>
          <w:sz w:val="28"/>
          <w:szCs w:val="28"/>
        </w:rPr>
        <w:t>os</w:t>
      </w:r>
      <w:r w:rsidRPr="005C22B2">
        <w:rPr>
          <w:sz w:val="28"/>
          <w:szCs w:val="28"/>
        </w:rPr>
        <w:t xml:space="preserve"> </w:t>
      </w:r>
      <w:r>
        <w:rPr>
          <w:sz w:val="28"/>
          <w:szCs w:val="28"/>
        </w:rPr>
        <w:t>maksa par dzelzceļa infrastruktūras izmanto</w:t>
      </w:r>
      <w:r w:rsidR="00A871E2">
        <w:rPr>
          <w:sz w:val="28"/>
          <w:szCs w:val="28"/>
        </w:rPr>
        <w:t>ša</w:t>
      </w:r>
      <w:r>
        <w:rPr>
          <w:sz w:val="28"/>
          <w:szCs w:val="28"/>
        </w:rPr>
        <w:t xml:space="preserve">nu tika </w:t>
      </w:r>
      <w:r w:rsidRPr="006A0965">
        <w:rPr>
          <w:sz w:val="28"/>
          <w:szCs w:val="28"/>
        </w:rPr>
        <w:t>noteikt</w:t>
      </w:r>
      <w:r>
        <w:rPr>
          <w:sz w:val="28"/>
          <w:szCs w:val="28"/>
        </w:rPr>
        <w:t>a</w:t>
      </w:r>
      <w:r w:rsidRPr="005C22B2">
        <w:rPr>
          <w:sz w:val="28"/>
          <w:szCs w:val="28"/>
        </w:rPr>
        <w:t xml:space="preserve"> zemākā līmenī, nekā nepieciešams, jo pieņēmumi par pārvadājumu apjomiem tika iesniegti neatbilstoši to izpildei</w:t>
      </w:r>
      <w:r w:rsidR="00A871E2">
        <w:rPr>
          <w:sz w:val="28"/>
          <w:szCs w:val="28"/>
        </w:rPr>
        <w:t>.</w:t>
      </w:r>
      <w:r w:rsidR="00BD2EC2">
        <w:rPr>
          <w:sz w:val="28"/>
          <w:szCs w:val="28"/>
        </w:rPr>
        <w:t xml:space="preserve"> </w:t>
      </w:r>
      <w:r w:rsidR="00A871E2">
        <w:rPr>
          <w:sz w:val="28"/>
          <w:szCs w:val="28"/>
        </w:rPr>
        <w:t>R</w:t>
      </w:r>
      <w:r w:rsidRPr="005C22B2">
        <w:rPr>
          <w:sz w:val="28"/>
          <w:szCs w:val="28"/>
        </w:rPr>
        <w:t xml:space="preserve">ezultātā </w:t>
      </w:r>
      <w:r w:rsidR="00B53F54">
        <w:rPr>
          <w:sz w:val="28"/>
          <w:szCs w:val="28"/>
        </w:rPr>
        <w:t xml:space="preserve">dzelzceļa infrastruktūras pārvaldītāja nesaņemtie ieņēmumi </w:t>
      </w:r>
      <w:r>
        <w:rPr>
          <w:sz w:val="28"/>
          <w:szCs w:val="28"/>
        </w:rPr>
        <w:t xml:space="preserve">dzelzceļa infrastruktūras izmantošanu attiecīgi  </w:t>
      </w:r>
      <w:r w:rsidRPr="005C22B2">
        <w:rPr>
          <w:sz w:val="28"/>
          <w:szCs w:val="28"/>
        </w:rPr>
        <w:t>4,2 milj.</w:t>
      </w:r>
      <w:r>
        <w:rPr>
          <w:sz w:val="28"/>
          <w:szCs w:val="28"/>
        </w:rPr>
        <w:t xml:space="preserve"> </w:t>
      </w:r>
      <w:r w:rsidR="0044311E" w:rsidRPr="006A0965">
        <w:rPr>
          <w:sz w:val="28"/>
          <w:szCs w:val="28"/>
        </w:rPr>
        <w:t>L</w:t>
      </w:r>
      <w:r w:rsidR="0044311E">
        <w:rPr>
          <w:sz w:val="28"/>
          <w:szCs w:val="28"/>
        </w:rPr>
        <w:t>VL (</w:t>
      </w:r>
      <w:r w:rsidR="009431A6">
        <w:rPr>
          <w:sz w:val="28"/>
          <w:szCs w:val="28"/>
        </w:rPr>
        <w:t>6</w:t>
      </w:r>
      <w:r w:rsidR="0087760A">
        <w:rPr>
          <w:sz w:val="28"/>
          <w:szCs w:val="28"/>
        </w:rPr>
        <w:t>,</w:t>
      </w:r>
      <w:r w:rsidR="009431A6">
        <w:rPr>
          <w:sz w:val="28"/>
          <w:szCs w:val="28"/>
        </w:rPr>
        <w:t>0</w:t>
      </w:r>
      <w:r w:rsidR="0044311E">
        <w:rPr>
          <w:sz w:val="28"/>
          <w:szCs w:val="28"/>
        </w:rPr>
        <w:t xml:space="preserve"> milj. EUR) </w:t>
      </w:r>
      <w:r>
        <w:rPr>
          <w:sz w:val="28"/>
          <w:szCs w:val="28"/>
        </w:rPr>
        <w:t>un 2,1 milj.</w:t>
      </w:r>
      <w:r w:rsidRPr="005C22B2">
        <w:rPr>
          <w:sz w:val="28"/>
          <w:szCs w:val="28"/>
        </w:rPr>
        <w:t xml:space="preserve"> </w:t>
      </w:r>
      <w:r w:rsidR="0044311E">
        <w:rPr>
          <w:sz w:val="28"/>
          <w:szCs w:val="28"/>
        </w:rPr>
        <w:t>LVL (</w:t>
      </w:r>
      <w:r w:rsidR="009431A6">
        <w:rPr>
          <w:sz w:val="28"/>
          <w:szCs w:val="28"/>
        </w:rPr>
        <w:t>3</w:t>
      </w:r>
      <w:r w:rsidR="0087760A">
        <w:rPr>
          <w:sz w:val="28"/>
          <w:szCs w:val="28"/>
        </w:rPr>
        <w:t>,</w:t>
      </w:r>
      <w:r w:rsidR="009431A6">
        <w:rPr>
          <w:sz w:val="28"/>
          <w:szCs w:val="28"/>
        </w:rPr>
        <w:t>0</w:t>
      </w:r>
      <w:r w:rsidR="0044311E">
        <w:rPr>
          <w:sz w:val="28"/>
          <w:szCs w:val="28"/>
        </w:rPr>
        <w:t xml:space="preserve"> milj. EUR) </w:t>
      </w:r>
      <w:r w:rsidRPr="005C22B2">
        <w:rPr>
          <w:sz w:val="28"/>
          <w:szCs w:val="28"/>
        </w:rPr>
        <w:t xml:space="preserve">apmērā </w:t>
      </w:r>
      <w:r w:rsidR="009431A6">
        <w:rPr>
          <w:sz w:val="28"/>
          <w:szCs w:val="28"/>
        </w:rPr>
        <w:t xml:space="preserve">ar izmaksu korekciju </w:t>
      </w:r>
      <w:r w:rsidRPr="005C22B2">
        <w:rPr>
          <w:sz w:val="28"/>
          <w:szCs w:val="28"/>
        </w:rPr>
        <w:t xml:space="preserve">tika attiecināti uz visu vilcienu kategoriju </w:t>
      </w:r>
      <w:r w:rsidR="009431A6">
        <w:rPr>
          <w:sz w:val="28"/>
          <w:szCs w:val="28"/>
        </w:rPr>
        <w:t xml:space="preserve">dzelzceļa infrastruktūras </w:t>
      </w:r>
      <w:r>
        <w:rPr>
          <w:sz w:val="28"/>
          <w:szCs w:val="28"/>
        </w:rPr>
        <w:t xml:space="preserve">maksām </w:t>
      </w:r>
      <w:r w:rsidRPr="006A0965">
        <w:rPr>
          <w:sz w:val="28"/>
          <w:szCs w:val="28"/>
        </w:rPr>
        <w:t xml:space="preserve">turpmākajos </w:t>
      </w:r>
      <w:r w:rsidR="003513DF">
        <w:rPr>
          <w:sz w:val="28"/>
          <w:szCs w:val="28"/>
        </w:rPr>
        <w:t>gad</w:t>
      </w:r>
      <w:r w:rsidRPr="006A0965">
        <w:rPr>
          <w:sz w:val="28"/>
          <w:szCs w:val="28"/>
        </w:rPr>
        <w:t>os</w:t>
      </w:r>
      <w:r>
        <w:rPr>
          <w:sz w:val="28"/>
          <w:szCs w:val="28"/>
        </w:rPr>
        <w:t>;</w:t>
      </w:r>
    </w:p>
    <w:p w:rsidR="00891CB2" w:rsidRPr="005C22B2" w:rsidRDefault="00897A82" w:rsidP="005C22B2">
      <w:pPr>
        <w:pStyle w:val="ListParagraph"/>
        <w:numPr>
          <w:ilvl w:val="0"/>
          <w:numId w:val="11"/>
        </w:numPr>
        <w:jc w:val="both"/>
        <w:rPr>
          <w:sz w:val="28"/>
          <w:szCs w:val="28"/>
        </w:rPr>
      </w:pPr>
      <w:r w:rsidRPr="005C22B2">
        <w:rPr>
          <w:sz w:val="28"/>
          <w:szCs w:val="28"/>
        </w:rPr>
        <w:t>2011.</w:t>
      </w:r>
      <w:r w:rsidR="00A871E2" w:rsidRPr="005C22B2">
        <w:rPr>
          <w:sz w:val="28"/>
          <w:szCs w:val="28"/>
        </w:rPr>
        <w:t>gad</w:t>
      </w:r>
      <w:r w:rsidR="00A871E2">
        <w:rPr>
          <w:sz w:val="28"/>
          <w:szCs w:val="28"/>
        </w:rPr>
        <w:t>a 2.pusgadā</w:t>
      </w:r>
      <w:r w:rsidRPr="005C22B2">
        <w:rPr>
          <w:sz w:val="28"/>
          <w:szCs w:val="28"/>
        </w:rPr>
        <w:t xml:space="preserve"> </w:t>
      </w:r>
      <w:r w:rsidR="00891CB2">
        <w:rPr>
          <w:sz w:val="28"/>
          <w:szCs w:val="28"/>
        </w:rPr>
        <w:t>maksai par dzelzceļa infrastruktūras izmantošanu</w:t>
      </w:r>
      <w:r w:rsidR="00891CB2" w:rsidRPr="00DF5CA4">
        <w:rPr>
          <w:color w:val="000000"/>
          <w:sz w:val="28"/>
          <w:szCs w:val="28"/>
        </w:rPr>
        <w:t xml:space="preserve"> </w:t>
      </w:r>
      <w:r w:rsidR="00891CB2">
        <w:rPr>
          <w:color w:val="000000"/>
          <w:sz w:val="28"/>
          <w:szCs w:val="28"/>
        </w:rPr>
        <w:t xml:space="preserve">tika piešķirta </w:t>
      </w:r>
      <w:r w:rsidRPr="005C22B2">
        <w:rPr>
          <w:color w:val="000000"/>
          <w:sz w:val="28"/>
          <w:szCs w:val="28"/>
        </w:rPr>
        <w:t xml:space="preserve">atlaide </w:t>
      </w:r>
      <w:r w:rsidR="009431A6" w:rsidRPr="005C22B2">
        <w:rPr>
          <w:color w:val="000000"/>
          <w:sz w:val="28"/>
          <w:szCs w:val="28"/>
        </w:rPr>
        <w:t>4</w:t>
      </w:r>
      <w:r w:rsidR="009431A6">
        <w:rPr>
          <w:color w:val="000000"/>
          <w:sz w:val="28"/>
          <w:szCs w:val="28"/>
        </w:rPr>
        <w:t>2,9</w:t>
      </w:r>
      <w:r w:rsidRPr="005C22B2">
        <w:rPr>
          <w:color w:val="000000"/>
          <w:sz w:val="28"/>
          <w:szCs w:val="28"/>
        </w:rPr>
        <w:t>% apmērā</w:t>
      </w:r>
      <w:r w:rsidR="00A871E2">
        <w:rPr>
          <w:color w:val="000000"/>
          <w:sz w:val="28"/>
          <w:szCs w:val="28"/>
        </w:rPr>
        <w:t xml:space="preserve">. Rezultātā </w:t>
      </w:r>
      <w:r w:rsidR="009431A6">
        <w:rPr>
          <w:color w:val="000000"/>
          <w:sz w:val="28"/>
          <w:szCs w:val="28"/>
        </w:rPr>
        <w:t xml:space="preserve">dzelzceļa </w:t>
      </w:r>
      <w:r w:rsidR="00A871E2">
        <w:rPr>
          <w:color w:val="000000"/>
          <w:sz w:val="28"/>
          <w:szCs w:val="28"/>
        </w:rPr>
        <w:t xml:space="preserve">infrastruktūras pārvaldītājs nesaņēma </w:t>
      </w:r>
      <w:r w:rsidR="009431A6">
        <w:rPr>
          <w:color w:val="000000"/>
          <w:sz w:val="28"/>
          <w:szCs w:val="28"/>
        </w:rPr>
        <w:t>sākotnēji plānotos ieņēmumus</w:t>
      </w:r>
      <w:r w:rsidR="00A871E2">
        <w:rPr>
          <w:color w:val="000000"/>
          <w:sz w:val="28"/>
          <w:szCs w:val="28"/>
        </w:rPr>
        <w:t xml:space="preserve"> par infrastruktūras izmantoš</w:t>
      </w:r>
      <w:r w:rsidR="00C12F09">
        <w:rPr>
          <w:color w:val="000000"/>
          <w:sz w:val="28"/>
          <w:szCs w:val="28"/>
        </w:rPr>
        <w:t>a</w:t>
      </w:r>
      <w:r w:rsidR="00A871E2">
        <w:rPr>
          <w:color w:val="000000"/>
          <w:sz w:val="28"/>
          <w:szCs w:val="28"/>
        </w:rPr>
        <w:t>nu</w:t>
      </w:r>
      <w:r w:rsidR="00891CB2">
        <w:rPr>
          <w:color w:val="000000"/>
          <w:sz w:val="28"/>
          <w:szCs w:val="28"/>
        </w:rPr>
        <w:t>;</w:t>
      </w:r>
    </w:p>
    <w:p w:rsidR="00A871E2" w:rsidRPr="005607A0" w:rsidRDefault="00891CB2" w:rsidP="005C22B2">
      <w:pPr>
        <w:pStyle w:val="ListParagraph"/>
        <w:numPr>
          <w:ilvl w:val="0"/>
          <w:numId w:val="11"/>
        </w:numPr>
        <w:jc w:val="both"/>
        <w:rPr>
          <w:sz w:val="28"/>
          <w:szCs w:val="28"/>
        </w:rPr>
      </w:pPr>
      <w:r w:rsidRPr="005607A0">
        <w:rPr>
          <w:color w:val="000000"/>
          <w:sz w:val="28"/>
          <w:szCs w:val="28"/>
        </w:rPr>
        <w:t xml:space="preserve">2012. un 2013.g. </w:t>
      </w:r>
      <w:r w:rsidRPr="005607A0">
        <w:rPr>
          <w:sz w:val="28"/>
          <w:szCs w:val="28"/>
        </w:rPr>
        <w:t xml:space="preserve">ar valsts budžeta grozījumiem </w:t>
      </w:r>
      <w:r w:rsidR="00A871E2" w:rsidRPr="005607A0">
        <w:rPr>
          <w:color w:val="000000"/>
          <w:sz w:val="28"/>
          <w:szCs w:val="28"/>
        </w:rPr>
        <w:t xml:space="preserve"> tika piešķirti papildus valsts budžeta līdzekļi</w:t>
      </w:r>
      <w:r w:rsidR="00C12F09" w:rsidRPr="00A95B18">
        <w:rPr>
          <w:color w:val="000000"/>
          <w:sz w:val="28"/>
          <w:szCs w:val="28"/>
        </w:rPr>
        <w:t xml:space="preserve"> AS „Pasažieru vilciens” finansējuma nodrošināšanai</w:t>
      </w:r>
      <w:r w:rsidR="005607A0">
        <w:rPr>
          <w:color w:val="000000"/>
          <w:sz w:val="28"/>
          <w:szCs w:val="28"/>
        </w:rPr>
        <w:t>, p</w:t>
      </w:r>
      <w:r w:rsidR="005607A0" w:rsidRPr="0087760A">
        <w:rPr>
          <w:sz w:val="28"/>
          <w:szCs w:val="28"/>
        </w:rPr>
        <w:t>amatojoties uz valsts budžeta ieņēmumu palielinājumu par VAS „Latvijas dzelzceļš” dividendēm.</w:t>
      </w:r>
    </w:p>
    <w:p w:rsidR="00BD2EC2" w:rsidRPr="005C22B2" w:rsidRDefault="00BD2EC2" w:rsidP="00BD2EC2">
      <w:pPr>
        <w:pStyle w:val="ListParagraph"/>
        <w:ind w:left="1069"/>
        <w:jc w:val="both"/>
        <w:rPr>
          <w:sz w:val="28"/>
          <w:szCs w:val="28"/>
        </w:rPr>
      </w:pPr>
    </w:p>
    <w:p w:rsidR="00F70F19" w:rsidRDefault="00897A82" w:rsidP="008B098F">
      <w:pPr>
        <w:ind w:firstLine="709"/>
        <w:jc w:val="both"/>
        <w:rPr>
          <w:sz w:val="28"/>
          <w:szCs w:val="28"/>
        </w:rPr>
      </w:pPr>
      <w:r w:rsidRPr="00002925">
        <w:rPr>
          <w:sz w:val="28"/>
          <w:szCs w:val="28"/>
        </w:rPr>
        <w:t xml:space="preserve">AS „Pasažieru vilciens” faktiskie </w:t>
      </w:r>
      <w:r w:rsidR="009D23EE" w:rsidRPr="00002925">
        <w:rPr>
          <w:sz w:val="28"/>
          <w:szCs w:val="28"/>
        </w:rPr>
        <w:t>zaudējumi</w:t>
      </w:r>
      <w:r w:rsidRPr="00002925">
        <w:rPr>
          <w:sz w:val="28"/>
          <w:szCs w:val="28"/>
        </w:rPr>
        <w:t xml:space="preserve"> par pasažieru pārvadājumiem reģionālajos starppilsētu nozīmes maršrutos ir pieauguši</w:t>
      </w:r>
      <w:r w:rsidR="0029722E">
        <w:rPr>
          <w:sz w:val="28"/>
          <w:szCs w:val="28"/>
        </w:rPr>
        <w:t>,</w:t>
      </w:r>
      <w:r w:rsidRPr="00002925">
        <w:rPr>
          <w:sz w:val="28"/>
          <w:szCs w:val="28"/>
        </w:rPr>
        <w:t xml:space="preserve"> ņemot vērā izmaiņas </w:t>
      </w:r>
      <w:r w:rsidR="009D23EE" w:rsidRPr="00002925">
        <w:rPr>
          <w:sz w:val="28"/>
          <w:szCs w:val="28"/>
        </w:rPr>
        <w:t>ieņēmumu un izdevumu attiecībai</w:t>
      </w:r>
      <w:r w:rsidRPr="00002925">
        <w:rPr>
          <w:sz w:val="28"/>
          <w:szCs w:val="28"/>
        </w:rPr>
        <w:t xml:space="preserve">. Ja ieņēmumi </w:t>
      </w:r>
      <w:r w:rsidR="008F6203" w:rsidRPr="00002925">
        <w:rPr>
          <w:sz w:val="28"/>
          <w:szCs w:val="28"/>
        </w:rPr>
        <w:t xml:space="preserve">no pasažieru pārvadājumiem </w:t>
      </w:r>
      <w:r w:rsidR="008F6203" w:rsidRPr="00002925">
        <w:rPr>
          <w:sz w:val="28"/>
          <w:szCs w:val="28"/>
        </w:rPr>
        <w:lastRenderedPageBreak/>
        <w:t xml:space="preserve">pēdējo gadu laikā ir saglabājušies </w:t>
      </w:r>
      <w:r w:rsidR="00002925" w:rsidRPr="00002925">
        <w:rPr>
          <w:sz w:val="28"/>
          <w:szCs w:val="28"/>
        </w:rPr>
        <w:t>nemainīgi</w:t>
      </w:r>
      <w:r w:rsidR="008F6203" w:rsidRPr="00002925">
        <w:rPr>
          <w:sz w:val="28"/>
          <w:szCs w:val="28"/>
        </w:rPr>
        <w:t xml:space="preserve">, tad </w:t>
      </w:r>
      <w:r w:rsidR="00C12F09" w:rsidRPr="00002925">
        <w:rPr>
          <w:sz w:val="28"/>
          <w:szCs w:val="28"/>
        </w:rPr>
        <w:t>izmaks</w:t>
      </w:r>
      <w:r w:rsidR="00C12F09">
        <w:rPr>
          <w:sz w:val="28"/>
          <w:szCs w:val="28"/>
        </w:rPr>
        <w:t>as</w:t>
      </w:r>
      <w:r w:rsidR="00C12F09" w:rsidRPr="00002925">
        <w:rPr>
          <w:sz w:val="28"/>
          <w:szCs w:val="28"/>
        </w:rPr>
        <w:t xml:space="preserve"> </w:t>
      </w:r>
      <w:r w:rsidR="008F6203" w:rsidRPr="00002925">
        <w:rPr>
          <w:sz w:val="28"/>
          <w:szCs w:val="28"/>
        </w:rPr>
        <w:t>ir iev</w:t>
      </w:r>
      <w:r w:rsidR="00002925" w:rsidRPr="00002925">
        <w:rPr>
          <w:sz w:val="28"/>
          <w:szCs w:val="28"/>
        </w:rPr>
        <w:t xml:space="preserve">ērojami </w:t>
      </w:r>
      <w:r w:rsidR="00C12F09" w:rsidRPr="00002925">
        <w:rPr>
          <w:sz w:val="28"/>
          <w:szCs w:val="28"/>
        </w:rPr>
        <w:t>pieau</w:t>
      </w:r>
      <w:r w:rsidR="00C12F09">
        <w:rPr>
          <w:sz w:val="28"/>
          <w:szCs w:val="28"/>
        </w:rPr>
        <w:t>gušas</w:t>
      </w:r>
      <w:r w:rsidR="00BD2EC2">
        <w:rPr>
          <w:sz w:val="28"/>
          <w:szCs w:val="28"/>
        </w:rPr>
        <w:t>,</w:t>
      </w:r>
      <w:r w:rsidR="00C12F09">
        <w:rPr>
          <w:sz w:val="28"/>
          <w:szCs w:val="28"/>
        </w:rPr>
        <w:t xml:space="preserve"> </w:t>
      </w:r>
      <w:r w:rsidR="00AF68ED" w:rsidRPr="0026524D">
        <w:rPr>
          <w:sz w:val="28"/>
          <w:szCs w:val="28"/>
        </w:rPr>
        <w:t xml:space="preserve">jo </w:t>
      </w:r>
      <w:r w:rsidR="00744D72" w:rsidRPr="0026524D">
        <w:rPr>
          <w:sz w:val="28"/>
          <w:szCs w:val="28"/>
        </w:rPr>
        <w:t xml:space="preserve">sākot ar 2013.gadu </w:t>
      </w:r>
      <w:r w:rsidR="00F70F19" w:rsidRPr="0026524D">
        <w:rPr>
          <w:sz w:val="28"/>
          <w:szCs w:val="28"/>
        </w:rPr>
        <w:t xml:space="preserve">publiskās lietošanas dzelzceļa infrastruktūras </w:t>
      </w:r>
      <w:r w:rsidR="004834AA" w:rsidRPr="0026524D">
        <w:rPr>
          <w:sz w:val="28"/>
          <w:szCs w:val="28"/>
        </w:rPr>
        <w:t xml:space="preserve">maksas noteikšanai </w:t>
      </w:r>
      <w:r w:rsidR="00AF68ED" w:rsidRPr="0026524D">
        <w:rPr>
          <w:sz w:val="28"/>
          <w:szCs w:val="28"/>
        </w:rPr>
        <w:t>tiek objektīvi noteikts paredzamais pārvadājumu apjoms</w:t>
      </w:r>
      <w:r w:rsidR="004834AA" w:rsidRPr="0026524D">
        <w:rPr>
          <w:sz w:val="28"/>
          <w:szCs w:val="28"/>
        </w:rPr>
        <w:t>, savukārt</w:t>
      </w:r>
      <w:r w:rsidR="00AF68ED" w:rsidRPr="0026524D">
        <w:rPr>
          <w:sz w:val="28"/>
          <w:szCs w:val="28"/>
        </w:rPr>
        <w:t xml:space="preserve"> </w:t>
      </w:r>
      <w:r w:rsidR="004A7DF9" w:rsidRPr="0026524D">
        <w:rPr>
          <w:sz w:val="28"/>
          <w:szCs w:val="28"/>
        </w:rPr>
        <w:t xml:space="preserve">atlaižu piemērošana </w:t>
      </w:r>
      <w:r w:rsidR="004834AA" w:rsidRPr="0026524D">
        <w:rPr>
          <w:sz w:val="28"/>
          <w:szCs w:val="28"/>
        </w:rPr>
        <w:t xml:space="preserve">(analogi 2011.gadam) </w:t>
      </w:r>
      <w:r w:rsidR="004A7DF9" w:rsidRPr="0026524D">
        <w:rPr>
          <w:sz w:val="28"/>
          <w:szCs w:val="28"/>
        </w:rPr>
        <w:t xml:space="preserve">nenotiek, jo to neparedz Sabiedrisko pakalpojumu regulēšanas komisijas apstiprinātā metodika </w:t>
      </w:r>
      <w:r w:rsidR="00521C8C" w:rsidRPr="0026524D">
        <w:rPr>
          <w:sz w:val="28"/>
          <w:szCs w:val="28"/>
        </w:rPr>
        <w:t>(</w:t>
      </w:r>
      <w:r w:rsidR="00521C8C">
        <w:rPr>
          <w:sz w:val="28"/>
          <w:szCs w:val="28"/>
        </w:rPr>
        <w:t>1.tabula)</w:t>
      </w:r>
      <w:r w:rsidR="00002925" w:rsidRPr="00002925">
        <w:rPr>
          <w:sz w:val="28"/>
          <w:szCs w:val="28"/>
        </w:rPr>
        <w:t>.</w:t>
      </w:r>
    </w:p>
    <w:p w:rsidR="00AE32FE" w:rsidRPr="00002925" w:rsidRDefault="00AE32FE" w:rsidP="005C22B2">
      <w:pPr>
        <w:ind w:left="7200" w:firstLine="720"/>
        <w:jc w:val="both"/>
        <w:rPr>
          <w:sz w:val="28"/>
          <w:szCs w:val="28"/>
        </w:rPr>
      </w:pPr>
      <w:r>
        <w:rPr>
          <w:sz w:val="28"/>
          <w:szCs w:val="28"/>
        </w:rPr>
        <w:t>1.tabula</w:t>
      </w:r>
    </w:p>
    <w:p w:rsidR="00002925" w:rsidRPr="00BD2EC2" w:rsidRDefault="00002925" w:rsidP="00002925">
      <w:pPr>
        <w:jc w:val="center"/>
        <w:rPr>
          <w:i/>
          <w:sz w:val="28"/>
          <w:szCs w:val="28"/>
        </w:rPr>
      </w:pPr>
      <w:r w:rsidRPr="00BD2EC2">
        <w:rPr>
          <w:i/>
          <w:sz w:val="28"/>
          <w:szCs w:val="28"/>
        </w:rPr>
        <w:t xml:space="preserve">AS „Pasažieru vilciens” ieņēmumi un izdevumi </w:t>
      </w:r>
    </w:p>
    <w:p w:rsidR="00002925" w:rsidRPr="0044311E" w:rsidRDefault="00002925" w:rsidP="00002925">
      <w:pPr>
        <w:jc w:val="center"/>
        <w:rPr>
          <w:i/>
          <w:sz w:val="28"/>
          <w:szCs w:val="28"/>
        </w:rPr>
      </w:pPr>
      <w:r w:rsidRPr="0044311E">
        <w:rPr>
          <w:i/>
          <w:sz w:val="28"/>
          <w:szCs w:val="28"/>
        </w:rPr>
        <w:t>no 2008.-2014.gadam, tūkst. EUR</w:t>
      </w:r>
    </w:p>
    <w:p w:rsidR="00002925" w:rsidRPr="0044311E" w:rsidRDefault="00002925" w:rsidP="00002925">
      <w:pPr>
        <w:ind w:firstLine="709"/>
        <w:jc w:val="both"/>
        <w:rPr>
          <w:sz w:val="28"/>
          <w:szCs w:val="28"/>
        </w:rPr>
      </w:pPr>
    </w:p>
    <w:tbl>
      <w:tblPr>
        <w:tblW w:w="9663" w:type="dxa"/>
        <w:tblInd w:w="-176" w:type="dxa"/>
        <w:tblLook w:val="04A0" w:firstRow="1" w:lastRow="0" w:firstColumn="1" w:lastColumn="0" w:noHBand="0" w:noVBand="1"/>
      </w:tblPr>
      <w:tblGrid>
        <w:gridCol w:w="1583"/>
        <w:gridCol w:w="1276"/>
        <w:gridCol w:w="1134"/>
        <w:gridCol w:w="1134"/>
        <w:gridCol w:w="1134"/>
        <w:gridCol w:w="1134"/>
        <w:gridCol w:w="1134"/>
        <w:gridCol w:w="1134"/>
      </w:tblGrid>
      <w:tr w:rsidR="00002925" w:rsidRPr="0044311E" w:rsidTr="006979FA">
        <w:trPr>
          <w:trHeight w:val="30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925" w:rsidRPr="0044311E" w:rsidRDefault="00002925" w:rsidP="006979FA">
            <w:r w:rsidRPr="0044311E">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2014 (plāns)</w:t>
            </w:r>
          </w:p>
        </w:tc>
      </w:tr>
      <w:tr w:rsidR="00002925" w:rsidRPr="0044311E" w:rsidTr="006979FA">
        <w:trPr>
          <w:trHeight w:val="300"/>
        </w:trPr>
        <w:tc>
          <w:tcPr>
            <w:tcW w:w="1583" w:type="dxa"/>
            <w:tcBorders>
              <w:top w:val="nil"/>
              <w:left w:val="single" w:sz="4" w:space="0" w:color="auto"/>
              <w:bottom w:val="single" w:sz="4" w:space="0" w:color="auto"/>
              <w:right w:val="single" w:sz="4" w:space="0" w:color="auto"/>
            </w:tcBorders>
            <w:shd w:val="clear" w:color="auto" w:fill="auto"/>
            <w:vAlign w:val="bottom"/>
            <w:hideMark/>
          </w:tcPr>
          <w:p w:rsidR="00002925" w:rsidRPr="0044311E" w:rsidRDefault="00002925" w:rsidP="006979FA">
            <w:r w:rsidRPr="0044311E">
              <w:rPr>
                <w:sz w:val="22"/>
                <w:szCs w:val="22"/>
              </w:rPr>
              <w:t>Ieņēmumi</w:t>
            </w:r>
          </w:p>
        </w:tc>
        <w:tc>
          <w:tcPr>
            <w:tcW w:w="1276"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23 822</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26 524</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21 737</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21 211</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21 617</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BE0C50">
            <w:pPr>
              <w:jc w:val="center"/>
            </w:pPr>
            <w:r w:rsidRPr="0044311E">
              <w:rPr>
                <w:sz w:val="22"/>
                <w:szCs w:val="22"/>
              </w:rPr>
              <w:t xml:space="preserve">21 </w:t>
            </w:r>
            <w:r w:rsidR="00BE0C50">
              <w:rPr>
                <w:sz w:val="22"/>
                <w:szCs w:val="22"/>
              </w:rPr>
              <w:t>451</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87760A" w:rsidRDefault="00002925" w:rsidP="007D6889">
            <w:pPr>
              <w:jc w:val="center"/>
            </w:pPr>
            <w:r w:rsidRPr="0087760A">
              <w:rPr>
                <w:sz w:val="22"/>
                <w:szCs w:val="22"/>
              </w:rPr>
              <w:t>2</w:t>
            </w:r>
            <w:r w:rsidR="0029722E" w:rsidRPr="0087760A">
              <w:rPr>
                <w:sz w:val="22"/>
                <w:szCs w:val="22"/>
              </w:rPr>
              <w:t>1</w:t>
            </w:r>
            <w:r w:rsidRPr="0087760A">
              <w:rPr>
                <w:sz w:val="22"/>
                <w:szCs w:val="22"/>
              </w:rPr>
              <w:t xml:space="preserve"> </w:t>
            </w:r>
            <w:r w:rsidR="007D6889">
              <w:rPr>
                <w:sz w:val="22"/>
                <w:szCs w:val="22"/>
              </w:rPr>
              <w:t>568</w:t>
            </w:r>
          </w:p>
        </w:tc>
      </w:tr>
      <w:tr w:rsidR="00002925" w:rsidRPr="0044311E" w:rsidTr="006979FA">
        <w:trPr>
          <w:trHeight w:val="300"/>
        </w:trPr>
        <w:tc>
          <w:tcPr>
            <w:tcW w:w="1583" w:type="dxa"/>
            <w:tcBorders>
              <w:top w:val="nil"/>
              <w:left w:val="single" w:sz="4" w:space="0" w:color="auto"/>
              <w:bottom w:val="single" w:sz="4" w:space="0" w:color="auto"/>
              <w:right w:val="single" w:sz="4" w:space="0" w:color="auto"/>
            </w:tcBorders>
            <w:shd w:val="clear" w:color="auto" w:fill="auto"/>
            <w:vAlign w:val="bottom"/>
            <w:hideMark/>
          </w:tcPr>
          <w:p w:rsidR="00002925" w:rsidRPr="0044311E" w:rsidRDefault="00002925" w:rsidP="006979FA">
            <w:r w:rsidRPr="0044311E">
              <w:rPr>
                <w:sz w:val="22"/>
                <w:szCs w:val="22"/>
              </w:rPr>
              <w:t>Izdevumi</w:t>
            </w:r>
          </w:p>
        </w:tc>
        <w:tc>
          <w:tcPr>
            <w:tcW w:w="1276"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65 551</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65 399</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57</w:t>
            </w:r>
            <w:r w:rsidR="00AF68ED" w:rsidRPr="0044311E">
              <w:rPr>
                <w:sz w:val="22"/>
                <w:szCs w:val="22"/>
              </w:rPr>
              <w:t> </w:t>
            </w:r>
            <w:r w:rsidRPr="0044311E">
              <w:rPr>
                <w:sz w:val="22"/>
                <w:szCs w:val="22"/>
              </w:rPr>
              <w:t>345</w:t>
            </w:r>
            <w:r w:rsidR="00AF68ED" w:rsidRPr="0044311E">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AF68ED">
            <w:pPr>
              <w:jc w:val="center"/>
            </w:pPr>
            <w:r w:rsidRPr="0044311E">
              <w:rPr>
                <w:sz w:val="22"/>
                <w:szCs w:val="22"/>
              </w:rPr>
              <w:t>52</w:t>
            </w:r>
            <w:r w:rsidR="00AF68ED" w:rsidRPr="0044311E">
              <w:rPr>
                <w:sz w:val="22"/>
                <w:szCs w:val="22"/>
              </w:rPr>
              <w:t> </w:t>
            </w:r>
            <w:r w:rsidRPr="0044311E">
              <w:rPr>
                <w:sz w:val="22"/>
                <w:szCs w:val="22"/>
              </w:rPr>
              <w:t>913</w:t>
            </w:r>
            <w:r w:rsidR="00AF68ED" w:rsidRPr="0044311E">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002925" w:rsidP="006979FA">
            <w:pPr>
              <w:jc w:val="center"/>
            </w:pPr>
            <w:r w:rsidRPr="0044311E">
              <w:rPr>
                <w:sz w:val="22"/>
                <w:szCs w:val="22"/>
              </w:rPr>
              <w:t>62 833</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44311E" w:rsidRDefault="007D6889" w:rsidP="006979FA">
            <w:pPr>
              <w:jc w:val="center"/>
            </w:pPr>
            <w:r>
              <w:rPr>
                <w:sz w:val="22"/>
                <w:szCs w:val="22"/>
              </w:rPr>
              <w:t>67 605</w:t>
            </w:r>
          </w:p>
        </w:tc>
        <w:tc>
          <w:tcPr>
            <w:tcW w:w="1134" w:type="dxa"/>
            <w:tcBorders>
              <w:top w:val="nil"/>
              <w:left w:val="nil"/>
              <w:bottom w:val="single" w:sz="4" w:space="0" w:color="auto"/>
              <w:right w:val="single" w:sz="4" w:space="0" w:color="auto"/>
            </w:tcBorders>
            <w:shd w:val="clear" w:color="auto" w:fill="auto"/>
            <w:noWrap/>
            <w:vAlign w:val="bottom"/>
            <w:hideMark/>
          </w:tcPr>
          <w:p w:rsidR="00002925" w:rsidRPr="0087760A" w:rsidRDefault="007D6889" w:rsidP="006979FA">
            <w:pPr>
              <w:jc w:val="center"/>
            </w:pPr>
            <w:r>
              <w:t>64 029</w:t>
            </w:r>
          </w:p>
        </w:tc>
      </w:tr>
      <w:tr w:rsidR="00002925" w:rsidRPr="0044311E" w:rsidTr="006979FA">
        <w:trPr>
          <w:trHeight w:val="300"/>
        </w:trPr>
        <w:tc>
          <w:tcPr>
            <w:tcW w:w="1583" w:type="dxa"/>
            <w:tcBorders>
              <w:top w:val="nil"/>
              <w:left w:val="single" w:sz="4" w:space="0" w:color="auto"/>
              <w:bottom w:val="single" w:sz="4" w:space="0" w:color="auto"/>
              <w:right w:val="single" w:sz="4" w:space="0" w:color="auto"/>
            </w:tcBorders>
            <w:shd w:val="clear" w:color="auto" w:fill="auto"/>
            <w:vAlign w:val="bottom"/>
            <w:hideMark/>
          </w:tcPr>
          <w:p w:rsidR="00002925" w:rsidRPr="0044311E" w:rsidRDefault="00002925" w:rsidP="006979FA">
            <w:r w:rsidRPr="0044311E">
              <w:rPr>
                <w:sz w:val="22"/>
                <w:szCs w:val="22"/>
              </w:rPr>
              <w:t>Ieņēmumu attiecība pret izdevumiem</w:t>
            </w:r>
          </w:p>
        </w:tc>
        <w:tc>
          <w:tcPr>
            <w:tcW w:w="1276" w:type="dxa"/>
            <w:tcBorders>
              <w:top w:val="nil"/>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36.3%</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40.6%</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37.9%</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40.1%</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002925" w:rsidP="006979FA">
            <w:pPr>
              <w:jc w:val="center"/>
            </w:pPr>
            <w:r w:rsidRPr="0044311E">
              <w:rPr>
                <w:sz w:val="22"/>
                <w:szCs w:val="22"/>
              </w:rPr>
              <w:t>34.4%</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7D6889" w:rsidP="00BE0C50">
            <w:pPr>
              <w:jc w:val="center"/>
            </w:pPr>
            <w:r>
              <w:rPr>
                <w:sz w:val="22"/>
                <w:szCs w:val="22"/>
              </w:rPr>
              <w:t>31.7</w:t>
            </w:r>
            <w:r w:rsidR="00002925" w:rsidRPr="0044311E">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002925" w:rsidRPr="0044311E" w:rsidRDefault="007D6889" w:rsidP="00BE0C50">
            <w:pPr>
              <w:jc w:val="center"/>
            </w:pPr>
            <w:r>
              <w:rPr>
                <w:sz w:val="22"/>
                <w:szCs w:val="22"/>
              </w:rPr>
              <w:t>33.6</w:t>
            </w:r>
            <w:r w:rsidR="00002925" w:rsidRPr="0044311E">
              <w:rPr>
                <w:sz w:val="22"/>
                <w:szCs w:val="22"/>
              </w:rPr>
              <w:t>%</w:t>
            </w:r>
          </w:p>
        </w:tc>
      </w:tr>
    </w:tbl>
    <w:p w:rsidR="00AF68ED" w:rsidRPr="0044311E" w:rsidRDefault="00AF68ED" w:rsidP="005C22B2">
      <w:pPr>
        <w:ind w:left="709"/>
        <w:jc w:val="both"/>
        <w:rPr>
          <w:sz w:val="20"/>
          <w:szCs w:val="20"/>
        </w:rPr>
      </w:pPr>
      <w:r w:rsidRPr="0044311E">
        <w:rPr>
          <w:sz w:val="20"/>
          <w:szCs w:val="20"/>
        </w:rPr>
        <w:t>* ņemot vērā zemāku infrastruktūras maksu nekā nepieciešams</w:t>
      </w:r>
    </w:p>
    <w:p w:rsidR="00002925" w:rsidRPr="0044311E" w:rsidRDefault="00DA4237" w:rsidP="008B098F">
      <w:pPr>
        <w:ind w:firstLine="709"/>
        <w:jc w:val="both"/>
        <w:rPr>
          <w:sz w:val="20"/>
          <w:szCs w:val="20"/>
        </w:rPr>
      </w:pPr>
      <w:r w:rsidRPr="0044311E">
        <w:rPr>
          <w:sz w:val="20"/>
          <w:szCs w:val="20"/>
        </w:rPr>
        <w:t>*</w:t>
      </w:r>
      <w:r w:rsidR="00AF68ED" w:rsidRPr="0044311E">
        <w:rPr>
          <w:sz w:val="20"/>
          <w:szCs w:val="20"/>
        </w:rPr>
        <w:t>*</w:t>
      </w:r>
      <w:r w:rsidRPr="0044311E">
        <w:rPr>
          <w:sz w:val="20"/>
          <w:szCs w:val="20"/>
        </w:rPr>
        <w:t xml:space="preserve"> ņemot vērā noteikto infrastruktūras maksas atlaidi</w:t>
      </w:r>
    </w:p>
    <w:p w:rsidR="00DA4237" w:rsidRPr="0044311E" w:rsidRDefault="00DA4237" w:rsidP="008B098F">
      <w:pPr>
        <w:ind w:firstLine="709"/>
        <w:jc w:val="both"/>
        <w:rPr>
          <w:sz w:val="28"/>
          <w:szCs w:val="28"/>
        </w:rPr>
      </w:pPr>
    </w:p>
    <w:p w:rsidR="00AE32FE" w:rsidRPr="0026524D" w:rsidRDefault="00AE32FE" w:rsidP="0029722E">
      <w:pPr>
        <w:ind w:firstLine="709"/>
        <w:jc w:val="both"/>
        <w:rPr>
          <w:sz w:val="28"/>
          <w:szCs w:val="28"/>
        </w:rPr>
      </w:pPr>
      <w:r w:rsidRPr="005C22B2">
        <w:rPr>
          <w:sz w:val="28"/>
          <w:szCs w:val="28"/>
        </w:rPr>
        <w:t>Lai korekti salīdzināt</w:t>
      </w:r>
      <w:r w:rsidR="00521C8C">
        <w:rPr>
          <w:sz w:val="28"/>
          <w:szCs w:val="28"/>
        </w:rPr>
        <w:t>u</w:t>
      </w:r>
      <w:r>
        <w:rPr>
          <w:sz w:val="28"/>
          <w:szCs w:val="28"/>
        </w:rPr>
        <w:t xml:space="preserve"> izdevumus dažādiem transporta veidiem</w:t>
      </w:r>
      <w:r w:rsidRPr="005C22B2">
        <w:rPr>
          <w:sz w:val="28"/>
          <w:szCs w:val="28"/>
        </w:rPr>
        <w:t xml:space="preserve">, būtu nepieciešams </w:t>
      </w:r>
      <w:r w:rsidR="0029722E">
        <w:rPr>
          <w:sz w:val="28"/>
          <w:szCs w:val="28"/>
        </w:rPr>
        <w:t xml:space="preserve">skatīt </w:t>
      </w:r>
      <w:r w:rsidRPr="005C22B2">
        <w:rPr>
          <w:sz w:val="28"/>
          <w:szCs w:val="28"/>
        </w:rPr>
        <w:t xml:space="preserve">abu transporta veidu </w:t>
      </w:r>
      <w:r w:rsidR="00F70F19">
        <w:rPr>
          <w:sz w:val="28"/>
          <w:szCs w:val="28"/>
        </w:rPr>
        <w:t xml:space="preserve">(vilcienu un autobusu) </w:t>
      </w:r>
      <w:r w:rsidRPr="005C22B2">
        <w:rPr>
          <w:sz w:val="28"/>
          <w:szCs w:val="28"/>
        </w:rPr>
        <w:t>izmaks</w:t>
      </w:r>
      <w:r w:rsidR="0029722E">
        <w:rPr>
          <w:sz w:val="28"/>
          <w:szCs w:val="28"/>
        </w:rPr>
        <w:t>as</w:t>
      </w:r>
      <w:r w:rsidRPr="005C22B2">
        <w:rPr>
          <w:sz w:val="28"/>
          <w:szCs w:val="28"/>
        </w:rPr>
        <w:t xml:space="preserve"> </w:t>
      </w:r>
      <w:r w:rsidR="0029722E">
        <w:rPr>
          <w:sz w:val="28"/>
          <w:szCs w:val="28"/>
        </w:rPr>
        <w:t xml:space="preserve">bez </w:t>
      </w:r>
      <w:r>
        <w:rPr>
          <w:sz w:val="28"/>
          <w:szCs w:val="28"/>
        </w:rPr>
        <w:t>infrastruktūras izmantošan</w:t>
      </w:r>
      <w:r w:rsidR="0029722E">
        <w:rPr>
          <w:sz w:val="28"/>
          <w:szCs w:val="28"/>
        </w:rPr>
        <w:t>as</w:t>
      </w:r>
      <w:r w:rsidRPr="00AE32FE">
        <w:rPr>
          <w:sz w:val="28"/>
          <w:szCs w:val="28"/>
        </w:rPr>
        <w:t xml:space="preserve"> komponent</w:t>
      </w:r>
      <w:r w:rsidR="0029722E">
        <w:rPr>
          <w:sz w:val="28"/>
          <w:szCs w:val="28"/>
        </w:rPr>
        <w:t>es</w:t>
      </w:r>
      <w:r w:rsidRPr="005C22B2">
        <w:rPr>
          <w:sz w:val="28"/>
          <w:szCs w:val="28"/>
        </w:rPr>
        <w:t xml:space="preserve"> un turpmāk, tos salīdzināt vērtējot valsts izmaksas infrastruktūras uzturēšanai un atjaunošanai, kā arī nodokļu atgriešanai budžetā.</w:t>
      </w:r>
      <w:r>
        <w:rPr>
          <w:sz w:val="28"/>
          <w:szCs w:val="28"/>
        </w:rPr>
        <w:t xml:space="preserve"> </w:t>
      </w:r>
      <w:r w:rsidRPr="0026524D">
        <w:rPr>
          <w:sz w:val="28"/>
          <w:szCs w:val="28"/>
        </w:rPr>
        <w:t>2.tabulā sniegtā informācija uz 201</w:t>
      </w:r>
      <w:r w:rsidR="0029722E" w:rsidRPr="0026524D">
        <w:rPr>
          <w:sz w:val="28"/>
          <w:szCs w:val="28"/>
        </w:rPr>
        <w:t>3</w:t>
      </w:r>
      <w:r w:rsidRPr="0026524D">
        <w:rPr>
          <w:sz w:val="28"/>
          <w:szCs w:val="28"/>
        </w:rPr>
        <w:t>.</w:t>
      </w:r>
      <w:r w:rsidR="00C808C1" w:rsidRPr="0026524D">
        <w:rPr>
          <w:sz w:val="28"/>
          <w:szCs w:val="28"/>
        </w:rPr>
        <w:t>g</w:t>
      </w:r>
      <w:r w:rsidRPr="0026524D">
        <w:rPr>
          <w:sz w:val="28"/>
          <w:szCs w:val="28"/>
        </w:rPr>
        <w:t xml:space="preserve">ada piemēra </w:t>
      </w:r>
      <w:r w:rsidR="004A7DF9" w:rsidRPr="0026524D">
        <w:rPr>
          <w:sz w:val="28"/>
          <w:szCs w:val="28"/>
        </w:rPr>
        <w:t>demonstrē</w:t>
      </w:r>
      <w:r w:rsidRPr="0026524D">
        <w:rPr>
          <w:sz w:val="28"/>
          <w:szCs w:val="28"/>
        </w:rPr>
        <w:t xml:space="preserve">, ka izmaksas pārvadājumu finansēšanai </w:t>
      </w:r>
      <w:r w:rsidR="0018396D" w:rsidRPr="0026524D">
        <w:rPr>
          <w:sz w:val="28"/>
          <w:szCs w:val="28"/>
        </w:rPr>
        <w:t xml:space="preserve">(neņemot vērā izmaksas par infrastruktūru) </w:t>
      </w:r>
      <w:r w:rsidRPr="0026524D">
        <w:rPr>
          <w:sz w:val="28"/>
          <w:szCs w:val="28"/>
        </w:rPr>
        <w:t xml:space="preserve">uz 1 pasažieru kilometru vilcieniem salīdzinājumā ar autobusiem ir </w:t>
      </w:r>
      <w:r w:rsidR="007D6889" w:rsidRPr="0026524D">
        <w:rPr>
          <w:sz w:val="28"/>
          <w:szCs w:val="28"/>
        </w:rPr>
        <w:t>līdzīgas</w:t>
      </w:r>
      <w:r w:rsidR="0026524D" w:rsidRPr="0026524D">
        <w:rPr>
          <w:sz w:val="28"/>
          <w:szCs w:val="28"/>
        </w:rPr>
        <w:t>, tomēr valsts budžeta finansējuma apmērs ir atšķirīgs, jo ir nesalīdzināmas izmaksas</w:t>
      </w:r>
      <w:r w:rsidR="007D6889" w:rsidRPr="0026524D">
        <w:rPr>
          <w:sz w:val="28"/>
          <w:szCs w:val="28"/>
        </w:rPr>
        <w:t>.</w:t>
      </w:r>
    </w:p>
    <w:p w:rsidR="00AE32FE" w:rsidRPr="005C22B2" w:rsidRDefault="00AE32FE" w:rsidP="00AE32FE">
      <w:pPr>
        <w:jc w:val="right"/>
        <w:rPr>
          <w:sz w:val="28"/>
          <w:szCs w:val="28"/>
        </w:rPr>
      </w:pPr>
      <w:r>
        <w:rPr>
          <w:sz w:val="28"/>
          <w:szCs w:val="28"/>
        </w:rPr>
        <w:t>2</w:t>
      </w:r>
      <w:r w:rsidRPr="005C22B2">
        <w:rPr>
          <w:sz w:val="28"/>
          <w:szCs w:val="28"/>
        </w:rPr>
        <w:t>.tabula</w:t>
      </w:r>
    </w:p>
    <w:p w:rsidR="00AE32FE" w:rsidRDefault="00AE32FE" w:rsidP="00AE32FE">
      <w:pPr>
        <w:pStyle w:val="Quote"/>
        <w:jc w:val="center"/>
        <w:rPr>
          <w:sz w:val="28"/>
          <w:szCs w:val="28"/>
        </w:rPr>
      </w:pPr>
      <w:r w:rsidRPr="005C22B2">
        <w:rPr>
          <w:sz w:val="28"/>
          <w:szCs w:val="28"/>
        </w:rPr>
        <w:t>Autobusu un vilcienu valsts dotāciju izmaksu salīdzinājums, 201</w:t>
      </w:r>
      <w:r w:rsidR="0029722E">
        <w:rPr>
          <w:sz w:val="28"/>
          <w:szCs w:val="28"/>
        </w:rPr>
        <w:t>3</w:t>
      </w:r>
      <w:r w:rsidRPr="005C22B2">
        <w:rPr>
          <w:sz w:val="28"/>
          <w:szCs w:val="28"/>
        </w:rPr>
        <w:t>.gads</w:t>
      </w:r>
    </w:p>
    <w:p w:rsidR="00714B5B" w:rsidRPr="00714B5B" w:rsidRDefault="00714B5B" w:rsidP="00714B5B"/>
    <w:tbl>
      <w:tblPr>
        <w:tblW w:w="9374" w:type="dxa"/>
        <w:tblLook w:val="04A0" w:firstRow="1" w:lastRow="0" w:firstColumn="1" w:lastColumn="0" w:noHBand="0" w:noVBand="1"/>
      </w:tblPr>
      <w:tblGrid>
        <w:gridCol w:w="1116"/>
        <w:gridCol w:w="3949"/>
        <w:gridCol w:w="1444"/>
        <w:gridCol w:w="1434"/>
        <w:gridCol w:w="1431"/>
      </w:tblGrid>
      <w:tr w:rsidR="007D6889" w:rsidTr="007D6889">
        <w:trPr>
          <w:trHeight w:val="765"/>
        </w:trPr>
        <w:tc>
          <w:tcPr>
            <w:tcW w:w="5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889" w:rsidRDefault="007D6889">
            <w:pPr>
              <w:jc w:val="center"/>
              <w:rPr>
                <w:color w:val="000000"/>
                <w:sz w:val="20"/>
                <w:szCs w:val="20"/>
              </w:rPr>
            </w:pPr>
            <w:r>
              <w:rPr>
                <w:color w:val="000000"/>
                <w:sz w:val="20"/>
                <w:szCs w:val="20"/>
              </w:rPr>
              <w:t>Rādītāji</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7D6889" w:rsidRDefault="007D6889">
            <w:pPr>
              <w:jc w:val="center"/>
              <w:rPr>
                <w:color w:val="000000"/>
                <w:sz w:val="20"/>
                <w:szCs w:val="20"/>
              </w:rPr>
            </w:pPr>
            <w:r>
              <w:rPr>
                <w:color w:val="000000"/>
                <w:sz w:val="20"/>
                <w:szCs w:val="20"/>
              </w:rPr>
              <w:t xml:space="preserve">AS "Pasažieru vilciens"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7D6889" w:rsidRDefault="007D6889">
            <w:pPr>
              <w:jc w:val="center"/>
              <w:rPr>
                <w:color w:val="000000"/>
                <w:sz w:val="20"/>
                <w:szCs w:val="20"/>
              </w:rPr>
            </w:pPr>
            <w:r>
              <w:rPr>
                <w:color w:val="000000"/>
                <w:sz w:val="20"/>
                <w:szCs w:val="20"/>
              </w:rPr>
              <w:t>Reģionālie starppilsētu autobusi</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7D6889" w:rsidRDefault="007D6889">
            <w:pPr>
              <w:jc w:val="center"/>
              <w:rPr>
                <w:color w:val="000000"/>
                <w:sz w:val="20"/>
                <w:szCs w:val="20"/>
              </w:rPr>
            </w:pPr>
            <w:r>
              <w:rPr>
                <w:color w:val="000000"/>
                <w:sz w:val="20"/>
                <w:szCs w:val="20"/>
              </w:rPr>
              <w:t>Pavisam kopā /  vidēji</w:t>
            </w:r>
          </w:p>
        </w:tc>
      </w:tr>
      <w:tr w:rsidR="007D6889" w:rsidTr="007D6889">
        <w:trPr>
          <w:trHeight w:val="300"/>
        </w:trPr>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889" w:rsidRDefault="007D6889">
            <w:pPr>
              <w:jc w:val="center"/>
              <w:rPr>
                <w:color w:val="000000"/>
                <w:sz w:val="20"/>
                <w:szCs w:val="20"/>
              </w:rPr>
            </w:pPr>
            <w:r>
              <w:rPr>
                <w:color w:val="000000"/>
                <w:sz w:val="20"/>
                <w:szCs w:val="20"/>
              </w:rPr>
              <w:t>Pamatdati</w:t>
            </w:r>
          </w:p>
        </w:tc>
        <w:tc>
          <w:tcPr>
            <w:tcW w:w="3949" w:type="dxa"/>
            <w:tcBorders>
              <w:top w:val="nil"/>
              <w:left w:val="nil"/>
              <w:bottom w:val="single" w:sz="4" w:space="0" w:color="auto"/>
              <w:right w:val="single" w:sz="4" w:space="0" w:color="auto"/>
            </w:tcBorders>
            <w:shd w:val="clear" w:color="auto" w:fill="auto"/>
            <w:vAlign w:val="center"/>
            <w:hideMark/>
          </w:tcPr>
          <w:p w:rsidR="007D6889" w:rsidRDefault="007D6889">
            <w:pPr>
              <w:rPr>
                <w:color w:val="000000"/>
                <w:sz w:val="20"/>
                <w:szCs w:val="20"/>
              </w:rPr>
            </w:pPr>
            <w:r>
              <w:rPr>
                <w:color w:val="000000"/>
                <w:sz w:val="20"/>
                <w:szCs w:val="20"/>
              </w:rPr>
              <w:t>Ieņēmumi no pārdotajām biļetēm,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21 451 355</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25 888 963</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23 670 159</w:t>
            </w:r>
          </w:p>
        </w:tc>
      </w:tr>
      <w:tr w:rsidR="007D6889" w:rsidTr="007D6889">
        <w:trPr>
          <w:trHeight w:val="30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vAlign w:val="center"/>
            <w:hideMark/>
          </w:tcPr>
          <w:p w:rsidR="007D6889" w:rsidRDefault="007D6889">
            <w:pPr>
              <w:rPr>
                <w:color w:val="000000"/>
                <w:sz w:val="20"/>
                <w:szCs w:val="20"/>
              </w:rPr>
            </w:pPr>
            <w:r>
              <w:rPr>
                <w:color w:val="000000"/>
                <w:sz w:val="20"/>
                <w:szCs w:val="20"/>
              </w:rPr>
              <w:t>Izmaksas,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67 605 362</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42 360 247</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54 982 805</w:t>
            </w:r>
          </w:p>
        </w:tc>
      </w:tr>
      <w:tr w:rsidR="007D6889" w:rsidTr="007D6889">
        <w:trPr>
          <w:trHeight w:val="51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vAlign w:val="center"/>
            <w:hideMark/>
          </w:tcPr>
          <w:p w:rsidR="007D6889" w:rsidRDefault="007D6889">
            <w:pPr>
              <w:rPr>
                <w:color w:val="000000"/>
                <w:sz w:val="20"/>
                <w:szCs w:val="20"/>
              </w:rPr>
            </w:pPr>
            <w:r>
              <w:rPr>
                <w:color w:val="000000"/>
                <w:sz w:val="20"/>
                <w:szCs w:val="20"/>
              </w:rPr>
              <w:t>t.sk. izmaksas par dzelzceļa infrastruktūras izmantošanu un iebraukšanu autoostās</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33 510 960</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2 150 234</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17 830 597</w:t>
            </w:r>
          </w:p>
        </w:tc>
      </w:tr>
      <w:tr w:rsidR="007D6889" w:rsidTr="007D6889">
        <w:trPr>
          <w:trHeight w:val="30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vAlign w:val="center"/>
            <w:hideMark/>
          </w:tcPr>
          <w:p w:rsidR="007D6889" w:rsidRDefault="007D6889">
            <w:pPr>
              <w:rPr>
                <w:color w:val="000000"/>
                <w:sz w:val="20"/>
                <w:szCs w:val="20"/>
              </w:rPr>
            </w:pPr>
            <w:r>
              <w:rPr>
                <w:color w:val="000000"/>
                <w:sz w:val="20"/>
                <w:szCs w:val="20"/>
              </w:rPr>
              <w:t>Pārvadājumu pakalpojumu izmaksas,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34 094 402</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40 210 013</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37 152 208</w:t>
            </w:r>
          </w:p>
        </w:tc>
      </w:tr>
      <w:tr w:rsidR="007D6889" w:rsidTr="007D6889">
        <w:trPr>
          <w:trHeight w:val="51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vAlign w:val="center"/>
            <w:hideMark/>
          </w:tcPr>
          <w:p w:rsidR="007D6889" w:rsidRDefault="007D6889">
            <w:pPr>
              <w:rPr>
                <w:color w:val="000000"/>
                <w:sz w:val="20"/>
                <w:szCs w:val="20"/>
              </w:rPr>
            </w:pPr>
            <w:r>
              <w:rPr>
                <w:color w:val="000000"/>
                <w:sz w:val="20"/>
                <w:szCs w:val="20"/>
              </w:rPr>
              <w:t>Pasažierkilometri (par maksu un bez maksas pārvadāto pasažieru kilometri)</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636 520 592</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741 451 126</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688 985 859</w:t>
            </w:r>
          </w:p>
        </w:tc>
      </w:tr>
      <w:tr w:rsidR="007D6889" w:rsidTr="007D6889">
        <w:trPr>
          <w:trHeight w:val="300"/>
        </w:trPr>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7D6889" w:rsidRDefault="007D6889">
            <w:pPr>
              <w:jc w:val="center"/>
              <w:rPr>
                <w:color w:val="000000"/>
                <w:sz w:val="20"/>
                <w:szCs w:val="20"/>
              </w:rPr>
            </w:pPr>
            <w:r>
              <w:rPr>
                <w:color w:val="000000"/>
                <w:sz w:val="20"/>
                <w:szCs w:val="20"/>
              </w:rPr>
              <w:t>Sekundārie dati</w:t>
            </w:r>
          </w:p>
        </w:tc>
        <w:tc>
          <w:tcPr>
            <w:tcW w:w="3949" w:type="dxa"/>
            <w:tcBorders>
              <w:top w:val="nil"/>
              <w:left w:val="nil"/>
              <w:bottom w:val="single" w:sz="4" w:space="0" w:color="auto"/>
              <w:right w:val="single" w:sz="4" w:space="0" w:color="auto"/>
            </w:tcBorders>
            <w:shd w:val="clear" w:color="auto" w:fill="auto"/>
            <w:noWrap/>
            <w:vAlign w:val="bottom"/>
            <w:hideMark/>
          </w:tcPr>
          <w:p w:rsidR="007D6889" w:rsidRDefault="007D6889">
            <w:pPr>
              <w:rPr>
                <w:color w:val="000000"/>
                <w:sz w:val="20"/>
                <w:szCs w:val="20"/>
              </w:rPr>
            </w:pPr>
            <w:r>
              <w:rPr>
                <w:color w:val="000000"/>
                <w:sz w:val="20"/>
                <w:szCs w:val="20"/>
              </w:rPr>
              <w:t>Ieņēmumi uz 1 pasažieru kilometru,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0.0337</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0.0349</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0.034</w:t>
            </w:r>
          </w:p>
        </w:tc>
      </w:tr>
      <w:tr w:rsidR="007D6889" w:rsidTr="007D6889">
        <w:trPr>
          <w:trHeight w:val="30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noWrap/>
            <w:vAlign w:val="bottom"/>
            <w:hideMark/>
          </w:tcPr>
          <w:p w:rsidR="007D6889" w:rsidRDefault="007D6889">
            <w:pPr>
              <w:rPr>
                <w:color w:val="000000"/>
                <w:sz w:val="20"/>
                <w:szCs w:val="20"/>
              </w:rPr>
            </w:pPr>
            <w:r>
              <w:rPr>
                <w:color w:val="000000"/>
                <w:sz w:val="20"/>
                <w:szCs w:val="20"/>
              </w:rPr>
              <w:t>Pārvadājumu pakalpojumu izmaksas uz 1 pasažieru kilometru,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0.0536</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0.0542</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0.054</w:t>
            </w:r>
          </w:p>
        </w:tc>
      </w:tr>
      <w:tr w:rsidR="007D6889" w:rsidTr="007D6889">
        <w:trPr>
          <w:trHeight w:val="300"/>
        </w:trPr>
        <w:tc>
          <w:tcPr>
            <w:tcW w:w="1116" w:type="dxa"/>
            <w:vMerge/>
            <w:tcBorders>
              <w:top w:val="nil"/>
              <w:left w:val="single" w:sz="4" w:space="0" w:color="auto"/>
              <w:bottom w:val="single" w:sz="4" w:space="0" w:color="000000"/>
              <w:right w:val="single" w:sz="4" w:space="0" w:color="auto"/>
            </w:tcBorders>
            <w:vAlign w:val="center"/>
            <w:hideMark/>
          </w:tcPr>
          <w:p w:rsidR="007D6889" w:rsidRDefault="007D6889">
            <w:pPr>
              <w:rPr>
                <w:color w:val="000000"/>
                <w:sz w:val="20"/>
                <w:szCs w:val="20"/>
              </w:rPr>
            </w:pPr>
          </w:p>
        </w:tc>
        <w:tc>
          <w:tcPr>
            <w:tcW w:w="3949" w:type="dxa"/>
            <w:tcBorders>
              <w:top w:val="nil"/>
              <w:left w:val="nil"/>
              <w:bottom w:val="single" w:sz="4" w:space="0" w:color="auto"/>
              <w:right w:val="single" w:sz="4" w:space="0" w:color="auto"/>
            </w:tcBorders>
            <w:shd w:val="clear" w:color="auto" w:fill="auto"/>
            <w:noWrap/>
            <w:vAlign w:val="bottom"/>
            <w:hideMark/>
          </w:tcPr>
          <w:p w:rsidR="007D6889" w:rsidRDefault="007D6889">
            <w:pPr>
              <w:rPr>
                <w:color w:val="000000"/>
                <w:sz w:val="20"/>
                <w:szCs w:val="20"/>
              </w:rPr>
            </w:pPr>
            <w:r>
              <w:rPr>
                <w:color w:val="000000"/>
                <w:sz w:val="20"/>
                <w:szCs w:val="20"/>
              </w:rPr>
              <w:t>Zaudējumi uz 1 pasažieru kilometru, EUR</w:t>
            </w:r>
          </w:p>
        </w:tc>
        <w:tc>
          <w:tcPr>
            <w:tcW w:w="144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0.0199</w:t>
            </w:r>
          </w:p>
        </w:tc>
        <w:tc>
          <w:tcPr>
            <w:tcW w:w="1434"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0.0193</w:t>
            </w:r>
          </w:p>
        </w:tc>
        <w:tc>
          <w:tcPr>
            <w:tcW w:w="1431" w:type="dxa"/>
            <w:tcBorders>
              <w:top w:val="nil"/>
              <w:left w:val="nil"/>
              <w:bottom w:val="single" w:sz="4" w:space="0" w:color="auto"/>
              <w:right w:val="single" w:sz="4" w:space="0" w:color="auto"/>
            </w:tcBorders>
            <w:shd w:val="clear" w:color="auto" w:fill="auto"/>
            <w:noWrap/>
            <w:vAlign w:val="bottom"/>
            <w:hideMark/>
          </w:tcPr>
          <w:p w:rsidR="007D6889" w:rsidRDefault="007D6889">
            <w:pPr>
              <w:jc w:val="right"/>
              <w:rPr>
                <w:color w:val="000000"/>
                <w:sz w:val="20"/>
                <w:szCs w:val="20"/>
              </w:rPr>
            </w:pPr>
            <w:r>
              <w:rPr>
                <w:color w:val="000000"/>
                <w:sz w:val="20"/>
                <w:szCs w:val="20"/>
              </w:rPr>
              <w:t>0.020</w:t>
            </w:r>
          </w:p>
        </w:tc>
      </w:tr>
    </w:tbl>
    <w:p w:rsidR="00AE32FE" w:rsidRDefault="00AE32FE" w:rsidP="00002925">
      <w:pPr>
        <w:ind w:firstLine="709"/>
        <w:jc w:val="both"/>
        <w:rPr>
          <w:color w:val="000000"/>
          <w:sz w:val="28"/>
          <w:szCs w:val="28"/>
        </w:rPr>
      </w:pPr>
    </w:p>
    <w:p w:rsidR="00714B5B" w:rsidRDefault="0026524D" w:rsidP="00F51C8D">
      <w:pPr>
        <w:ind w:firstLine="709"/>
        <w:jc w:val="both"/>
        <w:rPr>
          <w:sz w:val="28"/>
          <w:szCs w:val="28"/>
        </w:rPr>
      </w:pPr>
      <w:r>
        <w:rPr>
          <w:sz w:val="28"/>
          <w:szCs w:val="28"/>
        </w:rPr>
        <w:lastRenderedPageBreak/>
        <w:t xml:space="preserve">Savukārt </w:t>
      </w:r>
      <w:r w:rsidR="00F20767">
        <w:rPr>
          <w:sz w:val="28"/>
          <w:szCs w:val="28"/>
        </w:rPr>
        <w:t>3</w:t>
      </w:r>
      <w:r w:rsidR="009A1FF6">
        <w:rPr>
          <w:sz w:val="28"/>
          <w:szCs w:val="28"/>
        </w:rPr>
        <w:t>.tabul</w:t>
      </w:r>
      <w:r>
        <w:rPr>
          <w:sz w:val="28"/>
          <w:szCs w:val="28"/>
        </w:rPr>
        <w:t>ā</w:t>
      </w:r>
      <w:r w:rsidR="009A1FF6">
        <w:rPr>
          <w:sz w:val="28"/>
          <w:szCs w:val="28"/>
        </w:rPr>
        <w:t xml:space="preserve"> norādītie dati</w:t>
      </w:r>
      <w:r w:rsidR="009A1FF6" w:rsidRPr="005C22B2">
        <w:rPr>
          <w:sz w:val="28"/>
          <w:szCs w:val="28"/>
        </w:rPr>
        <w:t xml:space="preserve"> </w:t>
      </w:r>
      <w:r>
        <w:rPr>
          <w:sz w:val="28"/>
          <w:szCs w:val="28"/>
        </w:rPr>
        <w:t>no</w:t>
      </w:r>
      <w:r w:rsidR="009A1FF6" w:rsidRPr="005C22B2">
        <w:rPr>
          <w:sz w:val="28"/>
          <w:szCs w:val="28"/>
        </w:rPr>
        <w:t xml:space="preserve">rāda, ka </w:t>
      </w:r>
      <w:r w:rsidR="009A1FF6" w:rsidRPr="00002925">
        <w:rPr>
          <w:color w:val="000000"/>
          <w:sz w:val="28"/>
          <w:szCs w:val="28"/>
        </w:rPr>
        <w:t>maksa par publiskās dzelzceļa infrastruktūras izmantošanu</w:t>
      </w:r>
      <w:r w:rsidR="009A1FF6" w:rsidRPr="00AE32FE">
        <w:rPr>
          <w:color w:val="000000"/>
          <w:sz w:val="28"/>
          <w:szCs w:val="28"/>
        </w:rPr>
        <w:t xml:space="preserve"> </w:t>
      </w:r>
      <w:r w:rsidR="009A1FF6" w:rsidRPr="005C22B2">
        <w:rPr>
          <w:sz w:val="28"/>
          <w:szCs w:val="28"/>
        </w:rPr>
        <w:t>no 2009.gada līdz 2014.gadam elektrovilcieniem pieauga par 26</w:t>
      </w:r>
      <w:r w:rsidR="009A1FF6">
        <w:rPr>
          <w:sz w:val="28"/>
          <w:szCs w:val="28"/>
        </w:rPr>
        <w:t>,</w:t>
      </w:r>
      <w:r w:rsidR="00190F87">
        <w:rPr>
          <w:sz w:val="28"/>
          <w:szCs w:val="28"/>
        </w:rPr>
        <w:t>1</w:t>
      </w:r>
      <w:r w:rsidR="009A1FF6" w:rsidRPr="005C22B2">
        <w:rPr>
          <w:sz w:val="28"/>
          <w:szCs w:val="28"/>
        </w:rPr>
        <w:t xml:space="preserve">% </w:t>
      </w:r>
      <w:r w:rsidR="009A1FF6">
        <w:rPr>
          <w:sz w:val="28"/>
          <w:szCs w:val="28"/>
        </w:rPr>
        <w:t xml:space="preserve">(vidēji 5,2% gadā) </w:t>
      </w:r>
      <w:r w:rsidR="009A1FF6" w:rsidRPr="005C22B2">
        <w:rPr>
          <w:sz w:val="28"/>
          <w:szCs w:val="28"/>
        </w:rPr>
        <w:t>un dīzeļvilcieniem par 24</w:t>
      </w:r>
      <w:r w:rsidR="009A1FF6">
        <w:rPr>
          <w:sz w:val="28"/>
          <w:szCs w:val="28"/>
        </w:rPr>
        <w:t>,</w:t>
      </w:r>
      <w:r w:rsidR="00190F87">
        <w:rPr>
          <w:sz w:val="28"/>
          <w:szCs w:val="28"/>
        </w:rPr>
        <w:t>0</w:t>
      </w:r>
      <w:r w:rsidR="009A1FF6" w:rsidRPr="005C22B2">
        <w:rPr>
          <w:sz w:val="28"/>
          <w:szCs w:val="28"/>
        </w:rPr>
        <w:t>%</w:t>
      </w:r>
      <w:r w:rsidR="009A1FF6">
        <w:rPr>
          <w:sz w:val="28"/>
          <w:szCs w:val="28"/>
        </w:rPr>
        <w:t xml:space="preserve"> (vidēji 4,8% gadā)</w:t>
      </w:r>
      <w:r w:rsidR="009A1FF6" w:rsidRPr="005C22B2">
        <w:rPr>
          <w:sz w:val="28"/>
          <w:szCs w:val="28"/>
        </w:rPr>
        <w:t xml:space="preserve">. </w:t>
      </w:r>
    </w:p>
    <w:p w:rsidR="000A772C" w:rsidRDefault="00F20767" w:rsidP="000A772C">
      <w:pPr>
        <w:ind w:firstLine="720"/>
        <w:jc w:val="right"/>
        <w:rPr>
          <w:sz w:val="28"/>
          <w:szCs w:val="28"/>
        </w:rPr>
      </w:pPr>
      <w:r>
        <w:rPr>
          <w:sz w:val="28"/>
          <w:szCs w:val="28"/>
        </w:rPr>
        <w:t>3</w:t>
      </w:r>
      <w:r w:rsidR="009A1FF6">
        <w:rPr>
          <w:sz w:val="28"/>
          <w:szCs w:val="28"/>
        </w:rPr>
        <w:t xml:space="preserve">.tabula </w:t>
      </w:r>
    </w:p>
    <w:p w:rsidR="00190F87" w:rsidRPr="00714B5B" w:rsidRDefault="00190F87" w:rsidP="00190F87">
      <w:pPr>
        <w:ind w:firstLine="720"/>
        <w:jc w:val="center"/>
        <w:rPr>
          <w:i/>
          <w:sz w:val="28"/>
          <w:szCs w:val="28"/>
        </w:rPr>
      </w:pPr>
      <w:r w:rsidRPr="00714B5B">
        <w:rPr>
          <w:i/>
          <w:color w:val="000000"/>
          <w:sz w:val="28"/>
          <w:szCs w:val="28"/>
        </w:rPr>
        <w:t>Maksas par publiskās dzelzceļa infrastruktūras izmantošanu dinamika 2009.-2014.g. (EUR, par vienu vilcienu km)</w:t>
      </w:r>
    </w:p>
    <w:p w:rsidR="00190F87" w:rsidRDefault="00190F87" w:rsidP="00190F87">
      <w:pPr>
        <w:pStyle w:val="tv213"/>
        <w:spacing w:before="0" w:beforeAutospacing="0" w:after="0" w:afterAutospacing="0" w:line="293" w:lineRule="atLeast"/>
        <w:ind w:firstLine="300"/>
        <w:jc w:val="both"/>
        <w:rPr>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017"/>
        <w:gridCol w:w="1017"/>
        <w:gridCol w:w="1017"/>
        <w:gridCol w:w="1019"/>
        <w:gridCol w:w="1046"/>
        <w:gridCol w:w="959"/>
        <w:gridCol w:w="1474"/>
      </w:tblGrid>
      <w:tr w:rsidR="0026524D" w:rsidRPr="0044311E" w:rsidTr="0026524D">
        <w:trPr>
          <w:trHeight w:val="525"/>
        </w:trPr>
        <w:tc>
          <w:tcPr>
            <w:tcW w:w="939"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Vilcienu kategorijas</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2009.g.</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2010.g.</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2011.g.</w:t>
            </w:r>
          </w:p>
        </w:tc>
        <w:tc>
          <w:tcPr>
            <w:tcW w:w="548"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2012.g.</w:t>
            </w:r>
          </w:p>
        </w:tc>
        <w:tc>
          <w:tcPr>
            <w:tcW w:w="563"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2013.g.</w:t>
            </w:r>
          </w:p>
        </w:tc>
        <w:tc>
          <w:tcPr>
            <w:tcW w:w="516"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Vērtība 2014.g</w:t>
            </w:r>
          </w:p>
        </w:tc>
        <w:tc>
          <w:tcPr>
            <w:tcW w:w="794" w:type="pct"/>
            <w:shd w:val="clear" w:color="auto" w:fill="auto"/>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Novirzes 2014/2009</w:t>
            </w:r>
          </w:p>
        </w:tc>
      </w:tr>
      <w:tr w:rsidR="0026524D" w:rsidRPr="0044311E" w:rsidTr="0026524D">
        <w:trPr>
          <w:trHeight w:val="315"/>
        </w:trPr>
        <w:tc>
          <w:tcPr>
            <w:tcW w:w="939" w:type="pct"/>
            <w:shd w:val="clear" w:color="auto" w:fill="auto"/>
            <w:noWrap/>
            <w:vAlign w:val="center"/>
            <w:hideMark/>
          </w:tcPr>
          <w:p w:rsidR="00190F87" w:rsidRPr="0044311E" w:rsidRDefault="00190F87" w:rsidP="007D6E1A">
            <w:pPr>
              <w:rPr>
                <w:color w:val="000000"/>
                <w:sz w:val="20"/>
                <w:szCs w:val="20"/>
                <w:lang w:val="en-US" w:eastAsia="en-US"/>
              </w:rPr>
            </w:pPr>
            <w:r w:rsidRPr="0044311E">
              <w:rPr>
                <w:color w:val="000000"/>
                <w:sz w:val="20"/>
                <w:szCs w:val="20"/>
                <w:lang w:eastAsia="en-US"/>
              </w:rPr>
              <w:t>elektrovilcieniem</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 xml:space="preserve">5,55 </w:t>
            </w:r>
          </w:p>
        </w:tc>
        <w:tc>
          <w:tcPr>
            <w:tcW w:w="547" w:type="pct"/>
            <w:shd w:val="clear" w:color="auto" w:fill="auto"/>
            <w:noWrap/>
            <w:vAlign w:val="center"/>
            <w:hideMark/>
          </w:tcPr>
          <w:p w:rsidR="00190F87" w:rsidRPr="0044311E" w:rsidRDefault="00190F87" w:rsidP="00C1745E">
            <w:pPr>
              <w:jc w:val="center"/>
              <w:rPr>
                <w:color w:val="000000"/>
                <w:sz w:val="20"/>
                <w:szCs w:val="20"/>
                <w:lang w:val="en-US" w:eastAsia="en-US"/>
              </w:rPr>
            </w:pPr>
            <w:r w:rsidRPr="0044311E">
              <w:rPr>
                <w:bCs/>
                <w:color w:val="000000"/>
                <w:sz w:val="20"/>
                <w:szCs w:val="20"/>
                <w:lang w:eastAsia="en-US"/>
              </w:rPr>
              <w:t>5,39</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 xml:space="preserve">5,72 </w:t>
            </w:r>
          </w:p>
        </w:tc>
        <w:tc>
          <w:tcPr>
            <w:tcW w:w="548"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 xml:space="preserve">6,33 </w:t>
            </w:r>
          </w:p>
        </w:tc>
        <w:tc>
          <w:tcPr>
            <w:tcW w:w="563"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 xml:space="preserve">6,50 </w:t>
            </w:r>
          </w:p>
        </w:tc>
        <w:tc>
          <w:tcPr>
            <w:tcW w:w="516"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 xml:space="preserve">7,00 </w:t>
            </w:r>
          </w:p>
        </w:tc>
        <w:tc>
          <w:tcPr>
            <w:tcW w:w="794"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26,1%</w:t>
            </w:r>
          </w:p>
        </w:tc>
      </w:tr>
      <w:tr w:rsidR="0026524D" w:rsidRPr="0044311E" w:rsidTr="0026524D">
        <w:trPr>
          <w:trHeight w:val="315"/>
        </w:trPr>
        <w:tc>
          <w:tcPr>
            <w:tcW w:w="939" w:type="pct"/>
            <w:shd w:val="clear" w:color="auto" w:fill="auto"/>
            <w:noWrap/>
            <w:vAlign w:val="center"/>
            <w:hideMark/>
          </w:tcPr>
          <w:p w:rsidR="00190F87" w:rsidRPr="0044311E" w:rsidRDefault="00190F87" w:rsidP="007D6E1A">
            <w:pPr>
              <w:rPr>
                <w:color w:val="000000"/>
                <w:sz w:val="20"/>
                <w:szCs w:val="20"/>
                <w:lang w:val="en-US" w:eastAsia="en-US"/>
              </w:rPr>
            </w:pPr>
            <w:r w:rsidRPr="0044311E">
              <w:rPr>
                <w:color w:val="000000"/>
                <w:sz w:val="20"/>
                <w:szCs w:val="20"/>
                <w:lang w:eastAsia="en-US"/>
              </w:rPr>
              <w:t>dīzeļvilcieniem</w:t>
            </w:r>
          </w:p>
        </w:tc>
        <w:tc>
          <w:tcPr>
            <w:tcW w:w="547" w:type="pct"/>
            <w:shd w:val="clear" w:color="auto" w:fill="auto"/>
            <w:noWrap/>
            <w:vAlign w:val="center"/>
            <w:hideMark/>
          </w:tcPr>
          <w:p w:rsidR="00190F87" w:rsidRPr="0044311E" w:rsidRDefault="00190F87" w:rsidP="00C1745E">
            <w:pPr>
              <w:jc w:val="center"/>
              <w:rPr>
                <w:color w:val="000000"/>
                <w:sz w:val="20"/>
                <w:szCs w:val="20"/>
                <w:lang w:val="en-US" w:eastAsia="en-US"/>
              </w:rPr>
            </w:pPr>
            <w:r w:rsidRPr="0044311E">
              <w:rPr>
                <w:color w:val="000000"/>
                <w:sz w:val="20"/>
                <w:szCs w:val="20"/>
                <w:lang w:val="en-US" w:eastAsia="en-US"/>
              </w:rPr>
              <w:t>4,70</w:t>
            </w:r>
          </w:p>
        </w:tc>
        <w:tc>
          <w:tcPr>
            <w:tcW w:w="547" w:type="pct"/>
            <w:shd w:val="clear" w:color="auto" w:fill="auto"/>
            <w:noWrap/>
            <w:vAlign w:val="center"/>
            <w:hideMark/>
          </w:tcPr>
          <w:p w:rsidR="00190F87" w:rsidRPr="0044311E" w:rsidRDefault="00190F87" w:rsidP="00E70A5C">
            <w:pPr>
              <w:jc w:val="center"/>
              <w:rPr>
                <w:color w:val="000000"/>
                <w:sz w:val="20"/>
                <w:szCs w:val="20"/>
                <w:lang w:val="en-US" w:eastAsia="en-US"/>
              </w:rPr>
            </w:pPr>
            <w:r w:rsidRPr="0044311E">
              <w:rPr>
                <w:color w:val="000000"/>
                <w:sz w:val="20"/>
                <w:szCs w:val="20"/>
                <w:lang w:val="en-US" w:eastAsia="en-US"/>
              </w:rPr>
              <w:t>4,43</w:t>
            </w:r>
          </w:p>
        </w:tc>
        <w:tc>
          <w:tcPr>
            <w:tcW w:w="547"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color w:val="000000"/>
                <w:sz w:val="20"/>
                <w:szCs w:val="20"/>
                <w:lang w:val="en-US" w:eastAsia="en-US"/>
              </w:rPr>
              <w:t xml:space="preserve">4,78 </w:t>
            </w:r>
          </w:p>
        </w:tc>
        <w:tc>
          <w:tcPr>
            <w:tcW w:w="548"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color w:val="000000"/>
                <w:sz w:val="20"/>
                <w:szCs w:val="20"/>
                <w:lang w:val="en-US" w:eastAsia="en-US"/>
              </w:rPr>
              <w:t xml:space="preserve">5,28 </w:t>
            </w:r>
          </w:p>
        </w:tc>
        <w:tc>
          <w:tcPr>
            <w:tcW w:w="563"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color w:val="000000"/>
                <w:sz w:val="20"/>
                <w:szCs w:val="20"/>
                <w:lang w:val="en-US" w:eastAsia="en-US"/>
              </w:rPr>
              <w:t xml:space="preserve">5,35 </w:t>
            </w:r>
          </w:p>
        </w:tc>
        <w:tc>
          <w:tcPr>
            <w:tcW w:w="516"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color w:val="000000"/>
                <w:sz w:val="20"/>
                <w:szCs w:val="20"/>
                <w:lang w:val="en-US" w:eastAsia="en-US"/>
              </w:rPr>
              <w:t xml:space="preserve">5,83 </w:t>
            </w:r>
          </w:p>
        </w:tc>
        <w:tc>
          <w:tcPr>
            <w:tcW w:w="794" w:type="pct"/>
            <w:shd w:val="clear" w:color="auto" w:fill="auto"/>
            <w:noWrap/>
            <w:vAlign w:val="center"/>
            <w:hideMark/>
          </w:tcPr>
          <w:p w:rsidR="00190F87" w:rsidRPr="0044311E" w:rsidRDefault="00190F87" w:rsidP="007D6E1A">
            <w:pPr>
              <w:jc w:val="center"/>
              <w:rPr>
                <w:color w:val="000000"/>
                <w:sz w:val="20"/>
                <w:szCs w:val="20"/>
                <w:lang w:val="en-US" w:eastAsia="en-US"/>
              </w:rPr>
            </w:pPr>
            <w:r w:rsidRPr="0044311E">
              <w:rPr>
                <w:bCs/>
                <w:color w:val="000000"/>
                <w:sz w:val="20"/>
                <w:szCs w:val="20"/>
                <w:lang w:eastAsia="en-US"/>
              </w:rPr>
              <w:t>24,0%</w:t>
            </w:r>
          </w:p>
        </w:tc>
      </w:tr>
    </w:tbl>
    <w:p w:rsidR="009A1FF6" w:rsidRPr="000A772C" w:rsidRDefault="009A1FF6" w:rsidP="00714B5B">
      <w:pPr>
        <w:rPr>
          <w:sz w:val="28"/>
          <w:szCs w:val="28"/>
        </w:rPr>
      </w:pPr>
    </w:p>
    <w:p w:rsidR="00040305" w:rsidRDefault="009D7422" w:rsidP="0026524D">
      <w:pPr>
        <w:ind w:firstLine="720"/>
        <w:jc w:val="both"/>
        <w:rPr>
          <w:sz w:val="28"/>
          <w:szCs w:val="28"/>
        </w:rPr>
      </w:pPr>
      <w:r>
        <w:rPr>
          <w:sz w:val="28"/>
          <w:szCs w:val="28"/>
        </w:rPr>
        <w:t>Dzelzceļa p</w:t>
      </w:r>
      <w:r w:rsidRPr="005C22B2">
        <w:rPr>
          <w:sz w:val="28"/>
          <w:szCs w:val="28"/>
        </w:rPr>
        <w:t>ārvadātājam būtisku izmaksu daļu (vidēji 50% no kopējām ar sabiedriskā transporta pakalpojumu sniegšanu saistītajām izmaksām) veido maksa par publiskās lietošanas dzelzceļa infrastruktūras izmantošanu</w:t>
      </w:r>
      <w:r>
        <w:rPr>
          <w:sz w:val="28"/>
          <w:szCs w:val="28"/>
        </w:rPr>
        <w:t xml:space="preserve"> (</w:t>
      </w:r>
      <w:r w:rsidR="00C80DA8">
        <w:rPr>
          <w:sz w:val="28"/>
          <w:szCs w:val="28"/>
        </w:rPr>
        <w:t>1.</w:t>
      </w:r>
      <w:r>
        <w:rPr>
          <w:sz w:val="28"/>
          <w:szCs w:val="28"/>
        </w:rPr>
        <w:t>attēls)</w:t>
      </w:r>
      <w:r w:rsidRPr="005C22B2">
        <w:rPr>
          <w:sz w:val="28"/>
          <w:szCs w:val="28"/>
        </w:rPr>
        <w:t>.</w:t>
      </w:r>
    </w:p>
    <w:p w:rsidR="00714B5B" w:rsidRPr="009D7422" w:rsidRDefault="00714B5B" w:rsidP="005C22B2">
      <w:pPr>
        <w:ind w:firstLine="720"/>
        <w:rPr>
          <w:sz w:val="28"/>
          <w:szCs w:val="28"/>
        </w:rPr>
      </w:pPr>
    </w:p>
    <w:p w:rsidR="000A772C" w:rsidRPr="000A772C" w:rsidRDefault="00C80DA8" w:rsidP="000A772C">
      <w:pPr>
        <w:ind w:firstLine="720"/>
        <w:jc w:val="right"/>
        <w:rPr>
          <w:sz w:val="28"/>
          <w:szCs w:val="28"/>
        </w:rPr>
      </w:pPr>
      <w:r>
        <w:rPr>
          <w:sz w:val="28"/>
          <w:szCs w:val="28"/>
        </w:rPr>
        <w:t>1</w:t>
      </w:r>
      <w:r w:rsidR="000A772C" w:rsidRPr="000A772C">
        <w:rPr>
          <w:sz w:val="28"/>
          <w:szCs w:val="28"/>
        </w:rPr>
        <w:t>.attēls</w:t>
      </w:r>
    </w:p>
    <w:p w:rsidR="00E70A5C" w:rsidRPr="0018396D" w:rsidRDefault="0018396D" w:rsidP="0018396D">
      <w:pPr>
        <w:ind w:left="709" w:hanging="283"/>
        <w:jc w:val="both"/>
      </w:pPr>
      <w:r>
        <w:rPr>
          <w:noProof/>
        </w:rPr>
        <w:drawing>
          <wp:inline distT="0" distB="0" distL="0" distR="0" wp14:anchorId="79A1BDC7" wp14:editId="4CFA804A">
            <wp:extent cx="5760085" cy="30168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70A5C" w:rsidRPr="0018396D">
        <w:t>*  ņemot vērā zemāku infrastruktūras maksu nekā nepieciešams</w:t>
      </w:r>
    </w:p>
    <w:p w:rsidR="00E70A5C" w:rsidRPr="0018396D" w:rsidRDefault="00E70A5C" w:rsidP="00E70A5C">
      <w:pPr>
        <w:ind w:firstLine="709"/>
        <w:jc w:val="both"/>
      </w:pPr>
      <w:r w:rsidRPr="0018396D">
        <w:t>** ņemot vērā noteikto infrastruktūras maksas atlaidi</w:t>
      </w:r>
    </w:p>
    <w:p w:rsidR="000A772C" w:rsidRPr="0026524D" w:rsidRDefault="000A772C" w:rsidP="00714B5B">
      <w:pPr>
        <w:jc w:val="both"/>
        <w:rPr>
          <w:strike/>
          <w:sz w:val="28"/>
          <w:szCs w:val="28"/>
        </w:rPr>
      </w:pPr>
    </w:p>
    <w:p w:rsidR="00002D8E" w:rsidRDefault="00002D8E" w:rsidP="00002D8E">
      <w:pPr>
        <w:ind w:firstLine="720"/>
        <w:jc w:val="both"/>
        <w:rPr>
          <w:sz w:val="28"/>
          <w:szCs w:val="28"/>
        </w:rPr>
      </w:pPr>
      <w:r>
        <w:rPr>
          <w:sz w:val="28"/>
          <w:szCs w:val="28"/>
        </w:rPr>
        <w:t>Ņemot vērā to, ka ir noteikts atšķirīgs finansēšanas modelis autoceļu un dzelzceļa infrastruktūras uzturēšanai, tad atšķirībā no autopārvadātājiem AS</w:t>
      </w:r>
      <w:r w:rsidR="0026524D">
        <w:rPr>
          <w:sz w:val="28"/>
          <w:szCs w:val="28"/>
        </w:rPr>
        <w:t> </w:t>
      </w:r>
      <w:r>
        <w:rPr>
          <w:sz w:val="28"/>
          <w:szCs w:val="28"/>
        </w:rPr>
        <w:t xml:space="preserve">“Pasažieru vilciens” 2014.gada kopējās pārvadājumu izmaksās infrastruktūras izmantošanas maksas sasniedz 56% jeb 36 milj. EUR, kas nozīmē, ka 2014.gadā piešķirtā valsts dotācija ir nepietiekama pat, lai nosegtu infrastruktūras izmantošanas maksu (skat. 4.tabulu). </w:t>
      </w:r>
    </w:p>
    <w:p w:rsidR="004F721E" w:rsidRDefault="004F721E" w:rsidP="00002D8E">
      <w:pPr>
        <w:ind w:firstLine="720"/>
        <w:jc w:val="both"/>
        <w:rPr>
          <w:sz w:val="28"/>
          <w:szCs w:val="28"/>
        </w:rPr>
      </w:pPr>
    </w:p>
    <w:p w:rsidR="004F721E" w:rsidRDefault="004F721E" w:rsidP="00002D8E">
      <w:pPr>
        <w:ind w:firstLine="720"/>
        <w:jc w:val="both"/>
        <w:rPr>
          <w:sz w:val="28"/>
          <w:szCs w:val="28"/>
        </w:rPr>
      </w:pPr>
    </w:p>
    <w:p w:rsidR="00002D8E" w:rsidRDefault="00002D8E" w:rsidP="00002D8E">
      <w:pPr>
        <w:ind w:firstLine="720"/>
        <w:jc w:val="right"/>
        <w:rPr>
          <w:sz w:val="28"/>
          <w:szCs w:val="28"/>
        </w:rPr>
      </w:pPr>
      <w:r>
        <w:rPr>
          <w:sz w:val="28"/>
          <w:szCs w:val="28"/>
        </w:rPr>
        <w:lastRenderedPageBreak/>
        <w:t xml:space="preserve">4.tabula </w:t>
      </w:r>
    </w:p>
    <w:p w:rsidR="00002D8E" w:rsidRPr="00714B5B" w:rsidRDefault="00002D8E" w:rsidP="00002D8E">
      <w:pPr>
        <w:ind w:firstLine="720"/>
        <w:jc w:val="center"/>
        <w:rPr>
          <w:i/>
          <w:sz w:val="28"/>
          <w:szCs w:val="28"/>
        </w:rPr>
      </w:pPr>
      <w:r>
        <w:rPr>
          <w:i/>
          <w:color w:val="000000"/>
          <w:sz w:val="28"/>
          <w:szCs w:val="28"/>
        </w:rPr>
        <w:t>Valsts budžeta dotācijas par sabiedriskā transporta pakalpojumiem pa dzelzceļu segums</w:t>
      </w:r>
      <w:r w:rsidRPr="00714B5B">
        <w:rPr>
          <w:i/>
          <w:color w:val="000000"/>
          <w:sz w:val="28"/>
          <w:szCs w:val="28"/>
        </w:rPr>
        <w:t xml:space="preserve"> </w:t>
      </w:r>
      <w:r>
        <w:rPr>
          <w:i/>
          <w:color w:val="000000"/>
          <w:sz w:val="28"/>
          <w:szCs w:val="28"/>
        </w:rPr>
        <w:t>2010</w:t>
      </w:r>
      <w:r w:rsidRPr="00714B5B">
        <w:rPr>
          <w:i/>
          <w:color w:val="000000"/>
          <w:sz w:val="28"/>
          <w:szCs w:val="28"/>
        </w:rPr>
        <w:t>.-2014.g. (</w:t>
      </w:r>
      <w:r>
        <w:rPr>
          <w:i/>
          <w:color w:val="000000"/>
          <w:sz w:val="28"/>
          <w:szCs w:val="28"/>
        </w:rPr>
        <w:t xml:space="preserve">tūkst. </w:t>
      </w:r>
      <w:r w:rsidRPr="00714B5B">
        <w:rPr>
          <w:i/>
          <w:color w:val="000000"/>
          <w:sz w:val="28"/>
          <w:szCs w:val="28"/>
        </w:rPr>
        <w:t>EUR)</w:t>
      </w:r>
    </w:p>
    <w:p w:rsidR="00002D8E" w:rsidRDefault="00002D8E" w:rsidP="00002D8E">
      <w:pPr>
        <w:pStyle w:val="tv213"/>
        <w:spacing w:before="0" w:beforeAutospacing="0" w:after="0" w:afterAutospacing="0" w:line="293" w:lineRule="atLeast"/>
        <w:ind w:firstLine="300"/>
        <w:jc w:val="both"/>
        <w:rPr>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276"/>
        <w:gridCol w:w="1276"/>
        <w:gridCol w:w="1276"/>
        <w:gridCol w:w="1274"/>
      </w:tblGrid>
      <w:tr w:rsidR="00002D8E" w:rsidRPr="00002D8E" w:rsidTr="00002D8E">
        <w:trPr>
          <w:trHeight w:val="525"/>
        </w:trPr>
        <w:tc>
          <w:tcPr>
            <w:tcW w:w="1449" w:type="pct"/>
            <w:shd w:val="clear" w:color="auto" w:fill="auto"/>
            <w:noWrap/>
            <w:vAlign w:val="center"/>
          </w:tcPr>
          <w:p w:rsidR="00002D8E" w:rsidRPr="00002D8E" w:rsidRDefault="00002D8E" w:rsidP="00002D8E">
            <w:pPr>
              <w:rPr>
                <w:b/>
                <w:bCs/>
                <w:color w:val="000000"/>
                <w:sz w:val="20"/>
                <w:szCs w:val="20"/>
                <w:lang w:eastAsia="en-US"/>
              </w:rPr>
            </w:pPr>
            <w:r>
              <w:rPr>
                <w:b/>
                <w:bCs/>
                <w:color w:val="000000"/>
                <w:sz w:val="20"/>
                <w:szCs w:val="20"/>
                <w:lang w:eastAsia="en-US"/>
              </w:rPr>
              <w:t>Gads</w:t>
            </w:r>
          </w:p>
        </w:tc>
        <w:tc>
          <w:tcPr>
            <w:tcW w:w="772" w:type="pct"/>
            <w:shd w:val="clear" w:color="auto" w:fill="auto"/>
            <w:noWrap/>
            <w:vAlign w:val="center"/>
          </w:tcPr>
          <w:p w:rsidR="00002D8E" w:rsidRPr="0026524D" w:rsidRDefault="00040305" w:rsidP="00002D8E">
            <w:pPr>
              <w:jc w:val="center"/>
              <w:rPr>
                <w:b/>
                <w:color w:val="000000"/>
                <w:sz w:val="20"/>
                <w:szCs w:val="20"/>
                <w:lang w:eastAsia="en-US"/>
              </w:rPr>
            </w:pPr>
            <w:r w:rsidRPr="0026524D">
              <w:rPr>
                <w:b/>
                <w:color w:val="000000"/>
                <w:sz w:val="20"/>
                <w:szCs w:val="20"/>
                <w:lang w:eastAsia="en-US"/>
              </w:rPr>
              <w:t>2010</w:t>
            </w:r>
          </w:p>
        </w:tc>
        <w:tc>
          <w:tcPr>
            <w:tcW w:w="695" w:type="pct"/>
            <w:shd w:val="clear" w:color="auto" w:fill="auto"/>
            <w:noWrap/>
            <w:vAlign w:val="center"/>
          </w:tcPr>
          <w:p w:rsidR="00002D8E" w:rsidRPr="0026524D" w:rsidRDefault="00040305" w:rsidP="00002D8E">
            <w:pPr>
              <w:jc w:val="center"/>
              <w:rPr>
                <w:b/>
                <w:color w:val="000000"/>
                <w:sz w:val="20"/>
                <w:szCs w:val="20"/>
                <w:lang w:eastAsia="en-US"/>
              </w:rPr>
            </w:pPr>
            <w:r w:rsidRPr="0026524D">
              <w:rPr>
                <w:b/>
                <w:color w:val="000000"/>
                <w:sz w:val="20"/>
                <w:szCs w:val="20"/>
                <w:lang w:eastAsia="en-US"/>
              </w:rPr>
              <w:t>2011</w:t>
            </w:r>
          </w:p>
        </w:tc>
        <w:tc>
          <w:tcPr>
            <w:tcW w:w="695" w:type="pct"/>
            <w:shd w:val="clear" w:color="auto" w:fill="auto"/>
            <w:noWrap/>
            <w:vAlign w:val="center"/>
          </w:tcPr>
          <w:p w:rsidR="00002D8E" w:rsidRPr="0026524D" w:rsidRDefault="00040305" w:rsidP="00002D8E">
            <w:pPr>
              <w:jc w:val="center"/>
              <w:rPr>
                <w:b/>
                <w:color w:val="000000"/>
                <w:sz w:val="20"/>
                <w:szCs w:val="20"/>
                <w:lang w:eastAsia="en-US"/>
              </w:rPr>
            </w:pPr>
            <w:r w:rsidRPr="0026524D">
              <w:rPr>
                <w:b/>
                <w:color w:val="000000"/>
                <w:sz w:val="20"/>
                <w:szCs w:val="20"/>
                <w:lang w:eastAsia="en-US"/>
              </w:rPr>
              <w:t>2012</w:t>
            </w:r>
          </w:p>
        </w:tc>
        <w:tc>
          <w:tcPr>
            <w:tcW w:w="695" w:type="pct"/>
            <w:shd w:val="clear" w:color="auto" w:fill="auto"/>
            <w:noWrap/>
            <w:vAlign w:val="center"/>
          </w:tcPr>
          <w:p w:rsidR="00002D8E" w:rsidRPr="0026524D" w:rsidRDefault="00040305" w:rsidP="00002D8E">
            <w:pPr>
              <w:jc w:val="center"/>
              <w:rPr>
                <w:b/>
                <w:color w:val="000000"/>
                <w:sz w:val="20"/>
                <w:szCs w:val="20"/>
                <w:lang w:eastAsia="en-US"/>
              </w:rPr>
            </w:pPr>
            <w:r w:rsidRPr="0026524D">
              <w:rPr>
                <w:b/>
                <w:color w:val="000000"/>
                <w:sz w:val="20"/>
                <w:szCs w:val="20"/>
                <w:lang w:eastAsia="en-US"/>
              </w:rPr>
              <w:t>2013</w:t>
            </w:r>
          </w:p>
        </w:tc>
        <w:tc>
          <w:tcPr>
            <w:tcW w:w="694" w:type="pct"/>
            <w:shd w:val="clear" w:color="auto" w:fill="auto"/>
            <w:noWrap/>
            <w:vAlign w:val="center"/>
          </w:tcPr>
          <w:p w:rsidR="00002D8E" w:rsidRPr="0026524D" w:rsidRDefault="00040305" w:rsidP="00002D8E">
            <w:pPr>
              <w:jc w:val="center"/>
              <w:rPr>
                <w:b/>
                <w:color w:val="000000"/>
                <w:sz w:val="20"/>
                <w:szCs w:val="20"/>
                <w:lang w:eastAsia="en-US"/>
              </w:rPr>
            </w:pPr>
            <w:r w:rsidRPr="0026524D">
              <w:rPr>
                <w:b/>
                <w:color w:val="000000"/>
                <w:sz w:val="20"/>
                <w:szCs w:val="20"/>
                <w:lang w:eastAsia="en-US"/>
              </w:rPr>
              <w:t>2014</w:t>
            </w:r>
          </w:p>
        </w:tc>
      </w:tr>
      <w:tr w:rsidR="00002D8E" w:rsidRPr="00002D8E" w:rsidTr="0026524D">
        <w:trPr>
          <w:trHeight w:val="293"/>
        </w:trPr>
        <w:tc>
          <w:tcPr>
            <w:tcW w:w="1449" w:type="pct"/>
            <w:shd w:val="clear" w:color="auto" w:fill="auto"/>
            <w:noWrap/>
            <w:vAlign w:val="center"/>
            <w:hideMark/>
          </w:tcPr>
          <w:p w:rsidR="00040305" w:rsidRPr="0026524D" w:rsidRDefault="002C0C73" w:rsidP="0026524D">
            <w:pPr>
              <w:rPr>
                <w:color w:val="000000"/>
                <w:sz w:val="20"/>
                <w:szCs w:val="20"/>
                <w:lang w:eastAsia="en-US"/>
              </w:rPr>
            </w:pPr>
            <w:r>
              <w:rPr>
                <w:bCs/>
                <w:color w:val="000000"/>
                <w:sz w:val="20"/>
                <w:szCs w:val="20"/>
                <w:lang w:eastAsia="en-US"/>
              </w:rPr>
              <w:t>Kopā pārskaitītas dotācijas</w:t>
            </w:r>
          </w:p>
        </w:tc>
        <w:tc>
          <w:tcPr>
            <w:tcW w:w="772" w:type="pct"/>
            <w:shd w:val="clear" w:color="auto" w:fill="auto"/>
            <w:noWrap/>
            <w:vAlign w:val="center"/>
            <w:hideMark/>
          </w:tcPr>
          <w:p w:rsidR="00002D8E" w:rsidRPr="0026524D" w:rsidRDefault="00040305" w:rsidP="00002D8E">
            <w:pPr>
              <w:jc w:val="center"/>
              <w:rPr>
                <w:color w:val="000000"/>
                <w:sz w:val="20"/>
                <w:szCs w:val="20"/>
                <w:lang w:eastAsia="en-US"/>
              </w:rPr>
            </w:pPr>
            <w:r w:rsidRPr="0026524D">
              <w:rPr>
                <w:color w:val="000000"/>
                <w:sz w:val="20"/>
                <w:szCs w:val="20"/>
                <w:lang w:eastAsia="en-US"/>
              </w:rPr>
              <w:t>37 398</w:t>
            </w:r>
          </w:p>
        </w:tc>
        <w:tc>
          <w:tcPr>
            <w:tcW w:w="695" w:type="pct"/>
            <w:shd w:val="clear" w:color="auto" w:fill="auto"/>
            <w:noWrap/>
            <w:vAlign w:val="center"/>
            <w:hideMark/>
          </w:tcPr>
          <w:p w:rsidR="00002D8E" w:rsidRPr="0026524D" w:rsidRDefault="00040305" w:rsidP="00002D8E">
            <w:pPr>
              <w:jc w:val="center"/>
              <w:rPr>
                <w:color w:val="000000"/>
                <w:sz w:val="20"/>
                <w:szCs w:val="20"/>
                <w:lang w:eastAsia="en-US"/>
              </w:rPr>
            </w:pPr>
            <w:r w:rsidRPr="0026524D">
              <w:rPr>
                <w:color w:val="000000"/>
                <w:sz w:val="20"/>
                <w:szCs w:val="20"/>
                <w:lang w:eastAsia="en-US"/>
              </w:rPr>
              <w:t>31 437</w:t>
            </w:r>
          </w:p>
        </w:tc>
        <w:tc>
          <w:tcPr>
            <w:tcW w:w="695" w:type="pct"/>
            <w:shd w:val="clear" w:color="auto" w:fill="auto"/>
            <w:noWrap/>
            <w:vAlign w:val="center"/>
            <w:hideMark/>
          </w:tcPr>
          <w:p w:rsidR="00002D8E" w:rsidRPr="0026524D" w:rsidRDefault="00040305" w:rsidP="00002D8E">
            <w:pPr>
              <w:jc w:val="center"/>
              <w:rPr>
                <w:color w:val="000000"/>
                <w:sz w:val="20"/>
                <w:szCs w:val="20"/>
                <w:lang w:eastAsia="en-US"/>
              </w:rPr>
            </w:pPr>
            <w:r w:rsidRPr="0026524D">
              <w:rPr>
                <w:color w:val="000000"/>
                <w:sz w:val="20"/>
                <w:szCs w:val="20"/>
                <w:lang w:eastAsia="en-US"/>
              </w:rPr>
              <w:t>41 800</w:t>
            </w:r>
          </w:p>
        </w:tc>
        <w:tc>
          <w:tcPr>
            <w:tcW w:w="695" w:type="pct"/>
            <w:shd w:val="clear" w:color="auto" w:fill="auto"/>
            <w:noWrap/>
            <w:vAlign w:val="center"/>
            <w:hideMark/>
          </w:tcPr>
          <w:p w:rsidR="00002D8E" w:rsidRPr="0026524D" w:rsidRDefault="00040305" w:rsidP="00002D8E">
            <w:pPr>
              <w:jc w:val="center"/>
              <w:rPr>
                <w:color w:val="000000"/>
                <w:sz w:val="20"/>
                <w:szCs w:val="20"/>
                <w:lang w:eastAsia="en-US"/>
              </w:rPr>
            </w:pPr>
            <w:r w:rsidRPr="0026524D">
              <w:rPr>
                <w:color w:val="000000"/>
                <w:sz w:val="20"/>
                <w:szCs w:val="20"/>
                <w:lang w:eastAsia="en-US"/>
              </w:rPr>
              <w:t>42 866</w:t>
            </w:r>
          </w:p>
        </w:tc>
        <w:tc>
          <w:tcPr>
            <w:tcW w:w="694" w:type="pct"/>
            <w:shd w:val="clear" w:color="auto" w:fill="auto"/>
            <w:noWrap/>
            <w:vAlign w:val="center"/>
            <w:hideMark/>
          </w:tcPr>
          <w:p w:rsidR="00002D8E" w:rsidRPr="0026524D" w:rsidRDefault="00040305" w:rsidP="00002D8E">
            <w:pPr>
              <w:jc w:val="center"/>
              <w:rPr>
                <w:color w:val="000000"/>
                <w:sz w:val="20"/>
                <w:szCs w:val="20"/>
                <w:lang w:eastAsia="en-US"/>
              </w:rPr>
            </w:pPr>
            <w:r w:rsidRPr="0026524D">
              <w:rPr>
                <w:color w:val="000000"/>
                <w:sz w:val="20"/>
                <w:szCs w:val="20"/>
                <w:lang w:eastAsia="en-US"/>
              </w:rPr>
              <w:t>35 312</w:t>
            </w:r>
          </w:p>
        </w:tc>
      </w:tr>
      <w:tr w:rsidR="00002D8E" w:rsidRPr="0044311E" w:rsidTr="0026524D">
        <w:trPr>
          <w:trHeight w:val="315"/>
        </w:trPr>
        <w:tc>
          <w:tcPr>
            <w:tcW w:w="1449" w:type="pct"/>
            <w:shd w:val="clear" w:color="auto" w:fill="auto"/>
            <w:noWrap/>
            <w:vAlign w:val="center"/>
            <w:hideMark/>
          </w:tcPr>
          <w:p w:rsidR="00002D8E" w:rsidRPr="0026524D" w:rsidRDefault="00002D8E" w:rsidP="00945E9F">
            <w:pPr>
              <w:rPr>
                <w:color w:val="000000"/>
                <w:sz w:val="20"/>
                <w:szCs w:val="20"/>
                <w:lang w:eastAsia="en-US"/>
              </w:rPr>
            </w:pPr>
            <w:r>
              <w:rPr>
                <w:color w:val="000000"/>
                <w:sz w:val="20"/>
                <w:szCs w:val="20"/>
                <w:lang w:eastAsia="en-US"/>
              </w:rPr>
              <w:t>Maksa par infrastruktūru</w:t>
            </w:r>
          </w:p>
        </w:tc>
        <w:tc>
          <w:tcPr>
            <w:tcW w:w="772" w:type="pct"/>
            <w:shd w:val="clear" w:color="auto" w:fill="auto"/>
            <w:noWrap/>
            <w:vAlign w:val="center"/>
            <w:hideMark/>
          </w:tcPr>
          <w:p w:rsidR="00002D8E" w:rsidRPr="0044311E" w:rsidRDefault="00002D8E" w:rsidP="00E05D8C">
            <w:pPr>
              <w:jc w:val="center"/>
              <w:rPr>
                <w:color w:val="000000"/>
                <w:sz w:val="20"/>
                <w:szCs w:val="20"/>
                <w:lang w:val="en-US" w:eastAsia="en-US"/>
              </w:rPr>
            </w:pPr>
            <w:r>
              <w:rPr>
                <w:bCs/>
                <w:color w:val="000000"/>
                <w:sz w:val="20"/>
                <w:szCs w:val="20"/>
                <w:lang w:eastAsia="en-US"/>
              </w:rPr>
              <w:t>28 4</w:t>
            </w:r>
            <w:r w:rsidR="00E05D8C">
              <w:rPr>
                <w:bCs/>
                <w:color w:val="000000"/>
                <w:sz w:val="20"/>
                <w:szCs w:val="20"/>
                <w:lang w:eastAsia="en-US"/>
              </w:rPr>
              <w:t>39</w:t>
            </w:r>
          </w:p>
        </w:tc>
        <w:tc>
          <w:tcPr>
            <w:tcW w:w="695" w:type="pct"/>
            <w:shd w:val="clear" w:color="auto" w:fill="auto"/>
            <w:noWrap/>
            <w:vAlign w:val="center"/>
            <w:hideMark/>
          </w:tcPr>
          <w:p w:rsidR="00002D8E" w:rsidRPr="0044311E" w:rsidRDefault="00002D8E" w:rsidP="00E05D8C">
            <w:pPr>
              <w:jc w:val="center"/>
              <w:rPr>
                <w:color w:val="000000"/>
                <w:sz w:val="20"/>
                <w:szCs w:val="20"/>
                <w:lang w:val="en-US" w:eastAsia="en-US"/>
              </w:rPr>
            </w:pPr>
            <w:r>
              <w:rPr>
                <w:bCs/>
                <w:color w:val="000000"/>
                <w:sz w:val="20"/>
                <w:szCs w:val="20"/>
                <w:lang w:eastAsia="en-US"/>
              </w:rPr>
              <w:t xml:space="preserve">23 </w:t>
            </w:r>
            <w:r w:rsidR="00E05D8C">
              <w:rPr>
                <w:bCs/>
                <w:color w:val="000000"/>
                <w:sz w:val="20"/>
                <w:szCs w:val="20"/>
                <w:lang w:eastAsia="en-US"/>
              </w:rPr>
              <w:t>798</w:t>
            </w:r>
            <w:r w:rsidRPr="0044311E">
              <w:rPr>
                <w:bCs/>
                <w:color w:val="000000"/>
                <w:sz w:val="20"/>
                <w:szCs w:val="20"/>
                <w:lang w:eastAsia="en-US"/>
              </w:rPr>
              <w:t xml:space="preserve"> </w:t>
            </w:r>
          </w:p>
        </w:tc>
        <w:tc>
          <w:tcPr>
            <w:tcW w:w="695" w:type="pct"/>
            <w:shd w:val="clear" w:color="auto" w:fill="auto"/>
            <w:noWrap/>
            <w:vAlign w:val="center"/>
            <w:hideMark/>
          </w:tcPr>
          <w:p w:rsidR="00002D8E" w:rsidRPr="0044311E" w:rsidRDefault="00002D8E" w:rsidP="00E05D8C">
            <w:pPr>
              <w:jc w:val="center"/>
              <w:rPr>
                <w:color w:val="000000"/>
                <w:sz w:val="20"/>
                <w:szCs w:val="20"/>
                <w:lang w:val="en-US" w:eastAsia="en-US"/>
              </w:rPr>
            </w:pPr>
            <w:r>
              <w:rPr>
                <w:bCs/>
                <w:color w:val="000000"/>
                <w:sz w:val="20"/>
                <w:szCs w:val="20"/>
                <w:lang w:eastAsia="en-US"/>
              </w:rPr>
              <w:t xml:space="preserve">33 </w:t>
            </w:r>
            <w:r w:rsidR="00E05D8C">
              <w:rPr>
                <w:bCs/>
                <w:color w:val="000000"/>
                <w:sz w:val="20"/>
                <w:szCs w:val="20"/>
                <w:lang w:eastAsia="en-US"/>
              </w:rPr>
              <w:t>213</w:t>
            </w:r>
            <w:r w:rsidRPr="0044311E">
              <w:rPr>
                <w:bCs/>
                <w:color w:val="000000"/>
                <w:sz w:val="20"/>
                <w:szCs w:val="20"/>
                <w:lang w:eastAsia="en-US"/>
              </w:rPr>
              <w:t xml:space="preserve"> </w:t>
            </w:r>
          </w:p>
        </w:tc>
        <w:tc>
          <w:tcPr>
            <w:tcW w:w="695" w:type="pct"/>
            <w:shd w:val="clear" w:color="auto" w:fill="auto"/>
            <w:noWrap/>
            <w:vAlign w:val="center"/>
            <w:hideMark/>
          </w:tcPr>
          <w:p w:rsidR="00002D8E" w:rsidRPr="0044311E" w:rsidRDefault="00002D8E" w:rsidP="00E05D8C">
            <w:pPr>
              <w:jc w:val="center"/>
              <w:rPr>
                <w:color w:val="000000"/>
                <w:sz w:val="20"/>
                <w:szCs w:val="20"/>
                <w:lang w:val="en-US" w:eastAsia="en-US"/>
              </w:rPr>
            </w:pPr>
            <w:r>
              <w:rPr>
                <w:bCs/>
                <w:color w:val="000000"/>
                <w:sz w:val="20"/>
                <w:szCs w:val="20"/>
                <w:lang w:eastAsia="en-US"/>
              </w:rPr>
              <w:t xml:space="preserve">33 </w:t>
            </w:r>
            <w:r w:rsidR="00E05D8C">
              <w:rPr>
                <w:bCs/>
                <w:color w:val="000000"/>
                <w:sz w:val="20"/>
                <w:szCs w:val="20"/>
                <w:lang w:eastAsia="en-US"/>
              </w:rPr>
              <w:t>511</w:t>
            </w:r>
            <w:r w:rsidRPr="0044311E">
              <w:rPr>
                <w:bCs/>
                <w:color w:val="000000"/>
                <w:sz w:val="20"/>
                <w:szCs w:val="20"/>
                <w:lang w:eastAsia="en-US"/>
              </w:rPr>
              <w:t xml:space="preserve"> </w:t>
            </w:r>
          </w:p>
        </w:tc>
        <w:tc>
          <w:tcPr>
            <w:tcW w:w="694" w:type="pct"/>
            <w:shd w:val="clear" w:color="auto" w:fill="auto"/>
            <w:noWrap/>
            <w:vAlign w:val="center"/>
            <w:hideMark/>
          </w:tcPr>
          <w:p w:rsidR="00002D8E" w:rsidRPr="0044311E" w:rsidRDefault="00E05D8C" w:rsidP="00945E9F">
            <w:pPr>
              <w:jc w:val="center"/>
              <w:rPr>
                <w:color w:val="000000"/>
                <w:sz w:val="20"/>
                <w:szCs w:val="20"/>
                <w:lang w:val="en-US" w:eastAsia="en-US"/>
              </w:rPr>
            </w:pPr>
            <w:r>
              <w:rPr>
                <w:color w:val="000000"/>
                <w:sz w:val="20"/>
                <w:szCs w:val="20"/>
                <w:lang w:val="en-US" w:eastAsia="en-US"/>
              </w:rPr>
              <w:t>35 991</w:t>
            </w:r>
          </w:p>
        </w:tc>
      </w:tr>
      <w:tr w:rsidR="00002D8E" w:rsidRPr="0044311E" w:rsidTr="0026524D">
        <w:trPr>
          <w:trHeight w:val="315"/>
        </w:trPr>
        <w:tc>
          <w:tcPr>
            <w:tcW w:w="1449" w:type="pct"/>
            <w:shd w:val="clear" w:color="auto" w:fill="auto"/>
            <w:noWrap/>
            <w:vAlign w:val="center"/>
            <w:hideMark/>
          </w:tcPr>
          <w:p w:rsidR="00002D8E" w:rsidRPr="0026524D" w:rsidRDefault="00002D8E" w:rsidP="00945E9F">
            <w:pPr>
              <w:rPr>
                <w:color w:val="000000"/>
                <w:sz w:val="20"/>
                <w:szCs w:val="20"/>
                <w:lang w:eastAsia="en-US"/>
              </w:rPr>
            </w:pPr>
            <w:r>
              <w:rPr>
                <w:color w:val="000000"/>
                <w:sz w:val="20"/>
                <w:szCs w:val="20"/>
                <w:lang w:eastAsia="en-US"/>
              </w:rPr>
              <w:t>Atlikusī dotācijas daļa, kas novirzāma pārējo izmaksu segšanai (starpība starp dotāciju un maksu par infrastruktūru)</w:t>
            </w:r>
          </w:p>
        </w:tc>
        <w:tc>
          <w:tcPr>
            <w:tcW w:w="772" w:type="pct"/>
            <w:shd w:val="clear" w:color="auto" w:fill="auto"/>
            <w:noWrap/>
            <w:vAlign w:val="center"/>
            <w:hideMark/>
          </w:tcPr>
          <w:p w:rsidR="00002D8E" w:rsidRPr="0044311E" w:rsidRDefault="00E05D8C" w:rsidP="00945E9F">
            <w:pPr>
              <w:jc w:val="center"/>
              <w:rPr>
                <w:color w:val="000000"/>
                <w:sz w:val="20"/>
                <w:szCs w:val="20"/>
                <w:lang w:val="en-US" w:eastAsia="en-US"/>
              </w:rPr>
            </w:pPr>
            <w:r>
              <w:rPr>
                <w:color w:val="000000"/>
                <w:sz w:val="20"/>
                <w:szCs w:val="20"/>
                <w:lang w:val="en-US" w:eastAsia="en-US"/>
              </w:rPr>
              <w:t>8 959</w:t>
            </w:r>
          </w:p>
        </w:tc>
        <w:tc>
          <w:tcPr>
            <w:tcW w:w="695" w:type="pct"/>
            <w:shd w:val="clear" w:color="auto" w:fill="auto"/>
            <w:noWrap/>
            <w:vAlign w:val="center"/>
            <w:hideMark/>
          </w:tcPr>
          <w:p w:rsidR="00002D8E" w:rsidRPr="0044311E" w:rsidRDefault="00E05D8C" w:rsidP="00945E9F">
            <w:pPr>
              <w:jc w:val="center"/>
              <w:rPr>
                <w:color w:val="000000"/>
                <w:sz w:val="20"/>
                <w:szCs w:val="20"/>
                <w:lang w:val="en-US" w:eastAsia="en-US"/>
              </w:rPr>
            </w:pPr>
            <w:r>
              <w:rPr>
                <w:color w:val="000000"/>
                <w:sz w:val="20"/>
                <w:szCs w:val="20"/>
                <w:lang w:val="en-US" w:eastAsia="en-US"/>
              </w:rPr>
              <w:t>7 639</w:t>
            </w:r>
          </w:p>
        </w:tc>
        <w:tc>
          <w:tcPr>
            <w:tcW w:w="695" w:type="pct"/>
            <w:shd w:val="clear" w:color="auto" w:fill="auto"/>
            <w:noWrap/>
            <w:vAlign w:val="center"/>
            <w:hideMark/>
          </w:tcPr>
          <w:p w:rsidR="00002D8E" w:rsidRPr="0044311E" w:rsidRDefault="00E05D8C" w:rsidP="00945E9F">
            <w:pPr>
              <w:jc w:val="center"/>
              <w:rPr>
                <w:color w:val="000000"/>
                <w:sz w:val="20"/>
                <w:szCs w:val="20"/>
                <w:lang w:val="en-US" w:eastAsia="en-US"/>
              </w:rPr>
            </w:pPr>
            <w:r>
              <w:rPr>
                <w:color w:val="000000"/>
                <w:sz w:val="20"/>
                <w:szCs w:val="20"/>
                <w:lang w:val="en-US" w:eastAsia="en-US"/>
              </w:rPr>
              <w:t>8 587</w:t>
            </w:r>
          </w:p>
        </w:tc>
        <w:tc>
          <w:tcPr>
            <w:tcW w:w="695" w:type="pct"/>
            <w:shd w:val="clear" w:color="auto" w:fill="auto"/>
            <w:noWrap/>
            <w:vAlign w:val="center"/>
            <w:hideMark/>
          </w:tcPr>
          <w:p w:rsidR="00002D8E" w:rsidRPr="0044311E" w:rsidRDefault="00E05D8C" w:rsidP="00945E9F">
            <w:pPr>
              <w:jc w:val="center"/>
              <w:rPr>
                <w:color w:val="000000"/>
                <w:sz w:val="20"/>
                <w:szCs w:val="20"/>
                <w:lang w:val="en-US" w:eastAsia="en-US"/>
              </w:rPr>
            </w:pPr>
            <w:r>
              <w:rPr>
                <w:color w:val="000000"/>
                <w:sz w:val="20"/>
                <w:szCs w:val="20"/>
                <w:lang w:val="en-US" w:eastAsia="en-US"/>
              </w:rPr>
              <w:t>9 355</w:t>
            </w:r>
          </w:p>
        </w:tc>
        <w:tc>
          <w:tcPr>
            <w:tcW w:w="694" w:type="pct"/>
            <w:shd w:val="clear" w:color="auto" w:fill="auto"/>
            <w:noWrap/>
            <w:vAlign w:val="center"/>
            <w:hideMark/>
          </w:tcPr>
          <w:p w:rsidR="00002D8E" w:rsidRPr="0026524D" w:rsidRDefault="00E05D8C" w:rsidP="00E05D8C">
            <w:pPr>
              <w:jc w:val="center"/>
              <w:rPr>
                <w:color w:val="000000"/>
                <w:sz w:val="20"/>
                <w:szCs w:val="20"/>
                <w:lang w:val="en-US" w:eastAsia="en-US"/>
              </w:rPr>
            </w:pPr>
            <w:r>
              <w:rPr>
                <w:color w:val="000000"/>
                <w:sz w:val="20"/>
                <w:szCs w:val="20"/>
                <w:lang w:val="en-US" w:eastAsia="en-US"/>
              </w:rPr>
              <w:t xml:space="preserve">- </w:t>
            </w:r>
            <w:r w:rsidR="00040305" w:rsidRPr="0026524D">
              <w:rPr>
                <w:color w:val="000000"/>
                <w:sz w:val="20"/>
                <w:szCs w:val="20"/>
                <w:lang w:val="en-US" w:eastAsia="en-US"/>
              </w:rPr>
              <w:t>679</w:t>
            </w:r>
          </w:p>
        </w:tc>
      </w:tr>
    </w:tbl>
    <w:p w:rsidR="00002D8E" w:rsidRDefault="00002D8E" w:rsidP="00002D8E">
      <w:pPr>
        <w:ind w:firstLine="720"/>
        <w:jc w:val="both"/>
        <w:rPr>
          <w:sz w:val="28"/>
          <w:szCs w:val="28"/>
        </w:rPr>
      </w:pPr>
    </w:p>
    <w:p w:rsidR="000A772C" w:rsidRPr="00A953F1" w:rsidRDefault="000A772C" w:rsidP="00D56873">
      <w:pPr>
        <w:ind w:firstLine="720"/>
        <w:jc w:val="both"/>
        <w:rPr>
          <w:sz w:val="28"/>
          <w:szCs w:val="28"/>
        </w:rPr>
      </w:pPr>
      <w:r w:rsidRPr="00A953F1">
        <w:rPr>
          <w:sz w:val="28"/>
          <w:szCs w:val="28"/>
        </w:rPr>
        <w:t xml:space="preserve">Bez infrastruktūras izmaksu pieauguma objektīvi ir pieaugušas arī citas </w:t>
      </w:r>
      <w:r w:rsidR="0049219F">
        <w:rPr>
          <w:sz w:val="28"/>
          <w:szCs w:val="28"/>
        </w:rPr>
        <w:t>AS</w:t>
      </w:r>
      <w:r w:rsidR="0026524D">
        <w:rPr>
          <w:sz w:val="28"/>
          <w:szCs w:val="28"/>
        </w:rPr>
        <w:t> </w:t>
      </w:r>
      <w:r w:rsidR="0049219F">
        <w:rPr>
          <w:sz w:val="28"/>
          <w:szCs w:val="28"/>
        </w:rPr>
        <w:t xml:space="preserve">„Pasažieru vilciens” </w:t>
      </w:r>
      <w:r w:rsidRPr="00A953F1">
        <w:rPr>
          <w:sz w:val="28"/>
          <w:szCs w:val="28"/>
        </w:rPr>
        <w:t xml:space="preserve">saimnieciskās darbības izmaksas galvenajos izmaksu posteņos – atbilstoši energoresursu izmaksu pieaugumam tirgū 2013.gadā elektroenerģijas </w:t>
      </w:r>
      <w:r w:rsidR="00D215B4" w:rsidRPr="00A953F1">
        <w:rPr>
          <w:sz w:val="28"/>
          <w:szCs w:val="28"/>
        </w:rPr>
        <w:t xml:space="preserve">un dīzeļdegvielas </w:t>
      </w:r>
      <w:r w:rsidRPr="00A953F1">
        <w:rPr>
          <w:sz w:val="28"/>
          <w:szCs w:val="28"/>
        </w:rPr>
        <w:t>izmaksas pārvadājumu nodrošināšanai salīdzinājumā ar 20</w:t>
      </w:r>
      <w:r w:rsidR="00D215B4" w:rsidRPr="00A953F1">
        <w:rPr>
          <w:sz w:val="28"/>
          <w:szCs w:val="28"/>
        </w:rPr>
        <w:t>10</w:t>
      </w:r>
      <w:r w:rsidRPr="00A953F1">
        <w:rPr>
          <w:sz w:val="28"/>
          <w:szCs w:val="28"/>
        </w:rPr>
        <w:t xml:space="preserve">.gadu ir pieaugušas </w:t>
      </w:r>
      <w:r w:rsidR="00D215B4" w:rsidRPr="00A953F1">
        <w:rPr>
          <w:sz w:val="28"/>
          <w:szCs w:val="28"/>
        </w:rPr>
        <w:t xml:space="preserve">par </w:t>
      </w:r>
      <w:r w:rsidR="00316C74" w:rsidRPr="00A953F1">
        <w:rPr>
          <w:sz w:val="28"/>
          <w:szCs w:val="28"/>
        </w:rPr>
        <w:t xml:space="preserve">19,7% jeb </w:t>
      </w:r>
      <w:r w:rsidR="00D215B4" w:rsidRPr="00A953F1">
        <w:rPr>
          <w:sz w:val="28"/>
          <w:szCs w:val="28"/>
        </w:rPr>
        <w:t>0.72 milj. LVL (1.</w:t>
      </w:r>
      <w:r w:rsidR="0049219F" w:rsidRPr="00A953F1">
        <w:rPr>
          <w:sz w:val="28"/>
          <w:szCs w:val="28"/>
        </w:rPr>
        <w:t>0</w:t>
      </w:r>
      <w:r w:rsidR="0049219F">
        <w:rPr>
          <w:sz w:val="28"/>
          <w:szCs w:val="28"/>
        </w:rPr>
        <w:t>3</w:t>
      </w:r>
      <w:r w:rsidR="0049219F" w:rsidRPr="00A953F1">
        <w:rPr>
          <w:sz w:val="28"/>
          <w:szCs w:val="28"/>
        </w:rPr>
        <w:t xml:space="preserve"> </w:t>
      </w:r>
      <w:r w:rsidR="00D215B4" w:rsidRPr="00A953F1">
        <w:rPr>
          <w:sz w:val="28"/>
          <w:szCs w:val="28"/>
        </w:rPr>
        <w:t>milj. EUR)</w:t>
      </w:r>
      <w:r w:rsidR="00316C74" w:rsidRPr="00A953F1">
        <w:rPr>
          <w:sz w:val="28"/>
          <w:szCs w:val="28"/>
        </w:rPr>
        <w:t xml:space="preserve">. </w:t>
      </w:r>
    </w:p>
    <w:p w:rsidR="00945E9F" w:rsidRPr="0026524D" w:rsidRDefault="00945E9F" w:rsidP="00316C74">
      <w:pPr>
        <w:ind w:firstLine="720"/>
        <w:jc w:val="both"/>
        <w:rPr>
          <w:sz w:val="28"/>
          <w:szCs w:val="28"/>
        </w:rPr>
      </w:pPr>
      <w:r w:rsidRPr="0026524D">
        <w:rPr>
          <w:sz w:val="28"/>
          <w:szCs w:val="28"/>
        </w:rPr>
        <w:t>2014.gadā sakarā ar nepietiekamo valsts finansējumu, AS „Pasažieru vilciens” iestājās maksātnespējas draudi. Līdz ar uzņēmuma valdes nomaiņu, tika nekavējoties veikti pasākumi uzņēmuma esošās finanšu situācijas stabilizēšanai,</w:t>
      </w:r>
      <w:r w:rsidRPr="0026524D">
        <w:t xml:space="preserve"> </w:t>
      </w:r>
      <w:r w:rsidRPr="0026524D">
        <w:rPr>
          <w:sz w:val="28"/>
          <w:szCs w:val="28"/>
        </w:rPr>
        <w:t>kā rezultātā 2014.gada prognozēto zaudējumu apmērs tika</w:t>
      </w:r>
      <w:r w:rsidR="0026524D">
        <w:rPr>
          <w:sz w:val="28"/>
          <w:szCs w:val="28"/>
        </w:rPr>
        <w:t xml:space="preserve"> samazināts par 5,4 </w:t>
      </w:r>
      <w:r w:rsidRPr="0026524D">
        <w:rPr>
          <w:sz w:val="28"/>
          <w:szCs w:val="28"/>
        </w:rPr>
        <w:t>milj. EUR. Zaudējumu samazināšanas pamatā ir galvenokārt izmaksu samazināšana, kas saistīta ar grāmatvedības politikas maiņu ritošā sastāva remontu un nolietojuma uzskaitē.</w:t>
      </w:r>
    </w:p>
    <w:p w:rsidR="000A772C" w:rsidRPr="0026524D" w:rsidRDefault="000A772C" w:rsidP="000A772C">
      <w:pPr>
        <w:ind w:firstLine="720"/>
        <w:jc w:val="both"/>
        <w:rPr>
          <w:sz w:val="28"/>
          <w:szCs w:val="28"/>
        </w:rPr>
      </w:pPr>
      <w:r w:rsidRPr="0026524D">
        <w:rPr>
          <w:sz w:val="28"/>
          <w:szCs w:val="28"/>
        </w:rPr>
        <w:t>Arī vidējā darba samaksa uzņēmumā ievērojami atpaliek no nozares vidējiem rādītājiem, radot ne tikai sociālo spriedzi darbinieku vidū, bet neļaujot arī nokomplektēt štata vietas mazāk atalgotajās darbinieku kategorijās</w:t>
      </w:r>
      <w:r w:rsidR="0026524D">
        <w:rPr>
          <w:sz w:val="28"/>
          <w:szCs w:val="28"/>
        </w:rPr>
        <w:t xml:space="preserve">. Piemēram, </w:t>
      </w:r>
      <w:r w:rsidR="00D215B4" w:rsidRPr="0026524D">
        <w:rPr>
          <w:sz w:val="28"/>
          <w:szCs w:val="28"/>
        </w:rPr>
        <w:t xml:space="preserve">2013.gada nogalē </w:t>
      </w:r>
      <w:r w:rsidR="00F65868" w:rsidRPr="0026524D">
        <w:rPr>
          <w:sz w:val="28"/>
          <w:szCs w:val="28"/>
        </w:rPr>
        <w:t xml:space="preserve">bija </w:t>
      </w:r>
      <w:r w:rsidRPr="0026524D">
        <w:rPr>
          <w:sz w:val="28"/>
          <w:szCs w:val="28"/>
        </w:rPr>
        <w:t xml:space="preserve">30 vakances konduktoriem kontrolieriem, kā arī kavējumi slimības dēļ sasniedz pat 22%, kā rezultātā darbiniekiem ir jāstrādā ievērojamas virsstundas. </w:t>
      </w:r>
      <w:r w:rsidR="000452BA" w:rsidRPr="0026524D">
        <w:rPr>
          <w:sz w:val="28"/>
          <w:szCs w:val="28"/>
        </w:rPr>
        <w:t>Salīdzinājumā ar VAS „Latvijas dzelzceļš” uzņēmuma vidējā bruto darba samaksa ir mazāka par ~</w:t>
      </w:r>
      <w:r w:rsidR="00AE0FC9" w:rsidRPr="0026524D">
        <w:rPr>
          <w:sz w:val="28"/>
          <w:szCs w:val="28"/>
        </w:rPr>
        <w:t>20</w:t>
      </w:r>
      <w:r w:rsidR="000452BA" w:rsidRPr="0026524D">
        <w:rPr>
          <w:sz w:val="28"/>
          <w:szCs w:val="28"/>
        </w:rPr>
        <w:t>%.</w:t>
      </w:r>
    </w:p>
    <w:p w:rsidR="00316C74" w:rsidRPr="00DC6008" w:rsidRDefault="00316C74" w:rsidP="000A772C">
      <w:pPr>
        <w:ind w:firstLine="720"/>
        <w:jc w:val="both"/>
        <w:rPr>
          <w:sz w:val="28"/>
          <w:szCs w:val="28"/>
          <w:u w:val="single"/>
        </w:rPr>
      </w:pPr>
    </w:p>
    <w:p w:rsidR="00A84280" w:rsidRDefault="0049219F" w:rsidP="00002925">
      <w:pPr>
        <w:ind w:firstLine="720"/>
        <w:jc w:val="both"/>
        <w:rPr>
          <w:sz w:val="28"/>
          <w:szCs w:val="28"/>
        </w:rPr>
      </w:pPr>
      <w:r w:rsidRPr="000D206E">
        <w:rPr>
          <w:sz w:val="28"/>
          <w:szCs w:val="28"/>
          <w:u w:val="single"/>
        </w:rPr>
        <w:t xml:space="preserve">AS „Pasažieru vilciens” </w:t>
      </w:r>
      <w:r w:rsidR="00945E9F" w:rsidRPr="000D206E">
        <w:rPr>
          <w:sz w:val="28"/>
          <w:szCs w:val="28"/>
          <w:u w:val="single"/>
        </w:rPr>
        <w:t xml:space="preserve">šobrīd </w:t>
      </w:r>
      <w:r w:rsidR="00002925" w:rsidRPr="000D206E">
        <w:rPr>
          <w:sz w:val="28"/>
          <w:szCs w:val="28"/>
          <w:u w:val="single"/>
        </w:rPr>
        <w:t>neizdodas arī būtiski palielināt biļešu ieņēmumus no pārvadājumiem</w:t>
      </w:r>
      <w:r w:rsidR="00C80DA8">
        <w:rPr>
          <w:sz w:val="28"/>
          <w:szCs w:val="28"/>
        </w:rPr>
        <w:t>,</w:t>
      </w:r>
      <w:r w:rsidR="00C80DA8" w:rsidRPr="00C80DA8">
        <w:rPr>
          <w:sz w:val="28"/>
          <w:szCs w:val="28"/>
        </w:rPr>
        <w:t xml:space="preserve"> </w:t>
      </w:r>
      <w:r w:rsidR="00945E9F">
        <w:rPr>
          <w:sz w:val="28"/>
          <w:szCs w:val="28"/>
        </w:rPr>
        <w:t>kas saistīts ar pēdējos gados veiktajiem dzelzceļa infrastruktūras remontiem</w:t>
      </w:r>
      <w:r w:rsidR="00124DCE">
        <w:rPr>
          <w:sz w:val="28"/>
          <w:szCs w:val="28"/>
        </w:rPr>
        <w:t>, kā rezultātā vairākos iecirkņos tika ilgstoši slēgta vai ierobežota vilcienu kustība, kas atstāja negatīvu ietekmi uz pasažieru plūsmu.</w:t>
      </w:r>
      <w:r w:rsidR="00A84280">
        <w:rPr>
          <w:sz w:val="28"/>
          <w:szCs w:val="28"/>
        </w:rPr>
        <w:t xml:space="preserve"> Lai uzlabotu vilcienu piepildījumu un palielinātu ieņēmumus no biļešu pārdošanas, uzņēmumā ir uzsākts darbs pie vilcienu grafika optimizēšanas un biļešu pārdošanas sistēmas modernizācijas.</w:t>
      </w:r>
    </w:p>
    <w:p w:rsidR="007A6C58" w:rsidRDefault="00316C74" w:rsidP="00002925">
      <w:pPr>
        <w:ind w:firstLine="720"/>
        <w:jc w:val="both"/>
        <w:rPr>
          <w:color w:val="000000"/>
          <w:sz w:val="28"/>
          <w:szCs w:val="28"/>
        </w:rPr>
      </w:pPr>
      <w:r>
        <w:rPr>
          <w:color w:val="000000"/>
          <w:sz w:val="28"/>
          <w:szCs w:val="28"/>
        </w:rPr>
        <w:t xml:space="preserve">Vienlaikus jāatzīmē, ka neskatoties uz to, ka par 2013.gadu </w:t>
      </w:r>
      <w:r w:rsidR="005B32AF">
        <w:rPr>
          <w:color w:val="000000"/>
          <w:sz w:val="28"/>
          <w:szCs w:val="28"/>
        </w:rPr>
        <w:t xml:space="preserve">izmaksātā zaudējumu kompensācija </w:t>
      </w:r>
      <w:r w:rsidR="006979FA">
        <w:rPr>
          <w:color w:val="000000"/>
          <w:sz w:val="28"/>
          <w:szCs w:val="28"/>
        </w:rPr>
        <w:t>AS „Pasažieru vilciens” bija 30</w:t>
      </w:r>
      <w:r w:rsidR="008B3336">
        <w:rPr>
          <w:color w:val="000000"/>
          <w:sz w:val="28"/>
          <w:szCs w:val="28"/>
        </w:rPr>
        <w:t xml:space="preserve"> 054 855</w:t>
      </w:r>
      <w:r w:rsidR="006979FA">
        <w:rPr>
          <w:color w:val="000000"/>
          <w:sz w:val="28"/>
          <w:szCs w:val="28"/>
        </w:rPr>
        <w:t xml:space="preserve"> LVL (42.76 </w:t>
      </w:r>
      <w:r w:rsidR="006979FA">
        <w:rPr>
          <w:color w:val="000000"/>
          <w:sz w:val="28"/>
          <w:szCs w:val="28"/>
        </w:rPr>
        <w:lastRenderedPageBreak/>
        <w:t xml:space="preserve">milj. EUR), tomēr faktiskie zaudējumi par 2013.gadu sastāda </w:t>
      </w:r>
      <w:r w:rsidR="00E05D8C">
        <w:rPr>
          <w:color w:val="000000"/>
          <w:sz w:val="28"/>
          <w:szCs w:val="28"/>
        </w:rPr>
        <w:t>32 886 703.5</w:t>
      </w:r>
      <w:r w:rsidR="006979FA">
        <w:rPr>
          <w:color w:val="000000"/>
          <w:sz w:val="28"/>
          <w:szCs w:val="28"/>
        </w:rPr>
        <w:t xml:space="preserve"> LVL</w:t>
      </w:r>
      <w:r w:rsidR="008B3336">
        <w:rPr>
          <w:color w:val="000000"/>
          <w:sz w:val="28"/>
          <w:szCs w:val="28"/>
        </w:rPr>
        <w:t xml:space="preserve"> (</w:t>
      </w:r>
      <w:r w:rsidR="00E05D8C">
        <w:rPr>
          <w:color w:val="000000"/>
          <w:sz w:val="28"/>
          <w:szCs w:val="28"/>
        </w:rPr>
        <w:t>46.79</w:t>
      </w:r>
      <w:r w:rsidR="008B3336">
        <w:rPr>
          <w:color w:val="000000"/>
          <w:sz w:val="28"/>
          <w:szCs w:val="28"/>
        </w:rPr>
        <w:t xml:space="preserve"> milj. EUR)</w:t>
      </w:r>
      <w:r w:rsidR="006979FA">
        <w:rPr>
          <w:color w:val="000000"/>
          <w:sz w:val="28"/>
          <w:szCs w:val="28"/>
        </w:rPr>
        <w:t xml:space="preserve">. </w:t>
      </w:r>
    </w:p>
    <w:p w:rsidR="000D206E" w:rsidRDefault="000D206E" w:rsidP="00832827">
      <w:pPr>
        <w:pStyle w:val="tv213"/>
        <w:spacing w:before="0" w:beforeAutospacing="0" w:after="0" w:afterAutospacing="0" w:line="293" w:lineRule="atLeast"/>
        <w:ind w:firstLine="709"/>
        <w:jc w:val="both"/>
        <w:rPr>
          <w:sz w:val="28"/>
          <w:szCs w:val="28"/>
          <w:u w:val="single"/>
        </w:rPr>
      </w:pPr>
    </w:p>
    <w:p w:rsidR="00E70A5C" w:rsidRPr="0008447A" w:rsidRDefault="00E70A5C" w:rsidP="00832827">
      <w:pPr>
        <w:pStyle w:val="tv213"/>
        <w:spacing w:before="0" w:beforeAutospacing="0" w:after="0" w:afterAutospacing="0" w:line="293" w:lineRule="atLeast"/>
        <w:ind w:firstLine="709"/>
        <w:jc w:val="both"/>
        <w:rPr>
          <w:sz w:val="28"/>
          <w:szCs w:val="28"/>
        </w:rPr>
      </w:pPr>
      <w:r w:rsidRPr="006B55A6">
        <w:rPr>
          <w:sz w:val="28"/>
          <w:szCs w:val="28"/>
          <w:u w:val="single"/>
        </w:rPr>
        <w:t>Izveidojušos finansiālo situāciju nav iespējams risināt ar radikālu pārvadājumu apjomu samazināšanu</w:t>
      </w:r>
      <w:r w:rsidRPr="0008447A">
        <w:rPr>
          <w:sz w:val="28"/>
          <w:szCs w:val="28"/>
        </w:rPr>
        <w:t xml:space="preserve">, jo atbilstoši pastāvošajam normatīvajam regulējumam </w:t>
      </w:r>
      <w:r w:rsidR="007C336A" w:rsidRPr="005C22B2">
        <w:rPr>
          <w:sz w:val="28"/>
          <w:szCs w:val="28"/>
        </w:rPr>
        <w:t xml:space="preserve">publiskās lietošanas dzelzceļa infrastruktūras </w:t>
      </w:r>
      <w:r w:rsidRPr="0008447A">
        <w:rPr>
          <w:sz w:val="28"/>
          <w:szCs w:val="28"/>
        </w:rPr>
        <w:t>maksu aprēķina, k</w:t>
      </w:r>
      <w:r>
        <w:rPr>
          <w:sz w:val="28"/>
          <w:szCs w:val="28"/>
        </w:rPr>
        <w:t>ā</w:t>
      </w:r>
      <w:r w:rsidRPr="0008447A">
        <w:rPr>
          <w:sz w:val="28"/>
          <w:szCs w:val="28"/>
        </w:rPr>
        <w:t xml:space="preserve"> attiecību starp prognozētām izmaksām, kas nepieciešamas, lai nodrošinātu dzelzceļa infrastruktūras izmantošanu pārvadājumiem un konkrētai vilcienu kategorijai plānotiem vilcienu kilometriem</w:t>
      </w:r>
      <w:r w:rsidRPr="0008447A">
        <w:rPr>
          <w:rStyle w:val="FootnoteReference"/>
          <w:sz w:val="28"/>
          <w:szCs w:val="28"/>
        </w:rPr>
        <w:footnoteReference w:id="1"/>
      </w:r>
      <w:r w:rsidRPr="0008447A">
        <w:rPr>
          <w:sz w:val="28"/>
          <w:szCs w:val="28"/>
        </w:rPr>
        <w:t>.</w:t>
      </w:r>
    </w:p>
    <w:p w:rsidR="00E70A5C" w:rsidRDefault="00E70A5C" w:rsidP="00832827">
      <w:pPr>
        <w:pStyle w:val="tv213"/>
        <w:spacing w:before="0" w:beforeAutospacing="0" w:after="0" w:afterAutospacing="0" w:line="293" w:lineRule="atLeast"/>
        <w:ind w:firstLine="709"/>
        <w:jc w:val="both"/>
        <w:rPr>
          <w:sz w:val="28"/>
          <w:szCs w:val="28"/>
        </w:rPr>
      </w:pPr>
      <w:r w:rsidRPr="0008447A">
        <w:rPr>
          <w:sz w:val="28"/>
          <w:szCs w:val="28"/>
        </w:rPr>
        <w:t>Tas nozīmē, ka gadījumā, ja pārvadājumu apjomi ar dīzeļ</w:t>
      </w:r>
      <w:r w:rsidR="007C336A">
        <w:rPr>
          <w:sz w:val="28"/>
          <w:szCs w:val="28"/>
        </w:rPr>
        <w:t>vilcieniem</w:t>
      </w:r>
      <w:r w:rsidRPr="0008447A">
        <w:rPr>
          <w:sz w:val="28"/>
          <w:szCs w:val="28"/>
        </w:rPr>
        <w:t xml:space="preserve"> un elektrovilcieniem tiktu samazināti pa</w:t>
      </w:r>
      <w:r w:rsidR="005B32AF">
        <w:rPr>
          <w:sz w:val="28"/>
          <w:szCs w:val="28"/>
        </w:rPr>
        <w:t>r</w:t>
      </w:r>
      <w:r w:rsidRPr="0008447A">
        <w:rPr>
          <w:sz w:val="28"/>
          <w:szCs w:val="28"/>
        </w:rPr>
        <w:t xml:space="preserve"> 10%</w:t>
      </w:r>
      <w:r>
        <w:rPr>
          <w:sz w:val="28"/>
          <w:szCs w:val="28"/>
        </w:rPr>
        <w:t xml:space="preserve">, </w:t>
      </w:r>
      <w:r w:rsidR="005B32AF">
        <w:rPr>
          <w:sz w:val="28"/>
          <w:szCs w:val="28"/>
        </w:rPr>
        <w:t xml:space="preserve">tad </w:t>
      </w:r>
      <w:r>
        <w:rPr>
          <w:sz w:val="28"/>
          <w:szCs w:val="28"/>
        </w:rPr>
        <w:t>attiecinām</w:t>
      </w:r>
      <w:r w:rsidR="007C336A">
        <w:rPr>
          <w:sz w:val="28"/>
          <w:szCs w:val="28"/>
        </w:rPr>
        <w:t>ā</w:t>
      </w:r>
      <w:r>
        <w:rPr>
          <w:sz w:val="28"/>
          <w:szCs w:val="28"/>
        </w:rPr>
        <w:t>s izmaksas tiktu samazinātas tikai par apmēr</w:t>
      </w:r>
      <w:r w:rsidR="007C336A">
        <w:rPr>
          <w:sz w:val="28"/>
          <w:szCs w:val="28"/>
        </w:rPr>
        <w:t>a</w:t>
      </w:r>
      <w:r>
        <w:rPr>
          <w:sz w:val="28"/>
          <w:szCs w:val="28"/>
        </w:rPr>
        <w:t>m 5,8% un 4,8% attiecīgi; savukārt, pārvadājumu apjomus palielinot pa</w:t>
      </w:r>
      <w:r w:rsidR="005B32AF">
        <w:rPr>
          <w:sz w:val="28"/>
          <w:szCs w:val="28"/>
        </w:rPr>
        <w:t>r</w:t>
      </w:r>
      <w:r>
        <w:rPr>
          <w:sz w:val="28"/>
          <w:szCs w:val="28"/>
        </w:rPr>
        <w:t xml:space="preserve"> 10%, attiecināmās izmaksas pieaugtu tikai par 4,5% un 3,5% attiecīgi. </w:t>
      </w:r>
      <w:r w:rsidR="007C336A">
        <w:rPr>
          <w:sz w:val="28"/>
          <w:szCs w:val="28"/>
        </w:rPr>
        <w:t>Līdz ar to</w:t>
      </w:r>
      <w:r w:rsidRPr="002D14FA">
        <w:rPr>
          <w:sz w:val="28"/>
          <w:szCs w:val="28"/>
        </w:rPr>
        <w:t xml:space="preserve"> pastāv iespēja, k</w:t>
      </w:r>
      <w:r>
        <w:rPr>
          <w:sz w:val="28"/>
          <w:szCs w:val="28"/>
        </w:rPr>
        <w:t>a</w:t>
      </w:r>
      <w:r w:rsidRPr="002D14FA">
        <w:rPr>
          <w:sz w:val="28"/>
          <w:szCs w:val="28"/>
        </w:rPr>
        <w:t xml:space="preserve"> </w:t>
      </w:r>
      <w:r w:rsidR="000D206E">
        <w:rPr>
          <w:sz w:val="28"/>
          <w:szCs w:val="28"/>
        </w:rPr>
        <w:t>minētajā gadījumā</w:t>
      </w:r>
      <w:r w:rsidRPr="002D14FA">
        <w:rPr>
          <w:sz w:val="28"/>
          <w:szCs w:val="28"/>
        </w:rPr>
        <w:t xml:space="preserve"> pat ir izdevīgāk izskatīt iespēju paaugstināt pārvadājumu apjomus ar vilcieniem, panākot pilnīgāk</w:t>
      </w:r>
      <w:r>
        <w:rPr>
          <w:sz w:val="28"/>
          <w:szCs w:val="28"/>
        </w:rPr>
        <w:t>u</w:t>
      </w:r>
      <w:r w:rsidRPr="002D14FA">
        <w:rPr>
          <w:sz w:val="28"/>
          <w:szCs w:val="28"/>
        </w:rPr>
        <w:t xml:space="preserve"> dzelzceļa </w:t>
      </w:r>
      <w:r w:rsidR="005B32AF">
        <w:rPr>
          <w:sz w:val="28"/>
          <w:szCs w:val="28"/>
        </w:rPr>
        <w:t xml:space="preserve">infrastruktūras </w:t>
      </w:r>
      <w:r w:rsidRPr="002D14FA">
        <w:rPr>
          <w:sz w:val="28"/>
          <w:szCs w:val="28"/>
        </w:rPr>
        <w:t>jaudas izmantošanu, mēroga efektu un zemāk</w:t>
      </w:r>
      <w:r>
        <w:rPr>
          <w:sz w:val="28"/>
          <w:szCs w:val="28"/>
        </w:rPr>
        <w:t>u</w:t>
      </w:r>
      <w:r w:rsidRPr="002D14FA">
        <w:rPr>
          <w:sz w:val="28"/>
          <w:szCs w:val="28"/>
        </w:rPr>
        <w:t xml:space="preserve"> pārvadājumu pašizmaksu.</w:t>
      </w:r>
    </w:p>
    <w:p w:rsidR="00D56873" w:rsidRPr="00A953F1" w:rsidRDefault="005B32AF" w:rsidP="00D56873">
      <w:pPr>
        <w:ind w:firstLine="709"/>
        <w:jc w:val="both"/>
        <w:rPr>
          <w:sz w:val="28"/>
          <w:szCs w:val="28"/>
        </w:rPr>
      </w:pPr>
      <w:r>
        <w:rPr>
          <w:sz w:val="28"/>
          <w:szCs w:val="28"/>
        </w:rPr>
        <w:t>Analizējot</w:t>
      </w:r>
      <w:r w:rsidRPr="00A953F1">
        <w:rPr>
          <w:sz w:val="28"/>
          <w:szCs w:val="28"/>
        </w:rPr>
        <w:t xml:space="preserve"> </w:t>
      </w:r>
      <w:r w:rsidR="00D56873" w:rsidRPr="00A953F1">
        <w:rPr>
          <w:sz w:val="28"/>
          <w:szCs w:val="28"/>
        </w:rPr>
        <w:t>situāciju</w:t>
      </w:r>
      <w:r w:rsidR="007C336A">
        <w:rPr>
          <w:sz w:val="28"/>
          <w:szCs w:val="28"/>
        </w:rPr>
        <w:t xml:space="preserve">, kad tiek mainīti (samazināti) pārvadājumu apjomi vai </w:t>
      </w:r>
      <w:r w:rsidR="00DC71A7">
        <w:rPr>
          <w:sz w:val="28"/>
          <w:szCs w:val="28"/>
        </w:rPr>
        <w:t xml:space="preserve">valsts budžeta </w:t>
      </w:r>
      <w:r w:rsidR="007C336A">
        <w:rPr>
          <w:sz w:val="28"/>
          <w:szCs w:val="28"/>
        </w:rPr>
        <w:t>finansējums</w:t>
      </w:r>
      <w:r w:rsidR="00D56873" w:rsidRPr="00A953F1">
        <w:rPr>
          <w:sz w:val="28"/>
          <w:szCs w:val="28"/>
        </w:rPr>
        <w:t>, ir apzināti vairāki riski, kuru fiskālā ietekme uz tautsaimniecību var izrādīties būtiska.</w:t>
      </w:r>
    </w:p>
    <w:p w:rsidR="00832827" w:rsidRPr="005C22B2" w:rsidRDefault="00E05D8C" w:rsidP="00832827">
      <w:pPr>
        <w:jc w:val="right"/>
        <w:rPr>
          <w:sz w:val="28"/>
          <w:szCs w:val="28"/>
        </w:rPr>
      </w:pPr>
      <w:r>
        <w:rPr>
          <w:sz w:val="28"/>
          <w:szCs w:val="28"/>
        </w:rPr>
        <w:t>5</w:t>
      </w:r>
      <w:r w:rsidR="00832827" w:rsidRPr="005C22B2">
        <w:rPr>
          <w:sz w:val="28"/>
          <w:szCs w:val="28"/>
        </w:rPr>
        <w:t>.tabula</w:t>
      </w:r>
    </w:p>
    <w:p w:rsidR="007A6C58" w:rsidRPr="0044311E" w:rsidRDefault="0044311E" w:rsidP="0044311E">
      <w:pPr>
        <w:pStyle w:val="tv213"/>
        <w:spacing w:before="0" w:beforeAutospacing="0" w:after="0" w:afterAutospacing="0" w:line="293" w:lineRule="atLeast"/>
        <w:jc w:val="center"/>
        <w:rPr>
          <w:i/>
          <w:sz w:val="28"/>
          <w:szCs w:val="28"/>
        </w:rPr>
      </w:pPr>
      <w:r w:rsidRPr="0044311E">
        <w:rPr>
          <w:i/>
          <w:sz w:val="28"/>
          <w:szCs w:val="28"/>
        </w:rPr>
        <w:t>Novērtētie riski</w:t>
      </w:r>
    </w:p>
    <w:p w:rsidR="0044311E" w:rsidRDefault="0044311E" w:rsidP="007A6C58">
      <w:pPr>
        <w:pStyle w:val="tv213"/>
        <w:spacing w:before="0" w:beforeAutospacing="0" w:after="0" w:afterAutospacing="0" w:line="293" w:lineRule="atLeast"/>
        <w:jc w:val="both"/>
        <w:rPr>
          <w:sz w:val="28"/>
          <w:szCs w:val="28"/>
        </w:rPr>
      </w:pPr>
    </w:p>
    <w:tbl>
      <w:tblPr>
        <w:tblStyle w:val="TableGrid"/>
        <w:tblW w:w="8930" w:type="dxa"/>
        <w:tblInd w:w="250" w:type="dxa"/>
        <w:tblLook w:val="04A0" w:firstRow="1" w:lastRow="0" w:firstColumn="1" w:lastColumn="0" w:noHBand="0" w:noVBand="1"/>
      </w:tblPr>
      <w:tblGrid>
        <w:gridCol w:w="3402"/>
        <w:gridCol w:w="5528"/>
      </w:tblGrid>
      <w:tr w:rsidR="007A6C58" w:rsidRPr="00211FCD" w:rsidTr="00832827">
        <w:tc>
          <w:tcPr>
            <w:tcW w:w="3402" w:type="dxa"/>
          </w:tcPr>
          <w:p w:rsidR="007A6C58" w:rsidRPr="00211FCD" w:rsidRDefault="007A6C58" w:rsidP="007D6E1A">
            <w:pPr>
              <w:jc w:val="both"/>
              <w:rPr>
                <w:b/>
              </w:rPr>
            </w:pPr>
            <w:r w:rsidRPr="00211FCD">
              <w:rPr>
                <w:b/>
              </w:rPr>
              <w:t>Iespējamais risks</w:t>
            </w:r>
          </w:p>
        </w:tc>
        <w:tc>
          <w:tcPr>
            <w:tcW w:w="5528" w:type="dxa"/>
          </w:tcPr>
          <w:p w:rsidR="007A6C58" w:rsidRPr="00211FCD" w:rsidRDefault="007A6C58" w:rsidP="007D6E1A">
            <w:pPr>
              <w:jc w:val="both"/>
              <w:rPr>
                <w:b/>
              </w:rPr>
            </w:pPr>
            <w:r w:rsidRPr="00211FCD">
              <w:rPr>
                <w:b/>
              </w:rPr>
              <w:t>Ietekme</w:t>
            </w:r>
          </w:p>
        </w:tc>
      </w:tr>
      <w:tr w:rsidR="007A6C58" w:rsidRPr="00211FCD" w:rsidTr="00832827">
        <w:tc>
          <w:tcPr>
            <w:tcW w:w="3402" w:type="dxa"/>
          </w:tcPr>
          <w:p w:rsidR="007A6C58" w:rsidRPr="00976217" w:rsidRDefault="007A6C58" w:rsidP="007D6E1A">
            <w:r w:rsidRPr="007A6C58">
              <w:t>Pārvadājumu apjoma samazināšana</w:t>
            </w:r>
          </w:p>
        </w:tc>
        <w:tc>
          <w:tcPr>
            <w:tcW w:w="5528" w:type="dxa"/>
          </w:tcPr>
          <w:p w:rsidR="007A6C58" w:rsidRDefault="007A6C58" w:rsidP="005C22B2">
            <w:pPr>
              <w:pStyle w:val="ListParagraph"/>
              <w:numPr>
                <w:ilvl w:val="0"/>
                <w:numId w:val="15"/>
              </w:numPr>
              <w:tabs>
                <w:tab w:val="left" w:pos="317"/>
              </w:tabs>
              <w:ind w:left="0" w:firstLine="34"/>
              <w:jc w:val="both"/>
            </w:pPr>
            <w:r>
              <w:t>Tiks pagarināti vilcienu kustības intervāli, kas samazinās šī transporta veida pievilcību pasažieriem un samazinās ieņēmumus no biļetēm;</w:t>
            </w:r>
          </w:p>
          <w:p w:rsidR="007A6C58" w:rsidRDefault="007A6C58" w:rsidP="005C22B2">
            <w:r>
              <w:t>2) Dzelzceļa infrastruktūras jaudas nepilnīgā izmantošana ietekmēs vienas pārvadājuma vienības (vilcienu km) izmaksu pieaugumu, kā rezultātā:</w:t>
            </w:r>
          </w:p>
          <w:p w:rsidR="007A6C58" w:rsidRDefault="007A6C58" w:rsidP="005C22B2">
            <w:pPr>
              <w:pStyle w:val="ListParagraph"/>
              <w:numPr>
                <w:ilvl w:val="0"/>
                <w:numId w:val="19"/>
              </w:numPr>
              <w:ind w:left="317" w:hanging="283"/>
            </w:pPr>
            <w:r>
              <w:t>pieaugs pasažieru pārvadājumu pa dzelzceļu vienas vienības pašizmaksa;</w:t>
            </w:r>
          </w:p>
          <w:p w:rsidR="007A6C58" w:rsidRDefault="007A6C58" w:rsidP="005C22B2">
            <w:pPr>
              <w:pStyle w:val="ListParagraph"/>
              <w:numPr>
                <w:ilvl w:val="0"/>
                <w:numId w:val="19"/>
              </w:numPr>
              <w:ind w:left="317" w:hanging="283"/>
            </w:pPr>
            <w:r>
              <w:t>pieaugs kravu pārvadājumu pa dzelzceļu vienas vienības pašizmaksu, kas īpaši bīstami ir cenu jutīgajām ogļu pārvadājumu segmentam (20%-25% no kopējās kravu apgrozības), kā rezultātā var tikt zaudēta būtiskā Latvijas eksportspējīgā pakalpojuma kopprodukta daļa;</w:t>
            </w:r>
          </w:p>
          <w:p w:rsidR="00976217" w:rsidRDefault="00976217" w:rsidP="005C22B2">
            <w:pPr>
              <w:pStyle w:val="ListParagraph"/>
              <w:tabs>
                <w:tab w:val="left" w:pos="317"/>
              </w:tabs>
              <w:ind w:left="317" w:hanging="283"/>
            </w:pPr>
            <w:r>
              <w:t>3) Dzelzceļa elektrifikācijas paredzamā projekta efektivitātes samazināšanās, kas var likt pārskatīt iepriekš pieņemtos lēmumus, par projekta virzību.</w:t>
            </w:r>
          </w:p>
          <w:p w:rsidR="007A6C58" w:rsidRPr="00211FCD" w:rsidRDefault="007A6C58" w:rsidP="005C22B2">
            <w:pPr>
              <w:pStyle w:val="ListParagraph"/>
              <w:ind w:left="317"/>
            </w:pPr>
          </w:p>
        </w:tc>
      </w:tr>
      <w:tr w:rsidR="007A6C58" w:rsidRPr="00211FCD" w:rsidTr="00832827">
        <w:tc>
          <w:tcPr>
            <w:tcW w:w="3402" w:type="dxa"/>
          </w:tcPr>
          <w:p w:rsidR="007A6C58" w:rsidRPr="00211FCD" w:rsidRDefault="007A6C58" w:rsidP="00007E2B">
            <w:r>
              <w:t xml:space="preserve">AS „Pasažieru vilciens” </w:t>
            </w:r>
            <w:r>
              <w:lastRenderedPageBreak/>
              <w:t>ražošanas resursu nepilnīg</w:t>
            </w:r>
            <w:r w:rsidR="00007E2B">
              <w:t>a</w:t>
            </w:r>
            <w:r>
              <w:t xml:space="preserve"> noslodze</w:t>
            </w:r>
          </w:p>
        </w:tc>
        <w:tc>
          <w:tcPr>
            <w:tcW w:w="5528" w:type="dxa"/>
          </w:tcPr>
          <w:p w:rsidR="00CA6D37" w:rsidRDefault="000D206E" w:rsidP="005C22B2">
            <w:pPr>
              <w:tabs>
                <w:tab w:val="left" w:pos="317"/>
              </w:tabs>
              <w:jc w:val="both"/>
            </w:pPr>
            <w:r>
              <w:lastRenderedPageBreak/>
              <w:t>1) Tiks apdraudēts</w:t>
            </w:r>
            <w:r w:rsidR="00CA6D37">
              <w:t xml:space="preserve"> uzsākt</w:t>
            </w:r>
            <w:r w:rsidR="003074BB">
              <w:t>ais</w:t>
            </w:r>
            <w:r w:rsidR="00CA6D37">
              <w:t xml:space="preserve"> vilcienu modernizācijas </w:t>
            </w:r>
            <w:r w:rsidR="00CA6D37">
              <w:lastRenderedPageBreak/>
              <w:t>projekt</w:t>
            </w:r>
            <w:r w:rsidR="003074BB">
              <w:t>s</w:t>
            </w:r>
            <w:r w:rsidR="00CA6D37">
              <w:t>, jo veicamo ieguldījumu efektivitātes rādītāji būtiski mainīsies;</w:t>
            </w:r>
          </w:p>
          <w:p w:rsidR="00CA6D37" w:rsidRDefault="00CA6D37" w:rsidP="005C22B2">
            <w:pPr>
              <w:tabs>
                <w:tab w:val="left" w:pos="317"/>
              </w:tabs>
              <w:jc w:val="both"/>
            </w:pPr>
            <w:r>
              <w:t>2) Uzņēmumam jāatbrīvo daļa kvalificēta un šauri specializēta darbaspēka. Tā atgūšana vai jauna mācīšana</w:t>
            </w:r>
            <w:r w:rsidR="00007E2B">
              <w:t xml:space="preserve"> nākotnē</w:t>
            </w:r>
            <w:r>
              <w:t xml:space="preserve"> prasīs ievērojamus līdzekļus un laiku;</w:t>
            </w:r>
          </w:p>
          <w:p w:rsidR="007A6C58" w:rsidRDefault="00007E2B" w:rsidP="005C22B2">
            <w:pPr>
              <w:tabs>
                <w:tab w:val="left" w:pos="317"/>
              </w:tabs>
              <w:jc w:val="both"/>
            </w:pPr>
            <w:r>
              <w:t xml:space="preserve">3) Uzņēmumam principiāli jāpārstrukturē pasažieru pārvadājumu un atbalstošā biznesa  organizācija, kuru kaut kad izveidot par jaunu būtu ļoti ievērojamu resursu jautājums. </w:t>
            </w:r>
          </w:p>
        </w:tc>
      </w:tr>
      <w:tr w:rsidR="007A6C58" w:rsidRPr="00211FCD" w:rsidTr="00832827">
        <w:tc>
          <w:tcPr>
            <w:tcW w:w="3402" w:type="dxa"/>
          </w:tcPr>
          <w:p w:rsidR="007A6C58" w:rsidRPr="00211FCD" w:rsidRDefault="007A6C58" w:rsidP="007D6E1A">
            <w:r w:rsidRPr="00211FCD">
              <w:lastRenderedPageBreak/>
              <w:t xml:space="preserve">Pārvadāto pasažieru skaita </w:t>
            </w:r>
            <w:r>
              <w:t xml:space="preserve">pa dzelzceļu </w:t>
            </w:r>
            <w:r w:rsidRPr="00211FCD">
              <w:t>samazinājums</w:t>
            </w:r>
            <w:r>
              <w:t xml:space="preserve"> vai aizvietošana ar citiem transporta veidiem</w:t>
            </w:r>
          </w:p>
        </w:tc>
        <w:tc>
          <w:tcPr>
            <w:tcW w:w="5528" w:type="dxa"/>
          </w:tcPr>
          <w:p w:rsidR="00976217" w:rsidRDefault="00976217" w:rsidP="005C22B2">
            <w:pPr>
              <w:pStyle w:val="ListParagraph"/>
              <w:numPr>
                <w:ilvl w:val="0"/>
                <w:numId w:val="20"/>
              </w:numPr>
              <w:tabs>
                <w:tab w:val="left" w:pos="317"/>
              </w:tabs>
              <w:ind w:left="34" w:firstLine="0"/>
              <w:jc w:val="both"/>
            </w:pPr>
            <w:r>
              <w:t>Neviens cits transporta veids nevarēs pilnībā un efektīvi nodrošināt Rīgā iebraucošo/izbraucošo pasažieru plūsmu maksimumstundās.</w:t>
            </w:r>
          </w:p>
          <w:p w:rsidR="00976217" w:rsidRDefault="00976217" w:rsidP="005C22B2">
            <w:pPr>
              <w:pStyle w:val="ListParagraph"/>
              <w:numPr>
                <w:ilvl w:val="0"/>
                <w:numId w:val="20"/>
              </w:numPr>
              <w:tabs>
                <w:tab w:val="left" w:pos="317"/>
              </w:tabs>
              <w:ind w:left="34" w:firstLine="0"/>
              <w:jc w:val="both"/>
            </w:pPr>
            <w:r>
              <w:t>Pasažieru pārvadājumu pa dzelzceļu aizvietošana ar autobusiem prasīs līdz pat 7 reizēm lielāko transporta vienību skaitu, bet ar autotransportu līdz pat 37 reizēm lielāko transporta vienību skaitu, kas radīs</w:t>
            </w:r>
            <w:r w:rsidRPr="00211FCD">
              <w:t xml:space="preserve"> </w:t>
            </w:r>
            <w:r>
              <w:t>papildus autoceļu infrastruktūras nolietojumu, sastrēgumus</w:t>
            </w:r>
            <w:r w:rsidRPr="00211FCD">
              <w:t>, ceļu satiksmes negadījumu</w:t>
            </w:r>
            <w:r>
              <w:t xml:space="preserve"> un nāves gadījumu skaita pieaugumu;</w:t>
            </w:r>
          </w:p>
          <w:p w:rsidR="00976217" w:rsidRDefault="00976217" w:rsidP="00976217">
            <w:pPr>
              <w:pStyle w:val="ListParagraph"/>
              <w:numPr>
                <w:ilvl w:val="0"/>
                <w:numId w:val="20"/>
              </w:numPr>
              <w:tabs>
                <w:tab w:val="left" w:pos="317"/>
              </w:tabs>
              <w:ind w:left="34" w:firstLine="0"/>
              <w:jc w:val="both"/>
            </w:pPr>
            <w:r w:rsidRPr="00211FCD">
              <w:t>Cilvēku mobilitātes samazināšanās, kā rezultātā var pieaug</w:t>
            </w:r>
            <w:r>
              <w:t>t bezdarbs, samazināties saražotais kopprodukts un iedzīvotāju</w:t>
            </w:r>
            <w:r w:rsidRPr="00211FCD">
              <w:t xml:space="preserve"> </w:t>
            </w:r>
            <w:r>
              <w:t>ienākumu nodokļu apjoms;</w:t>
            </w:r>
          </w:p>
          <w:p w:rsidR="00976217" w:rsidRDefault="00976217" w:rsidP="00976217">
            <w:pPr>
              <w:pStyle w:val="ListParagraph"/>
              <w:numPr>
                <w:ilvl w:val="0"/>
                <w:numId w:val="20"/>
              </w:numPr>
              <w:tabs>
                <w:tab w:val="left" w:pos="317"/>
              </w:tabs>
              <w:ind w:left="34" w:firstLine="0"/>
              <w:jc w:val="both"/>
            </w:pPr>
            <w:r>
              <w:t>D</w:t>
            </w:r>
            <w:r w:rsidRPr="00970C20">
              <w:t xml:space="preserve">zelzceļa </w:t>
            </w:r>
            <w:r>
              <w:t>p</w:t>
            </w:r>
            <w:r w:rsidRPr="00970C20">
              <w:t>ārvadājumi, izraisa gandrīz trīs reizes mazāk CO</w:t>
            </w:r>
            <w:r w:rsidRPr="00970C20">
              <w:rPr>
                <w:vertAlign w:val="subscript"/>
              </w:rPr>
              <w:t>2</w:t>
            </w:r>
            <w:r w:rsidRPr="00970C20">
              <w:t xml:space="preserve"> emisiju par tonnu kilometru, kā autotransports</w:t>
            </w:r>
            <w:r>
              <w:t>;</w:t>
            </w:r>
          </w:p>
          <w:p w:rsidR="007A6C58" w:rsidRPr="00211FCD" w:rsidRDefault="007A6C58" w:rsidP="00976217">
            <w:pPr>
              <w:jc w:val="both"/>
            </w:pPr>
          </w:p>
        </w:tc>
      </w:tr>
      <w:tr w:rsidR="007A6C58" w:rsidRPr="00211FCD" w:rsidTr="00832827">
        <w:tc>
          <w:tcPr>
            <w:tcW w:w="3402" w:type="dxa"/>
          </w:tcPr>
          <w:p w:rsidR="007A6C58" w:rsidRPr="00211FCD" w:rsidRDefault="007A6C58" w:rsidP="00F94481">
            <w:r>
              <w:t xml:space="preserve"> „Mugurkaula” vājināšana vai izņemšana rada destruktīv</w:t>
            </w:r>
            <w:r w:rsidR="00F94481">
              <w:t>a</w:t>
            </w:r>
            <w:r>
              <w:t>s izmaiņas pasažieru pārvadājumu organizēšan</w:t>
            </w:r>
            <w:r w:rsidR="00F94481">
              <w:t>ā</w:t>
            </w:r>
            <w:r w:rsidR="009713DC">
              <w:t xml:space="preserve"> valstī</w:t>
            </w:r>
          </w:p>
        </w:tc>
        <w:tc>
          <w:tcPr>
            <w:tcW w:w="5528" w:type="dxa"/>
          </w:tcPr>
          <w:p w:rsidR="007A6C58" w:rsidRDefault="007D6E1A" w:rsidP="0044311E">
            <w:pPr>
              <w:pStyle w:val="ListParagraph"/>
              <w:numPr>
                <w:ilvl w:val="0"/>
                <w:numId w:val="17"/>
              </w:numPr>
              <w:tabs>
                <w:tab w:val="left" w:pos="317"/>
              </w:tabs>
              <w:autoSpaceDE w:val="0"/>
              <w:autoSpaceDN w:val="0"/>
              <w:adjustRightInd w:val="0"/>
              <w:ind w:left="34" w:firstLine="0"/>
              <w:jc w:val="both"/>
            </w:pPr>
            <w:r>
              <w:t>Var veidoties citu transporta veidu neefektīvu</w:t>
            </w:r>
            <w:r w:rsidR="007A6C58" w:rsidRPr="00970C20">
              <w:t xml:space="preserve"> pakalpojumu sniegšana</w:t>
            </w:r>
            <w:r>
              <w:t>s tendences</w:t>
            </w:r>
            <w:r w:rsidR="007A6C58" w:rsidRPr="00970C20">
              <w:t xml:space="preserve">, kad </w:t>
            </w:r>
            <w:r>
              <w:t>maksimumstundās</w:t>
            </w:r>
            <w:r w:rsidR="007A6C58" w:rsidRPr="00970C20">
              <w:t xml:space="preserve"> ir novērojams pārāk liels piedāvājums, taču mazāk noslogotājās stundās pārtraukumi starp reisiem nav adekvāti gaidīšanai;</w:t>
            </w:r>
          </w:p>
          <w:p w:rsidR="009713DC" w:rsidRDefault="009713DC" w:rsidP="0044311E">
            <w:pPr>
              <w:pStyle w:val="ListParagraph"/>
              <w:numPr>
                <w:ilvl w:val="0"/>
                <w:numId w:val="17"/>
              </w:numPr>
              <w:tabs>
                <w:tab w:val="left" w:pos="317"/>
              </w:tabs>
              <w:autoSpaceDE w:val="0"/>
              <w:autoSpaceDN w:val="0"/>
              <w:adjustRightInd w:val="0"/>
              <w:ind w:left="34" w:firstLine="0"/>
              <w:jc w:val="both"/>
            </w:pPr>
            <w:r>
              <w:t>Var realizēties citu transporta veidu pārāk saasināta</w:t>
            </w:r>
            <w:r w:rsidR="00976217">
              <w:t xml:space="preserve"> </w:t>
            </w:r>
            <w:r w:rsidR="00976217" w:rsidRPr="00970C20">
              <w:t xml:space="preserve">konkurence par tirgu – </w:t>
            </w:r>
            <w:r>
              <w:t>ne vien ar cenu un komfortu, bet arī ar braukšanas ātrumu, kas būs būtiski apstākļos, kad vilcienu satiksmes neesamības rezultātā pieaugs intensitāte uz ceļiem un pilsētu ielām;</w:t>
            </w:r>
          </w:p>
          <w:p w:rsidR="00976217" w:rsidRDefault="00976217" w:rsidP="0044311E">
            <w:pPr>
              <w:pStyle w:val="ListParagraph"/>
              <w:numPr>
                <w:ilvl w:val="0"/>
                <w:numId w:val="17"/>
              </w:numPr>
              <w:tabs>
                <w:tab w:val="left" w:pos="317"/>
              </w:tabs>
              <w:autoSpaceDE w:val="0"/>
              <w:autoSpaceDN w:val="0"/>
              <w:adjustRightInd w:val="0"/>
              <w:ind w:left="34" w:firstLine="0"/>
              <w:jc w:val="both"/>
            </w:pPr>
            <w:r w:rsidRPr="00970C20">
              <w:t xml:space="preserve"> </w:t>
            </w:r>
            <w:r w:rsidR="009713DC" w:rsidRPr="00970C20">
              <w:t xml:space="preserve">Neilgtspējīgās biznesa </w:t>
            </w:r>
            <w:r w:rsidR="009713DC">
              <w:t>prakses izpausmes</w:t>
            </w:r>
            <w:r w:rsidR="009713DC" w:rsidRPr="00970C20">
              <w:t xml:space="preserve"> </w:t>
            </w:r>
            <w:r w:rsidR="009713DC">
              <w:t xml:space="preserve">- </w:t>
            </w:r>
            <w:r w:rsidR="009713DC" w:rsidRPr="00970C20">
              <w:t>vēlme nosmelt ātro peļņu</w:t>
            </w:r>
            <w:r w:rsidR="009713DC">
              <w:t xml:space="preserve">, </w:t>
            </w:r>
            <w:r w:rsidR="009713DC" w:rsidRPr="00970C20">
              <w:t>rezultātā netiek nodrošināts mēroga efekts un pa</w:t>
            </w:r>
            <w:r w:rsidR="009713DC">
              <w:t>ti</w:t>
            </w:r>
            <w:r w:rsidR="009713DC" w:rsidRPr="00970C20">
              <w:t xml:space="preserve"> mobilitātes būtība</w:t>
            </w:r>
            <w:r w:rsidR="009713DC">
              <w:t>,</w:t>
            </w:r>
            <w:r w:rsidR="009713DC" w:rsidRPr="00970C20">
              <w:t xml:space="preserve"> bez atskata uz turpmāko izdzīvošanu;</w:t>
            </w:r>
          </w:p>
          <w:p w:rsidR="009713DC" w:rsidRDefault="009713DC" w:rsidP="0044311E">
            <w:pPr>
              <w:pStyle w:val="ListParagraph"/>
              <w:numPr>
                <w:ilvl w:val="0"/>
                <w:numId w:val="17"/>
              </w:numPr>
              <w:tabs>
                <w:tab w:val="left" w:pos="317"/>
              </w:tabs>
              <w:autoSpaceDE w:val="0"/>
              <w:autoSpaceDN w:val="0"/>
              <w:adjustRightInd w:val="0"/>
              <w:ind w:left="34" w:firstLine="0"/>
              <w:jc w:val="both"/>
            </w:pPr>
            <w:r w:rsidRPr="00970C20">
              <w:t>Izvairīšanās no nodokļiem un formalitātēm</w:t>
            </w:r>
            <w:r>
              <w:t>;</w:t>
            </w:r>
          </w:p>
          <w:p w:rsidR="009713DC" w:rsidRDefault="009713DC" w:rsidP="0044311E">
            <w:pPr>
              <w:pStyle w:val="ListParagraph"/>
              <w:numPr>
                <w:ilvl w:val="0"/>
                <w:numId w:val="17"/>
              </w:numPr>
              <w:tabs>
                <w:tab w:val="left" w:pos="317"/>
              </w:tabs>
              <w:autoSpaceDE w:val="0"/>
              <w:autoSpaceDN w:val="0"/>
              <w:adjustRightInd w:val="0"/>
              <w:ind w:left="34" w:firstLine="0"/>
              <w:jc w:val="both"/>
            </w:pPr>
            <w:r w:rsidRPr="00970C20">
              <w:t>Darba aizsardzības neievērošana;</w:t>
            </w:r>
          </w:p>
          <w:p w:rsidR="009713DC" w:rsidRPr="00970C20" w:rsidRDefault="009713DC" w:rsidP="0044311E">
            <w:pPr>
              <w:pStyle w:val="ListParagraph"/>
              <w:numPr>
                <w:ilvl w:val="0"/>
                <w:numId w:val="17"/>
              </w:numPr>
              <w:tabs>
                <w:tab w:val="left" w:pos="317"/>
              </w:tabs>
              <w:autoSpaceDE w:val="0"/>
              <w:autoSpaceDN w:val="0"/>
              <w:adjustRightInd w:val="0"/>
              <w:ind w:left="34" w:firstLine="0"/>
              <w:jc w:val="both"/>
            </w:pPr>
            <w:r w:rsidRPr="00970C20">
              <w:t xml:space="preserve">Neadekvātas investīcijas un apdrošināšana – strādājot uz </w:t>
            </w:r>
            <w:r>
              <w:t>robež</w:t>
            </w:r>
            <w:r w:rsidRPr="00970C20">
              <w:t>izmaksu līmeni, cenšas minimizēt investīcijas un iekārtu uzturēšanas izmaksas (izbraukā tos);</w:t>
            </w:r>
          </w:p>
          <w:p w:rsidR="00040305" w:rsidRDefault="009713DC" w:rsidP="000D206E">
            <w:pPr>
              <w:pStyle w:val="ListParagraph"/>
              <w:numPr>
                <w:ilvl w:val="0"/>
                <w:numId w:val="17"/>
              </w:numPr>
              <w:tabs>
                <w:tab w:val="left" w:pos="317"/>
              </w:tabs>
              <w:autoSpaceDE w:val="0"/>
              <w:autoSpaceDN w:val="0"/>
              <w:adjustRightInd w:val="0"/>
              <w:ind w:left="34" w:firstLine="0"/>
              <w:jc w:val="both"/>
              <w:rPr>
                <w:sz w:val="22"/>
                <w:szCs w:val="22"/>
              </w:rPr>
            </w:pPr>
            <w:r w:rsidRPr="00970C20">
              <w:t xml:space="preserve">Jaudas nepietiekamība: pat ja mazo operatoru </w:t>
            </w:r>
            <w:r>
              <w:t>„</w:t>
            </w:r>
            <w:r w:rsidRPr="00970C20">
              <w:t>bars</w:t>
            </w:r>
            <w:r w:rsidR="00CA6D37">
              <w:t>”</w:t>
            </w:r>
            <w:r w:rsidRPr="00970C20">
              <w:t xml:space="preserve"> ir labi organizēts, tomēr </w:t>
            </w:r>
            <w:r w:rsidR="00CA6D37">
              <w:t>maksimumstundās</w:t>
            </w:r>
            <w:r w:rsidRPr="00970C20">
              <w:t xml:space="preserve"> tie traucē viens otr</w:t>
            </w:r>
            <w:r w:rsidR="003074BB">
              <w:t>a</w:t>
            </w:r>
            <w:r w:rsidRPr="00970C20">
              <w:t xml:space="preserve">m, un </w:t>
            </w:r>
            <w:r>
              <w:t>samazin</w:t>
            </w:r>
            <w:r w:rsidR="00CA6D37">
              <w:t>a</w:t>
            </w:r>
            <w:r w:rsidRPr="00970C20">
              <w:t xml:space="preserve"> iespējami efektīvāko </w:t>
            </w:r>
            <w:r w:rsidRPr="00970C20">
              <w:lastRenderedPageBreak/>
              <w:t>risinājumu</w:t>
            </w:r>
          </w:p>
        </w:tc>
      </w:tr>
    </w:tbl>
    <w:p w:rsidR="0087760A" w:rsidRDefault="0087760A" w:rsidP="00160ADB">
      <w:pPr>
        <w:ind w:firstLine="709"/>
        <w:jc w:val="both"/>
        <w:rPr>
          <w:sz w:val="28"/>
          <w:szCs w:val="28"/>
        </w:rPr>
      </w:pPr>
    </w:p>
    <w:p w:rsidR="00832827" w:rsidRDefault="00D56873" w:rsidP="00160ADB">
      <w:pPr>
        <w:ind w:firstLine="709"/>
        <w:jc w:val="both"/>
        <w:rPr>
          <w:sz w:val="28"/>
          <w:szCs w:val="28"/>
        </w:rPr>
      </w:pPr>
      <w:r w:rsidRPr="00A953F1">
        <w:rPr>
          <w:sz w:val="28"/>
          <w:szCs w:val="28"/>
        </w:rPr>
        <w:t>Tā kā 2014.gadā pārvadājumi jau tiek</w:t>
      </w:r>
      <w:r w:rsidR="00007E2B">
        <w:rPr>
          <w:sz w:val="28"/>
          <w:szCs w:val="28"/>
        </w:rPr>
        <w:t xml:space="preserve"> veikti atbilstoši paredzētajam apjomam</w:t>
      </w:r>
      <w:r w:rsidRPr="00A953F1">
        <w:rPr>
          <w:sz w:val="28"/>
          <w:szCs w:val="28"/>
        </w:rPr>
        <w:t>, tad ar 2014.gadam piešķirto finansējumu, kas ir 35</w:t>
      </w:r>
      <w:r w:rsidR="00FB47A3" w:rsidRPr="00A953F1">
        <w:rPr>
          <w:sz w:val="28"/>
          <w:szCs w:val="28"/>
        </w:rPr>
        <w:t> </w:t>
      </w:r>
      <w:r w:rsidRPr="00A953F1">
        <w:rPr>
          <w:sz w:val="28"/>
          <w:szCs w:val="28"/>
        </w:rPr>
        <w:t>3</w:t>
      </w:r>
      <w:r w:rsidR="00FB47A3" w:rsidRPr="00A953F1">
        <w:rPr>
          <w:sz w:val="28"/>
          <w:szCs w:val="28"/>
        </w:rPr>
        <w:t>11 72</w:t>
      </w:r>
      <w:r w:rsidR="00B910C8">
        <w:rPr>
          <w:sz w:val="28"/>
          <w:szCs w:val="28"/>
        </w:rPr>
        <w:t>1</w:t>
      </w:r>
      <w:r w:rsidR="007C336A">
        <w:rPr>
          <w:rStyle w:val="FootnoteReference"/>
          <w:sz w:val="28"/>
          <w:szCs w:val="28"/>
        </w:rPr>
        <w:footnoteReference w:id="2"/>
      </w:r>
      <w:r w:rsidRPr="00A953F1">
        <w:rPr>
          <w:sz w:val="28"/>
          <w:szCs w:val="28"/>
        </w:rPr>
        <w:t xml:space="preserve"> EUR, ir </w:t>
      </w:r>
      <w:r w:rsidRPr="000D206E">
        <w:rPr>
          <w:b/>
          <w:sz w:val="28"/>
          <w:szCs w:val="28"/>
        </w:rPr>
        <w:t xml:space="preserve">iespējams segt tikai </w:t>
      </w:r>
      <w:r w:rsidR="00E05D8C" w:rsidRPr="000D206E">
        <w:rPr>
          <w:b/>
          <w:sz w:val="28"/>
          <w:szCs w:val="28"/>
        </w:rPr>
        <w:t>82</w:t>
      </w:r>
      <w:r w:rsidRPr="000D206E">
        <w:rPr>
          <w:b/>
          <w:sz w:val="28"/>
          <w:szCs w:val="28"/>
        </w:rPr>
        <w:t xml:space="preserve">% no kopējiem AS „Pasažieru vilciens” </w:t>
      </w:r>
      <w:r w:rsidR="00B910C8" w:rsidRPr="000D206E">
        <w:rPr>
          <w:b/>
          <w:sz w:val="28"/>
          <w:szCs w:val="28"/>
        </w:rPr>
        <w:t xml:space="preserve">valsts budžeta kompensējamajiem </w:t>
      </w:r>
      <w:r w:rsidRPr="000D206E">
        <w:rPr>
          <w:b/>
          <w:sz w:val="28"/>
          <w:szCs w:val="28"/>
        </w:rPr>
        <w:t>zaudējumiem</w:t>
      </w:r>
      <w:r w:rsidRPr="00A953F1">
        <w:rPr>
          <w:sz w:val="28"/>
          <w:szCs w:val="28"/>
        </w:rPr>
        <w:t xml:space="preserve">, kas sastāda </w:t>
      </w:r>
      <w:r w:rsidR="00E05D8C">
        <w:rPr>
          <w:sz w:val="28"/>
          <w:szCs w:val="28"/>
        </w:rPr>
        <w:t>43 296 219</w:t>
      </w:r>
      <w:r w:rsidRPr="00A953F1">
        <w:rPr>
          <w:sz w:val="28"/>
          <w:szCs w:val="28"/>
        </w:rPr>
        <w:t xml:space="preserve"> EUR. Līdz ar to </w:t>
      </w:r>
      <w:r w:rsidR="00160ADB">
        <w:rPr>
          <w:sz w:val="28"/>
          <w:szCs w:val="28"/>
        </w:rPr>
        <w:t>l</w:t>
      </w:r>
      <w:r w:rsidR="009A540A">
        <w:rPr>
          <w:sz w:val="28"/>
          <w:szCs w:val="28"/>
        </w:rPr>
        <w:t>ai veiktu norēķinus</w:t>
      </w:r>
      <w:r w:rsidR="00E81868">
        <w:rPr>
          <w:sz w:val="28"/>
          <w:szCs w:val="28"/>
        </w:rPr>
        <w:t xml:space="preserve"> ar piegādātājiem, </w:t>
      </w:r>
      <w:r w:rsidR="009A540A">
        <w:rPr>
          <w:sz w:val="28"/>
          <w:szCs w:val="28"/>
        </w:rPr>
        <w:t>AS</w:t>
      </w:r>
      <w:r w:rsidR="009064A2">
        <w:rPr>
          <w:sz w:val="28"/>
          <w:szCs w:val="28"/>
        </w:rPr>
        <w:t> </w:t>
      </w:r>
      <w:r w:rsidR="009A540A">
        <w:rPr>
          <w:sz w:val="28"/>
          <w:szCs w:val="28"/>
        </w:rPr>
        <w:t xml:space="preserve">„Pasažieru vilciens” </w:t>
      </w:r>
      <w:r w:rsidR="00E81868">
        <w:rPr>
          <w:sz w:val="28"/>
          <w:szCs w:val="28"/>
        </w:rPr>
        <w:t>ir</w:t>
      </w:r>
      <w:r w:rsidR="00160ADB">
        <w:rPr>
          <w:sz w:val="28"/>
          <w:szCs w:val="28"/>
        </w:rPr>
        <w:t xml:space="preserve"> </w:t>
      </w:r>
      <w:r w:rsidR="00E81868">
        <w:rPr>
          <w:sz w:val="28"/>
          <w:szCs w:val="28"/>
        </w:rPr>
        <w:t xml:space="preserve">piesaistījis </w:t>
      </w:r>
      <w:r w:rsidR="00160ADB">
        <w:rPr>
          <w:sz w:val="28"/>
          <w:szCs w:val="28"/>
        </w:rPr>
        <w:t xml:space="preserve">norēķiniem </w:t>
      </w:r>
      <w:r w:rsidR="009A540A">
        <w:rPr>
          <w:sz w:val="28"/>
          <w:szCs w:val="28"/>
        </w:rPr>
        <w:t>kredītlīniju, kas rad</w:t>
      </w:r>
      <w:r w:rsidR="007C336A">
        <w:rPr>
          <w:sz w:val="28"/>
          <w:szCs w:val="28"/>
        </w:rPr>
        <w:t>ī</w:t>
      </w:r>
      <w:r w:rsidR="00160ADB">
        <w:rPr>
          <w:sz w:val="28"/>
          <w:szCs w:val="28"/>
        </w:rPr>
        <w:t>s</w:t>
      </w:r>
      <w:r w:rsidR="009A540A">
        <w:rPr>
          <w:sz w:val="28"/>
          <w:szCs w:val="28"/>
        </w:rPr>
        <w:t xml:space="preserve"> papildus izdevumus un palielin</w:t>
      </w:r>
      <w:r w:rsidR="00160ADB">
        <w:rPr>
          <w:sz w:val="28"/>
          <w:szCs w:val="28"/>
        </w:rPr>
        <w:t>ās</w:t>
      </w:r>
      <w:r w:rsidR="009A540A">
        <w:rPr>
          <w:sz w:val="28"/>
          <w:szCs w:val="28"/>
        </w:rPr>
        <w:t xml:space="preserve"> nepieciešamo do</w:t>
      </w:r>
      <w:r w:rsidR="00832827">
        <w:rPr>
          <w:sz w:val="28"/>
          <w:szCs w:val="28"/>
        </w:rPr>
        <w:t>tāciju zaudējumu kompensācijai</w:t>
      </w:r>
      <w:r w:rsidR="00E81868">
        <w:rPr>
          <w:sz w:val="28"/>
          <w:szCs w:val="28"/>
        </w:rPr>
        <w:t>, kā arī ir panācis vienošanos ar VAS “Latvijas dzelzceļš” par soda naudas nepiemērošanu infrastruktūras izmantošanas maksājumiem līdz 2014.gada 31.decembrim</w:t>
      </w:r>
      <w:r w:rsidR="00832827">
        <w:rPr>
          <w:sz w:val="28"/>
          <w:szCs w:val="28"/>
        </w:rPr>
        <w:t>.</w:t>
      </w:r>
    </w:p>
    <w:p w:rsidR="00832827" w:rsidRDefault="00CF03FF" w:rsidP="00160ADB">
      <w:pPr>
        <w:ind w:firstLine="709"/>
        <w:jc w:val="both"/>
        <w:rPr>
          <w:sz w:val="28"/>
          <w:szCs w:val="28"/>
        </w:rPr>
      </w:pPr>
      <w:r>
        <w:rPr>
          <w:sz w:val="28"/>
          <w:szCs w:val="28"/>
        </w:rPr>
        <w:t>B</w:t>
      </w:r>
      <w:r w:rsidRPr="00CF03FF">
        <w:rPr>
          <w:sz w:val="28"/>
          <w:szCs w:val="28"/>
        </w:rPr>
        <w:t xml:space="preserve">ez tam </w:t>
      </w:r>
      <w:r>
        <w:rPr>
          <w:sz w:val="28"/>
          <w:szCs w:val="28"/>
        </w:rPr>
        <w:t xml:space="preserve">AS „Pasažieru vilciens” </w:t>
      </w:r>
      <w:r w:rsidRPr="00CF03FF">
        <w:rPr>
          <w:sz w:val="28"/>
          <w:szCs w:val="28"/>
        </w:rPr>
        <w:t>ir noslē</w:t>
      </w:r>
      <w:r>
        <w:rPr>
          <w:sz w:val="28"/>
          <w:szCs w:val="28"/>
        </w:rPr>
        <w:t>dzis</w:t>
      </w:r>
      <w:r w:rsidRPr="00CF03FF">
        <w:rPr>
          <w:sz w:val="28"/>
          <w:szCs w:val="28"/>
        </w:rPr>
        <w:t xml:space="preserve"> līgum</w:t>
      </w:r>
      <w:r>
        <w:rPr>
          <w:sz w:val="28"/>
          <w:szCs w:val="28"/>
        </w:rPr>
        <w:t>u</w:t>
      </w:r>
      <w:r w:rsidRPr="00CF03FF">
        <w:rPr>
          <w:sz w:val="28"/>
          <w:szCs w:val="28"/>
        </w:rPr>
        <w:t xml:space="preserve"> un </w:t>
      </w:r>
      <w:r>
        <w:rPr>
          <w:sz w:val="28"/>
          <w:szCs w:val="28"/>
        </w:rPr>
        <w:t xml:space="preserve">ir </w:t>
      </w:r>
      <w:r w:rsidRPr="00CF03FF">
        <w:rPr>
          <w:sz w:val="28"/>
          <w:szCs w:val="28"/>
        </w:rPr>
        <w:t>uzsākta 19 dīzeļvilcienu vagonu modernizācijas projekta realizācija ar Kohēzijas fonda līdzfinansējumu, kurā AS „Pasažieru vilciens” ir jānodrošina finansējums 9 milj. EUR apmērā. Pie pašreizējā uzņēmuma finanšu stāvokļa uzņēmumam nav iespējams nodrošināt finansējumu augstākminētajiem mērķiem, t.sk. piesaistīt ilgtermiņa kredītresursus. Jau šobrīd, lai nodrošinātu pozitīvu naudas plūsmu, uzņēmums ir piesaistījis īstermiņa kredītresursus 15 milj. EUR apmērā</w:t>
      </w:r>
      <w:r>
        <w:t xml:space="preserve">. </w:t>
      </w:r>
    </w:p>
    <w:p w:rsidR="00071333" w:rsidRDefault="00071333" w:rsidP="00071333">
      <w:pPr>
        <w:ind w:firstLine="709"/>
        <w:jc w:val="both"/>
        <w:rPr>
          <w:sz w:val="28"/>
          <w:szCs w:val="28"/>
        </w:rPr>
      </w:pPr>
      <w:r>
        <w:rPr>
          <w:sz w:val="28"/>
          <w:szCs w:val="28"/>
        </w:rPr>
        <w:t>Tādējādi, l</w:t>
      </w:r>
      <w:r w:rsidRPr="000B7ADB">
        <w:rPr>
          <w:sz w:val="28"/>
          <w:szCs w:val="28"/>
        </w:rPr>
        <w:t xml:space="preserve">ai AS „Pasažieru vilciens” </w:t>
      </w:r>
      <w:r>
        <w:rPr>
          <w:sz w:val="28"/>
          <w:szCs w:val="28"/>
        </w:rPr>
        <w:t>saņemtu pilnīgu zaudējumu kompensāciju par valsts pasūtījuma izpildi</w:t>
      </w:r>
      <w:r w:rsidRPr="000B7ADB">
        <w:rPr>
          <w:sz w:val="28"/>
          <w:szCs w:val="28"/>
        </w:rPr>
        <w:t xml:space="preserve">, uzņēmumam 2014.gadā ir nepieciešams papildus finansējums </w:t>
      </w:r>
      <w:r>
        <w:rPr>
          <w:b/>
          <w:sz w:val="28"/>
          <w:szCs w:val="28"/>
        </w:rPr>
        <w:t> 10 </w:t>
      </w:r>
      <w:r w:rsidRPr="00C60B5E">
        <w:rPr>
          <w:b/>
          <w:sz w:val="28"/>
          <w:szCs w:val="28"/>
        </w:rPr>
        <w:t>892 330  EUR (</w:t>
      </w:r>
      <w:proofErr w:type="spellStart"/>
      <w:r w:rsidRPr="00C60B5E">
        <w:rPr>
          <w:b/>
          <w:sz w:val="28"/>
          <w:szCs w:val="28"/>
        </w:rPr>
        <w:t>t.sk</w:t>
      </w:r>
      <w:proofErr w:type="spellEnd"/>
      <w:r w:rsidRPr="00C60B5E">
        <w:rPr>
          <w:b/>
          <w:sz w:val="28"/>
          <w:szCs w:val="28"/>
        </w:rPr>
        <w:t xml:space="preserve">. par 2013.gada nesegtajiem zaudējumiem </w:t>
      </w:r>
      <w:r w:rsidR="00907DBB">
        <w:rPr>
          <w:b/>
          <w:sz w:val="28"/>
          <w:szCs w:val="28"/>
        </w:rPr>
        <w:t>4</w:t>
      </w:r>
      <w:r w:rsidRPr="00C60B5E">
        <w:rPr>
          <w:b/>
          <w:sz w:val="28"/>
          <w:szCs w:val="28"/>
        </w:rPr>
        <w:t xml:space="preserve"> 703 239 EUR</w:t>
      </w:r>
      <w:r>
        <w:rPr>
          <w:b/>
          <w:sz w:val="28"/>
          <w:szCs w:val="28"/>
        </w:rPr>
        <w:t>)</w:t>
      </w:r>
      <w:r w:rsidRPr="000B7ADB">
        <w:rPr>
          <w:sz w:val="28"/>
          <w:szCs w:val="28"/>
        </w:rPr>
        <w:t>.</w:t>
      </w:r>
      <w:r>
        <w:rPr>
          <w:sz w:val="28"/>
          <w:szCs w:val="28"/>
        </w:rPr>
        <w:t xml:space="preserve"> Lai 2014.gadā nodrošinātu uzņēmuma darbību, bet 2015.gadā turpinātu pasažieru pārvadājumus pa dzelzceļu esošajā apjomā, vitāli nepieciešams ir saņemt papildus finansējumu vismaz  </w:t>
      </w:r>
      <w:r w:rsidRPr="002B1F8F">
        <w:rPr>
          <w:b/>
          <w:sz w:val="28"/>
          <w:szCs w:val="28"/>
        </w:rPr>
        <w:t>7</w:t>
      </w:r>
      <w:r w:rsidRPr="00C60B5E">
        <w:rPr>
          <w:b/>
          <w:sz w:val="28"/>
          <w:szCs w:val="28"/>
        </w:rPr>
        <w:t xml:space="preserve"> 703 239 EUR</w:t>
      </w:r>
      <w:r>
        <w:rPr>
          <w:b/>
          <w:sz w:val="28"/>
          <w:szCs w:val="28"/>
        </w:rPr>
        <w:t xml:space="preserve"> </w:t>
      </w:r>
      <w:r w:rsidRPr="00C60B5E">
        <w:rPr>
          <w:b/>
          <w:sz w:val="28"/>
          <w:szCs w:val="28"/>
        </w:rPr>
        <w:t>(</w:t>
      </w:r>
      <w:proofErr w:type="spellStart"/>
      <w:r w:rsidRPr="00C60B5E">
        <w:rPr>
          <w:b/>
          <w:sz w:val="28"/>
          <w:szCs w:val="28"/>
        </w:rPr>
        <w:t>t.sk</w:t>
      </w:r>
      <w:proofErr w:type="spellEnd"/>
      <w:r w:rsidRPr="00C60B5E">
        <w:rPr>
          <w:b/>
          <w:sz w:val="28"/>
          <w:szCs w:val="28"/>
        </w:rPr>
        <w:t xml:space="preserve">. par 2013.gada nesegtajiem zaudējumiem </w:t>
      </w:r>
      <w:r w:rsidR="00907DBB">
        <w:rPr>
          <w:b/>
          <w:sz w:val="28"/>
          <w:szCs w:val="28"/>
        </w:rPr>
        <w:t>4</w:t>
      </w:r>
      <w:r w:rsidRPr="00C60B5E">
        <w:rPr>
          <w:b/>
          <w:sz w:val="28"/>
          <w:szCs w:val="28"/>
        </w:rPr>
        <w:t xml:space="preserve"> 703 239 EUR</w:t>
      </w:r>
      <w:r>
        <w:rPr>
          <w:b/>
          <w:sz w:val="28"/>
          <w:szCs w:val="28"/>
        </w:rPr>
        <w:t>).</w:t>
      </w:r>
    </w:p>
    <w:p w:rsidR="00832827" w:rsidRPr="000B7ADB" w:rsidRDefault="00C634F2" w:rsidP="00160ADB">
      <w:pPr>
        <w:ind w:firstLine="709"/>
        <w:jc w:val="both"/>
        <w:rPr>
          <w:sz w:val="28"/>
          <w:szCs w:val="28"/>
        </w:rPr>
      </w:pPr>
      <w:r w:rsidRPr="00C634F2">
        <w:rPr>
          <w:sz w:val="28"/>
          <w:szCs w:val="28"/>
        </w:rPr>
        <w:t xml:space="preserve">Nesaņemot papildus finansējumu 2013.un 2014.gada zaudējumu segšanai un atbilstošu finansējumu nākošajos periodos, tiks būtiski apdraudēta gan finansējuma piesaiste dīzeļvilcienu projekta realizācijai, gan arī investīcijas elektrovilcienu ritošajā sastāvā un pieaugs riski, ka </w:t>
      </w:r>
      <w:r w:rsidRPr="000B7ADB">
        <w:rPr>
          <w:sz w:val="28"/>
          <w:szCs w:val="28"/>
        </w:rPr>
        <w:t xml:space="preserve">AS „Pasažieru vilciens” </w:t>
      </w:r>
      <w:r w:rsidRPr="00C634F2">
        <w:rPr>
          <w:sz w:val="28"/>
          <w:szCs w:val="28"/>
        </w:rPr>
        <w:t>nespēs veikt pasažieru pārvadājumus pietiekošā apjomā un izpildīt ar 2008.gada 19.decembra līgumu par sabiedriskā transporta pakalpojumu sniegšanu reģionālos starppilsētu nozīmes maršrutos pa dzelzceļu</w:t>
      </w:r>
      <w:r w:rsidR="00341FA3" w:rsidRPr="00341FA3">
        <w:rPr>
          <w:sz w:val="28"/>
          <w:szCs w:val="28"/>
        </w:rPr>
        <w:t xml:space="preserve"> </w:t>
      </w:r>
      <w:r w:rsidR="00341FA3">
        <w:rPr>
          <w:sz w:val="28"/>
          <w:szCs w:val="28"/>
        </w:rPr>
        <w:t>Nr.</w:t>
      </w:r>
      <w:r w:rsidR="00341FA3" w:rsidRPr="00CE3F25">
        <w:rPr>
          <w:sz w:val="28"/>
          <w:szCs w:val="28"/>
        </w:rPr>
        <w:t>ATD/ST-2008/04PV262-08</w:t>
      </w:r>
      <w:r w:rsidRPr="00C634F2">
        <w:rPr>
          <w:sz w:val="28"/>
          <w:szCs w:val="28"/>
        </w:rPr>
        <w:t xml:space="preserve"> uzņemtās saistības. Ja netiks rasts risinājums pašu kapitāla pietiekamības uzlabošanai, akcionāram būs nepieciešams rīkoties atbilstoši Komerclikuma 271.panta prasībām, kas paredz akcionāram lemt par uzņēmuma tiesiskās aizsardzības procesu vai maksātnespējas procesa  uzsākšanu, vai  sabiedrības darbības izbeigšanu un likvidāciju, reorganizāciju, vai pamatkapitāla </w:t>
      </w:r>
      <w:r w:rsidRPr="00C634F2">
        <w:rPr>
          <w:sz w:val="28"/>
          <w:szCs w:val="28"/>
        </w:rPr>
        <w:lastRenderedPageBreak/>
        <w:t>izmaiņām, vai pieņemt citu lēmumu par sabiedrības saimnieciskā stāvokļa uzlabošanu.</w:t>
      </w:r>
    </w:p>
    <w:p w:rsidR="00A73187" w:rsidRDefault="00160ADB" w:rsidP="00D56873">
      <w:pPr>
        <w:ind w:firstLine="709"/>
        <w:jc w:val="both"/>
        <w:rPr>
          <w:sz w:val="28"/>
          <w:szCs w:val="28"/>
        </w:rPr>
      </w:pPr>
      <w:r>
        <w:rPr>
          <w:sz w:val="28"/>
          <w:szCs w:val="28"/>
        </w:rPr>
        <w:t>Jāatzīmē, ka situācija prasa ilgtspējīg</w:t>
      </w:r>
      <w:r w:rsidR="00007E2B">
        <w:rPr>
          <w:sz w:val="28"/>
          <w:szCs w:val="28"/>
        </w:rPr>
        <w:t>u</w:t>
      </w:r>
      <w:r>
        <w:rPr>
          <w:sz w:val="28"/>
          <w:szCs w:val="28"/>
        </w:rPr>
        <w:t xml:space="preserve"> risinājumu, jo </w:t>
      </w:r>
      <w:r w:rsidR="00A73187">
        <w:rPr>
          <w:sz w:val="28"/>
          <w:szCs w:val="28"/>
        </w:rPr>
        <w:t>dzelzceļa pasažieru pārvadājumos līdzsvars starp valstij objektīvi nepieciešamo pārvadājumu apjomu un valsts spēju nodrošināt šī apjoma pasūtījuma zaudējumu kompensāciju</w:t>
      </w:r>
      <w:r>
        <w:rPr>
          <w:sz w:val="28"/>
          <w:szCs w:val="28"/>
        </w:rPr>
        <w:t xml:space="preserve"> </w:t>
      </w:r>
      <w:r w:rsidR="003513DF">
        <w:rPr>
          <w:sz w:val="28"/>
          <w:szCs w:val="28"/>
        </w:rPr>
        <w:t>tika izjaukt</w:t>
      </w:r>
      <w:r w:rsidR="00A73187">
        <w:rPr>
          <w:sz w:val="28"/>
          <w:szCs w:val="28"/>
        </w:rPr>
        <w:t>s</w:t>
      </w:r>
      <w:r w:rsidR="003513DF">
        <w:rPr>
          <w:sz w:val="28"/>
          <w:szCs w:val="28"/>
        </w:rPr>
        <w:t xml:space="preserve"> ar valsts budžeta konsolidācijas pasākumiem</w:t>
      </w:r>
      <w:r w:rsidR="00BF2A0E">
        <w:rPr>
          <w:sz w:val="28"/>
          <w:szCs w:val="28"/>
        </w:rPr>
        <w:t>.</w:t>
      </w:r>
    </w:p>
    <w:p w:rsidR="00EC0C15" w:rsidRDefault="009A117F" w:rsidP="00EC0C15">
      <w:pPr>
        <w:ind w:firstLine="709"/>
        <w:jc w:val="both"/>
        <w:rPr>
          <w:sz w:val="28"/>
          <w:szCs w:val="28"/>
        </w:rPr>
      </w:pPr>
      <w:r w:rsidRPr="009A117F">
        <w:rPr>
          <w:sz w:val="28"/>
          <w:szCs w:val="28"/>
        </w:rPr>
        <w:t xml:space="preserve">AS „Pasažieru vilciens” ir uzsācis darbu pie 2015.gada budžeta projekta sagatavošanas. </w:t>
      </w:r>
      <w:r w:rsidR="00EC0C15">
        <w:rPr>
          <w:sz w:val="28"/>
          <w:szCs w:val="28"/>
        </w:rPr>
        <w:t xml:space="preserve">AS „Pasažieru vilciens” ir izstrādājis rīcības plānu prognozēto zaudējumu samazināšanai un </w:t>
      </w:r>
      <w:r w:rsidRPr="009A117F">
        <w:rPr>
          <w:sz w:val="28"/>
          <w:szCs w:val="28"/>
        </w:rPr>
        <w:t>2015.gadā tiek plānoti pasākumi, kuru mērķis ir izmantot efektīvāk uzņēmuma rīcībā esošos cilvēkresursus un uzlabot vilcienu piepildījumu</w:t>
      </w:r>
      <w:r w:rsidR="0000068F">
        <w:rPr>
          <w:sz w:val="28"/>
          <w:szCs w:val="28"/>
        </w:rPr>
        <w:t xml:space="preserve">. Prognozētais valsts finansējums 2015.gadam zaudējumu kompensācijai pārvadājumos pa dzelzceļu ir 41-42 milj.EUR, t.sk., infrastruktūra 36 </w:t>
      </w:r>
      <w:proofErr w:type="spellStart"/>
      <w:r w:rsidR="0000068F">
        <w:rPr>
          <w:sz w:val="28"/>
          <w:szCs w:val="28"/>
        </w:rPr>
        <w:t>milj.EUR</w:t>
      </w:r>
      <w:proofErr w:type="spellEnd"/>
      <w:r w:rsidR="0000068F">
        <w:rPr>
          <w:sz w:val="28"/>
          <w:szCs w:val="28"/>
        </w:rPr>
        <w:t>.</w:t>
      </w:r>
      <w:r w:rsidR="00EC0C15">
        <w:rPr>
          <w:sz w:val="28"/>
          <w:szCs w:val="28"/>
        </w:rPr>
        <w:t xml:space="preserve"> Kā būtiskākie pasākumi, kas ietverti AS „Pasažieru vilciens” rīcības plānā prognozēto zaudējumu samazināšanai ir:</w:t>
      </w:r>
    </w:p>
    <w:p w:rsidR="00EC0C15" w:rsidRDefault="00EC0C15" w:rsidP="00EC0C15">
      <w:pPr>
        <w:pStyle w:val="ListParagraph"/>
        <w:numPr>
          <w:ilvl w:val="0"/>
          <w:numId w:val="22"/>
        </w:numPr>
        <w:jc w:val="both"/>
        <w:rPr>
          <w:sz w:val="28"/>
          <w:szCs w:val="28"/>
        </w:rPr>
      </w:pPr>
      <w:r>
        <w:rPr>
          <w:sz w:val="28"/>
          <w:szCs w:val="28"/>
        </w:rPr>
        <w:t>Vilcienu kustības grafika pārskatīšana un optimizācija, lai nodrošinātu pārvadājumus maršrutos ar lielu pasažieru plūsmu un samazinātu ceļā pavadāmo laiku;</w:t>
      </w:r>
    </w:p>
    <w:p w:rsidR="00EC0C15" w:rsidRDefault="00EC0C15" w:rsidP="00EC0C15">
      <w:pPr>
        <w:pStyle w:val="ListParagraph"/>
        <w:numPr>
          <w:ilvl w:val="0"/>
          <w:numId w:val="22"/>
        </w:numPr>
        <w:jc w:val="both"/>
        <w:rPr>
          <w:sz w:val="28"/>
          <w:szCs w:val="28"/>
        </w:rPr>
      </w:pPr>
      <w:r>
        <w:rPr>
          <w:sz w:val="28"/>
          <w:szCs w:val="28"/>
        </w:rPr>
        <w:t>Jaunas braukšanas maksas (tarifa) sistēmas izstrāde;</w:t>
      </w:r>
    </w:p>
    <w:p w:rsidR="00EC0C15" w:rsidRDefault="00EC0C15" w:rsidP="00EC0C15">
      <w:pPr>
        <w:pStyle w:val="ListParagraph"/>
        <w:numPr>
          <w:ilvl w:val="0"/>
          <w:numId w:val="22"/>
        </w:numPr>
        <w:jc w:val="both"/>
        <w:rPr>
          <w:sz w:val="28"/>
          <w:szCs w:val="28"/>
        </w:rPr>
      </w:pPr>
      <w:r>
        <w:rPr>
          <w:sz w:val="28"/>
          <w:szCs w:val="28"/>
        </w:rPr>
        <w:t>Mūsdienīgas un pasažieriem pievilcīgas biļešu tirdzniecības sistēmas ieviešana;</w:t>
      </w:r>
    </w:p>
    <w:p w:rsidR="00EC0C15" w:rsidRDefault="00EC0C15" w:rsidP="00EC0C15">
      <w:pPr>
        <w:pStyle w:val="ListParagraph"/>
        <w:numPr>
          <w:ilvl w:val="0"/>
          <w:numId w:val="22"/>
        </w:numPr>
        <w:jc w:val="both"/>
        <w:rPr>
          <w:sz w:val="28"/>
          <w:szCs w:val="28"/>
        </w:rPr>
      </w:pPr>
      <w:r>
        <w:rPr>
          <w:sz w:val="28"/>
          <w:szCs w:val="28"/>
        </w:rPr>
        <w:t>Sadarbība ar pašvaldībām un vietējiem autopārvadātājiem vienotas braukšanas biļešu ieviešanā;</w:t>
      </w:r>
    </w:p>
    <w:p w:rsidR="00EC0C15" w:rsidRPr="00C44F89" w:rsidRDefault="00EC0C15" w:rsidP="00EC0C15">
      <w:pPr>
        <w:pStyle w:val="ListParagraph"/>
        <w:numPr>
          <w:ilvl w:val="0"/>
          <w:numId w:val="22"/>
        </w:numPr>
        <w:jc w:val="both"/>
        <w:rPr>
          <w:sz w:val="28"/>
          <w:szCs w:val="28"/>
        </w:rPr>
      </w:pPr>
      <w:r>
        <w:rPr>
          <w:sz w:val="28"/>
          <w:szCs w:val="28"/>
        </w:rPr>
        <w:t>Ar sabiedrisko transportu saistīto normatīvo aktu pārskatīšana, lai samazinātu pasažieru skaitu, kas brauc bez biļetēm.</w:t>
      </w:r>
    </w:p>
    <w:p w:rsidR="009A117F" w:rsidRDefault="009A117F" w:rsidP="00D56873">
      <w:pPr>
        <w:ind w:firstLine="709"/>
        <w:jc w:val="both"/>
        <w:rPr>
          <w:sz w:val="28"/>
          <w:szCs w:val="28"/>
        </w:rPr>
      </w:pPr>
    </w:p>
    <w:p w:rsidR="00A96FFD" w:rsidRDefault="007C336A" w:rsidP="001C1B8A">
      <w:pPr>
        <w:ind w:firstLine="709"/>
        <w:jc w:val="both"/>
        <w:rPr>
          <w:sz w:val="28"/>
          <w:szCs w:val="28"/>
        </w:rPr>
      </w:pPr>
      <w:r>
        <w:rPr>
          <w:sz w:val="28"/>
          <w:szCs w:val="28"/>
        </w:rPr>
        <w:t>Līdz ar to</w:t>
      </w:r>
      <w:r w:rsidR="00BF2A0E">
        <w:rPr>
          <w:sz w:val="28"/>
          <w:szCs w:val="28"/>
        </w:rPr>
        <w:t xml:space="preserve"> nepieciešams izskatīt jautājumu par pasažieru pārvadājumu pa dzelzceļu </w:t>
      </w:r>
      <w:r w:rsidR="00A73187">
        <w:rPr>
          <w:sz w:val="28"/>
          <w:szCs w:val="28"/>
        </w:rPr>
        <w:t xml:space="preserve">finansējuma </w:t>
      </w:r>
      <w:r w:rsidR="00BF2A0E">
        <w:rPr>
          <w:sz w:val="28"/>
          <w:szCs w:val="28"/>
        </w:rPr>
        <w:t>atjaunošanu</w:t>
      </w:r>
      <w:r w:rsidR="005F4741">
        <w:rPr>
          <w:sz w:val="28"/>
          <w:szCs w:val="28"/>
        </w:rPr>
        <w:t xml:space="preserve"> </w:t>
      </w:r>
      <w:r w:rsidR="00BF2A0E">
        <w:rPr>
          <w:sz w:val="28"/>
          <w:szCs w:val="28"/>
        </w:rPr>
        <w:t>vismaz 2008.gada</w:t>
      </w:r>
      <w:r w:rsidR="00A73187">
        <w:rPr>
          <w:sz w:val="28"/>
          <w:szCs w:val="28"/>
        </w:rPr>
        <w:t xml:space="preserve"> līmenī ar korekciju </w:t>
      </w:r>
      <w:r w:rsidR="005F4741">
        <w:rPr>
          <w:sz w:val="28"/>
          <w:szCs w:val="28"/>
        </w:rPr>
        <w:t xml:space="preserve">atbilstoši </w:t>
      </w:r>
      <w:r w:rsidR="00A73187">
        <w:rPr>
          <w:sz w:val="28"/>
          <w:szCs w:val="28"/>
        </w:rPr>
        <w:t xml:space="preserve">inflācijas </w:t>
      </w:r>
      <w:r w:rsidR="005F4741">
        <w:rPr>
          <w:sz w:val="28"/>
          <w:szCs w:val="28"/>
        </w:rPr>
        <w:t>līmenim</w:t>
      </w:r>
      <w:r w:rsidR="004E5876">
        <w:rPr>
          <w:sz w:val="28"/>
          <w:szCs w:val="28"/>
        </w:rPr>
        <w:t xml:space="preserve">. Sākot ar </w:t>
      </w:r>
      <w:r w:rsidR="001C1B8A">
        <w:rPr>
          <w:sz w:val="28"/>
          <w:szCs w:val="28"/>
        </w:rPr>
        <w:t>2015.gada 1.janvār</w:t>
      </w:r>
      <w:r w:rsidR="004E5876">
        <w:rPr>
          <w:sz w:val="28"/>
          <w:szCs w:val="28"/>
        </w:rPr>
        <w:t xml:space="preserve">i ir izveidota </w:t>
      </w:r>
      <w:r w:rsidR="001C1B8A">
        <w:rPr>
          <w:sz w:val="28"/>
          <w:szCs w:val="28"/>
        </w:rPr>
        <w:t>atsevišķ</w:t>
      </w:r>
      <w:r w:rsidR="004E5876">
        <w:rPr>
          <w:sz w:val="28"/>
          <w:szCs w:val="28"/>
        </w:rPr>
        <w:t>a</w:t>
      </w:r>
      <w:r w:rsidR="001C1B8A">
        <w:rPr>
          <w:sz w:val="28"/>
          <w:szCs w:val="28"/>
        </w:rPr>
        <w:t xml:space="preserve"> </w:t>
      </w:r>
      <w:r w:rsidR="004E5876">
        <w:rPr>
          <w:sz w:val="28"/>
          <w:szCs w:val="28"/>
        </w:rPr>
        <w:t xml:space="preserve">valsts budžeta apakšprogramma 31.04.00 „Maksa par dzelzceļa infrastruktūras lietošanu” sakarā ar </w:t>
      </w:r>
      <w:r w:rsidR="001C1B8A">
        <w:rPr>
          <w:sz w:val="28"/>
          <w:szCs w:val="28"/>
        </w:rPr>
        <w:t>publiskās lietošanas dzelzceļa infrastruktūras maksas kompensēšanu, atdalot publiskās lietošanas dzelzceļa infrastruktūras maksu no kopējā pasažieru pārvadāšanai paredzētā finansējuma un saglabājot pasažieru pārvadājumiem pa dzelzceļu finansējumu esošajā ietvarā.</w:t>
      </w:r>
    </w:p>
    <w:p w:rsidR="001C1B8A" w:rsidRDefault="001C1B8A" w:rsidP="001C1B8A">
      <w:pPr>
        <w:ind w:firstLine="709"/>
        <w:jc w:val="both"/>
        <w:rPr>
          <w:sz w:val="28"/>
          <w:szCs w:val="28"/>
        </w:rPr>
      </w:pPr>
    </w:p>
    <w:p w:rsidR="004F721E" w:rsidRPr="00A953F1" w:rsidRDefault="004F721E" w:rsidP="00D56873">
      <w:pPr>
        <w:ind w:firstLine="709"/>
        <w:jc w:val="both"/>
        <w:rPr>
          <w:sz w:val="28"/>
          <w:szCs w:val="28"/>
        </w:rPr>
      </w:pPr>
    </w:p>
    <w:p w:rsidR="008C57B6" w:rsidRPr="00A953F1" w:rsidRDefault="004957E5" w:rsidP="004957E5">
      <w:pPr>
        <w:ind w:firstLine="709"/>
        <w:jc w:val="both"/>
        <w:rPr>
          <w:sz w:val="28"/>
          <w:szCs w:val="28"/>
        </w:rPr>
      </w:pPr>
      <w:r w:rsidRPr="00A953F1">
        <w:rPr>
          <w:sz w:val="28"/>
          <w:szCs w:val="28"/>
        </w:rPr>
        <w:t>Satiksmes ministrs</w:t>
      </w:r>
      <w:r w:rsidRPr="00A953F1">
        <w:rPr>
          <w:sz w:val="28"/>
          <w:szCs w:val="28"/>
        </w:rPr>
        <w:tab/>
      </w:r>
      <w:r w:rsidRPr="00A953F1">
        <w:rPr>
          <w:sz w:val="28"/>
          <w:szCs w:val="28"/>
        </w:rPr>
        <w:tab/>
      </w:r>
      <w:r w:rsidRPr="00A953F1">
        <w:rPr>
          <w:sz w:val="28"/>
          <w:szCs w:val="28"/>
        </w:rPr>
        <w:tab/>
      </w:r>
      <w:r w:rsidRPr="00A953F1">
        <w:rPr>
          <w:sz w:val="28"/>
          <w:szCs w:val="28"/>
        </w:rPr>
        <w:tab/>
      </w:r>
      <w:r w:rsidRPr="00A953F1">
        <w:rPr>
          <w:sz w:val="28"/>
          <w:szCs w:val="28"/>
        </w:rPr>
        <w:tab/>
      </w:r>
      <w:r w:rsidRPr="00A953F1">
        <w:rPr>
          <w:sz w:val="28"/>
          <w:szCs w:val="28"/>
        </w:rPr>
        <w:tab/>
      </w:r>
      <w:r w:rsidRPr="00A953F1">
        <w:rPr>
          <w:sz w:val="28"/>
          <w:szCs w:val="28"/>
        </w:rPr>
        <w:tab/>
      </w:r>
      <w:r w:rsidR="008C57B6" w:rsidRPr="00A953F1">
        <w:rPr>
          <w:sz w:val="28"/>
          <w:szCs w:val="28"/>
        </w:rPr>
        <w:t>A.Matīss</w:t>
      </w:r>
    </w:p>
    <w:p w:rsidR="008C57B6" w:rsidRDefault="008C57B6" w:rsidP="004957E5">
      <w:pPr>
        <w:ind w:firstLine="709"/>
        <w:jc w:val="both"/>
        <w:rPr>
          <w:sz w:val="28"/>
          <w:szCs w:val="28"/>
        </w:rPr>
      </w:pPr>
    </w:p>
    <w:p w:rsidR="00DC3A24" w:rsidRPr="00EF6AA3" w:rsidRDefault="004F721E" w:rsidP="00AF4AFD">
      <w:pPr>
        <w:spacing w:before="120"/>
        <w:jc w:val="both"/>
        <w:rPr>
          <w:sz w:val="26"/>
          <w:szCs w:val="26"/>
        </w:rPr>
      </w:pPr>
      <w:r>
        <w:rPr>
          <w:sz w:val="28"/>
          <w:szCs w:val="28"/>
        </w:rPr>
        <w:tab/>
      </w:r>
      <w:r w:rsidR="00DC3A24" w:rsidRPr="00EF6AA3">
        <w:rPr>
          <w:sz w:val="26"/>
          <w:szCs w:val="26"/>
        </w:rPr>
        <w:t xml:space="preserve">Vīza: </w:t>
      </w:r>
      <w:r w:rsidR="00DC3A24">
        <w:rPr>
          <w:sz w:val="26"/>
          <w:szCs w:val="26"/>
        </w:rPr>
        <w:t>V</w:t>
      </w:r>
      <w:r w:rsidR="00DC3A24" w:rsidRPr="00EF6AA3">
        <w:rPr>
          <w:sz w:val="26"/>
          <w:szCs w:val="26"/>
        </w:rPr>
        <w:t>alsts sekretār</w:t>
      </w:r>
      <w:r w:rsidR="00DC3A24">
        <w:rPr>
          <w:sz w:val="26"/>
          <w:szCs w:val="26"/>
        </w:rPr>
        <w:t>s</w:t>
      </w:r>
      <w:r w:rsidR="00DC3A24" w:rsidRPr="00EF6AA3">
        <w:rPr>
          <w:sz w:val="26"/>
          <w:szCs w:val="26"/>
        </w:rPr>
        <w:tab/>
      </w:r>
      <w:r w:rsidR="00DC3A24" w:rsidRPr="00EF6AA3">
        <w:rPr>
          <w:sz w:val="26"/>
          <w:szCs w:val="26"/>
        </w:rPr>
        <w:tab/>
      </w:r>
      <w:r w:rsidR="00DC3A24" w:rsidRPr="00EF6AA3">
        <w:rPr>
          <w:sz w:val="26"/>
          <w:szCs w:val="26"/>
        </w:rPr>
        <w:tab/>
      </w:r>
      <w:r w:rsidR="00DC3A24" w:rsidRPr="00EF6AA3">
        <w:rPr>
          <w:sz w:val="26"/>
          <w:szCs w:val="26"/>
        </w:rPr>
        <w:tab/>
      </w:r>
      <w:r w:rsidR="00DC3A24" w:rsidRPr="00EF6AA3">
        <w:rPr>
          <w:sz w:val="26"/>
          <w:szCs w:val="26"/>
        </w:rPr>
        <w:tab/>
      </w:r>
      <w:r w:rsidR="00DC3A24">
        <w:rPr>
          <w:sz w:val="26"/>
          <w:szCs w:val="26"/>
        </w:rPr>
        <w:tab/>
        <w:t>K.Ozoliņš</w:t>
      </w:r>
    </w:p>
    <w:p w:rsidR="008C57B6" w:rsidRDefault="008C57B6" w:rsidP="008C57B6">
      <w:pPr>
        <w:jc w:val="both"/>
        <w:rPr>
          <w:sz w:val="28"/>
          <w:szCs w:val="28"/>
        </w:rPr>
      </w:pPr>
    </w:p>
    <w:p w:rsidR="00AF4AFD" w:rsidRDefault="00AF4AFD" w:rsidP="008C57B6">
      <w:pPr>
        <w:jc w:val="both"/>
        <w:rPr>
          <w:sz w:val="28"/>
          <w:szCs w:val="28"/>
        </w:rPr>
      </w:pPr>
    </w:p>
    <w:p w:rsidR="00450730" w:rsidRPr="00796668" w:rsidRDefault="00E47866" w:rsidP="00450730">
      <w:pPr>
        <w:jc w:val="both"/>
        <w:rPr>
          <w:sz w:val="18"/>
          <w:szCs w:val="18"/>
        </w:rPr>
      </w:pPr>
      <w:r>
        <w:rPr>
          <w:sz w:val="18"/>
          <w:szCs w:val="18"/>
        </w:rPr>
        <w:t>01.12</w:t>
      </w:r>
      <w:r w:rsidR="00450730">
        <w:rPr>
          <w:sz w:val="18"/>
          <w:szCs w:val="18"/>
        </w:rPr>
        <w:t>.2014.</w:t>
      </w:r>
    </w:p>
    <w:p w:rsidR="00450730" w:rsidRPr="00796668" w:rsidRDefault="00EC131C" w:rsidP="00450730">
      <w:pPr>
        <w:jc w:val="both"/>
        <w:rPr>
          <w:sz w:val="18"/>
          <w:szCs w:val="18"/>
        </w:rPr>
      </w:pPr>
      <w:r>
        <w:rPr>
          <w:sz w:val="18"/>
          <w:szCs w:val="18"/>
        </w:rPr>
        <w:t>2 6</w:t>
      </w:r>
      <w:r w:rsidR="00E47866">
        <w:rPr>
          <w:sz w:val="18"/>
          <w:szCs w:val="18"/>
        </w:rPr>
        <w:t>36</w:t>
      </w:r>
    </w:p>
    <w:p w:rsidR="00450730" w:rsidRDefault="00450730" w:rsidP="00450730">
      <w:pPr>
        <w:jc w:val="both"/>
        <w:rPr>
          <w:sz w:val="18"/>
          <w:szCs w:val="18"/>
        </w:rPr>
      </w:pPr>
      <w:r>
        <w:rPr>
          <w:sz w:val="18"/>
          <w:szCs w:val="18"/>
        </w:rPr>
        <w:t>Riekstiņš 67028232</w:t>
      </w:r>
      <w:r w:rsidR="004F721E">
        <w:rPr>
          <w:sz w:val="18"/>
          <w:szCs w:val="18"/>
        </w:rPr>
        <w:t xml:space="preserve">, </w:t>
      </w:r>
      <w:hyperlink r:id="rId10" w:history="1">
        <w:r w:rsidRPr="00647E2C">
          <w:rPr>
            <w:rStyle w:val="Hyperlink"/>
            <w:sz w:val="18"/>
            <w:szCs w:val="18"/>
          </w:rPr>
          <w:t>Maris.riekstins@sam.gov.lv</w:t>
        </w:r>
      </w:hyperlink>
    </w:p>
    <w:p w:rsidR="004957E5" w:rsidRPr="00450730" w:rsidRDefault="00450730" w:rsidP="008C57B6">
      <w:pPr>
        <w:jc w:val="both"/>
        <w:rPr>
          <w:sz w:val="28"/>
          <w:szCs w:val="28"/>
          <w:lang w:val="cs-CZ"/>
        </w:rPr>
      </w:pPr>
      <w:r>
        <w:rPr>
          <w:sz w:val="18"/>
          <w:szCs w:val="18"/>
        </w:rPr>
        <w:t>Grīviņa 67686486</w:t>
      </w:r>
      <w:r w:rsidR="004F721E">
        <w:rPr>
          <w:sz w:val="18"/>
          <w:szCs w:val="18"/>
        </w:rPr>
        <w:t xml:space="preserve">, </w:t>
      </w:r>
      <w:r>
        <w:rPr>
          <w:sz w:val="18"/>
          <w:szCs w:val="18"/>
        </w:rPr>
        <w:t>Kristine.grivina@atd.lv</w:t>
      </w:r>
    </w:p>
    <w:sectPr w:rsidR="004957E5" w:rsidRPr="00450730" w:rsidSect="00F473D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0A" w:rsidRDefault="000C4F0A" w:rsidP="0087369F">
      <w:r>
        <w:separator/>
      </w:r>
    </w:p>
  </w:endnote>
  <w:endnote w:type="continuationSeparator" w:id="0">
    <w:p w:rsidR="000C4F0A" w:rsidRDefault="000C4F0A"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9F" w:rsidRPr="001F6E48" w:rsidRDefault="00945E9F" w:rsidP="001F6E48">
    <w:pPr>
      <w:jc w:val="both"/>
      <w:rPr>
        <w:sz w:val="22"/>
        <w:szCs w:val="22"/>
      </w:rPr>
    </w:pPr>
    <w:r w:rsidRPr="00773B0C">
      <w:rPr>
        <w:sz w:val="22"/>
        <w:szCs w:val="22"/>
      </w:rPr>
      <w:t>SAMZino_</w:t>
    </w:r>
    <w:r w:rsidR="00DC3A24">
      <w:rPr>
        <w:sz w:val="22"/>
        <w:szCs w:val="22"/>
      </w:rPr>
      <w:t>0112</w:t>
    </w:r>
    <w:r>
      <w:rPr>
        <w:sz w:val="22"/>
        <w:szCs w:val="22"/>
      </w:rPr>
      <w:t>14</w:t>
    </w:r>
    <w:r w:rsidRPr="00773B0C">
      <w:rPr>
        <w:sz w:val="22"/>
        <w:szCs w:val="22"/>
      </w:rPr>
      <w:t>_</w:t>
    </w:r>
    <w:r>
      <w:rPr>
        <w:sz w:val="22"/>
        <w:szCs w:val="22"/>
      </w:rPr>
      <w:t>finansPV;</w:t>
    </w:r>
    <w:r w:rsidRPr="00773B0C">
      <w:rPr>
        <w:sz w:val="22"/>
        <w:szCs w:val="22"/>
      </w:rPr>
      <w:t xml:space="preserve"> Informatīvais ziņojums</w:t>
    </w:r>
    <w:r>
      <w:rPr>
        <w:sz w:val="22"/>
        <w:szCs w:val="22"/>
      </w:rPr>
      <w:t xml:space="preserve"> </w:t>
    </w:r>
    <w:r w:rsidRPr="00773B0C">
      <w:rPr>
        <w:sz w:val="22"/>
        <w:szCs w:val="22"/>
      </w:rPr>
      <w:t xml:space="preserve">„Par </w:t>
    </w:r>
    <w:r>
      <w:rPr>
        <w:sz w:val="22"/>
        <w:szCs w:val="22"/>
      </w:rPr>
      <w:t xml:space="preserve">AS „Pasažieru vilciens” sabiedriskā transporta pakalpojumu sniegšanu reģionālajos starppilsētu nozīmes maršrutos </w:t>
    </w:r>
    <w:r w:rsidRPr="00773B0C">
      <w:rPr>
        <w:sz w:val="22"/>
        <w:szCs w:val="22"/>
      </w:rPr>
      <w:t>2013.gadā</w:t>
    </w:r>
    <w:r>
      <w:rPr>
        <w:sz w:val="22"/>
        <w:szCs w:val="22"/>
      </w:rPr>
      <w:t xml:space="preserve"> un 2014.gadā</w:t>
    </w:r>
    <w:r w:rsidRPr="00773B0C">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9F" w:rsidRPr="001F6E48" w:rsidRDefault="00945E9F" w:rsidP="001F6E48">
    <w:pPr>
      <w:jc w:val="both"/>
      <w:rPr>
        <w:sz w:val="22"/>
        <w:szCs w:val="22"/>
      </w:rPr>
    </w:pPr>
    <w:r w:rsidRPr="00773B0C">
      <w:rPr>
        <w:sz w:val="22"/>
        <w:szCs w:val="22"/>
      </w:rPr>
      <w:t>SAMZino_</w:t>
    </w:r>
    <w:r w:rsidR="00DC3A24">
      <w:rPr>
        <w:sz w:val="22"/>
        <w:szCs w:val="22"/>
      </w:rPr>
      <w:t>0112</w:t>
    </w:r>
    <w:r>
      <w:rPr>
        <w:sz w:val="22"/>
        <w:szCs w:val="22"/>
      </w:rPr>
      <w:t>14</w:t>
    </w:r>
    <w:r w:rsidRPr="00773B0C">
      <w:rPr>
        <w:sz w:val="22"/>
        <w:szCs w:val="22"/>
      </w:rPr>
      <w:t>_</w:t>
    </w:r>
    <w:r>
      <w:rPr>
        <w:sz w:val="22"/>
        <w:szCs w:val="22"/>
      </w:rPr>
      <w:t>finansPV;</w:t>
    </w:r>
    <w:r w:rsidRPr="00773B0C">
      <w:rPr>
        <w:sz w:val="22"/>
        <w:szCs w:val="22"/>
      </w:rPr>
      <w:t xml:space="preserve"> Informatīvais ziņojums</w:t>
    </w:r>
    <w:r>
      <w:rPr>
        <w:sz w:val="22"/>
        <w:szCs w:val="22"/>
      </w:rPr>
      <w:t xml:space="preserve"> </w:t>
    </w:r>
    <w:r w:rsidRPr="00773B0C">
      <w:rPr>
        <w:sz w:val="22"/>
        <w:szCs w:val="22"/>
      </w:rPr>
      <w:t xml:space="preserve">„Par </w:t>
    </w:r>
    <w:r>
      <w:rPr>
        <w:sz w:val="22"/>
        <w:szCs w:val="22"/>
      </w:rPr>
      <w:t xml:space="preserve">AS „Pasažieru vilciens” sabiedriskā transporta pakalpojumu sniegšanu reģionālajos starppilsētu nozīmes maršrutos </w:t>
    </w:r>
    <w:r w:rsidRPr="00773B0C">
      <w:rPr>
        <w:sz w:val="22"/>
        <w:szCs w:val="22"/>
      </w:rPr>
      <w:t>2013.gadā</w:t>
    </w:r>
    <w:r>
      <w:rPr>
        <w:sz w:val="22"/>
        <w:szCs w:val="22"/>
      </w:rPr>
      <w:t xml:space="preserve"> un 2014.gadā</w:t>
    </w:r>
    <w:r w:rsidRPr="00773B0C">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0A" w:rsidRDefault="000C4F0A" w:rsidP="0087369F">
      <w:r>
        <w:separator/>
      </w:r>
    </w:p>
  </w:footnote>
  <w:footnote w:type="continuationSeparator" w:id="0">
    <w:p w:rsidR="000C4F0A" w:rsidRDefault="000C4F0A" w:rsidP="0087369F">
      <w:r>
        <w:continuationSeparator/>
      </w:r>
    </w:p>
  </w:footnote>
  <w:footnote w:id="1">
    <w:p w:rsidR="00945E9F" w:rsidRPr="0044311E" w:rsidRDefault="00945E9F" w:rsidP="00E70A5C">
      <w:pPr>
        <w:pStyle w:val="FootnoteText"/>
        <w:rPr>
          <w:sz w:val="24"/>
          <w:szCs w:val="24"/>
        </w:rPr>
      </w:pPr>
      <w:r>
        <w:rPr>
          <w:rStyle w:val="FootnoteReference"/>
        </w:rPr>
        <w:footnoteRef/>
      </w:r>
      <w:r>
        <w:t xml:space="preserve"> </w:t>
      </w:r>
      <w:r w:rsidRPr="0044311E">
        <w:rPr>
          <w:sz w:val="24"/>
          <w:szCs w:val="24"/>
        </w:rPr>
        <w:t>2011.gada 21.septembra SPRK apstiprinātā „Metodika maksas aprēķināšanai par publiskās lietošanas dzelzceļa infrastruktūras izmantošanu pārvadājumiem” 10.punkts</w:t>
      </w:r>
    </w:p>
  </w:footnote>
  <w:footnote w:id="2">
    <w:p w:rsidR="00945E9F" w:rsidRPr="0072531C" w:rsidRDefault="00945E9F" w:rsidP="0072531C">
      <w:pPr>
        <w:pStyle w:val="FootnoteText"/>
        <w:jc w:val="both"/>
        <w:rPr>
          <w:sz w:val="24"/>
          <w:szCs w:val="24"/>
        </w:rPr>
      </w:pPr>
      <w:r>
        <w:rPr>
          <w:rStyle w:val="FootnoteReference"/>
        </w:rPr>
        <w:footnoteRef/>
      </w:r>
      <w:r>
        <w:t xml:space="preserve"> </w:t>
      </w:r>
      <w:r w:rsidRPr="0072531C">
        <w:rPr>
          <w:sz w:val="24"/>
          <w:szCs w:val="24"/>
        </w:rPr>
        <w:t>Vēršam uzmanību, ka 2013.gada valsts budžeta finansējumā papildus tika piešķirts finansējums par 2012.gadā nesegtajiem publiskās lietošanas dzelzceļa infrastruktūras maksājumiem 7 061 230 LVL (10 047 225.12 EUR), kā arī par 2013.gadā plānotajiem infrastruktūras maksājumiem – 6 812 224 LVL (9 692 921.50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945E9F" w:rsidRDefault="0030741B">
        <w:pPr>
          <w:pStyle w:val="Header"/>
          <w:jc w:val="center"/>
        </w:pPr>
        <w:r>
          <w:fldChar w:fldCharType="begin"/>
        </w:r>
        <w:r w:rsidR="002A0DCA">
          <w:instrText xml:space="preserve"> PAGE   \* MERGEFORMAT </w:instrText>
        </w:r>
        <w:r>
          <w:fldChar w:fldCharType="separate"/>
        </w:r>
        <w:r w:rsidR="007626B3">
          <w:rPr>
            <w:noProof/>
          </w:rPr>
          <w:t>9</w:t>
        </w:r>
        <w:r>
          <w:rPr>
            <w:noProof/>
          </w:rPr>
          <w:fldChar w:fldCharType="end"/>
        </w:r>
      </w:p>
    </w:sdtContent>
  </w:sdt>
  <w:p w:rsidR="00945E9F" w:rsidRDefault="00945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3519A"/>
    <w:multiLevelType w:val="hybridMultilevel"/>
    <w:tmpl w:val="2BC20DA4"/>
    <w:lvl w:ilvl="0" w:tplc="35E4D64E">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C163CF2"/>
    <w:multiLevelType w:val="hybridMultilevel"/>
    <w:tmpl w:val="A008FBF4"/>
    <w:lvl w:ilvl="0" w:tplc="4CA492D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5">
    <w:nsid w:val="331906C7"/>
    <w:multiLevelType w:val="hybridMultilevel"/>
    <w:tmpl w:val="CA7CA714"/>
    <w:lvl w:ilvl="0" w:tplc="828CBD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8F558E2"/>
    <w:multiLevelType w:val="hybridMultilevel"/>
    <w:tmpl w:val="06789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110ECB"/>
    <w:multiLevelType w:val="hybridMultilevel"/>
    <w:tmpl w:val="F88EE284"/>
    <w:lvl w:ilvl="0" w:tplc="8C481E18">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D6E7023"/>
    <w:multiLevelType w:val="hybridMultilevel"/>
    <w:tmpl w:val="576668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0">
    <w:nsid w:val="43DA31A2"/>
    <w:multiLevelType w:val="hybridMultilevel"/>
    <w:tmpl w:val="B6267B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2DF0ABE"/>
    <w:multiLevelType w:val="hybridMultilevel"/>
    <w:tmpl w:val="2502350C"/>
    <w:lvl w:ilvl="0" w:tplc="ED4AE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AC452A8"/>
    <w:multiLevelType w:val="hybridMultilevel"/>
    <w:tmpl w:val="6C2C2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B4C4097"/>
    <w:multiLevelType w:val="hybridMultilevel"/>
    <w:tmpl w:val="84289416"/>
    <w:lvl w:ilvl="0" w:tplc="C0DE7C42">
      <w:start w:val="3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nsid w:val="61CF023C"/>
    <w:multiLevelType w:val="hybridMultilevel"/>
    <w:tmpl w:val="3EA82B50"/>
    <w:lvl w:ilvl="0" w:tplc="CC209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7A43D7A"/>
    <w:multiLevelType w:val="hybridMultilevel"/>
    <w:tmpl w:val="6DA6E5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E9B0B84"/>
    <w:multiLevelType w:val="hybridMultilevel"/>
    <w:tmpl w:val="41C47B22"/>
    <w:lvl w:ilvl="0" w:tplc="6DD4C2A4">
      <w:start w:val="1"/>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F9725C5"/>
    <w:multiLevelType w:val="hybridMultilevel"/>
    <w:tmpl w:val="7D9C420E"/>
    <w:lvl w:ilvl="0" w:tplc="12C691B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0"/>
  </w:num>
  <w:num w:numId="4">
    <w:abstractNumId w:val="4"/>
  </w:num>
  <w:num w:numId="5">
    <w:abstractNumId w:val="9"/>
  </w:num>
  <w:num w:numId="6">
    <w:abstractNumId w:val="3"/>
  </w:num>
  <w:num w:numId="7">
    <w:abstractNumId w:val="12"/>
  </w:num>
  <w:num w:numId="8">
    <w:abstractNumId w:val="11"/>
  </w:num>
  <w:num w:numId="9">
    <w:abstractNumId w:val="5"/>
  </w:num>
  <w:num w:numId="10">
    <w:abstractNumId w:val="7"/>
  </w:num>
  <w:num w:numId="11">
    <w:abstractNumId w:val="13"/>
  </w:num>
  <w:num w:numId="12">
    <w:abstractNumId w:val="17"/>
  </w:num>
  <w:num w:numId="13">
    <w:abstractNumId w:val="1"/>
  </w:num>
  <w:num w:numId="14">
    <w:abstractNumId w:val="16"/>
  </w:num>
  <w:num w:numId="15">
    <w:abstractNumId w:val="8"/>
  </w:num>
  <w:num w:numId="16">
    <w:abstractNumId w:val="19"/>
  </w:num>
  <w:num w:numId="17">
    <w:abstractNumId w:val="2"/>
  </w:num>
  <w:num w:numId="18">
    <w:abstractNumId w:val="15"/>
  </w:num>
  <w:num w:numId="19">
    <w:abstractNumId w:val="6"/>
  </w:num>
  <w:num w:numId="20">
    <w:abstractNumId w:val="18"/>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57B6"/>
    <w:rsid w:val="0000068F"/>
    <w:rsid w:val="00002925"/>
    <w:rsid w:val="00002D8E"/>
    <w:rsid w:val="00007E2B"/>
    <w:rsid w:val="0001597D"/>
    <w:rsid w:val="00026249"/>
    <w:rsid w:val="00030C45"/>
    <w:rsid w:val="000359E6"/>
    <w:rsid w:val="00036A43"/>
    <w:rsid w:val="00040295"/>
    <w:rsid w:val="00040305"/>
    <w:rsid w:val="000452BA"/>
    <w:rsid w:val="0006300D"/>
    <w:rsid w:val="00070517"/>
    <w:rsid w:val="00071333"/>
    <w:rsid w:val="00071C32"/>
    <w:rsid w:val="0008086F"/>
    <w:rsid w:val="000A772C"/>
    <w:rsid w:val="000B41AD"/>
    <w:rsid w:val="000B4BA1"/>
    <w:rsid w:val="000B7ADB"/>
    <w:rsid w:val="000C0860"/>
    <w:rsid w:val="000C4D00"/>
    <w:rsid w:val="000C4F0A"/>
    <w:rsid w:val="000D206E"/>
    <w:rsid w:val="000F4B61"/>
    <w:rsid w:val="00102EC0"/>
    <w:rsid w:val="0010373E"/>
    <w:rsid w:val="00104F5B"/>
    <w:rsid w:val="00124B28"/>
    <w:rsid w:val="00124DCE"/>
    <w:rsid w:val="001341E9"/>
    <w:rsid w:val="001365C6"/>
    <w:rsid w:val="00137007"/>
    <w:rsid w:val="00143D17"/>
    <w:rsid w:val="001440CB"/>
    <w:rsid w:val="0015249F"/>
    <w:rsid w:val="0016015D"/>
    <w:rsid w:val="00160ADB"/>
    <w:rsid w:val="00170A04"/>
    <w:rsid w:val="00171AFF"/>
    <w:rsid w:val="0018396D"/>
    <w:rsid w:val="001851D1"/>
    <w:rsid w:val="00190F87"/>
    <w:rsid w:val="00192B85"/>
    <w:rsid w:val="001A41FB"/>
    <w:rsid w:val="001A6540"/>
    <w:rsid w:val="001B6688"/>
    <w:rsid w:val="001C0B61"/>
    <w:rsid w:val="001C1AC0"/>
    <w:rsid w:val="001C1B8A"/>
    <w:rsid w:val="001C6E5E"/>
    <w:rsid w:val="001D3F18"/>
    <w:rsid w:val="001F6E48"/>
    <w:rsid w:val="00201FC1"/>
    <w:rsid w:val="002218EF"/>
    <w:rsid w:val="00223847"/>
    <w:rsid w:val="00226F42"/>
    <w:rsid w:val="00237794"/>
    <w:rsid w:val="002429D6"/>
    <w:rsid w:val="00242F34"/>
    <w:rsid w:val="00244034"/>
    <w:rsid w:val="00254ED2"/>
    <w:rsid w:val="00264C44"/>
    <w:rsid w:val="0026524D"/>
    <w:rsid w:val="0029722E"/>
    <w:rsid w:val="00297E91"/>
    <w:rsid w:val="002A0DCA"/>
    <w:rsid w:val="002A6E7E"/>
    <w:rsid w:val="002B43E4"/>
    <w:rsid w:val="002C0C73"/>
    <w:rsid w:val="002C1C98"/>
    <w:rsid w:val="002C7BF0"/>
    <w:rsid w:val="002E6A3B"/>
    <w:rsid w:val="0030741B"/>
    <w:rsid w:val="003074BB"/>
    <w:rsid w:val="003169F7"/>
    <w:rsid w:val="00316C74"/>
    <w:rsid w:val="0032102E"/>
    <w:rsid w:val="003247E5"/>
    <w:rsid w:val="00335DFA"/>
    <w:rsid w:val="00341FA3"/>
    <w:rsid w:val="00344748"/>
    <w:rsid w:val="003513DF"/>
    <w:rsid w:val="00360002"/>
    <w:rsid w:val="00362F14"/>
    <w:rsid w:val="00372C2C"/>
    <w:rsid w:val="00374534"/>
    <w:rsid w:val="00374594"/>
    <w:rsid w:val="00377423"/>
    <w:rsid w:val="00394EBE"/>
    <w:rsid w:val="00397A67"/>
    <w:rsid w:val="003A3925"/>
    <w:rsid w:val="003A7691"/>
    <w:rsid w:val="003D168D"/>
    <w:rsid w:val="003D170A"/>
    <w:rsid w:val="003D4B5A"/>
    <w:rsid w:val="003D534D"/>
    <w:rsid w:val="003D6652"/>
    <w:rsid w:val="003D7A6B"/>
    <w:rsid w:val="003E52F7"/>
    <w:rsid w:val="003F074E"/>
    <w:rsid w:val="003F15EA"/>
    <w:rsid w:val="00407120"/>
    <w:rsid w:val="00415A60"/>
    <w:rsid w:val="00415DE0"/>
    <w:rsid w:val="00420726"/>
    <w:rsid w:val="0044311E"/>
    <w:rsid w:val="004441BF"/>
    <w:rsid w:val="00445819"/>
    <w:rsid w:val="00450730"/>
    <w:rsid w:val="00456092"/>
    <w:rsid w:val="0045614E"/>
    <w:rsid w:val="00466386"/>
    <w:rsid w:val="00471CE8"/>
    <w:rsid w:val="004834AA"/>
    <w:rsid w:val="0049219F"/>
    <w:rsid w:val="004957E5"/>
    <w:rsid w:val="004A1A35"/>
    <w:rsid w:val="004A7DF9"/>
    <w:rsid w:val="004B103F"/>
    <w:rsid w:val="004B2FFF"/>
    <w:rsid w:val="004E5876"/>
    <w:rsid w:val="004E7445"/>
    <w:rsid w:val="004F0903"/>
    <w:rsid w:val="004F0DF6"/>
    <w:rsid w:val="004F721E"/>
    <w:rsid w:val="00500C7F"/>
    <w:rsid w:val="00507622"/>
    <w:rsid w:val="00515AE9"/>
    <w:rsid w:val="00521C8C"/>
    <w:rsid w:val="0052312F"/>
    <w:rsid w:val="005506ED"/>
    <w:rsid w:val="005513F4"/>
    <w:rsid w:val="005539DB"/>
    <w:rsid w:val="005607A0"/>
    <w:rsid w:val="00561B47"/>
    <w:rsid w:val="00585B63"/>
    <w:rsid w:val="00591F62"/>
    <w:rsid w:val="005B0770"/>
    <w:rsid w:val="005B17F2"/>
    <w:rsid w:val="005B32AF"/>
    <w:rsid w:val="005C22B2"/>
    <w:rsid w:val="005C3434"/>
    <w:rsid w:val="005C4069"/>
    <w:rsid w:val="005C76AC"/>
    <w:rsid w:val="005D7784"/>
    <w:rsid w:val="005E5758"/>
    <w:rsid w:val="005F4741"/>
    <w:rsid w:val="006119E4"/>
    <w:rsid w:val="00620606"/>
    <w:rsid w:val="006333AA"/>
    <w:rsid w:val="00636C79"/>
    <w:rsid w:val="00647102"/>
    <w:rsid w:val="00650298"/>
    <w:rsid w:val="00660BD6"/>
    <w:rsid w:val="006947F6"/>
    <w:rsid w:val="006979FA"/>
    <w:rsid w:val="006A0965"/>
    <w:rsid w:val="006A39D3"/>
    <w:rsid w:val="006B2D66"/>
    <w:rsid w:val="006B55A6"/>
    <w:rsid w:val="006B7396"/>
    <w:rsid w:val="006D0BC6"/>
    <w:rsid w:val="006D50EF"/>
    <w:rsid w:val="00711DAA"/>
    <w:rsid w:val="00712529"/>
    <w:rsid w:val="00714B5B"/>
    <w:rsid w:val="00723AA9"/>
    <w:rsid w:val="0072531C"/>
    <w:rsid w:val="007308DE"/>
    <w:rsid w:val="00734CAA"/>
    <w:rsid w:val="00744D72"/>
    <w:rsid w:val="00752A80"/>
    <w:rsid w:val="00762078"/>
    <w:rsid w:val="007626B3"/>
    <w:rsid w:val="00773B0C"/>
    <w:rsid w:val="00782EBD"/>
    <w:rsid w:val="007A5840"/>
    <w:rsid w:val="007A6C58"/>
    <w:rsid w:val="007B6D7A"/>
    <w:rsid w:val="007C336A"/>
    <w:rsid w:val="007C70BF"/>
    <w:rsid w:val="007D641A"/>
    <w:rsid w:val="007D6889"/>
    <w:rsid w:val="007D6E1A"/>
    <w:rsid w:val="007E4D55"/>
    <w:rsid w:val="0080004D"/>
    <w:rsid w:val="00800E95"/>
    <w:rsid w:val="0080391B"/>
    <w:rsid w:val="00813F44"/>
    <w:rsid w:val="00817B19"/>
    <w:rsid w:val="00832827"/>
    <w:rsid w:val="00845700"/>
    <w:rsid w:val="0084643D"/>
    <w:rsid w:val="0087369F"/>
    <w:rsid w:val="00876CEB"/>
    <w:rsid w:val="0087760A"/>
    <w:rsid w:val="00891CB2"/>
    <w:rsid w:val="00897A82"/>
    <w:rsid w:val="008A384F"/>
    <w:rsid w:val="008A7344"/>
    <w:rsid w:val="008B03D4"/>
    <w:rsid w:val="008B098F"/>
    <w:rsid w:val="008B140D"/>
    <w:rsid w:val="008B19A7"/>
    <w:rsid w:val="008B3336"/>
    <w:rsid w:val="008B3841"/>
    <w:rsid w:val="008B5E4A"/>
    <w:rsid w:val="008C57B6"/>
    <w:rsid w:val="008F1835"/>
    <w:rsid w:val="008F6203"/>
    <w:rsid w:val="009064A2"/>
    <w:rsid w:val="00907DBB"/>
    <w:rsid w:val="009177A7"/>
    <w:rsid w:val="00917847"/>
    <w:rsid w:val="009222CA"/>
    <w:rsid w:val="00924AD9"/>
    <w:rsid w:val="00936C92"/>
    <w:rsid w:val="009431A6"/>
    <w:rsid w:val="00944B3A"/>
    <w:rsid w:val="0094598D"/>
    <w:rsid w:val="00945E9F"/>
    <w:rsid w:val="009713DC"/>
    <w:rsid w:val="00971FF0"/>
    <w:rsid w:val="009741A6"/>
    <w:rsid w:val="00976217"/>
    <w:rsid w:val="009A117F"/>
    <w:rsid w:val="009A1636"/>
    <w:rsid w:val="009A1FF6"/>
    <w:rsid w:val="009A316D"/>
    <w:rsid w:val="009A540A"/>
    <w:rsid w:val="009A60A4"/>
    <w:rsid w:val="009C007D"/>
    <w:rsid w:val="009C4F1F"/>
    <w:rsid w:val="009D16E2"/>
    <w:rsid w:val="009D23EE"/>
    <w:rsid w:val="009D7422"/>
    <w:rsid w:val="00A019FB"/>
    <w:rsid w:val="00A05DDC"/>
    <w:rsid w:val="00A2791A"/>
    <w:rsid w:val="00A43726"/>
    <w:rsid w:val="00A63B3D"/>
    <w:rsid w:val="00A6661D"/>
    <w:rsid w:val="00A73187"/>
    <w:rsid w:val="00A82515"/>
    <w:rsid w:val="00A84280"/>
    <w:rsid w:val="00A871E2"/>
    <w:rsid w:val="00A953F1"/>
    <w:rsid w:val="00A95B18"/>
    <w:rsid w:val="00A96FFD"/>
    <w:rsid w:val="00AA0A7D"/>
    <w:rsid w:val="00AA1C3F"/>
    <w:rsid w:val="00AC0A00"/>
    <w:rsid w:val="00AC1ACD"/>
    <w:rsid w:val="00AC7F78"/>
    <w:rsid w:val="00AD32C8"/>
    <w:rsid w:val="00AE0FC9"/>
    <w:rsid w:val="00AE32FE"/>
    <w:rsid w:val="00AF3F36"/>
    <w:rsid w:val="00AF4AFD"/>
    <w:rsid w:val="00AF68ED"/>
    <w:rsid w:val="00B07241"/>
    <w:rsid w:val="00B121A8"/>
    <w:rsid w:val="00B2346E"/>
    <w:rsid w:val="00B34D74"/>
    <w:rsid w:val="00B37BA8"/>
    <w:rsid w:val="00B401BB"/>
    <w:rsid w:val="00B51415"/>
    <w:rsid w:val="00B51A14"/>
    <w:rsid w:val="00B53F54"/>
    <w:rsid w:val="00B67AE9"/>
    <w:rsid w:val="00B81565"/>
    <w:rsid w:val="00B910C8"/>
    <w:rsid w:val="00BA7B08"/>
    <w:rsid w:val="00BB6F15"/>
    <w:rsid w:val="00BC09E2"/>
    <w:rsid w:val="00BC153F"/>
    <w:rsid w:val="00BC5AC0"/>
    <w:rsid w:val="00BC70D8"/>
    <w:rsid w:val="00BD2EC2"/>
    <w:rsid w:val="00BE0C50"/>
    <w:rsid w:val="00BF2A0E"/>
    <w:rsid w:val="00BF2C0F"/>
    <w:rsid w:val="00BF7716"/>
    <w:rsid w:val="00C00972"/>
    <w:rsid w:val="00C12F09"/>
    <w:rsid w:val="00C1745E"/>
    <w:rsid w:val="00C23BFD"/>
    <w:rsid w:val="00C5405E"/>
    <w:rsid w:val="00C60B5E"/>
    <w:rsid w:val="00C634F2"/>
    <w:rsid w:val="00C808C1"/>
    <w:rsid w:val="00C80B65"/>
    <w:rsid w:val="00C80DA8"/>
    <w:rsid w:val="00C840C3"/>
    <w:rsid w:val="00C92970"/>
    <w:rsid w:val="00CA6D37"/>
    <w:rsid w:val="00CE3F25"/>
    <w:rsid w:val="00CF03FF"/>
    <w:rsid w:val="00CF1093"/>
    <w:rsid w:val="00CF7FD3"/>
    <w:rsid w:val="00D10537"/>
    <w:rsid w:val="00D108AA"/>
    <w:rsid w:val="00D14E87"/>
    <w:rsid w:val="00D215B4"/>
    <w:rsid w:val="00D27EEA"/>
    <w:rsid w:val="00D4649C"/>
    <w:rsid w:val="00D56873"/>
    <w:rsid w:val="00D619CF"/>
    <w:rsid w:val="00D65C2C"/>
    <w:rsid w:val="00D74795"/>
    <w:rsid w:val="00D80752"/>
    <w:rsid w:val="00D952F7"/>
    <w:rsid w:val="00DA1B09"/>
    <w:rsid w:val="00DA4237"/>
    <w:rsid w:val="00DC1828"/>
    <w:rsid w:val="00DC3A24"/>
    <w:rsid w:val="00DC6008"/>
    <w:rsid w:val="00DC71A7"/>
    <w:rsid w:val="00DD257A"/>
    <w:rsid w:val="00DD6D3B"/>
    <w:rsid w:val="00DE243D"/>
    <w:rsid w:val="00DE33F0"/>
    <w:rsid w:val="00DE635D"/>
    <w:rsid w:val="00DF5BAB"/>
    <w:rsid w:val="00DF6DF2"/>
    <w:rsid w:val="00E04C06"/>
    <w:rsid w:val="00E05D8C"/>
    <w:rsid w:val="00E32F43"/>
    <w:rsid w:val="00E34326"/>
    <w:rsid w:val="00E42FEE"/>
    <w:rsid w:val="00E47866"/>
    <w:rsid w:val="00E60CD1"/>
    <w:rsid w:val="00E70A5C"/>
    <w:rsid w:val="00E71CF8"/>
    <w:rsid w:val="00E8083D"/>
    <w:rsid w:val="00E81868"/>
    <w:rsid w:val="00E96FB9"/>
    <w:rsid w:val="00EB1DB4"/>
    <w:rsid w:val="00EB3C1F"/>
    <w:rsid w:val="00EC054B"/>
    <w:rsid w:val="00EC0C15"/>
    <w:rsid w:val="00EC131C"/>
    <w:rsid w:val="00EC1E60"/>
    <w:rsid w:val="00EC4BA2"/>
    <w:rsid w:val="00EE0371"/>
    <w:rsid w:val="00EE4A4D"/>
    <w:rsid w:val="00EE53D0"/>
    <w:rsid w:val="00F10035"/>
    <w:rsid w:val="00F20767"/>
    <w:rsid w:val="00F31598"/>
    <w:rsid w:val="00F329A9"/>
    <w:rsid w:val="00F37F83"/>
    <w:rsid w:val="00F473D0"/>
    <w:rsid w:val="00F51C8D"/>
    <w:rsid w:val="00F65868"/>
    <w:rsid w:val="00F70F19"/>
    <w:rsid w:val="00F72BA1"/>
    <w:rsid w:val="00F77E02"/>
    <w:rsid w:val="00F94481"/>
    <w:rsid w:val="00F97D03"/>
    <w:rsid w:val="00FA1884"/>
    <w:rsid w:val="00FB17BE"/>
    <w:rsid w:val="00FB2FFE"/>
    <w:rsid w:val="00FB47A3"/>
    <w:rsid w:val="00FB61DB"/>
    <w:rsid w:val="00FC06D2"/>
    <w:rsid w:val="00FD14DB"/>
    <w:rsid w:val="00FD36E4"/>
    <w:rsid w:val="00FF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 w:type="table" w:styleId="TableGrid">
    <w:name w:val="Table Grid"/>
    <w:basedOn w:val="TableNormal"/>
    <w:uiPriority w:val="59"/>
    <w:rsid w:val="000A77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6873"/>
    <w:pPr>
      <w:ind w:firstLine="720"/>
      <w:jc w:val="both"/>
    </w:pPr>
    <w:rPr>
      <w:lang w:eastAsia="en-US"/>
    </w:rPr>
  </w:style>
  <w:style w:type="character" w:customStyle="1" w:styleId="BodyTextIndentChar">
    <w:name w:val="Body Text Indent Char"/>
    <w:basedOn w:val="DefaultParagraphFont"/>
    <w:link w:val="BodyTextIndent"/>
    <w:rsid w:val="00D5687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E32FE"/>
    <w:rPr>
      <w:i/>
      <w:iCs/>
      <w:color w:val="000000" w:themeColor="text1"/>
    </w:rPr>
  </w:style>
  <w:style w:type="character" w:customStyle="1" w:styleId="QuoteChar">
    <w:name w:val="Quote Char"/>
    <w:basedOn w:val="DefaultParagraphFont"/>
    <w:link w:val="Quote"/>
    <w:uiPriority w:val="29"/>
    <w:rsid w:val="00AE32FE"/>
    <w:rPr>
      <w:rFonts w:ascii="Times New Roman" w:eastAsia="Times New Roman" w:hAnsi="Times New Roman" w:cs="Times New Roman"/>
      <w:i/>
      <w:iCs/>
      <w:color w:val="000000" w:themeColor="text1"/>
      <w:sz w:val="24"/>
      <w:szCs w:val="24"/>
      <w:lang w:eastAsia="lv-LV"/>
    </w:rPr>
  </w:style>
  <w:style w:type="paragraph" w:styleId="FootnoteText">
    <w:name w:val="footnote text"/>
    <w:basedOn w:val="Normal"/>
    <w:link w:val="FootnoteTextChar"/>
    <w:uiPriority w:val="99"/>
    <w:semiHidden/>
    <w:unhideWhenUsed/>
    <w:rsid w:val="00E70A5C"/>
    <w:rPr>
      <w:sz w:val="20"/>
      <w:szCs w:val="20"/>
    </w:rPr>
  </w:style>
  <w:style w:type="character" w:customStyle="1" w:styleId="FootnoteTextChar">
    <w:name w:val="Footnote Text Char"/>
    <w:basedOn w:val="DefaultParagraphFont"/>
    <w:link w:val="FootnoteText"/>
    <w:uiPriority w:val="99"/>
    <w:semiHidden/>
    <w:rsid w:val="00E70A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70A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486">
      <w:bodyDiv w:val="1"/>
      <w:marLeft w:val="0"/>
      <w:marRight w:val="0"/>
      <w:marTop w:val="0"/>
      <w:marBottom w:val="0"/>
      <w:divBdr>
        <w:top w:val="none" w:sz="0" w:space="0" w:color="auto"/>
        <w:left w:val="none" w:sz="0" w:space="0" w:color="auto"/>
        <w:bottom w:val="none" w:sz="0" w:space="0" w:color="auto"/>
        <w:right w:val="none" w:sz="0" w:space="0" w:color="auto"/>
      </w:divBdr>
    </w:div>
    <w:div w:id="176623262">
      <w:bodyDiv w:val="1"/>
      <w:marLeft w:val="0"/>
      <w:marRight w:val="0"/>
      <w:marTop w:val="0"/>
      <w:marBottom w:val="0"/>
      <w:divBdr>
        <w:top w:val="none" w:sz="0" w:space="0" w:color="auto"/>
        <w:left w:val="none" w:sz="0" w:space="0" w:color="auto"/>
        <w:bottom w:val="none" w:sz="0" w:space="0" w:color="auto"/>
        <w:right w:val="none" w:sz="0" w:space="0" w:color="auto"/>
      </w:divBdr>
    </w:div>
    <w:div w:id="237595317">
      <w:bodyDiv w:val="1"/>
      <w:marLeft w:val="0"/>
      <w:marRight w:val="0"/>
      <w:marTop w:val="0"/>
      <w:marBottom w:val="0"/>
      <w:divBdr>
        <w:top w:val="none" w:sz="0" w:space="0" w:color="auto"/>
        <w:left w:val="none" w:sz="0" w:space="0" w:color="auto"/>
        <w:bottom w:val="none" w:sz="0" w:space="0" w:color="auto"/>
        <w:right w:val="none" w:sz="0" w:space="0" w:color="auto"/>
      </w:divBdr>
    </w:div>
    <w:div w:id="280113497">
      <w:bodyDiv w:val="1"/>
      <w:marLeft w:val="0"/>
      <w:marRight w:val="0"/>
      <w:marTop w:val="0"/>
      <w:marBottom w:val="0"/>
      <w:divBdr>
        <w:top w:val="none" w:sz="0" w:space="0" w:color="auto"/>
        <w:left w:val="none" w:sz="0" w:space="0" w:color="auto"/>
        <w:bottom w:val="none" w:sz="0" w:space="0" w:color="auto"/>
        <w:right w:val="none" w:sz="0" w:space="0" w:color="auto"/>
      </w:divBdr>
    </w:div>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441606871">
      <w:bodyDiv w:val="1"/>
      <w:marLeft w:val="0"/>
      <w:marRight w:val="0"/>
      <w:marTop w:val="0"/>
      <w:marBottom w:val="0"/>
      <w:divBdr>
        <w:top w:val="none" w:sz="0" w:space="0" w:color="auto"/>
        <w:left w:val="none" w:sz="0" w:space="0" w:color="auto"/>
        <w:bottom w:val="none" w:sz="0" w:space="0" w:color="auto"/>
        <w:right w:val="none" w:sz="0" w:space="0" w:color="auto"/>
      </w:divBdr>
    </w:div>
    <w:div w:id="655719747">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740754003">
      <w:bodyDiv w:val="1"/>
      <w:marLeft w:val="0"/>
      <w:marRight w:val="0"/>
      <w:marTop w:val="0"/>
      <w:marBottom w:val="0"/>
      <w:divBdr>
        <w:top w:val="none" w:sz="0" w:space="0" w:color="auto"/>
        <w:left w:val="none" w:sz="0" w:space="0" w:color="auto"/>
        <w:bottom w:val="none" w:sz="0" w:space="0" w:color="auto"/>
        <w:right w:val="none" w:sz="0" w:space="0" w:color="auto"/>
      </w:divBdr>
    </w:div>
    <w:div w:id="906838985">
      <w:bodyDiv w:val="1"/>
      <w:marLeft w:val="0"/>
      <w:marRight w:val="0"/>
      <w:marTop w:val="0"/>
      <w:marBottom w:val="0"/>
      <w:divBdr>
        <w:top w:val="none" w:sz="0" w:space="0" w:color="auto"/>
        <w:left w:val="none" w:sz="0" w:space="0" w:color="auto"/>
        <w:bottom w:val="none" w:sz="0" w:space="0" w:color="auto"/>
        <w:right w:val="none" w:sz="0" w:space="0" w:color="auto"/>
      </w:divBdr>
    </w:div>
    <w:div w:id="954558793">
      <w:bodyDiv w:val="1"/>
      <w:marLeft w:val="0"/>
      <w:marRight w:val="0"/>
      <w:marTop w:val="0"/>
      <w:marBottom w:val="0"/>
      <w:divBdr>
        <w:top w:val="none" w:sz="0" w:space="0" w:color="auto"/>
        <w:left w:val="none" w:sz="0" w:space="0" w:color="auto"/>
        <w:bottom w:val="none" w:sz="0" w:space="0" w:color="auto"/>
        <w:right w:val="none" w:sz="0" w:space="0" w:color="auto"/>
      </w:divBdr>
    </w:div>
    <w:div w:id="1087340084">
      <w:bodyDiv w:val="1"/>
      <w:marLeft w:val="0"/>
      <w:marRight w:val="0"/>
      <w:marTop w:val="0"/>
      <w:marBottom w:val="0"/>
      <w:divBdr>
        <w:top w:val="none" w:sz="0" w:space="0" w:color="auto"/>
        <w:left w:val="none" w:sz="0" w:space="0" w:color="auto"/>
        <w:bottom w:val="none" w:sz="0" w:space="0" w:color="auto"/>
        <w:right w:val="none" w:sz="0" w:space="0" w:color="auto"/>
      </w:divBdr>
    </w:div>
    <w:div w:id="1130247762">
      <w:bodyDiv w:val="1"/>
      <w:marLeft w:val="0"/>
      <w:marRight w:val="0"/>
      <w:marTop w:val="0"/>
      <w:marBottom w:val="0"/>
      <w:divBdr>
        <w:top w:val="none" w:sz="0" w:space="0" w:color="auto"/>
        <w:left w:val="none" w:sz="0" w:space="0" w:color="auto"/>
        <w:bottom w:val="none" w:sz="0" w:space="0" w:color="auto"/>
        <w:right w:val="none" w:sz="0" w:space="0" w:color="auto"/>
      </w:divBdr>
    </w:div>
    <w:div w:id="1236284503">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1960256319">
      <w:bodyDiv w:val="1"/>
      <w:marLeft w:val="0"/>
      <w:marRight w:val="0"/>
      <w:marTop w:val="0"/>
      <w:marBottom w:val="0"/>
      <w:divBdr>
        <w:top w:val="none" w:sz="0" w:space="0" w:color="auto"/>
        <w:left w:val="none" w:sz="0" w:space="0" w:color="auto"/>
        <w:bottom w:val="none" w:sz="0" w:space="0" w:color="auto"/>
        <w:right w:val="none" w:sz="0" w:space="0" w:color="auto"/>
      </w:divBdr>
    </w:div>
    <w:div w:id="1980183463">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s.riekstins@sam.gov.l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KristineGrivina\Inform_zinojumi\PV_nauda_2013_2014\PV_izdevumi_pa_gadiem_091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1"/>
            </a:pPr>
            <a:r>
              <a:rPr lang="lv-LV" sz="1400" b="0" i="1"/>
              <a:t>AS "Pasažieru vilciens" sabiedriskā transporta pakalpojumu sniegšanā radušos izdevumu struktūra, milj. EUR </a:t>
            </a:r>
            <a:endParaRPr lang="lv-LV" sz="1400" b="0" i="1">
              <a:solidFill>
                <a:srgbClr val="FF0000"/>
              </a:solidFill>
            </a:endParaRPr>
          </a:p>
        </c:rich>
      </c:tx>
      <c:overlay val="0"/>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EUR!$A$18</c:f>
              <c:strCache>
                <c:ptCount val="1"/>
                <c:pt idx="0">
                  <c:v>Pārējie izdevumi (personālam, materiāliem, amortizācijai, administrācijai) </c:v>
                </c:pt>
              </c:strCache>
            </c:strRef>
          </c:tx>
          <c:spPr>
            <a:scene3d>
              <a:camera prst="orthographicFront"/>
              <a:lightRig rig="threePt" dir="t"/>
            </a:scene3d>
            <a:sp3d>
              <a:bevelT w="152400" h="50800" prst="softRound"/>
            </a:sp3d>
          </c:spPr>
          <c:invertIfNegative val="0"/>
          <c:cat>
            <c:numRef>
              <c:f>EUR!$B$17:$H$17</c:f>
              <c:numCache>
                <c:formatCode>General</c:formatCode>
                <c:ptCount val="7"/>
                <c:pt idx="0">
                  <c:v>2008</c:v>
                </c:pt>
                <c:pt idx="1">
                  <c:v>2009</c:v>
                </c:pt>
                <c:pt idx="2">
                  <c:v>2010</c:v>
                </c:pt>
                <c:pt idx="3">
                  <c:v>2011</c:v>
                </c:pt>
                <c:pt idx="4">
                  <c:v>2012</c:v>
                </c:pt>
                <c:pt idx="5">
                  <c:v>2013</c:v>
                </c:pt>
                <c:pt idx="6">
                  <c:v>2014</c:v>
                </c:pt>
              </c:numCache>
            </c:numRef>
          </c:cat>
          <c:val>
            <c:numRef>
              <c:f>EUR!$B$18:$H$18</c:f>
              <c:numCache>
                <c:formatCode>0.00</c:formatCode>
                <c:ptCount val="7"/>
                <c:pt idx="0">
                  <c:v>35.65862601806478</c:v>
                </c:pt>
                <c:pt idx="1">
                  <c:v>32.769489075190194</c:v>
                </c:pt>
                <c:pt idx="2">
                  <c:v>28.905814423366973</c:v>
                </c:pt>
                <c:pt idx="3">
                  <c:v>29.114929624760247</c:v>
                </c:pt>
                <c:pt idx="4">
                  <c:v>29.619398865117496</c:v>
                </c:pt>
                <c:pt idx="5">
                  <c:v>34.094401853148149</c:v>
                </c:pt>
                <c:pt idx="6">
                  <c:v>28.218010999999986</c:v>
                </c:pt>
              </c:numCache>
            </c:numRef>
          </c:val>
        </c:ser>
        <c:ser>
          <c:idx val="1"/>
          <c:order val="1"/>
          <c:tx>
            <c:strRef>
              <c:f>EUR!$A$19</c:f>
              <c:strCache>
                <c:ptCount val="1"/>
                <c:pt idx="0">
                  <c:v>Publiskās dzelzceļa infrastruktūras maksa</c:v>
                </c:pt>
              </c:strCache>
            </c:strRef>
          </c:tx>
          <c:spPr>
            <a:solidFill>
              <a:srgbClr val="FFC000"/>
            </a:solidFill>
            <a:ln>
              <a:solidFill>
                <a:srgbClr val="FFC000"/>
              </a:solidFill>
            </a:ln>
            <a:scene3d>
              <a:camera prst="orthographicFront"/>
              <a:lightRig rig="threePt" dir="t"/>
            </a:scene3d>
            <a:sp3d>
              <a:bevelT w="152400" h="50800" prst="softRound"/>
              <a:contourClr>
                <a:srgbClr val="000000"/>
              </a:contourClr>
            </a:sp3d>
          </c:spPr>
          <c:invertIfNegative val="0"/>
          <c:dLbls>
            <c:dLbl>
              <c:idx val="2"/>
              <c:tx>
                <c:rich>
                  <a:bodyPr/>
                  <a:lstStyle/>
                  <a:p>
                    <a:fld id="{0CB45E13-40D3-422E-BFE1-48AED4AABE7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tx>
                <c:rich>
                  <a:bodyPr/>
                  <a:lstStyle/>
                  <a:p>
                    <a:fld id="{76C74F16-3568-4601-9855-A4BFAEA39F0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EUR!$B$17:$H$17</c:f>
              <c:numCache>
                <c:formatCode>General</c:formatCode>
                <c:ptCount val="7"/>
                <c:pt idx="0">
                  <c:v>2008</c:v>
                </c:pt>
                <c:pt idx="1">
                  <c:v>2009</c:v>
                </c:pt>
                <c:pt idx="2">
                  <c:v>2010</c:v>
                </c:pt>
                <c:pt idx="3">
                  <c:v>2011</c:v>
                </c:pt>
                <c:pt idx="4">
                  <c:v>2012</c:v>
                </c:pt>
                <c:pt idx="5">
                  <c:v>2013</c:v>
                </c:pt>
                <c:pt idx="6">
                  <c:v>2014</c:v>
                </c:pt>
              </c:numCache>
            </c:numRef>
          </c:cat>
          <c:val>
            <c:numRef>
              <c:f>EUR!$B$19:$H$19</c:f>
              <c:numCache>
                <c:formatCode>0.00</c:formatCode>
                <c:ptCount val="7"/>
                <c:pt idx="0">
                  <c:v>29.892547566604627</c:v>
                </c:pt>
                <c:pt idx="1">
                  <c:v>32.629895390464483</c:v>
                </c:pt>
                <c:pt idx="2">
                  <c:v>28.438970182298338</c:v>
                </c:pt>
                <c:pt idx="3">
                  <c:v>23.798085952840328</c:v>
                </c:pt>
                <c:pt idx="4">
                  <c:v>33.213415120005124</c:v>
                </c:pt>
                <c:pt idx="5">
                  <c:v>33.510960381557304</c:v>
                </c:pt>
                <c:pt idx="6">
                  <c:v>35.990717000000011</c:v>
                </c:pt>
              </c:numCache>
            </c:numRef>
          </c:val>
        </c:ser>
        <c:dLbls>
          <c:showLegendKey val="0"/>
          <c:showVal val="0"/>
          <c:showCatName val="0"/>
          <c:showSerName val="0"/>
          <c:showPercent val="0"/>
          <c:showBubbleSize val="0"/>
        </c:dLbls>
        <c:gapWidth val="150"/>
        <c:shape val="box"/>
        <c:axId val="193397504"/>
        <c:axId val="193399040"/>
        <c:axId val="0"/>
      </c:bar3DChart>
      <c:catAx>
        <c:axId val="193397504"/>
        <c:scaling>
          <c:orientation val="minMax"/>
        </c:scaling>
        <c:delete val="0"/>
        <c:axPos val="b"/>
        <c:numFmt formatCode="General" sourceLinked="1"/>
        <c:majorTickMark val="out"/>
        <c:minorTickMark val="none"/>
        <c:tickLblPos val="nextTo"/>
        <c:crossAx val="193399040"/>
        <c:crosses val="autoZero"/>
        <c:auto val="1"/>
        <c:lblAlgn val="ctr"/>
        <c:lblOffset val="100"/>
        <c:noMultiLvlLbl val="0"/>
      </c:catAx>
      <c:valAx>
        <c:axId val="193399040"/>
        <c:scaling>
          <c:orientation val="minMax"/>
        </c:scaling>
        <c:delete val="0"/>
        <c:axPos val="l"/>
        <c:majorGridlines/>
        <c:numFmt formatCode="0.00" sourceLinked="1"/>
        <c:majorTickMark val="out"/>
        <c:minorTickMark val="none"/>
        <c:tickLblPos val="nextTo"/>
        <c:crossAx val="19339750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03AFF-CE76-4659-92E6-7BC13C0A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13395</Words>
  <Characters>7636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Par situāciju sabiedriskā transporta pakalpojumu sniegšanas nozarē 2013.gadā</vt:lpstr>
    </vt:vector>
  </TitlesOfParts>
  <Company>Satiksmes ministrija</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AS „Pasažieru vilciens” sabiedriskā transporta pakalpojumu sniegšanu reģionālajos starppilsētu nozīmes maršrutos 2013.gadā un 2014.gadā</dc:title>
  <dc:subject>Informatīvais ziņojums</dc:subject>
  <dc:creator>Iveta Girucka</dc:creator>
  <cp:lastModifiedBy>Baiba Šterna</cp:lastModifiedBy>
  <cp:revision>18</cp:revision>
  <cp:lastPrinted>2014-11-14T12:04:00Z</cp:lastPrinted>
  <dcterms:created xsi:type="dcterms:W3CDTF">2014-11-22T11:36:00Z</dcterms:created>
  <dcterms:modified xsi:type="dcterms:W3CDTF">2014-12-02T14:28:00Z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