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8E3E94" w:rsidP="003D6F09">
      <w:pPr>
        <w:ind w:firstLine="0"/>
        <w:jc w:val="center"/>
        <w:rPr>
          <w:b/>
          <w:bCs/>
        </w:rPr>
      </w:pPr>
      <w:bookmarkStart w:id="0" w:name="_GoBack"/>
      <w:bookmarkEnd w:id="0"/>
      <w:r w:rsidRPr="008E3E94">
        <w:rPr>
          <w:b/>
          <w:bCs/>
        </w:rPr>
        <w:t xml:space="preserve">Ministru kabineta </w:t>
      </w:r>
      <w:r>
        <w:rPr>
          <w:b/>
          <w:bCs/>
        </w:rPr>
        <w:t xml:space="preserve">noteikumu </w:t>
      </w:r>
      <w:r w:rsidRPr="003D6F09">
        <w:rPr>
          <w:b/>
          <w:bCs/>
        </w:rPr>
        <w:t xml:space="preserve">projekta </w:t>
      </w:r>
      <w:r>
        <w:rPr>
          <w:b/>
          <w:bCs/>
        </w:rPr>
        <w:t>„</w:t>
      </w:r>
      <w:r w:rsidR="00B6740C" w:rsidRPr="00B6740C">
        <w:rPr>
          <w:b/>
          <w:bCs/>
        </w:rPr>
        <w:t>Grozījumi Ministru kabineta 2005.gada 21.jūnija noteikumos Nr.442 „Kārtība, kādā izsniedzamas, anulējamas vai uz laiku apturamas atļaujas starptautiskajiem kravas pārvadājumiem ar autotransportu”</w:t>
      </w:r>
      <w:r w:rsidR="00B6740C">
        <w:rPr>
          <w:b/>
          <w:bCs/>
        </w:rPr>
        <w:t>”</w:t>
      </w:r>
      <w:r w:rsidR="003D6F09" w:rsidRPr="003D6F09">
        <w:rPr>
          <w:b/>
          <w:bCs/>
        </w:rPr>
        <w:t xml:space="preserve"> sākotnējās ietekmes novērtējuma ziņojums (anotācija)</w:t>
      </w:r>
    </w:p>
    <w:p w:rsidR="0092615D" w:rsidRPr="003D6F09" w:rsidRDefault="0092615D" w:rsidP="003D6F09">
      <w:pPr>
        <w:ind w:firstLine="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664"/>
        <w:gridCol w:w="7212"/>
      </w:tblGrid>
      <w:tr w:rsidR="003D6F09" w:rsidRPr="003D6F09" w:rsidTr="00E900C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3D6F09">
            <w:pPr>
              <w:ind w:firstLine="0"/>
              <w:rPr>
                <w:b/>
                <w:bCs/>
              </w:rPr>
            </w:pPr>
            <w:r w:rsidRPr="003D6F09">
              <w:rPr>
                <w:b/>
                <w:bCs/>
              </w:rPr>
              <w:t>I. Tiesību akta projekta izstrādes nepieciešamība</w:t>
            </w:r>
          </w:p>
        </w:tc>
      </w:tr>
      <w:tr w:rsidR="000E639F" w:rsidRPr="003D6F09" w:rsidTr="00E900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1.</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Pamatojums</w:t>
            </w:r>
          </w:p>
        </w:tc>
        <w:tc>
          <w:tcPr>
            <w:tcW w:w="3159" w:type="pct"/>
            <w:tcBorders>
              <w:top w:val="outset" w:sz="6" w:space="0" w:color="auto"/>
              <w:left w:val="outset" w:sz="6" w:space="0" w:color="auto"/>
              <w:bottom w:val="outset" w:sz="6" w:space="0" w:color="auto"/>
              <w:right w:val="outset" w:sz="6" w:space="0" w:color="auto"/>
            </w:tcBorders>
            <w:hideMark/>
          </w:tcPr>
          <w:p w:rsidR="007F1673" w:rsidRDefault="00AC4A53" w:rsidP="00E900C9">
            <w:pPr>
              <w:ind w:firstLine="0"/>
              <w:jc w:val="both"/>
              <w:rPr>
                <w:rFonts w:eastAsia="Calibri" w:cs="Times New Roman"/>
                <w:szCs w:val="28"/>
              </w:rPr>
            </w:pPr>
            <w:r>
              <w:rPr>
                <w:rFonts w:eastAsia="Calibri" w:cs="Times New Roman"/>
                <w:szCs w:val="28"/>
              </w:rPr>
              <w:t xml:space="preserve">1) </w:t>
            </w:r>
            <w:r w:rsidR="007F1673" w:rsidRPr="007F1673">
              <w:rPr>
                <w:rFonts w:eastAsia="Calibri" w:cs="Times New Roman"/>
                <w:szCs w:val="28"/>
              </w:rPr>
              <w:t>Autopārvadājumu likuma 6.panta ceturt</w:t>
            </w:r>
            <w:r w:rsidR="007F1673">
              <w:rPr>
                <w:rFonts w:eastAsia="Calibri" w:cs="Times New Roman"/>
                <w:szCs w:val="28"/>
              </w:rPr>
              <w:t>ā</w:t>
            </w:r>
            <w:r w:rsidR="007F1673" w:rsidRPr="007F1673">
              <w:rPr>
                <w:rFonts w:eastAsia="Calibri" w:cs="Times New Roman"/>
                <w:szCs w:val="28"/>
              </w:rPr>
              <w:t xml:space="preserve"> daļ</w:t>
            </w:r>
            <w:r w:rsidR="007F1673">
              <w:rPr>
                <w:rFonts w:eastAsia="Calibri" w:cs="Times New Roman"/>
                <w:szCs w:val="28"/>
              </w:rPr>
              <w:t>a.</w:t>
            </w:r>
          </w:p>
          <w:p w:rsidR="0008117E" w:rsidRDefault="0008117E" w:rsidP="00E900C9">
            <w:pPr>
              <w:ind w:firstLine="0"/>
              <w:jc w:val="both"/>
              <w:rPr>
                <w:rFonts w:eastAsia="Calibri" w:cs="Times New Roman"/>
                <w:szCs w:val="28"/>
              </w:rPr>
            </w:pPr>
            <w:r>
              <w:rPr>
                <w:rFonts w:eastAsia="Calibri" w:cs="Times New Roman"/>
                <w:szCs w:val="28"/>
              </w:rPr>
              <w:t xml:space="preserve">2) </w:t>
            </w:r>
            <w:r w:rsidRPr="005E4EF3">
              <w:t>Eiropas Parlamenta un Padomes 2009.gada 21.oktobra Regula (EK) Nr.1072/2009 par kopīgiem noteikumiem attiecībā uz piekļuvi starptautisko kravas autopārvadājumu tirgum</w:t>
            </w:r>
            <w:r>
              <w:t>.</w:t>
            </w:r>
          </w:p>
          <w:p w:rsidR="00AC4A53" w:rsidRDefault="0008117E" w:rsidP="00E900C9">
            <w:pPr>
              <w:ind w:firstLine="0"/>
              <w:jc w:val="both"/>
              <w:rPr>
                <w:rFonts w:eastAsia="Calibri" w:cs="Times New Roman"/>
                <w:szCs w:val="28"/>
              </w:rPr>
            </w:pPr>
            <w:r>
              <w:rPr>
                <w:rFonts w:eastAsia="Calibri" w:cs="Times New Roman"/>
                <w:szCs w:val="28"/>
              </w:rPr>
              <w:t>3</w:t>
            </w:r>
            <w:r w:rsidR="00AC4A53">
              <w:rPr>
                <w:rFonts w:eastAsia="Calibri" w:cs="Times New Roman"/>
                <w:szCs w:val="28"/>
              </w:rPr>
              <w:t xml:space="preserve">) </w:t>
            </w:r>
            <w:r w:rsidR="00AC4A53" w:rsidRPr="00AC4A53">
              <w:rPr>
                <w:rFonts w:eastAsia="Calibri" w:cs="Times New Roman"/>
                <w:szCs w:val="28"/>
              </w:rPr>
              <w:t>Divpusējie starpvaldību līgumi</w:t>
            </w:r>
            <w:r w:rsidR="00AC4A53">
              <w:rPr>
                <w:rFonts w:eastAsia="Calibri" w:cs="Times New Roman"/>
                <w:szCs w:val="28"/>
              </w:rPr>
              <w:t xml:space="preserve"> </w:t>
            </w:r>
            <w:r w:rsidR="00AC4A53" w:rsidRPr="00AC4A53">
              <w:rPr>
                <w:rFonts w:eastAsia="Calibri" w:cs="Times New Roman"/>
                <w:szCs w:val="28"/>
              </w:rPr>
              <w:t>par starptautiskajiem pārvadājumiem ar autotransportu</w:t>
            </w:r>
            <w:r w:rsidR="00AC4A53">
              <w:rPr>
                <w:rFonts w:eastAsia="Calibri" w:cs="Times New Roman"/>
                <w:szCs w:val="28"/>
              </w:rPr>
              <w:t>.</w:t>
            </w:r>
          </w:p>
          <w:p w:rsidR="003D6F09" w:rsidRDefault="0008117E" w:rsidP="00E900C9">
            <w:pPr>
              <w:ind w:firstLine="0"/>
              <w:jc w:val="both"/>
              <w:rPr>
                <w:rFonts w:eastAsia="Calibri" w:cs="Times New Roman"/>
                <w:szCs w:val="28"/>
              </w:rPr>
            </w:pPr>
            <w:r>
              <w:rPr>
                <w:rFonts w:eastAsia="Calibri" w:cs="Times New Roman"/>
                <w:szCs w:val="28"/>
              </w:rPr>
              <w:t>4</w:t>
            </w:r>
            <w:r w:rsidR="00AC4A53">
              <w:rPr>
                <w:rFonts w:eastAsia="Calibri" w:cs="Times New Roman"/>
                <w:szCs w:val="28"/>
              </w:rPr>
              <w:t xml:space="preserve">) </w:t>
            </w:r>
            <w:r w:rsidR="00CD22BA" w:rsidRPr="00B80C7A">
              <w:rPr>
                <w:rFonts w:eastAsia="Calibri" w:cs="Times New Roman"/>
                <w:szCs w:val="28"/>
              </w:rPr>
              <w:t>Valsts kontroles 2013.gada 14.novembra revīzijas ziņojum</w:t>
            </w:r>
            <w:r w:rsidR="00CD22BA">
              <w:rPr>
                <w:rFonts w:eastAsia="Calibri" w:cs="Times New Roman"/>
                <w:szCs w:val="28"/>
              </w:rPr>
              <w:t>s</w:t>
            </w:r>
            <w:r w:rsidR="00CD22BA" w:rsidRPr="00B80C7A">
              <w:rPr>
                <w:rFonts w:eastAsia="Calibri" w:cs="Times New Roman"/>
                <w:szCs w:val="28"/>
              </w:rPr>
              <w:t xml:space="preserve"> Nr.5.1-2-11-</w:t>
            </w:r>
            <w:r w:rsidR="00CD22BA">
              <w:rPr>
                <w:rFonts w:eastAsia="Calibri" w:cs="Times New Roman"/>
                <w:szCs w:val="28"/>
              </w:rPr>
              <w:t>9</w:t>
            </w:r>
            <w:r w:rsidR="00CD22BA" w:rsidRPr="00B80C7A">
              <w:rPr>
                <w:rFonts w:eastAsia="Calibri" w:cs="Times New Roman"/>
                <w:szCs w:val="28"/>
              </w:rPr>
              <w:t>/2013 „Starptautisko autopārvadājumu nodrošināšanā iesaistīto institūciju darbības atbilstība normatīvo aktu prasībām un Latvijas Republikas-Krievijas Federācijas valdību nolīguma par automobiļu starptautisko satiksmi izpildes izvērtējums”</w:t>
            </w:r>
            <w:r w:rsidR="00042D07">
              <w:rPr>
                <w:rFonts w:eastAsia="Calibri" w:cs="Times New Roman"/>
                <w:szCs w:val="28"/>
              </w:rPr>
              <w:t>.</w:t>
            </w:r>
          </w:p>
          <w:p w:rsidR="00D86C82" w:rsidRDefault="0008117E" w:rsidP="00E900C9">
            <w:pPr>
              <w:ind w:firstLine="0"/>
              <w:jc w:val="both"/>
              <w:rPr>
                <w:rFonts w:eastAsia="Calibri" w:cs="Times New Roman"/>
                <w:szCs w:val="28"/>
              </w:rPr>
            </w:pPr>
            <w:r>
              <w:rPr>
                <w:rFonts w:eastAsia="Calibri" w:cs="Times New Roman"/>
                <w:szCs w:val="28"/>
              </w:rPr>
              <w:t>5</w:t>
            </w:r>
            <w:r w:rsidR="002A7343">
              <w:rPr>
                <w:rFonts w:eastAsia="Calibri" w:cs="Times New Roman"/>
                <w:szCs w:val="28"/>
              </w:rPr>
              <w:t xml:space="preserve">) </w:t>
            </w:r>
            <w:r w:rsidR="002A7343" w:rsidRPr="002A7343">
              <w:rPr>
                <w:rFonts w:eastAsia="Calibri" w:cs="Times New Roman"/>
                <w:szCs w:val="28"/>
              </w:rPr>
              <w:t>Ministru prezidenta 2010.gada 12.februāra rezolūcija Nr.111-1/24 saistībā ar pienākuma iestādēm pašām iegūt informāciju lēmuma pieņemšanai</w:t>
            </w:r>
            <w:r w:rsidR="002A7343">
              <w:rPr>
                <w:rFonts w:eastAsia="Calibri" w:cs="Times New Roman"/>
                <w:szCs w:val="28"/>
              </w:rPr>
              <w:t>.</w:t>
            </w:r>
          </w:p>
          <w:p w:rsidR="00042D07" w:rsidRPr="00580561" w:rsidRDefault="00D86C82" w:rsidP="00E900C9">
            <w:pPr>
              <w:ind w:firstLine="0"/>
              <w:jc w:val="both"/>
            </w:pPr>
            <w:r>
              <w:rPr>
                <w:rFonts w:eastAsia="Calibri" w:cs="Times New Roman"/>
                <w:szCs w:val="28"/>
              </w:rPr>
              <w:t>6</w:t>
            </w:r>
            <w:r w:rsidRPr="0031689D">
              <w:rPr>
                <w:rFonts w:eastAsia="Calibri" w:cs="Times New Roman"/>
                <w:szCs w:val="28"/>
              </w:rPr>
              <w:t xml:space="preserve">) Eiropas Transporta ministru konferences Dublinas deklarācija, kas pieņemta 2006.gada 18.maijā un kurā ietverts lēmums par starptautiskās organizācijas „Eiropas Transporta ministru konference” (turpmāk- ETMK) pārdēvēšanu par „Starptautisko transporta forumu” (turpmāk – STF) </w:t>
            </w:r>
            <w:r w:rsidR="0031689D">
              <w:rPr>
                <w:rFonts w:eastAsia="Calibri" w:cs="Times New Roman"/>
                <w:szCs w:val="28"/>
              </w:rPr>
              <w:t>(</w:t>
            </w:r>
            <w:hyperlink r:id="rId9" w:history="1">
              <w:r w:rsidR="0031689D" w:rsidRPr="00072EAC">
                <w:rPr>
                  <w:rStyle w:val="Hyperlink"/>
                  <w:rFonts w:eastAsia="Calibri" w:cs="Times New Roman"/>
                  <w:szCs w:val="28"/>
                </w:rPr>
                <w:t>http://www.internationaltransportforum.org/about/pdf/Dublin-Declaration-EN.pdf</w:t>
              </w:r>
            </w:hyperlink>
            <w:r w:rsidR="0031689D" w:rsidRPr="0031689D">
              <w:rPr>
                <w:rFonts w:eastAsia="Calibri" w:cs="Times New Roman"/>
                <w:szCs w:val="28"/>
              </w:rPr>
              <w:t>)</w:t>
            </w:r>
            <w:r w:rsidR="0031689D">
              <w:rPr>
                <w:rFonts w:eastAsia="Calibri" w:cs="Times New Roman"/>
                <w:szCs w:val="28"/>
              </w:rPr>
              <w:t>.</w:t>
            </w:r>
          </w:p>
        </w:tc>
      </w:tr>
      <w:tr w:rsidR="000E639F" w:rsidRPr="003D6F09" w:rsidTr="00E900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2.</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150DD5" w:rsidRDefault="00670AAF" w:rsidP="0083725B">
            <w:pPr>
              <w:ind w:firstLine="0"/>
              <w:jc w:val="both"/>
            </w:pPr>
            <w:r>
              <w:t xml:space="preserve">1. </w:t>
            </w:r>
            <w:r w:rsidR="00150DD5">
              <w:t>Valsts kontrole, p</w:t>
            </w:r>
            <w:r w:rsidR="00150DD5" w:rsidRPr="00150DD5">
              <w:t xml:space="preserve">amatojoties uz Valsts kontroles likuma 2.pantu un Valsts kontroles Ceturtā revīzijas departamenta 08.05.2013. revīzijas uzdevumu Nr.5.1-2-9/2013, </w:t>
            </w:r>
            <w:r w:rsidR="00150DD5">
              <w:t xml:space="preserve">2013.gadā veica VSIA „Autotransporta direkcija” (turpmāk – Autotransporta direkcija) </w:t>
            </w:r>
            <w:r w:rsidR="00150DD5" w:rsidRPr="00150DD5">
              <w:t>likumības revīzij</w:t>
            </w:r>
            <w:r w:rsidR="00150DD5">
              <w:t>u</w:t>
            </w:r>
            <w:r w:rsidR="00150DD5" w:rsidRPr="00150DD5">
              <w:t xml:space="preserve"> „Starptautisko autopārvadājumu nodrošināšanā iesaistīto institūciju darbības atbilstība normatīvo aktu prasībām un Latvijas Republikas – Krievijas Federācijas valdību nolīguma par automobiļu starptautisko satiksmi izpildes izvērtējums”.</w:t>
            </w:r>
          </w:p>
          <w:p w:rsidR="005F26D3" w:rsidRDefault="00985DD7" w:rsidP="0083725B">
            <w:pPr>
              <w:ind w:firstLine="0"/>
              <w:jc w:val="both"/>
            </w:pPr>
            <w:r>
              <w:t>Revīzijas laikā cita starpā tika vērtēt</w:t>
            </w:r>
            <w:r w:rsidR="005F26D3">
              <w:t>as</w:t>
            </w:r>
            <w:r>
              <w:t xml:space="preserve"> </w:t>
            </w:r>
            <w:r w:rsidR="005F26D3" w:rsidRPr="005F26D3">
              <w:t>prasības par kritēriju noteikšanu situācijās, ja kādas valsts atļauju skaits nenodrošina pārvadātāju pieprasījumu</w:t>
            </w:r>
            <w:r w:rsidR="005F26D3">
              <w:t>.</w:t>
            </w:r>
            <w:r w:rsidR="00590030">
              <w:t xml:space="preserve"> Šos kritērijus paredz </w:t>
            </w:r>
            <w:r w:rsidR="00590030" w:rsidRPr="005F26D3">
              <w:t xml:space="preserve">Ministru </w:t>
            </w:r>
            <w:r w:rsidR="00590030" w:rsidRPr="005F26D3">
              <w:lastRenderedPageBreak/>
              <w:t>kabineta 2005.gada 21.jūnija noteikum</w:t>
            </w:r>
            <w:r w:rsidR="00590030">
              <w:t>i</w:t>
            </w:r>
            <w:r w:rsidR="00590030" w:rsidRPr="005F26D3">
              <w:t xml:space="preserve"> Nr.442 „Kārtība, kādā izsniedzamas, anulējamas vai uz laiku apturamas atļaujas starptautiskajiem kravas pārvadājumiem ar autotransportu”</w:t>
            </w:r>
            <w:r w:rsidR="00590030">
              <w:t xml:space="preserve"> (turpmāk MK noteikumi Nr.442). </w:t>
            </w:r>
          </w:p>
          <w:p w:rsidR="00015DD1" w:rsidRDefault="005F26D3" w:rsidP="0083725B">
            <w:pPr>
              <w:ind w:firstLine="0"/>
              <w:jc w:val="both"/>
            </w:pPr>
            <w:r>
              <w:t>Atbilstoši Valsts kontroles ieteikumam – l</w:t>
            </w:r>
            <w:r w:rsidR="00015DD1" w:rsidRPr="0044068E">
              <w:t>ai nodrošinātu godīgu un vienlīdzīgu atļauju sadali visiem pārvadātājiem uz valstīm, kuru atļauju skaits nenodrošina pārvadātāju pieprasījumu</w:t>
            </w:r>
            <w:r>
              <w:t xml:space="preserve">, tika </w:t>
            </w:r>
            <w:r w:rsidR="00015DD1" w:rsidRPr="0044068E">
              <w:t>izvērtēt</w:t>
            </w:r>
            <w:r>
              <w:t>a</w:t>
            </w:r>
            <w:r w:rsidR="00015DD1" w:rsidRPr="0044068E">
              <w:t xml:space="preserve"> </w:t>
            </w:r>
            <w:r w:rsidR="00590030">
              <w:t>MK noteikumos Nr.442</w:t>
            </w:r>
            <w:r>
              <w:t xml:space="preserve"> </w:t>
            </w:r>
            <w:r w:rsidR="00015DD1" w:rsidRPr="0044068E">
              <w:t>iekļauto atļauju sadales kritēriju atbilstīb</w:t>
            </w:r>
            <w:r w:rsidR="00EF2969">
              <w:t>a</w:t>
            </w:r>
            <w:r w:rsidR="00015DD1" w:rsidRPr="0044068E">
              <w:t xml:space="preserve"> godīgas un vienlīdzīgas atļauju sadales nodrošināšanā</w:t>
            </w:r>
            <w:r w:rsidR="00941458">
              <w:t>. Izvērtējuma rezultātā tika secināts, ka n</w:t>
            </w:r>
            <w:r>
              <w:t xml:space="preserve">epieciešams </w:t>
            </w:r>
            <w:r w:rsidR="00015DD1" w:rsidRPr="0044068E">
              <w:t xml:space="preserve">veikt grozījumus </w:t>
            </w:r>
            <w:r>
              <w:t>MK noteikumos Nr.442</w:t>
            </w:r>
            <w:r w:rsidR="006E2DCB">
              <w:t xml:space="preserve">, grozot </w:t>
            </w:r>
            <w:r w:rsidR="00670AAF">
              <w:t xml:space="preserve">un precizējot </w:t>
            </w:r>
            <w:r w:rsidR="006E2DCB" w:rsidRPr="006E2DCB">
              <w:t>atļauju sadales</w:t>
            </w:r>
            <w:r w:rsidR="006E2DCB">
              <w:t xml:space="preserve"> kritērijus:</w:t>
            </w:r>
          </w:p>
          <w:p w:rsidR="006E2DCB" w:rsidRDefault="006E2DCB" w:rsidP="0083725B">
            <w:pPr>
              <w:ind w:firstLine="0"/>
              <w:jc w:val="both"/>
            </w:pPr>
            <w:r>
              <w:t>1) piešķirot starptautisko kravas autopārvadājumu atļaujas:</w:t>
            </w:r>
          </w:p>
          <w:p w:rsidR="006E2DCB" w:rsidRDefault="006E2DCB" w:rsidP="0083725B">
            <w:pPr>
              <w:pStyle w:val="ListParagraph"/>
              <w:numPr>
                <w:ilvl w:val="0"/>
                <w:numId w:val="2"/>
              </w:numPr>
              <w:ind w:left="66" w:firstLine="294"/>
              <w:jc w:val="both"/>
            </w:pPr>
            <w:r>
              <w:t>svītrot kritērij</w:t>
            </w:r>
            <w:r w:rsidR="00B71AD1">
              <w:t>u</w:t>
            </w:r>
            <w:r>
              <w:t xml:space="preserve"> par fiksēto pārkāpumu skaitu starptautiskajos kravas autopārvadājumos</w:t>
            </w:r>
            <w:r w:rsidR="008B2949">
              <w:t xml:space="preserve">, jo </w:t>
            </w:r>
            <w:r w:rsidR="00AF1583">
              <w:t>pārkāpumi</w:t>
            </w:r>
            <w:r w:rsidR="008B2949" w:rsidRPr="008B2949">
              <w:t xml:space="preserve"> </w:t>
            </w:r>
            <w:r w:rsidR="00AF1583">
              <w:t xml:space="preserve">jau </w:t>
            </w:r>
            <w:r w:rsidR="00AF1583" w:rsidRPr="008B2949">
              <w:t>tiek izvērtēti licencēšanas procesā</w:t>
            </w:r>
            <w:r w:rsidR="00AF1583">
              <w:t xml:space="preserve"> (piešķirot licenci)</w:t>
            </w:r>
            <w:r w:rsidR="00AF1583" w:rsidRPr="008B2949">
              <w:t xml:space="preserve"> </w:t>
            </w:r>
            <w:r w:rsidR="008B2949" w:rsidRPr="008B2949">
              <w:t xml:space="preserve">labas reputācijas </w:t>
            </w:r>
            <w:r w:rsidR="00AF1583">
              <w:t>kritērija izvērtēšanas ietvaros</w:t>
            </w:r>
            <w:r>
              <w:t>;</w:t>
            </w:r>
          </w:p>
          <w:p w:rsidR="006E2DCB" w:rsidRDefault="006E2DCB" w:rsidP="0083725B">
            <w:pPr>
              <w:pStyle w:val="ListParagraph"/>
              <w:numPr>
                <w:ilvl w:val="0"/>
                <w:numId w:val="2"/>
              </w:numPr>
              <w:ind w:left="66" w:firstLine="294"/>
              <w:jc w:val="both"/>
            </w:pPr>
            <w:r>
              <w:t xml:space="preserve">paredzēt </w:t>
            </w:r>
            <w:r w:rsidR="00745B01">
              <w:t>jaun</w:t>
            </w:r>
            <w:r w:rsidR="00B71AD1">
              <w:t>u</w:t>
            </w:r>
            <w:r w:rsidR="00745B01">
              <w:t xml:space="preserve"> </w:t>
            </w:r>
            <w:r>
              <w:t>kritērij</w:t>
            </w:r>
            <w:r w:rsidR="00B71AD1">
              <w:t>u</w:t>
            </w:r>
            <w:r>
              <w:t xml:space="preserve"> par pārvadātāja rīcībā esošo</w:t>
            </w:r>
            <w:r w:rsidRPr="00CB1045">
              <w:t xml:space="preserve"> </w:t>
            </w:r>
            <w:r w:rsidR="00712260">
              <w:t xml:space="preserve"> atļauju un ETMK atļauju  </w:t>
            </w:r>
            <w:r>
              <w:t xml:space="preserve"> skait</w:t>
            </w:r>
            <w:r w:rsidR="00745B01">
              <w:t>u</w:t>
            </w:r>
            <w:r>
              <w:t xml:space="preserve">, kas nodrošina piekļuvi attiecīgās valsts autopārvadājumu tirgum, attiecībā pret Kopienas </w:t>
            </w:r>
            <w:r w:rsidRPr="00CB1045">
              <w:t>atļauj</w:t>
            </w:r>
            <w:r>
              <w:t>u kopiju skaitu</w:t>
            </w:r>
            <w:r w:rsidR="00670AAF">
              <w:t>;</w:t>
            </w:r>
          </w:p>
          <w:p w:rsidR="00745B01" w:rsidRDefault="00745B01" w:rsidP="0083725B">
            <w:pPr>
              <w:ind w:firstLine="0"/>
              <w:jc w:val="both"/>
            </w:pPr>
            <w:r>
              <w:t>2) piešķirot Eiropas Transporta ministru konferences (ETMK) atļaujas:</w:t>
            </w:r>
          </w:p>
          <w:p w:rsidR="00745B01" w:rsidRDefault="00745B01" w:rsidP="0083725B">
            <w:pPr>
              <w:pStyle w:val="ListParagraph"/>
              <w:numPr>
                <w:ilvl w:val="0"/>
                <w:numId w:val="3"/>
              </w:numPr>
              <w:ind w:left="0" w:firstLine="360"/>
              <w:jc w:val="both"/>
            </w:pPr>
            <w:r>
              <w:t xml:space="preserve">precizēt </w:t>
            </w:r>
            <w:r w:rsidRPr="00745B01">
              <w:t>kritērij</w:t>
            </w:r>
            <w:r w:rsidR="00B71AD1">
              <w:t>u</w:t>
            </w:r>
            <w:r w:rsidRPr="00745B01">
              <w:t xml:space="preserve"> par fiksēto pārkāpumu skaitu, </w:t>
            </w:r>
            <w:r>
              <w:t>precizējot</w:t>
            </w:r>
            <w:r w:rsidRPr="00745B01">
              <w:t xml:space="preserve"> </w:t>
            </w:r>
            <w:r>
              <w:t>pārkāpuma smaguma kategorijas, kas izvērtētas attiecībā pret pārvadātājam izsniegto un spēkā esošo Kopienas atļauju kopiju skaitu;</w:t>
            </w:r>
          </w:p>
          <w:p w:rsidR="00670AAF" w:rsidRDefault="00670AAF" w:rsidP="0083725B">
            <w:pPr>
              <w:pStyle w:val="ListParagraph"/>
              <w:numPr>
                <w:ilvl w:val="0"/>
                <w:numId w:val="3"/>
              </w:numPr>
              <w:ind w:left="0" w:firstLine="360"/>
              <w:jc w:val="both"/>
            </w:pPr>
            <w:r>
              <w:t>precizēt kritērij</w:t>
            </w:r>
            <w:r w:rsidR="00B71AD1">
              <w:t>u</w:t>
            </w:r>
            <w:r>
              <w:t xml:space="preserve"> par autotransporta līdzekļu atbilstību Starptautiskā Transporta Foruma tehniskajām un drošības prasībām.</w:t>
            </w:r>
          </w:p>
          <w:p w:rsidR="00670AAF" w:rsidRDefault="00AF1583" w:rsidP="0083725B">
            <w:pPr>
              <w:ind w:firstLine="0"/>
              <w:jc w:val="both"/>
            </w:pPr>
            <w:r>
              <w:t>Tādējādi tik</w:t>
            </w:r>
            <w:r w:rsidR="001816C5">
              <w:t>s</w:t>
            </w:r>
            <w:r>
              <w:t xml:space="preserve"> </w:t>
            </w:r>
            <w:r w:rsidRPr="0044068E">
              <w:t>nodrošināt</w:t>
            </w:r>
            <w:r w:rsidR="00536D4C">
              <w:t>a</w:t>
            </w:r>
            <w:r w:rsidRPr="0044068E">
              <w:t xml:space="preserve"> godīg</w:t>
            </w:r>
            <w:r w:rsidR="00536D4C">
              <w:t>a</w:t>
            </w:r>
            <w:r w:rsidRPr="0044068E">
              <w:t xml:space="preserve"> un vienlīdzīg</w:t>
            </w:r>
            <w:r w:rsidR="00536D4C">
              <w:t>a</w:t>
            </w:r>
            <w:r w:rsidRPr="0044068E">
              <w:t xml:space="preserve"> atļauju sadal</w:t>
            </w:r>
            <w:r w:rsidR="00536D4C">
              <w:t>e</w:t>
            </w:r>
            <w:r w:rsidRPr="0044068E">
              <w:t xml:space="preserve"> visiem pārvadātājiem uz valstīm, kuru atļauju skaits nenodrošina pārvadātāju pieprasījumu</w:t>
            </w:r>
            <w:r>
              <w:t xml:space="preserve">. </w:t>
            </w:r>
          </w:p>
          <w:p w:rsidR="00670AAF" w:rsidRDefault="00670AAF" w:rsidP="0083725B">
            <w:pPr>
              <w:ind w:firstLine="0"/>
              <w:jc w:val="both"/>
            </w:pPr>
            <w:r w:rsidRPr="004A4DE1">
              <w:t xml:space="preserve">2. </w:t>
            </w:r>
            <w:r w:rsidR="003C04A9" w:rsidRPr="004A4DE1">
              <w:rPr>
                <w:rFonts w:eastAsia="Calibri" w:cs="Times New Roman"/>
                <w:szCs w:val="28"/>
              </w:rPr>
              <w:t xml:space="preserve">2006.gada 18.maijā </w:t>
            </w:r>
            <w:r w:rsidR="003C04A9">
              <w:rPr>
                <w:rFonts w:eastAsia="Calibri" w:cs="Times New Roman"/>
                <w:szCs w:val="28"/>
              </w:rPr>
              <w:t xml:space="preserve">tika </w:t>
            </w:r>
            <w:r w:rsidR="003C04A9" w:rsidRPr="004A4DE1">
              <w:rPr>
                <w:rFonts w:eastAsia="Calibri" w:cs="Times New Roman"/>
                <w:szCs w:val="28"/>
              </w:rPr>
              <w:t xml:space="preserve">pieņemta </w:t>
            </w:r>
            <w:r w:rsidR="00712260" w:rsidRPr="004A4DE1">
              <w:rPr>
                <w:rFonts w:eastAsia="Calibri" w:cs="Times New Roman"/>
                <w:szCs w:val="28"/>
              </w:rPr>
              <w:t xml:space="preserve">Eiropas Transporta ministru konferences Dublinas deklarācija, kurā ietverts lēmums par starptautiskās organizācijas „Eiropas Transporta ministru konference” (turpmāk- ETMK) pārdēvēšanu par „Starptautisko transporta forumu” (turpmāk – STF) </w:t>
            </w:r>
            <w:hyperlink r:id="rId10" w:history="1">
              <w:r w:rsidR="00712260" w:rsidRPr="0067176B">
                <w:rPr>
                  <w:rStyle w:val="Hyperlink"/>
                  <w:rFonts w:eastAsia="Calibri" w:cs="Times New Roman"/>
                  <w:szCs w:val="28"/>
                </w:rPr>
                <w:t>http://www.internationaltransportforum.org/about/pdf/Dublin-Declaration-EN.pdf</w:t>
              </w:r>
            </w:hyperlink>
            <w:r w:rsidR="00712260">
              <w:rPr>
                <w:rFonts w:eastAsia="Calibri" w:cs="Times New Roman"/>
                <w:color w:val="FF0000"/>
                <w:szCs w:val="28"/>
              </w:rPr>
              <w:t xml:space="preserve"> </w:t>
            </w:r>
            <w:r w:rsidR="003C04A9">
              <w:t xml:space="preserve">Ņemot to vērā, </w:t>
            </w:r>
            <w:r w:rsidR="003C04A9" w:rsidRPr="004A4DE1">
              <w:t>nepieciešams aktualizēt MK noteikumu Nr.442 terminoloģiju.</w:t>
            </w:r>
          </w:p>
          <w:p w:rsidR="00670AAF" w:rsidRDefault="00670AAF" w:rsidP="0083725B">
            <w:pPr>
              <w:ind w:firstLine="0"/>
              <w:jc w:val="both"/>
            </w:pPr>
          </w:p>
          <w:p w:rsidR="00340EB5" w:rsidRDefault="00670AAF" w:rsidP="0083725B">
            <w:pPr>
              <w:ind w:firstLine="0"/>
              <w:jc w:val="both"/>
            </w:pPr>
            <w:r>
              <w:lastRenderedPageBreak/>
              <w:t xml:space="preserve">3. </w:t>
            </w:r>
            <w:r w:rsidR="0002756A">
              <w:t xml:space="preserve">Autotransporta direkcija turpmāk pārņems no Satiksmes ministrijas atsevišķu ministrijai </w:t>
            </w:r>
            <w:r w:rsidR="0002756A" w:rsidRPr="009C724D">
              <w:t>nespecifisku</w:t>
            </w:r>
            <w:r w:rsidR="0002756A">
              <w:t xml:space="preserve"> uzdevumu pildīšanu</w:t>
            </w:r>
            <w:r w:rsidR="00340EB5">
              <w:t>:</w:t>
            </w:r>
          </w:p>
          <w:p w:rsidR="00670AAF" w:rsidRPr="00AD3486" w:rsidRDefault="00340EB5" w:rsidP="0083725B">
            <w:pPr>
              <w:ind w:firstLine="0"/>
              <w:jc w:val="both"/>
            </w:pPr>
            <w:r>
              <w:t xml:space="preserve">1) </w:t>
            </w:r>
            <w:r w:rsidR="00AA792B" w:rsidRPr="00AD3486">
              <w:t>starptautiskās autopārvadājumu konsultatīvās padomes izveido</w:t>
            </w:r>
            <w:r w:rsidRPr="00AD3486">
              <w:t>šana</w:t>
            </w:r>
            <w:r w:rsidR="004418C9" w:rsidRPr="00AD3486">
              <w:t>. Ņemot vērā, ka atbilstoši Autopārvadājuma likuma 5.</w:t>
            </w:r>
            <w:r w:rsidR="004418C9" w:rsidRPr="00AD3486">
              <w:rPr>
                <w:vertAlign w:val="superscript"/>
              </w:rPr>
              <w:t>1.</w:t>
            </w:r>
            <w:r w:rsidR="004418C9" w:rsidRPr="00AD3486">
              <w:t>panta 7.punktam Autotransporta direkcijai ir deleģēta atļauju izsniegšanas funkcija, būtu lietderīgi šādu konsultatīvo padomi</w:t>
            </w:r>
            <w:r w:rsidR="006F18E1" w:rsidRPr="00AD3486">
              <w:t>, kuras lēmumiem ir ieteikuma raksturs,</w:t>
            </w:r>
            <w:r w:rsidR="004418C9" w:rsidRPr="00AD3486">
              <w:t xml:space="preserve"> izveidot Autotransporta direkcijai</w:t>
            </w:r>
            <w:r w:rsidR="0047531C" w:rsidRPr="00AD3486">
              <w:t xml:space="preserve">, jo </w:t>
            </w:r>
            <w:r w:rsidR="00A440D6" w:rsidRPr="00AD3486">
              <w:t>konsultatīvās padomes</w:t>
            </w:r>
            <w:r w:rsidR="0047531C" w:rsidRPr="00AD3486">
              <w:t xml:space="preserve"> galvenais mērķis ir, iesaistot autopārvadājumu industrijas pārstāvjus, sagatavot ieteikumus atļauju izsniegšanas funkcijas izpildes pilnveidošanai</w:t>
            </w:r>
            <w:r w:rsidR="004418C9" w:rsidRPr="00AD3486">
              <w:t>.</w:t>
            </w:r>
            <w:r w:rsidR="00AC24D2" w:rsidRPr="00AD3486">
              <w:t xml:space="preserve"> </w:t>
            </w:r>
          </w:p>
          <w:p w:rsidR="00015DD1" w:rsidRPr="00AD3486" w:rsidRDefault="00340EB5" w:rsidP="0083725B">
            <w:pPr>
              <w:ind w:firstLine="0"/>
              <w:jc w:val="both"/>
            </w:pPr>
            <w:r w:rsidRPr="00AD3486">
              <w:t>2) atļauju veidlapu apmaiņas ar ārvalstu kompetentajām institūcijām organizēšana</w:t>
            </w:r>
            <w:r w:rsidR="008747AD" w:rsidRPr="00AD3486">
              <w:t>, kas ir tehnisks process, jo saistīts ar attiecīgā skaita veidlapu pakošanu un nosūtīšanu adresātiem atbilstoši Satiksmes ministrijas kā kompetentās institūcijas norādēm, pamatojoties uz no Latvijas Republikas divpusējos līgumu autopārvadājumu jomā izrietošajiem Kopējo komisiju lēmumiem</w:t>
            </w:r>
            <w:r w:rsidR="00703E71" w:rsidRPr="00AD3486">
              <w:t>.</w:t>
            </w:r>
          </w:p>
          <w:p w:rsidR="00340EB5" w:rsidRDefault="00340EB5" w:rsidP="0083725B">
            <w:pPr>
              <w:ind w:firstLine="0"/>
              <w:jc w:val="both"/>
            </w:pPr>
            <w:r w:rsidRPr="00AD3486">
              <w:t>3) pieteikuma sagatavošana Starptautiskā Transporta foruma sekretariātam par nepieciešamajiem ETMK</w:t>
            </w:r>
            <w:r w:rsidRPr="00340EB5">
              <w:t xml:space="preserve"> atļauju veidiem un skaitu nākamajam gadam</w:t>
            </w:r>
            <w:r w:rsidR="004418C9">
              <w:t>.</w:t>
            </w:r>
          </w:p>
          <w:p w:rsidR="00340EB5" w:rsidRDefault="00340EB5" w:rsidP="0083725B">
            <w:pPr>
              <w:ind w:firstLine="0"/>
              <w:jc w:val="both"/>
            </w:pPr>
          </w:p>
          <w:p w:rsidR="006179C2" w:rsidRDefault="00776DBA" w:rsidP="0083725B">
            <w:pPr>
              <w:pStyle w:val="ListParagraph"/>
              <w:ind w:left="0" w:firstLine="0"/>
              <w:jc w:val="both"/>
            </w:pPr>
            <w:r>
              <w:t xml:space="preserve">4. </w:t>
            </w:r>
            <w:r w:rsidR="0083725B" w:rsidRPr="002A7343">
              <w:t>Lai izpildītu Ministru prezidenta 2010.gada 12.februāra rezolūciju Nr.111-1/24 saistībā ar pienākuma iestādēm pašām iegūt informāciju lēmuma pieņemšanai, kā arī lai s</w:t>
            </w:r>
            <w:r w:rsidR="0083725B">
              <w:t xml:space="preserve">amazinātu administratīvo slogu: turpmāk, lai saņemtu starptautisko kravas autopārvadājumu atļauju, nebūs nepieciešams uzrādīt licenci </w:t>
            </w:r>
            <w:r w:rsidR="0083725B" w:rsidRPr="006179C2">
              <w:t>starptautiskajiem kravu komercpārvadājumiem vai Kopienas atļauju starptautiskajiem kravu komercpārvadājumiem ar autotransportu</w:t>
            </w:r>
            <w:r w:rsidR="0083725B">
              <w:t>, vai pašpārvadājumu sertifikātu</w:t>
            </w:r>
            <w:r w:rsidR="00427E90">
              <w:t>.</w:t>
            </w:r>
            <w:r w:rsidR="006179C2">
              <w:t xml:space="preserve"> </w:t>
            </w:r>
          </w:p>
          <w:p w:rsidR="0005506E" w:rsidRDefault="0005506E" w:rsidP="0083725B">
            <w:pPr>
              <w:ind w:firstLine="0"/>
              <w:jc w:val="both"/>
              <w:rPr>
                <w:szCs w:val="28"/>
              </w:rPr>
            </w:pPr>
          </w:p>
          <w:p w:rsidR="00BD0AC9" w:rsidRPr="0005506E" w:rsidRDefault="00BD0AC9" w:rsidP="0083725B">
            <w:pPr>
              <w:ind w:firstLine="0"/>
              <w:jc w:val="both"/>
              <w:rPr>
                <w:rFonts w:eastAsia="Times New Roman" w:cs="Times New Roman"/>
                <w:szCs w:val="28"/>
                <w:lang w:eastAsia="lv-LV"/>
              </w:rPr>
            </w:pPr>
            <w:r w:rsidRPr="0005506E">
              <w:rPr>
                <w:szCs w:val="28"/>
              </w:rPr>
              <w:t xml:space="preserve">5. </w:t>
            </w:r>
            <w:r w:rsidRPr="0005506E">
              <w:rPr>
                <w:rFonts w:eastAsia="Times New Roman" w:cs="Times New Roman"/>
                <w:szCs w:val="28"/>
                <w:lang w:eastAsia="lv-LV"/>
              </w:rPr>
              <w:t xml:space="preserve">Lai mazinātu administratīvo slogu personām, kurām nepieciešams saņemt attiecīgo atļauju, un paaugstinātu </w:t>
            </w:r>
            <w:r w:rsidR="004A4DE1" w:rsidRPr="0005506E">
              <w:rPr>
                <w:rFonts w:eastAsia="Times New Roman" w:cs="Times New Roman"/>
                <w:szCs w:val="28"/>
                <w:lang w:eastAsia="lv-LV"/>
              </w:rPr>
              <w:t>Autotransporta d</w:t>
            </w:r>
            <w:r w:rsidRPr="0005506E">
              <w:rPr>
                <w:rFonts w:eastAsia="Times New Roman" w:cs="Times New Roman"/>
                <w:szCs w:val="28"/>
                <w:lang w:eastAsia="lv-LV"/>
              </w:rPr>
              <w:t xml:space="preserve">irekcijas sniegto pakalpojumu efektivitāti, plānots izstrādāt informācijas sistēmas funkcionalitāti, lai attiecīgo pakalpojumu saņemšanai personas varētu pieteikties arī elektroniski, </w:t>
            </w:r>
            <w:r w:rsidR="00D0537D" w:rsidRPr="002F4A33">
              <w:t xml:space="preserve">aizpildot speciālu tiešsaistes formu </w:t>
            </w:r>
            <w:r w:rsidR="002F4A33" w:rsidRPr="002F4A33">
              <w:t xml:space="preserve">Autotransporta direkcijas tīmekļa vietnē </w:t>
            </w:r>
            <w:hyperlink r:id="rId11" w:history="1">
              <w:r w:rsidR="002F4A33" w:rsidRPr="002F4A33">
                <w:rPr>
                  <w:rStyle w:val="Hyperlink"/>
                </w:rPr>
                <w:t>www.atd</w:t>
              </w:r>
            </w:hyperlink>
            <w:r w:rsidR="00AD3486">
              <w:rPr>
                <w:rStyle w:val="Hyperlink"/>
              </w:rPr>
              <w:t>.lv</w:t>
            </w:r>
            <w:r w:rsidR="002F4A33" w:rsidRPr="002F4A33">
              <w:t xml:space="preserve"> (e-pakalpojums), </w:t>
            </w:r>
            <w:r w:rsidR="00D0537D">
              <w:t xml:space="preserve">identifikācijai </w:t>
            </w:r>
            <w:r w:rsidR="002F4A33" w:rsidRPr="002F4A33">
              <w:t xml:space="preserve">izmantojot vienotajā valsts un pašvaldību pakalpojumu portālā </w:t>
            </w:r>
            <w:hyperlink r:id="rId12" w:history="1">
              <w:r w:rsidR="00D0537D" w:rsidRPr="00382C9B">
                <w:rPr>
                  <w:rStyle w:val="Hyperlink"/>
                </w:rPr>
                <w:t>www.latvija.lv</w:t>
              </w:r>
            </w:hyperlink>
            <w:r w:rsidR="002F4A33" w:rsidRPr="002F4A33">
              <w:t xml:space="preserve"> </w:t>
            </w:r>
            <w:r w:rsidR="002F4A33" w:rsidRPr="002F4A33">
              <w:rPr>
                <w:rFonts w:eastAsia="Times New Roman" w:cs="Times New Roman"/>
                <w:szCs w:val="28"/>
                <w:lang w:eastAsia="lv-LV"/>
              </w:rPr>
              <w:t xml:space="preserve">(turpmāk – portāls) </w:t>
            </w:r>
            <w:r w:rsidR="002F4A33" w:rsidRPr="002F4A33">
              <w:t>pieejamos personas identifikācijas līdzekļus</w:t>
            </w:r>
            <w:r w:rsidRPr="002F4A33">
              <w:rPr>
                <w:rFonts w:eastAsia="Times New Roman" w:cs="Times New Roman"/>
                <w:szCs w:val="28"/>
                <w:lang w:eastAsia="lv-LV"/>
              </w:rPr>
              <w:t>.</w:t>
            </w:r>
            <w:r w:rsidRPr="0005506E">
              <w:rPr>
                <w:rFonts w:eastAsia="Times New Roman" w:cs="Times New Roman"/>
                <w:szCs w:val="28"/>
                <w:lang w:eastAsia="lv-LV"/>
              </w:rPr>
              <w:t xml:space="preserve"> Tādējādi </w:t>
            </w:r>
            <w:r w:rsidR="002F4A33">
              <w:rPr>
                <w:rFonts w:eastAsia="Times New Roman" w:cs="Times New Roman"/>
                <w:szCs w:val="28"/>
                <w:lang w:eastAsia="lv-LV"/>
              </w:rPr>
              <w:lastRenderedPageBreak/>
              <w:t>pieteikties atļauju saņemšanai</w:t>
            </w:r>
            <w:r w:rsidRPr="0005506E">
              <w:rPr>
                <w:rFonts w:eastAsia="Times New Roman" w:cs="Times New Roman"/>
                <w:szCs w:val="28"/>
                <w:lang w:eastAsia="lv-LV"/>
              </w:rPr>
              <w:t xml:space="preserve">, izmantojot </w:t>
            </w:r>
            <w:r w:rsidR="00380C78" w:rsidRPr="0005506E">
              <w:rPr>
                <w:rFonts w:eastAsia="Times New Roman" w:cs="Times New Roman"/>
                <w:szCs w:val="28"/>
                <w:lang w:eastAsia="lv-LV"/>
              </w:rPr>
              <w:t xml:space="preserve">Autotransporta direkcijas </w:t>
            </w:r>
            <w:r w:rsidR="00007ED3">
              <w:rPr>
                <w:rFonts w:eastAsia="Times New Roman" w:cs="Times New Roman"/>
                <w:szCs w:val="28"/>
                <w:lang w:eastAsia="lv-LV"/>
              </w:rPr>
              <w:t>mājas</w:t>
            </w:r>
            <w:r w:rsidR="00CC49B0" w:rsidRPr="0005506E">
              <w:rPr>
                <w:rFonts w:eastAsia="Times New Roman" w:cs="Times New Roman"/>
                <w:szCs w:val="28"/>
                <w:lang w:eastAsia="lv-LV"/>
              </w:rPr>
              <w:t>lapā pieejamo elektronisko pakalpojumu</w:t>
            </w:r>
            <w:r w:rsidRPr="0005506E">
              <w:rPr>
                <w:rFonts w:eastAsia="Times New Roman" w:cs="Times New Roman"/>
                <w:szCs w:val="28"/>
                <w:lang w:eastAsia="lv-LV"/>
              </w:rPr>
              <w:t>, person</w:t>
            </w:r>
            <w:r w:rsidR="002F4A33">
              <w:rPr>
                <w:rFonts w:eastAsia="Times New Roman" w:cs="Times New Roman"/>
                <w:szCs w:val="28"/>
                <w:lang w:eastAsia="lv-LV"/>
              </w:rPr>
              <w:t>as</w:t>
            </w:r>
            <w:r w:rsidRPr="0005506E">
              <w:rPr>
                <w:rFonts w:eastAsia="Times New Roman" w:cs="Times New Roman"/>
                <w:szCs w:val="28"/>
                <w:lang w:eastAsia="lv-LV"/>
              </w:rPr>
              <w:t xml:space="preserve"> </w:t>
            </w:r>
            <w:r w:rsidR="002F4A33">
              <w:rPr>
                <w:rFonts w:eastAsia="Times New Roman" w:cs="Times New Roman"/>
                <w:szCs w:val="28"/>
                <w:lang w:eastAsia="lv-LV"/>
              </w:rPr>
              <w:t>varēs arī</w:t>
            </w:r>
            <w:r w:rsidRPr="0005506E">
              <w:rPr>
                <w:rFonts w:eastAsia="Times New Roman" w:cs="Times New Roman"/>
                <w:szCs w:val="28"/>
                <w:lang w:eastAsia="lv-LV"/>
              </w:rPr>
              <w:t xml:space="preserve"> bez elektroniskā paraksta</w:t>
            </w:r>
            <w:r w:rsidR="004A4DE1" w:rsidRPr="0005506E">
              <w:rPr>
                <w:rFonts w:eastAsia="Times New Roman" w:cs="Times New Roman"/>
                <w:szCs w:val="28"/>
                <w:lang w:eastAsia="lv-LV"/>
              </w:rPr>
              <w:t>,</w:t>
            </w:r>
            <w:r w:rsidRPr="0005506E">
              <w:rPr>
                <w:rFonts w:eastAsia="Times New Roman" w:cs="Times New Roman"/>
                <w:szCs w:val="28"/>
                <w:lang w:eastAsia="lv-LV"/>
              </w:rPr>
              <w:t xml:space="preserve"> tikai ar </w:t>
            </w:r>
            <w:r w:rsidR="00D0537D">
              <w:rPr>
                <w:rFonts w:eastAsia="Times New Roman" w:cs="Times New Roman"/>
                <w:szCs w:val="28"/>
                <w:lang w:eastAsia="lv-LV"/>
              </w:rPr>
              <w:t>identificēšanos</w:t>
            </w:r>
            <w:r w:rsidRPr="0005506E">
              <w:rPr>
                <w:rFonts w:eastAsia="Times New Roman" w:cs="Times New Roman"/>
                <w:szCs w:val="28"/>
                <w:lang w:eastAsia="lv-LV"/>
              </w:rPr>
              <w:t xml:space="preserve"> minētajā portālā.  </w:t>
            </w:r>
          </w:p>
          <w:p w:rsidR="00BD0AC9" w:rsidRPr="00AD3486" w:rsidRDefault="00BD0AC9" w:rsidP="0083725B">
            <w:pPr>
              <w:ind w:firstLine="709"/>
              <w:jc w:val="both"/>
              <w:rPr>
                <w:rFonts w:eastAsia="Times New Roman" w:cs="Times New Roman"/>
                <w:szCs w:val="28"/>
                <w:lang w:eastAsia="lv-LV"/>
              </w:rPr>
            </w:pPr>
            <w:r w:rsidRPr="0005506E">
              <w:rPr>
                <w:rFonts w:eastAsia="Times New Roman" w:cs="Times New Roman"/>
                <w:szCs w:val="28"/>
                <w:lang w:eastAsia="lv-LV"/>
              </w:rPr>
              <w:t xml:space="preserve">Ievērojot minēto, ar noteikumu projektu tiek precizēta kārtība, kādā pārvadātājs vai tā pilnvarotais pārstāvis var pieteikties pakalpojuma – atļaujas starptautiskajiem kravas pārvadājumiem ar autotransportu - saņemšanai, paredzot, ka iesniegumu </w:t>
            </w:r>
            <w:r w:rsidR="004A4DE1" w:rsidRPr="00AD3486">
              <w:rPr>
                <w:rFonts w:eastAsia="Times New Roman" w:cs="Times New Roman"/>
                <w:szCs w:val="28"/>
                <w:lang w:eastAsia="lv-LV"/>
              </w:rPr>
              <w:t>Autotransporta d</w:t>
            </w:r>
            <w:r w:rsidRPr="00AD3486">
              <w:rPr>
                <w:rFonts w:eastAsia="Times New Roman" w:cs="Times New Roman"/>
                <w:szCs w:val="28"/>
                <w:lang w:eastAsia="lv-LV"/>
              </w:rPr>
              <w:t>irekcijā var iesniegt: 1) personīgi</w:t>
            </w:r>
            <w:r w:rsidR="00003A00" w:rsidRPr="00AD3486">
              <w:rPr>
                <w:rFonts w:eastAsia="Times New Roman" w:cs="Times New Roman"/>
                <w:szCs w:val="28"/>
                <w:lang w:eastAsia="lv-LV"/>
              </w:rPr>
              <w:t xml:space="preserve"> Autotransporta direkcijā</w:t>
            </w:r>
            <w:r w:rsidRPr="00AD3486">
              <w:rPr>
                <w:rFonts w:eastAsia="Times New Roman" w:cs="Times New Roman"/>
                <w:szCs w:val="28"/>
                <w:lang w:eastAsia="lv-LV"/>
              </w:rPr>
              <w:t xml:space="preserve">; 2) </w:t>
            </w:r>
            <w:r w:rsidR="00003A00" w:rsidRPr="00AD3486">
              <w:rPr>
                <w:rFonts w:eastAsia="Times New Roman" w:cs="Times New Roman"/>
                <w:szCs w:val="28"/>
                <w:lang w:eastAsia="lv-LV"/>
              </w:rPr>
              <w:t>pa pastu</w:t>
            </w:r>
            <w:r w:rsidRPr="00AD3486">
              <w:rPr>
                <w:rFonts w:eastAsia="Times New Roman" w:cs="Times New Roman"/>
                <w:szCs w:val="28"/>
                <w:lang w:eastAsia="lv-LV"/>
              </w:rPr>
              <w:t>; 3) elektroniski normatīvajos aktos par elektronisko dokumentu noformēšanu noteiktajā kārtībā</w:t>
            </w:r>
            <w:r w:rsidR="008177F4" w:rsidRPr="00AD3486">
              <w:rPr>
                <w:rFonts w:eastAsia="Times New Roman" w:cs="Times New Roman"/>
                <w:szCs w:val="28"/>
                <w:lang w:eastAsia="lv-LV"/>
              </w:rPr>
              <w:t>.</w:t>
            </w:r>
            <w:r w:rsidR="002F4A33" w:rsidRPr="00AD3486">
              <w:rPr>
                <w:rFonts w:eastAsia="Times New Roman" w:cs="Times New Roman"/>
                <w:szCs w:val="28"/>
                <w:lang w:eastAsia="lv-LV"/>
              </w:rPr>
              <w:t xml:space="preserve"> </w:t>
            </w:r>
            <w:r w:rsidR="008177F4" w:rsidRPr="00AD3486">
              <w:rPr>
                <w:rFonts w:eastAsia="Times New Roman" w:cs="Times New Roman"/>
                <w:szCs w:val="28"/>
                <w:lang w:eastAsia="lv-LV"/>
              </w:rPr>
              <w:t>Atļaujas saņemšanai</w:t>
            </w:r>
            <w:r w:rsidR="002F4A33" w:rsidRPr="00AD3486">
              <w:rPr>
                <w:rFonts w:eastAsia="Times New Roman" w:cs="Times New Roman"/>
                <w:szCs w:val="28"/>
                <w:lang w:eastAsia="lv-LV"/>
              </w:rPr>
              <w:t xml:space="preserve"> </w:t>
            </w:r>
            <w:r w:rsidR="00D926BE" w:rsidRPr="00AD3486">
              <w:rPr>
                <w:rFonts w:eastAsia="Times New Roman" w:cs="Times New Roman"/>
                <w:szCs w:val="28"/>
                <w:lang w:eastAsia="lv-LV"/>
              </w:rPr>
              <w:t xml:space="preserve">būs </w:t>
            </w:r>
            <w:r w:rsidR="002F4A33" w:rsidRPr="00AD3486">
              <w:rPr>
                <w:rFonts w:eastAsia="Times New Roman" w:cs="Times New Roman"/>
                <w:szCs w:val="28"/>
                <w:lang w:eastAsia="lv-LV"/>
              </w:rPr>
              <w:t xml:space="preserve">iespējams pieteikties </w:t>
            </w:r>
            <w:r w:rsidR="008177F4" w:rsidRPr="00AD3486">
              <w:rPr>
                <w:rFonts w:eastAsia="Times New Roman" w:cs="Times New Roman"/>
                <w:szCs w:val="28"/>
                <w:lang w:eastAsia="lv-LV"/>
              </w:rPr>
              <w:t xml:space="preserve">arī </w:t>
            </w:r>
            <w:r w:rsidR="002F4A33" w:rsidRPr="00AD3486">
              <w:rPr>
                <w:rFonts w:eastAsia="Times New Roman" w:cs="Times New Roman"/>
                <w:szCs w:val="28"/>
                <w:lang w:eastAsia="lv-LV"/>
              </w:rPr>
              <w:t xml:space="preserve">elektroniski, </w:t>
            </w:r>
            <w:r w:rsidR="00562E87" w:rsidRPr="00AD3486">
              <w:t xml:space="preserve">aizpildot speciālu tiešsaistes formu </w:t>
            </w:r>
            <w:r w:rsidR="002F4A33" w:rsidRPr="00AD3486">
              <w:t>Autotransporta dir</w:t>
            </w:r>
            <w:r w:rsidR="00562E87" w:rsidRPr="00AD3486">
              <w:t xml:space="preserve">ekcijas tīmekļa vietnē </w:t>
            </w:r>
            <w:hyperlink r:id="rId13" w:history="1">
              <w:r w:rsidR="002F4A33" w:rsidRPr="00AD3486">
                <w:rPr>
                  <w:rStyle w:val="Hyperlink"/>
                </w:rPr>
                <w:t>www.atd</w:t>
              </w:r>
            </w:hyperlink>
            <w:r w:rsidR="00AD3486">
              <w:rPr>
                <w:rStyle w:val="Hyperlink"/>
              </w:rPr>
              <w:t>.lv</w:t>
            </w:r>
            <w:r w:rsidR="002F4A33" w:rsidRPr="00AD3486">
              <w:t xml:space="preserve"> (e-pakalpojums), </w:t>
            </w:r>
            <w:r w:rsidR="00562E87" w:rsidRPr="00AD3486">
              <w:t xml:space="preserve">identifikācijai </w:t>
            </w:r>
            <w:r w:rsidR="002F4A33" w:rsidRPr="00AD3486">
              <w:t xml:space="preserve">izmantojot portālā </w:t>
            </w:r>
            <w:hyperlink r:id="rId14" w:history="1">
              <w:r w:rsidR="006314A1" w:rsidRPr="00AD3486">
                <w:rPr>
                  <w:rStyle w:val="Hyperlink"/>
                </w:rPr>
                <w:t>www.latvija.lv</w:t>
              </w:r>
            </w:hyperlink>
            <w:r w:rsidR="002F4A33" w:rsidRPr="00AD3486">
              <w:rPr>
                <w:rFonts w:eastAsia="Times New Roman" w:cs="Times New Roman"/>
                <w:szCs w:val="28"/>
                <w:lang w:eastAsia="lv-LV"/>
              </w:rPr>
              <w:t xml:space="preserve"> </w:t>
            </w:r>
            <w:r w:rsidR="002F4A33" w:rsidRPr="00AD3486">
              <w:t>pieejamos personas identifikācijas līdzekļus</w:t>
            </w:r>
            <w:r w:rsidR="001D73E0" w:rsidRPr="00AD3486">
              <w:rPr>
                <w:rFonts w:eastAsia="Times New Roman" w:cs="Times New Roman"/>
                <w:szCs w:val="28"/>
                <w:lang w:eastAsia="lv-LV"/>
              </w:rPr>
              <w:t>.</w:t>
            </w:r>
            <w:r w:rsidRPr="00AD3486">
              <w:rPr>
                <w:rFonts w:eastAsia="Times New Roman" w:cs="Times New Roman"/>
                <w:szCs w:val="28"/>
                <w:lang w:eastAsia="lv-LV"/>
              </w:rPr>
              <w:t xml:space="preserve"> </w:t>
            </w:r>
          </w:p>
          <w:p w:rsidR="00AC1C3A" w:rsidRPr="00AD3486" w:rsidRDefault="00AC1C3A" w:rsidP="0083725B">
            <w:pPr>
              <w:ind w:firstLine="709"/>
              <w:jc w:val="both"/>
              <w:rPr>
                <w:rFonts w:eastAsia="Times New Roman" w:cs="Times New Roman"/>
                <w:szCs w:val="28"/>
                <w:lang w:eastAsia="lv-LV"/>
              </w:rPr>
            </w:pPr>
          </w:p>
          <w:p w:rsidR="006F18E1" w:rsidRPr="00AD3486" w:rsidRDefault="00AC1C3A" w:rsidP="003153D9">
            <w:pPr>
              <w:ind w:firstLine="709"/>
              <w:jc w:val="both"/>
              <w:rPr>
                <w:rFonts w:eastAsia="Times New Roman" w:cs="Times New Roman"/>
                <w:szCs w:val="28"/>
                <w:lang w:eastAsia="lv-LV"/>
              </w:rPr>
            </w:pPr>
            <w:r w:rsidRPr="00AD3486">
              <w:rPr>
                <w:rFonts w:eastAsia="Times New Roman" w:cs="Times New Roman"/>
                <w:szCs w:val="28"/>
                <w:lang w:eastAsia="lv-LV"/>
              </w:rPr>
              <w:t xml:space="preserve">6. </w:t>
            </w:r>
            <w:r w:rsidR="003153D9" w:rsidRPr="00AD3486">
              <w:rPr>
                <w:rFonts w:eastAsia="Times New Roman" w:cs="Times New Roman"/>
                <w:szCs w:val="28"/>
                <w:lang w:eastAsia="lv-LV"/>
              </w:rPr>
              <w:t xml:space="preserve">Ņemot vērā, ka ievērojams skaits </w:t>
            </w:r>
            <w:r w:rsidR="003153D9" w:rsidRPr="00AD3486">
              <w:t>Latvijas Republikas divpusējo līgumu autopārvadājumu jomā paredz nepieciešamību saņemt attiecīgās valsts starptautisko kravas pārvadājumu atļauju arī gadījumos, kad tiek veikts pašpārvadājums</w:t>
            </w:r>
            <w:r w:rsidR="00897FDA" w:rsidRPr="00AD3486">
              <w:t xml:space="preserve"> (sīkāka informācija:  </w:t>
            </w:r>
            <w:hyperlink r:id="rId15" w:history="1">
              <w:r w:rsidR="00897FDA" w:rsidRPr="00AD3486">
                <w:rPr>
                  <w:rStyle w:val="Hyperlink"/>
                  <w:rFonts w:eastAsia="Times New Roman" w:cs="Times New Roman"/>
                  <w:szCs w:val="28"/>
                  <w:lang w:eastAsia="lv-LV"/>
                </w:rPr>
                <w:t>http://www.atd.lv/lat/noderiga_info/?doc=629</w:t>
              </w:r>
            </w:hyperlink>
            <w:r w:rsidR="00897FDA" w:rsidRPr="00AD3486">
              <w:rPr>
                <w:rStyle w:val="Hyperlink"/>
                <w:rFonts w:eastAsia="Times New Roman" w:cs="Times New Roman"/>
                <w:szCs w:val="28"/>
                <w:lang w:eastAsia="lv-LV"/>
              </w:rPr>
              <w:t>)</w:t>
            </w:r>
            <w:r w:rsidR="003153D9" w:rsidRPr="00AD3486">
              <w:t xml:space="preserve">, </w:t>
            </w:r>
            <w:r w:rsidR="00730E74" w:rsidRPr="00AD3486">
              <w:t xml:space="preserve">noteikumu projektā tiek </w:t>
            </w:r>
            <w:r w:rsidR="003153D9" w:rsidRPr="00AD3486">
              <w:t>precizēt</w:t>
            </w:r>
            <w:r w:rsidR="00397478" w:rsidRPr="00AD3486">
              <w:t>a p</w:t>
            </w:r>
            <w:r w:rsidR="00897FDA" w:rsidRPr="00AD3486">
              <w:t>e</w:t>
            </w:r>
            <w:r w:rsidR="00397478" w:rsidRPr="00AD3486">
              <w:t>r</w:t>
            </w:r>
            <w:r w:rsidR="00897FDA" w:rsidRPr="00AD3486">
              <w:t>sona</w:t>
            </w:r>
            <w:r w:rsidR="003153D9" w:rsidRPr="00AD3486">
              <w:t>, ka</w:t>
            </w:r>
            <w:r w:rsidR="007E6A42" w:rsidRPr="00AD3486">
              <w:t>s šādu atļauju var pieprasīt pašpārvadājuma gadījumā.</w:t>
            </w:r>
            <w:r w:rsidR="007E6A42" w:rsidRPr="00AD3486">
              <w:rPr>
                <w:color w:val="FF0000"/>
              </w:rPr>
              <w:t xml:space="preserve"> </w:t>
            </w:r>
          </w:p>
          <w:p w:rsidR="00003A00" w:rsidRPr="00120FF4" w:rsidRDefault="00D505F3" w:rsidP="00DD02FC">
            <w:pPr>
              <w:ind w:firstLine="700"/>
              <w:jc w:val="both"/>
              <w:rPr>
                <w:rFonts w:eastAsia="Times New Roman" w:cs="Times New Roman"/>
                <w:szCs w:val="28"/>
                <w:lang w:eastAsia="lv-LV"/>
              </w:rPr>
            </w:pPr>
            <w:r w:rsidRPr="00AD3486">
              <w:rPr>
                <w:rFonts w:eastAsia="Times New Roman" w:cs="Times New Roman"/>
                <w:szCs w:val="28"/>
                <w:lang w:eastAsia="lv-LV"/>
              </w:rPr>
              <w:t>Noteikumu projekts paredz informāciju par pārvadātājiem izsniegto atļauju skaitu ievietot</w:t>
            </w:r>
            <w:r w:rsidRPr="00726085">
              <w:rPr>
                <w:rFonts w:eastAsia="Times New Roman" w:cs="Times New Roman"/>
                <w:szCs w:val="28"/>
                <w:lang w:eastAsia="lv-LV"/>
              </w:rPr>
              <w:t xml:space="preserve"> internetā reizi gadā par iepriekšējā gadā pārvadātājiem izsniegto atļauju skaitu. </w:t>
            </w:r>
          </w:p>
        </w:tc>
      </w:tr>
      <w:tr w:rsidR="000E639F" w:rsidRPr="003D6F09" w:rsidTr="00E900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D6F09" w:rsidRPr="003D6F09" w:rsidRDefault="00FF5931" w:rsidP="00EF2969">
            <w:pPr>
              <w:ind w:firstLine="0"/>
            </w:pPr>
            <w:r>
              <w:t>Satiksmes ministrija, V</w:t>
            </w:r>
            <w:r w:rsidR="00EF2969">
              <w:t>SIA „Autotransporta direkcija”</w:t>
            </w:r>
          </w:p>
        </w:tc>
      </w:tr>
      <w:tr w:rsidR="000E639F" w:rsidRPr="003D6F09" w:rsidTr="00E900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4.</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Cita informācija</w:t>
            </w:r>
          </w:p>
        </w:tc>
        <w:tc>
          <w:tcPr>
            <w:tcW w:w="3159" w:type="pct"/>
            <w:tcBorders>
              <w:top w:val="outset" w:sz="6" w:space="0" w:color="auto"/>
              <w:left w:val="outset" w:sz="6" w:space="0" w:color="auto"/>
              <w:bottom w:val="outset" w:sz="6" w:space="0" w:color="auto"/>
              <w:right w:val="outset" w:sz="6" w:space="0" w:color="auto"/>
            </w:tcBorders>
          </w:tcPr>
          <w:p w:rsidR="003D6F09" w:rsidRPr="003D6F09" w:rsidRDefault="004D7383" w:rsidP="004E2013">
            <w:pPr>
              <w:ind w:firstLine="0"/>
            </w:pPr>
            <w:r>
              <w:t>Nav</w:t>
            </w:r>
          </w:p>
        </w:tc>
      </w:tr>
    </w:tbl>
    <w:p w:rsidR="003D6F09" w:rsidRDefault="003D6F09" w:rsidP="003D6F09">
      <w:pPr>
        <w:ind w:firstLine="0"/>
      </w:pPr>
      <w:r w:rsidRPr="003D6F09">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D6F09" w:rsidRPr="003D6F09" w:rsidTr="00E900C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3D6F09">
            <w:pPr>
              <w:ind w:firstLine="0"/>
              <w:rPr>
                <w:b/>
                <w:bCs/>
              </w:rPr>
            </w:pPr>
            <w:r w:rsidRPr="003D6F09">
              <w:rPr>
                <w:b/>
                <w:bCs/>
              </w:rPr>
              <w:t>II. Tiesību akta projekta ietekme uz sabiedrību, tautsaimniecības attīstību un administratīvo slogu</w:t>
            </w:r>
          </w:p>
        </w:tc>
      </w:tr>
      <w:tr w:rsidR="00F81D26" w:rsidRPr="003D6F09" w:rsidTr="00E900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81D26" w:rsidRPr="003D6F09" w:rsidRDefault="00F81D26" w:rsidP="003D6F09">
            <w:pPr>
              <w:ind w:firstLine="0"/>
            </w:pPr>
            <w:r w:rsidRPr="003D6F09">
              <w:t>1.</w:t>
            </w:r>
          </w:p>
        </w:tc>
        <w:tc>
          <w:tcPr>
            <w:tcW w:w="1530" w:type="pct"/>
            <w:tcBorders>
              <w:top w:val="outset" w:sz="6" w:space="0" w:color="auto"/>
              <w:left w:val="outset" w:sz="6" w:space="0" w:color="auto"/>
              <w:bottom w:val="outset" w:sz="6" w:space="0" w:color="auto"/>
              <w:right w:val="outset" w:sz="6" w:space="0" w:color="auto"/>
            </w:tcBorders>
            <w:hideMark/>
          </w:tcPr>
          <w:p w:rsidR="00F81D26" w:rsidRPr="003D6F09" w:rsidRDefault="00F81D26" w:rsidP="003D6F09">
            <w:pPr>
              <w:ind w:firstLine="0"/>
            </w:pPr>
            <w:r w:rsidRPr="003D6F09">
              <w:t xml:space="preserve">Sabiedrības mērķgrupas, kuras tiesiskais regulējums </w:t>
            </w:r>
            <w:r w:rsidRPr="003D6F09">
              <w:lastRenderedPageBreak/>
              <w:t>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F63375" w:rsidRPr="00F63375" w:rsidRDefault="00F81D26" w:rsidP="00E900C9">
            <w:pPr>
              <w:spacing w:before="75" w:after="75"/>
              <w:ind w:firstLine="0"/>
              <w:jc w:val="both"/>
              <w:rPr>
                <w:rFonts w:eastAsia="Times New Roman"/>
                <w:color w:val="FF0000"/>
                <w:szCs w:val="28"/>
                <w:lang w:eastAsia="lv-LV"/>
              </w:rPr>
            </w:pPr>
            <w:r w:rsidRPr="00392042">
              <w:rPr>
                <w:rFonts w:eastAsia="Times New Roman"/>
                <w:szCs w:val="28"/>
                <w:lang w:eastAsia="lv-LV"/>
              </w:rPr>
              <w:lastRenderedPageBreak/>
              <w:t xml:space="preserve">Komersanti, kas veic </w:t>
            </w:r>
            <w:r w:rsidR="00B77D76">
              <w:rPr>
                <w:rFonts w:eastAsia="Times New Roman"/>
                <w:szCs w:val="28"/>
                <w:lang w:eastAsia="lv-LV"/>
              </w:rPr>
              <w:t xml:space="preserve">starptautiskos </w:t>
            </w:r>
            <w:r w:rsidRPr="00392042">
              <w:rPr>
                <w:rFonts w:eastAsia="Times New Roman"/>
                <w:szCs w:val="28"/>
                <w:lang w:eastAsia="lv-LV"/>
              </w:rPr>
              <w:t xml:space="preserve">kravas komercpārvadājumus ar autotransportu. Uz </w:t>
            </w:r>
            <w:r w:rsidRPr="0005506E">
              <w:rPr>
                <w:rFonts w:eastAsia="Times New Roman"/>
                <w:szCs w:val="28"/>
                <w:lang w:eastAsia="lv-LV"/>
              </w:rPr>
              <w:t>201</w:t>
            </w:r>
            <w:r w:rsidR="000B54DF" w:rsidRPr="0005506E">
              <w:rPr>
                <w:rFonts w:eastAsia="Times New Roman"/>
                <w:szCs w:val="28"/>
                <w:lang w:eastAsia="lv-LV"/>
              </w:rPr>
              <w:t>4</w:t>
            </w:r>
            <w:r w:rsidRPr="0005506E">
              <w:rPr>
                <w:rFonts w:eastAsia="Times New Roman"/>
                <w:szCs w:val="28"/>
                <w:lang w:eastAsia="lv-LV"/>
              </w:rPr>
              <w:t>.gada 1.</w:t>
            </w:r>
            <w:r w:rsidR="00E14215">
              <w:rPr>
                <w:rFonts w:eastAsia="Times New Roman"/>
                <w:szCs w:val="28"/>
                <w:lang w:eastAsia="lv-LV"/>
              </w:rPr>
              <w:t xml:space="preserve">jūliju bija 3341 pārvadātājs, kuram ir </w:t>
            </w:r>
            <w:r w:rsidR="00E14215">
              <w:rPr>
                <w:rFonts w:eastAsia="Times New Roman"/>
                <w:szCs w:val="28"/>
                <w:lang w:eastAsia="lv-LV"/>
              </w:rPr>
              <w:lastRenderedPageBreak/>
              <w:t xml:space="preserve">darbībā esoša Kopienas atļauja starptautiskajiem </w:t>
            </w:r>
            <w:r w:rsidR="005108F7" w:rsidRPr="00392042">
              <w:rPr>
                <w:rFonts w:eastAsia="Times New Roman"/>
                <w:szCs w:val="28"/>
                <w:lang w:eastAsia="lv-LV"/>
              </w:rPr>
              <w:t>kravas komercpārvadājum</w:t>
            </w:r>
            <w:r w:rsidR="00E14215">
              <w:rPr>
                <w:rFonts w:eastAsia="Times New Roman"/>
                <w:szCs w:val="28"/>
                <w:lang w:eastAsia="lv-LV"/>
              </w:rPr>
              <w:t xml:space="preserve">iem </w:t>
            </w:r>
            <w:r w:rsidR="005108F7" w:rsidRPr="00392042">
              <w:rPr>
                <w:rFonts w:eastAsia="Times New Roman"/>
                <w:szCs w:val="28"/>
                <w:lang w:eastAsia="lv-LV"/>
              </w:rPr>
              <w:t xml:space="preserve"> ar autotransportu</w:t>
            </w:r>
            <w:r w:rsidR="00E14215">
              <w:rPr>
                <w:rFonts w:eastAsia="Times New Roman"/>
                <w:szCs w:val="28"/>
                <w:lang w:eastAsia="lv-LV"/>
              </w:rPr>
              <w:t xml:space="preserve"> un kuru rīcībā bija 13650 kravas autotransporta līdzekļi starptautisko autopārvadājumu veikšanai. </w:t>
            </w:r>
          </w:p>
        </w:tc>
      </w:tr>
      <w:tr w:rsidR="003D6F09" w:rsidRPr="003D6F09" w:rsidTr="00E900C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lastRenderedPageBreak/>
              <w:t>2.</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3D6F09" w:rsidRDefault="00B71AD1" w:rsidP="00E900C9">
            <w:pPr>
              <w:ind w:firstLine="350"/>
              <w:jc w:val="both"/>
            </w:pPr>
            <w:r>
              <w:t>Pārvadātājiem tiks mazināts a</w:t>
            </w:r>
            <w:r w:rsidR="00F81D26">
              <w:t xml:space="preserve">dministratīvais slogs, jo </w:t>
            </w:r>
            <w:r w:rsidR="00490EDD">
              <w:t xml:space="preserve">turpmāk, lai saņemtu starptautisko kravas autopārvadājumu atļauju, nebūs nepieciešams uzrādīt licenci </w:t>
            </w:r>
            <w:r w:rsidR="00490EDD" w:rsidRPr="006179C2">
              <w:t>starptautiskajiem kravu komercpārvadājumiem vai Kopienas atļauju starptautiskajiem kravu komercpārvadājumiem ar autotransportu</w:t>
            </w:r>
            <w:r w:rsidR="00490EDD">
              <w:t>, vai pašpārvadājumu sertifikātu</w:t>
            </w:r>
            <w:r w:rsidR="00490EDD" w:rsidRPr="006179C2">
              <w:t>, veicot vienreizēju nekomerciālu autopārvadājumu</w:t>
            </w:r>
            <w:r w:rsidR="00490EDD">
              <w:t>.</w:t>
            </w:r>
          </w:p>
          <w:p w:rsidR="00F63375" w:rsidRDefault="00B71AD1" w:rsidP="00E900C9">
            <w:pPr>
              <w:ind w:firstLine="350"/>
              <w:jc w:val="both"/>
            </w:pPr>
            <w:r>
              <w:t>Precizējot atļauju sadales kritērijus, t</w:t>
            </w:r>
            <w:r w:rsidR="00F63375">
              <w:t xml:space="preserve">iks </w:t>
            </w:r>
            <w:r w:rsidR="00F63375" w:rsidRPr="0044068E">
              <w:t>nodrošināt</w:t>
            </w:r>
            <w:r w:rsidR="00F63375">
              <w:t>a</w:t>
            </w:r>
            <w:r w:rsidR="00F63375" w:rsidRPr="0044068E">
              <w:t xml:space="preserve"> godīg</w:t>
            </w:r>
            <w:r w:rsidR="00F63375">
              <w:t>a</w:t>
            </w:r>
            <w:r w:rsidR="00F63375" w:rsidRPr="0044068E">
              <w:t xml:space="preserve"> un vienlīdzīg</w:t>
            </w:r>
            <w:r w:rsidR="00F63375">
              <w:t>a</w:t>
            </w:r>
            <w:r w:rsidR="00F63375" w:rsidRPr="0044068E">
              <w:t xml:space="preserve"> atļauju sadal</w:t>
            </w:r>
            <w:r w:rsidR="00F63375">
              <w:t>e</w:t>
            </w:r>
            <w:r w:rsidR="00F63375" w:rsidRPr="0044068E">
              <w:t xml:space="preserve"> visiem pārvadātājiem uz valstīm, kuru atļauju skaits nenodrošina pārvadātāju pieprasījumu</w:t>
            </w:r>
            <w:r w:rsidR="00F63375">
              <w:t>.</w:t>
            </w:r>
          </w:p>
          <w:p w:rsidR="00F63375" w:rsidRDefault="00F63375" w:rsidP="00E900C9">
            <w:pPr>
              <w:ind w:firstLine="350"/>
              <w:jc w:val="both"/>
            </w:pPr>
            <w:r>
              <w:t xml:space="preserve">Tādējādi </w:t>
            </w:r>
            <w:r w:rsidRPr="00F63375">
              <w:t>tiks nodrošināts vienotāks un efektīvāks uz godīgiem konkurences noteikumiem veidots autopārvadājumu tirgus.</w:t>
            </w:r>
          </w:p>
          <w:p w:rsidR="00F9412A" w:rsidRPr="00F9412A" w:rsidRDefault="00351EB6" w:rsidP="00E900C9">
            <w:pPr>
              <w:ind w:firstLine="350"/>
              <w:jc w:val="both"/>
              <w:rPr>
                <w:szCs w:val="28"/>
              </w:rPr>
            </w:pPr>
            <w:r>
              <w:rPr>
                <w:rFonts w:cs="Times New Roman"/>
                <w:szCs w:val="28"/>
                <w:lang w:eastAsia="lv-LV"/>
              </w:rPr>
              <w:t xml:space="preserve">Tiks nodrošināta iespēja </w:t>
            </w:r>
            <w:r w:rsidR="00F9412A" w:rsidRPr="00C61601">
              <w:rPr>
                <w:rFonts w:cs="Times New Roman"/>
                <w:szCs w:val="28"/>
                <w:lang w:eastAsia="lv-LV"/>
              </w:rPr>
              <w:t>pakalpojumu saņemšanai pieteik</w:t>
            </w:r>
            <w:r w:rsidR="00AB2F0F">
              <w:rPr>
                <w:rFonts w:cs="Times New Roman"/>
                <w:szCs w:val="28"/>
                <w:lang w:eastAsia="lv-LV"/>
              </w:rPr>
              <w:t>t</w:t>
            </w:r>
            <w:r w:rsidR="00F9412A" w:rsidRPr="00C61601">
              <w:rPr>
                <w:rFonts w:cs="Times New Roman"/>
                <w:szCs w:val="28"/>
                <w:lang w:eastAsia="lv-LV"/>
              </w:rPr>
              <w:t>ies</w:t>
            </w:r>
            <w:r w:rsidR="003328F6" w:rsidRPr="00C61601">
              <w:rPr>
                <w:rFonts w:cs="Times New Roman"/>
                <w:szCs w:val="28"/>
                <w:lang w:eastAsia="lv-LV"/>
              </w:rPr>
              <w:t xml:space="preserve"> elektroniski</w:t>
            </w:r>
            <w:r w:rsidR="00F9412A" w:rsidRPr="00C61601">
              <w:rPr>
                <w:rFonts w:cs="Times New Roman"/>
                <w:szCs w:val="28"/>
                <w:lang w:eastAsia="lv-LV"/>
              </w:rPr>
              <w:t xml:space="preserve">, izmantojot </w:t>
            </w:r>
            <w:r w:rsidR="003328F6" w:rsidRPr="00C61601">
              <w:rPr>
                <w:rFonts w:cs="Times New Roman"/>
                <w:szCs w:val="28"/>
                <w:lang w:eastAsia="lv-LV"/>
              </w:rPr>
              <w:t>e-</w:t>
            </w:r>
            <w:r w:rsidR="00F9412A" w:rsidRPr="00C61601">
              <w:rPr>
                <w:rFonts w:cs="Times New Roman"/>
                <w:szCs w:val="28"/>
                <w:lang w:eastAsia="lv-LV"/>
              </w:rPr>
              <w:t xml:space="preserve">pakalpojumu </w:t>
            </w:r>
            <w:r w:rsidR="003328F6" w:rsidRPr="00C61601">
              <w:rPr>
                <w:rFonts w:eastAsia="Times New Roman" w:cs="Times New Roman"/>
                <w:szCs w:val="28"/>
                <w:lang w:eastAsia="lv-LV"/>
              </w:rPr>
              <w:t>Autotransporta direkcijas mā</w:t>
            </w:r>
            <w:r w:rsidR="003F2127" w:rsidRPr="00C61601">
              <w:rPr>
                <w:rFonts w:eastAsia="Times New Roman" w:cs="Times New Roman"/>
                <w:szCs w:val="28"/>
                <w:lang w:eastAsia="lv-LV"/>
              </w:rPr>
              <w:t>jas</w:t>
            </w:r>
            <w:r w:rsidR="003328F6" w:rsidRPr="00C61601">
              <w:rPr>
                <w:rFonts w:eastAsia="Times New Roman" w:cs="Times New Roman"/>
                <w:szCs w:val="28"/>
                <w:lang w:eastAsia="lv-LV"/>
              </w:rPr>
              <w:t>lapā</w:t>
            </w:r>
            <w:r w:rsidR="00F9412A" w:rsidRPr="00C61601">
              <w:rPr>
                <w:rFonts w:cs="Times New Roman"/>
                <w:szCs w:val="28"/>
                <w:lang w:eastAsia="lv-LV"/>
              </w:rPr>
              <w:t xml:space="preserve">, tādējādi uzlabojot </w:t>
            </w:r>
            <w:r w:rsidR="003328F6" w:rsidRPr="00C61601">
              <w:rPr>
                <w:rFonts w:eastAsia="Times New Roman" w:cs="Times New Roman"/>
                <w:szCs w:val="28"/>
                <w:lang w:eastAsia="lv-LV"/>
              </w:rPr>
              <w:t>Autotransporta d</w:t>
            </w:r>
            <w:r w:rsidR="00F9412A" w:rsidRPr="00C61601">
              <w:rPr>
                <w:rFonts w:cs="Times New Roman"/>
                <w:szCs w:val="28"/>
                <w:lang w:eastAsia="lv-LV"/>
              </w:rPr>
              <w:t>irekcijas darba efektivitāti un samazinot administratīvo slogu</w:t>
            </w:r>
            <w:r w:rsidR="003C4D8F">
              <w:rPr>
                <w:rFonts w:cs="Times New Roman"/>
                <w:szCs w:val="28"/>
                <w:lang w:eastAsia="lv-LV"/>
              </w:rPr>
              <w:t xml:space="preserve"> pārvadātājiem</w:t>
            </w:r>
            <w:r w:rsidR="00F9412A">
              <w:rPr>
                <w:rFonts w:cs="Times New Roman"/>
                <w:szCs w:val="28"/>
                <w:lang w:eastAsia="lv-LV"/>
              </w:rPr>
              <w:t>.</w:t>
            </w:r>
          </w:p>
        </w:tc>
      </w:tr>
      <w:tr w:rsidR="003D6F09" w:rsidRPr="003D6F09" w:rsidTr="00E900C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3.</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1A68D5" w:rsidRPr="00150AD0" w:rsidRDefault="00150AD0" w:rsidP="00E900C9">
            <w:pPr>
              <w:spacing w:before="75" w:after="75"/>
              <w:ind w:firstLine="375"/>
              <w:jc w:val="both"/>
              <w:rPr>
                <w:rFonts w:eastAsia="Times New Roman"/>
                <w:szCs w:val="28"/>
                <w:lang w:eastAsia="lv-LV"/>
              </w:rPr>
            </w:pPr>
            <w:r>
              <w:rPr>
                <w:rFonts w:eastAsia="Times New Roman"/>
                <w:szCs w:val="28"/>
                <w:lang w:eastAsia="lv-LV"/>
              </w:rPr>
              <w:t>Administratīvās izmaksu samazinājums</w:t>
            </w:r>
            <w:r w:rsidR="001A68D5" w:rsidRPr="00150AD0">
              <w:rPr>
                <w:rFonts w:eastAsia="Times New Roman"/>
                <w:szCs w:val="28"/>
                <w:lang w:eastAsia="lv-LV"/>
              </w:rPr>
              <w:t xml:space="preserve"> gada laikā autopārvadātājiem nepārsniedz 2000 </w:t>
            </w:r>
            <w:r w:rsidR="001A68D5" w:rsidRPr="00150AD0">
              <w:rPr>
                <w:rFonts w:eastAsia="Times New Roman"/>
                <w:i/>
                <w:szCs w:val="28"/>
                <w:lang w:eastAsia="lv-LV"/>
              </w:rPr>
              <w:t>euro</w:t>
            </w:r>
            <w:r w:rsidR="001A68D5" w:rsidRPr="00150AD0">
              <w:rPr>
                <w:rFonts w:eastAsia="Times New Roman"/>
                <w:szCs w:val="28"/>
                <w:lang w:eastAsia="lv-LV"/>
              </w:rPr>
              <w:t xml:space="preserve">. </w:t>
            </w:r>
          </w:p>
          <w:p w:rsidR="003D6F09" w:rsidRPr="001A68D5" w:rsidRDefault="00150AD0" w:rsidP="00E900C9">
            <w:pPr>
              <w:spacing w:before="75" w:after="75"/>
              <w:ind w:firstLine="375"/>
              <w:jc w:val="both"/>
              <w:rPr>
                <w:rFonts w:eastAsia="Times New Roman"/>
                <w:szCs w:val="28"/>
                <w:highlight w:val="yellow"/>
                <w:lang w:eastAsia="lv-LV"/>
              </w:rPr>
            </w:pPr>
            <w:r w:rsidRPr="00150AD0">
              <w:rPr>
                <w:rFonts w:eastAsia="Times New Roman"/>
                <w:szCs w:val="28"/>
                <w:lang w:eastAsia="lv-LV"/>
              </w:rPr>
              <w:t>Tiesiskais regulējums Autotransporta direkcijai nerada papildus izmaksas saistībā ar informācijas pieņemšanas, apstrādes vai uzglabāšanas pienākumiem.</w:t>
            </w:r>
          </w:p>
        </w:tc>
      </w:tr>
      <w:tr w:rsidR="003D6F09" w:rsidRPr="003D6F09" w:rsidTr="00E900C9">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4.</w:t>
            </w:r>
          </w:p>
        </w:tc>
        <w:tc>
          <w:tcPr>
            <w:tcW w:w="1530"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D6F09" w:rsidRPr="003D6F09" w:rsidRDefault="0009515D" w:rsidP="003D6F09">
            <w:pPr>
              <w:ind w:firstLine="0"/>
            </w:pPr>
            <w:r>
              <w:t>Nav</w:t>
            </w:r>
          </w:p>
        </w:tc>
      </w:tr>
    </w:tbl>
    <w:p w:rsidR="003D6F09" w:rsidRDefault="003D6F09" w:rsidP="003D6F09">
      <w:pPr>
        <w:ind w:firstLine="0"/>
      </w:pPr>
      <w:r w:rsidRPr="003D6F09">
        <w:t> </w:t>
      </w:r>
    </w:p>
    <w:p w:rsidR="0009515D" w:rsidRDefault="0009515D" w:rsidP="0009515D">
      <w:r w:rsidRPr="003D6F09">
        <w:t> </w:t>
      </w:r>
      <w:r w:rsidRPr="00C608C5">
        <w:t xml:space="preserve">Anotācijas </w:t>
      </w:r>
      <w:r>
        <w:t>III</w:t>
      </w:r>
      <w:r w:rsidR="00C61601">
        <w:t>,</w:t>
      </w:r>
      <w:r w:rsidR="00BB1A73">
        <w:t xml:space="preserve"> </w:t>
      </w:r>
      <w:r w:rsidR="00657506">
        <w:t xml:space="preserve">IV </w:t>
      </w:r>
      <w:r w:rsidR="00C61601">
        <w:t xml:space="preserve">un V </w:t>
      </w:r>
      <w:r w:rsidRPr="00C608C5">
        <w:t>sadaļa – projekts š</w:t>
      </w:r>
      <w:r w:rsidR="000A69D8">
        <w:t>īs</w:t>
      </w:r>
      <w:r w:rsidRPr="00C608C5">
        <w:t xml:space="preserve"> jom</w:t>
      </w:r>
      <w:r w:rsidR="000A69D8">
        <w:t>as</w:t>
      </w:r>
      <w:r w:rsidRPr="00C608C5">
        <w:t xml:space="preserve"> neskar</w:t>
      </w:r>
      <w:r>
        <w:t>.</w:t>
      </w:r>
    </w:p>
    <w:p w:rsidR="0009515D" w:rsidRPr="003D6F09" w:rsidRDefault="0009515D" w:rsidP="003D6F09">
      <w:pPr>
        <w:ind w:firstLine="0"/>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3D6F09" w:rsidRPr="003D6F09" w:rsidTr="003D6F0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3D6F09">
            <w:pPr>
              <w:ind w:firstLine="0"/>
              <w:rPr>
                <w:b/>
                <w:bCs/>
              </w:rPr>
            </w:pPr>
            <w:r w:rsidRPr="003D6F09">
              <w:rPr>
                <w:b/>
                <w:bCs/>
              </w:rPr>
              <w:t>VI. Sabiedrības līdzdalība un komunikācijas aktivitātes</w:t>
            </w:r>
          </w:p>
        </w:tc>
      </w:tr>
      <w:tr w:rsidR="002E10FB" w:rsidRPr="003D6F09" w:rsidTr="00E376CB">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1.</w:t>
            </w:r>
          </w:p>
        </w:tc>
        <w:tc>
          <w:tcPr>
            <w:tcW w:w="1480"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 xml:space="preserve">Plānotās sabiedrības līdzdalības un komunikācijas </w:t>
            </w:r>
            <w:r w:rsidRPr="003D6F09">
              <w:lastRenderedPageBreak/>
              <w:t>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2E10FB" w:rsidRPr="003D6F09" w:rsidRDefault="002E10FB" w:rsidP="00B52E29">
            <w:pPr>
              <w:ind w:firstLine="0"/>
              <w:jc w:val="both"/>
            </w:pPr>
            <w:r>
              <w:lastRenderedPageBreak/>
              <w:t>Projekts ievietots Satiksmes ministrijas mājaslapā</w:t>
            </w:r>
          </w:p>
        </w:tc>
      </w:tr>
      <w:tr w:rsidR="002E10FB" w:rsidRPr="003D6F09" w:rsidTr="00EB28B9">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lastRenderedPageBreak/>
              <w:t>2.</w:t>
            </w:r>
          </w:p>
        </w:tc>
        <w:tc>
          <w:tcPr>
            <w:tcW w:w="1480"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2E10FB" w:rsidRPr="002A693C" w:rsidRDefault="002E10FB" w:rsidP="00B52E29">
            <w:pPr>
              <w:ind w:firstLine="0"/>
              <w:jc w:val="both"/>
            </w:pPr>
            <w:r w:rsidRPr="002A693C">
              <w:t>Biedrība „Autopārvadātāju Asociācija „Latvijas auto””</w:t>
            </w:r>
          </w:p>
          <w:p w:rsidR="002E10FB" w:rsidRPr="00494EBF" w:rsidRDefault="002E10FB" w:rsidP="00B52E29">
            <w:pPr>
              <w:ind w:firstLine="0"/>
              <w:jc w:val="both"/>
              <w:rPr>
                <w:highlight w:val="yellow"/>
              </w:rPr>
            </w:pPr>
            <w:r>
              <w:t xml:space="preserve">Biedrība </w:t>
            </w:r>
            <w:r w:rsidRPr="002A693C">
              <w:t>„Latvijas Pasažieru pārvadātāju asociācija”</w:t>
            </w:r>
          </w:p>
        </w:tc>
      </w:tr>
      <w:tr w:rsidR="002E10FB" w:rsidRPr="003D6F09" w:rsidTr="00EB28B9">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3.</w:t>
            </w:r>
          </w:p>
        </w:tc>
        <w:tc>
          <w:tcPr>
            <w:tcW w:w="1480"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2E10FB" w:rsidRPr="00EA242B" w:rsidRDefault="002E10FB" w:rsidP="00B52E29">
            <w:pPr>
              <w:ind w:firstLine="0"/>
              <w:jc w:val="both"/>
              <w:rPr>
                <w:highlight w:val="yellow"/>
              </w:rPr>
            </w:pPr>
            <w:r w:rsidRPr="005B5C28">
              <w:t>Atbalsta projektu</w:t>
            </w:r>
          </w:p>
        </w:tc>
      </w:tr>
      <w:tr w:rsidR="002E10FB" w:rsidRPr="003D6F09" w:rsidTr="00E376C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4.</w:t>
            </w:r>
          </w:p>
        </w:tc>
        <w:tc>
          <w:tcPr>
            <w:tcW w:w="1480"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rsidRPr="003D6F09">
              <w:t>Cita informācija</w:t>
            </w:r>
          </w:p>
        </w:tc>
        <w:tc>
          <w:tcPr>
            <w:tcW w:w="3208" w:type="pct"/>
            <w:tcBorders>
              <w:top w:val="outset" w:sz="6" w:space="0" w:color="auto"/>
              <w:left w:val="outset" w:sz="6" w:space="0" w:color="auto"/>
              <w:bottom w:val="outset" w:sz="6" w:space="0" w:color="auto"/>
              <w:right w:val="outset" w:sz="6" w:space="0" w:color="auto"/>
            </w:tcBorders>
            <w:hideMark/>
          </w:tcPr>
          <w:p w:rsidR="002E10FB" w:rsidRPr="003D6F09" w:rsidRDefault="002E10FB" w:rsidP="003D6F09">
            <w:pPr>
              <w:ind w:firstLine="0"/>
            </w:pPr>
            <w:r>
              <w:t>Nav</w:t>
            </w:r>
          </w:p>
        </w:tc>
      </w:tr>
    </w:tbl>
    <w:p w:rsidR="003D6F09" w:rsidRPr="003D6F09" w:rsidRDefault="003D6F09" w:rsidP="003D6F09">
      <w:pPr>
        <w:ind w:firstLine="0"/>
      </w:pPr>
      <w:r w:rsidRPr="003D6F09">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3D6F09" w:rsidRPr="003D6F09" w:rsidTr="003D6F0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3D6F09" w:rsidRDefault="003D6F09" w:rsidP="003D6F09">
            <w:pPr>
              <w:ind w:firstLine="0"/>
              <w:rPr>
                <w:b/>
                <w:bCs/>
              </w:rPr>
            </w:pPr>
            <w:r w:rsidRPr="003D6F09">
              <w:rPr>
                <w:b/>
                <w:bCs/>
              </w:rPr>
              <w:t>VII. Tiesību akta projekta izpildes nodrošināšana un tās ietekme uz institūcijām</w:t>
            </w:r>
          </w:p>
        </w:tc>
      </w:tr>
      <w:tr w:rsidR="00E73F67" w:rsidRPr="003D6F09" w:rsidTr="00E73F6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73F67" w:rsidRPr="003D6F09" w:rsidRDefault="00E73F67" w:rsidP="003D6F09">
            <w:pPr>
              <w:ind w:firstLine="0"/>
            </w:pPr>
            <w:r w:rsidRPr="003D6F09">
              <w:t>1.</w:t>
            </w:r>
          </w:p>
        </w:tc>
        <w:tc>
          <w:tcPr>
            <w:tcW w:w="1875" w:type="pct"/>
            <w:tcBorders>
              <w:top w:val="outset" w:sz="6" w:space="0" w:color="auto"/>
              <w:left w:val="outset" w:sz="6" w:space="0" w:color="auto"/>
              <w:bottom w:val="outset" w:sz="6" w:space="0" w:color="auto"/>
              <w:right w:val="outset" w:sz="6" w:space="0" w:color="auto"/>
            </w:tcBorders>
            <w:hideMark/>
          </w:tcPr>
          <w:p w:rsidR="00E73F67" w:rsidRPr="003D6F09" w:rsidRDefault="00E73F67" w:rsidP="003D6F09">
            <w:pPr>
              <w:ind w:firstLine="0"/>
            </w:pPr>
            <w:r w:rsidRPr="003D6F09">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73F67" w:rsidRPr="003D6F09" w:rsidRDefault="00E73F67" w:rsidP="00657506">
            <w:pPr>
              <w:ind w:firstLine="0"/>
            </w:pPr>
            <w:r>
              <w:t>Satiksmes ministrija, V</w:t>
            </w:r>
            <w:r w:rsidR="00657506">
              <w:t>SIA „Autotransporta direkcija”</w:t>
            </w:r>
          </w:p>
        </w:tc>
      </w:tr>
      <w:tr w:rsidR="003D6F09" w:rsidRPr="003D6F09" w:rsidTr="00E73F6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2.</w:t>
            </w:r>
          </w:p>
        </w:tc>
        <w:tc>
          <w:tcPr>
            <w:tcW w:w="1875"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 xml:space="preserve">Projekta izpildes ietekme uz pārvaldes funkcijām un institucionālo struktūru. </w:t>
            </w:r>
          </w:p>
          <w:p w:rsidR="003D6F09" w:rsidRPr="003D6F09" w:rsidRDefault="003D6F09" w:rsidP="003D6F09">
            <w:pPr>
              <w:ind w:firstLine="0"/>
            </w:pPr>
            <w:r w:rsidRPr="003D6F09">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3D6F09" w:rsidRPr="003D6F09" w:rsidRDefault="00E73F67" w:rsidP="003D6F09">
            <w:pPr>
              <w:ind w:firstLine="0"/>
            </w:pPr>
            <w:r w:rsidRPr="00E73F67">
              <w:t>Projekts šo jomu neskar</w:t>
            </w:r>
          </w:p>
        </w:tc>
      </w:tr>
      <w:tr w:rsidR="003D6F09" w:rsidRPr="003D6F09" w:rsidTr="00E73F6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3.</w:t>
            </w:r>
          </w:p>
        </w:tc>
        <w:tc>
          <w:tcPr>
            <w:tcW w:w="1875" w:type="pct"/>
            <w:tcBorders>
              <w:top w:val="outset" w:sz="6" w:space="0" w:color="auto"/>
              <w:left w:val="outset" w:sz="6" w:space="0" w:color="auto"/>
              <w:bottom w:val="outset" w:sz="6" w:space="0" w:color="auto"/>
              <w:right w:val="outset" w:sz="6" w:space="0" w:color="auto"/>
            </w:tcBorders>
            <w:hideMark/>
          </w:tcPr>
          <w:p w:rsidR="003D6F09" w:rsidRPr="003D6F09" w:rsidRDefault="003D6F09" w:rsidP="003D6F09">
            <w:pPr>
              <w:ind w:firstLine="0"/>
            </w:pPr>
            <w:r w:rsidRPr="003D6F09">
              <w:t>Cita informācija</w:t>
            </w:r>
          </w:p>
        </w:tc>
        <w:tc>
          <w:tcPr>
            <w:tcW w:w="2813" w:type="pct"/>
            <w:tcBorders>
              <w:top w:val="outset" w:sz="6" w:space="0" w:color="auto"/>
              <w:left w:val="outset" w:sz="6" w:space="0" w:color="auto"/>
              <w:bottom w:val="outset" w:sz="6" w:space="0" w:color="auto"/>
              <w:right w:val="outset" w:sz="6" w:space="0" w:color="auto"/>
            </w:tcBorders>
            <w:hideMark/>
          </w:tcPr>
          <w:p w:rsidR="003D6F09" w:rsidRPr="003D6F09" w:rsidRDefault="00E73F67" w:rsidP="003D6F09">
            <w:pPr>
              <w:ind w:firstLine="0"/>
            </w:pPr>
            <w:r>
              <w:t>Nav</w:t>
            </w:r>
          </w:p>
        </w:tc>
      </w:tr>
    </w:tbl>
    <w:p w:rsidR="004B3EE8" w:rsidRDefault="004B3EE8" w:rsidP="003D6F09">
      <w:pPr>
        <w:ind w:firstLine="0"/>
      </w:pPr>
    </w:p>
    <w:p w:rsidR="006441A3" w:rsidRDefault="006441A3" w:rsidP="003D6F09">
      <w:pPr>
        <w:ind w:firstLine="0"/>
      </w:pPr>
    </w:p>
    <w:p w:rsidR="00D850BE" w:rsidRPr="00D16613" w:rsidRDefault="00D850BE" w:rsidP="00D850BE">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Pr="00D16613">
        <w:rPr>
          <w:rFonts w:ascii="Times New Roman" w:hAnsi="Times New Roman"/>
          <w:b w:val="0"/>
          <w:sz w:val="28"/>
          <w:szCs w:val="28"/>
          <w:lang w:val="lv-LV"/>
        </w:rPr>
        <w:t>A.</w:t>
      </w:r>
      <w:r>
        <w:rPr>
          <w:rFonts w:ascii="Times New Roman" w:hAnsi="Times New Roman"/>
          <w:b w:val="0"/>
          <w:sz w:val="28"/>
          <w:szCs w:val="28"/>
          <w:lang w:val="lv-LV"/>
        </w:rPr>
        <w:t>Matīss</w:t>
      </w:r>
    </w:p>
    <w:p w:rsidR="00D850BE" w:rsidRPr="00D16613" w:rsidRDefault="00D850BE" w:rsidP="00D850BE">
      <w:pPr>
        <w:pStyle w:val="Header"/>
        <w:tabs>
          <w:tab w:val="clear" w:pos="4153"/>
          <w:tab w:val="center" w:pos="4536"/>
        </w:tabs>
        <w:rPr>
          <w:sz w:val="28"/>
          <w:szCs w:val="28"/>
        </w:rPr>
      </w:pPr>
    </w:p>
    <w:p w:rsidR="00D850BE" w:rsidRPr="00D16613" w:rsidRDefault="00D850BE" w:rsidP="00D850BE">
      <w:pPr>
        <w:pStyle w:val="Header"/>
        <w:tabs>
          <w:tab w:val="clear" w:pos="4153"/>
          <w:tab w:val="center" w:pos="4536"/>
        </w:tabs>
        <w:rPr>
          <w:sz w:val="28"/>
          <w:szCs w:val="28"/>
        </w:rPr>
      </w:pPr>
    </w:p>
    <w:p w:rsidR="00785F8C" w:rsidRPr="00EA51D7" w:rsidRDefault="00AD3486" w:rsidP="00785F8C">
      <w:pPr>
        <w:pStyle w:val="Heading3"/>
        <w:tabs>
          <w:tab w:val="left" w:pos="6840"/>
        </w:tabs>
        <w:spacing w:before="0" w:after="0"/>
        <w:jc w:val="both"/>
        <w:rPr>
          <w:rFonts w:ascii="Times New Roman" w:hAnsi="Times New Roman"/>
          <w:b w:val="0"/>
          <w:lang w:val="lv-LV"/>
        </w:rPr>
      </w:pPr>
      <w:r>
        <w:rPr>
          <w:rFonts w:ascii="Times New Roman" w:hAnsi="Times New Roman"/>
          <w:b w:val="0"/>
          <w:lang w:val="lv-LV"/>
        </w:rPr>
        <w:t>Vīza: Valsts sekretārs</w:t>
      </w:r>
      <w:r w:rsidR="00785F8C" w:rsidRPr="00EA51D7">
        <w:rPr>
          <w:rFonts w:ascii="Times New Roman" w:hAnsi="Times New Roman"/>
          <w:b w:val="0"/>
          <w:lang w:val="lv-LV"/>
        </w:rPr>
        <w:tab/>
      </w:r>
      <w:r>
        <w:rPr>
          <w:rFonts w:ascii="Times New Roman" w:hAnsi="Times New Roman"/>
          <w:b w:val="0"/>
          <w:lang w:val="lv-LV"/>
        </w:rPr>
        <w:t>K.Ozoliņš</w:t>
      </w:r>
    </w:p>
    <w:p w:rsidR="00785F8C" w:rsidRPr="00893EFB" w:rsidRDefault="00785F8C" w:rsidP="00785F8C">
      <w:pPr>
        <w:pStyle w:val="BodyTextIndent"/>
        <w:tabs>
          <w:tab w:val="left" w:pos="720"/>
        </w:tabs>
        <w:spacing w:after="0"/>
        <w:ind w:left="0"/>
        <w:jc w:val="both"/>
      </w:pPr>
    </w:p>
    <w:p w:rsidR="00D850BE" w:rsidRDefault="00D850BE" w:rsidP="00D850BE">
      <w:pPr>
        <w:pStyle w:val="BodyTextIndent"/>
        <w:tabs>
          <w:tab w:val="left" w:pos="720"/>
        </w:tabs>
        <w:spacing w:after="0"/>
        <w:ind w:left="0"/>
        <w:rPr>
          <w:sz w:val="28"/>
          <w:szCs w:val="28"/>
        </w:rPr>
      </w:pPr>
    </w:p>
    <w:p w:rsidR="009E62DC" w:rsidRDefault="009E62DC" w:rsidP="00D850BE">
      <w:pPr>
        <w:pStyle w:val="BodyTextIndent"/>
        <w:tabs>
          <w:tab w:val="left" w:pos="720"/>
        </w:tabs>
        <w:spacing w:after="0"/>
        <w:ind w:left="0"/>
        <w:rPr>
          <w:sz w:val="28"/>
          <w:szCs w:val="28"/>
        </w:rPr>
      </w:pPr>
    </w:p>
    <w:p w:rsidR="00D850BE" w:rsidRPr="00607FB3" w:rsidRDefault="00397D48" w:rsidP="00D850BE">
      <w:pPr>
        <w:ind w:firstLine="0"/>
        <w:jc w:val="both"/>
        <w:rPr>
          <w:rFonts w:eastAsia="Times New Roman"/>
          <w:sz w:val="22"/>
          <w:lang w:val="en-US"/>
        </w:rPr>
      </w:pPr>
      <w:r>
        <w:rPr>
          <w:rFonts w:eastAsia="Times New Roman"/>
          <w:sz w:val="22"/>
          <w:lang w:val="en-US"/>
        </w:rPr>
        <w:t>06.10</w:t>
      </w:r>
      <w:r w:rsidR="00D850BE" w:rsidRPr="00607FB3">
        <w:rPr>
          <w:rFonts w:eastAsia="Times New Roman"/>
          <w:sz w:val="22"/>
          <w:lang w:val="en-US"/>
        </w:rPr>
        <w:t>.201</w:t>
      </w:r>
      <w:r w:rsidR="006441A3" w:rsidRPr="00607FB3">
        <w:rPr>
          <w:rFonts w:eastAsia="Times New Roman"/>
          <w:sz w:val="22"/>
          <w:lang w:val="en-US"/>
        </w:rPr>
        <w:t>4</w:t>
      </w:r>
      <w:r w:rsidR="00D850BE" w:rsidRPr="00607FB3">
        <w:rPr>
          <w:rFonts w:eastAsia="Times New Roman"/>
          <w:sz w:val="22"/>
          <w:lang w:val="en-US"/>
        </w:rPr>
        <w:t xml:space="preserve"> 15:00</w:t>
      </w:r>
    </w:p>
    <w:p w:rsidR="00D850BE" w:rsidRPr="00607FB3" w:rsidRDefault="0052123D" w:rsidP="00D850BE">
      <w:pPr>
        <w:ind w:firstLine="0"/>
        <w:jc w:val="both"/>
        <w:rPr>
          <w:rFonts w:eastAsia="Times New Roman"/>
          <w:sz w:val="22"/>
          <w:lang w:val="en-US"/>
        </w:rPr>
      </w:pPr>
      <w:r>
        <w:rPr>
          <w:rFonts w:eastAsia="Times New Roman"/>
          <w:sz w:val="22"/>
          <w:lang w:val="en-US"/>
        </w:rPr>
        <w:t>1189</w:t>
      </w:r>
    </w:p>
    <w:p w:rsidR="00D850BE" w:rsidRPr="00607FB3" w:rsidRDefault="00D850BE" w:rsidP="00D850BE">
      <w:pPr>
        <w:ind w:firstLine="0"/>
        <w:jc w:val="both"/>
        <w:rPr>
          <w:rFonts w:eastAsia="Times New Roman"/>
          <w:b/>
          <w:sz w:val="22"/>
          <w:u w:val="single"/>
          <w:lang w:val="en-US"/>
        </w:rPr>
      </w:pPr>
      <w:r w:rsidRPr="00607FB3">
        <w:rPr>
          <w:rFonts w:eastAsia="Times New Roman"/>
          <w:sz w:val="22"/>
          <w:lang w:val="en-US"/>
        </w:rPr>
        <w:t xml:space="preserve">S.Tanne, </w:t>
      </w:r>
      <w:r w:rsidR="006F3081">
        <w:rPr>
          <w:rFonts w:eastAsia="Times New Roman"/>
          <w:sz w:val="22"/>
          <w:lang w:val="en-US"/>
        </w:rPr>
        <w:t>6</w:t>
      </w:r>
      <w:r w:rsidRPr="00607FB3">
        <w:rPr>
          <w:rFonts w:eastAsia="Times New Roman"/>
          <w:sz w:val="22"/>
          <w:lang w:val="en-US"/>
        </w:rPr>
        <w:t>7686480,</w:t>
      </w:r>
      <w:r w:rsidRPr="00607FB3">
        <w:rPr>
          <w:rFonts w:eastAsia="Times New Roman"/>
          <w:b/>
          <w:sz w:val="22"/>
          <w:u w:val="single"/>
          <w:lang w:val="en-US"/>
        </w:rPr>
        <w:t xml:space="preserve"> </w:t>
      </w:r>
    </w:p>
    <w:p w:rsidR="00D850BE" w:rsidRPr="00607FB3" w:rsidRDefault="00D850BE" w:rsidP="006441A3">
      <w:pPr>
        <w:ind w:firstLine="0"/>
        <w:jc w:val="both"/>
        <w:rPr>
          <w:sz w:val="22"/>
          <w:lang w:val="en-US"/>
        </w:rPr>
      </w:pPr>
      <w:r w:rsidRPr="00607FB3">
        <w:rPr>
          <w:rFonts w:eastAsia="Times New Roman"/>
          <w:sz w:val="22"/>
          <w:lang w:val="en-US"/>
        </w:rPr>
        <w:t>sandra.tanne@atd.lv</w:t>
      </w:r>
    </w:p>
    <w:sectPr w:rsidR="00D850BE" w:rsidRPr="00607FB3" w:rsidSect="00241323">
      <w:headerReference w:type="default" r:id="rId16"/>
      <w:footerReference w:type="defaul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97" w:rsidRDefault="00FC4C97" w:rsidP="008E3E94">
      <w:r>
        <w:separator/>
      </w:r>
    </w:p>
  </w:endnote>
  <w:endnote w:type="continuationSeparator" w:id="0">
    <w:p w:rsidR="00FC4C97" w:rsidRDefault="00FC4C97" w:rsidP="008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C" w:rsidRPr="008E3E94" w:rsidRDefault="00B6740C" w:rsidP="00B6740C">
    <w:pPr>
      <w:pStyle w:val="Footer"/>
      <w:ind w:firstLine="0"/>
      <w:jc w:val="both"/>
      <w:rPr>
        <w:sz w:val="20"/>
        <w:szCs w:val="20"/>
      </w:rPr>
    </w:pPr>
    <w:r>
      <w:rPr>
        <w:sz w:val="20"/>
        <w:szCs w:val="20"/>
      </w:rPr>
      <w:t>SAManot_</w:t>
    </w:r>
    <w:r w:rsidR="00645B04">
      <w:rPr>
        <w:sz w:val="20"/>
        <w:szCs w:val="20"/>
      </w:rPr>
      <w:t>0610</w:t>
    </w:r>
    <w:r>
      <w:rPr>
        <w:sz w:val="20"/>
        <w:szCs w:val="20"/>
      </w:rPr>
      <w:t xml:space="preserve">14_442; </w:t>
    </w:r>
    <w:r w:rsidRPr="008E3E94">
      <w:rPr>
        <w:sz w:val="20"/>
        <w:szCs w:val="20"/>
      </w:rPr>
      <w:t>Ministru kabineta noteikumu projekta „</w:t>
    </w:r>
    <w:r w:rsidRPr="00B6740C">
      <w:rPr>
        <w:sz w:val="20"/>
        <w:szCs w:val="20"/>
      </w:rPr>
      <w:t>Grozījumi Ministru kabineta 2005.gada 21.jūnija noteikumos Nr.442 „Kārtība, kādā izsniedzamas, anulējamas vai uz laiku apturamas atļaujas starptautiskajiem kravas pārvadājumiem ar autotransportu”</w:t>
    </w:r>
    <w:r w:rsidRPr="008E3E94">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241323" w:rsidP="00241323">
    <w:pPr>
      <w:pStyle w:val="Footer"/>
      <w:ind w:firstLine="0"/>
      <w:jc w:val="both"/>
      <w:rPr>
        <w:sz w:val="20"/>
        <w:szCs w:val="20"/>
      </w:rPr>
    </w:pPr>
    <w:r>
      <w:rPr>
        <w:sz w:val="20"/>
        <w:szCs w:val="20"/>
      </w:rPr>
      <w:t>SAManot_</w:t>
    </w:r>
    <w:r w:rsidR="00645B04">
      <w:rPr>
        <w:sz w:val="20"/>
        <w:szCs w:val="20"/>
      </w:rPr>
      <w:t>0610</w:t>
    </w:r>
    <w:r>
      <w:rPr>
        <w:sz w:val="20"/>
        <w:szCs w:val="20"/>
      </w:rPr>
      <w:t>14_</w:t>
    </w:r>
    <w:r w:rsidR="00B6740C">
      <w:rPr>
        <w:sz w:val="20"/>
        <w:szCs w:val="20"/>
      </w:rPr>
      <w:t>442</w:t>
    </w:r>
    <w:r>
      <w:rPr>
        <w:sz w:val="20"/>
        <w:szCs w:val="20"/>
      </w:rPr>
      <w:t xml:space="preserve">; </w:t>
    </w:r>
    <w:r w:rsidRPr="008E3E94">
      <w:rPr>
        <w:sz w:val="20"/>
        <w:szCs w:val="20"/>
      </w:rPr>
      <w:t>Ministru kabineta noteikumu projekta „</w:t>
    </w:r>
    <w:r w:rsidR="00B6740C" w:rsidRPr="00B6740C">
      <w:rPr>
        <w:sz w:val="20"/>
        <w:szCs w:val="20"/>
      </w:rPr>
      <w:t>Grozījumi Ministru kabineta 2005.gada 21.jūnija noteikumos Nr.442 „Kārtība, kādā izsniedzamas, anulējamas vai uz laiku apturamas atļaujas starptautiskajiem kravas pārvadājumiem ar autotransportu”</w:t>
    </w:r>
    <w:r w:rsidRPr="008E3E94">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97" w:rsidRDefault="00FC4C97" w:rsidP="008E3E94">
      <w:r>
        <w:separator/>
      </w:r>
    </w:p>
  </w:footnote>
  <w:footnote w:type="continuationSeparator" w:id="0">
    <w:p w:rsidR="00FC4C97" w:rsidRDefault="00FC4C97" w:rsidP="008E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241323">
        <w:pPr>
          <w:pStyle w:val="Header"/>
          <w:jc w:val="center"/>
        </w:pPr>
        <w:r>
          <w:fldChar w:fldCharType="begin"/>
        </w:r>
        <w:r>
          <w:instrText xml:space="preserve"> PAGE   \* MERGEFORMAT </w:instrText>
        </w:r>
        <w:r>
          <w:fldChar w:fldCharType="separate"/>
        </w:r>
        <w:r w:rsidR="007A1FD6">
          <w:rPr>
            <w:noProof/>
          </w:rPr>
          <w:t>6</w:t>
        </w:r>
        <w:r>
          <w:rPr>
            <w:noProof/>
          </w:rPr>
          <w:fldChar w:fldCharType="end"/>
        </w:r>
      </w:p>
    </w:sdtContent>
  </w:sdt>
  <w:p w:rsidR="008E3E94" w:rsidRDefault="008E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9FF228E"/>
    <w:multiLevelType w:val="hybridMultilevel"/>
    <w:tmpl w:val="8F6CC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A00"/>
    <w:rsid w:val="00007ED3"/>
    <w:rsid w:val="00012B56"/>
    <w:rsid w:val="00015C42"/>
    <w:rsid w:val="00015DD1"/>
    <w:rsid w:val="00023AA0"/>
    <w:rsid w:val="0002467F"/>
    <w:rsid w:val="0002756A"/>
    <w:rsid w:val="00034125"/>
    <w:rsid w:val="00042D07"/>
    <w:rsid w:val="0005506E"/>
    <w:rsid w:val="0008117E"/>
    <w:rsid w:val="00092A91"/>
    <w:rsid w:val="0009515D"/>
    <w:rsid w:val="000A69D8"/>
    <w:rsid w:val="000B1BCC"/>
    <w:rsid w:val="000B54DF"/>
    <w:rsid w:val="000B59DC"/>
    <w:rsid w:val="000E639F"/>
    <w:rsid w:val="00120FF4"/>
    <w:rsid w:val="001364E0"/>
    <w:rsid w:val="00150AD0"/>
    <w:rsid w:val="00150DD5"/>
    <w:rsid w:val="001816C5"/>
    <w:rsid w:val="001A68D5"/>
    <w:rsid w:val="001D73E0"/>
    <w:rsid w:val="001E5E90"/>
    <w:rsid w:val="00210B33"/>
    <w:rsid w:val="00241323"/>
    <w:rsid w:val="0024789D"/>
    <w:rsid w:val="002553DF"/>
    <w:rsid w:val="002656A5"/>
    <w:rsid w:val="00284EEF"/>
    <w:rsid w:val="00285D53"/>
    <w:rsid w:val="00296164"/>
    <w:rsid w:val="002A64D2"/>
    <w:rsid w:val="002A6B44"/>
    <w:rsid w:val="002A7343"/>
    <w:rsid w:val="002B5B6D"/>
    <w:rsid w:val="002C6DA5"/>
    <w:rsid w:val="002E10FB"/>
    <w:rsid w:val="002F4A33"/>
    <w:rsid w:val="00310DAF"/>
    <w:rsid w:val="003153D9"/>
    <w:rsid w:val="0031689D"/>
    <w:rsid w:val="003328F6"/>
    <w:rsid w:val="00340EB5"/>
    <w:rsid w:val="00351EB6"/>
    <w:rsid w:val="0036000F"/>
    <w:rsid w:val="00380C78"/>
    <w:rsid w:val="00397478"/>
    <w:rsid w:val="00397D48"/>
    <w:rsid w:val="003A2DF4"/>
    <w:rsid w:val="003C04A9"/>
    <w:rsid w:val="003C4D8F"/>
    <w:rsid w:val="003D6F09"/>
    <w:rsid w:val="003F2127"/>
    <w:rsid w:val="00402A51"/>
    <w:rsid w:val="00406D6B"/>
    <w:rsid w:val="00427E90"/>
    <w:rsid w:val="004418C9"/>
    <w:rsid w:val="00445984"/>
    <w:rsid w:val="004619A7"/>
    <w:rsid w:val="0047531C"/>
    <w:rsid w:val="00484961"/>
    <w:rsid w:val="00486B52"/>
    <w:rsid w:val="00490EDD"/>
    <w:rsid w:val="0049305A"/>
    <w:rsid w:val="004A4DE1"/>
    <w:rsid w:val="004A64D0"/>
    <w:rsid w:val="004B3EE8"/>
    <w:rsid w:val="004C03A9"/>
    <w:rsid w:val="004C60A6"/>
    <w:rsid w:val="004C667C"/>
    <w:rsid w:val="004D7383"/>
    <w:rsid w:val="004E2013"/>
    <w:rsid w:val="004F7BA0"/>
    <w:rsid w:val="00510705"/>
    <w:rsid w:val="005108F7"/>
    <w:rsid w:val="0052123D"/>
    <w:rsid w:val="00536D4C"/>
    <w:rsid w:val="0055088C"/>
    <w:rsid w:val="00562E87"/>
    <w:rsid w:val="00572EB2"/>
    <w:rsid w:val="00580561"/>
    <w:rsid w:val="00585681"/>
    <w:rsid w:val="00590030"/>
    <w:rsid w:val="005A0055"/>
    <w:rsid w:val="005B3842"/>
    <w:rsid w:val="005D31AD"/>
    <w:rsid w:val="005F26D3"/>
    <w:rsid w:val="005F34D9"/>
    <w:rsid w:val="005F40FA"/>
    <w:rsid w:val="006056B0"/>
    <w:rsid w:val="00607FB3"/>
    <w:rsid w:val="006179C2"/>
    <w:rsid w:val="00620331"/>
    <w:rsid w:val="006314A1"/>
    <w:rsid w:val="00632B70"/>
    <w:rsid w:val="006441A3"/>
    <w:rsid w:val="00645B04"/>
    <w:rsid w:val="00657506"/>
    <w:rsid w:val="00661198"/>
    <w:rsid w:val="00670AAF"/>
    <w:rsid w:val="006A155F"/>
    <w:rsid w:val="006B43D6"/>
    <w:rsid w:val="006D4205"/>
    <w:rsid w:val="006E2D94"/>
    <w:rsid w:val="006E2DCB"/>
    <w:rsid w:val="006F18E1"/>
    <w:rsid w:val="006F3081"/>
    <w:rsid w:val="00703E71"/>
    <w:rsid w:val="00712260"/>
    <w:rsid w:val="007157B8"/>
    <w:rsid w:val="00723A25"/>
    <w:rsid w:val="00730E74"/>
    <w:rsid w:val="00745B01"/>
    <w:rsid w:val="00754FB2"/>
    <w:rsid w:val="0075656A"/>
    <w:rsid w:val="00776DBA"/>
    <w:rsid w:val="00785F8C"/>
    <w:rsid w:val="0078715E"/>
    <w:rsid w:val="007A1FD6"/>
    <w:rsid w:val="007C59D6"/>
    <w:rsid w:val="007E4F6C"/>
    <w:rsid w:val="007E6A42"/>
    <w:rsid w:val="007F1673"/>
    <w:rsid w:val="00802168"/>
    <w:rsid w:val="008177F4"/>
    <w:rsid w:val="0083725B"/>
    <w:rsid w:val="00856FE0"/>
    <w:rsid w:val="008747AD"/>
    <w:rsid w:val="008909CC"/>
    <w:rsid w:val="00897FDA"/>
    <w:rsid w:val="008B2949"/>
    <w:rsid w:val="008C6B4D"/>
    <w:rsid w:val="008E3E94"/>
    <w:rsid w:val="0092615D"/>
    <w:rsid w:val="00936DD6"/>
    <w:rsid w:val="00941458"/>
    <w:rsid w:val="00956873"/>
    <w:rsid w:val="00985DD7"/>
    <w:rsid w:val="009935C6"/>
    <w:rsid w:val="009D3353"/>
    <w:rsid w:val="009E4466"/>
    <w:rsid w:val="009E62DC"/>
    <w:rsid w:val="009F456F"/>
    <w:rsid w:val="00A054CD"/>
    <w:rsid w:val="00A10CF4"/>
    <w:rsid w:val="00A21931"/>
    <w:rsid w:val="00A440D6"/>
    <w:rsid w:val="00A4736E"/>
    <w:rsid w:val="00A544AA"/>
    <w:rsid w:val="00A73DD5"/>
    <w:rsid w:val="00AA792B"/>
    <w:rsid w:val="00AB2F0F"/>
    <w:rsid w:val="00AC1C3A"/>
    <w:rsid w:val="00AC24D2"/>
    <w:rsid w:val="00AC4A53"/>
    <w:rsid w:val="00AD3486"/>
    <w:rsid w:val="00AF1583"/>
    <w:rsid w:val="00B53395"/>
    <w:rsid w:val="00B6740C"/>
    <w:rsid w:val="00B71AD1"/>
    <w:rsid w:val="00B77D76"/>
    <w:rsid w:val="00BB1A73"/>
    <w:rsid w:val="00BC068B"/>
    <w:rsid w:val="00BD0AC9"/>
    <w:rsid w:val="00BD2D7E"/>
    <w:rsid w:val="00BD42E8"/>
    <w:rsid w:val="00BE7C1A"/>
    <w:rsid w:val="00C104FD"/>
    <w:rsid w:val="00C172DA"/>
    <w:rsid w:val="00C4345E"/>
    <w:rsid w:val="00C61601"/>
    <w:rsid w:val="00C62027"/>
    <w:rsid w:val="00C706C9"/>
    <w:rsid w:val="00C9204C"/>
    <w:rsid w:val="00CA4CB7"/>
    <w:rsid w:val="00CB589D"/>
    <w:rsid w:val="00CC49B0"/>
    <w:rsid w:val="00CD22BA"/>
    <w:rsid w:val="00CD7BF3"/>
    <w:rsid w:val="00CF0AAC"/>
    <w:rsid w:val="00D0537D"/>
    <w:rsid w:val="00D505F3"/>
    <w:rsid w:val="00D65933"/>
    <w:rsid w:val="00D850BE"/>
    <w:rsid w:val="00D86C82"/>
    <w:rsid w:val="00D926BE"/>
    <w:rsid w:val="00DA26B6"/>
    <w:rsid w:val="00DC0972"/>
    <w:rsid w:val="00DD02FC"/>
    <w:rsid w:val="00E04862"/>
    <w:rsid w:val="00E14215"/>
    <w:rsid w:val="00E376CB"/>
    <w:rsid w:val="00E41D00"/>
    <w:rsid w:val="00E73F67"/>
    <w:rsid w:val="00E900C9"/>
    <w:rsid w:val="00E9417D"/>
    <w:rsid w:val="00EB28B9"/>
    <w:rsid w:val="00EE5567"/>
    <w:rsid w:val="00EF2969"/>
    <w:rsid w:val="00EF7E47"/>
    <w:rsid w:val="00F13E2A"/>
    <w:rsid w:val="00F14089"/>
    <w:rsid w:val="00F63375"/>
    <w:rsid w:val="00F81D26"/>
    <w:rsid w:val="00F9412A"/>
    <w:rsid w:val="00FC4C97"/>
    <w:rsid w:val="00FC5E57"/>
    <w:rsid w:val="00FF5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CommentReference">
    <w:name w:val="annotation reference"/>
    <w:basedOn w:val="DefaultParagraphFont"/>
    <w:uiPriority w:val="99"/>
    <w:semiHidden/>
    <w:unhideWhenUsed/>
    <w:rsid w:val="00E14215"/>
    <w:rPr>
      <w:sz w:val="16"/>
      <w:szCs w:val="16"/>
    </w:rPr>
  </w:style>
  <w:style w:type="paragraph" w:styleId="CommentText">
    <w:name w:val="annotation text"/>
    <w:basedOn w:val="Normal"/>
    <w:link w:val="CommentTextChar"/>
    <w:uiPriority w:val="99"/>
    <w:semiHidden/>
    <w:unhideWhenUsed/>
    <w:rsid w:val="00E14215"/>
    <w:rPr>
      <w:sz w:val="20"/>
      <w:szCs w:val="20"/>
    </w:rPr>
  </w:style>
  <w:style w:type="character" w:customStyle="1" w:styleId="CommentTextChar">
    <w:name w:val="Comment Text Char"/>
    <w:basedOn w:val="DefaultParagraphFont"/>
    <w:link w:val="CommentText"/>
    <w:uiPriority w:val="99"/>
    <w:semiHidden/>
    <w:rsid w:val="00E14215"/>
    <w:rPr>
      <w:sz w:val="20"/>
      <w:szCs w:val="20"/>
    </w:rPr>
  </w:style>
  <w:style w:type="paragraph" w:styleId="CommentSubject">
    <w:name w:val="annotation subject"/>
    <w:basedOn w:val="CommentText"/>
    <w:next w:val="CommentText"/>
    <w:link w:val="CommentSubjectChar"/>
    <w:uiPriority w:val="99"/>
    <w:semiHidden/>
    <w:unhideWhenUsed/>
    <w:rsid w:val="00E14215"/>
    <w:rPr>
      <w:b/>
      <w:bCs/>
    </w:rPr>
  </w:style>
  <w:style w:type="character" w:customStyle="1" w:styleId="CommentSubjectChar">
    <w:name w:val="Comment Subject Char"/>
    <w:basedOn w:val="CommentTextChar"/>
    <w:link w:val="CommentSubject"/>
    <w:uiPriority w:val="99"/>
    <w:semiHidden/>
    <w:rsid w:val="00E14215"/>
    <w:rPr>
      <w:b/>
      <w:bCs/>
      <w:sz w:val="20"/>
      <w:szCs w:val="20"/>
    </w:rPr>
  </w:style>
  <w:style w:type="character" w:styleId="FollowedHyperlink">
    <w:name w:val="FollowedHyperlink"/>
    <w:basedOn w:val="DefaultParagraphFont"/>
    <w:uiPriority w:val="99"/>
    <w:semiHidden/>
    <w:unhideWhenUsed/>
    <w:rsid w:val="00897F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CommentReference">
    <w:name w:val="annotation reference"/>
    <w:basedOn w:val="DefaultParagraphFont"/>
    <w:uiPriority w:val="99"/>
    <w:semiHidden/>
    <w:unhideWhenUsed/>
    <w:rsid w:val="00E14215"/>
    <w:rPr>
      <w:sz w:val="16"/>
      <w:szCs w:val="16"/>
    </w:rPr>
  </w:style>
  <w:style w:type="paragraph" w:styleId="CommentText">
    <w:name w:val="annotation text"/>
    <w:basedOn w:val="Normal"/>
    <w:link w:val="CommentTextChar"/>
    <w:uiPriority w:val="99"/>
    <w:semiHidden/>
    <w:unhideWhenUsed/>
    <w:rsid w:val="00E14215"/>
    <w:rPr>
      <w:sz w:val="20"/>
      <w:szCs w:val="20"/>
    </w:rPr>
  </w:style>
  <w:style w:type="character" w:customStyle="1" w:styleId="CommentTextChar">
    <w:name w:val="Comment Text Char"/>
    <w:basedOn w:val="DefaultParagraphFont"/>
    <w:link w:val="CommentText"/>
    <w:uiPriority w:val="99"/>
    <w:semiHidden/>
    <w:rsid w:val="00E14215"/>
    <w:rPr>
      <w:sz w:val="20"/>
      <w:szCs w:val="20"/>
    </w:rPr>
  </w:style>
  <w:style w:type="paragraph" w:styleId="CommentSubject">
    <w:name w:val="annotation subject"/>
    <w:basedOn w:val="CommentText"/>
    <w:next w:val="CommentText"/>
    <w:link w:val="CommentSubjectChar"/>
    <w:uiPriority w:val="99"/>
    <w:semiHidden/>
    <w:unhideWhenUsed/>
    <w:rsid w:val="00E14215"/>
    <w:rPr>
      <w:b/>
      <w:bCs/>
    </w:rPr>
  </w:style>
  <w:style w:type="character" w:customStyle="1" w:styleId="CommentSubjectChar">
    <w:name w:val="Comment Subject Char"/>
    <w:basedOn w:val="CommentTextChar"/>
    <w:link w:val="CommentSubject"/>
    <w:uiPriority w:val="99"/>
    <w:semiHidden/>
    <w:rsid w:val="00E14215"/>
    <w:rPr>
      <w:b/>
      <w:bCs/>
      <w:sz w:val="20"/>
      <w:szCs w:val="20"/>
    </w:rPr>
  </w:style>
  <w:style w:type="character" w:styleId="FollowedHyperlink">
    <w:name w:val="FollowedHyperlink"/>
    <w:basedOn w:val="DefaultParagraphFont"/>
    <w:uiPriority w:val="99"/>
    <w:semiHidden/>
    <w:unhideWhenUsed/>
    <w:rsid w:val="00897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 TargetMode="External"/><Relationship Id="rId5" Type="http://schemas.openxmlformats.org/officeDocument/2006/relationships/settings" Target="settings.xml"/><Relationship Id="rId15" Type="http://schemas.openxmlformats.org/officeDocument/2006/relationships/hyperlink" Target="http://www.atd.lv/lat/noderiga_info/?doc=629" TargetMode="External"/><Relationship Id="rId10" Type="http://schemas.openxmlformats.org/officeDocument/2006/relationships/hyperlink" Target="http://www.internationaltransportforum.org/about/pdf/Dublin-Declaration-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ternationaltransportforum.org/about/pdf/Dublin-Declaration-EN.pdf"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DFF0-7C15-4E56-AA89-4E04EE36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7303</Words>
  <Characters>4163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Autotransporta direkcija</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21.jūnija noteikumos Nr.442 „Kārtība, kādā izsniedzamas, anulējamas vai uz laiku apturamas atļaujas starptautiskajiem kravas pārvadājumiem ar autotransportu</dc:title>
  <dc:creator>Sandra;Sandra Tanne;Indra Gromule</dc:creator>
  <cp:lastModifiedBy>Baiba Šterna</cp:lastModifiedBy>
  <cp:revision>14</cp:revision>
  <cp:lastPrinted>2014-07-08T12:14:00Z</cp:lastPrinted>
  <dcterms:created xsi:type="dcterms:W3CDTF">2014-09-19T09:56:00Z</dcterms:created>
  <dcterms:modified xsi:type="dcterms:W3CDTF">2014-10-16T10:06:00Z</dcterms:modified>
</cp:coreProperties>
</file>