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649" w:rsidRPr="00977652" w:rsidRDefault="00BD5A22" w:rsidP="00C42E6D">
      <w:pPr>
        <w:pStyle w:val="naislab"/>
        <w:spacing w:before="0" w:after="0"/>
        <w:jc w:val="center"/>
        <w:outlineLvl w:val="0"/>
        <w:rPr>
          <w:b/>
        </w:rPr>
      </w:pPr>
      <w:bookmarkStart w:id="0" w:name="_GoBack"/>
      <w:bookmarkEnd w:id="0"/>
      <w:r w:rsidRPr="00BD5A22">
        <w:rPr>
          <w:b/>
        </w:rPr>
        <w:t>Ministru kabineta rīkojuma projekta „Par valstij dividendēs izmaksājamo valsts akciju sabiedrības „Latvijas gaisa satiksme” peļņas daļu” 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8"/>
        <w:gridCol w:w="2479"/>
        <w:gridCol w:w="6978"/>
      </w:tblGrid>
      <w:tr w:rsidR="00852042" w:rsidRPr="00977652">
        <w:tc>
          <w:tcPr>
            <w:tcW w:w="9725" w:type="dxa"/>
            <w:gridSpan w:val="3"/>
            <w:vAlign w:val="center"/>
          </w:tcPr>
          <w:p w:rsidR="00852042" w:rsidRPr="00977652" w:rsidRDefault="00852042" w:rsidP="006C4607">
            <w:pPr>
              <w:pStyle w:val="naisnod"/>
              <w:spacing w:before="0" w:after="0"/>
            </w:pPr>
            <w:r w:rsidRPr="00977652">
              <w:t>I</w:t>
            </w:r>
            <w:r w:rsidR="000941C5" w:rsidRPr="00977652">
              <w:t>.</w:t>
            </w:r>
            <w:r w:rsidRPr="00977652">
              <w:t xml:space="preserve"> Tiesību akta </w:t>
            </w:r>
            <w:r w:rsidR="002E3FF4" w:rsidRPr="00977652">
              <w:t xml:space="preserve">projekta </w:t>
            </w:r>
            <w:r w:rsidRPr="00977652">
              <w:t>izstrādes nepieciešamība</w:t>
            </w:r>
          </w:p>
        </w:tc>
      </w:tr>
      <w:tr w:rsidR="00262E2B" w:rsidRPr="00977652" w:rsidTr="00345EC4">
        <w:trPr>
          <w:trHeight w:val="630"/>
        </w:trPr>
        <w:tc>
          <w:tcPr>
            <w:tcW w:w="268" w:type="dxa"/>
          </w:tcPr>
          <w:p w:rsidR="00262E2B" w:rsidRPr="00977652" w:rsidRDefault="00262E2B" w:rsidP="006C4607">
            <w:pPr>
              <w:pStyle w:val="naiskr"/>
              <w:spacing w:before="0" w:after="0"/>
            </w:pPr>
            <w:r w:rsidRPr="00977652">
              <w:t>1.</w:t>
            </w:r>
          </w:p>
        </w:tc>
        <w:tc>
          <w:tcPr>
            <w:tcW w:w="2479" w:type="dxa"/>
          </w:tcPr>
          <w:p w:rsidR="00262E2B" w:rsidRPr="00977652" w:rsidRDefault="002D7F54" w:rsidP="006C4607">
            <w:pPr>
              <w:pStyle w:val="naiskr"/>
              <w:spacing w:before="0" w:after="0"/>
              <w:ind w:hanging="10"/>
            </w:pPr>
            <w:r w:rsidRPr="00977652">
              <w:t>Pamatojums</w:t>
            </w:r>
          </w:p>
        </w:tc>
        <w:tc>
          <w:tcPr>
            <w:tcW w:w="6978" w:type="dxa"/>
          </w:tcPr>
          <w:p w:rsidR="00780925" w:rsidRDefault="00E06B61" w:rsidP="00E06B61">
            <w:pPr>
              <w:pStyle w:val="naiskr"/>
              <w:jc w:val="both"/>
            </w:pPr>
            <w:r>
              <w:t xml:space="preserve">Ministru kabineta 2009.gada 15.decembra noteikumu Nr.1471 „Kārtība, kādā tiek noteikta un ieskaitīta valsts budžetā izmaksājamā peļņas daļa par valsts kapitāla izmantošanu”  </w:t>
            </w:r>
            <w:r w:rsidR="00FE6E79">
              <w:t xml:space="preserve">(turpmāk - </w:t>
            </w:r>
            <w:r w:rsidR="00FE6E79" w:rsidRPr="00FE6E79">
              <w:t xml:space="preserve">MK_not_1471 </w:t>
            </w:r>
            <w:r w:rsidR="00FE6E79">
              <w:t xml:space="preserve">) </w:t>
            </w:r>
            <w:r w:rsidR="00780925">
              <w:t>5.</w:t>
            </w:r>
            <w:r>
              <w:t>punkts paredz</w:t>
            </w:r>
            <w:r w:rsidR="00780925">
              <w:t>, ka</w:t>
            </w:r>
            <w:r>
              <w:t xml:space="preserve"> </w:t>
            </w:r>
            <w:r w:rsidR="00780925" w:rsidRPr="00780925">
              <w:t>Ministru kabinets pēc kapitāla daļas turētāja pamatota priekšlikuma valsts kapitālsabiedrībai var noteikt atšķirīgu dividendēs izmaksājamo minimālo peļņas daļu par attiecīgo pārskata gadu, nekā noteikts šo noteikumu 3., 4., 4.1 un 4.2 punktā. Priekšlikumu par atšķirīgu dividendēs izmaksājamo minimālo peļņas daļu valsts kapitāla daļas turētājs iesniedz Ministru kabinetā vienlaikus ar šādu kapitālsabiedrības tīrās peļņas izlietojuma pamatojumu</w:t>
            </w:r>
            <w:r w:rsidR="00780925">
              <w:t>.</w:t>
            </w:r>
          </w:p>
          <w:p w:rsidR="00E06B61" w:rsidRDefault="00E06B61" w:rsidP="00E06B61">
            <w:pPr>
              <w:pStyle w:val="naiskr"/>
              <w:jc w:val="both"/>
            </w:pPr>
            <w:r>
              <w:t>Ministru kabineta 2009.gada 10.novembra sēdes protokola Nr.79 52.§ atbalstītā informatīvā ziņojuma „Par ekonomikas atveseļošanas politikas virzieniem vidēja termiņa periodā” 3.2.apakšpunkts nosaka, ka valsts kapitālsabiedrībām, kuras paredz īstenot lielos investīciju projektus un kurām ir nepieciešams līdzfinansējums Kohēzijas fonda projektiem, laika posmā no 2010.gada līdz 2013. gadam netiek palielināta minimālā dividendēs izmaksājamā peļņas daļa, proti, tā nedrīkst būt lielāka par 27% no šādas kapitālsabiedrības tīrās peļņas.</w:t>
            </w:r>
          </w:p>
          <w:p w:rsidR="00E06B61" w:rsidRDefault="00E06B61" w:rsidP="00E06B61">
            <w:pPr>
              <w:pStyle w:val="naiskr"/>
              <w:jc w:val="both"/>
            </w:pPr>
            <w:r>
              <w:t>Likuma „Par valsts un pašvaldību kapitāla daļām un kapitālsabiedrībām” 3.panta pirmā un trešā daļa paredz, ka Ministru kabinets nosaka valsts kapitālsabiedrībām minimālo izmaksājamo peļņas daļu (procentos no sabiedrības tīrās peļņas) un pēc kapitāla daļu turētāja priekšlikuma kapitālsabiedrībai var noteikt atšķirīgu minimālo dividendēs izmaksājamo peļņas daļu.</w:t>
            </w:r>
          </w:p>
          <w:p w:rsidR="00E06B61" w:rsidRPr="00977652" w:rsidRDefault="00E06B61" w:rsidP="00780925">
            <w:pPr>
              <w:pStyle w:val="naiskr"/>
              <w:spacing w:before="0" w:after="0"/>
              <w:ind w:hanging="5"/>
              <w:jc w:val="both"/>
            </w:pPr>
          </w:p>
        </w:tc>
      </w:tr>
      <w:tr w:rsidR="00262E2B" w:rsidRPr="00977652" w:rsidTr="00345EC4">
        <w:trPr>
          <w:trHeight w:val="472"/>
        </w:trPr>
        <w:tc>
          <w:tcPr>
            <w:tcW w:w="268" w:type="dxa"/>
          </w:tcPr>
          <w:p w:rsidR="00262E2B" w:rsidRPr="00977652" w:rsidRDefault="00262E2B" w:rsidP="006C4607">
            <w:pPr>
              <w:pStyle w:val="naiskr"/>
              <w:spacing w:before="0" w:after="0"/>
            </w:pPr>
            <w:r w:rsidRPr="00977652">
              <w:t>2.</w:t>
            </w:r>
          </w:p>
        </w:tc>
        <w:tc>
          <w:tcPr>
            <w:tcW w:w="2479" w:type="dxa"/>
          </w:tcPr>
          <w:p w:rsidR="00262E2B" w:rsidRPr="00977652" w:rsidRDefault="00345EC4" w:rsidP="006C4607">
            <w:pPr>
              <w:pStyle w:val="naiskr"/>
              <w:tabs>
                <w:tab w:val="left" w:pos="170"/>
              </w:tabs>
              <w:spacing w:before="0" w:after="0"/>
            </w:pPr>
            <w:r w:rsidRPr="00977652">
              <w:t>Pašreizējā situācija un problēmas, kuru risināšanai tiesību akta projekts izstrādāts, tiesiskā regulējuma mērķis un būtība</w:t>
            </w:r>
          </w:p>
        </w:tc>
        <w:tc>
          <w:tcPr>
            <w:tcW w:w="6978" w:type="dxa"/>
          </w:tcPr>
          <w:p w:rsidR="007556ED" w:rsidRPr="008F35A5" w:rsidRDefault="008F35A5" w:rsidP="007556ED">
            <w:pPr>
              <w:pStyle w:val="naiskr"/>
              <w:jc w:val="both"/>
            </w:pPr>
            <w:r>
              <w:t xml:space="preserve">Valsts akciju sabiedrība </w:t>
            </w:r>
            <w:r w:rsidR="007556ED">
              <w:t xml:space="preserve">„Latvijas gaisa satiksme” (turpmāk  - LGS) ir </w:t>
            </w:r>
            <w:proofErr w:type="spellStart"/>
            <w:r w:rsidR="007556ED">
              <w:t>pašfinansējoša</w:t>
            </w:r>
            <w:proofErr w:type="spellEnd"/>
            <w:r w:rsidR="007556ED">
              <w:t xml:space="preserve"> 100% kapitālsabiedrība, līdz ar to LGS netiek subsidēta no valsts budžeta un nesaņem nekāda veida valsts dotācijas. LGS galvenais mērķis ir nodrošināt ar aeronavigācijas pakalpojumiem visus gaisa telpas lietotājus Latvijas gaisa telpā jeb Rīgas Lidojumu informācijas rajonā (Rīgas LIR), tādējādi LGS sniedz aeronavigācija</w:t>
            </w:r>
            <w:r w:rsidR="00471306">
              <w:t xml:space="preserve">s pakalpojumus ne tikai </w:t>
            </w:r>
            <w:r w:rsidR="006F12C1">
              <w:t>vietējām aviokompānijām</w:t>
            </w:r>
            <w:r w:rsidR="007556ED">
              <w:t xml:space="preserve">, bet galvenokārt starptautiskajiem </w:t>
            </w:r>
            <w:r w:rsidR="007556ED" w:rsidRPr="008F35A5">
              <w:t xml:space="preserve">gaisa telpas lietotājiem, kas sastāda vidēji 80% no ieņēmumiem. </w:t>
            </w:r>
          </w:p>
          <w:p w:rsidR="00693680" w:rsidRDefault="000F00E7" w:rsidP="00693680">
            <w:pPr>
              <w:pStyle w:val="naiskr"/>
              <w:jc w:val="both"/>
            </w:pPr>
            <w:r w:rsidRPr="008F35A5">
              <w:t xml:space="preserve">Saskaņā ar apstiprinātajiem 2013.gada finanšu rezultātiem </w:t>
            </w:r>
            <w:r w:rsidR="00693680" w:rsidRPr="008F35A5">
              <w:t xml:space="preserve">LGS peļņa </w:t>
            </w:r>
            <w:r w:rsidRPr="008F35A5">
              <w:t xml:space="preserve">2013.gadā ir </w:t>
            </w:r>
            <w:r w:rsidR="00E14F77" w:rsidRPr="008F35A5">
              <w:t xml:space="preserve">LVL </w:t>
            </w:r>
            <w:r w:rsidRPr="008F35A5">
              <w:t>221</w:t>
            </w:r>
            <w:r w:rsidR="00E14F77">
              <w:t> </w:t>
            </w:r>
            <w:r w:rsidRPr="008F35A5">
              <w:t>555</w:t>
            </w:r>
            <w:r w:rsidR="00E14F77">
              <w:t xml:space="preserve"> </w:t>
            </w:r>
            <w:r w:rsidR="00E14F77" w:rsidRPr="00E14F77">
              <w:t>(EUR 315 244)</w:t>
            </w:r>
            <w:r w:rsidRPr="00E14F77">
              <w:t>.</w:t>
            </w:r>
          </w:p>
          <w:p w:rsidR="00E14F77" w:rsidRPr="005D65E5" w:rsidRDefault="00E14F77" w:rsidP="00E14F77">
            <w:pPr>
              <w:jc w:val="both"/>
            </w:pPr>
            <w:r w:rsidRPr="005D65E5">
              <w:t>Saskaņā ar likuma „Par valsts un pašvaldību kapitāla daļām un kapitālsabiedrībām” 3.panta trešo daļu un Ministru kabineta 2009.gada 15.decembra noteikumu Nr.1471 „Kārtība, kādā tiek noteikta valsts budžetā izmaksājamā peļņas daļa par valsts kapitāla izmantošanu” (turpmāk</w:t>
            </w:r>
            <w:r>
              <w:t xml:space="preserve"> – </w:t>
            </w:r>
            <w:r w:rsidRPr="00E14F77">
              <w:t>MK_not_1471</w:t>
            </w:r>
            <w:r w:rsidRPr="005D65E5">
              <w:t xml:space="preserve">) 4.1 punktu minimālo dividendēs izmaksājamo peļņas daļu par 2013. pārskata gadu kapitālsabiedrībām, kurās visas kapitāla daļas tieši vai pastarpināti pieder valstij nosaka, – 90 procentu apmērā no attiecīgās kapitālsabiedrības tīrās peļņas, ja valsts budžeta likumā kārtējam gadam nav noteikts citādi. Tādejādi </w:t>
            </w:r>
            <w:r>
              <w:lastRenderedPageBreak/>
              <w:t>LGS</w:t>
            </w:r>
            <w:r w:rsidRPr="005D65E5">
              <w:t xml:space="preserve"> pēc lēmuma pieņemšanas par dividenžu sadali Valsts kasē par 2013.gad</w:t>
            </w:r>
            <w:r>
              <w:t>u būtu jāieskaita dividendes</w:t>
            </w:r>
            <w:r w:rsidRPr="005D65E5">
              <w:t xml:space="preserve"> </w:t>
            </w:r>
            <w:r>
              <w:t xml:space="preserve">LVL 199 400 </w:t>
            </w:r>
            <w:r w:rsidRPr="005D65E5">
              <w:t>(</w:t>
            </w:r>
            <w:r>
              <w:t>EUR</w:t>
            </w:r>
            <w:r w:rsidRPr="005D65E5">
              <w:t xml:space="preserve"> </w:t>
            </w:r>
            <w:r>
              <w:t>283 720</w:t>
            </w:r>
            <w:r w:rsidRPr="005D65E5">
              <w:t>) apmērā.</w:t>
            </w:r>
          </w:p>
          <w:p w:rsidR="00693680" w:rsidRDefault="000F00E7" w:rsidP="00693680">
            <w:pPr>
              <w:pStyle w:val="naiskr"/>
              <w:jc w:val="both"/>
            </w:pPr>
            <w:r w:rsidRPr="008F35A5">
              <w:t>Papildus norādāms, ka</w:t>
            </w:r>
            <w:r w:rsidR="00693680" w:rsidRPr="008F35A5">
              <w:t xml:space="preserve"> </w:t>
            </w:r>
            <w:r w:rsidRPr="008F35A5">
              <w:t>ir palielināta</w:t>
            </w:r>
            <w:r w:rsidR="00E14F77">
              <w:t xml:space="preserve"> LGS</w:t>
            </w:r>
            <w:r w:rsidRPr="008F35A5">
              <w:t xml:space="preserve"> </w:t>
            </w:r>
            <w:r w:rsidR="00693680" w:rsidRPr="008F35A5">
              <w:t>2012.gada peļņa</w:t>
            </w:r>
            <w:r w:rsidRPr="008F35A5">
              <w:t xml:space="preserve"> par </w:t>
            </w:r>
            <w:r w:rsidR="006D1F39" w:rsidRPr="008F35A5">
              <w:t>177 284</w:t>
            </w:r>
            <w:r w:rsidRPr="008F35A5">
              <w:t xml:space="preserve"> LVL.</w:t>
            </w:r>
            <w:r w:rsidR="00693680" w:rsidRPr="008F35A5">
              <w:t xml:space="preserve"> </w:t>
            </w:r>
            <w:r w:rsidRPr="008F35A5">
              <w:t xml:space="preserve">Pamatojums </w:t>
            </w:r>
            <w:r w:rsidR="006D1F39" w:rsidRPr="008F35A5">
              <w:t>–</w:t>
            </w:r>
            <w:r w:rsidRPr="008F35A5">
              <w:t xml:space="preserve"> </w:t>
            </w:r>
            <w:r w:rsidR="006D1F39" w:rsidRPr="008F35A5">
              <w:t>izmaiņas likumā „Par uzņēmuma ienākuma nodokli”</w:t>
            </w:r>
            <w:r w:rsidR="000948C1" w:rsidRPr="008F35A5">
              <w:t>. Pamatojoties uz izmaiņām, Valsts ieņēmumu dienestā tika</w:t>
            </w:r>
            <w:r w:rsidR="008D5E11" w:rsidRPr="008F35A5">
              <w:t xml:space="preserve"> iesniegts Uzņēmuma ienākuma nodokļa deklarācijas precizējums,</w:t>
            </w:r>
            <w:r w:rsidR="00693680" w:rsidRPr="008F35A5">
              <w:t xml:space="preserve"> sakarā ar „Latvijas Krājbanka” maksātnespējas procesu.</w:t>
            </w:r>
          </w:p>
          <w:p w:rsidR="007556ED" w:rsidRDefault="007556ED" w:rsidP="007556ED">
            <w:pPr>
              <w:pStyle w:val="naiskr"/>
              <w:jc w:val="both"/>
            </w:pPr>
            <w:r>
              <w:t>Ņemot vērā iepriekš minēto, LGS tehniskajam nodrošinājumam un cilvēkresursiem ir jāatbilst starptautiskās aviācijas normatīviem un jānodrošina atbilstoša Latvijas Republikas  starptautisko saistību izpilde pret gaisa telpas lietotājiem. Šo mērķu sasniegšanai, kā arī</w:t>
            </w:r>
            <w:r w:rsidR="008F35A5">
              <w:t xml:space="preserve"> Darbības uzlabošanas plāna (</w:t>
            </w:r>
            <w:proofErr w:type="spellStart"/>
            <w:r w:rsidR="008F35A5">
              <w:t>Functional</w:t>
            </w:r>
            <w:proofErr w:type="spellEnd"/>
            <w:r w:rsidR="008F35A5">
              <w:t xml:space="preserve"> </w:t>
            </w:r>
            <w:proofErr w:type="spellStart"/>
            <w:r w:rsidR="008F35A5">
              <w:t>airspace</w:t>
            </w:r>
            <w:proofErr w:type="spellEnd"/>
            <w:r w:rsidR="008F35A5">
              <w:t xml:space="preserve"> </w:t>
            </w:r>
            <w:proofErr w:type="spellStart"/>
            <w:r w:rsidR="008F35A5">
              <w:t>blocks</w:t>
            </w:r>
            <w:proofErr w:type="spellEnd"/>
            <w:r w:rsidR="008F35A5">
              <w:t xml:space="preserve"> (FAB)</w:t>
            </w:r>
            <w:r>
              <w:t xml:space="preserve"> </w:t>
            </w:r>
            <w:proofErr w:type="spellStart"/>
            <w:r>
              <w:t>Performance</w:t>
            </w:r>
            <w:proofErr w:type="spellEnd"/>
            <w:r>
              <w:t xml:space="preserve"> </w:t>
            </w:r>
            <w:proofErr w:type="spellStart"/>
            <w:r>
              <w:t>plan</w:t>
            </w:r>
            <w:proofErr w:type="spellEnd"/>
            <w:r>
              <w:t xml:space="preserve">) ieviešanai nepieciešams veikt investīcijas gan sarežģītu tehnoloģisko iekārtu iegādei (infrastruktūrā) un apkalpošanai, gan lai sagatavotu un uzturētu augsti kvalificētu, starptautiskās sertifikācijas prasībām atbilstošu personālu. Ar LGS pamatdarbību saistītos jautājumus reglamentē arī Eiropas Komisijas Regulas, kurām ir tiešā piemērojamība, tai skaitā jāmin Eiropas Komisijas 2013.gada 3.maija Regulas Nr.391/2013 ar ko nosaka kopējās tarifikācijas sistēmu aeronavigācijas pakalpojumiem noteikumus un Eiropas Komisijas 2013.gada 3.maija Regulas Nr.390/2013 ar ko nosaka aeronavigācijas pakalpojumu un tīkla funkciju darbības uzlabošanas sistēmu noteikumus. </w:t>
            </w:r>
          </w:p>
          <w:p w:rsidR="007556ED" w:rsidRDefault="007556ED" w:rsidP="007556ED">
            <w:pPr>
              <w:pStyle w:val="naiskr"/>
              <w:jc w:val="both"/>
            </w:pPr>
            <w:r>
              <w:t>Turklāt svarīgi ir akcentēt, ka LGS kā sabiedrībai, kas galvenokārt darbojas starptautiskajā vidē, tās darbībā ir jāievēro starptautiskie līgumi (konvencijas), kuri saskaņā ar 1969.gada 23.maija Vīnes Konvencijas par starptautisko līgumu tiesībām 27.pantu un likuma „Par Latvijas Republikas starptautiskajiem līgumiem” ir prioritāte pār nacionālajām tiesību normām.</w:t>
            </w:r>
          </w:p>
          <w:p w:rsidR="00666705" w:rsidRDefault="007556ED" w:rsidP="00666705">
            <w:pPr>
              <w:pStyle w:val="naiskr"/>
              <w:jc w:val="both"/>
            </w:pPr>
            <w:r>
              <w:t>LGS</w:t>
            </w:r>
            <w:r w:rsidR="00666705">
              <w:t xml:space="preserve"> ir izveidojusi Funkcionālās gaisa telpas bloku ar Ziemeļeiropas valstīm saskaņā ar Vienotas Eiropas Gaisa telpas likumdošanas II. Paketes prasībām. Šobrīd tiek izskatīta Vienotas Eiropas Gaisa telpas likumdošanas II+ paketes prasības, kas prasīs  papildus finansējumu šā mērķa realizēšanai.</w:t>
            </w:r>
          </w:p>
          <w:p w:rsidR="00666705" w:rsidRPr="008F35A5" w:rsidRDefault="007556ED" w:rsidP="00666705">
            <w:pPr>
              <w:pStyle w:val="naiskr"/>
              <w:jc w:val="both"/>
            </w:pPr>
            <w:r>
              <w:t>LGS</w:t>
            </w:r>
            <w:r w:rsidR="00666705">
              <w:t xml:space="preserve"> ir viens no lielākajiem Latvijas Republikas nodokļu maksātājiem (faktiski samaksātie nodokļi pēc naudas </w:t>
            </w:r>
            <w:r w:rsidR="00666705" w:rsidRPr="008F35A5">
              <w:t>plūsmas par 2009.g.- 2</w:t>
            </w:r>
            <w:r w:rsidR="00045307" w:rsidRPr="008F35A5">
              <w:t> 302.6</w:t>
            </w:r>
            <w:r w:rsidR="00666705" w:rsidRPr="008F35A5">
              <w:t xml:space="preserve"> tūkst. Ls, 2010.g.-2 70</w:t>
            </w:r>
            <w:r w:rsidR="00045307" w:rsidRPr="008F35A5">
              <w:t>4</w:t>
            </w:r>
            <w:r w:rsidR="00666705" w:rsidRPr="008F35A5">
              <w:t>.</w:t>
            </w:r>
            <w:r w:rsidR="00045307" w:rsidRPr="008F35A5">
              <w:t>1</w:t>
            </w:r>
            <w:r w:rsidR="00666705" w:rsidRPr="008F35A5">
              <w:t xml:space="preserve"> tūkst. Ls, 2011.g. - </w:t>
            </w:r>
            <w:r w:rsidR="00045307" w:rsidRPr="008F35A5">
              <w:t xml:space="preserve">3 387.0 tūkst. Ls, 2012.g. - 3 834.5 </w:t>
            </w:r>
            <w:r w:rsidR="00666705" w:rsidRPr="008F35A5">
              <w:t>tūkst. Ls</w:t>
            </w:r>
            <w:r w:rsidR="000C09AA" w:rsidRPr="008F35A5">
              <w:t xml:space="preserve"> un 2013.g. – </w:t>
            </w:r>
            <w:r w:rsidR="00045307" w:rsidRPr="008F35A5">
              <w:t>3 989.5</w:t>
            </w:r>
            <w:r w:rsidR="000C09AA" w:rsidRPr="008F35A5">
              <w:t xml:space="preserve"> tūkst. Ls.</w:t>
            </w:r>
            <w:r w:rsidR="00666705" w:rsidRPr="008F35A5">
              <w:t>) un peļņu nesošs uzņēmums (2009.g. - 928.1 tūkst. Ls, 2010.g. – 269.1 tūkst. Ls</w:t>
            </w:r>
            <w:r w:rsidR="000C09AA" w:rsidRPr="008F35A5">
              <w:t xml:space="preserve">, </w:t>
            </w:r>
            <w:r w:rsidR="00666705" w:rsidRPr="008F35A5">
              <w:t xml:space="preserve">2012.g. - 459.5 tūkst. Ls </w:t>
            </w:r>
            <w:r w:rsidR="000C09AA" w:rsidRPr="008F35A5">
              <w:t>un 2013.g. – 221.6 tūkst. Ls</w:t>
            </w:r>
            <w:r w:rsidR="00666705" w:rsidRPr="008F35A5">
              <w:t>).</w:t>
            </w:r>
          </w:p>
          <w:p w:rsidR="00666705" w:rsidRPr="008F35A5" w:rsidRDefault="008D5E11" w:rsidP="00FE6E79">
            <w:pPr>
              <w:pStyle w:val="naiskr"/>
              <w:jc w:val="both"/>
            </w:pPr>
            <w:r w:rsidRPr="008F35A5">
              <w:t>2013.gada laikā tika novērots mērens kopējo lidojumu skaita pieaugums (par 1.2%)</w:t>
            </w:r>
            <w:r w:rsidR="000C09AA" w:rsidRPr="008F35A5">
              <w:t>, salīdzinot ar 2012.gadu. Tomēr, salīdzinot ar 2011.gadu, lidojumu skaita pieaugums ir bijis 0,06%.</w:t>
            </w:r>
            <w:r w:rsidR="00666705" w:rsidRPr="008F35A5">
              <w:t xml:space="preserve"> </w:t>
            </w:r>
            <w:r w:rsidR="000C09AA" w:rsidRPr="008F35A5">
              <w:t xml:space="preserve">Vienlaikus, </w:t>
            </w:r>
            <w:r w:rsidR="00666705" w:rsidRPr="008F35A5">
              <w:t>Eiropas Komisija ir uzlikusi dalībvalstīm par pienākumu samazināt vienības maksu, kas ir viens no darbības pamata rādītājiem, kas tiek stingri regulēts ar nacionālās darbības uzlabošanas plāna palīdzību gan atskaites periodā 1 (2012-2014), gan atskaites periodā 2 (2015-2019).</w:t>
            </w:r>
          </w:p>
          <w:p w:rsidR="00666705" w:rsidRDefault="00666705" w:rsidP="0090525E">
            <w:pPr>
              <w:pStyle w:val="naiskr"/>
              <w:jc w:val="both"/>
            </w:pPr>
            <w:r w:rsidRPr="008F35A5">
              <w:t>Pēdējo gadu laikā tehniskās modernizācijas ietvaros ir īstenoti</w:t>
            </w:r>
            <w:r>
              <w:t xml:space="preserve"> vairāki </w:t>
            </w:r>
            <w:r>
              <w:lastRenderedPageBreak/>
              <w:t xml:space="preserve">vērienīgi projekti, nodrošinot tehnoloģisko procesu kvalitātes un lidojumu drošības nozīmīgu paaugstināšanos. Lai uzturētu drošus un kvalitatīvus pakalpojumus un īstenotu regulas prasības, nepieciešams uzturēt augstu personāla kvalifikāciju, ieviest jaunākās darba tehnoloģijas un veikt pasākumus dispečeru noslogotības samazināšanai. </w:t>
            </w:r>
          </w:p>
          <w:p w:rsidR="00666705" w:rsidRPr="008F35A5" w:rsidRDefault="00666705" w:rsidP="0090525E">
            <w:pPr>
              <w:pStyle w:val="naiskr"/>
              <w:jc w:val="both"/>
            </w:pPr>
            <w:r>
              <w:t xml:space="preserve">Fakti liecina par uzņēmuma vēlmi un spēju nodrošināt pakalpojumu </w:t>
            </w:r>
            <w:r w:rsidRPr="008F35A5">
              <w:t>sniegšanu atbilstoši starptautiskajām prasībām.</w:t>
            </w:r>
          </w:p>
          <w:p w:rsidR="007E795A" w:rsidRPr="008F35A5" w:rsidRDefault="007E795A" w:rsidP="007E795A">
            <w:pPr>
              <w:pStyle w:val="naiskr"/>
              <w:jc w:val="both"/>
            </w:pPr>
            <w:r w:rsidRPr="008F35A5">
              <w:t xml:space="preserve">Pēdējo gadu laikā veikti būtiski kapitālieguldījumi Rīgas un reģionālo lidostu aeronavigācijas vadības sistēmas infrastruktūras modernizācijā. Projekti, kuri tiek realizēti līgumu ietvaros vai ir noslēgušies: </w:t>
            </w:r>
          </w:p>
          <w:p w:rsidR="007E795A" w:rsidRPr="008F35A5" w:rsidRDefault="007E795A" w:rsidP="007E795A">
            <w:pPr>
              <w:pStyle w:val="naiskr"/>
              <w:jc w:val="both"/>
            </w:pPr>
            <w:r w:rsidRPr="008F35A5">
              <w:t>ANOF (AFTN/NOTAM/OPMET/FPMS) sistēmas modernizācijas ietvaros tika papildināta ar aeronavigācijas fiksēto telekomunikāciju tīklu (AFTN) ar AFTN/AMHS funkcijām, kas ir ļāvušas pāriet uz AMHS. 2013.gadā sistēmas paplašināšana tika pabeigta, pievienojot aeronavigācijas un meteoroloģiskās informācijas moduli, kas nodrošina iespēju šo informāciju izmantot daudz plašākam lietotāju skaitam. Ar šīs sistēmas palīdzību tiek veikta gaisa kuģiem ļoti būtiskas informācijas apmaiņa, kā piemēram, briesmu signāla pārraidīšana, ārkārtas paziņojumi, lidojuma drošuma informācija, meteoroloģiskie ziņojumi, lidojuma informācija un aeronavigācijas administratīvā informācija.</w:t>
            </w:r>
          </w:p>
          <w:p w:rsidR="007E795A" w:rsidRPr="008F35A5" w:rsidRDefault="007E795A" w:rsidP="007E795A">
            <w:pPr>
              <w:pStyle w:val="naiskr"/>
              <w:jc w:val="both"/>
            </w:pPr>
            <w:r w:rsidRPr="008F35A5">
              <w:rPr>
                <w:bCs/>
              </w:rPr>
              <w:t>Aviācijas mobilo sakaru sistēmas „gaiss-zeme” modernizācija</w:t>
            </w:r>
            <w:r w:rsidRPr="008F35A5">
              <w:t xml:space="preserve">, kura mērķis ir nodrošināt kvalitatīvus un drošus aviācijas mobilos balss sakarus „gaiss-zeme” LIR, ievērojot operacionālās, tehniskās, normatīvo un reglamentējošo dokumentu prasības. </w:t>
            </w:r>
          </w:p>
          <w:p w:rsidR="007E795A" w:rsidRPr="008F35A5" w:rsidRDefault="007E795A" w:rsidP="007E795A">
            <w:pPr>
              <w:pStyle w:val="naiskr"/>
              <w:jc w:val="both"/>
            </w:pPr>
            <w:r w:rsidRPr="008F35A5">
              <w:t>A-SMGCS Sistēmas modernizācija nodrošinās maršrutēšanas, vadības un novērošanas funkcijas, lai kontrolētu gaisa kuģu un citu transportlīdzekļu pārvietošanos lidlaukā, saglabājot noteikto drošuma līmeni jebkuros laika apstākļos. Projekts paredz jaunākās paaudzes datortehnikas un programmatūras uzstādīšanu, lai paplašinātu sistēmas funkcionālās iespējas un uzturētu augstu drošuma līmeni.</w:t>
            </w:r>
          </w:p>
          <w:p w:rsidR="007E795A" w:rsidRPr="008F35A5" w:rsidRDefault="007E795A" w:rsidP="007E795A">
            <w:pPr>
              <w:pStyle w:val="naiskr"/>
              <w:jc w:val="both"/>
              <w:rPr>
                <w:bCs/>
              </w:rPr>
            </w:pPr>
            <w:r w:rsidRPr="008F35A5">
              <w:rPr>
                <w:bCs/>
              </w:rPr>
              <w:t>Balss Sakaru Sistēmas SCHMID ICS 200/60 modernizācija paredz</w:t>
            </w:r>
            <w:r w:rsidRPr="008F35A5">
              <w:rPr>
                <w:rFonts w:ascii="Arial" w:hAnsi="Arial" w:cs="Arial"/>
                <w:color w:val="000000"/>
                <w:sz w:val="22"/>
                <w:szCs w:val="22"/>
                <w:lang w:eastAsia="en-US"/>
              </w:rPr>
              <w:t xml:space="preserve"> </w:t>
            </w:r>
            <w:r w:rsidRPr="008F35A5">
              <w:rPr>
                <w:bCs/>
              </w:rPr>
              <w:t xml:space="preserve">esošās balss sakaru sistēmas paplašināšanu un ekspluatācijas resursa pagarināšanu.  </w:t>
            </w:r>
          </w:p>
          <w:p w:rsidR="007E795A" w:rsidRPr="008F35A5" w:rsidRDefault="007E795A" w:rsidP="007E795A">
            <w:pPr>
              <w:pStyle w:val="naiskr"/>
              <w:jc w:val="both"/>
              <w:rPr>
                <w:bCs/>
              </w:rPr>
            </w:pPr>
            <w:r w:rsidRPr="008F35A5">
              <w:rPr>
                <w:bCs/>
              </w:rPr>
              <w:t>Sistēmas ATIS/D-ATIS/VOLMET/D-VOLMET iegāde nodrošinās Rīgas LIR lietotājus ar kvalitatīvu un drošu aeronavigācijas informāciju ēterā, kas atbilst mūsdienu</w:t>
            </w:r>
            <w:r w:rsidR="000444FF">
              <w:rPr>
                <w:bCs/>
              </w:rPr>
              <w:t xml:space="preserve"> </w:t>
            </w:r>
            <w:proofErr w:type="spellStart"/>
            <w:r w:rsidR="000444FF" w:rsidRPr="000444FF">
              <w:rPr>
                <w:bCs/>
              </w:rPr>
              <w:t>International</w:t>
            </w:r>
            <w:proofErr w:type="spellEnd"/>
            <w:r w:rsidR="000444FF" w:rsidRPr="000444FF">
              <w:rPr>
                <w:bCs/>
              </w:rPr>
              <w:t xml:space="preserve"> </w:t>
            </w:r>
            <w:proofErr w:type="spellStart"/>
            <w:r w:rsidR="000444FF" w:rsidRPr="000444FF">
              <w:rPr>
                <w:bCs/>
              </w:rPr>
              <w:t>Civil</w:t>
            </w:r>
            <w:proofErr w:type="spellEnd"/>
            <w:r w:rsidR="000444FF" w:rsidRPr="000444FF">
              <w:rPr>
                <w:bCs/>
              </w:rPr>
              <w:t xml:space="preserve"> </w:t>
            </w:r>
            <w:proofErr w:type="spellStart"/>
            <w:r w:rsidR="000444FF" w:rsidRPr="000444FF">
              <w:rPr>
                <w:bCs/>
              </w:rPr>
              <w:t>Aviation</w:t>
            </w:r>
            <w:proofErr w:type="spellEnd"/>
            <w:r w:rsidR="000444FF" w:rsidRPr="000444FF">
              <w:rPr>
                <w:bCs/>
              </w:rPr>
              <w:t xml:space="preserve"> </w:t>
            </w:r>
            <w:proofErr w:type="spellStart"/>
            <w:r w:rsidR="000444FF" w:rsidRPr="000444FF">
              <w:rPr>
                <w:bCs/>
              </w:rPr>
              <w:t>Organization</w:t>
            </w:r>
            <w:proofErr w:type="spellEnd"/>
            <w:r w:rsidR="000444FF" w:rsidRPr="000444FF">
              <w:rPr>
                <w:bCs/>
              </w:rPr>
              <w:t xml:space="preserve"> </w:t>
            </w:r>
            <w:r w:rsidRPr="008F35A5">
              <w:rPr>
                <w:bCs/>
              </w:rPr>
              <w:t xml:space="preserve"> </w:t>
            </w:r>
            <w:r w:rsidR="000444FF">
              <w:rPr>
                <w:bCs/>
              </w:rPr>
              <w:t>(</w:t>
            </w:r>
            <w:r w:rsidRPr="008F35A5">
              <w:rPr>
                <w:bCs/>
              </w:rPr>
              <w:t>ICAO</w:t>
            </w:r>
            <w:r w:rsidR="000444FF">
              <w:rPr>
                <w:bCs/>
              </w:rPr>
              <w:t>)</w:t>
            </w:r>
            <w:r w:rsidRPr="008F35A5">
              <w:rPr>
                <w:bCs/>
              </w:rPr>
              <w:t xml:space="preserve"> prasībām, kas nepieļautu </w:t>
            </w:r>
            <w:r w:rsidR="009A0D1E">
              <w:rPr>
                <w:bCs/>
              </w:rPr>
              <w:t xml:space="preserve">gaisa satiksmes vadības </w:t>
            </w:r>
            <w:r w:rsidRPr="008F35A5">
              <w:rPr>
                <w:bCs/>
              </w:rPr>
              <w:t>dispečeru papildus noslogojumu.</w:t>
            </w:r>
          </w:p>
          <w:p w:rsidR="007E795A" w:rsidRPr="008F35A5" w:rsidRDefault="007E795A" w:rsidP="000D2987">
            <w:pPr>
              <w:pStyle w:val="naiskr"/>
              <w:jc w:val="both"/>
            </w:pPr>
            <w:r w:rsidRPr="008F35A5">
              <w:t>Būtiskākie nozīmīgākie projekti, kuriem LGS novirzīs dividendēs neiemaksājamo daļu.</w:t>
            </w:r>
          </w:p>
          <w:p w:rsidR="007E795A" w:rsidRPr="008F35A5" w:rsidRDefault="007E795A" w:rsidP="007E795A">
            <w:pPr>
              <w:pStyle w:val="naiskr"/>
              <w:jc w:val="both"/>
            </w:pPr>
            <w:r w:rsidRPr="008F35A5">
              <w:rPr>
                <w:bCs/>
              </w:rPr>
              <w:t>G</w:t>
            </w:r>
            <w:r w:rsidR="008F35A5">
              <w:rPr>
                <w:bCs/>
              </w:rPr>
              <w:t>aisa satiksmes vadības</w:t>
            </w:r>
            <w:r w:rsidRPr="008F35A5">
              <w:rPr>
                <w:bCs/>
              </w:rPr>
              <w:t xml:space="preserve"> automatizētās sistēmas modernizācija ATRACC-2015. </w:t>
            </w:r>
            <w:r w:rsidRPr="008F35A5">
              <w:t xml:space="preserve">ATRACC  ir galvenā gaisa satiksmes vadības automatizētā sistēma, kura tiek izmantota Latvijas gaisa telpā. Projekta mērķis ir ATRACC sistēmas modernizācija, lai tā atbilstu Eiropas savienības noteikumiem, </w:t>
            </w:r>
            <w:proofErr w:type="spellStart"/>
            <w:r w:rsidR="00D35B08" w:rsidRPr="00D35B08">
              <w:t>North</w:t>
            </w:r>
            <w:proofErr w:type="spellEnd"/>
            <w:r w:rsidR="00D35B08" w:rsidRPr="00D35B08">
              <w:t xml:space="preserve"> </w:t>
            </w:r>
            <w:proofErr w:type="spellStart"/>
            <w:r w:rsidR="00D35B08" w:rsidRPr="00D35B08">
              <w:t>European</w:t>
            </w:r>
            <w:proofErr w:type="spellEnd"/>
            <w:r w:rsidR="00D35B08" w:rsidRPr="00D35B08">
              <w:t xml:space="preserve"> </w:t>
            </w:r>
            <w:proofErr w:type="spellStart"/>
            <w:r w:rsidR="00D35B08" w:rsidRPr="00D35B08">
              <w:t>Functional</w:t>
            </w:r>
            <w:proofErr w:type="spellEnd"/>
            <w:r w:rsidR="00D35B08" w:rsidRPr="00D35B08">
              <w:t xml:space="preserve"> </w:t>
            </w:r>
            <w:proofErr w:type="spellStart"/>
            <w:r w:rsidR="00D35B08" w:rsidRPr="00D35B08">
              <w:t>Airspace</w:t>
            </w:r>
            <w:proofErr w:type="spellEnd"/>
            <w:r w:rsidR="00D35B08" w:rsidRPr="00D35B08">
              <w:t xml:space="preserve"> </w:t>
            </w:r>
            <w:proofErr w:type="spellStart"/>
            <w:r w:rsidR="00D35B08" w:rsidRPr="00D35B08">
              <w:t>Block</w:t>
            </w:r>
            <w:proofErr w:type="spellEnd"/>
            <w:r w:rsidR="00D35B08">
              <w:t xml:space="preserve"> (</w:t>
            </w:r>
            <w:r w:rsidRPr="008F35A5">
              <w:t>NEFAB</w:t>
            </w:r>
            <w:r w:rsidR="00D35B08">
              <w:t>)</w:t>
            </w:r>
            <w:r w:rsidRPr="008F35A5">
              <w:t xml:space="preserve"> prasībām, kā arī lidojumu drošuma un efektivitātes paaugstināšanai. </w:t>
            </w:r>
          </w:p>
          <w:p w:rsidR="007E795A" w:rsidRPr="008F35A5" w:rsidRDefault="007E795A" w:rsidP="007E795A">
            <w:pPr>
              <w:pStyle w:val="naiskr"/>
              <w:jc w:val="both"/>
            </w:pPr>
            <w:r w:rsidRPr="008F35A5">
              <w:t xml:space="preserve">NEFAB galvenais uzdevums ir līdz 2015.gada 12.novembrim ieviest brīvo maršrutu gaisa telpu, kas ir daļa no ATRACC sistēmas </w:t>
            </w:r>
            <w:r w:rsidRPr="008F35A5">
              <w:lastRenderedPageBreak/>
              <w:t>modernizācijas projekta.</w:t>
            </w:r>
          </w:p>
          <w:p w:rsidR="007E795A" w:rsidRPr="008F35A5" w:rsidRDefault="007E795A" w:rsidP="007E795A">
            <w:pPr>
              <w:pStyle w:val="naiskr"/>
              <w:jc w:val="both"/>
            </w:pPr>
            <w:r w:rsidRPr="008F35A5">
              <w:t>Citi svarīgi projekti:</w:t>
            </w:r>
          </w:p>
          <w:p w:rsidR="007E795A" w:rsidRPr="008F35A5" w:rsidRDefault="007E795A" w:rsidP="007E795A">
            <w:pPr>
              <w:pStyle w:val="naiskr"/>
              <w:jc w:val="both"/>
              <w:rPr>
                <w:bCs/>
              </w:rPr>
            </w:pPr>
            <w:r w:rsidRPr="008F35A5">
              <w:rPr>
                <w:bCs/>
              </w:rPr>
              <w:t xml:space="preserve">Rīgas FIR, esošās gaisa telpas struktūras analīze, </w:t>
            </w:r>
            <w:proofErr w:type="spellStart"/>
            <w:r w:rsidR="003454F0" w:rsidRPr="003454F0">
              <w:rPr>
                <w:bCs/>
              </w:rPr>
              <w:t>performance-based</w:t>
            </w:r>
            <w:proofErr w:type="spellEnd"/>
            <w:r w:rsidR="003454F0" w:rsidRPr="003454F0">
              <w:rPr>
                <w:bCs/>
              </w:rPr>
              <w:t xml:space="preserve"> </w:t>
            </w:r>
            <w:proofErr w:type="spellStart"/>
            <w:r w:rsidR="003454F0" w:rsidRPr="003454F0">
              <w:rPr>
                <w:bCs/>
              </w:rPr>
              <w:t>navigation</w:t>
            </w:r>
            <w:proofErr w:type="spellEnd"/>
            <w:r w:rsidR="003454F0" w:rsidRPr="003454F0">
              <w:rPr>
                <w:bCs/>
              </w:rPr>
              <w:t xml:space="preserve"> </w:t>
            </w:r>
            <w:r w:rsidR="003454F0">
              <w:rPr>
                <w:bCs/>
              </w:rPr>
              <w:t>(</w:t>
            </w:r>
            <w:r w:rsidRPr="008F35A5">
              <w:rPr>
                <w:bCs/>
              </w:rPr>
              <w:t>PBN</w:t>
            </w:r>
            <w:r w:rsidR="003454F0">
              <w:rPr>
                <w:bCs/>
              </w:rPr>
              <w:t>)</w:t>
            </w:r>
            <w:r w:rsidRPr="008F35A5">
              <w:rPr>
                <w:bCs/>
              </w:rPr>
              <w:t xml:space="preserve"> gaisa telpas elementu un procedūru izstrāde, validēšana un ieviešana. PBN nozīmē pāreju no sensoru navigācijas un piedāvā virkni priekšrocību gaisa telpas lietotājiem, ļaujot efektīvāk izmantot gaisa telpu (maršrutu izvēle, degvielas ekonomija un trokšņu līmeņa mazināšana). Turpmākie soļi ir plānoti, lai īstenotu gaisa telpas dizaina pārveidi, kuras esošā struktūra jau daudz gadus ir bijusi nemainīga. Jauna un moderna gaisa telpas struktūra pavērs iespējas uzrādīt labāku sniegumu precizitātes, integritātes, pieejamības un nepārtrauktības aspektos, kā rezultātā ieguvēji būs Rīgas LIR lietotāji.</w:t>
            </w:r>
          </w:p>
          <w:p w:rsidR="007E795A" w:rsidRPr="008F35A5" w:rsidRDefault="007E795A" w:rsidP="007E795A">
            <w:pPr>
              <w:pStyle w:val="naiskr"/>
              <w:jc w:val="both"/>
            </w:pPr>
            <w:r w:rsidRPr="008F35A5">
              <w:rPr>
                <w:bCs/>
              </w:rPr>
              <w:t xml:space="preserve">Lidostas „aklo zonu” monitorings un kontrole, kura mērķis ir </w:t>
            </w:r>
            <w:r w:rsidRPr="008F35A5">
              <w:t>ieviest transporta līdzekļu un gaisa kuģu kustības novērošanas un kontroles sistēmu lidostas „aklajās” zonās. Parādīsies jauna sistēma, kas pārraida attēlus no videokamerām uz Torņa dispečeru darba vietām. Tālāk sistēma tiks papildināta ar sekošanas funkciju;</w:t>
            </w:r>
          </w:p>
          <w:p w:rsidR="007E795A" w:rsidRPr="008F35A5" w:rsidRDefault="007E795A" w:rsidP="007E795A">
            <w:pPr>
              <w:pStyle w:val="naiskr"/>
              <w:jc w:val="both"/>
            </w:pPr>
            <w:proofErr w:type="spellStart"/>
            <w:r w:rsidRPr="008F35A5">
              <w:rPr>
                <w:bCs/>
              </w:rPr>
              <w:t>Follow-the-green”</w:t>
            </w:r>
            <w:proofErr w:type="spellEnd"/>
            <w:r w:rsidRPr="008F35A5">
              <w:rPr>
                <w:bCs/>
              </w:rPr>
              <w:t xml:space="preserve"> koncepcijas realizācija, nepieciešama, lai </w:t>
            </w:r>
            <w:r w:rsidRPr="008F35A5">
              <w:t>vadītu skrejceļa ass līnijas ugunis (</w:t>
            </w:r>
            <w:proofErr w:type="spellStart"/>
            <w:r w:rsidRPr="008F35A5">
              <w:t>centrelines</w:t>
            </w:r>
            <w:proofErr w:type="spellEnd"/>
            <w:r w:rsidRPr="008F35A5">
              <w:t>) un kustības maršrutu izveidošanu ar to pielietošanu;</w:t>
            </w:r>
          </w:p>
          <w:p w:rsidR="007E795A" w:rsidRPr="008F35A5" w:rsidRDefault="007E795A" w:rsidP="007E795A">
            <w:pPr>
              <w:pStyle w:val="naiskr"/>
              <w:jc w:val="both"/>
            </w:pPr>
            <w:proofErr w:type="spellStart"/>
            <w:r w:rsidRPr="008F35A5">
              <w:rPr>
                <w:bCs/>
              </w:rPr>
              <w:t>Collaborative</w:t>
            </w:r>
            <w:proofErr w:type="spellEnd"/>
            <w:r w:rsidRPr="008F35A5">
              <w:rPr>
                <w:bCs/>
              </w:rPr>
              <w:t xml:space="preserve"> </w:t>
            </w:r>
            <w:proofErr w:type="spellStart"/>
            <w:r w:rsidRPr="008F35A5">
              <w:rPr>
                <w:bCs/>
              </w:rPr>
              <w:t>Decision</w:t>
            </w:r>
            <w:proofErr w:type="spellEnd"/>
            <w:r w:rsidRPr="008F35A5">
              <w:rPr>
                <w:bCs/>
              </w:rPr>
              <w:t xml:space="preserve"> </w:t>
            </w:r>
            <w:proofErr w:type="spellStart"/>
            <w:r w:rsidRPr="008F35A5">
              <w:rPr>
                <w:bCs/>
              </w:rPr>
              <w:t>Making</w:t>
            </w:r>
            <w:proofErr w:type="spellEnd"/>
            <w:r w:rsidRPr="008F35A5">
              <w:rPr>
                <w:bCs/>
              </w:rPr>
              <w:t xml:space="preserve"> (CDM) </w:t>
            </w:r>
            <w:r w:rsidRPr="008F35A5">
              <w:t>ir nepieciešams, lai lidostā „Rīga” palielināt caurlaides spēju, izveidojot un ieviešot centralizētu informācijas sistēmu, nodrošinot saskaņotu pacelšanās – nosēšanās lēmumu pieņemšanu. Tas paredz sistēmu modernizāciju un jaunu tehnoloģiju ieviešanu LGS, lidostā „ Rīga” un aviopārvadātājiem.</w:t>
            </w:r>
          </w:p>
          <w:p w:rsidR="00666705" w:rsidRPr="008F35A5" w:rsidRDefault="00FE6E79" w:rsidP="008F03C5">
            <w:pPr>
              <w:pStyle w:val="naiskr"/>
              <w:jc w:val="both"/>
            </w:pPr>
            <w:r w:rsidRPr="008F35A5">
              <w:t>LGS</w:t>
            </w:r>
            <w:r w:rsidR="00666705" w:rsidRPr="008F35A5">
              <w:t xml:space="preserve"> savas saimnieciskās darbības ietvaros saskaņā ar Ministru kabineta 2012.gada 3.janvāra noteikumos Nr.28 „Valsts akciju sabiedrības "Latvijas gaisa satiksme"  sniegto aeronavigācijas pakalpojumu maksas noteikšanas un iekasēšanas kārtība” valsts aģentūras „Civilās aviācijas aģentūra” budžetā  201</w:t>
            </w:r>
            <w:r w:rsidR="008F03C5" w:rsidRPr="008F35A5">
              <w:t>3</w:t>
            </w:r>
            <w:r w:rsidR="00666705" w:rsidRPr="008F35A5">
              <w:t xml:space="preserve">.gadā ieskaitīja </w:t>
            </w:r>
            <w:r w:rsidR="00045307" w:rsidRPr="008F35A5">
              <w:t>993</w:t>
            </w:r>
            <w:r w:rsidR="00666705" w:rsidRPr="008F35A5">
              <w:t xml:space="preserve"> tūkst. </w:t>
            </w:r>
            <w:r w:rsidR="006145A9" w:rsidRPr="008F35A5">
              <w:t>EUR</w:t>
            </w:r>
            <w:r w:rsidR="00666705" w:rsidRPr="008F35A5">
              <w:t xml:space="preserve">. </w:t>
            </w:r>
          </w:p>
          <w:p w:rsidR="00666705" w:rsidRPr="001E5FFE" w:rsidRDefault="00666705" w:rsidP="008F03C5">
            <w:pPr>
              <w:pStyle w:val="naiskr"/>
              <w:jc w:val="both"/>
            </w:pPr>
            <w:r w:rsidRPr="008F35A5">
              <w:t xml:space="preserve">Saskaņā ar Ministru </w:t>
            </w:r>
            <w:r w:rsidRPr="001E5FFE">
              <w:t>kabineta 201</w:t>
            </w:r>
            <w:r w:rsidR="008F03C5" w:rsidRPr="001E5FFE">
              <w:t>3</w:t>
            </w:r>
            <w:r w:rsidRPr="001E5FFE">
              <w:t xml:space="preserve">.gada </w:t>
            </w:r>
            <w:r w:rsidR="008F03C5" w:rsidRPr="001E5FFE">
              <w:t>18</w:t>
            </w:r>
            <w:r w:rsidRPr="001E5FFE">
              <w:t>.decembra rīkojumā Nr.</w:t>
            </w:r>
            <w:r w:rsidR="008F03C5" w:rsidRPr="001E5FFE">
              <w:t>662</w:t>
            </w:r>
            <w:r w:rsidRPr="001E5FFE">
              <w:t xml:space="preserve"> „Par valsts aģentūras "Civilās aviācijas aģentūra" </w:t>
            </w:r>
            <w:r w:rsidR="008F03C5" w:rsidRPr="001E5FFE">
              <w:t xml:space="preserve">2014.gada </w:t>
            </w:r>
            <w:r w:rsidRPr="001E5FFE">
              <w:t xml:space="preserve">budžeta apstiprināšanu” noteikto </w:t>
            </w:r>
            <w:r w:rsidR="008F03C5" w:rsidRPr="001E5FFE">
              <w:t>LGS</w:t>
            </w:r>
            <w:r w:rsidRPr="001E5FFE">
              <w:t xml:space="preserve"> 201</w:t>
            </w:r>
            <w:r w:rsidR="008F03C5" w:rsidRPr="001E5FFE">
              <w:t>4</w:t>
            </w:r>
            <w:r w:rsidRPr="001E5FFE">
              <w:t xml:space="preserve">.gadā valsts aģentūras „Civilās aviācijas aģentūra” budžetā, jāieskaita </w:t>
            </w:r>
            <w:r w:rsidR="00045307" w:rsidRPr="001E5FFE">
              <w:t>996</w:t>
            </w:r>
            <w:r w:rsidRPr="001E5FFE">
              <w:t xml:space="preserve"> tūkst. </w:t>
            </w:r>
            <w:r w:rsidR="006145A9" w:rsidRPr="001E5FFE">
              <w:t>EUR</w:t>
            </w:r>
            <w:r w:rsidRPr="001E5FFE">
              <w:t xml:space="preserve">, bet saskaņā ar Ministru kabineta  </w:t>
            </w:r>
            <w:r w:rsidR="006145A9" w:rsidRPr="001E5FFE">
              <w:t xml:space="preserve">2013.gada 2.oktobra rīkojumu Nr.458 „Par Transporta nelaimes gadījumu un incidentu izmeklēšanas biroja 2014.gada budžeta apstiprināšanu” </w:t>
            </w:r>
            <w:r w:rsidRPr="001E5FFE">
              <w:t xml:space="preserve">Transporta nelaimes gadījumu un incidentu izmeklēšanas biroja budžetā jāieskaita </w:t>
            </w:r>
            <w:r w:rsidR="00045307" w:rsidRPr="001E5FFE">
              <w:t>174</w:t>
            </w:r>
            <w:r w:rsidR="006145A9" w:rsidRPr="001E5FFE">
              <w:t xml:space="preserve"> </w:t>
            </w:r>
            <w:r w:rsidRPr="001E5FFE">
              <w:t xml:space="preserve">tūkst. </w:t>
            </w:r>
            <w:r w:rsidR="006145A9" w:rsidRPr="001E5FFE">
              <w:t>EUR</w:t>
            </w:r>
            <w:r w:rsidRPr="001E5FFE">
              <w:t>.</w:t>
            </w:r>
          </w:p>
          <w:p w:rsidR="00666705" w:rsidRPr="001E5FFE" w:rsidRDefault="00666705" w:rsidP="008F03C5">
            <w:pPr>
              <w:pStyle w:val="naiskr"/>
              <w:jc w:val="both"/>
            </w:pPr>
            <w:r w:rsidRPr="001E5FFE">
              <w:t xml:space="preserve">2010.gadā Latvijas Republika ir pievienojusies Eiropas aeronavigācijas drošības organizācijai (Eurocontrol), </w:t>
            </w:r>
            <w:r w:rsidR="008F03C5" w:rsidRPr="001E5FFE">
              <w:t>LGS</w:t>
            </w:r>
            <w:r w:rsidRPr="001E5FFE">
              <w:t xml:space="preserve"> 201</w:t>
            </w:r>
            <w:r w:rsidR="008F03C5" w:rsidRPr="001E5FFE">
              <w:t>4.</w:t>
            </w:r>
            <w:r w:rsidRPr="001E5FFE">
              <w:t xml:space="preserve">gadā ir uzņēmusies segt dalībmaksas izmaksas </w:t>
            </w:r>
            <w:r w:rsidR="00045307" w:rsidRPr="001E5FFE">
              <w:t>1 034</w:t>
            </w:r>
            <w:r w:rsidRPr="001E5FFE">
              <w:t xml:space="preserve"> tūkst. </w:t>
            </w:r>
            <w:r w:rsidR="006145A9" w:rsidRPr="001E5FFE">
              <w:t>EUR</w:t>
            </w:r>
            <w:r w:rsidRPr="001E5FFE">
              <w:t xml:space="preserve"> apmērā. </w:t>
            </w:r>
          </w:p>
          <w:p w:rsidR="00666705" w:rsidRDefault="00666705" w:rsidP="008F03C5">
            <w:pPr>
              <w:pStyle w:val="naiskr"/>
              <w:jc w:val="both"/>
            </w:pPr>
            <w:r w:rsidRPr="001E5FFE">
              <w:t xml:space="preserve">Lai nodrošinātu drošu un kvalitatīvu aeronavigācijas pakalpojumu, kā arī, lai izpildītu starptautisko regulu, lietotāju un citas prasības, </w:t>
            </w:r>
            <w:r w:rsidR="006145A9" w:rsidRPr="001E5FFE">
              <w:t>LGS</w:t>
            </w:r>
            <w:r w:rsidRPr="001E5FFE">
              <w:t xml:space="preserve"> plānotās investīcijas 201</w:t>
            </w:r>
            <w:r w:rsidR="005B3DC0" w:rsidRPr="001E5FFE">
              <w:t>5</w:t>
            </w:r>
            <w:r w:rsidRPr="001E5FFE">
              <w:t>. - 201</w:t>
            </w:r>
            <w:r w:rsidR="005B3DC0" w:rsidRPr="001E5FFE">
              <w:t>9</w:t>
            </w:r>
            <w:r w:rsidRPr="001E5FFE">
              <w:t>. gadiem, saskaņā ar uzņēmējdarbības plānu, kas 201</w:t>
            </w:r>
            <w:r w:rsidR="006145A9" w:rsidRPr="001E5FFE">
              <w:t>4</w:t>
            </w:r>
            <w:r w:rsidRPr="001E5FFE">
              <w:t xml:space="preserve">.gada </w:t>
            </w:r>
            <w:r w:rsidR="006145A9" w:rsidRPr="001E5FFE">
              <w:t>30</w:t>
            </w:r>
            <w:r w:rsidRPr="001E5FFE">
              <w:t>.</w:t>
            </w:r>
            <w:r w:rsidR="006145A9" w:rsidRPr="001E5FFE">
              <w:t xml:space="preserve">maijā </w:t>
            </w:r>
            <w:r w:rsidRPr="001E5FFE">
              <w:t xml:space="preserve"> ir apstiprināts </w:t>
            </w:r>
            <w:r w:rsidR="006145A9" w:rsidRPr="001E5FFE">
              <w:t>LGS</w:t>
            </w:r>
            <w:r w:rsidRPr="001E5FFE">
              <w:t xml:space="preserve"> akcionāra sanāksmē, ir aptuveni </w:t>
            </w:r>
            <w:r w:rsidR="00B06674" w:rsidRPr="001E5FFE">
              <w:t>33 067</w:t>
            </w:r>
            <w:r w:rsidRPr="001E5FFE">
              <w:t xml:space="preserve"> milj. </w:t>
            </w:r>
            <w:r w:rsidR="006145A9" w:rsidRPr="001E5FFE">
              <w:t>EUR</w:t>
            </w:r>
            <w:r w:rsidRPr="001E5FFE">
              <w:t xml:space="preserve"> apmērā.</w:t>
            </w:r>
          </w:p>
          <w:p w:rsidR="00666705" w:rsidRDefault="00666705" w:rsidP="008F03C5">
            <w:pPr>
              <w:pStyle w:val="naiskr"/>
              <w:jc w:val="both"/>
            </w:pPr>
            <w:r>
              <w:t xml:space="preserve">Pielietojot MK_not_1471 valsts kapitālsabiedrībām noteikto dividenžu izmaksāšanai peļņas daļu 90% apmērā, </w:t>
            </w:r>
            <w:r w:rsidR="00FE6E79">
              <w:t>LGS</w:t>
            </w:r>
            <w:r>
              <w:t xml:space="preserve"> nepietiek līdzekļu investīciju projektu realizācijai. </w:t>
            </w:r>
            <w:r w:rsidR="00FE6E79">
              <w:t>LGS</w:t>
            </w:r>
            <w:r>
              <w:t xml:space="preserve"> dividendēs neiemaksājamo daļu </w:t>
            </w:r>
            <w:r>
              <w:lastRenderedPageBreak/>
              <w:t>plāno finansēt daļu no plānotajiem investīciju projektu maksājumiem.</w:t>
            </w:r>
          </w:p>
          <w:p w:rsidR="001A4224" w:rsidRDefault="00666705" w:rsidP="008F03C5">
            <w:pPr>
              <w:pStyle w:val="naiskr"/>
              <w:spacing w:before="0" w:after="0"/>
              <w:jc w:val="both"/>
            </w:pPr>
            <w:r>
              <w:t xml:space="preserve">Lai realizētu plānotos projektus, izmantojot MK_not_1471 5.punktā paredzēto kārtību, ir nepieciešams pieņemt Ministru kabineta lēmumu par atšķirīgu </w:t>
            </w:r>
            <w:r w:rsidR="00FE6E79">
              <w:t xml:space="preserve">LGS </w:t>
            </w:r>
            <w:r>
              <w:t>dividendēs izmaksājamo minimālo peļņas daļu.</w:t>
            </w:r>
          </w:p>
          <w:p w:rsidR="00AA37FB" w:rsidRPr="00AA37FB" w:rsidRDefault="00AA37FB" w:rsidP="00AA37FB">
            <w:pPr>
              <w:pStyle w:val="naiskr"/>
              <w:spacing w:before="0" w:after="0"/>
              <w:ind w:firstLine="283"/>
              <w:jc w:val="both"/>
            </w:pPr>
            <w:r w:rsidRPr="00AA37FB">
              <w:t xml:space="preserve">Satiksmes </w:t>
            </w:r>
            <w:r w:rsidRPr="00FE6E79">
              <w:t>ministrija kārtējā akcionāru</w:t>
            </w:r>
            <w:r w:rsidRPr="00AA37FB">
              <w:t xml:space="preserve"> sapulcē 201</w:t>
            </w:r>
            <w:r>
              <w:t>4</w:t>
            </w:r>
            <w:r w:rsidRPr="00AA37FB">
              <w:t xml:space="preserve">.gada </w:t>
            </w:r>
            <w:r>
              <w:t>30.maijā</w:t>
            </w:r>
            <w:r w:rsidRPr="00AA37FB">
              <w:t xml:space="preserve"> </w:t>
            </w:r>
            <w:r w:rsidRPr="00693680">
              <w:t>(prot.Nr.</w:t>
            </w:r>
            <w:r w:rsidR="00693680" w:rsidRPr="00693680">
              <w:t>2</w:t>
            </w:r>
            <w:r w:rsidRPr="00693680">
              <w:t>)</w:t>
            </w:r>
            <w:r w:rsidRPr="00AA37FB">
              <w:t xml:space="preserve"> apstiprināja </w:t>
            </w:r>
            <w:r w:rsidR="00B06674">
              <w:t>LGS</w:t>
            </w:r>
            <w:r w:rsidRPr="00AA37FB">
              <w:t xml:space="preserve"> 201</w:t>
            </w:r>
            <w:r>
              <w:t>3</w:t>
            </w:r>
            <w:r w:rsidRPr="00AA37FB">
              <w:t>.gada pārskatu un pieņēma lēmumu priekšlikumu par atšķirīgas dividendēs izmaksājamās peļņas daļu virzīt izskatīšanai Ministru kabinetā. Šobrīd lēmums par kapitālsabiedrības 201</w:t>
            </w:r>
            <w:r>
              <w:t>3</w:t>
            </w:r>
            <w:r w:rsidRPr="00AA37FB">
              <w:t xml:space="preserve">.gada peļņas sadali nav pieņemts un peļņa nav sadalīta. </w:t>
            </w:r>
          </w:p>
          <w:p w:rsidR="00AA37FB" w:rsidRPr="00AA37FB" w:rsidRDefault="00AA37FB" w:rsidP="00AA37FB">
            <w:pPr>
              <w:pStyle w:val="naiskr"/>
              <w:spacing w:before="0" w:after="0"/>
              <w:ind w:firstLine="283"/>
              <w:jc w:val="both"/>
            </w:pPr>
            <w:r w:rsidRPr="00AA37FB">
              <w:t xml:space="preserve">Lai nodrošinātu </w:t>
            </w:r>
            <w:r w:rsidR="00FE6E79">
              <w:t>LGS</w:t>
            </w:r>
            <w:r w:rsidRPr="00AA37FB">
              <w:t xml:space="preserve"> konkurētspējas saglabāšanu un ilgtspējīgu attīstību, tai skaitā drošuma un kvalitātes uzlabošanu, maksimāli izmantojot pašu finanšu resursus, nodrošinātu investīciju projektu realizāciju, efektīvi būtu atbrīvot </w:t>
            </w:r>
            <w:r w:rsidR="00FE6E79">
              <w:t xml:space="preserve">LGS </w:t>
            </w:r>
            <w:r w:rsidRPr="00AA37FB">
              <w:t xml:space="preserve"> no dividenžu izmaksas par valsts kapitāla izmantošanu 201</w:t>
            </w:r>
            <w:r>
              <w:t>3</w:t>
            </w:r>
            <w:r w:rsidRPr="00AA37FB">
              <w:t>.gadā, tādējādi kapitālsabiedrības peļņu maksimāli ieguldot minēto pasākumu īstenošanā.</w:t>
            </w:r>
          </w:p>
          <w:p w:rsidR="00AA37FB" w:rsidRPr="00AA37FB" w:rsidRDefault="00AA37FB" w:rsidP="00AA37FB">
            <w:pPr>
              <w:pStyle w:val="naiskr"/>
              <w:spacing w:before="0" w:after="0"/>
              <w:ind w:firstLine="283"/>
              <w:jc w:val="both"/>
            </w:pPr>
            <w:r w:rsidRPr="00AA37FB">
              <w:t>Tādējādi Satiksmes ministrijas redzējumā atšķirīgas dividendēs izmaksājamās peļņas daļas noteikšana atbilst MK_not_1471 5.1.punktā noteiktajam „nepieciešams novērst draudus kapitālsabiedrības ilgtspējīgai attīstībai un konkurētspējas saglabāšanai.”</w:t>
            </w:r>
          </w:p>
          <w:p w:rsidR="00AA37FB" w:rsidRPr="00026DC7" w:rsidRDefault="00AA37FB" w:rsidP="00AA37FB">
            <w:pPr>
              <w:pStyle w:val="naiskr"/>
              <w:spacing w:before="0" w:after="0"/>
              <w:ind w:firstLine="283"/>
              <w:jc w:val="both"/>
            </w:pPr>
            <w:r w:rsidRPr="00AA37FB">
              <w:t>Līdz ar to Ministru kabinetam ir nepieciešams pieņemt</w:t>
            </w:r>
            <w:r w:rsidR="00F94C42">
              <w:t xml:space="preserve"> lēmumu, ka kapitālsabiedrības </w:t>
            </w:r>
            <w:r w:rsidRPr="00AA37FB">
              <w:t>201</w:t>
            </w:r>
            <w:r>
              <w:t>3.</w:t>
            </w:r>
            <w:r w:rsidRPr="00AA37FB">
              <w:t>pārskata gada peļņa netiek izmaksāta dividendēs, t.i., tiek noteikta atšķirīga dividendēs izmaksājamā peļņas daļa 0% apmērā.</w:t>
            </w:r>
          </w:p>
        </w:tc>
      </w:tr>
      <w:tr w:rsidR="00262E2B" w:rsidRPr="00977652" w:rsidTr="00345EC4">
        <w:trPr>
          <w:trHeight w:val="476"/>
        </w:trPr>
        <w:tc>
          <w:tcPr>
            <w:tcW w:w="268" w:type="dxa"/>
          </w:tcPr>
          <w:p w:rsidR="00262E2B" w:rsidRPr="00977652" w:rsidRDefault="00345EC4" w:rsidP="006C4607">
            <w:pPr>
              <w:pStyle w:val="naiskr"/>
              <w:spacing w:before="0" w:after="0"/>
            </w:pPr>
            <w:r w:rsidRPr="00977652">
              <w:lastRenderedPageBreak/>
              <w:t>3</w:t>
            </w:r>
            <w:r w:rsidR="00262E2B" w:rsidRPr="00977652">
              <w:t>.</w:t>
            </w:r>
          </w:p>
        </w:tc>
        <w:tc>
          <w:tcPr>
            <w:tcW w:w="2479" w:type="dxa"/>
          </w:tcPr>
          <w:p w:rsidR="00262E2B" w:rsidRPr="00977652" w:rsidRDefault="001A4066" w:rsidP="006C4607">
            <w:pPr>
              <w:pStyle w:val="naiskr"/>
              <w:spacing w:before="0" w:after="0"/>
            </w:pPr>
            <w:r w:rsidRPr="00977652">
              <w:t>Projekta i</w:t>
            </w:r>
            <w:r w:rsidR="00262E2B" w:rsidRPr="00977652">
              <w:t>zstrād</w:t>
            </w:r>
            <w:r w:rsidR="00420870" w:rsidRPr="00977652">
              <w:t xml:space="preserve">ē </w:t>
            </w:r>
            <w:r w:rsidR="00262E2B" w:rsidRPr="00977652">
              <w:t>iesaistītās institūcijas</w:t>
            </w:r>
          </w:p>
        </w:tc>
        <w:tc>
          <w:tcPr>
            <w:tcW w:w="6978" w:type="dxa"/>
          </w:tcPr>
          <w:p w:rsidR="00262E2B" w:rsidRPr="00026DC7" w:rsidRDefault="00C83324" w:rsidP="00382626">
            <w:pPr>
              <w:pStyle w:val="naiskr"/>
              <w:spacing w:before="0" w:after="0"/>
              <w:ind w:firstLine="283"/>
              <w:jc w:val="both"/>
            </w:pPr>
            <w:r w:rsidRPr="00026DC7">
              <w:t>Sat</w:t>
            </w:r>
            <w:r w:rsidR="003D45DD" w:rsidRPr="00026DC7">
              <w:t>iksmes ministrija un</w:t>
            </w:r>
            <w:r w:rsidRPr="00026DC7">
              <w:t xml:space="preserve"> valsts akciju sabiedrība „Latvijas gaisa satiksme”.</w:t>
            </w:r>
          </w:p>
          <w:p w:rsidR="001A4224" w:rsidRPr="00026DC7" w:rsidRDefault="001A4224" w:rsidP="00382626">
            <w:pPr>
              <w:pStyle w:val="naiskr"/>
              <w:spacing w:before="0" w:after="0"/>
              <w:ind w:firstLine="283"/>
              <w:jc w:val="both"/>
            </w:pPr>
          </w:p>
        </w:tc>
      </w:tr>
      <w:tr w:rsidR="00262E2B" w:rsidRPr="00977652" w:rsidTr="00345EC4">
        <w:tc>
          <w:tcPr>
            <w:tcW w:w="268" w:type="dxa"/>
          </w:tcPr>
          <w:p w:rsidR="00262E2B" w:rsidRPr="00977652" w:rsidRDefault="00345EC4" w:rsidP="006C4607">
            <w:pPr>
              <w:pStyle w:val="naiskr"/>
              <w:spacing w:before="0" w:after="0"/>
            </w:pPr>
            <w:r w:rsidRPr="00977652">
              <w:t>4</w:t>
            </w:r>
            <w:r w:rsidR="00262E2B" w:rsidRPr="00977652">
              <w:t>.</w:t>
            </w:r>
          </w:p>
        </w:tc>
        <w:tc>
          <w:tcPr>
            <w:tcW w:w="2479" w:type="dxa"/>
          </w:tcPr>
          <w:p w:rsidR="00262E2B" w:rsidRPr="00977652" w:rsidRDefault="00262E2B" w:rsidP="006C4607">
            <w:pPr>
              <w:pStyle w:val="naiskr"/>
              <w:spacing w:before="0" w:after="0"/>
            </w:pPr>
            <w:r w:rsidRPr="00977652">
              <w:t>Cita informācija</w:t>
            </w:r>
          </w:p>
        </w:tc>
        <w:tc>
          <w:tcPr>
            <w:tcW w:w="6978" w:type="dxa"/>
          </w:tcPr>
          <w:p w:rsidR="007463F2" w:rsidRPr="00026DC7" w:rsidRDefault="001632CD" w:rsidP="00203F04">
            <w:pPr>
              <w:pStyle w:val="naiskr"/>
              <w:spacing w:before="0" w:after="0"/>
              <w:ind w:firstLine="283"/>
              <w:jc w:val="both"/>
            </w:pPr>
            <w:r w:rsidRPr="00026DC7">
              <w:t>Nav.</w:t>
            </w:r>
          </w:p>
        </w:tc>
      </w:tr>
    </w:tbl>
    <w:p w:rsidR="001633CA" w:rsidRPr="001633CA" w:rsidRDefault="001633CA" w:rsidP="001633CA">
      <w:pPr>
        <w:rPr>
          <w:vanish/>
        </w:rPr>
      </w:pPr>
    </w:p>
    <w:tbl>
      <w:tblPr>
        <w:tblW w:w="9640" w:type="dxa"/>
        <w:tblCellSpacing w:w="0" w:type="dxa"/>
        <w:tblInd w:w="-2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2939"/>
        <w:gridCol w:w="1350"/>
        <w:gridCol w:w="1298"/>
        <w:gridCol w:w="1272"/>
        <w:gridCol w:w="1276"/>
        <w:gridCol w:w="1505"/>
      </w:tblGrid>
      <w:tr w:rsidR="00373722" w:rsidRPr="00373722" w:rsidTr="00AB0695">
        <w:trPr>
          <w:trHeight w:val="652"/>
          <w:tblCellSpacing w:w="0" w:type="dxa"/>
        </w:trPr>
        <w:tc>
          <w:tcPr>
            <w:tcW w:w="9640" w:type="dxa"/>
            <w:gridSpan w:val="6"/>
          </w:tcPr>
          <w:p w:rsidR="00373722" w:rsidRPr="00373722" w:rsidRDefault="00373722" w:rsidP="00373722">
            <w:pPr>
              <w:ind w:firstLine="720"/>
              <w:jc w:val="both"/>
              <w:rPr>
                <w:b/>
                <w:bCs/>
              </w:rPr>
            </w:pPr>
            <w:r w:rsidRPr="00373722">
              <w:rPr>
                <w:b/>
                <w:bCs/>
              </w:rPr>
              <w:t>III. Tiesību akta projekta ietekme uz valsts budžetu un pašvaldību budžetiem</w:t>
            </w:r>
          </w:p>
        </w:tc>
      </w:tr>
      <w:tr w:rsidR="00373722" w:rsidRPr="00373722" w:rsidTr="00AB0695">
        <w:trPr>
          <w:tblCellSpacing w:w="0" w:type="dxa"/>
        </w:trPr>
        <w:tc>
          <w:tcPr>
            <w:tcW w:w="2939" w:type="dxa"/>
            <w:vMerge w:val="restart"/>
            <w:vAlign w:val="center"/>
          </w:tcPr>
          <w:p w:rsidR="00373722" w:rsidRPr="00373722" w:rsidRDefault="00373722" w:rsidP="00373722">
            <w:pPr>
              <w:ind w:firstLine="720"/>
              <w:jc w:val="both"/>
              <w:rPr>
                <w:b/>
              </w:rPr>
            </w:pPr>
            <w:r w:rsidRPr="00373722">
              <w:rPr>
                <w:b/>
              </w:rPr>
              <w:t> </w:t>
            </w:r>
            <w:r w:rsidRPr="00373722">
              <w:rPr>
                <w:b/>
                <w:bCs/>
              </w:rPr>
              <w:t>Rādītāji</w:t>
            </w:r>
          </w:p>
        </w:tc>
        <w:tc>
          <w:tcPr>
            <w:tcW w:w="2648" w:type="dxa"/>
            <w:gridSpan w:val="2"/>
            <w:vMerge w:val="restart"/>
            <w:vAlign w:val="center"/>
          </w:tcPr>
          <w:p w:rsidR="00373722" w:rsidRPr="00373722" w:rsidRDefault="00373722" w:rsidP="00373722">
            <w:pPr>
              <w:ind w:firstLine="24"/>
              <w:jc w:val="both"/>
              <w:rPr>
                <w:b/>
              </w:rPr>
            </w:pPr>
            <w:r w:rsidRPr="00373722">
              <w:rPr>
                <w:b/>
                <w:bCs/>
              </w:rPr>
              <w:t>2014</w:t>
            </w:r>
          </w:p>
        </w:tc>
        <w:tc>
          <w:tcPr>
            <w:tcW w:w="4053" w:type="dxa"/>
            <w:gridSpan w:val="3"/>
            <w:vAlign w:val="center"/>
          </w:tcPr>
          <w:p w:rsidR="00373722" w:rsidRPr="00373722" w:rsidRDefault="00373722" w:rsidP="00F213ED">
            <w:pPr>
              <w:ind w:firstLine="24"/>
              <w:jc w:val="both"/>
              <w:rPr>
                <w:b/>
              </w:rPr>
            </w:pPr>
            <w:r w:rsidRPr="00373722">
              <w:rPr>
                <w:b/>
              </w:rPr>
              <w:t> Turpmākie trīs gadi (</w:t>
            </w:r>
            <w:proofErr w:type="spellStart"/>
            <w:r w:rsidRPr="00373722">
              <w:rPr>
                <w:b/>
              </w:rPr>
              <w:t>tūkst</w:t>
            </w:r>
            <w:proofErr w:type="spellEnd"/>
            <w:r w:rsidRPr="00373722">
              <w:rPr>
                <w:b/>
              </w:rPr>
              <w:t xml:space="preserve">. </w:t>
            </w:r>
            <w:proofErr w:type="spellStart"/>
            <w:r w:rsidR="00F213ED">
              <w:rPr>
                <w:b/>
              </w:rPr>
              <w:t>euro</w:t>
            </w:r>
            <w:proofErr w:type="spellEnd"/>
            <w:r w:rsidRPr="00373722">
              <w:rPr>
                <w:b/>
              </w:rPr>
              <w:t>)</w:t>
            </w:r>
          </w:p>
        </w:tc>
      </w:tr>
      <w:tr w:rsidR="00373722" w:rsidRPr="00373722" w:rsidTr="00AB0695">
        <w:trPr>
          <w:tblCellSpacing w:w="0" w:type="dxa"/>
        </w:trPr>
        <w:tc>
          <w:tcPr>
            <w:tcW w:w="2939" w:type="dxa"/>
            <w:vMerge/>
            <w:vAlign w:val="center"/>
          </w:tcPr>
          <w:p w:rsidR="00373722" w:rsidRPr="00373722" w:rsidRDefault="00373722" w:rsidP="00373722">
            <w:pPr>
              <w:ind w:firstLine="720"/>
              <w:jc w:val="both"/>
            </w:pPr>
          </w:p>
        </w:tc>
        <w:tc>
          <w:tcPr>
            <w:tcW w:w="0" w:type="auto"/>
            <w:gridSpan w:val="2"/>
            <w:vMerge/>
            <w:vAlign w:val="center"/>
          </w:tcPr>
          <w:p w:rsidR="00373722" w:rsidRPr="00373722" w:rsidRDefault="00373722" w:rsidP="00373722">
            <w:pPr>
              <w:ind w:firstLine="24"/>
              <w:jc w:val="both"/>
            </w:pPr>
          </w:p>
        </w:tc>
        <w:tc>
          <w:tcPr>
            <w:tcW w:w="1272" w:type="dxa"/>
            <w:vAlign w:val="center"/>
          </w:tcPr>
          <w:p w:rsidR="00373722" w:rsidRPr="00373722" w:rsidRDefault="00373722" w:rsidP="00373722">
            <w:pPr>
              <w:ind w:firstLine="24"/>
              <w:jc w:val="both"/>
              <w:rPr>
                <w:b/>
                <w:bCs/>
              </w:rPr>
            </w:pPr>
            <w:r w:rsidRPr="00373722">
              <w:rPr>
                <w:b/>
                <w:bCs/>
              </w:rPr>
              <w:t> 2015</w:t>
            </w:r>
          </w:p>
        </w:tc>
        <w:tc>
          <w:tcPr>
            <w:tcW w:w="1276" w:type="dxa"/>
            <w:vAlign w:val="center"/>
          </w:tcPr>
          <w:p w:rsidR="00373722" w:rsidRPr="00373722" w:rsidRDefault="00373722" w:rsidP="00373722">
            <w:pPr>
              <w:ind w:firstLine="24"/>
              <w:jc w:val="both"/>
              <w:rPr>
                <w:b/>
                <w:bCs/>
              </w:rPr>
            </w:pPr>
            <w:r w:rsidRPr="00373722">
              <w:rPr>
                <w:b/>
                <w:bCs/>
              </w:rPr>
              <w:t>2016</w:t>
            </w:r>
          </w:p>
        </w:tc>
        <w:tc>
          <w:tcPr>
            <w:tcW w:w="1505" w:type="dxa"/>
            <w:vAlign w:val="center"/>
          </w:tcPr>
          <w:p w:rsidR="00373722" w:rsidRPr="00373722" w:rsidRDefault="00373722" w:rsidP="00373722">
            <w:pPr>
              <w:ind w:firstLine="24"/>
              <w:jc w:val="both"/>
              <w:rPr>
                <w:b/>
                <w:bCs/>
              </w:rPr>
            </w:pPr>
            <w:r w:rsidRPr="00373722">
              <w:rPr>
                <w:b/>
                <w:bCs/>
              </w:rPr>
              <w:t>2017</w:t>
            </w:r>
          </w:p>
        </w:tc>
      </w:tr>
      <w:tr w:rsidR="00373722" w:rsidRPr="00373722" w:rsidTr="00AB0695">
        <w:trPr>
          <w:tblCellSpacing w:w="0" w:type="dxa"/>
        </w:trPr>
        <w:tc>
          <w:tcPr>
            <w:tcW w:w="2939" w:type="dxa"/>
            <w:vMerge/>
            <w:vAlign w:val="center"/>
          </w:tcPr>
          <w:p w:rsidR="00373722" w:rsidRPr="00373722" w:rsidRDefault="00373722" w:rsidP="00373722">
            <w:pPr>
              <w:ind w:firstLine="720"/>
              <w:jc w:val="both"/>
            </w:pPr>
          </w:p>
        </w:tc>
        <w:tc>
          <w:tcPr>
            <w:tcW w:w="1350" w:type="dxa"/>
            <w:vAlign w:val="center"/>
          </w:tcPr>
          <w:p w:rsidR="00373722" w:rsidRPr="00373722" w:rsidRDefault="00373722" w:rsidP="00373722">
            <w:pPr>
              <w:ind w:firstLine="24"/>
              <w:jc w:val="both"/>
            </w:pPr>
            <w:r w:rsidRPr="00373722">
              <w:t> Saskaņā ar valsts budžetu kārtējam gadam</w:t>
            </w:r>
          </w:p>
        </w:tc>
        <w:tc>
          <w:tcPr>
            <w:tcW w:w="1298" w:type="dxa"/>
            <w:vAlign w:val="center"/>
          </w:tcPr>
          <w:p w:rsidR="00373722" w:rsidRPr="00373722" w:rsidRDefault="00373722" w:rsidP="00373722">
            <w:pPr>
              <w:ind w:firstLine="24"/>
              <w:jc w:val="both"/>
            </w:pPr>
            <w:r w:rsidRPr="00373722">
              <w:t> Izmaiņas kārtējā gadā, salīdzinot ar budžetu kārtējam gadam</w:t>
            </w:r>
          </w:p>
        </w:tc>
        <w:tc>
          <w:tcPr>
            <w:tcW w:w="1272" w:type="dxa"/>
            <w:vAlign w:val="center"/>
          </w:tcPr>
          <w:p w:rsidR="00373722" w:rsidRPr="00373722" w:rsidRDefault="00373722" w:rsidP="00373722">
            <w:pPr>
              <w:ind w:firstLine="24"/>
              <w:jc w:val="both"/>
            </w:pPr>
            <w:r w:rsidRPr="00373722">
              <w:t> Izmaiņas, salīdzinot ar kārtējo (n) gadu</w:t>
            </w:r>
          </w:p>
        </w:tc>
        <w:tc>
          <w:tcPr>
            <w:tcW w:w="1276" w:type="dxa"/>
            <w:vAlign w:val="center"/>
          </w:tcPr>
          <w:p w:rsidR="00373722" w:rsidRPr="00373722" w:rsidRDefault="00373722" w:rsidP="00373722">
            <w:pPr>
              <w:ind w:firstLine="24"/>
              <w:jc w:val="both"/>
            </w:pPr>
            <w:r w:rsidRPr="00373722">
              <w:t> Izmaiņas, salīdzinot ar kārtējo (n) gadu</w:t>
            </w:r>
          </w:p>
        </w:tc>
        <w:tc>
          <w:tcPr>
            <w:tcW w:w="1505" w:type="dxa"/>
            <w:vAlign w:val="center"/>
          </w:tcPr>
          <w:p w:rsidR="00373722" w:rsidRPr="00373722" w:rsidRDefault="00373722" w:rsidP="00373722">
            <w:pPr>
              <w:ind w:firstLine="24"/>
              <w:jc w:val="both"/>
            </w:pPr>
            <w:r w:rsidRPr="00373722">
              <w:t> Izmaiņas, salīdzinot ar kārtējo (n) gadu</w:t>
            </w:r>
          </w:p>
        </w:tc>
      </w:tr>
      <w:tr w:rsidR="00373722" w:rsidRPr="00373722" w:rsidTr="00AB0695">
        <w:trPr>
          <w:tblCellSpacing w:w="0" w:type="dxa"/>
        </w:trPr>
        <w:tc>
          <w:tcPr>
            <w:tcW w:w="2939" w:type="dxa"/>
            <w:vAlign w:val="center"/>
          </w:tcPr>
          <w:p w:rsidR="00373722" w:rsidRPr="00373722" w:rsidRDefault="00373722" w:rsidP="00373722">
            <w:pPr>
              <w:ind w:firstLine="720"/>
              <w:jc w:val="both"/>
            </w:pPr>
            <w:r w:rsidRPr="00373722">
              <w:t> 1</w:t>
            </w:r>
          </w:p>
        </w:tc>
        <w:tc>
          <w:tcPr>
            <w:tcW w:w="1350" w:type="dxa"/>
            <w:vAlign w:val="center"/>
          </w:tcPr>
          <w:p w:rsidR="00373722" w:rsidRPr="00373722" w:rsidRDefault="00373722" w:rsidP="00373722">
            <w:pPr>
              <w:ind w:firstLine="720"/>
              <w:jc w:val="both"/>
            </w:pPr>
            <w:r w:rsidRPr="00373722">
              <w:t> 2</w:t>
            </w:r>
          </w:p>
        </w:tc>
        <w:tc>
          <w:tcPr>
            <w:tcW w:w="1298" w:type="dxa"/>
            <w:vAlign w:val="center"/>
          </w:tcPr>
          <w:p w:rsidR="00373722" w:rsidRPr="00373722" w:rsidRDefault="00373722" w:rsidP="00373722">
            <w:pPr>
              <w:ind w:firstLine="720"/>
              <w:jc w:val="both"/>
            </w:pPr>
            <w:r w:rsidRPr="00373722">
              <w:t> 3</w:t>
            </w:r>
          </w:p>
        </w:tc>
        <w:tc>
          <w:tcPr>
            <w:tcW w:w="1272" w:type="dxa"/>
            <w:vAlign w:val="center"/>
          </w:tcPr>
          <w:p w:rsidR="00373722" w:rsidRPr="00373722" w:rsidRDefault="00373722" w:rsidP="00373722">
            <w:pPr>
              <w:ind w:firstLine="720"/>
              <w:jc w:val="both"/>
            </w:pPr>
            <w:r w:rsidRPr="00373722">
              <w:t> 4</w:t>
            </w:r>
          </w:p>
        </w:tc>
        <w:tc>
          <w:tcPr>
            <w:tcW w:w="1276" w:type="dxa"/>
            <w:vAlign w:val="center"/>
          </w:tcPr>
          <w:p w:rsidR="00373722" w:rsidRPr="00373722" w:rsidRDefault="00373722" w:rsidP="00373722">
            <w:pPr>
              <w:ind w:firstLine="720"/>
              <w:jc w:val="both"/>
            </w:pPr>
            <w:r w:rsidRPr="00373722">
              <w:t> 5</w:t>
            </w:r>
          </w:p>
        </w:tc>
        <w:tc>
          <w:tcPr>
            <w:tcW w:w="1505" w:type="dxa"/>
            <w:vAlign w:val="center"/>
          </w:tcPr>
          <w:p w:rsidR="00373722" w:rsidRPr="00373722" w:rsidRDefault="00373722" w:rsidP="00373722">
            <w:pPr>
              <w:ind w:firstLine="720"/>
              <w:jc w:val="both"/>
            </w:pPr>
            <w:r w:rsidRPr="00373722">
              <w:t> 6</w:t>
            </w:r>
          </w:p>
        </w:tc>
      </w:tr>
      <w:tr w:rsidR="00373722" w:rsidRPr="00373722" w:rsidTr="00AB0695">
        <w:trPr>
          <w:tblCellSpacing w:w="0" w:type="dxa"/>
        </w:trPr>
        <w:tc>
          <w:tcPr>
            <w:tcW w:w="2939" w:type="dxa"/>
          </w:tcPr>
          <w:p w:rsidR="00373722" w:rsidRPr="00373722" w:rsidRDefault="00373722" w:rsidP="00373722">
            <w:pPr>
              <w:ind w:firstLine="127"/>
              <w:jc w:val="both"/>
            </w:pPr>
            <w:r w:rsidRPr="00373722">
              <w:t> 1. Budžeta ieņēmumi:</w:t>
            </w:r>
          </w:p>
        </w:tc>
        <w:tc>
          <w:tcPr>
            <w:tcW w:w="1350" w:type="dxa"/>
          </w:tcPr>
          <w:p w:rsidR="00373722" w:rsidRPr="00373722" w:rsidRDefault="00373722" w:rsidP="00373722">
            <w:pPr>
              <w:ind w:firstLine="24"/>
              <w:jc w:val="both"/>
            </w:pPr>
            <w:r w:rsidRPr="00373722">
              <w:t>145 734 105</w:t>
            </w:r>
          </w:p>
        </w:tc>
        <w:tc>
          <w:tcPr>
            <w:tcW w:w="1298" w:type="dxa"/>
          </w:tcPr>
          <w:p w:rsidR="00373722" w:rsidRPr="00373722" w:rsidRDefault="00373722" w:rsidP="00AB0695">
            <w:pPr>
              <w:jc w:val="both"/>
            </w:pPr>
            <w:r w:rsidRPr="00373722">
              <w:t>-</w:t>
            </w:r>
            <w:r w:rsidR="00F213ED" w:rsidRPr="00F213ED">
              <w:rPr>
                <w:sz w:val="26"/>
                <w:szCs w:val="26"/>
              </w:rPr>
              <w:t xml:space="preserve"> </w:t>
            </w:r>
            <w:r w:rsidR="00F213ED" w:rsidRPr="00F213ED">
              <w:t>283 720</w:t>
            </w:r>
          </w:p>
        </w:tc>
        <w:tc>
          <w:tcPr>
            <w:tcW w:w="1272" w:type="dxa"/>
          </w:tcPr>
          <w:p w:rsidR="00373722" w:rsidRPr="00373722" w:rsidRDefault="00373722" w:rsidP="00373722">
            <w:pPr>
              <w:ind w:firstLine="720"/>
              <w:jc w:val="both"/>
            </w:pPr>
            <w:r w:rsidRPr="00373722">
              <w:t>-</w:t>
            </w:r>
          </w:p>
        </w:tc>
        <w:tc>
          <w:tcPr>
            <w:tcW w:w="1276" w:type="dxa"/>
          </w:tcPr>
          <w:p w:rsidR="00373722" w:rsidRPr="00373722" w:rsidRDefault="00373722" w:rsidP="00373722">
            <w:pPr>
              <w:ind w:firstLine="720"/>
              <w:jc w:val="both"/>
            </w:pPr>
            <w:r w:rsidRPr="00373722">
              <w:t>-</w:t>
            </w:r>
          </w:p>
        </w:tc>
        <w:tc>
          <w:tcPr>
            <w:tcW w:w="1505" w:type="dxa"/>
          </w:tcPr>
          <w:p w:rsidR="00373722" w:rsidRPr="00373722" w:rsidRDefault="00373722" w:rsidP="00373722">
            <w:pPr>
              <w:ind w:firstLine="720"/>
              <w:jc w:val="both"/>
            </w:pPr>
            <w:r w:rsidRPr="00373722">
              <w:t>-</w:t>
            </w:r>
          </w:p>
        </w:tc>
      </w:tr>
      <w:tr w:rsidR="00373722" w:rsidRPr="00373722" w:rsidTr="00AB0695">
        <w:trPr>
          <w:tblCellSpacing w:w="0" w:type="dxa"/>
        </w:trPr>
        <w:tc>
          <w:tcPr>
            <w:tcW w:w="2939" w:type="dxa"/>
          </w:tcPr>
          <w:p w:rsidR="00373722" w:rsidRPr="00373722" w:rsidRDefault="00373722" w:rsidP="00373722">
            <w:pPr>
              <w:numPr>
                <w:ilvl w:val="1"/>
                <w:numId w:val="15"/>
              </w:numPr>
              <w:jc w:val="both"/>
            </w:pPr>
            <w:r w:rsidRPr="00373722">
              <w:t>valsts pamatbudžets, tai skaitā      ieņēmumi       no   maksas       pakalpojumiem un citi pašu ieņēmumi</w:t>
            </w:r>
          </w:p>
        </w:tc>
        <w:tc>
          <w:tcPr>
            <w:tcW w:w="1350" w:type="dxa"/>
          </w:tcPr>
          <w:p w:rsidR="00373722" w:rsidRPr="00373722" w:rsidRDefault="00373722" w:rsidP="00373722">
            <w:pPr>
              <w:ind w:firstLine="24"/>
              <w:jc w:val="both"/>
            </w:pPr>
            <w:r w:rsidRPr="00373722">
              <w:t>145 734 105</w:t>
            </w:r>
          </w:p>
        </w:tc>
        <w:tc>
          <w:tcPr>
            <w:tcW w:w="1298" w:type="dxa"/>
          </w:tcPr>
          <w:p w:rsidR="00373722" w:rsidRPr="00373722" w:rsidRDefault="00373722" w:rsidP="00AB0695">
            <w:pPr>
              <w:jc w:val="both"/>
            </w:pPr>
            <w:r w:rsidRPr="00373722">
              <w:t>-</w:t>
            </w:r>
            <w:r w:rsidR="00F213ED" w:rsidRPr="00F213ED">
              <w:rPr>
                <w:sz w:val="26"/>
                <w:szCs w:val="26"/>
              </w:rPr>
              <w:t xml:space="preserve"> </w:t>
            </w:r>
            <w:r w:rsidR="00F213ED" w:rsidRPr="00F213ED">
              <w:t>283 720</w:t>
            </w:r>
          </w:p>
        </w:tc>
        <w:tc>
          <w:tcPr>
            <w:tcW w:w="1272" w:type="dxa"/>
          </w:tcPr>
          <w:p w:rsidR="00373722" w:rsidRPr="00373722" w:rsidRDefault="00373722" w:rsidP="00373722">
            <w:pPr>
              <w:ind w:firstLine="720"/>
              <w:jc w:val="both"/>
            </w:pPr>
            <w:r w:rsidRPr="00373722">
              <w:t>-</w:t>
            </w:r>
          </w:p>
        </w:tc>
        <w:tc>
          <w:tcPr>
            <w:tcW w:w="1276" w:type="dxa"/>
          </w:tcPr>
          <w:p w:rsidR="00373722" w:rsidRPr="00373722" w:rsidRDefault="00373722" w:rsidP="00373722">
            <w:pPr>
              <w:ind w:firstLine="720"/>
              <w:jc w:val="both"/>
            </w:pPr>
            <w:r w:rsidRPr="00373722">
              <w:t>- </w:t>
            </w:r>
          </w:p>
        </w:tc>
        <w:tc>
          <w:tcPr>
            <w:tcW w:w="1505" w:type="dxa"/>
          </w:tcPr>
          <w:p w:rsidR="00373722" w:rsidRPr="00373722" w:rsidRDefault="00373722" w:rsidP="00373722">
            <w:pPr>
              <w:ind w:firstLine="720"/>
              <w:jc w:val="both"/>
            </w:pPr>
            <w:r w:rsidRPr="00373722">
              <w:t>-  </w:t>
            </w:r>
          </w:p>
        </w:tc>
      </w:tr>
      <w:tr w:rsidR="00373722" w:rsidRPr="00373722" w:rsidTr="00AB0695">
        <w:trPr>
          <w:tblCellSpacing w:w="0" w:type="dxa"/>
        </w:trPr>
        <w:tc>
          <w:tcPr>
            <w:tcW w:w="2939" w:type="dxa"/>
          </w:tcPr>
          <w:p w:rsidR="00373722" w:rsidRPr="00373722" w:rsidRDefault="00373722" w:rsidP="00373722">
            <w:pPr>
              <w:ind w:firstLine="127"/>
              <w:jc w:val="both"/>
            </w:pPr>
            <w:r w:rsidRPr="00373722">
              <w:t> 1.2. valsts speciālais budžets</w:t>
            </w:r>
          </w:p>
        </w:tc>
        <w:tc>
          <w:tcPr>
            <w:tcW w:w="1350" w:type="dxa"/>
          </w:tcPr>
          <w:p w:rsidR="00373722" w:rsidRPr="00373722" w:rsidRDefault="00373722" w:rsidP="00373722">
            <w:pPr>
              <w:ind w:firstLine="24"/>
              <w:jc w:val="both"/>
            </w:pPr>
            <w:r w:rsidRPr="00373722">
              <w:t>0</w:t>
            </w:r>
          </w:p>
        </w:tc>
        <w:tc>
          <w:tcPr>
            <w:tcW w:w="1298" w:type="dxa"/>
          </w:tcPr>
          <w:p w:rsidR="00373722" w:rsidRPr="00373722" w:rsidRDefault="00373722" w:rsidP="00373722">
            <w:pPr>
              <w:ind w:firstLine="720"/>
              <w:jc w:val="both"/>
            </w:pPr>
            <w:r w:rsidRPr="00373722">
              <w:t>0</w:t>
            </w:r>
          </w:p>
        </w:tc>
        <w:tc>
          <w:tcPr>
            <w:tcW w:w="1272" w:type="dxa"/>
          </w:tcPr>
          <w:p w:rsidR="00373722" w:rsidRPr="00373722" w:rsidRDefault="00373722" w:rsidP="00373722">
            <w:pPr>
              <w:ind w:firstLine="720"/>
              <w:jc w:val="both"/>
            </w:pPr>
            <w:r w:rsidRPr="00373722">
              <w:t>-</w:t>
            </w:r>
          </w:p>
        </w:tc>
        <w:tc>
          <w:tcPr>
            <w:tcW w:w="1276" w:type="dxa"/>
          </w:tcPr>
          <w:p w:rsidR="00373722" w:rsidRPr="00373722" w:rsidRDefault="00373722" w:rsidP="00373722">
            <w:pPr>
              <w:ind w:firstLine="720"/>
              <w:jc w:val="both"/>
            </w:pPr>
            <w:r w:rsidRPr="00373722">
              <w:t>- </w:t>
            </w:r>
          </w:p>
        </w:tc>
        <w:tc>
          <w:tcPr>
            <w:tcW w:w="1505" w:type="dxa"/>
          </w:tcPr>
          <w:p w:rsidR="00373722" w:rsidRPr="00373722" w:rsidRDefault="00373722" w:rsidP="00373722">
            <w:pPr>
              <w:ind w:firstLine="720"/>
              <w:jc w:val="both"/>
            </w:pPr>
            <w:r w:rsidRPr="00373722">
              <w:t>-  </w:t>
            </w:r>
          </w:p>
        </w:tc>
      </w:tr>
      <w:tr w:rsidR="00373722" w:rsidRPr="00373722" w:rsidTr="00AB0695">
        <w:trPr>
          <w:tblCellSpacing w:w="0" w:type="dxa"/>
        </w:trPr>
        <w:tc>
          <w:tcPr>
            <w:tcW w:w="2939" w:type="dxa"/>
          </w:tcPr>
          <w:p w:rsidR="00373722" w:rsidRPr="00373722" w:rsidRDefault="00373722" w:rsidP="00373722">
            <w:pPr>
              <w:ind w:firstLine="127"/>
              <w:jc w:val="both"/>
            </w:pPr>
            <w:r w:rsidRPr="00373722">
              <w:t> 1.3. pašvaldību budžets</w:t>
            </w:r>
          </w:p>
        </w:tc>
        <w:tc>
          <w:tcPr>
            <w:tcW w:w="1350" w:type="dxa"/>
          </w:tcPr>
          <w:p w:rsidR="00373722" w:rsidRPr="00373722" w:rsidRDefault="00373722" w:rsidP="00373722">
            <w:pPr>
              <w:ind w:firstLine="24"/>
              <w:jc w:val="both"/>
            </w:pPr>
            <w:r w:rsidRPr="00373722">
              <w:t>0</w:t>
            </w:r>
          </w:p>
        </w:tc>
        <w:tc>
          <w:tcPr>
            <w:tcW w:w="1298" w:type="dxa"/>
          </w:tcPr>
          <w:p w:rsidR="00373722" w:rsidRPr="00373722" w:rsidRDefault="00373722" w:rsidP="00373722">
            <w:pPr>
              <w:ind w:firstLine="720"/>
              <w:jc w:val="both"/>
            </w:pPr>
            <w:r w:rsidRPr="00373722">
              <w:t>0</w:t>
            </w:r>
          </w:p>
        </w:tc>
        <w:tc>
          <w:tcPr>
            <w:tcW w:w="1272" w:type="dxa"/>
          </w:tcPr>
          <w:p w:rsidR="00373722" w:rsidRPr="00373722" w:rsidRDefault="00373722" w:rsidP="00373722">
            <w:pPr>
              <w:ind w:firstLine="720"/>
              <w:jc w:val="both"/>
            </w:pPr>
            <w:r w:rsidRPr="00373722">
              <w:t>-</w:t>
            </w:r>
          </w:p>
        </w:tc>
        <w:tc>
          <w:tcPr>
            <w:tcW w:w="1276" w:type="dxa"/>
          </w:tcPr>
          <w:p w:rsidR="00373722" w:rsidRPr="00373722" w:rsidRDefault="00373722" w:rsidP="00373722">
            <w:pPr>
              <w:ind w:firstLine="720"/>
              <w:jc w:val="both"/>
            </w:pPr>
            <w:r w:rsidRPr="00373722">
              <w:t>- </w:t>
            </w:r>
          </w:p>
        </w:tc>
        <w:tc>
          <w:tcPr>
            <w:tcW w:w="1505" w:type="dxa"/>
          </w:tcPr>
          <w:p w:rsidR="00373722" w:rsidRPr="00373722" w:rsidRDefault="00373722" w:rsidP="00373722">
            <w:pPr>
              <w:ind w:firstLine="720"/>
              <w:jc w:val="both"/>
            </w:pPr>
            <w:r w:rsidRPr="00373722">
              <w:t>-  </w:t>
            </w:r>
          </w:p>
        </w:tc>
      </w:tr>
      <w:tr w:rsidR="00373722" w:rsidRPr="00373722" w:rsidTr="00AB0695">
        <w:trPr>
          <w:tblCellSpacing w:w="0" w:type="dxa"/>
        </w:trPr>
        <w:tc>
          <w:tcPr>
            <w:tcW w:w="2939" w:type="dxa"/>
          </w:tcPr>
          <w:p w:rsidR="00373722" w:rsidRPr="00373722" w:rsidRDefault="00373722" w:rsidP="00373722">
            <w:pPr>
              <w:ind w:firstLine="127"/>
              <w:jc w:val="both"/>
            </w:pPr>
            <w:r w:rsidRPr="00373722">
              <w:t> 2. Budžeta izdevumi:</w:t>
            </w:r>
          </w:p>
        </w:tc>
        <w:tc>
          <w:tcPr>
            <w:tcW w:w="1350" w:type="dxa"/>
          </w:tcPr>
          <w:p w:rsidR="00373722" w:rsidRPr="00373722" w:rsidRDefault="00373722" w:rsidP="00373722">
            <w:pPr>
              <w:ind w:firstLine="24"/>
              <w:jc w:val="both"/>
            </w:pPr>
            <w:r w:rsidRPr="00373722">
              <w:t>0</w:t>
            </w:r>
          </w:p>
        </w:tc>
        <w:tc>
          <w:tcPr>
            <w:tcW w:w="1298" w:type="dxa"/>
          </w:tcPr>
          <w:p w:rsidR="00373722" w:rsidRPr="00373722" w:rsidRDefault="00373722" w:rsidP="00373722">
            <w:pPr>
              <w:ind w:firstLine="720"/>
              <w:jc w:val="both"/>
            </w:pPr>
            <w:r w:rsidRPr="00373722">
              <w:t>0</w:t>
            </w:r>
          </w:p>
        </w:tc>
        <w:tc>
          <w:tcPr>
            <w:tcW w:w="1272" w:type="dxa"/>
          </w:tcPr>
          <w:p w:rsidR="00373722" w:rsidRPr="00373722" w:rsidRDefault="00373722" w:rsidP="00373722">
            <w:pPr>
              <w:ind w:firstLine="720"/>
              <w:jc w:val="both"/>
            </w:pPr>
            <w:r w:rsidRPr="00373722">
              <w:t>-</w:t>
            </w:r>
          </w:p>
        </w:tc>
        <w:tc>
          <w:tcPr>
            <w:tcW w:w="1276" w:type="dxa"/>
          </w:tcPr>
          <w:p w:rsidR="00373722" w:rsidRPr="00373722" w:rsidRDefault="00373722" w:rsidP="00373722">
            <w:pPr>
              <w:ind w:firstLine="720"/>
              <w:jc w:val="both"/>
            </w:pPr>
            <w:r w:rsidRPr="00373722">
              <w:t>- </w:t>
            </w:r>
          </w:p>
        </w:tc>
        <w:tc>
          <w:tcPr>
            <w:tcW w:w="1505" w:type="dxa"/>
          </w:tcPr>
          <w:p w:rsidR="00373722" w:rsidRPr="00373722" w:rsidRDefault="00373722" w:rsidP="00373722">
            <w:pPr>
              <w:ind w:firstLine="720"/>
              <w:jc w:val="both"/>
            </w:pPr>
            <w:r w:rsidRPr="00373722">
              <w:t>-  </w:t>
            </w:r>
          </w:p>
        </w:tc>
      </w:tr>
      <w:tr w:rsidR="00373722" w:rsidRPr="00373722" w:rsidTr="00AB0695">
        <w:trPr>
          <w:tblCellSpacing w:w="0" w:type="dxa"/>
        </w:trPr>
        <w:tc>
          <w:tcPr>
            <w:tcW w:w="2939" w:type="dxa"/>
          </w:tcPr>
          <w:p w:rsidR="00373722" w:rsidRPr="00373722" w:rsidRDefault="00373722" w:rsidP="00373722">
            <w:pPr>
              <w:ind w:firstLine="127"/>
              <w:jc w:val="both"/>
            </w:pPr>
            <w:r w:rsidRPr="00373722">
              <w:t> 2.1. valsts pamatbudžets</w:t>
            </w:r>
          </w:p>
        </w:tc>
        <w:tc>
          <w:tcPr>
            <w:tcW w:w="1350" w:type="dxa"/>
          </w:tcPr>
          <w:p w:rsidR="00373722" w:rsidRPr="00373722" w:rsidRDefault="00373722" w:rsidP="00373722">
            <w:pPr>
              <w:ind w:firstLine="24"/>
              <w:jc w:val="both"/>
            </w:pPr>
            <w:r w:rsidRPr="00373722">
              <w:t>145 734 105</w:t>
            </w:r>
          </w:p>
        </w:tc>
        <w:tc>
          <w:tcPr>
            <w:tcW w:w="1298" w:type="dxa"/>
          </w:tcPr>
          <w:p w:rsidR="00373722" w:rsidRPr="00373722" w:rsidRDefault="00373722" w:rsidP="00373722">
            <w:pPr>
              <w:ind w:firstLine="720"/>
              <w:jc w:val="both"/>
            </w:pPr>
            <w:r w:rsidRPr="00373722">
              <w:t>0</w:t>
            </w:r>
          </w:p>
        </w:tc>
        <w:tc>
          <w:tcPr>
            <w:tcW w:w="1272" w:type="dxa"/>
          </w:tcPr>
          <w:p w:rsidR="00373722" w:rsidRPr="00373722" w:rsidRDefault="00373722" w:rsidP="00373722">
            <w:pPr>
              <w:ind w:firstLine="720"/>
              <w:jc w:val="both"/>
            </w:pPr>
            <w:r w:rsidRPr="00373722">
              <w:t>-</w:t>
            </w:r>
          </w:p>
        </w:tc>
        <w:tc>
          <w:tcPr>
            <w:tcW w:w="1276" w:type="dxa"/>
          </w:tcPr>
          <w:p w:rsidR="00373722" w:rsidRPr="00373722" w:rsidRDefault="00373722" w:rsidP="00373722">
            <w:pPr>
              <w:ind w:firstLine="720"/>
              <w:jc w:val="both"/>
            </w:pPr>
            <w:r w:rsidRPr="00373722">
              <w:t>- </w:t>
            </w:r>
          </w:p>
        </w:tc>
        <w:tc>
          <w:tcPr>
            <w:tcW w:w="1505" w:type="dxa"/>
          </w:tcPr>
          <w:p w:rsidR="00373722" w:rsidRPr="00373722" w:rsidRDefault="00373722" w:rsidP="00373722">
            <w:pPr>
              <w:ind w:firstLine="720"/>
              <w:jc w:val="both"/>
            </w:pPr>
            <w:r w:rsidRPr="00373722">
              <w:t>-  </w:t>
            </w:r>
          </w:p>
        </w:tc>
      </w:tr>
      <w:tr w:rsidR="00373722" w:rsidRPr="00373722" w:rsidTr="00D82436">
        <w:trPr>
          <w:tblCellSpacing w:w="0" w:type="dxa"/>
        </w:trPr>
        <w:tc>
          <w:tcPr>
            <w:tcW w:w="2939" w:type="dxa"/>
            <w:tcBorders>
              <w:top w:val="single" w:sz="4" w:space="0" w:color="auto"/>
              <w:left w:val="single" w:sz="4" w:space="0" w:color="auto"/>
              <w:bottom w:val="single" w:sz="4" w:space="0" w:color="auto"/>
              <w:right w:val="single" w:sz="4" w:space="0" w:color="auto"/>
            </w:tcBorders>
          </w:tcPr>
          <w:p w:rsidR="00373722" w:rsidRPr="00373722" w:rsidRDefault="00373722" w:rsidP="00373722">
            <w:pPr>
              <w:ind w:firstLine="127"/>
              <w:jc w:val="both"/>
            </w:pPr>
            <w:r w:rsidRPr="00373722">
              <w:t xml:space="preserve"> 2.2. valsts speciālais </w:t>
            </w:r>
            <w:r w:rsidRPr="00373722">
              <w:lastRenderedPageBreak/>
              <w:t>budžets</w:t>
            </w:r>
          </w:p>
        </w:tc>
        <w:tc>
          <w:tcPr>
            <w:tcW w:w="1350" w:type="dxa"/>
            <w:tcBorders>
              <w:top w:val="single" w:sz="4" w:space="0" w:color="auto"/>
              <w:left w:val="single" w:sz="4" w:space="0" w:color="auto"/>
              <w:bottom w:val="single" w:sz="4" w:space="0" w:color="auto"/>
              <w:right w:val="single" w:sz="4" w:space="0" w:color="auto"/>
            </w:tcBorders>
          </w:tcPr>
          <w:p w:rsidR="00373722" w:rsidRPr="00373722" w:rsidRDefault="00373722" w:rsidP="00373722">
            <w:pPr>
              <w:ind w:firstLine="720"/>
              <w:jc w:val="both"/>
            </w:pPr>
            <w:r w:rsidRPr="00373722">
              <w:lastRenderedPageBreak/>
              <w:t>0</w:t>
            </w:r>
          </w:p>
        </w:tc>
        <w:tc>
          <w:tcPr>
            <w:tcW w:w="1298" w:type="dxa"/>
            <w:tcBorders>
              <w:top w:val="single" w:sz="4" w:space="0" w:color="auto"/>
              <w:left w:val="single" w:sz="4" w:space="0" w:color="auto"/>
              <w:bottom w:val="single" w:sz="4" w:space="0" w:color="auto"/>
              <w:right w:val="single" w:sz="4" w:space="0" w:color="auto"/>
            </w:tcBorders>
          </w:tcPr>
          <w:p w:rsidR="00373722" w:rsidRPr="00373722" w:rsidRDefault="00373722" w:rsidP="00373722">
            <w:pPr>
              <w:ind w:firstLine="720"/>
              <w:jc w:val="both"/>
            </w:pPr>
            <w:r w:rsidRPr="00373722">
              <w:t>0</w:t>
            </w:r>
          </w:p>
        </w:tc>
        <w:tc>
          <w:tcPr>
            <w:tcW w:w="1272" w:type="dxa"/>
            <w:tcBorders>
              <w:top w:val="single" w:sz="4" w:space="0" w:color="auto"/>
              <w:left w:val="single" w:sz="4" w:space="0" w:color="auto"/>
              <w:bottom w:val="single" w:sz="4" w:space="0" w:color="auto"/>
              <w:right w:val="single" w:sz="4" w:space="0" w:color="auto"/>
            </w:tcBorders>
          </w:tcPr>
          <w:p w:rsidR="00373722" w:rsidRPr="00373722" w:rsidRDefault="00373722" w:rsidP="00373722">
            <w:pPr>
              <w:ind w:firstLine="720"/>
              <w:jc w:val="both"/>
            </w:pPr>
            <w:r w:rsidRPr="00373722">
              <w:t>-</w:t>
            </w:r>
          </w:p>
        </w:tc>
        <w:tc>
          <w:tcPr>
            <w:tcW w:w="1276" w:type="dxa"/>
            <w:tcBorders>
              <w:top w:val="single" w:sz="4" w:space="0" w:color="auto"/>
              <w:left w:val="single" w:sz="4" w:space="0" w:color="auto"/>
              <w:bottom w:val="single" w:sz="4" w:space="0" w:color="auto"/>
              <w:right w:val="single" w:sz="4" w:space="0" w:color="auto"/>
            </w:tcBorders>
          </w:tcPr>
          <w:p w:rsidR="00373722" w:rsidRPr="00373722" w:rsidRDefault="00373722" w:rsidP="00373722">
            <w:pPr>
              <w:ind w:firstLine="720"/>
              <w:jc w:val="both"/>
            </w:pPr>
            <w:r w:rsidRPr="00373722">
              <w:t>- </w:t>
            </w:r>
          </w:p>
        </w:tc>
        <w:tc>
          <w:tcPr>
            <w:tcW w:w="1505" w:type="dxa"/>
            <w:tcBorders>
              <w:top w:val="single" w:sz="4" w:space="0" w:color="auto"/>
              <w:left w:val="single" w:sz="4" w:space="0" w:color="auto"/>
              <w:bottom w:val="single" w:sz="4" w:space="0" w:color="auto"/>
              <w:right w:val="single" w:sz="4" w:space="0" w:color="auto"/>
            </w:tcBorders>
          </w:tcPr>
          <w:p w:rsidR="00373722" w:rsidRPr="00373722" w:rsidRDefault="00373722" w:rsidP="00373722">
            <w:pPr>
              <w:ind w:firstLine="720"/>
              <w:jc w:val="both"/>
            </w:pPr>
            <w:r w:rsidRPr="00373722">
              <w:t>-  </w:t>
            </w:r>
          </w:p>
        </w:tc>
      </w:tr>
      <w:tr w:rsidR="00373722" w:rsidRPr="00373722" w:rsidTr="00D82436">
        <w:trPr>
          <w:tblCellSpacing w:w="0" w:type="dxa"/>
        </w:trPr>
        <w:tc>
          <w:tcPr>
            <w:tcW w:w="2939" w:type="dxa"/>
            <w:tcBorders>
              <w:top w:val="single" w:sz="4" w:space="0" w:color="auto"/>
              <w:left w:val="single" w:sz="4" w:space="0" w:color="auto"/>
              <w:bottom w:val="single" w:sz="4" w:space="0" w:color="auto"/>
              <w:right w:val="single" w:sz="4" w:space="0" w:color="auto"/>
            </w:tcBorders>
          </w:tcPr>
          <w:p w:rsidR="00373722" w:rsidRPr="00373722" w:rsidRDefault="00373722" w:rsidP="00373722">
            <w:pPr>
              <w:ind w:firstLine="127"/>
              <w:jc w:val="both"/>
            </w:pPr>
            <w:r w:rsidRPr="00373722">
              <w:lastRenderedPageBreak/>
              <w:t> 2.3. pašvaldību budžets</w:t>
            </w:r>
          </w:p>
        </w:tc>
        <w:tc>
          <w:tcPr>
            <w:tcW w:w="1350" w:type="dxa"/>
            <w:tcBorders>
              <w:top w:val="single" w:sz="4" w:space="0" w:color="auto"/>
              <w:left w:val="single" w:sz="4" w:space="0" w:color="auto"/>
              <w:bottom w:val="single" w:sz="4" w:space="0" w:color="auto"/>
              <w:right w:val="single" w:sz="4" w:space="0" w:color="auto"/>
            </w:tcBorders>
          </w:tcPr>
          <w:p w:rsidR="00373722" w:rsidRPr="00373722" w:rsidRDefault="00373722" w:rsidP="00373722">
            <w:pPr>
              <w:ind w:firstLine="720"/>
              <w:jc w:val="both"/>
            </w:pPr>
            <w:r w:rsidRPr="00373722">
              <w:t>0</w:t>
            </w:r>
          </w:p>
        </w:tc>
        <w:tc>
          <w:tcPr>
            <w:tcW w:w="1298" w:type="dxa"/>
            <w:tcBorders>
              <w:top w:val="single" w:sz="4" w:space="0" w:color="auto"/>
              <w:left w:val="single" w:sz="4" w:space="0" w:color="auto"/>
              <w:bottom w:val="single" w:sz="4" w:space="0" w:color="auto"/>
              <w:right w:val="single" w:sz="4" w:space="0" w:color="auto"/>
            </w:tcBorders>
          </w:tcPr>
          <w:p w:rsidR="00373722" w:rsidRPr="00373722" w:rsidRDefault="00373722" w:rsidP="00373722">
            <w:pPr>
              <w:ind w:firstLine="720"/>
              <w:jc w:val="both"/>
            </w:pPr>
            <w:r w:rsidRPr="00373722">
              <w:t>0</w:t>
            </w:r>
          </w:p>
        </w:tc>
        <w:tc>
          <w:tcPr>
            <w:tcW w:w="1272" w:type="dxa"/>
            <w:tcBorders>
              <w:top w:val="single" w:sz="4" w:space="0" w:color="auto"/>
              <w:left w:val="single" w:sz="4" w:space="0" w:color="auto"/>
              <w:bottom w:val="single" w:sz="4" w:space="0" w:color="auto"/>
              <w:right w:val="single" w:sz="4" w:space="0" w:color="auto"/>
            </w:tcBorders>
          </w:tcPr>
          <w:p w:rsidR="00373722" w:rsidRPr="00373722" w:rsidRDefault="00373722" w:rsidP="00373722">
            <w:pPr>
              <w:ind w:firstLine="720"/>
              <w:jc w:val="both"/>
            </w:pPr>
            <w:r w:rsidRPr="00373722">
              <w:t>-</w:t>
            </w:r>
          </w:p>
        </w:tc>
        <w:tc>
          <w:tcPr>
            <w:tcW w:w="1276" w:type="dxa"/>
            <w:tcBorders>
              <w:top w:val="single" w:sz="4" w:space="0" w:color="auto"/>
              <w:left w:val="single" w:sz="4" w:space="0" w:color="auto"/>
              <w:bottom w:val="single" w:sz="4" w:space="0" w:color="auto"/>
              <w:right w:val="single" w:sz="4" w:space="0" w:color="auto"/>
            </w:tcBorders>
          </w:tcPr>
          <w:p w:rsidR="00373722" w:rsidRPr="00373722" w:rsidRDefault="00373722" w:rsidP="00373722">
            <w:pPr>
              <w:ind w:firstLine="720"/>
              <w:jc w:val="both"/>
            </w:pPr>
            <w:r w:rsidRPr="00373722">
              <w:t>- </w:t>
            </w:r>
          </w:p>
        </w:tc>
        <w:tc>
          <w:tcPr>
            <w:tcW w:w="1505" w:type="dxa"/>
            <w:tcBorders>
              <w:top w:val="single" w:sz="4" w:space="0" w:color="auto"/>
              <w:left w:val="single" w:sz="4" w:space="0" w:color="auto"/>
              <w:bottom w:val="single" w:sz="4" w:space="0" w:color="auto"/>
              <w:right w:val="single" w:sz="4" w:space="0" w:color="auto"/>
            </w:tcBorders>
          </w:tcPr>
          <w:p w:rsidR="00373722" w:rsidRPr="00373722" w:rsidRDefault="00373722" w:rsidP="00373722">
            <w:pPr>
              <w:ind w:firstLine="720"/>
              <w:jc w:val="both"/>
            </w:pPr>
            <w:r w:rsidRPr="00373722">
              <w:t>-  </w:t>
            </w:r>
          </w:p>
        </w:tc>
      </w:tr>
      <w:tr w:rsidR="00373722" w:rsidRPr="00373722" w:rsidTr="00D82436">
        <w:trPr>
          <w:tblCellSpacing w:w="0" w:type="dxa"/>
        </w:trPr>
        <w:tc>
          <w:tcPr>
            <w:tcW w:w="2939" w:type="dxa"/>
            <w:tcBorders>
              <w:top w:val="single" w:sz="4" w:space="0" w:color="auto"/>
              <w:left w:val="single" w:sz="4" w:space="0" w:color="auto"/>
              <w:bottom w:val="single" w:sz="4" w:space="0" w:color="auto"/>
              <w:right w:val="single" w:sz="4" w:space="0" w:color="auto"/>
            </w:tcBorders>
          </w:tcPr>
          <w:p w:rsidR="00373722" w:rsidRPr="00373722" w:rsidRDefault="00373722" w:rsidP="00373722">
            <w:pPr>
              <w:ind w:firstLine="127"/>
              <w:jc w:val="both"/>
            </w:pPr>
            <w:r w:rsidRPr="00373722">
              <w:t> 3. Finansiālā ietekme:</w:t>
            </w:r>
          </w:p>
        </w:tc>
        <w:tc>
          <w:tcPr>
            <w:tcW w:w="1350" w:type="dxa"/>
            <w:tcBorders>
              <w:top w:val="single" w:sz="4" w:space="0" w:color="auto"/>
              <w:left w:val="single" w:sz="4" w:space="0" w:color="auto"/>
              <w:bottom w:val="single" w:sz="4" w:space="0" w:color="auto"/>
              <w:right w:val="single" w:sz="4" w:space="0" w:color="auto"/>
            </w:tcBorders>
          </w:tcPr>
          <w:p w:rsidR="00373722" w:rsidRPr="00373722" w:rsidRDefault="00373722" w:rsidP="00373722">
            <w:pPr>
              <w:ind w:firstLine="720"/>
              <w:jc w:val="both"/>
            </w:pPr>
            <w:r w:rsidRPr="00373722">
              <w:t>0</w:t>
            </w:r>
          </w:p>
        </w:tc>
        <w:tc>
          <w:tcPr>
            <w:tcW w:w="1298" w:type="dxa"/>
            <w:tcBorders>
              <w:top w:val="single" w:sz="4" w:space="0" w:color="auto"/>
              <w:left w:val="single" w:sz="4" w:space="0" w:color="auto"/>
              <w:bottom w:val="single" w:sz="4" w:space="0" w:color="auto"/>
              <w:right w:val="single" w:sz="4" w:space="0" w:color="auto"/>
            </w:tcBorders>
          </w:tcPr>
          <w:p w:rsidR="00373722" w:rsidRPr="00373722" w:rsidRDefault="00373722" w:rsidP="00373722">
            <w:pPr>
              <w:ind w:firstLine="720"/>
              <w:jc w:val="both"/>
            </w:pPr>
            <w:r w:rsidRPr="00373722">
              <w:t>0</w:t>
            </w:r>
          </w:p>
        </w:tc>
        <w:tc>
          <w:tcPr>
            <w:tcW w:w="1272" w:type="dxa"/>
            <w:tcBorders>
              <w:top w:val="single" w:sz="4" w:space="0" w:color="auto"/>
              <w:left w:val="single" w:sz="4" w:space="0" w:color="auto"/>
              <w:bottom w:val="single" w:sz="4" w:space="0" w:color="auto"/>
              <w:right w:val="single" w:sz="4" w:space="0" w:color="auto"/>
            </w:tcBorders>
          </w:tcPr>
          <w:p w:rsidR="00373722" w:rsidRPr="00373722" w:rsidRDefault="00373722" w:rsidP="00373722">
            <w:pPr>
              <w:ind w:firstLine="720"/>
              <w:jc w:val="both"/>
            </w:pPr>
            <w:r w:rsidRPr="00373722">
              <w:t>-</w:t>
            </w:r>
          </w:p>
        </w:tc>
        <w:tc>
          <w:tcPr>
            <w:tcW w:w="1276" w:type="dxa"/>
            <w:tcBorders>
              <w:top w:val="single" w:sz="4" w:space="0" w:color="auto"/>
              <w:left w:val="single" w:sz="4" w:space="0" w:color="auto"/>
              <w:bottom w:val="single" w:sz="4" w:space="0" w:color="auto"/>
              <w:right w:val="single" w:sz="4" w:space="0" w:color="auto"/>
            </w:tcBorders>
          </w:tcPr>
          <w:p w:rsidR="00373722" w:rsidRPr="00373722" w:rsidRDefault="00373722" w:rsidP="00373722">
            <w:pPr>
              <w:ind w:firstLine="720"/>
              <w:jc w:val="both"/>
            </w:pPr>
            <w:r w:rsidRPr="00373722">
              <w:t>-</w:t>
            </w:r>
          </w:p>
        </w:tc>
        <w:tc>
          <w:tcPr>
            <w:tcW w:w="1505" w:type="dxa"/>
            <w:tcBorders>
              <w:top w:val="single" w:sz="4" w:space="0" w:color="auto"/>
              <w:left w:val="single" w:sz="4" w:space="0" w:color="auto"/>
              <w:bottom w:val="single" w:sz="4" w:space="0" w:color="auto"/>
              <w:right w:val="single" w:sz="4" w:space="0" w:color="auto"/>
            </w:tcBorders>
          </w:tcPr>
          <w:p w:rsidR="00373722" w:rsidRPr="00373722" w:rsidRDefault="00373722" w:rsidP="00373722">
            <w:pPr>
              <w:ind w:firstLine="720"/>
              <w:jc w:val="both"/>
            </w:pPr>
            <w:r w:rsidRPr="00373722">
              <w:t>-</w:t>
            </w:r>
          </w:p>
        </w:tc>
      </w:tr>
      <w:tr w:rsidR="00373722" w:rsidRPr="00373722" w:rsidTr="00D82436">
        <w:trPr>
          <w:tblCellSpacing w:w="0" w:type="dxa"/>
        </w:trPr>
        <w:tc>
          <w:tcPr>
            <w:tcW w:w="2939" w:type="dxa"/>
            <w:tcBorders>
              <w:top w:val="single" w:sz="4" w:space="0" w:color="auto"/>
              <w:left w:val="single" w:sz="4" w:space="0" w:color="auto"/>
              <w:bottom w:val="single" w:sz="4" w:space="0" w:color="auto"/>
              <w:right w:val="single" w:sz="4" w:space="0" w:color="auto"/>
            </w:tcBorders>
          </w:tcPr>
          <w:p w:rsidR="00373722" w:rsidRPr="00373722" w:rsidRDefault="00373722" w:rsidP="00373722">
            <w:pPr>
              <w:ind w:firstLine="127"/>
              <w:jc w:val="both"/>
            </w:pPr>
            <w:r w:rsidRPr="00373722">
              <w:t> 3.1. valsts pamatbudžets</w:t>
            </w:r>
          </w:p>
        </w:tc>
        <w:tc>
          <w:tcPr>
            <w:tcW w:w="1350" w:type="dxa"/>
            <w:tcBorders>
              <w:top w:val="single" w:sz="4" w:space="0" w:color="auto"/>
              <w:left w:val="single" w:sz="4" w:space="0" w:color="auto"/>
              <w:bottom w:val="single" w:sz="4" w:space="0" w:color="auto"/>
              <w:right w:val="single" w:sz="4" w:space="0" w:color="auto"/>
            </w:tcBorders>
          </w:tcPr>
          <w:p w:rsidR="00373722" w:rsidRPr="00373722" w:rsidRDefault="00373722" w:rsidP="00373722">
            <w:pPr>
              <w:ind w:firstLine="720"/>
              <w:jc w:val="both"/>
            </w:pPr>
            <w:r w:rsidRPr="00373722">
              <w:t>0</w:t>
            </w:r>
          </w:p>
        </w:tc>
        <w:tc>
          <w:tcPr>
            <w:tcW w:w="1298" w:type="dxa"/>
            <w:tcBorders>
              <w:top w:val="single" w:sz="4" w:space="0" w:color="auto"/>
              <w:left w:val="single" w:sz="4" w:space="0" w:color="auto"/>
              <w:bottom w:val="single" w:sz="4" w:space="0" w:color="auto"/>
              <w:right w:val="single" w:sz="4" w:space="0" w:color="auto"/>
            </w:tcBorders>
          </w:tcPr>
          <w:p w:rsidR="00373722" w:rsidRPr="00373722" w:rsidRDefault="00373722" w:rsidP="00AB0695">
            <w:pPr>
              <w:jc w:val="both"/>
            </w:pPr>
            <w:r w:rsidRPr="00373722">
              <w:t>-</w:t>
            </w:r>
            <w:r w:rsidR="00F213ED" w:rsidRPr="00F213ED">
              <w:rPr>
                <w:sz w:val="26"/>
                <w:szCs w:val="26"/>
              </w:rPr>
              <w:t xml:space="preserve"> </w:t>
            </w:r>
            <w:r w:rsidR="00F213ED" w:rsidRPr="00F213ED">
              <w:t>283 720</w:t>
            </w:r>
          </w:p>
        </w:tc>
        <w:tc>
          <w:tcPr>
            <w:tcW w:w="1272" w:type="dxa"/>
            <w:tcBorders>
              <w:top w:val="single" w:sz="4" w:space="0" w:color="auto"/>
              <w:left w:val="single" w:sz="4" w:space="0" w:color="auto"/>
              <w:bottom w:val="single" w:sz="4" w:space="0" w:color="auto"/>
              <w:right w:val="single" w:sz="4" w:space="0" w:color="auto"/>
            </w:tcBorders>
          </w:tcPr>
          <w:p w:rsidR="00373722" w:rsidRPr="00373722" w:rsidRDefault="00373722" w:rsidP="00373722">
            <w:pPr>
              <w:ind w:firstLine="720"/>
              <w:jc w:val="both"/>
            </w:pPr>
            <w:r w:rsidRPr="00373722">
              <w:t>-</w:t>
            </w:r>
          </w:p>
        </w:tc>
        <w:tc>
          <w:tcPr>
            <w:tcW w:w="1276" w:type="dxa"/>
            <w:tcBorders>
              <w:top w:val="single" w:sz="4" w:space="0" w:color="auto"/>
              <w:left w:val="single" w:sz="4" w:space="0" w:color="auto"/>
              <w:bottom w:val="single" w:sz="4" w:space="0" w:color="auto"/>
              <w:right w:val="single" w:sz="4" w:space="0" w:color="auto"/>
            </w:tcBorders>
          </w:tcPr>
          <w:p w:rsidR="00373722" w:rsidRPr="00373722" w:rsidRDefault="00373722" w:rsidP="00373722">
            <w:pPr>
              <w:ind w:firstLine="720"/>
              <w:jc w:val="both"/>
            </w:pPr>
            <w:r w:rsidRPr="00373722">
              <w:t>- </w:t>
            </w:r>
          </w:p>
        </w:tc>
        <w:tc>
          <w:tcPr>
            <w:tcW w:w="1505" w:type="dxa"/>
            <w:tcBorders>
              <w:top w:val="single" w:sz="4" w:space="0" w:color="auto"/>
              <w:left w:val="single" w:sz="4" w:space="0" w:color="auto"/>
              <w:bottom w:val="single" w:sz="4" w:space="0" w:color="auto"/>
              <w:right w:val="single" w:sz="4" w:space="0" w:color="auto"/>
            </w:tcBorders>
          </w:tcPr>
          <w:p w:rsidR="00373722" w:rsidRPr="00373722" w:rsidRDefault="00373722" w:rsidP="00373722">
            <w:pPr>
              <w:ind w:firstLine="720"/>
              <w:jc w:val="both"/>
            </w:pPr>
            <w:r w:rsidRPr="00373722">
              <w:t>-  </w:t>
            </w:r>
          </w:p>
        </w:tc>
      </w:tr>
      <w:tr w:rsidR="00373722" w:rsidRPr="00373722" w:rsidTr="00D82436">
        <w:trPr>
          <w:tblCellSpacing w:w="0" w:type="dxa"/>
        </w:trPr>
        <w:tc>
          <w:tcPr>
            <w:tcW w:w="2939" w:type="dxa"/>
            <w:tcBorders>
              <w:top w:val="single" w:sz="4" w:space="0" w:color="auto"/>
              <w:left w:val="single" w:sz="4" w:space="0" w:color="auto"/>
              <w:bottom w:val="single" w:sz="4" w:space="0" w:color="auto"/>
              <w:right w:val="single" w:sz="4" w:space="0" w:color="auto"/>
            </w:tcBorders>
          </w:tcPr>
          <w:p w:rsidR="00373722" w:rsidRPr="00373722" w:rsidRDefault="00373722" w:rsidP="00373722">
            <w:pPr>
              <w:ind w:firstLine="127"/>
              <w:jc w:val="both"/>
            </w:pPr>
            <w:r w:rsidRPr="00373722">
              <w:t> 3.2. speciālais budžets</w:t>
            </w:r>
          </w:p>
        </w:tc>
        <w:tc>
          <w:tcPr>
            <w:tcW w:w="1350" w:type="dxa"/>
            <w:tcBorders>
              <w:top w:val="single" w:sz="4" w:space="0" w:color="auto"/>
              <w:left w:val="single" w:sz="4" w:space="0" w:color="auto"/>
              <w:bottom w:val="single" w:sz="4" w:space="0" w:color="auto"/>
              <w:right w:val="single" w:sz="4" w:space="0" w:color="auto"/>
            </w:tcBorders>
          </w:tcPr>
          <w:p w:rsidR="00373722" w:rsidRPr="00373722" w:rsidRDefault="00373722" w:rsidP="00373722">
            <w:pPr>
              <w:ind w:firstLine="720"/>
              <w:jc w:val="both"/>
            </w:pPr>
            <w:r w:rsidRPr="00373722">
              <w:t>0</w:t>
            </w:r>
          </w:p>
        </w:tc>
        <w:tc>
          <w:tcPr>
            <w:tcW w:w="1298" w:type="dxa"/>
            <w:tcBorders>
              <w:top w:val="single" w:sz="4" w:space="0" w:color="auto"/>
              <w:left w:val="single" w:sz="4" w:space="0" w:color="auto"/>
              <w:bottom w:val="single" w:sz="4" w:space="0" w:color="auto"/>
              <w:right w:val="single" w:sz="4" w:space="0" w:color="auto"/>
            </w:tcBorders>
          </w:tcPr>
          <w:p w:rsidR="00373722" w:rsidRPr="00373722" w:rsidRDefault="00373722" w:rsidP="00373722">
            <w:pPr>
              <w:ind w:firstLine="720"/>
              <w:jc w:val="both"/>
            </w:pPr>
            <w:r w:rsidRPr="00373722">
              <w:t>0</w:t>
            </w:r>
          </w:p>
        </w:tc>
        <w:tc>
          <w:tcPr>
            <w:tcW w:w="1272" w:type="dxa"/>
            <w:tcBorders>
              <w:top w:val="single" w:sz="4" w:space="0" w:color="auto"/>
              <w:left w:val="single" w:sz="4" w:space="0" w:color="auto"/>
              <w:bottom w:val="single" w:sz="4" w:space="0" w:color="auto"/>
              <w:right w:val="single" w:sz="4" w:space="0" w:color="auto"/>
            </w:tcBorders>
          </w:tcPr>
          <w:p w:rsidR="00373722" w:rsidRPr="00373722" w:rsidRDefault="00373722" w:rsidP="00373722">
            <w:pPr>
              <w:ind w:firstLine="720"/>
              <w:jc w:val="both"/>
            </w:pPr>
            <w:r w:rsidRPr="00373722">
              <w:t>-</w:t>
            </w:r>
          </w:p>
        </w:tc>
        <w:tc>
          <w:tcPr>
            <w:tcW w:w="1276" w:type="dxa"/>
            <w:tcBorders>
              <w:top w:val="single" w:sz="4" w:space="0" w:color="auto"/>
              <w:left w:val="single" w:sz="4" w:space="0" w:color="auto"/>
              <w:bottom w:val="single" w:sz="4" w:space="0" w:color="auto"/>
              <w:right w:val="single" w:sz="4" w:space="0" w:color="auto"/>
            </w:tcBorders>
          </w:tcPr>
          <w:p w:rsidR="00373722" w:rsidRPr="00373722" w:rsidRDefault="00373722" w:rsidP="00373722">
            <w:pPr>
              <w:ind w:firstLine="720"/>
              <w:jc w:val="both"/>
            </w:pPr>
            <w:r w:rsidRPr="00373722">
              <w:t>-</w:t>
            </w:r>
          </w:p>
        </w:tc>
        <w:tc>
          <w:tcPr>
            <w:tcW w:w="1505" w:type="dxa"/>
            <w:tcBorders>
              <w:top w:val="single" w:sz="4" w:space="0" w:color="auto"/>
              <w:left w:val="single" w:sz="4" w:space="0" w:color="auto"/>
              <w:bottom w:val="single" w:sz="4" w:space="0" w:color="auto"/>
              <w:right w:val="single" w:sz="4" w:space="0" w:color="auto"/>
            </w:tcBorders>
          </w:tcPr>
          <w:p w:rsidR="00373722" w:rsidRPr="00373722" w:rsidRDefault="00373722" w:rsidP="00373722">
            <w:pPr>
              <w:ind w:firstLine="720"/>
              <w:jc w:val="both"/>
            </w:pPr>
            <w:r w:rsidRPr="00373722">
              <w:t>-</w:t>
            </w:r>
          </w:p>
        </w:tc>
      </w:tr>
      <w:tr w:rsidR="00373722" w:rsidRPr="00373722" w:rsidTr="00D82436">
        <w:trPr>
          <w:tblCellSpacing w:w="0" w:type="dxa"/>
        </w:trPr>
        <w:tc>
          <w:tcPr>
            <w:tcW w:w="2939" w:type="dxa"/>
            <w:tcBorders>
              <w:top w:val="single" w:sz="4" w:space="0" w:color="auto"/>
              <w:left w:val="single" w:sz="4" w:space="0" w:color="auto"/>
              <w:bottom w:val="single" w:sz="4" w:space="0" w:color="auto"/>
              <w:right w:val="single" w:sz="4" w:space="0" w:color="auto"/>
            </w:tcBorders>
          </w:tcPr>
          <w:p w:rsidR="00373722" w:rsidRPr="00373722" w:rsidRDefault="00373722" w:rsidP="00373722">
            <w:pPr>
              <w:ind w:firstLine="127"/>
              <w:jc w:val="both"/>
            </w:pPr>
            <w:r w:rsidRPr="00373722">
              <w:t> 3.3. pašvaldību budžets</w:t>
            </w:r>
          </w:p>
        </w:tc>
        <w:tc>
          <w:tcPr>
            <w:tcW w:w="1350" w:type="dxa"/>
            <w:tcBorders>
              <w:top w:val="single" w:sz="4" w:space="0" w:color="auto"/>
              <w:left w:val="single" w:sz="4" w:space="0" w:color="auto"/>
              <w:bottom w:val="single" w:sz="4" w:space="0" w:color="auto"/>
              <w:right w:val="single" w:sz="4" w:space="0" w:color="auto"/>
            </w:tcBorders>
          </w:tcPr>
          <w:p w:rsidR="00373722" w:rsidRPr="00373722" w:rsidRDefault="00373722" w:rsidP="00373722">
            <w:pPr>
              <w:ind w:firstLine="720"/>
              <w:jc w:val="both"/>
            </w:pPr>
            <w:r w:rsidRPr="00373722">
              <w:t>0</w:t>
            </w:r>
          </w:p>
        </w:tc>
        <w:tc>
          <w:tcPr>
            <w:tcW w:w="1298" w:type="dxa"/>
            <w:tcBorders>
              <w:top w:val="single" w:sz="4" w:space="0" w:color="auto"/>
              <w:left w:val="single" w:sz="4" w:space="0" w:color="auto"/>
              <w:bottom w:val="single" w:sz="4" w:space="0" w:color="auto"/>
              <w:right w:val="single" w:sz="4" w:space="0" w:color="auto"/>
            </w:tcBorders>
          </w:tcPr>
          <w:p w:rsidR="00373722" w:rsidRPr="00373722" w:rsidRDefault="00373722" w:rsidP="00373722">
            <w:pPr>
              <w:ind w:firstLine="720"/>
              <w:jc w:val="both"/>
            </w:pPr>
            <w:r w:rsidRPr="00373722">
              <w:t>0</w:t>
            </w:r>
          </w:p>
        </w:tc>
        <w:tc>
          <w:tcPr>
            <w:tcW w:w="1272" w:type="dxa"/>
            <w:tcBorders>
              <w:top w:val="single" w:sz="4" w:space="0" w:color="auto"/>
              <w:left w:val="single" w:sz="4" w:space="0" w:color="auto"/>
              <w:bottom w:val="single" w:sz="4" w:space="0" w:color="auto"/>
              <w:right w:val="single" w:sz="4" w:space="0" w:color="auto"/>
            </w:tcBorders>
          </w:tcPr>
          <w:p w:rsidR="00373722" w:rsidRPr="00373722" w:rsidRDefault="00373722" w:rsidP="00373722">
            <w:pPr>
              <w:ind w:firstLine="720"/>
              <w:jc w:val="both"/>
            </w:pPr>
            <w:r w:rsidRPr="00373722">
              <w:t>-</w:t>
            </w:r>
          </w:p>
        </w:tc>
        <w:tc>
          <w:tcPr>
            <w:tcW w:w="1276" w:type="dxa"/>
            <w:tcBorders>
              <w:top w:val="single" w:sz="4" w:space="0" w:color="auto"/>
              <w:left w:val="single" w:sz="4" w:space="0" w:color="auto"/>
              <w:bottom w:val="single" w:sz="4" w:space="0" w:color="auto"/>
              <w:right w:val="single" w:sz="4" w:space="0" w:color="auto"/>
            </w:tcBorders>
          </w:tcPr>
          <w:p w:rsidR="00373722" w:rsidRPr="00373722" w:rsidRDefault="00373722" w:rsidP="00373722">
            <w:pPr>
              <w:ind w:firstLine="720"/>
              <w:jc w:val="both"/>
            </w:pPr>
            <w:r w:rsidRPr="00373722">
              <w:t>-</w:t>
            </w:r>
          </w:p>
        </w:tc>
        <w:tc>
          <w:tcPr>
            <w:tcW w:w="1505" w:type="dxa"/>
            <w:tcBorders>
              <w:top w:val="single" w:sz="4" w:space="0" w:color="auto"/>
              <w:left w:val="single" w:sz="4" w:space="0" w:color="auto"/>
              <w:bottom w:val="single" w:sz="4" w:space="0" w:color="auto"/>
              <w:right w:val="single" w:sz="4" w:space="0" w:color="auto"/>
            </w:tcBorders>
          </w:tcPr>
          <w:p w:rsidR="00373722" w:rsidRPr="00373722" w:rsidRDefault="00373722" w:rsidP="00373722">
            <w:pPr>
              <w:ind w:firstLine="720"/>
              <w:jc w:val="both"/>
            </w:pPr>
            <w:r w:rsidRPr="00373722">
              <w:t>-</w:t>
            </w:r>
          </w:p>
        </w:tc>
      </w:tr>
      <w:tr w:rsidR="00373722" w:rsidRPr="00373722" w:rsidTr="00D82436">
        <w:trPr>
          <w:tblCellSpacing w:w="0" w:type="dxa"/>
        </w:trPr>
        <w:tc>
          <w:tcPr>
            <w:tcW w:w="2939" w:type="dxa"/>
            <w:vMerge w:val="restart"/>
            <w:tcBorders>
              <w:top w:val="single" w:sz="4" w:space="0" w:color="auto"/>
              <w:left w:val="single" w:sz="4" w:space="0" w:color="auto"/>
              <w:bottom w:val="single" w:sz="4" w:space="0" w:color="auto"/>
              <w:right w:val="single" w:sz="4" w:space="0" w:color="auto"/>
            </w:tcBorders>
          </w:tcPr>
          <w:p w:rsidR="00373722" w:rsidRPr="00373722" w:rsidRDefault="00373722" w:rsidP="00373722">
            <w:pPr>
              <w:ind w:firstLine="127"/>
              <w:jc w:val="both"/>
            </w:pPr>
            <w:r w:rsidRPr="00373722">
              <w:t> 4. Finanšu līdzekļi papildu izde</w:t>
            </w:r>
            <w:r w:rsidRPr="00373722">
              <w:softHyphen/>
              <w:t>vumu finansēšanai (kompensējošu izdevumu samazinājumu norāda ar "+" zīmi)</w:t>
            </w:r>
          </w:p>
        </w:tc>
        <w:tc>
          <w:tcPr>
            <w:tcW w:w="1350" w:type="dxa"/>
            <w:vMerge w:val="restart"/>
            <w:tcBorders>
              <w:top w:val="single" w:sz="4" w:space="0" w:color="auto"/>
              <w:left w:val="single" w:sz="4" w:space="0" w:color="auto"/>
              <w:bottom w:val="single" w:sz="4" w:space="0" w:color="auto"/>
              <w:right w:val="single" w:sz="4" w:space="0" w:color="auto"/>
            </w:tcBorders>
          </w:tcPr>
          <w:p w:rsidR="00373722" w:rsidRPr="00373722" w:rsidRDefault="00373722" w:rsidP="00373722">
            <w:pPr>
              <w:ind w:firstLine="720"/>
              <w:jc w:val="both"/>
            </w:pPr>
            <w:r w:rsidRPr="00373722">
              <w:t> X</w:t>
            </w:r>
          </w:p>
        </w:tc>
        <w:tc>
          <w:tcPr>
            <w:tcW w:w="1298" w:type="dxa"/>
            <w:tcBorders>
              <w:top w:val="single" w:sz="4" w:space="0" w:color="auto"/>
              <w:left w:val="single" w:sz="4" w:space="0" w:color="auto"/>
              <w:bottom w:val="single" w:sz="4" w:space="0" w:color="auto"/>
              <w:right w:val="single" w:sz="4" w:space="0" w:color="auto"/>
            </w:tcBorders>
          </w:tcPr>
          <w:p w:rsidR="00373722" w:rsidRPr="00373722" w:rsidRDefault="00373722" w:rsidP="00373722">
            <w:pPr>
              <w:ind w:firstLine="720"/>
              <w:jc w:val="both"/>
            </w:pPr>
            <w:r w:rsidRPr="00373722">
              <w:t>0</w:t>
            </w:r>
          </w:p>
        </w:tc>
        <w:tc>
          <w:tcPr>
            <w:tcW w:w="1272" w:type="dxa"/>
            <w:tcBorders>
              <w:top w:val="single" w:sz="4" w:space="0" w:color="auto"/>
              <w:left w:val="single" w:sz="4" w:space="0" w:color="auto"/>
              <w:bottom w:val="single" w:sz="4" w:space="0" w:color="auto"/>
              <w:right w:val="single" w:sz="4" w:space="0" w:color="auto"/>
            </w:tcBorders>
          </w:tcPr>
          <w:p w:rsidR="00373722" w:rsidRPr="00373722" w:rsidRDefault="00373722" w:rsidP="00373722">
            <w:pPr>
              <w:ind w:firstLine="720"/>
              <w:jc w:val="both"/>
            </w:pPr>
            <w:r w:rsidRPr="00373722">
              <w:t>-</w:t>
            </w:r>
          </w:p>
        </w:tc>
        <w:tc>
          <w:tcPr>
            <w:tcW w:w="1276" w:type="dxa"/>
            <w:tcBorders>
              <w:top w:val="single" w:sz="4" w:space="0" w:color="auto"/>
              <w:left w:val="single" w:sz="4" w:space="0" w:color="auto"/>
              <w:bottom w:val="single" w:sz="4" w:space="0" w:color="auto"/>
              <w:right w:val="single" w:sz="4" w:space="0" w:color="auto"/>
            </w:tcBorders>
          </w:tcPr>
          <w:p w:rsidR="00373722" w:rsidRPr="00373722" w:rsidRDefault="00373722" w:rsidP="00373722">
            <w:pPr>
              <w:ind w:firstLine="720"/>
              <w:jc w:val="both"/>
            </w:pPr>
            <w:r w:rsidRPr="00373722">
              <w:t>-</w:t>
            </w:r>
          </w:p>
        </w:tc>
        <w:tc>
          <w:tcPr>
            <w:tcW w:w="1505" w:type="dxa"/>
            <w:tcBorders>
              <w:top w:val="single" w:sz="4" w:space="0" w:color="auto"/>
              <w:left w:val="single" w:sz="4" w:space="0" w:color="auto"/>
              <w:bottom w:val="single" w:sz="4" w:space="0" w:color="auto"/>
              <w:right w:val="single" w:sz="4" w:space="0" w:color="auto"/>
            </w:tcBorders>
          </w:tcPr>
          <w:p w:rsidR="00373722" w:rsidRPr="00373722" w:rsidRDefault="00373722" w:rsidP="00373722">
            <w:pPr>
              <w:ind w:firstLine="720"/>
              <w:jc w:val="both"/>
            </w:pPr>
            <w:r w:rsidRPr="00373722">
              <w:t>-</w:t>
            </w:r>
          </w:p>
        </w:tc>
      </w:tr>
      <w:tr w:rsidR="00373722" w:rsidRPr="00373722" w:rsidTr="00D82436">
        <w:trPr>
          <w:tblCellSpacing w:w="0" w:type="dxa"/>
        </w:trPr>
        <w:tc>
          <w:tcPr>
            <w:tcW w:w="2939" w:type="dxa"/>
            <w:vMerge/>
            <w:tcBorders>
              <w:top w:val="single" w:sz="4" w:space="0" w:color="auto"/>
              <w:left w:val="single" w:sz="4" w:space="0" w:color="auto"/>
              <w:bottom w:val="single" w:sz="4" w:space="0" w:color="auto"/>
              <w:right w:val="single" w:sz="4" w:space="0" w:color="auto"/>
            </w:tcBorders>
            <w:vAlign w:val="center"/>
          </w:tcPr>
          <w:p w:rsidR="00373722" w:rsidRPr="00373722" w:rsidRDefault="00373722" w:rsidP="00373722">
            <w:pPr>
              <w:ind w:firstLine="127"/>
              <w:jc w:val="both"/>
            </w:pPr>
          </w:p>
        </w:tc>
        <w:tc>
          <w:tcPr>
            <w:tcW w:w="0" w:type="auto"/>
            <w:vMerge/>
            <w:tcBorders>
              <w:top w:val="single" w:sz="4" w:space="0" w:color="auto"/>
              <w:left w:val="single" w:sz="4" w:space="0" w:color="auto"/>
              <w:bottom w:val="single" w:sz="4" w:space="0" w:color="auto"/>
              <w:right w:val="single" w:sz="4" w:space="0" w:color="auto"/>
            </w:tcBorders>
            <w:vAlign w:val="center"/>
          </w:tcPr>
          <w:p w:rsidR="00373722" w:rsidRPr="00373722" w:rsidRDefault="00373722" w:rsidP="00373722">
            <w:pPr>
              <w:ind w:firstLine="720"/>
              <w:jc w:val="both"/>
            </w:pPr>
          </w:p>
        </w:tc>
        <w:tc>
          <w:tcPr>
            <w:tcW w:w="1298" w:type="dxa"/>
            <w:tcBorders>
              <w:top w:val="single" w:sz="4" w:space="0" w:color="auto"/>
              <w:left w:val="single" w:sz="4" w:space="0" w:color="auto"/>
              <w:bottom w:val="single" w:sz="4" w:space="0" w:color="auto"/>
              <w:right w:val="single" w:sz="4" w:space="0" w:color="auto"/>
            </w:tcBorders>
          </w:tcPr>
          <w:p w:rsidR="00373722" w:rsidRPr="00373722" w:rsidRDefault="00373722" w:rsidP="00373722">
            <w:pPr>
              <w:ind w:firstLine="720"/>
              <w:jc w:val="both"/>
            </w:pPr>
            <w:r w:rsidRPr="00373722">
              <w:t>0</w:t>
            </w:r>
          </w:p>
        </w:tc>
        <w:tc>
          <w:tcPr>
            <w:tcW w:w="1272" w:type="dxa"/>
            <w:tcBorders>
              <w:top w:val="single" w:sz="4" w:space="0" w:color="auto"/>
              <w:left w:val="single" w:sz="4" w:space="0" w:color="auto"/>
              <w:bottom w:val="single" w:sz="4" w:space="0" w:color="auto"/>
              <w:right w:val="single" w:sz="4" w:space="0" w:color="auto"/>
            </w:tcBorders>
          </w:tcPr>
          <w:p w:rsidR="00373722" w:rsidRPr="00373722" w:rsidRDefault="00373722" w:rsidP="00373722">
            <w:pPr>
              <w:ind w:firstLine="720"/>
              <w:jc w:val="both"/>
            </w:pPr>
            <w:r w:rsidRPr="00373722">
              <w:t>-</w:t>
            </w:r>
          </w:p>
        </w:tc>
        <w:tc>
          <w:tcPr>
            <w:tcW w:w="1276" w:type="dxa"/>
            <w:tcBorders>
              <w:top w:val="single" w:sz="4" w:space="0" w:color="auto"/>
              <w:left w:val="single" w:sz="4" w:space="0" w:color="auto"/>
              <w:bottom w:val="single" w:sz="4" w:space="0" w:color="auto"/>
              <w:right w:val="single" w:sz="4" w:space="0" w:color="auto"/>
            </w:tcBorders>
          </w:tcPr>
          <w:p w:rsidR="00373722" w:rsidRPr="00373722" w:rsidRDefault="00373722" w:rsidP="00373722">
            <w:pPr>
              <w:ind w:firstLine="720"/>
              <w:jc w:val="both"/>
            </w:pPr>
            <w:r w:rsidRPr="00373722">
              <w:t>-</w:t>
            </w:r>
          </w:p>
        </w:tc>
        <w:tc>
          <w:tcPr>
            <w:tcW w:w="1505" w:type="dxa"/>
            <w:tcBorders>
              <w:top w:val="single" w:sz="4" w:space="0" w:color="auto"/>
              <w:left w:val="single" w:sz="4" w:space="0" w:color="auto"/>
              <w:bottom w:val="single" w:sz="4" w:space="0" w:color="auto"/>
              <w:right w:val="single" w:sz="4" w:space="0" w:color="auto"/>
            </w:tcBorders>
          </w:tcPr>
          <w:p w:rsidR="00373722" w:rsidRPr="00373722" w:rsidRDefault="00373722" w:rsidP="00373722">
            <w:pPr>
              <w:ind w:firstLine="720"/>
              <w:jc w:val="both"/>
            </w:pPr>
            <w:r w:rsidRPr="00373722">
              <w:t>-</w:t>
            </w:r>
          </w:p>
        </w:tc>
      </w:tr>
      <w:tr w:rsidR="00373722" w:rsidRPr="00373722" w:rsidTr="00D82436">
        <w:trPr>
          <w:tblCellSpacing w:w="0" w:type="dxa"/>
        </w:trPr>
        <w:tc>
          <w:tcPr>
            <w:tcW w:w="2939" w:type="dxa"/>
            <w:vMerge/>
            <w:tcBorders>
              <w:top w:val="single" w:sz="4" w:space="0" w:color="auto"/>
              <w:left w:val="single" w:sz="4" w:space="0" w:color="auto"/>
              <w:bottom w:val="single" w:sz="4" w:space="0" w:color="auto"/>
              <w:right w:val="single" w:sz="4" w:space="0" w:color="auto"/>
            </w:tcBorders>
            <w:vAlign w:val="center"/>
          </w:tcPr>
          <w:p w:rsidR="00373722" w:rsidRPr="00373722" w:rsidRDefault="00373722" w:rsidP="00373722">
            <w:pPr>
              <w:ind w:firstLine="127"/>
              <w:jc w:val="both"/>
            </w:pPr>
          </w:p>
        </w:tc>
        <w:tc>
          <w:tcPr>
            <w:tcW w:w="0" w:type="auto"/>
            <w:vMerge/>
            <w:tcBorders>
              <w:top w:val="single" w:sz="4" w:space="0" w:color="auto"/>
              <w:left w:val="single" w:sz="4" w:space="0" w:color="auto"/>
              <w:bottom w:val="single" w:sz="4" w:space="0" w:color="auto"/>
              <w:right w:val="single" w:sz="4" w:space="0" w:color="auto"/>
            </w:tcBorders>
            <w:vAlign w:val="center"/>
          </w:tcPr>
          <w:p w:rsidR="00373722" w:rsidRPr="00373722" w:rsidRDefault="00373722" w:rsidP="00373722">
            <w:pPr>
              <w:ind w:firstLine="720"/>
              <w:jc w:val="both"/>
            </w:pPr>
          </w:p>
        </w:tc>
        <w:tc>
          <w:tcPr>
            <w:tcW w:w="1298" w:type="dxa"/>
            <w:tcBorders>
              <w:top w:val="single" w:sz="4" w:space="0" w:color="auto"/>
              <w:left w:val="single" w:sz="4" w:space="0" w:color="auto"/>
              <w:bottom w:val="single" w:sz="4" w:space="0" w:color="auto"/>
              <w:right w:val="single" w:sz="4" w:space="0" w:color="auto"/>
            </w:tcBorders>
          </w:tcPr>
          <w:p w:rsidR="00373722" w:rsidRPr="00373722" w:rsidRDefault="00373722" w:rsidP="00373722">
            <w:pPr>
              <w:ind w:firstLine="720"/>
              <w:jc w:val="both"/>
            </w:pPr>
            <w:r w:rsidRPr="00373722">
              <w:t>0</w:t>
            </w:r>
          </w:p>
        </w:tc>
        <w:tc>
          <w:tcPr>
            <w:tcW w:w="1272" w:type="dxa"/>
            <w:tcBorders>
              <w:top w:val="single" w:sz="4" w:space="0" w:color="auto"/>
              <w:left w:val="single" w:sz="4" w:space="0" w:color="auto"/>
              <w:bottom w:val="single" w:sz="4" w:space="0" w:color="auto"/>
              <w:right w:val="single" w:sz="4" w:space="0" w:color="auto"/>
            </w:tcBorders>
          </w:tcPr>
          <w:p w:rsidR="00373722" w:rsidRPr="00373722" w:rsidRDefault="00373722" w:rsidP="00373722">
            <w:pPr>
              <w:ind w:firstLine="720"/>
              <w:jc w:val="both"/>
            </w:pPr>
            <w:r w:rsidRPr="00373722">
              <w:t>-</w:t>
            </w:r>
          </w:p>
        </w:tc>
        <w:tc>
          <w:tcPr>
            <w:tcW w:w="1276" w:type="dxa"/>
            <w:tcBorders>
              <w:top w:val="single" w:sz="4" w:space="0" w:color="auto"/>
              <w:left w:val="single" w:sz="4" w:space="0" w:color="auto"/>
              <w:bottom w:val="single" w:sz="4" w:space="0" w:color="auto"/>
              <w:right w:val="single" w:sz="4" w:space="0" w:color="auto"/>
            </w:tcBorders>
          </w:tcPr>
          <w:p w:rsidR="00373722" w:rsidRPr="00373722" w:rsidRDefault="00373722" w:rsidP="00373722">
            <w:pPr>
              <w:ind w:firstLine="720"/>
              <w:jc w:val="both"/>
            </w:pPr>
            <w:r w:rsidRPr="00373722">
              <w:t>-</w:t>
            </w:r>
          </w:p>
        </w:tc>
        <w:tc>
          <w:tcPr>
            <w:tcW w:w="1505" w:type="dxa"/>
            <w:tcBorders>
              <w:top w:val="single" w:sz="4" w:space="0" w:color="auto"/>
              <w:left w:val="single" w:sz="4" w:space="0" w:color="auto"/>
              <w:bottom w:val="single" w:sz="4" w:space="0" w:color="auto"/>
              <w:right w:val="single" w:sz="4" w:space="0" w:color="auto"/>
            </w:tcBorders>
          </w:tcPr>
          <w:p w:rsidR="00373722" w:rsidRPr="00373722" w:rsidRDefault="00373722" w:rsidP="00373722">
            <w:pPr>
              <w:ind w:firstLine="720"/>
              <w:jc w:val="both"/>
            </w:pPr>
            <w:r w:rsidRPr="00373722">
              <w:t>-</w:t>
            </w:r>
          </w:p>
        </w:tc>
      </w:tr>
      <w:tr w:rsidR="00373722" w:rsidRPr="00373722" w:rsidTr="00AB0695">
        <w:trPr>
          <w:tblCellSpacing w:w="0" w:type="dxa"/>
        </w:trPr>
        <w:tc>
          <w:tcPr>
            <w:tcW w:w="2939" w:type="dxa"/>
          </w:tcPr>
          <w:p w:rsidR="00373722" w:rsidRPr="00373722" w:rsidRDefault="00373722" w:rsidP="00373722">
            <w:pPr>
              <w:ind w:firstLine="127"/>
              <w:jc w:val="both"/>
            </w:pPr>
            <w:r w:rsidRPr="00373722">
              <w:t> 5. Precizēta finansiālā ietekme:</w:t>
            </w:r>
          </w:p>
        </w:tc>
        <w:tc>
          <w:tcPr>
            <w:tcW w:w="1350" w:type="dxa"/>
            <w:vMerge w:val="restart"/>
          </w:tcPr>
          <w:p w:rsidR="00373722" w:rsidRPr="00373722" w:rsidRDefault="00373722" w:rsidP="00373722">
            <w:pPr>
              <w:ind w:firstLine="720"/>
              <w:jc w:val="both"/>
            </w:pPr>
            <w:r w:rsidRPr="00373722">
              <w:t> X</w:t>
            </w:r>
          </w:p>
        </w:tc>
        <w:tc>
          <w:tcPr>
            <w:tcW w:w="1298" w:type="dxa"/>
          </w:tcPr>
          <w:p w:rsidR="00373722" w:rsidRPr="00373722" w:rsidRDefault="00373722" w:rsidP="00373722">
            <w:pPr>
              <w:ind w:firstLine="720"/>
              <w:jc w:val="both"/>
            </w:pPr>
            <w:r w:rsidRPr="00373722">
              <w:t>0</w:t>
            </w:r>
          </w:p>
        </w:tc>
        <w:tc>
          <w:tcPr>
            <w:tcW w:w="1272" w:type="dxa"/>
          </w:tcPr>
          <w:p w:rsidR="00373722" w:rsidRPr="00373722" w:rsidRDefault="00373722" w:rsidP="00373722">
            <w:pPr>
              <w:ind w:firstLine="720"/>
              <w:jc w:val="both"/>
            </w:pPr>
            <w:r w:rsidRPr="00373722">
              <w:t>-</w:t>
            </w:r>
          </w:p>
        </w:tc>
        <w:tc>
          <w:tcPr>
            <w:tcW w:w="1276" w:type="dxa"/>
          </w:tcPr>
          <w:p w:rsidR="00373722" w:rsidRPr="00373722" w:rsidRDefault="00373722" w:rsidP="00373722">
            <w:pPr>
              <w:ind w:firstLine="720"/>
              <w:jc w:val="both"/>
            </w:pPr>
            <w:r w:rsidRPr="00373722">
              <w:t>-</w:t>
            </w:r>
          </w:p>
        </w:tc>
        <w:tc>
          <w:tcPr>
            <w:tcW w:w="1505" w:type="dxa"/>
          </w:tcPr>
          <w:p w:rsidR="00373722" w:rsidRPr="00373722" w:rsidRDefault="00373722" w:rsidP="00373722">
            <w:pPr>
              <w:ind w:firstLine="720"/>
              <w:jc w:val="both"/>
            </w:pPr>
            <w:r w:rsidRPr="00373722">
              <w:t>-</w:t>
            </w:r>
          </w:p>
        </w:tc>
      </w:tr>
      <w:tr w:rsidR="00373722" w:rsidRPr="00373722" w:rsidTr="00AB0695">
        <w:trPr>
          <w:tblCellSpacing w:w="0" w:type="dxa"/>
        </w:trPr>
        <w:tc>
          <w:tcPr>
            <w:tcW w:w="2939" w:type="dxa"/>
          </w:tcPr>
          <w:p w:rsidR="00373722" w:rsidRPr="00373722" w:rsidRDefault="00373722" w:rsidP="00373722">
            <w:pPr>
              <w:ind w:firstLine="127"/>
              <w:jc w:val="both"/>
            </w:pPr>
            <w:r w:rsidRPr="00373722">
              <w:t> 5.1. valsts pamatbudžets</w:t>
            </w:r>
          </w:p>
        </w:tc>
        <w:tc>
          <w:tcPr>
            <w:tcW w:w="0" w:type="auto"/>
            <w:vMerge/>
            <w:vAlign w:val="center"/>
          </w:tcPr>
          <w:p w:rsidR="00373722" w:rsidRPr="00373722" w:rsidRDefault="00373722" w:rsidP="00373722">
            <w:pPr>
              <w:ind w:firstLine="720"/>
              <w:jc w:val="both"/>
            </w:pPr>
          </w:p>
        </w:tc>
        <w:tc>
          <w:tcPr>
            <w:tcW w:w="1298" w:type="dxa"/>
          </w:tcPr>
          <w:p w:rsidR="00373722" w:rsidRPr="00373722" w:rsidRDefault="00373722" w:rsidP="00373722">
            <w:pPr>
              <w:ind w:firstLine="720"/>
              <w:jc w:val="both"/>
            </w:pPr>
            <w:r w:rsidRPr="00373722">
              <w:t>0</w:t>
            </w:r>
          </w:p>
        </w:tc>
        <w:tc>
          <w:tcPr>
            <w:tcW w:w="1272" w:type="dxa"/>
          </w:tcPr>
          <w:p w:rsidR="00373722" w:rsidRPr="00373722" w:rsidRDefault="00373722" w:rsidP="00373722">
            <w:pPr>
              <w:ind w:firstLine="720"/>
              <w:jc w:val="both"/>
            </w:pPr>
            <w:r w:rsidRPr="00373722">
              <w:t>-</w:t>
            </w:r>
          </w:p>
        </w:tc>
        <w:tc>
          <w:tcPr>
            <w:tcW w:w="1276" w:type="dxa"/>
          </w:tcPr>
          <w:p w:rsidR="00373722" w:rsidRPr="00373722" w:rsidRDefault="00373722" w:rsidP="00373722">
            <w:pPr>
              <w:ind w:firstLine="720"/>
              <w:jc w:val="both"/>
            </w:pPr>
            <w:r w:rsidRPr="00373722">
              <w:t>-</w:t>
            </w:r>
          </w:p>
        </w:tc>
        <w:tc>
          <w:tcPr>
            <w:tcW w:w="1505" w:type="dxa"/>
          </w:tcPr>
          <w:p w:rsidR="00373722" w:rsidRPr="00373722" w:rsidRDefault="00373722" w:rsidP="00373722">
            <w:pPr>
              <w:ind w:firstLine="720"/>
              <w:jc w:val="both"/>
            </w:pPr>
            <w:r w:rsidRPr="00373722">
              <w:t>-</w:t>
            </w:r>
          </w:p>
        </w:tc>
      </w:tr>
      <w:tr w:rsidR="00373722" w:rsidRPr="00373722" w:rsidTr="00AB0695">
        <w:trPr>
          <w:tblCellSpacing w:w="0" w:type="dxa"/>
        </w:trPr>
        <w:tc>
          <w:tcPr>
            <w:tcW w:w="2939" w:type="dxa"/>
          </w:tcPr>
          <w:p w:rsidR="00373722" w:rsidRPr="00373722" w:rsidRDefault="00373722" w:rsidP="00373722">
            <w:pPr>
              <w:ind w:firstLine="127"/>
              <w:jc w:val="both"/>
            </w:pPr>
            <w:r w:rsidRPr="00373722">
              <w:t> 5.2. speciālais budžets</w:t>
            </w:r>
          </w:p>
        </w:tc>
        <w:tc>
          <w:tcPr>
            <w:tcW w:w="0" w:type="auto"/>
            <w:vMerge/>
            <w:vAlign w:val="center"/>
          </w:tcPr>
          <w:p w:rsidR="00373722" w:rsidRPr="00373722" w:rsidRDefault="00373722" w:rsidP="00373722">
            <w:pPr>
              <w:ind w:firstLine="720"/>
              <w:jc w:val="both"/>
            </w:pPr>
          </w:p>
        </w:tc>
        <w:tc>
          <w:tcPr>
            <w:tcW w:w="1298" w:type="dxa"/>
          </w:tcPr>
          <w:p w:rsidR="00373722" w:rsidRPr="00373722" w:rsidRDefault="00373722" w:rsidP="00373722">
            <w:pPr>
              <w:ind w:firstLine="720"/>
              <w:jc w:val="both"/>
            </w:pPr>
            <w:r w:rsidRPr="00373722">
              <w:t>0</w:t>
            </w:r>
          </w:p>
        </w:tc>
        <w:tc>
          <w:tcPr>
            <w:tcW w:w="1272" w:type="dxa"/>
          </w:tcPr>
          <w:p w:rsidR="00373722" w:rsidRPr="00373722" w:rsidRDefault="00373722" w:rsidP="00373722">
            <w:pPr>
              <w:ind w:firstLine="720"/>
              <w:jc w:val="both"/>
            </w:pPr>
            <w:r w:rsidRPr="00373722">
              <w:t>-</w:t>
            </w:r>
          </w:p>
        </w:tc>
        <w:tc>
          <w:tcPr>
            <w:tcW w:w="1276" w:type="dxa"/>
          </w:tcPr>
          <w:p w:rsidR="00373722" w:rsidRPr="00373722" w:rsidRDefault="00373722" w:rsidP="00373722">
            <w:pPr>
              <w:ind w:firstLine="720"/>
              <w:jc w:val="both"/>
            </w:pPr>
            <w:r w:rsidRPr="00373722">
              <w:t>-</w:t>
            </w:r>
          </w:p>
        </w:tc>
        <w:tc>
          <w:tcPr>
            <w:tcW w:w="1505" w:type="dxa"/>
          </w:tcPr>
          <w:p w:rsidR="00373722" w:rsidRPr="00373722" w:rsidRDefault="00373722" w:rsidP="00373722">
            <w:pPr>
              <w:ind w:firstLine="720"/>
              <w:jc w:val="both"/>
            </w:pPr>
            <w:r w:rsidRPr="00373722">
              <w:t>-</w:t>
            </w:r>
          </w:p>
        </w:tc>
      </w:tr>
      <w:tr w:rsidR="00373722" w:rsidRPr="00373722" w:rsidTr="00AB0695">
        <w:trPr>
          <w:tblCellSpacing w:w="0" w:type="dxa"/>
        </w:trPr>
        <w:tc>
          <w:tcPr>
            <w:tcW w:w="2939" w:type="dxa"/>
          </w:tcPr>
          <w:p w:rsidR="00373722" w:rsidRPr="00373722" w:rsidRDefault="00373722" w:rsidP="00373722">
            <w:pPr>
              <w:ind w:firstLine="127"/>
              <w:jc w:val="both"/>
            </w:pPr>
            <w:r w:rsidRPr="00373722">
              <w:t> 5.3. pašvaldību budžets</w:t>
            </w:r>
          </w:p>
        </w:tc>
        <w:tc>
          <w:tcPr>
            <w:tcW w:w="0" w:type="auto"/>
            <w:vMerge/>
            <w:vAlign w:val="center"/>
          </w:tcPr>
          <w:p w:rsidR="00373722" w:rsidRPr="00373722" w:rsidRDefault="00373722" w:rsidP="00373722">
            <w:pPr>
              <w:ind w:firstLine="720"/>
              <w:jc w:val="both"/>
            </w:pPr>
          </w:p>
        </w:tc>
        <w:tc>
          <w:tcPr>
            <w:tcW w:w="1298" w:type="dxa"/>
          </w:tcPr>
          <w:p w:rsidR="00373722" w:rsidRPr="00373722" w:rsidRDefault="00373722" w:rsidP="00373722">
            <w:pPr>
              <w:ind w:firstLine="720"/>
              <w:jc w:val="both"/>
            </w:pPr>
            <w:r w:rsidRPr="00373722">
              <w:t>0</w:t>
            </w:r>
          </w:p>
        </w:tc>
        <w:tc>
          <w:tcPr>
            <w:tcW w:w="1272" w:type="dxa"/>
          </w:tcPr>
          <w:p w:rsidR="00373722" w:rsidRPr="00373722" w:rsidRDefault="00373722" w:rsidP="00373722">
            <w:pPr>
              <w:ind w:firstLine="720"/>
              <w:jc w:val="both"/>
            </w:pPr>
            <w:r w:rsidRPr="00373722">
              <w:t>-</w:t>
            </w:r>
          </w:p>
        </w:tc>
        <w:tc>
          <w:tcPr>
            <w:tcW w:w="1276" w:type="dxa"/>
          </w:tcPr>
          <w:p w:rsidR="00373722" w:rsidRPr="00373722" w:rsidRDefault="00373722" w:rsidP="00373722">
            <w:pPr>
              <w:ind w:firstLine="720"/>
              <w:jc w:val="both"/>
            </w:pPr>
            <w:r w:rsidRPr="00373722">
              <w:t>-</w:t>
            </w:r>
          </w:p>
        </w:tc>
        <w:tc>
          <w:tcPr>
            <w:tcW w:w="1505" w:type="dxa"/>
          </w:tcPr>
          <w:p w:rsidR="00373722" w:rsidRPr="00373722" w:rsidRDefault="00373722" w:rsidP="00373722">
            <w:pPr>
              <w:ind w:firstLine="720"/>
              <w:jc w:val="both"/>
            </w:pPr>
            <w:r w:rsidRPr="00373722">
              <w:t>-</w:t>
            </w:r>
          </w:p>
        </w:tc>
      </w:tr>
      <w:tr w:rsidR="00373722" w:rsidRPr="00373722" w:rsidTr="00AB0695">
        <w:trPr>
          <w:tblCellSpacing w:w="0" w:type="dxa"/>
        </w:trPr>
        <w:tc>
          <w:tcPr>
            <w:tcW w:w="2939" w:type="dxa"/>
          </w:tcPr>
          <w:p w:rsidR="00373722" w:rsidRPr="00373722" w:rsidRDefault="00373722" w:rsidP="00373722">
            <w:pPr>
              <w:ind w:firstLine="127"/>
              <w:jc w:val="both"/>
            </w:pPr>
            <w:r w:rsidRPr="00373722">
              <w:t> 6. Detalizēts ieņēmumu un izdevu</w:t>
            </w:r>
            <w:r w:rsidRPr="00373722">
              <w:softHyphen/>
              <w:t>mu aprēķins (ja nepieciešams, detalizētu ieņēmumu un izdevumu aprēķinu var pievienot anotācijas pielikumā):</w:t>
            </w:r>
          </w:p>
        </w:tc>
        <w:tc>
          <w:tcPr>
            <w:tcW w:w="6701" w:type="dxa"/>
            <w:gridSpan w:val="5"/>
            <w:vMerge w:val="restart"/>
            <w:vAlign w:val="center"/>
          </w:tcPr>
          <w:p w:rsidR="00373722" w:rsidRPr="00373722" w:rsidRDefault="00373722" w:rsidP="00373722">
            <w:pPr>
              <w:ind w:firstLine="720"/>
              <w:jc w:val="both"/>
            </w:pPr>
            <w:r w:rsidRPr="00373722">
              <w:t>  Nav attiecināms</w:t>
            </w:r>
          </w:p>
        </w:tc>
      </w:tr>
      <w:tr w:rsidR="00373722" w:rsidRPr="00373722" w:rsidTr="00AB0695">
        <w:trPr>
          <w:tblCellSpacing w:w="0" w:type="dxa"/>
        </w:trPr>
        <w:tc>
          <w:tcPr>
            <w:tcW w:w="2939" w:type="dxa"/>
          </w:tcPr>
          <w:p w:rsidR="00373722" w:rsidRPr="00373722" w:rsidRDefault="00373722" w:rsidP="00373722">
            <w:pPr>
              <w:ind w:firstLine="127"/>
              <w:jc w:val="both"/>
            </w:pPr>
            <w:r w:rsidRPr="00373722">
              <w:t> 6.1. detalizēts ieņēmumu aprēķins</w:t>
            </w:r>
          </w:p>
        </w:tc>
        <w:tc>
          <w:tcPr>
            <w:tcW w:w="6701" w:type="dxa"/>
            <w:gridSpan w:val="5"/>
            <w:vMerge/>
            <w:vAlign w:val="center"/>
          </w:tcPr>
          <w:p w:rsidR="00373722" w:rsidRPr="00373722" w:rsidRDefault="00373722" w:rsidP="00373722">
            <w:pPr>
              <w:ind w:firstLine="720"/>
              <w:jc w:val="both"/>
            </w:pPr>
          </w:p>
        </w:tc>
      </w:tr>
      <w:tr w:rsidR="00373722" w:rsidRPr="00373722" w:rsidTr="00AB0695">
        <w:trPr>
          <w:tblCellSpacing w:w="0" w:type="dxa"/>
        </w:trPr>
        <w:tc>
          <w:tcPr>
            <w:tcW w:w="2939" w:type="dxa"/>
          </w:tcPr>
          <w:p w:rsidR="00373722" w:rsidRPr="00373722" w:rsidRDefault="00373722" w:rsidP="00373722">
            <w:pPr>
              <w:ind w:firstLine="127"/>
              <w:jc w:val="both"/>
            </w:pPr>
            <w:r w:rsidRPr="00373722">
              <w:t> 6.2. detalizēts izdevumu aprēķins</w:t>
            </w:r>
          </w:p>
        </w:tc>
        <w:tc>
          <w:tcPr>
            <w:tcW w:w="6701" w:type="dxa"/>
            <w:gridSpan w:val="5"/>
            <w:vMerge/>
            <w:vAlign w:val="center"/>
          </w:tcPr>
          <w:p w:rsidR="00373722" w:rsidRPr="00373722" w:rsidRDefault="00373722" w:rsidP="00373722">
            <w:pPr>
              <w:ind w:firstLine="720"/>
              <w:jc w:val="both"/>
            </w:pPr>
          </w:p>
        </w:tc>
      </w:tr>
      <w:tr w:rsidR="00373722" w:rsidRPr="00373722" w:rsidTr="00AB0695">
        <w:trPr>
          <w:tblCellSpacing w:w="0" w:type="dxa"/>
        </w:trPr>
        <w:tc>
          <w:tcPr>
            <w:tcW w:w="2939" w:type="dxa"/>
          </w:tcPr>
          <w:p w:rsidR="00373722" w:rsidRPr="00373722" w:rsidRDefault="00373722" w:rsidP="00373722">
            <w:pPr>
              <w:ind w:firstLine="127"/>
              <w:jc w:val="both"/>
            </w:pPr>
            <w:r w:rsidRPr="00373722">
              <w:t> 7. Cita informācija</w:t>
            </w:r>
          </w:p>
        </w:tc>
        <w:tc>
          <w:tcPr>
            <w:tcW w:w="6701" w:type="dxa"/>
            <w:gridSpan w:val="5"/>
          </w:tcPr>
          <w:p w:rsidR="00373722" w:rsidRPr="00373722" w:rsidRDefault="00373722" w:rsidP="00373722">
            <w:pPr>
              <w:ind w:firstLine="720"/>
              <w:jc w:val="both"/>
            </w:pPr>
            <w:r w:rsidRPr="00373722">
              <w:t> Nav</w:t>
            </w:r>
          </w:p>
        </w:tc>
      </w:tr>
    </w:tbl>
    <w:p w:rsidR="00BC0D18" w:rsidRPr="00977652" w:rsidRDefault="00BC0D18" w:rsidP="00C31E36">
      <w:pPr>
        <w:ind w:firstLine="720"/>
        <w:jc w:val="both"/>
      </w:pPr>
    </w:p>
    <w:tbl>
      <w:tblPr>
        <w:tblW w:w="9640" w:type="dxa"/>
        <w:tblInd w:w="-254"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426"/>
        <w:gridCol w:w="3998"/>
        <w:gridCol w:w="5216"/>
      </w:tblGrid>
      <w:tr w:rsidR="00BC0D18" w:rsidRPr="00977652" w:rsidTr="00BC0D18">
        <w:tc>
          <w:tcPr>
            <w:tcW w:w="9640" w:type="dxa"/>
            <w:gridSpan w:val="3"/>
            <w:tcBorders>
              <w:top w:val="outset" w:sz="6" w:space="0" w:color="000000"/>
              <w:left w:val="outset" w:sz="6" w:space="0" w:color="000000"/>
              <w:bottom w:val="outset" w:sz="6" w:space="0" w:color="000000"/>
              <w:right w:val="outset" w:sz="6" w:space="0" w:color="000000"/>
            </w:tcBorders>
          </w:tcPr>
          <w:p w:rsidR="00BC0D18" w:rsidRPr="00977652" w:rsidRDefault="00BC0D18" w:rsidP="00BC0D18">
            <w:pPr>
              <w:jc w:val="center"/>
              <w:rPr>
                <w:b/>
                <w:bCs/>
              </w:rPr>
            </w:pPr>
            <w:r w:rsidRPr="00977652">
              <w:rPr>
                <w:b/>
                <w:bCs/>
              </w:rPr>
              <w:t>VII. Tiesību akta projekta izpildes nodrošināšana un tās ietekme uz institūcijām</w:t>
            </w:r>
          </w:p>
        </w:tc>
      </w:tr>
      <w:tr w:rsidR="00BC0D18" w:rsidRPr="00977652" w:rsidTr="00BC0D18">
        <w:tc>
          <w:tcPr>
            <w:tcW w:w="426" w:type="dxa"/>
            <w:tcBorders>
              <w:top w:val="outset" w:sz="6" w:space="0" w:color="000000"/>
              <w:left w:val="outset" w:sz="6" w:space="0" w:color="000000"/>
              <w:bottom w:val="outset" w:sz="6" w:space="0" w:color="000000"/>
              <w:right w:val="outset" w:sz="6" w:space="0" w:color="000000"/>
            </w:tcBorders>
          </w:tcPr>
          <w:p w:rsidR="00BC0D18" w:rsidRPr="00977652" w:rsidRDefault="00BC0D18" w:rsidP="00BC0D18">
            <w:r w:rsidRPr="00977652">
              <w:t>1.</w:t>
            </w:r>
          </w:p>
        </w:tc>
        <w:tc>
          <w:tcPr>
            <w:tcW w:w="3998" w:type="dxa"/>
            <w:tcBorders>
              <w:top w:val="outset" w:sz="6" w:space="0" w:color="000000"/>
              <w:left w:val="outset" w:sz="6" w:space="0" w:color="000000"/>
              <w:bottom w:val="outset" w:sz="6" w:space="0" w:color="000000"/>
              <w:right w:val="outset" w:sz="6" w:space="0" w:color="000000"/>
            </w:tcBorders>
          </w:tcPr>
          <w:p w:rsidR="00BC0D18" w:rsidRPr="00977652" w:rsidRDefault="00BC0D18" w:rsidP="00BC0D18">
            <w:r w:rsidRPr="00977652">
              <w:t>Projekta izpildē iesaistītās institūcijas</w:t>
            </w:r>
          </w:p>
        </w:tc>
        <w:tc>
          <w:tcPr>
            <w:tcW w:w="5216" w:type="dxa"/>
            <w:tcBorders>
              <w:top w:val="outset" w:sz="6" w:space="0" w:color="000000"/>
              <w:left w:val="outset" w:sz="6" w:space="0" w:color="000000"/>
              <w:bottom w:val="outset" w:sz="6" w:space="0" w:color="000000"/>
              <w:right w:val="outset" w:sz="6" w:space="0" w:color="000000"/>
            </w:tcBorders>
          </w:tcPr>
          <w:p w:rsidR="00BC0D18" w:rsidRPr="00977652" w:rsidRDefault="00BC0D18" w:rsidP="00BC0D18">
            <w:pPr>
              <w:ind w:right="-109"/>
            </w:pPr>
            <w:r w:rsidRPr="00977652">
              <w:t xml:space="preserve">Projekta izpildi nodrošinās </w:t>
            </w:r>
            <w:r w:rsidR="0069646D">
              <w:t xml:space="preserve">Satiksmes ministrija un </w:t>
            </w:r>
            <w:r w:rsidRPr="00977652">
              <w:t>valsts akciju sabiedrība „Latvijas gaisa satiksme”.</w:t>
            </w:r>
          </w:p>
        </w:tc>
      </w:tr>
      <w:tr w:rsidR="00BC0D18" w:rsidRPr="00977652" w:rsidTr="00BC0D18">
        <w:tc>
          <w:tcPr>
            <w:tcW w:w="426" w:type="dxa"/>
            <w:tcBorders>
              <w:top w:val="outset" w:sz="6" w:space="0" w:color="000000"/>
              <w:left w:val="outset" w:sz="6" w:space="0" w:color="000000"/>
              <w:bottom w:val="outset" w:sz="6" w:space="0" w:color="000000"/>
              <w:right w:val="outset" w:sz="6" w:space="0" w:color="000000"/>
            </w:tcBorders>
          </w:tcPr>
          <w:p w:rsidR="00BC0D18" w:rsidRPr="00977652" w:rsidRDefault="00BC0D18" w:rsidP="00BC0D18">
            <w:r w:rsidRPr="00977652">
              <w:t>2.</w:t>
            </w:r>
          </w:p>
        </w:tc>
        <w:tc>
          <w:tcPr>
            <w:tcW w:w="3998" w:type="dxa"/>
            <w:tcBorders>
              <w:top w:val="outset" w:sz="6" w:space="0" w:color="000000"/>
              <w:left w:val="outset" w:sz="6" w:space="0" w:color="000000"/>
              <w:bottom w:val="outset" w:sz="6" w:space="0" w:color="000000"/>
              <w:right w:val="outset" w:sz="6" w:space="0" w:color="000000"/>
            </w:tcBorders>
          </w:tcPr>
          <w:p w:rsidR="00BC0D18" w:rsidRPr="00977652" w:rsidRDefault="00BC0D18" w:rsidP="00BC0D18">
            <w:r w:rsidRPr="00977652">
              <w:t xml:space="preserve">Projekta izpildes ietekme uz pārvaldes funkcijām un institucionālo struktūru. </w:t>
            </w:r>
          </w:p>
          <w:p w:rsidR="00BC0D18" w:rsidRPr="00977652" w:rsidRDefault="00BC0D18" w:rsidP="00BC0D18">
            <w:r w:rsidRPr="00977652">
              <w:t>Jaunu institūciju izveide, esošu institūciju likvidācija vai reorganizācija, to ietekme uz institūcijas cilvēkresursiem</w:t>
            </w:r>
          </w:p>
        </w:tc>
        <w:tc>
          <w:tcPr>
            <w:tcW w:w="5216" w:type="dxa"/>
            <w:tcBorders>
              <w:top w:val="outset" w:sz="6" w:space="0" w:color="000000"/>
              <w:left w:val="outset" w:sz="6" w:space="0" w:color="000000"/>
              <w:bottom w:val="outset" w:sz="6" w:space="0" w:color="000000"/>
              <w:right w:val="outset" w:sz="6" w:space="0" w:color="000000"/>
            </w:tcBorders>
          </w:tcPr>
          <w:p w:rsidR="00BC0D18" w:rsidRPr="00977652" w:rsidRDefault="00BC0D18" w:rsidP="00BC0D18">
            <w:r w:rsidRPr="00977652">
              <w:t>Projekts šo jomu neskar</w:t>
            </w:r>
          </w:p>
        </w:tc>
      </w:tr>
      <w:tr w:rsidR="00BC0D18" w:rsidRPr="00977652" w:rsidTr="00BC0D18">
        <w:tc>
          <w:tcPr>
            <w:tcW w:w="426" w:type="dxa"/>
            <w:tcBorders>
              <w:top w:val="outset" w:sz="6" w:space="0" w:color="000000"/>
              <w:left w:val="outset" w:sz="6" w:space="0" w:color="000000"/>
              <w:bottom w:val="outset" w:sz="6" w:space="0" w:color="000000"/>
              <w:right w:val="outset" w:sz="6" w:space="0" w:color="000000"/>
            </w:tcBorders>
          </w:tcPr>
          <w:p w:rsidR="00BC0D18" w:rsidRPr="00977652" w:rsidRDefault="00BC0D18" w:rsidP="00BC0D18">
            <w:r w:rsidRPr="00977652">
              <w:t>3.</w:t>
            </w:r>
          </w:p>
        </w:tc>
        <w:tc>
          <w:tcPr>
            <w:tcW w:w="3998" w:type="dxa"/>
            <w:tcBorders>
              <w:top w:val="outset" w:sz="6" w:space="0" w:color="000000"/>
              <w:left w:val="outset" w:sz="6" w:space="0" w:color="000000"/>
              <w:bottom w:val="outset" w:sz="6" w:space="0" w:color="000000"/>
              <w:right w:val="outset" w:sz="6" w:space="0" w:color="000000"/>
            </w:tcBorders>
          </w:tcPr>
          <w:p w:rsidR="00BC0D18" w:rsidRPr="00977652" w:rsidRDefault="00BC0D18" w:rsidP="00BC0D18">
            <w:r w:rsidRPr="00977652">
              <w:t>Cita informācija</w:t>
            </w:r>
          </w:p>
        </w:tc>
        <w:tc>
          <w:tcPr>
            <w:tcW w:w="5216" w:type="dxa"/>
            <w:tcBorders>
              <w:top w:val="outset" w:sz="6" w:space="0" w:color="000000"/>
              <w:left w:val="outset" w:sz="6" w:space="0" w:color="000000"/>
              <w:bottom w:val="outset" w:sz="6" w:space="0" w:color="000000"/>
              <w:right w:val="outset" w:sz="6" w:space="0" w:color="000000"/>
            </w:tcBorders>
          </w:tcPr>
          <w:p w:rsidR="00BC0D18" w:rsidRPr="00977652" w:rsidRDefault="00BC0D18" w:rsidP="00BC0D18">
            <w:r w:rsidRPr="00977652">
              <w:t>Nav</w:t>
            </w:r>
          </w:p>
        </w:tc>
      </w:tr>
    </w:tbl>
    <w:p w:rsidR="00214094" w:rsidRPr="00977652" w:rsidRDefault="00214094" w:rsidP="006C4607">
      <w:pPr>
        <w:pStyle w:val="naisf"/>
        <w:tabs>
          <w:tab w:val="left" w:pos="5760"/>
        </w:tabs>
        <w:spacing w:before="0" w:after="0"/>
        <w:ind w:firstLine="720"/>
        <w:rPr>
          <w:sz w:val="26"/>
          <w:szCs w:val="26"/>
        </w:rPr>
      </w:pPr>
    </w:p>
    <w:p w:rsidR="00214094" w:rsidRPr="00977652" w:rsidRDefault="00345EC4" w:rsidP="006C4607">
      <w:pPr>
        <w:pStyle w:val="naisf"/>
        <w:tabs>
          <w:tab w:val="left" w:pos="5760"/>
        </w:tabs>
        <w:spacing w:before="0" w:after="0"/>
        <w:ind w:firstLine="720"/>
        <w:rPr>
          <w:i/>
        </w:rPr>
      </w:pPr>
      <w:r w:rsidRPr="00977652">
        <w:rPr>
          <w:i/>
        </w:rPr>
        <w:t xml:space="preserve">Anotācijas </w:t>
      </w:r>
      <w:r w:rsidR="00AA37FB">
        <w:rPr>
          <w:i/>
        </w:rPr>
        <w:t xml:space="preserve">II., </w:t>
      </w:r>
      <w:r w:rsidR="00BC0D18" w:rsidRPr="00977652">
        <w:rPr>
          <w:i/>
        </w:rPr>
        <w:t>IV., V.</w:t>
      </w:r>
      <w:r w:rsidRPr="00977652">
        <w:rPr>
          <w:i/>
        </w:rPr>
        <w:t xml:space="preserve"> un</w:t>
      </w:r>
      <w:r w:rsidR="00BC0D18" w:rsidRPr="00977652">
        <w:rPr>
          <w:i/>
        </w:rPr>
        <w:t xml:space="preserve"> VI. </w:t>
      </w:r>
      <w:r w:rsidR="00434D2C" w:rsidRPr="00977652">
        <w:rPr>
          <w:i/>
        </w:rPr>
        <w:t>sadaļa – projekts šīs jomas neskar.</w:t>
      </w:r>
    </w:p>
    <w:p w:rsidR="00434D2C" w:rsidRPr="00977652" w:rsidRDefault="00434D2C" w:rsidP="00575BAD">
      <w:pPr>
        <w:pStyle w:val="naisf"/>
        <w:tabs>
          <w:tab w:val="left" w:pos="6804"/>
        </w:tabs>
      </w:pPr>
      <w:r w:rsidRPr="00977652">
        <w:t xml:space="preserve">Satiksmes ministrs </w:t>
      </w:r>
      <w:r w:rsidRPr="00977652">
        <w:tab/>
      </w:r>
      <w:r w:rsidRPr="00977652">
        <w:tab/>
        <w:t>A. Matīss</w:t>
      </w:r>
    </w:p>
    <w:p w:rsidR="00082943" w:rsidRPr="00977652" w:rsidRDefault="00082943" w:rsidP="001A4224">
      <w:pPr>
        <w:pStyle w:val="naisf"/>
        <w:tabs>
          <w:tab w:val="left" w:pos="6804"/>
        </w:tabs>
        <w:ind w:firstLine="0"/>
      </w:pPr>
    </w:p>
    <w:p w:rsidR="00AB0695" w:rsidRDefault="00CE3327" w:rsidP="0025686D">
      <w:pPr>
        <w:pStyle w:val="naisf"/>
        <w:tabs>
          <w:tab w:val="left" w:pos="6804"/>
        </w:tabs>
        <w:spacing w:before="0" w:after="0"/>
        <w:ind w:firstLine="0"/>
      </w:pPr>
      <w:r w:rsidRPr="00977652">
        <w:t>Vīza: Valsts sekretār</w:t>
      </w:r>
      <w:r w:rsidR="00AB0695">
        <w:t>a vietā–</w:t>
      </w:r>
    </w:p>
    <w:p w:rsidR="00AB0695" w:rsidRDefault="00AB0695" w:rsidP="0025686D">
      <w:pPr>
        <w:pStyle w:val="naisf"/>
        <w:tabs>
          <w:tab w:val="left" w:pos="6804"/>
        </w:tabs>
        <w:spacing w:before="0" w:after="0"/>
        <w:ind w:firstLine="0"/>
        <w:rPr>
          <w:color w:val="000000"/>
          <w:sz w:val="20"/>
          <w:szCs w:val="20"/>
        </w:rPr>
      </w:pPr>
      <w:r>
        <w:t>Valsts sekretāra vietniece</w:t>
      </w:r>
      <w:r>
        <w:tab/>
      </w:r>
      <w:r w:rsidR="00434D2C" w:rsidRPr="00977652">
        <w:tab/>
      </w:r>
      <w:proofErr w:type="spellStart"/>
      <w:r>
        <w:t>Dž.Innusa</w:t>
      </w:r>
      <w:proofErr w:type="spellEnd"/>
    </w:p>
    <w:p w:rsidR="0025686D" w:rsidRDefault="0025686D" w:rsidP="0025686D">
      <w:pPr>
        <w:jc w:val="both"/>
        <w:rPr>
          <w:color w:val="000000"/>
          <w:sz w:val="20"/>
          <w:szCs w:val="20"/>
        </w:rPr>
      </w:pPr>
    </w:p>
    <w:p w:rsidR="001E40C8" w:rsidRDefault="00D82436" w:rsidP="0025686D">
      <w:pPr>
        <w:jc w:val="both"/>
        <w:rPr>
          <w:color w:val="000000"/>
          <w:sz w:val="20"/>
          <w:szCs w:val="20"/>
        </w:rPr>
      </w:pPr>
      <w:r>
        <w:rPr>
          <w:color w:val="000000"/>
          <w:sz w:val="20"/>
          <w:szCs w:val="20"/>
        </w:rPr>
        <w:t>12</w:t>
      </w:r>
      <w:r w:rsidR="001E40C8">
        <w:rPr>
          <w:color w:val="000000"/>
          <w:sz w:val="20"/>
          <w:szCs w:val="20"/>
        </w:rPr>
        <w:t>.06.2014 10:</w:t>
      </w:r>
      <w:r>
        <w:rPr>
          <w:color w:val="000000"/>
          <w:sz w:val="20"/>
          <w:szCs w:val="20"/>
        </w:rPr>
        <w:t>56</w:t>
      </w:r>
    </w:p>
    <w:p w:rsidR="00AB0695" w:rsidRDefault="00AB0695" w:rsidP="0025686D">
      <w:pPr>
        <w:suppressAutoHyphens/>
        <w:jc w:val="both"/>
        <w:rPr>
          <w:color w:val="000000"/>
          <w:sz w:val="20"/>
          <w:szCs w:val="20"/>
        </w:rPr>
      </w:pPr>
      <w:r>
        <w:rPr>
          <w:color w:val="000000"/>
          <w:sz w:val="20"/>
          <w:szCs w:val="20"/>
        </w:rPr>
        <w:t>204</w:t>
      </w:r>
      <w:r w:rsidR="00D82436">
        <w:rPr>
          <w:color w:val="000000"/>
          <w:sz w:val="20"/>
          <w:szCs w:val="20"/>
        </w:rPr>
        <w:t>5</w:t>
      </w:r>
    </w:p>
    <w:p w:rsidR="00E06B61" w:rsidRPr="00E06B61" w:rsidRDefault="00E06B61" w:rsidP="0025686D">
      <w:pPr>
        <w:suppressAutoHyphens/>
        <w:jc w:val="both"/>
        <w:rPr>
          <w:color w:val="000000"/>
          <w:sz w:val="20"/>
          <w:szCs w:val="20"/>
        </w:rPr>
      </w:pPr>
      <w:r w:rsidRPr="00E06B61">
        <w:rPr>
          <w:color w:val="000000"/>
          <w:sz w:val="20"/>
          <w:szCs w:val="20"/>
        </w:rPr>
        <w:t>I.</w:t>
      </w:r>
      <w:r w:rsidR="00AB0695">
        <w:rPr>
          <w:color w:val="000000"/>
          <w:sz w:val="20"/>
          <w:szCs w:val="20"/>
        </w:rPr>
        <w:t>Strautmane</w:t>
      </w:r>
    </w:p>
    <w:p w:rsidR="009B136A" w:rsidRPr="001A4224" w:rsidRDefault="00E06B61" w:rsidP="00345EC4">
      <w:pPr>
        <w:suppressAutoHyphens/>
        <w:jc w:val="both"/>
        <w:rPr>
          <w:sz w:val="26"/>
          <w:szCs w:val="26"/>
        </w:rPr>
      </w:pPr>
      <w:r w:rsidRPr="00E06B61">
        <w:rPr>
          <w:color w:val="000000"/>
          <w:sz w:val="20"/>
          <w:szCs w:val="20"/>
        </w:rPr>
        <w:t>67028</w:t>
      </w:r>
      <w:r w:rsidR="00AB0695">
        <w:rPr>
          <w:color w:val="000000"/>
          <w:sz w:val="20"/>
          <w:szCs w:val="20"/>
        </w:rPr>
        <w:t>231</w:t>
      </w:r>
      <w:r w:rsidRPr="00E06B61">
        <w:rPr>
          <w:color w:val="000000"/>
          <w:sz w:val="20"/>
          <w:szCs w:val="20"/>
        </w:rPr>
        <w:t xml:space="preserve">; </w:t>
      </w:r>
      <w:r w:rsidR="00AB0695">
        <w:rPr>
          <w:color w:val="000000"/>
          <w:sz w:val="20"/>
          <w:szCs w:val="20"/>
        </w:rPr>
        <w:t>inguna</w:t>
      </w:r>
      <w:r w:rsidRPr="00E06B61">
        <w:rPr>
          <w:color w:val="000000"/>
          <w:sz w:val="20"/>
          <w:szCs w:val="20"/>
        </w:rPr>
        <w:t>.</w:t>
      </w:r>
      <w:r w:rsidR="00AB0695">
        <w:rPr>
          <w:color w:val="000000"/>
          <w:sz w:val="20"/>
          <w:szCs w:val="20"/>
        </w:rPr>
        <w:t>s</w:t>
      </w:r>
      <w:r w:rsidRPr="00E06B61">
        <w:rPr>
          <w:color w:val="000000"/>
          <w:sz w:val="20"/>
          <w:szCs w:val="20"/>
        </w:rPr>
        <w:t>traut</w:t>
      </w:r>
      <w:r w:rsidR="00AB0695">
        <w:rPr>
          <w:color w:val="000000"/>
          <w:sz w:val="20"/>
          <w:szCs w:val="20"/>
        </w:rPr>
        <w:t>mane</w:t>
      </w:r>
      <w:r w:rsidRPr="00E06B61">
        <w:rPr>
          <w:color w:val="000000"/>
          <w:sz w:val="20"/>
          <w:szCs w:val="20"/>
        </w:rPr>
        <w:t>@sam.gov.lv</w:t>
      </w:r>
    </w:p>
    <w:sectPr w:rsidR="009B136A" w:rsidRPr="001A4224" w:rsidSect="00C31E36">
      <w:headerReference w:type="even" r:id="rId9"/>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17A" w:rsidRDefault="0083717A">
      <w:r>
        <w:separator/>
      </w:r>
    </w:p>
  </w:endnote>
  <w:endnote w:type="continuationSeparator" w:id="0">
    <w:p w:rsidR="0083717A" w:rsidRDefault="0083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D18" w:rsidRPr="001F6097" w:rsidRDefault="001F6097" w:rsidP="001F6097">
    <w:pPr>
      <w:pStyle w:val="Footer"/>
      <w:jc w:val="both"/>
    </w:pPr>
    <w:r w:rsidRPr="001F6097">
      <w:rPr>
        <w:sz w:val="20"/>
        <w:szCs w:val="20"/>
      </w:rPr>
      <w:t>SAManot_</w:t>
    </w:r>
    <w:r w:rsidR="00B00126">
      <w:rPr>
        <w:sz w:val="20"/>
        <w:szCs w:val="20"/>
      </w:rPr>
      <w:t>12</w:t>
    </w:r>
    <w:r w:rsidR="001E40C8">
      <w:rPr>
        <w:sz w:val="20"/>
        <w:szCs w:val="20"/>
      </w:rPr>
      <w:t>06</w:t>
    </w:r>
    <w:r w:rsidRPr="001F6097">
      <w:rPr>
        <w:sz w:val="20"/>
        <w:szCs w:val="20"/>
      </w:rPr>
      <w:t>201</w:t>
    </w:r>
    <w:r>
      <w:rPr>
        <w:sz w:val="20"/>
        <w:szCs w:val="20"/>
      </w:rPr>
      <w:t>4</w:t>
    </w:r>
    <w:r w:rsidRPr="001F6097">
      <w:rPr>
        <w:sz w:val="20"/>
        <w:szCs w:val="20"/>
      </w:rPr>
      <w:t>_LGSdivid.doc; Ministru kabineta rīkojuma projekta „Par valstij dividendēs izmaksājamo valsts akciju sabiedrības „Latvijas gaisa satiksme” peļņas daļu”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D18" w:rsidRPr="001F6097" w:rsidRDefault="001F6097" w:rsidP="001F6097">
    <w:pPr>
      <w:pStyle w:val="Footer"/>
      <w:jc w:val="both"/>
    </w:pPr>
    <w:r w:rsidRPr="001F6097">
      <w:rPr>
        <w:sz w:val="20"/>
        <w:szCs w:val="20"/>
      </w:rPr>
      <w:t>SAManot_</w:t>
    </w:r>
    <w:r w:rsidR="00B00126">
      <w:rPr>
        <w:sz w:val="20"/>
        <w:szCs w:val="20"/>
      </w:rPr>
      <w:t>12</w:t>
    </w:r>
    <w:r w:rsidR="00D94C13">
      <w:rPr>
        <w:sz w:val="20"/>
        <w:szCs w:val="20"/>
      </w:rPr>
      <w:t>06</w:t>
    </w:r>
    <w:r>
      <w:rPr>
        <w:sz w:val="20"/>
        <w:szCs w:val="20"/>
      </w:rPr>
      <w:t>2014</w:t>
    </w:r>
    <w:r w:rsidRPr="001F6097">
      <w:rPr>
        <w:sz w:val="20"/>
        <w:szCs w:val="20"/>
      </w:rPr>
      <w:t>_LGSdivid.doc; Ministru kabineta rīkojuma projekta „Par valstij dividendēs izmaksājamo valsts akciju sabiedrības „Latvijas gaisa satiksme” peļņas daļu”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17A" w:rsidRDefault="0083717A">
      <w:r>
        <w:separator/>
      </w:r>
    </w:p>
  </w:footnote>
  <w:footnote w:type="continuationSeparator" w:id="0">
    <w:p w:rsidR="0083717A" w:rsidRDefault="00837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D18" w:rsidRDefault="00BC0D18"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0D18" w:rsidRDefault="00BC0D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D18" w:rsidRDefault="00BC0D18"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2800">
      <w:rPr>
        <w:rStyle w:val="PageNumber"/>
        <w:noProof/>
      </w:rPr>
      <w:t>6</w:t>
    </w:r>
    <w:r>
      <w:rPr>
        <w:rStyle w:val="PageNumber"/>
      </w:rPr>
      <w:fldChar w:fldCharType="end"/>
    </w:r>
  </w:p>
  <w:p w:rsidR="00BC0D18" w:rsidRDefault="00BC0D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8C47919"/>
    <w:multiLevelType w:val="multilevel"/>
    <w:tmpl w:val="2E24666E"/>
    <w:lvl w:ilvl="0">
      <w:start w:val="1"/>
      <w:numFmt w:val="decimal"/>
      <w:lvlText w:val="%1."/>
      <w:lvlJc w:val="left"/>
      <w:pPr>
        <w:ind w:left="420" w:hanging="420"/>
      </w:pPr>
      <w:rPr>
        <w:rFonts w:hint="default"/>
      </w:rPr>
    </w:lvl>
    <w:lvl w:ilvl="1">
      <w:start w:val="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4">
    <w:nsid w:val="73537738"/>
    <w:multiLevelType w:val="hybridMultilevel"/>
    <w:tmpl w:val="ECE0F2D4"/>
    <w:lvl w:ilvl="0" w:tplc="2F78565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11D24"/>
    <w:rsid w:val="00013FF4"/>
    <w:rsid w:val="00016023"/>
    <w:rsid w:val="00017838"/>
    <w:rsid w:val="00017A60"/>
    <w:rsid w:val="00020FE1"/>
    <w:rsid w:val="0002247C"/>
    <w:rsid w:val="00022E13"/>
    <w:rsid w:val="00026DC7"/>
    <w:rsid w:val="000307CB"/>
    <w:rsid w:val="00032388"/>
    <w:rsid w:val="00035CE2"/>
    <w:rsid w:val="0004024A"/>
    <w:rsid w:val="00041114"/>
    <w:rsid w:val="000444FF"/>
    <w:rsid w:val="00045307"/>
    <w:rsid w:val="0005553B"/>
    <w:rsid w:val="000604D2"/>
    <w:rsid w:val="000606E6"/>
    <w:rsid w:val="00082943"/>
    <w:rsid w:val="0009005E"/>
    <w:rsid w:val="00091E50"/>
    <w:rsid w:val="0009397C"/>
    <w:rsid w:val="000941C5"/>
    <w:rsid w:val="000948C1"/>
    <w:rsid w:val="000A21F2"/>
    <w:rsid w:val="000A6451"/>
    <w:rsid w:val="000B064E"/>
    <w:rsid w:val="000B0FDE"/>
    <w:rsid w:val="000B69CF"/>
    <w:rsid w:val="000C09AA"/>
    <w:rsid w:val="000C790C"/>
    <w:rsid w:val="000C7F30"/>
    <w:rsid w:val="000D2987"/>
    <w:rsid w:val="000E5542"/>
    <w:rsid w:val="000E6966"/>
    <w:rsid w:val="000F00E7"/>
    <w:rsid w:val="000F061D"/>
    <w:rsid w:val="000F4794"/>
    <w:rsid w:val="000F4D64"/>
    <w:rsid w:val="00124F12"/>
    <w:rsid w:val="00140E3D"/>
    <w:rsid w:val="00144E3A"/>
    <w:rsid w:val="0015060C"/>
    <w:rsid w:val="0016018A"/>
    <w:rsid w:val="00161F0E"/>
    <w:rsid w:val="001632CD"/>
    <w:rsid w:val="001633CA"/>
    <w:rsid w:val="00164FC9"/>
    <w:rsid w:val="00170E2A"/>
    <w:rsid w:val="00174192"/>
    <w:rsid w:val="001750CD"/>
    <w:rsid w:val="00177394"/>
    <w:rsid w:val="00182C18"/>
    <w:rsid w:val="00183CC2"/>
    <w:rsid w:val="001900E4"/>
    <w:rsid w:val="00190F88"/>
    <w:rsid w:val="00195FDE"/>
    <w:rsid w:val="001A4066"/>
    <w:rsid w:val="001A4224"/>
    <w:rsid w:val="001A6AE4"/>
    <w:rsid w:val="001B01FD"/>
    <w:rsid w:val="001B4A71"/>
    <w:rsid w:val="001D2800"/>
    <w:rsid w:val="001D5B54"/>
    <w:rsid w:val="001E1DBF"/>
    <w:rsid w:val="001E40C8"/>
    <w:rsid w:val="001E4639"/>
    <w:rsid w:val="001E4A7D"/>
    <w:rsid w:val="001E5FFE"/>
    <w:rsid w:val="001F4209"/>
    <w:rsid w:val="001F4268"/>
    <w:rsid w:val="001F43A8"/>
    <w:rsid w:val="001F5CD6"/>
    <w:rsid w:val="001F6097"/>
    <w:rsid w:val="00202683"/>
    <w:rsid w:val="00203F04"/>
    <w:rsid w:val="0021263D"/>
    <w:rsid w:val="00212D72"/>
    <w:rsid w:val="00213F0C"/>
    <w:rsid w:val="00214094"/>
    <w:rsid w:val="0021592D"/>
    <w:rsid w:val="00216DC5"/>
    <w:rsid w:val="00222968"/>
    <w:rsid w:val="00222D76"/>
    <w:rsid w:val="00223EB1"/>
    <w:rsid w:val="00231344"/>
    <w:rsid w:val="0023436E"/>
    <w:rsid w:val="002347C0"/>
    <w:rsid w:val="00234BCE"/>
    <w:rsid w:val="002414A1"/>
    <w:rsid w:val="00241A6C"/>
    <w:rsid w:val="00242D2B"/>
    <w:rsid w:val="00250FF2"/>
    <w:rsid w:val="0025686D"/>
    <w:rsid w:val="00262E2B"/>
    <w:rsid w:val="00263676"/>
    <w:rsid w:val="00265BC8"/>
    <w:rsid w:val="0026692F"/>
    <w:rsid w:val="00270429"/>
    <w:rsid w:val="002723E9"/>
    <w:rsid w:val="00273E6F"/>
    <w:rsid w:val="00275389"/>
    <w:rsid w:val="00277929"/>
    <w:rsid w:val="002834C3"/>
    <w:rsid w:val="00283B82"/>
    <w:rsid w:val="002846E9"/>
    <w:rsid w:val="00284C34"/>
    <w:rsid w:val="002904B8"/>
    <w:rsid w:val="0029066C"/>
    <w:rsid w:val="002A1E7F"/>
    <w:rsid w:val="002B50DB"/>
    <w:rsid w:val="002C12AB"/>
    <w:rsid w:val="002C7CAC"/>
    <w:rsid w:val="002D3306"/>
    <w:rsid w:val="002D35B0"/>
    <w:rsid w:val="002D48AA"/>
    <w:rsid w:val="002D7BAA"/>
    <w:rsid w:val="002D7F54"/>
    <w:rsid w:val="002E2256"/>
    <w:rsid w:val="002E3FF4"/>
    <w:rsid w:val="002F4BC5"/>
    <w:rsid w:val="002F5A14"/>
    <w:rsid w:val="002F78C8"/>
    <w:rsid w:val="00301CF3"/>
    <w:rsid w:val="00304A38"/>
    <w:rsid w:val="003058E7"/>
    <w:rsid w:val="0032715C"/>
    <w:rsid w:val="00333D3A"/>
    <w:rsid w:val="00335FA8"/>
    <w:rsid w:val="00337CA5"/>
    <w:rsid w:val="00343889"/>
    <w:rsid w:val="003454F0"/>
    <w:rsid w:val="00345EC4"/>
    <w:rsid w:val="00352A84"/>
    <w:rsid w:val="00352DC8"/>
    <w:rsid w:val="003601B4"/>
    <w:rsid w:val="00362478"/>
    <w:rsid w:val="00373722"/>
    <w:rsid w:val="00375B25"/>
    <w:rsid w:val="0038132C"/>
    <w:rsid w:val="00382626"/>
    <w:rsid w:val="00385EF7"/>
    <w:rsid w:val="00395EDA"/>
    <w:rsid w:val="00396542"/>
    <w:rsid w:val="0039685B"/>
    <w:rsid w:val="003A31A6"/>
    <w:rsid w:val="003A7F0C"/>
    <w:rsid w:val="003A7F79"/>
    <w:rsid w:val="003B3C7E"/>
    <w:rsid w:val="003B55E3"/>
    <w:rsid w:val="003B6404"/>
    <w:rsid w:val="003C449B"/>
    <w:rsid w:val="003C4A73"/>
    <w:rsid w:val="003D21FF"/>
    <w:rsid w:val="003D45DD"/>
    <w:rsid w:val="003D67FF"/>
    <w:rsid w:val="003D7A55"/>
    <w:rsid w:val="003F0112"/>
    <w:rsid w:val="003F071A"/>
    <w:rsid w:val="003F160B"/>
    <w:rsid w:val="003F3D36"/>
    <w:rsid w:val="00400032"/>
    <w:rsid w:val="00400B5B"/>
    <w:rsid w:val="00401ED8"/>
    <w:rsid w:val="00405A00"/>
    <w:rsid w:val="0041131D"/>
    <w:rsid w:val="004121AC"/>
    <w:rsid w:val="00420870"/>
    <w:rsid w:val="00423530"/>
    <w:rsid w:val="0042524B"/>
    <w:rsid w:val="00432D0C"/>
    <w:rsid w:val="00433765"/>
    <w:rsid w:val="0043384E"/>
    <w:rsid w:val="00434D2C"/>
    <w:rsid w:val="0043791B"/>
    <w:rsid w:val="00441483"/>
    <w:rsid w:val="00441BCB"/>
    <w:rsid w:val="0045176A"/>
    <w:rsid w:val="00456332"/>
    <w:rsid w:val="00461826"/>
    <w:rsid w:val="00463B37"/>
    <w:rsid w:val="00471306"/>
    <w:rsid w:val="00477673"/>
    <w:rsid w:val="004800F9"/>
    <w:rsid w:val="00482C51"/>
    <w:rsid w:val="004833E3"/>
    <w:rsid w:val="004836DC"/>
    <w:rsid w:val="00485B39"/>
    <w:rsid w:val="00485E86"/>
    <w:rsid w:val="0049134A"/>
    <w:rsid w:val="00492513"/>
    <w:rsid w:val="004948C2"/>
    <w:rsid w:val="004A58CB"/>
    <w:rsid w:val="004B1795"/>
    <w:rsid w:val="004B56DD"/>
    <w:rsid w:val="004C020F"/>
    <w:rsid w:val="004C1AFD"/>
    <w:rsid w:val="004C558B"/>
    <w:rsid w:val="004F1F88"/>
    <w:rsid w:val="004F2FC0"/>
    <w:rsid w:val="004F5F1B"/>
    <w:rsid w:val="00502374"/>
    <w:rsid w:val="005060A1"/>
    <w:rsid w:val="00516072"/>
    <w:rsid w:val="00520392"/>
    <w:rsid w:val="00525790"/>
    <w:rsid w:val="005332EC"/>
    <w:rsid w:val="00534418"/>
    <w:rsid w:val="005353AB"/>
    <w:rsid w:val="00543834"/>
    <w:rsid w:val="005560BC"/>
    <w:rsid w:val="005573BE"/>
    <w:rsid w:val="00572700"/>
    <w:rsid w:val="0057373F"/>
    <w:rsid w:val="00573C2F"/>
    <w:rsid w:val="005748CD"/>
    <w:rsid w:val="00575BAD"/>
    <w:rsid w:val="00580468"/>
    <w:rsid w:val="00582231"/>
    <w:rsid w:val="0058603B"/>
    <w:rsid w:val="0059431B"/>
    <w:rsid w:val="005A00AF"/>
    <w:rsid w:val="005A0A87"/>
    <w:rsid w:val="005A0B71"/>
    <w:rsid w:val="005A39CC"/>
    <w:rsid w:val="005B0285"/>
    <w:rsid w:val="005B3DC0"/>
    <w:rsid w:val="005B4730"/>
    <w:rsid w:val="005B4CBC"/>
    <w:rsid w:val="005C03BA"/>
    <w:rsid w:val="005C6E9E"/>
    <w:rsid w:val="005E05D7"/>
    <w:rsid w:val="005E1EF8"/>
    <w:rsid w:val="005E41E7"/>
    <w:rsid w:val="005E450F"/>
    <w:rsid w:val="005E4550"/>
    <w:rsid w:val="005F6050"/>
    <w:rsid w:val="00612AA1"/>
    <w:rsid w:val="006145A9"/>
    <w:rsid w:val="0062298A"/>
    <w:rsid w:val="00626514"/>
    <w:rsid w:val="00626589"/>
    <w:rsid w:val="006339A0"/>
    <w:rsid w:val="00635864"/>
    <w:rsid w:val="006413A8"/>
    <w:rsid w:val="00642E56"/>
    <w:rsid w:val="00643811"/>
    <w:rsid w:val="00646232"/>
    <w:rsid w:val="00651E00"/>
    <w:rsid w:val="00662F53"/>
    <w:rsid w:val="00666705"/>
    <w:rsid w:val="006715B1"/>
    <w:rsid w:val="00674572"/>
    <w:rsid w:val="00674E93"/>
    <w:rsid w:val="006805E1"/>
    <w:rsid w:val="0068364E"/>
    <w:rsid w:val="00687763"/>
    <w:rsid w:val="00692B0D"/>
    <w:rsid w:val="00693680"/>
    <w:rsid w:val="00693E0E"/>
    <w:rsid w:val="0069646D"/>
    <w:rsid w:val="00697164"/>
    <w:rsid w:val="006A1AE3"/>
    <w:rsid w:val="006A560B"/>
    <w:rsid w:val="006B0D20"/>
    <w:rsid w:val="006C30E1"/>
    <w:rsid w:val="006C327B"/>
    <w:rsid w:val="006C4607"/>
    <w:rsid w:val="006C7877"/>
    <w:rsid w:val="006D1F39"/>
    <w:rsid w:val="006D48F1"/>
    <w:rsid w:val="006E128A"/>
    <w:rsid w:val="006F12C1"/>
    <w:rsid w:val="006F2690"/>
    <w:rsid w:val="006F45BE"/>
    <w:rsid w:val="007004FC"/>
    <w:rsid w:val="00705B77"/>
    <w:rsid w:val="00706670"/>
    <w:rsid w:val="00711AC5"/>
    <w:rsid w:val="00711F59"/>
    <w:rsid w:val="00720DBD"/>
    <w:rsid w:val="0072417C"/>
    <w:rsid w:val="00734450"/>
    <w:rsid w:val="007362E3"/>
    <w:rsid w:val="00740B24"/>
    <w:rsid w:val="007458AA"/>
    <w:rsid w:val="00745F67"/>
    <w:rsid w:val="007463F2"/>
    <w:rsid w:val="0075039E"/>
    <w:rsid w:val="00752D9D"/>
    <w:rsid w:val="00754784"/>
    <w:rsid w:val="00754DCF"/>
    <w:rsid w:val="007556ED"/>
    <w:rsid w:val="00757C6E"/>
    <w:rsid w:val="00762A59"/>
    <w:rsid w:val="00762BDA"/>
    <w:rsid w:val="00762C99"/>
    <w:rsid w:val="00764D46"/>
    <w:rsid w:val="007805FD"/>
    <w:rsid w:val="00780925"/>
    <w:rsid w:val="00784422"/>
    <w:rsid w:val="007957F9"/>
    <w:rsid w:val="007A758A"/>
    <w:rsid w:val="007B3B54"/>
    <w:rsid w:val="007B3FA0"/>
    <w:rsid w:val="007B4465"/>
    <w:rsid w:val="007C07AE"/>
    <w:rsid w:val="007C0F2C"/>
    <w:rsid w:val="007C2BCC"/>
    <w:rsid w:val="007C4EF0"/>
    <w:rsid w:val="007D099D"/>
    <w:rsid w:val="007D5633"/>
    <w:rsid w:val="007D5BA2"/>
    <w:rsid w:val="007E2664"/>
    <w:rsid w:val="007E3ABF"/>
    <w:rsid w:val="007E571B"/>
    <w:rsid w:val="007E5BFA"/>
    <w:rsid w:val="007E6689"/>
    <w:rsid w:val="007E731C"/>
    <w:rsid w:val="007E795A"/>
    <w:rsid w:val="007F0843"/>
    <w:rsid w:val="007F0A03"/>
    <w:rsid w:val="00810040"/>
    <w:rsid w:val="00811689"/>
    <w:rsid w:val="00811BCA"/>
    <w:rsid w:val="008134C0"/>
    <w:rsid w:val="008152B3"/>
    <w:rsid w:val="0082023A"/>
    <w:rsid w:val="00821A7A"/>
    <w:rsid w:val="008253F8"/>
    <w:rsid w:val="008325E4"/>
    <w:rsid w:val="00832A2B"/>
    <w:rsid w:val="0083717A"/>
    <w:rsid w:val="00841DFD"/>
    <w:rsid w:val="00845811"/>
    <w:rsid w:val="00845E2A"/>
    <w:rsid w:val="00846994"/>
    <w:rsid w:val="008503D1"/>
    <w:rsid w:val="00850451"/>
    <w:rsid w:val="00851E99"/>
    <w:rsid w:val="00852042"/>
    <w:rsid w:val="008534C9"/>
    <w:rsid w:val="0085599D"/>
    <w:rsid w:val="00862549"/>
    <w:rsid w:val="00870F0E"/>
    <w:rsid w:val="0087510C"/>
    <w:rsid w:val="00891D04"/>
    <w:rsid w:val="00895957"/>
    <w:rsid w:val="008965C1"/>
    <w:rsid w:val="008968D2"/>
    <w:rsid w:val="0089738E"/>
    <w:rsid w:val="008A1CD9"/>
    <w:rsid w:val="008B5337"/>
    <w:rsid w:val="008B5FDB"/>
    <w:rsid w:val="008B6364"/>
    <w:rsid w:val="008B6502"/>
    <w:rsid w:val="008B6DB3"/>
    <w:rsid w:val="008C1E59"/>
    <w:rsid w:val="008C50F4"/>
    <w:rsid w:val="008C5649"/>
    <w:rsid w:val="008D54EA"/>
    <w:rsid w:val="008D5E11"/>
    <w:rsid w:val="008E44A2"/>
    <w:rsid w:val="008E697D"/>
    <w:rsid w:val="008F03C5"/>
    <w:rsid w:val="008F0DA6"/>
    <w:rsid w:val="008F35A5"/>
    <w:rsid w:val="008F4237"/>
    <w:rsid w:val="008F7CC1"/>
    <w:rsid w:val="00901F25"/>
    <w:rsid w:val="00903263"/>
    <w:rsid w:val="0090525E"/>
    <w:rsid w:val="00906A21"/>
    <w:rsid w:val="009079C3"/>
    <w:rsid w:val="00910462"/>
    <w:rsid w:val="00915AB1"/>
    <w:rsid w:val="00917532"/>
    <w:rsid w:val="009235BA"/>
    <w:rsid w:val="00924023"/>
    <w:rsid w:val="00924CE2"/>
    <w:rsid w:val="00925B9F"/>
    <w:rsid w:val="00931AED"/>
    <w:rsid w:val="009476A3"/>
    <w:rsid w:val="00953215"/>
    <w:rsid w:val="0095334F"/>
    <w:rsid w:val="009544CA"/>
    <w:rsid w:val="00965897"/>
    <w:rsid w:val="0096765C"/>
    <w:rsid w:val="009727E4"/>
    <w:rsid w:val="00977652"/>
    <w:rsid w:val="009840A2"/>
    <w:rsid w:val="009934C5"/>
    <w:rsid w:val="00993FE6"/>
    <w:rsid w:val="0099448A"/>
    <w:rsid w:val="00994C0F"/>
    <w:rsid w:val="009A0D1E"/>
    <w:rsid w:val="009A0E9B"/>
    <w:rsid w:val="009B136A"/>
    <w:rsid w:val="009B22D7"/>
    <w:rsid w:val="009B72ED"/>
    <w:rsid w:val="009C50C7"/>
    <w:rsid w:val="009C6DEB"/>
    <w:rsid w:val="009D6504"/>
    <w:rsid w:val="009E12D7"/>
    <w:rsid w:val="009E4E3E"/>
    <w:rsid w:val="009E661A"/>
    <w:rsid w:val="009F4467"/>
    <w:rsid w:val="009F52C9"/>
    <w:rsid w:val="009F6B84"/>
    <w:rsid w:val="009F7E6C"/>
    <w:rsid w:val="00A05DA7"/>
    <w:rsid w:val="00A06781"/>
    <w:rsid w:val="00A074C3"/>
    <w:rsid w:val="00A1509C"/>
    <w:rsid w:val="00A21773"/>
    <w:rsid w:val="00A23C71"/>
    <w:rsid w:val="00A249B9"/>
    <w:rsid w:val="00A34260"/>
    <w:rsid w:val="00A3435D"/>
    <w:rsid w:val="00A43129"/>
    <w:rsid w:val="00A54A2D"/>
    <w:rsid w:val="00A650D8"/>
    <w:rsid w:val="00A70CFD"/>
    <w:rsid w:val="00A72A0B"/>
    <w:rsid w:val="00A81E42"/>
    <w:rsid w:val="00A864FE"/>
    <w:rsid w:val="00A86F41"/>
    <w:rsid w:val="00A87D04"/>
    <w:rsid w:val="00A950C5"/>
    <w:rsid w:val="00AA1D25"/>
    <w:rsid w:val="00AA1E7B"/>
    <w:rsid w:val="00AA37FB"/>
    <w:rsid w:val="00AA3FA1"/>
    <w:rsid w:val="00AB0695"/>
    <w:rsid w:val="00AB2B1A"/>
    <w:rsid w:val="00AB397F"/>
    <w:rsid w:val="00AB5832"/>
    <w:rsid w:val="00AB66C4"/>
    <w:rsid w:val="00AC02DE"/>
    <w:rsid w:val="00AC51F2"/>
    <w:rsid w:val="00AD3269"/>
    <w:rsid w:val="00AE1E13"/>
    <w:rsid w:val="00AE5066"/>
    <w:rsid w:val="00AE5E24"/>
    <w:rsid w:val="00AE61B7"/>
    <w:rsid w:val="00AE6CBA"/>
    <w:rsid w:val="00AE79AD"/>
    <w:rsid w:val="00AF35E4"/>
    <w:rsid w:val="00AF5CDE"/>
    <w:rsid w:val="00B00126"/>
    <w:rsid w:val="00B04C8D"/>
    <w:rsid w:val="00B06674"/>
    <w:rsid w:val="00B11A57"/>
    <w:rsid w:val="00B12534"/>
    <w:rsid w:val="00B13CC1"/>
    <w:rsid w:val="00B14966"/>
    <w:rsid w:val="00B171BF"/>
    <w:rsid w:val="00B211C3"/>
    <w:rsid w:val="00B25597"/>
    <w:rsid w:val="00B25A7B"/>
    <w:rsid w:val="00B267B9"/>
    <w:rsid w:val="00B3071C"/>
    <w:rsid w:val="00B33E09"/>
    <w:rsid w:val="00B50708"/>
    <w:rsid w:val="00B50C68"/>
    <w:rsid w:val="00B51293"/>
    <w:rsid w:val="00B52B1E"/>
    <w:rsid w:val="00B55481"/>
    <w:rsid w:val="00B56C32"/>
    <w:rsid w:val="00B57ACF"/>
    <w:rsid w:val="00B64BB1"/>
    <w:rsid w:val="00B73166"/>
    <w:rsid w:val="00B75A48"/>
    <w:rsid w:val="00B771B1"/>
    <w:rsid w:val="00B8426C"/>
    <w:rsid w:val="00B8574B"/>
    <w:rsid w:val="00B91B8D"/>
    <w:rsid w:val="00B92DF5"/>
    <w:rsid w:val="00B94E90"/>
    <w:rsid w:val="00B97A24"/>
    <w:rsid w:val="00BA5BD7"/>
    <w:rsid w:val="00BB0A82"/>
    <w:rsid w:val="00BB7C94"/>
    <w:rsid w:val="00BC0A9D"/>
    <w:rsid w:val="00BC0D18"/>
    <w:rsid w:val="00BD5A22"/>
    <w:rsid w:val="00BE4D16"/>
    <w:rsid w:val="00BF40ED"/>
    <w:rsid w:val="00BF5BC2"/>
    <w:rsid w:val="00BF68DD"/>
    <w:rsid w:val="00C1133D"/>
    <w:rsid w:val="00C11CB3"/>
    <w:rsid w:val="00C1281B"/>
    <w:rsid w:val="00C254EF"/>
    <w:rsid w:val="00C2643E"/>
    <w:rsid w:val="00C27A08"/>
    <w:rsid w:val="00C27E1B"/>
    <w:rsid w:val="00C31312"/>
    <w:rsid w:val="00C31E36"/>
    <w:rsid w:val="00C326C6"/>
    <w:rsid w:val="00C35295"/>
    <w:rsid w:val="00C36ADD"/>
    <w:rsid w:val="00C36E74"/>
    <w:rsid w:val="00C40595"/>
    <w:rsid w:val="00C41621"/>
    <w:rsid w:val="00C42E6D"/>
    <w:rsid w:val="00C42FEA"/>
    <w:rsid w:val="00C449FA"/>
    <w:rsid w:val="00C46106"/>
    <w:rsid w:val="00C5384F"/>
    <w:rsid w:val="00C56964"/>
    <w:rsid w:val="00C577CB"/>
    <w:rsid w:val="00C578D4"/>
    <w:rsid w:val="00C656D5"/>
    <w:rsid w:val="00C67103"/>
    <w:rsid w:val="00C71BB9"/>
    <w:rsid w:val="00C71EF6"/>
    <w:rsid w:val="00C7254B"/>
    <w:rsid w:val="00C74708"/>
    <w:rsid w:val="00C83324"/>
    <w:rsid w:val="00C90304"/>
    <w:rsid w:val="00C917A1"/>
    <w:rsid w:val="00C94C28"/>
    <w:rsid w:val="00C94CE4"/>
    <w:rsid w:val="00C95FF2"/>
    <w:rsid w:val="00C96670"/>
    <w:rsid w:val="00C96681"/>
    <w:rsid w:val="00CB0247"/>
    <w:rsid w:val="00CB3440"/>
    <w:rsid w:val="00CB3466"/>
    <w:rsid w:val="00CC1692"/>
    <w:rsid w:val="00CC6D13"/>
    <w:rsid w:val="00CD138B"/>
    <w:rsid w:val="00CD3E31"/>
    <w:rsid w:val="00CD3E6A"/>
    <w:rsid w:val="00CD49FD"/>
    <w:rsid w:val="00CD74A3"/>
    <w:rsid w:val="00CD7518"/>
    <w:rsid w:val="00CE0527"/>
    <w:rsid w:val="00CE3327"/>
    <w:rsid w:val="00CE5B23"/>
    <w:rsid w:val="00CF211D"/>
    <w:rsid w:val="00CF70AD"/>
    <w:rsid w:val="00CF7729"/>
    <w:rsid w:val="00D00059"/>
    <w:rsid w:val="00D107FA"/>
    <w:rsid w:val="00D12275"/>
    <w:rsid w:val="00D12766"/>
    <w:rsid w:val="00D12B1B"/>
    <w:rsid w:val="00D1323C"/>
    <w:rsid w:val="00D20FF4"/>
    <w:rsid w:val="00D24D2C"/>
    <w:rsid w:val="00D35881"/>
    <w:rsid w:val="00D35B08"/>
    <w:rsid w:val="00D40BAB"/>
    <w:rsid w:val="00D42776"/>
    <w:rsid w:val="00D42DFA"/>
    <w:rsid w:val="00D43055"/>
    <w:rsid w:val="00D508C2"/>
    <w:rsid w:val="00D64098"/>
    <w:rsid w:val="00D71948"/>
    <w:rsid w:val="00D82436"/>
    <w:rsid w:val="00D84DDF"/>
    <w:rsid w:val="00D86B35"/>
    <w:rsid w:val="00D91372"/>
    <w:rsid w:val="00D94C13"/>
    <w:rsid w:val="00DA7DA5"/>
    <w:rsid w:val="00DB073B"/>
    <w:rsid w:val="00DB78F0"/>
    <w:rsid w:val="00DC0CEA"/>
    <w:rsid w:val="00DC2E43"/>
    <w:rsid w:val="00DD095C"/>
    <w:rsid w:val="00DD1020"/>
    <w:rsid w:val="00DD1330"/>
    <w:rsid w:val="00DE0B83"/>
    <w:rsid w:val="00DE1A81"/>
    <w:rsid w:val="00DE1C13"/>
    <w:rsid w:val="00DE3CFC"/>
    <w:rsid w:val="00DE4E10"/>
    <w:rsid w:val="00DE589E"/>
    <w:rsid w:val="00DF1796"/>
    <w:rsid w:val="00E02ABF"/>
    <w:rsid w:val="00E04553"/>
    <w:rsid w:val="00E06B61"/>
    <w:rsid w:val="00E14995"/>
    <w:rsid w:val="00E14F77"/>
    <w:rsid w:val="00E179CD"/>
    <w:rsid w:val="00E21E87"/>
    <w:rsid w:val="00E23E8D"/>
    <w:rsid w:val="00E32FA5"/>
    <w:rsid w:val="00E37F98"/>
    <w:rsid w:val="00E46559"/>
    <w:rsid w:val="00E53D0B"/>
    <w:rsid w:val="00E5403A"/>
    <w:rsid w:val="00E54547"/>
    <w:rsid w:val="00E658E3"/>
    <w:rsid w:val="00E6670C"/>
    <w:rsid w:val="00E67A52"/>
    <w:rsid w:val="00E76F0A"/>
    <w:rsid w:val="00E776E8"/>
    <w:rsid w:val="00E80A49"/>
    <w:rsid w:val="00E842D0"/>
    <w:rsid w:val="00E92C1F"/>
    <w:rsid w:val="00E9400E"/>
    <w:rsid w:val="00E95D4B"/>
    <w:rsid w:val="00E97C47"/>
    <w:rsid w:val="00EB199F"/>
    <w:rsid w:val="00EC23F7"/>
    <w:rsid w:val="00EC4BD8"/>
    <w:rsid w:val="00EC63EB"/>
    <w:rsid w:val="00EC7029"/>
    <w:rsid w:val="00ED06FA"/>
    <w:rsid w:val="00ED33B7"/>
    <w:rsid w:val="00ED412F"/>
    <w:rsid w:val="00EE0EF6"/>
    <w:rsid w:val="00EF3102"/>
    <w:rsid w:val="00EF36B2"/>
    <w:rsid w:val="00EF76E8"/>
    <w:rsid w:val="00F1087A"/>
    <w:rsid w:val="00F1246B"/>
    <w:rsid w:val="00F16871"/>
    <w:rsid w:val="00F201EC"/>
    <w:rsid w:val="00F208A9"/>
    <w:rsid w:val="00F213ED"/>
    <w:rsid w:val="00F26B0C"/>
    <w:rsid w:val="00F41D75"/>
    <w:rsid w:val="00F5139D"/>
    <w:rsid w:val="00F63DAC"/>
    <w:rsid w:val="00F729F0"/>
    <w:rsid w:val="00F7454F"/>
    <w:rsid w:val="00F77988"/>
    <w:rsid w:val="00F77F48"/>
    <w:rsid w:val="00F803BA"/>
    <w:rsid w:val="00F94C42"/>
    <w:rsid w:val="00FA1076"/>
    <w:rsid w:val="00FB30F1"/>
    <w:rsid w:val="00FB5208"/>
    <w:rsid w:val="00FB53E7"/>
    <w:rsid w:val="00FC1689"/>
    <w:rsid w:val="00FC2EC1"/>
    <w:rsid w:val="00FD077B"/>
    <w:rsid w:val="00FD2A8A"/>
    <w:rsid w:val="00FD6380"/>
    <w:rsid w:val="00FE6E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table" w:styleId="LightShading-Accent1">
    <w:name w:val="Light Shading Accent 1"/>
    <w:basedOn w:val="TableNormal"/>
    <w:uiPriority w:val="60"/>
    <w:rsid w:val="0099448A"/>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odyText">
    <w:name w:val="Body Text"/>
    <w:basedOn w:val="Normal"/>
    <w:link w:val="BodyTextChar"/>
    <w:rsid w:val="009B136A"/>
    <w:pPr>
      <w:jc w:val="center"/>
    </w:pPr>
    <w:rPr>
      <w:b/>
      <w:sz w:val="28"/>
      <w:szCs w:val="20"/>
      <w:lang w:eastAsia="en-US"/>
    </w:rPr>
  </w:style>
  <w:style w:type="character" w:customStyle="1" w:styleId="BodyTextChar">
    <w:name w:val="Body Text Char"/>
    <w:link w:val="BodyText"/>
    <w:rsid w:val="009B136A"/>
    <w:rPr>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table" w:styleId="LightShading-Accent1">
    <w:name w:val="Light Shading Accent 1"/>
    <w:basedOn w:val="TableNormal"/>
    <w:uiPriority w:val="60"/>
    <w:rsid w:val="0099448A"/>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odyText">
    <w:name w:val="Body Text"/>
    <w:basedOn w:val="Normal"/>
    <w:link w:val="BodyTextChar"/>
    <w:rsid w:val="009B136A"/>
    <w:pPr>
      <w:jc w:val="center"/>
    </w:pPr>
    <w:rPr>
      <w:b/>
      <w:sz w:val="28"/>
      <w:szCs w:val="20"/>
      <w:lang w:eastAsia="en-US"/>
    </w:rPr>
  </w:style>
  <w:style w:type="character" w:customStyle="1" w:styleId="BodyTextChar">
    <w:name w:val="Body Text Char"/>
    <w:link w:val="BodyText"/>
    <w:rsid w:val="009B136A"/>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3038">
      <w:bodyDiv w:val="1"/>
      <w:marLeft w:val="0"/>
      <w:marRight w:val="0"/>
      <w:marTop w:val="0"/>
      <w:marBottom w:val="0"/>
      <w:divBdr>
        <w:top w:val="none" w:sz="0" w:space="0" w:color="auto"/>
        <w:left w:val="none" w:sz="0" w:space="0" w:color="auto"/>
        <w:bottom w:val="none" w:sz="0" w:space="0" w:color="auto"/>
        <w:right w:val="none" w:sz="0" w:space="0" w:color="auto"/>
      </w:divBdr>
      <w:divsChild>
        <w:div w:id="271405369">
          <w:marLeft w:val="0"/>
          <w:marRight w:val="0"/>
          <w:marTop w:val="0"/>
          <w:marBottom w:val="0"/>
          <w:divBdr>
            <w:top w:val="none" w:sz="0" w:space="0" w:color="auto"/>
            <w:left w:val="none" w:sz="0" w:space="0" w:color="auto"/>
            <w:bottom w:val="none" w:sz="0" w:space="0" w:color="auto"/>
            <w:right w:val="none" w:sz="0" w:space="0" w:color="auto"/>
          </w:divBdr>
          <w:divsChild>
            <w:div w:id="739213298">
              <w:marLeft w:val="0"/>
              <w:marRight w:val="0"/>
              <w:marTop w:val="0"/>
              <w:marBottom w:val="0"/>
              <w:divBdr>
                <w:top w:val="none" w:sz="0" w:space="0" w:color="auto"/>
                <w:left w:val="none" w:sz="0" w:space="0" w:color="auto"/>
                <w:bottom w:val="none" w:sz="0" w:space="0" w:color="auto"/>
                <w:right w:val="none" w:sz="0" w:space="0" w:color="auto"/>
              </w:divBdr>
              <w:divsChild>
                <w:div w:id="1955675872">
                  <w:marLeft w:val="0"/>
                  <w:marRight w:val="0"/>
                  <w:marTop w:val="0"/>
                  <w:marBottom w:val="0"/>
                  <w:divBdr>
                    <w:top w:val="none" w:sz="0" w:space="0" w:color="auto"/>
                    <w:left w:val="none" w:sz="0" w:space="0" w:color="auto"/>
                    <w:bottom w:val="none" w:sz="0" w:space="0" w:color="auto"/>
                    <w:right w:val="none" w:sz="0" w:space="0" w:color="auto"/>
                  </w:divBdr>
                  <w:divsChild>
                    <w:div w:id="857813709">
                      <w:marLeft w:val="0"/>
                      <w:marRight w:val="0"/>
                      <w:marTop w:val="0"/>
                      <w:marBottom w:val="0"/>
                      <w:divBdr>
                        <w:top w:val="none" w:sz="0" w:space="0" w:color="auto"/>
                        <w:left w:val="none" w:sz="0" w:space="0" w:color="auto"/>
                        <w:bottom w:val="none" w:sz="0" w:space="0" w:color="auto"/>
                        <w:right w:val="none" w:sz="0" w:space="0" w:color="auto"/>
                      </w:divBdr>
                      <w:divsChild>
                        <w:div w:id="1108814668">
                          <w:marLeft w:val="0"/>
                          <w:marRight w:val="0"/>
                          <w:marTop w:val="0"/>
                          <w:marBottom w:val="0"/>
                          <w:divBdr>
                            <w:top w:val="none" w:sz="0" w:space="0" w:color="auto"/>
                            <w:left w:val="none" w:sz="0" w:space="0" w:color="auto"/>
                            <w:bottom w:val="none" w:sz="0" w:space="0" w:color="auto"/>
                            <w:right w:val="none" w:sz="0" w:space="0" w:color="auto"/>
                          </w:divBdr>
                          <w:divsChild>
                            <w:div w:id="18896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DD270-9AE4-48C7-B673-9DEC9E0C1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10350</Words>
  <Characters>5900</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„Grozījums Ministru kabineta 2006.gada 15.augusta noteikumos Nr.657 „Gaisa kuģu lidojumiem nepieciešamās meteoroloģiskās informācijas sniegšanas kārtība”” sākotnējās ietekmes izvērtēšanas ziņojums (anotācija)</vt:lpstr>
      <vt:lpstr>Ministru kabineta noteikumu projekta „Grozījums Ministru kabineta 2006.gada 15.augusta noteikumos Nr.657 „Gaisa kuģu lidojumiem nepieciešamās meteoroloģiskās informācijas sniegšanas kārtība”” sākotnējās ietekmes izvērtēšanas ziņojums (anotācija)</vt:lpstr>
    </vt:vector>
  </TitlesOfParts>
  <Company>Satiksmes ministrija</Company>
  <LinksUpToDate>false</LinksUpToDate>
  <CharactersWithSpaces>16218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dividendēs izmaksājamo valsts akciju sabiedrības „Latvijas gaisa satiksme” peļņas daļu</dc:title>
  <dc:subject>Anotācija</dc:subject>
  <dc:creator>I.Saliņš;A.Muižnieks</dc:creator>
  <dc:description>Saliņš 67300511
ivars.saliņš@lgs.lv
A.Muižnieks 67028209
arnis.muižnieks@sam.gov.lv</dc:description>
  <cp:lastModifiedBy>Baiba Šterna</cp:lastModifiedBy>
  <cp:revision>5</cp:revision>
  <cp:lastPrinted>2014-06-02T07:37:00Z</cp:lastPrinted>
  <dcterms:created xsi:type="dcterms:W3CDTF">2014-06-12T07:55:00Z</dcterms:created>
  <dcterms:modified xsi:type="dcterms:W3CDTF">2014-06-13T06:51:00Z</dcterms:modified>
</cp:coreProperties>
</file>