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55" w:rsidRPr="00582255" w:rsidRDefault="00582255" w:rsidP="00ED235A">
      <w:pPr>
        <w:pStyle w:val="Footer"/>
        <w:tabs>
          <w:tab w:val="clear" w:pos="8306"/>
          <w:tab w:val="right" w:pos="8931"/>
        </w:tabs>
        <w:ind w:left="-142" w:right="-1"/>
        <w:jc w:val="both"/>
        <w:rPr>
          <w:rFonts w:ascii="Times New Roman" w:hAnsi="Times New Roman" w:cs="Times New Roman"/>
          <w:b/>
          <w:sz w:val="28"/>
          <w:szCs w:val="28"/>
        </w:rPr>
      </w:pPr>
      <w:bookmarkStart w:id="0" w:name="OLE_LINK1"/>
      <w:bookmarkStart w:id="1" w:name="OLE_LINK2"/>
      <w:bookmarkStart w:id="2" w:name="OLE_LINK3"/>
      <w:bookmarkStart w:id="3" w:name="_GoBack"/>
      <w:bookmarkEnd w:id="3"/>
      <w:r w:rsidRPr="00582255">
        <w:rPr>
          <w:rFonts w:ascii="Times New Roman" w:hAnsi="Times New Roman" w:cs="Times New Roman"/>
          <w:b/>
          <w:sz w:val="28"/>
          <w:szCs w:val="28"/>
        </w:rPr>
        <w:t xml:space="preserve">Ministru kabineta noteikumu projekts </w:t>
      </w:r>
      <w:r w:rsidRPr="00582255">
        <w:rPr>
          <w:rFonts w:ascii="Times New Roman" w:hAnsi="Times New Roman" w:cs="Times New Roman"/>
          <w:b/>
          <w:bCs/>
          <w:sz w:val="28"/>
          <w:szCs w:val="28"/>
        </w:rPr>
        <w:t>„</w:t>
      </w:r>
      <w:r w:rsidRPr="00582255">
        <w:rPr>
          <w:rFonts w:ascii="Times New Roman" w:hAnsi="Times New Roman" w:cs="Times New Roman"/>
          <w:b/>
          <w:color w:val="000000"/>
          <w:sz w:val="28"/>
          <w:szCs w:val="28"/>
        </w:rPr>
        <w:t>Grozījumi Ministru kabineta 2011.gada 23.augusta noteikumos Nr.661 „Noteikumi par lidostai uzliekamām sabiedriskas nozīmes pakalpojumu sniegšanas saistībām””</w:t>
      </w:r>
      <w:r w:rsidRPr="00582255">
        <w:rPr>
          <w:rFonts w:ascii="Times New Roman" w:hAnsi="Times New Roman" w:cs="Times New Roman"/>
          <w:b/>
          <w:bCs/>
          <w:sz w:val="28"/>
          <w:szCs w:val="28"/>
        </w:rPr>
        <w:t xml:space="preserve"> </w:t>
      </w:r>
      <w:r w:rsidRPr="00582255">
        <w:rPr>
          <w:rFonts w:ascii="Times New Roman" w:hAnsi="Times New Roman" w:cs="Times New Roman"/>
          <w:b/>
          <w:sz w:val="28"/>
          <w:szCs w:val="28"/>
        </w:rPr>
        <w:t>sākotnējās ietekmes novērtējuma ziņojums (anotācija)</w:t>
      </w:r>
      <w:bookmarkEnd w:id="0"/>
      <w:bookmarkEnd w:id="1"/>
      <w:bookmarkEnd w:id="2"/>
    </w:p>
    <w:p w:rsidR="00582255" w:rsidRPr="00584A0C" w:rsidRDefault="00582255" w:rsidP="00582255">
      <w:pPr>
        <w:pStyle w:val="naisf"/>
        <w:spacing w:before="0" w:beforeAutospacing="0" w:after="0" w:afterAutospacing="0"/>
        <w:jc w:val="right"/>
        <w:rPr>
          <w:sz w:val="28"/>
          <w:szCs w:val="28"/>
        </w:rPr>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582255" w:rsidRPr="00DD49B6" w:rsidTr="00ED235A">
        <w:trPr>
          <w:trHeight w:val="419"/>
        </w:trPr>
        <w:tc>
          <w:tcPr>
            <w:tcW w:w="5000" w:type="pct"/>
            <w:gridSpan w:val="3"/>
            <w:vAlign w:val="center"/>
          </w:tcPr>
          <w:p w:rsidR="00582255" w:rsidRPr="00DD49B6" w:rsidRDefault="00582255" w:rsidP="007F474C">
            <w:pPr>
              <w:pStyle w:val="naisnod"/>
              <w:spacing w:before="0" w:beforeAutospacing="0" w:after="0" w:afterAutospacing="0"/>
              <w:ind w:left="57" w:right="57"/>
              <w:jc w:val="center"/>
              <w:rPr>
                <w:b/>
              </w:rPr>
            </w:pPr>
            <w:r w:rsidRPr="00DD49B6">
              <w:rPr>
                <w:b/>
              </w:rPr>
              <w:t>I. Tiesību akta projekta izstrādes nepieciešamība</w:t>
            </w:r>
          </w:p>
        </w:tc>
      </w:tr>
      <w:tr w:rsidR="00ED235A" w:rsidRPr="00DD49B6" w:rsidTr="00ED235A">
        <w:trPr>
          <w:trHeight w:val="415"/>
        </w:trPr>
        <w:tc>
          <w:tcPr>
            <w:tcW w:w="169" w:type="pct"/>
          </w:tcPr>
          <w:p w:rsidR="00582255" w:rsidRPr="00DD49B6" w:rsidRDefault="00582255" w:rsidP="007F474C">
            <w:pPr>
              <w:pStyle w:val="naiskr"/>
              <w:spacing w:before="0" w:beforeAutospacing="0" w:after="0" w:afterAutospacing="0"/>
              <w:ind w:left="57" w:right="57"/>
              <w:jc w:val="center"/>
            </w:pPr>
            <w:r w:rsidRPr="00DD49B6">
              <w:t>1.</w:t>
            </w:r>
          </w:p>
        </w:tc>
        <w:tc>
          <w:tcPr>
            <w:tcW w:w="1565" w:type="pct"/>
          </w:tcPr>
          <w:p w:rsidR="00582255" w:rsidRPr="00DD49B6" w:rsidRDefault="00582255" w:rsidP="007F474C">
            <w:pPr>
              <w:pStyle w:val="naiskr"/>
              <w:spacing w:before="0" w:beforeAutospacing="0" w:after="0" w:afterAutospacing="0"/>
              <w:ind w:left="57" w:right="57"/>
            </w:pPr>
            <w:r w:rsidRPr="00DD49B6">
              <w:t>Pamatojums</w:t>
            </w:r>
          </w:p>
        </w:tc>
        <w:tc>
          <w:tcPr>
            <w:tcW w:w="3266" w:type="pct"/>
          </w:tcPr>
          <w:p w:rsidR="00582255" w:rsidRPr="00920406" w:rsidRDefault="00582255" w:rsidP="007F474C">
            <w:pPr>
              <w:pStyle w:val="naisc"/>
              <w:spacing w:before="0" w:after="0"/>
              <w:jc w:val="both"/>
              <w:rPr>
                <w:color w:val="000000"/>
              </w:rPr>
            </w:pPr>
            <w:r w:rsidRPr="00920406">
              <w:rPr>
                <w:color w:val="000000"/>
              </w:rPr>
              <w:t xml:space="preserve">Likuma </w:t>
            </w:r>
            <w:r>
              <w:rPr>
                <w:color w:val="000000"/>
              </w:rPr>
              <w:t>„Par aviāciju”  27.</w:t>
            </w:r>
            <w:r w:rsidRPr="00582255">
              <w:rPr>
                <w:color w:val="000000"/>
                <w:kern w:val="24"/>
                <w:vertAlign w:val="superscript"/>
              </w:rPr>
              <w:t>1</w:t>
            </w:r>
            <w:r>
              <w:rPr>
                <w:color w:val="000000"/>
              </w:rPr>
              <w:t xml:space="preserve">panta trešā daļa. </w:t>
            </w:r>
          </w:p>
        </w:tc>
      </w:tr>
      <w:tr w:rsidR="00ED235A" w:rsidRPr="00DD49B6" w:rsidTr="00ED235A">
        <w:trPr>
          <w:trHeight w:val="472"/>
        </w:trPr>
        <w:tc>
          <w:tcPr>
            <w:tcW w:w="169" w:type="pct"/>
          </w:tcPr>
          <w:p w:rsidR="00582255" w:rsidRPr="00DD49B6" w:rsidRDefault="00582255" w:rsidP="007F474C">
            <w:pPr>
              <w:pStyle w:val="naiskr"/>
              <w:spacing w:before="0" w:beforeAutospacing="0" w:after="0" w:afterAutospacing="0"/>
              <w:ind w:left="57" w:right="57"/>
              <w:jc w:val="center"/>
            </w:pPr>
            <w:r w:rsidRPr="00DD49B6">
              <w:t>2.</w:t>
            </w:r>
          </w:p>
        </w:tc>
        <w:tc>
          <w:tcPr>
            <w:tcW w:w="1565" w:type="pct"/>
          </w:tcPr>
          <w:p w:rsidR="00582255" w:rsidRPr="00DD49B6" w:rsidRDefault="00582255" w:rsidP="007F474C">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66" w:type="pct"/>
          </w:tcPr>
          <w:p w:rsidR="00ED235A" w:rsidRPr="00ED235A" w:rsidRDefault="00ED235A" w:rsidP="00ED235A">
            <w:pPr>
              <w:pStyle w:val="CM1"/>
              <w:jc w:val="both"/>
              <w:rPr>
                <w:rFonts w:ascii="Times New Roman" w:hAnsi="Times New Roman"/>
                <w:color w:val="000000"/>
              </w:rPr>
            </w:pPr>
            <w:r w:rsidRPr="00ED235A">
              <w:rPr>
                <w:rFonts w:ascii="Times New Roman" w:hAnsi="Times New Roman"/>
              </w:rPr>
              <w:t xml:space="preserve">Eiropas Komisija </w:t>
            </w:r>
            <w:r>
              <w:rPr>
                <w:rFonts w:ascii="Times New Roman" w:hAnsi="Times New Roman"/>
              </w:rPr>
              <w:t>2011.gada 20.decembrī pieņēma L</w:t>
            </w:r>
            <w:r w:rsidRPr="00ED235A">
              <w:rPr>
                <w:rFonts w:ascii="Times New Roman" w:hAnsi="Times New Roman"/>
              </w:rPr>
              <w:t>ēmumu par Līguma par Eiropas Savienības darbību 106.panta 2.punkta piemērošanu valsts atbalstam attiecībā uz kompensāciju par sabiedriskajiem pakalpojumiem dažiem uzņēmumiem, kuriem uzticēts sniegt pakalpojumus ar vispārēju tautsaimniecisku nozīmi (turpmāk – Komisijas 2011.gada lēmums), kas aizstāja Komisijas 2005.gad</w:t>
            </w:r>
            <w:r w:rsidR="003E57AD">
              <w:rPr>
                <w:rFonts w:ascii="Times New Roman" w:hAnsi="Times New Roman"/>
              </w:rPr>
              <w:t>a</w:t>
            </w:r>
            <w:r w:rsidRPr="00ED235A">
              <w:rPr>
                <w:rFonts w:ascii="Times New Roman" w:hAnsi="Times New Roman"/>
              </w:rPr>
              <w:t xml:space="preserve"> 28.novembra Eiropas Komisijas </w:t>
            </w:r>
            <w:r>
              <w:rPr>
                <w:rFonts w:ascii="Times New Roman" w:hAnsi="Times New Roman"/>
              </w:rPr>
              <w:t>L</w:t>
            </w:r>
            <w:r w:rsidRPr="00ED235A">
              <w:rPr>
                <w:rFonts w:ascii="Times New Roman" w:hAnsi="Times New Roman"/>
              </w:rPr>
              <w:t xml:space="preserve">ēmumu </w:t>
            </w:r>
            <w:r w:rsidRPr="00ED235A">
              <w:rPr>
                <w:rFonts w:ascii="Times New Roman" w:hAnsi="Times New Roman"/>
                <w:bCs/>
              </w:rPr>
              <w:t xml:space="preserve">par EK Līguma 86. panta 2. punkta piemērošanu valsts atbalstam attiecībā uz kompensāciju par sabiedriskajiem pakalpojumiem dažiem uzņēmumiem, kuriem uzticēts sniegt pakalpojumus ar vispārēju tautsaimniecisku nozīmi </w:t>
            </w:r>
            <w:r w:rsidRPr="00ED235A">
              <w:rPr>
                <w:rFonts w:ascii="Times New Roman" w:hAnsi="Times New Roman"/>
              </w:rPr>
              <w:t>(turpmāk – Komisijas 2005.gada lēmums)</w:t>
            </w:r>
            <w:r w:rsidRPr="00ED235A">
              <w:rPr>
                <w:rFonts w:ascii="Times New Roman" w:hAnsi="Times New Roman"/>
                <w:bCs/>
              </w:rPr>
              <w:t xml:space="preserve">. Komisijas 2011.gada  lēmums paredz, ka lēmumā noteikto piemēro </w:t>
            </w:r>
            <w:r w:rsidRPr="00ED235A">
              <w:rPr>
                <w:rFonts w:ascii="Times New Roman" w:hAnsi="Times New Roman"/>
              </w:rPr>
              <w:t xml:space="preserve">kompensācijām par pakalpojumu ar vispārēju tautsaimniecības nozīmi sniegšanu attiecībā uz lidostām, kuru vidējais gada satiksmes apjoms divu finanšu gadu laikā, pirms tika piešķirtas tiesības sniegt pakalpojumu ar vispārēju tautsaimniecisku nozīmi nepārsniedz 200000 pasažierus. Pie šāda nosacījuma pasākums ir saderīgs ar kopējo tirgu un ir atbrīvots no iepriekšējas paziņošanas pienākuma, kas paredzēts Līguma par Eiropas Savienības darbību 108. panta 3. punktā. Komisijas 2005.gada lēmumā šis kritērijs bija augstāks, tas nedrīkstēja pārsniegt 1000000 pasažieru. Komisijas 2005.gada lēmuma </w:t>
            </w:r>
            <w:r>
              <w:rPr>
                <w:rFonts w:ascii="Times New Roman" w:hAnsi="Times New Roman"/>
              </w:rPr>
              <w:t>ietvaros</w:t>
            </w:r>
            <w:r w:rsidRPr="00ED235A">
              <w:rPr>
                <w:rFonts w:ascii="Times New Roman" w:hAnsi="Times New Roman"/>
              </w:rPr>
              <w:t xml:space="preserve"> ir izdoti </w:t>
            </w:r>
            <w:r w:rsidRPr="00ED235A">
              <w:rPr>
                <w:rFonts w:ascii="Times New Roman" w:hAnsi="Times New Roman"/>
                <w:bCs/>
              </w:rPr>
              <w:t>Ministru kabinet</w:t>
            </w:r>
            <w:r>
              <w:rPr>
                <w:rFonts w:ascii="Times New Roman" w:hAnsi="Times New Roman"/>
                <w:bCs/>
              </w:rPr>
              <w:t>a 2011.gada 23.augusta noteikumi</w:t>
            </w:r>
            <w:r w:rsidRPr="00ED235A">
              <w:rPr>
                <w:rFonts w:ascii="Times New Roman" w:hAnsi="Times New Roman"/>
                <w:bCs/>
              </w:rPr>
              <w:t xml:space="preserve"> Nr.661 „Noteikumi par lidostai uzliekamām sabiedriskas nozīmes pakalpojumu sniegšanas saistībām” (turpmāk – Ministru kabineta noteikumi Nr.661).</w:t>
            </w:r>
            <w:r>
              <w:rPr>
                <w:rFonts w:ascii="Times New Roman" w:hAnsi="Times New Roman"/>
                <w:bCs/>
              </w:rPr>
              <w:t xml:space="preserve"> Komisijas</w:t>
            </w:r>
            <w:r w:rsidRPr="00ED235A">
              <w:rPr>
                <w:rFonts w:ascii="Times New Roman" w:hAnsi="Times New Roman"/>
                <w:bCs/>
              </w:rPr>
              <w:t xml:space="preserve"> </w:t>
            </w:r>
            <w:r w:rsidRPr="00ED235A">
              <w:rPr>
                <w:rFonts w:ascii="Times New Roman" w:hAnsi="Times New Roman"/>
              </w:rPr>
              <w:t xml:space="preserve">2011.gada lēmums paredz, ka tas </w:t>
            </w:r>
            <w:r w:rsidRPr="00ED235A">
              <w:rPr>
                <w:rFonts w:ascii="Times New Roman" w:hAnsi="Times New Roman"/>
                <w:color w:val="000000"/>
              </w:rPr>
              <w:t>ir piemērojams tikai tad, ja periods, kurā uzņēmumam uzticēts sniegt pakalpojumu ar vispārēju tautsaimniecisku nozīmi</w:t>
            </w:r>
            <w:r>
              <w:rPr>
                <w:rFonts w:ascii="Times New Roman" w:hAnsi="Times New Roman"/>
                <w:color w:val="000000"/>
              </w:rPr>
              <w:t>,</w:t>
            </w:r>
            <w:r w:rsidRPr="00ED235A">
              <w:rPr>
                <w:rFonts w:ascii="Times New Roman" w:hAnsi="Times New Roman"/>
                <w:color w:val="000000"/>
              </w:rPr>
              <w:t xml:space="preserve"> nepārsniedz desmit gadus. Ja pilnvarojuma periods pārsniedz desmit gadus, šis lēmums ir piemērojams tikai tiktāl, cik no pakalpojuma sniedzēja tiek prasīts vērā ņemams ieguldījums, kas ir jāamortizē ilgākā periodā saskaņā ar vispārpieņemtiem grāmatvedības principiem.</w:t>
            </w:r>
          </w:p>
          <w:p w:rsidR="004310E5" w:rsidRPr="000D3B01" w:rsidRDefault="004310E5" w:rsidP="000E078C">
            <w:pPr>
              <w:pStyle w:val="Heading3"/>
              <w:shd w:val="clear" w:color="auto" w:fill="FFFFFF"/>
              <w:spacing w:before="0" w:beforeAutospacing="0" w:after="0" w:afterAutospacing="0"/>
              <w:ind w:right="57"/>
              <w:jc w:val="both"/>
              <w:rPr>
                <w:b w:val="0"/>
                <w:color w:val="000000"/>
                <w:sz w:val="24"/>
                <w:szCs w:val="24"/>
              </w:rPr>
            </w:pPr>
            <w:r w:rsidRPr="000D3B01">
              <w:rPr>
                <w:b w:val="0"/>
                <w:color w:val="000000"/>
                <w:sz w:val="24"/>
                <w:szCs w:val="24"/>
              </w:rPr>
              <w:t>Komisijas 2011.gada lēmums paredz, ka</w:t>
            </w:r>
            <w:r w:rsidRPr="000D3B01">
              <w:rPr>
                <w:rFonts w:cs="EUAlbertina"/>
                <w:b w:val="0"/>
                <w:color w:val="000000"/>
                <w:sz w:val="24"/>
                <w:szCs w:val="24"/>
              </w:rPr>
              <w:t xml:space="preserve"> dalībvalstis nodrošina, ka kompensācija, ko piešķir par pakalpojuma ar vispārēju tautsaimniecisku nozīmi sniegšanu, atbilst šajā lēmumā noteiktajām prasībām un jo īpaši ka uzņēmums nesaņem kompensāciju, kas pārsniedz saskaņā ar 5. pantu noteikto </w:t>
            </w:r>
            <w:r w:rsidRPr="000D3B01">
              <w:rPr>
                <w:rFonts w:cs="EUAlbertina"/>
                <w:b w:val="0"/>
                <w:color w:val="000000"/>
                <w:sz w:val="24"/>
                <w:szCs w:val="24"/>
              </w:rPr>
              <w:lastRenderedPageBreak/>
              <w:t>summu. Dalī</w:t>
            </w:r>
            <w:r w:rsidR="000E078C" w:rsidRPr="000D3B01">
              <w:rPr>
                <w:rFonts w:cs="EUAlbertina"/>
                <w:b w:val="0"/>
                <w:color w:val="000000"/>
                <w:sz w:val="24"/>
                <w:szCs w:val="24"/>
              </w:rPr>
              <w:t>bvalstīm</w:t>
            </w:r>
            <w:r w:rsidRPr="000D3B01">
              <w:rPr>
                <w:rFonts w:cs="EUAlbertina"/>
                <w:b w:val="0"/>
                <w:color w:val="000000"/>
                <w:sz w:val="24"/>
                <w:szCs w:val="24"/>
              </w:rPr>
              <w:t xml:space="preserve"> pēc Komisijas pieprasījuma </w:t>
            </w:r>
            <w:r w:rsidR="000E078C" w:rsidRPr="000D3B01">
              <w:rPr>
                <w:rFonts w:cs="EUAlbertina"/>
                <w:b w:val="0"/>
                <w:color w:val="000000"/>
                <w:sz w:val="24"/>
                <w:szCs w:val="24"/>
              </w:rPr>
              <w:t>jā</w:t>
            </w:r>
            <w:r w:rsidRPr="000D3B01">
              <w:rPr>
                <w:rFonts w:cs="EUAlbertina"/>
                <w:b w:val="0"/>
                <w:color w:val="000000"/>
                <w:sz w:val="24"/>
                <w:szCs w:val="24"/>
              </w:rPr>
              <w:t>sniedz pierādī</w:t>
            </w:r>
            <w:r w:rsidR="000E078C" w:rsidRPr="000D3B01">
              <w:rPr>
                <w:rFonts w:cs="EUAlbertina"/>
                <w:b w:val="0"/>
                <w:color w:val="000000"/>
                <w:sz w:val="24"/>
                <w:szCs w:val="24"/>
              </w:rPr>
              <w:t>jumi</w:t>
            </w:r>
            <w:r w:rsidRPr="000D3B01">
              <w:rPr>
                <w:rFonts w:cs="EUAlbertina"/>
                <w:b w:val="0"/>
                <w:color w:val="000000"/>
                <w:sz w:val="24"/>
                <w:szCs w:val="24"/>
              </w:rPr>
              <w:t>. Tā</w:t>
            </w:r>
            <w:r w:rsidR="000E078C" w:rsidRPr="000D3B01">
              <w:rPr>
                <w:rFonts w:cs="EUAlbertina"/>
                <w:b w:val="0"/>
                <w:color w:val="000000"/>
                <w:sz w:val="24"/>
                <w:szCs w:val="24"/>
              </w:rPr>
              <w:t>m</w:t>
            </w:r>
            <w:r w:rsidRPr="000D3B01">
              <w:rPr>
                <w:rFonts w:cs="EUAlbertina"/>
                <w:b w:val="0"/>
                <w:color w:val="000000"/>
                <w:sz w:val="24"/>
                <w:szCs w:val="24"/>
              </w:rPr>
              <w:t xml:space="preserve"> </w:t>
            </w:r>
            <w:r w:rsidR="000E078C" w:rsidRPr="000D3B01">
              <w:rPr>
                <w:rFonts w:cs="EUAlbertina"/>
                <w:b w:val="0"/>
                <w:color w:val="000000"/>
                <w:sz w:val="24"/>
                <w:szCs w:val="24"/>
              </w:rPr>
              <w:t>jā</w:t>
            </w:r>
            <w:r w:rsidRPr="000D3B01">
              <w:rPr>
                <w:rFonts w:cs="EUAlbertina"/>
                <w:b w:val="0"/>
                <w:color w:val="000000"/>
                <w:sz w:val="24"/>
                <w:szCs w:val="24"/>
              </w:rPr>
              <w:t xml:space="preserve">veic regulāras pārbaudes vai </w:t>
            </w:r>
            <w:r w:rsidR="000E078C" w:rsidRPr="000D3B01">
              <w:rPr>
                <w:rFonts w:cs="EUAlbertina"/>
                <w:b w:val="0"/>
                <w:color w:val="000000"/>
                <w:sz w:val="24"/>
                <w:szCs w:val="24"/>
              </w:rPr>
              <w:t>jā</w:t>
            </w:r>
            <w:r w:rsidRPr="000D3B01">
              <w:rPr>
                <w:rFonts w:cs="EUAlbertina"/>
                <w:b w:val="0"/>
                <w:color w:val="000000"/>
                <w:sz w:val="24"/>
                <w:szCs w:val="24"/>
              </w:rPr>
              <w:t>nodrošina, ka tās tiek veiktas, vismaz ik pēc trīs gadiem pilnvarojuma akta darbības periodā un tā beigās.</w:t>
            </w:r>
          </w:p>
          <w:p w:rsidR="00582255" w:rsidRDefault="00ED235A" w:rsidP="00ED235A">
            <w:pPr>
              <w:pStyle w:val="Heading3"/>
              <w:shd w:val="clear" w:color="auto" w:fill="FFFFFF"/>
              <w:spacing w:before="0" w:beforeAutospacing="0" w:after="0" w:afterAutospacing="0"/>
              <w:ind w:right="57"/>
              <w:jc w:val="both"/>
              <w:rPr>
                <w:b w:val="0"/>
                <w:sz w:val="24"/>
                <w:szCs w:val="24"/>
              </w:rPr>
            </w:pPr>
            <w:r w:rsidRPr="000D3B01">
              <w:rPr>
                <w:b w:val="0"/>
                <w:color w:val="000000"/>
                <w:sz w:val="24"/>
                <w:szCs w:val="24"/>
              </w:rPr>
              <w:t>Tāpat Komisijas 2011.gada lēmums pa</w:t>
            </w:r>
            <w:r w:rsidR="000E078C" w:rsidRPr="000D3B01">
              <w:rPr>
                <w:b w:val="0"/>
                <w:color w:val="000000"/>
                <w:sz w:val="24"/>
                <w:szCs w:val="24"/>
              </w:rPr>
              <w:t xml:space="preserve">redz, ka tiesību aktā, ar kuru </w:t>
            </w:r>
            <w:r w:rsidRPr="000D3B01">
              <w:rPr>
                <w:b w:val="0"/>
                <w:color w:val="000000"/>
                <w:sz w:val="24"/>
                <w:szCs w:val="24"/>
              </w:rPr>
              <w:t xml:space="preserve">uzņēmumam uzliek pienākumu sniegt pakalpojumu ar vispārēju tautsaimniecisku nozīmi, īpaši ietver arī atsauci uz Komisijas 2011.gada lēmumu. </w:t>
            </w:r>
            <w:r w:rsidRPr="000D3B01">
              <w:rPr>
                <w:b w:val="0"/>
                <w:sz w:val="24"/>
                <w:szCs w:val="24"/>
              </w:rPr>
              <w:t>Līdz ar to attiecīgi ir jāprecizē</w:t>
            </w:r>
            <w:r w:rsidRPr="00ED235A">
              <w:rPr>
                <w:b w:val="0"/>
                <w:sz w:val="24"/>
                <w:szCs w:val="24"/>
              </w:rPr>
              <w:t xml:space="preserve"> Ministru kabineta noteikumu Nr.661 saturs, lai nodrošinātu  atbilstību Komisijas 2011.gada lēmumā noteiktajam.</w:t>
            </w:r>
          </w:p>
          <w:p w:rsidR="00ED235A" w:rsidRPr="00ED235A" w:rsidRDefault="00ED235A" w:rsidP="00B67052">
            <w:pPr>
              <w:pStyle w:val="Heading3"/>
              <w:shd w:val="clear" w:color="auto" w:fill="FFFFFF"/>
              <w:spacing w:before="0" w:beforeAutospacing="0" w:after="0" w:afterAutospacing="0"/>
              <w:ind w:right="57"/>
              <w:jc w:val="both"/>
              <w:rPr>
                <w:b w:val="0"/>
                <w:sz w:val="24"/>
                <w:szCs w:val="24"/>
              </w:rPr>
            </w:pPr>
            <w:r w:rsidRPr="00ED235A">
              <w:rPr>
                <w:b w:val="0"/>
                <w:color w:val="000000"/>
                <w:sz w:val="24"/>
                <w:szCs w:val="24"/>
              </w:rPr>
              <w:t xml:space="preserve">Attiecīgi atbilstoši Komisijas 2011.gada lēmumā noteiktajam tiek precizēts </w:t>
            </w:r>
            <w:r w:rsidRPr="00ED235A">
              <w:rPr>
                <w:b w:val="0"/>
                <w:sz w:val="24"/>
                <w:szCs w:val="24"/>
              </w:rPr>
              <w:t>lidostām noteiktais vidējais gada satiksmes apjoms divu finanšu gadu laikā, pirms tām var tik piešķirtas tiesības sniegt pakalpojumu ar vispārēju tautsaimniecisku nozīmi, lai tas būtu saderīgs ar kopējo tirgu un varētu tikt atbrīvots no iepriekšējas paziņošanas pienākuma.</w:t>
            </w:r>
            <w:r w:rsidRPr="00ED235A">
              <w:rPr>
                <w:b w:val="0"/>
                <w:color w:val="000000"/>
                <w:sz w:val="24"/>
                <w:szCs w:val="24"/>
              </w:rPr>
              <w:t xml:space="preserve"> </w:t>
            </w:r>
            <w:r w:rsidRPr="00ED235A">
              <w:rPr>
                <w:b w:val="0"/>
                <w:sz w:val="24"/>
                <w:szCs w:val="24"/>
              </w:rPr>
              <w:t>Tiek noteikts pakalpojumu ar vispārēju tautsaimniecisku nozīmi pilnvarojuma darbības laiks</w:t>
            </w:r>
            <w:r w:rsidRPr="000870B3">
              <w:rPr>
                <w:b w:val="0"/>
                <w:sz w:val="24"/>
                <w:szCs w:val="24"/>
              </w:rPr>
              <w:t xml:space="preserve">, </w:t>
            </w:r>
            <w:r w:rsidR="00B67052" w:rsidRPr="000870B3">
              <w:rPr>
                <w:b w:val="0"/>
                <w:sz w:val="24"/>
                <w:szCs w:val="24"/>
              </w:rPr>
              <w:t>prasība vi</w:t>
            </w:r>
            <w:r w:rsidR="000E078C" w:rsidRPr="000870B3">
              <w:rPr>
                <w:b w:val="0"/>
                <w:sz w:val="24"/>
                <w:szCs w:val="24"/>
              </w:rPr>
              <w:t xml:space="preserve">smaz ik pēc trīs gadiem pakalpojumu sniegšanas saistību līguma darbības periodā un tā beigās </w:t>
            </w:r>
            <w:r w:rsidR="00B67052" w:rsidRPr="000870B3">
              <w:rPr>
                <w:b w:val="0"/>
                <w:sz w:val="24"/>
                <w:szCs w:val="24"/>
              </w:rPr>
              <w:t>pārskatīt</w:t>
            </w:r>
            <w:r w:rsidR="000E078C" w:rsidRPr="000870B3">
              <w:rPr>
                <w:b w:val="0"/>
                <w:sz w:val="24"/>
                <w:szCs w:val="24"/>
              </w:rPr>
              <w:t xml:space="preserve"> un</w:t>
            </w:r>
            <w:r w:rsidR="00B67052" w:rsidRPr="000870B3">
              <w:rPr>
                <w:b w:val="0"/>
                <w:sz w:val="24"/>
                <w:szCs w:val="24"/>
              </w:rPr>
              <w:t xml:space="preserve"> pēc nepieciešamības atjaunināt</w:t>
            </w:r>
            <w:r w:rsidR="000E078C" w:rsidRPr="000870B3">
              <w:rPr>
                <w:b w:val="0"/>
                <w:sz w:val="24"/>
                <w:szCs w:val="24"/>
              </w:rPr>
              <w:t xml:space="preserve"> kompe</w:t>
            </w:r>
            <w:r w:rsidR="00B67052" w:rsidRPr="000870B3">
              <w:rPr>
                <w:b w:val="0"/>
                <w:sz w:val="24"/>
                <w:szCs w:val="24"/>
              </w:rPr>
              <w:t>nsācijas aprēķināšanas parametrus,</w:t>
            </w:r>
            <w:r w:rsidR="00B67052" w:rsidRPr="000870B3">
              <w:rPr>
                <w:szCs w:val="28"/>
              </w:rPr>
              <w:t xml:space="preserve"> </w:t>
            </w:r>
            <w:r w:rsidRPr="000870B3">
              <w:rPr>
                <w:b w:val="0"/>
                <w:sz w:val="24"/>
                <w:szCs w:val="24"/>
              </w:rPr>
              <w:t>kā arī</w:t>
            </w:r>
            <w:r w:rsidRPr="00ED235A">
              <w:rPr>
                <w:b w:val="0"/>
                <w:sz w:val="24"/>
                <w:szCs w:val="24"/>
              </w:rPr>
              <w:t xml:space="preserve"> noteikts, ka pilnvarojumā ir jābūt norādītai atsaucei uz Komisijas 2011.gada lēmumu</w:t>
            </w:r>
            <w:r>
              <w:t>.</w:t>
            </w:r>
          </w:p>
        </w:tc>
      </w:tr>
      <w:tr w:rsidR="00ED235A" w:rsidRPr="00DD49B6" w:rsidTr="00ED235A">
        <w:trPr>
          <w:trHeight w:val="476"/>
        </w:trPr>
        <w:tc>
          <w:tcPr>
            <w:tcW w:w="169" w:type="pct"/>
          </w:tcPr>
          <w:p w:rsidR="00582255" w:rsidRPr="00DD49B6" w:rsidRDefault="00582255" w:rsidP="007F474C">
            <w:pPr>
              <w:pStyle w:val="naiskr"/>
              <w:spacing w:before="0" w:beforeAutospacing="0" w:after="0" w:afterAutospacing="0"/>
              <w:ind w:left="57" w:right="57"/>
              <w:jc w:val="center"/>
            </w:pPr>
            <w:r w:rsidRPr="00DD49B6">
              <w:lastRenderedPageBreak/>
              <w:t>3.</w:t>
            </w:r>
          </w:p>
        </w:tc>
        <w:tc>
          <w:tcPr>
            <w:tcW w:w="1565" w:type="pct"/>
          </w:tcPr>
          <w:p w:rsidR="00582255" w:rsidRPr="00DD49B6" w:rsidRDefault="00582255" w:rsidP="007F474C">
            <w:pPr>
              <w:pStyle w:val="naiskr"/>
              <w:spacing w:before="0" w:beforeAutospacing="0" w:after="0" w:afterAutospacing="0"/>
              <w:ind w:left="57" w:right="57"/>
            </w:pPr>
            <w:r w:rsidRPr="00DD49B6">
              <w:t>Projekta izstrādē iesaistītās institūcijas</w:t>
            </w:r>
          </w:p>
        </w:tc>
        <w:tc>
          <w:tcPr>
            <w:tcW w:w="3266" w:type="pct"/>
          </w:tcPr>
          <w:p w:rsidR="00582255" w:rsidRPr="00ED235A" w:rsidRDefault="00ED235A" w:rsidP="007F474C">
            <w:pPr>
              <w:spacing w:after="0" w:line="240" w:lineRule="auto"/>
              <w:ind w:left="57" w:right="57"/>
              <w:rPr>
                <w:rFonts w:ascii="Times New Roman" w:hAnsi="Times New Roman" w:cs="Times New Roman"/>
                <w:b/>
                <w:sz w:val="24"/>
                <w:szCs w:val="24"/>
              </w:rPr>
            </w:pPr>
            <w:r w:rsidRPr="00ED235A">
              <w:rPr>
                <w:rFonts w:ascii="Times New Roman" w:hAnsi="Times New Roman" w:cs="Times New Roman"/>
                <w:color w:val="000000"/>
                <w:sz w:val="24"/>
                <w:szCs w:val="24"/>
                <w:lang w:eastAsia="lv-LV"/>
              </w:rPr>
              <w:t>Satiksmes ministrija. Liepājas pilsētas dome, Ventspils pilsētas dome.</w:t>
            </w:r>
          </w:p>
        </w:tc>
      </w:tr>
      <w:tr w:rsidR="00ED235A" w:rsidRPr="00DD49B6" w:rsidTr="00ED235A">
        <w:tc>
          <w:tcPr>
            <w:tcW w:w="169" w:type="pct"/>
          </w:tcPr>
          <w:p w:rsidR="00582255" w:rsidRPr="00DD49B6" w:rsidRDefault="00582255" w:rsidP="007F474C">
            <w:pPr>
              <w:pStyle w:val="naiskr"/>
              <w:spacing w:before="0" w:beforeAutospacing="0" w:after="0" w:afterAutospacing="0"/>
              <w:ind w:left="57" w:right="57"/>
              <w:jc w:val="center"/>
            </w:pPr>
            <w:r w:rsidRPr="00DD49B6">
              <w:t>4.</w:t>
            </w:r>
          </w:p>
        </w:tc>
        <w:tc>
          <w:tcPr>
            <w:tcW w:w="1565" w:type="pct"/>
          </w:tcPr>
          <w:p w:rsidR="00582255" w:rsidRPr="00DD49B6" w:rsidRDefault="00582255" w:rsidP="007F474C">
            <w:pPr>
              <w:pStyle w:val="naiskr"/>
              <w:spacing w:before="0" w:beforeAutospacing="0" w:after="0" w:afterAutospacing="0"/>
              <w:ind w:left="57" w:right="57"/>
            </w:pPr>
            <w:r w:rsidRPr="00DD49B6">
              <w:t>Cita informācija</w:t>
            </w:r>
          </w:p>
        </w:tc>
        <w:tc>
          <w:tcPr>
            <w:tcW w:w="3266" w:type="pct"/>
          </w:tcPr>
          <w:p w:rsidR="00582255" w:rsidRPr="00DD49B6" w:rsidRDefault="00ED235A" w:rsidP="00ED235A">
            <w:pPr>
              <w:pStyle w:val="naiskr"/>
              <w:spacing w:before="0" w:beforeAutospacing="0" w:after="0" w:afterAutospacing="0"/>
              <w:ind w:left="57" w:right="57"/>
              <w:jc w:val="both"/>
            </w:pPr>
            <w:r>
              <w:t>P</w:t>
            </w:r>
            <w:r w:rsidRPr="00E13D63">
              <w:t>amatojotie</w:t>
            </w:r>
            <w:r>
              <w:t>s uz Ministru kabineta noteikumiem</w:t>
            </w:r>
            <w:r w:rsidRPr="00E13D63">
              <w:t xml:space="preserve"> Nr.661  Satiksmes ministrija un Liepājas pilsētas dome, kā arī Satiksmes ministrija un Ventspils pilsētas dome 2012.gada 30.janvārī  SIA „</w:t>
            </w:r>
            <w:proofErr w:type="spellStart"/>
            <w:r w:rsidRPr="00E13D63">
              <w:t>Aviasabiedrība</w:t>
            </w:r>
            <w:proofErr w:type="spellEnd"/>
            <w:r w:rsidRPr="00E13D63">
              <w:t xml:space="preserve"> „Liepāja”” un SIA „Ventspils lidosta” ir uzlikusi vispārējas tautsaimniecības nozīmes sabiedriskā pakalpojuma saistības. </w:t>
            </w:r>
            <w:r>
              <w:t xml:space="preserve">Līgumi ir noslēgti uz trīs gadiem. </w:t>
            </w:r>
            <w:r w:rsidRPr="00E13D63">
              <w:t xml:space="preserve">Lai </w:t>
            </w:r>
            <w:r>
              <w:t>izpildītu Eiropas Komisijas 2011</w:t>
            </w:r>
            <w:r w:rsidRPr="00E13D63">
              <w:t>.gada lēmumā noteikto,  minēti</w:t>
            </w:r>
            <w:r>
              <w:t xml:space="preserve">e līgumi ir pārskatīti un konstatēts, ka katras minētās lidostas </w:t>
            </w:r>
            <w:r w:rsidRPr="00E13D63">
              <w:t xml:space="preserve">divu gadu laikā apkalpotais pasažieru skaits nepārsniedz 200 000 tūkstošus pasažieru. </w:t>
            </w:r>
            <w:r>
              <w:t>Minētie līgumi līdz 2014.gada 30.janvārim ir grozīti, ietverot Komisijas 2011.gada lēmuma prasības.</w:t>
            </w:r>
          </w:p>
        </w:tc>
      </w:tr>
    </w:tbl>
    <w:p w:rsidR="00582255" w:rsidRPr="00DD49B6" w:rsidRDefault="00582255" w:rsidP="00582255">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82255" w:rsidRPr="00DD49B6" w:rsidTr="007F474C">
        <w:trPr>
          <w:trHeight w:val="556"/>
        </w:trPr>
        <w:tc>
          <w:tcPr>
            <w:tcW w:w="9503" w:type="dxa"/>
            <w:gridSpan w:val="3"/>
            <w:vAlign w:val="center"/>
          </w:tcPr>
          <w:p w:rsidR="00582255" w:rsidRPr="00DD49B6" w:rsidRDefault="00582255" w:rsidP="007F474C">
            <w:pPr>
              <w:pStyle w:val="naisnod"/>
              <w:spacing w:before="0" w:beforeAutospacing="0" w:after="0" w:afterAutospacing="0"/>
              <w:ind w:left="57" w:right="57"/>
              <w:jc w:val="center"/>
              <w:rPr>
                <w:b/>
              </w:rPr>
            </w:pPr>
            <w:r w:rsidRPr="00DD49B6">
              <w:rPr>
                <w:b/>
              </w:rPr>
              <w:t>II. Tiesību akta projekta ietekme uz sabiedrību, tautsaimniecības attīstību</w:t>
            </w:r>
          </w:p>
          <w:p w:rsidR="00582255" w:rsidRPr="00DD49B6" w:rsidRDefault="00582255" w:rsidP="007F474C">
            <w:pPr>
              <w:pStyle w:val="naisnod"/>
              <w:spacing w:before="0" w:beforeAutospacing="0" w:after="0" w:afterAutospacing="0"/>
              <w:ind w:left="57" w:right="57"/>
              <w:jc w:val="center"/>
              <w:rPr>
                <w:b/>
              </w:rPr>
            </w:pPr>
            <w:r w:rsidRPr="00DD49B6">
              <w:rPr>
                <w:b/>
              </w:rPr>
              <w:t>un administratīvo slogu</w:t>
            </w:r>
          </w:p>
        </w:tc>
      </w:tr>
      <w:tr w:rsidR="00582255" w:rsidRPr="00DD49B6" w:rsidTr="007F474C">
        <w:trPr>
          <w:trHeight w:val="467"/>
        </w:trPr>
        <w:tc>
          <w:tcPr>
            <w:tcW w:w="431" w:type="dxa"/>
          </w:tcPr>
          <w:p w:rsidR="00582255" w:rsidRPr="00DD49B6" w:rsidRDefault="00582255" w:rsidP="007F474C">
            <w:pPr>
              <w:pStyle w:val="naiskr"/>
              <w:spacing w:before="0" w:beforeAutospacing="0" w:after="0" w:afterAutospacing="0"/>
              <w:ind w:left="57" w:right="57"/>
              <w:jc w:val="both"/>
            </w:pPr>
            <w:r w:rsidRPr="00DD49B6">
              <w:t>1.</w:t>
            </w:r>
          </w:p>
        </w:tc>
        <w:tc>
          <w:tcPr>
            <w:tcW w:w="2976" w:type="dxa"/>
          </w:tcPr>
          <w:p w:rsidR="00582255" w:rsidRPr="00DD49B6" w:rsidRDefault="00582255" w:rsidP="007F474C">
            <w:pPr>
              <w:pStyle w:val="naiskr"/>
              <w:spacing w:before="0" w:beforeAutospacing="0" w:after="0" w:afterAutospacing="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096" w:type="dxa"/>
          </w:tcPr>
          <w:p w:rsidR="00582255" w:rsidRPr="00DD49B6" w:rsidRDefault="00A35FE0" w:rsidP="007F474C">
            <w:pPr>
              <w:shd w:val="clear" w:color="auto" w:fill="FFFFFF"/>
              <w:spacing w:after="0" w:line="240" w:lineRule="auto"/>
              <w:ind w:left="57" w:right="57"/>
              <w:rPr>
                <w:rFonts w:ascii="Times New Roman" w:hAnsi="Times New Roman" w:cs="Times New Roman"/>
                <w:sz w:val="24"/>
                <w:szCs w:val="24"/>
                <w:lang w:eastAsia="lv-LV"/>
              </w:rPr>
            </w:pPr>
            <w:bookmarkStart w:id="4" w:name="p21"/>
            <w:bookmarkEnd w:id="4"/>
            <w:r>
              <w:rPr>
                <w:rFonts w:ascii="Times New Roman" w:hAnsi="Times New Roman" w:cs="Times New Roman"/>
                <w:sz w:val="24"/>
                <w:szCs w:val="24"/>
                <w:lang w:eastAsia="lv-LV"/>
              </w:rPr>
              <w:t>Reģionālās lidostas.</w:t>
            </w:r>
          </w:p>
        </w:tc>
      </w:tr>
      <w:tr w:rsidR="00582255" w:rsidRPr="00DD49B6" w:rsidTr="007F474C">
        <w:trPr>
          <w:trHeight w:val="523"/>
        </w:trPr>
        <w:tc>
          <w:tcPr>
            <w:tcW w:w="431" w:type="dxa"/>
          </w:tcPr>
          <w:p w:rsidR="00582255" w:rsidRPr="00DD49B6" w:rsidRDefault="00582255" w:rsidP="007F474C">
            <w:pPr>
              <w:pStyle w:val="naiskr"/>
              <w:spacing w:before="0" w:beforeAutospacing="0" w:after="0" w:afterAutospacing="0"/>
              <w:ind w:left="57" w:right="57"/>
              <w:jc w:val="both"/>
            </w:pPr>
            <w:r w:rsidRPr="00DD49B6">
              <w:t>2.</w:t>
            </w:r>
          </w:p>
        </w:tc>
        <w:tc>
          <w:tcPr>
            <w:tcW w:w="2976" w:type="dxa"/>
          </w:tcPr>
          <w:p w:rsidR="00582255" w:rsidRPr="00DD49B6" w:rsidRDefault="00582255" w:rsidP="007F474C">
            <w:pPr>
              <w:pStyle w:val="naiskr"/>
              <w:spacing w:before="0" w:beforeAutospacing="0" w:after="0" w:afterAutospacing="0"/>
              <w:ind w:left="57" w:right="57"/>
            </w:pPr>
            <w:r w:rsidRPr="00DD49B6">
              <w:t>Tiesiskā regulējuma ietekme uz tautsaimniecību un administratīvo slogu</w:t>
            </w:r>
          </w:p>
        </w:tc>
        <w:tc>
          <w:tcPr>
            <w:tcW w:w="6096" w:type="dxa"/>
          </w:tcPr>
          <w:p w:rsidR="00582255" w:rsidRPr="00BB5A47" w:rsidRDefault="00A35FE0" w:rsidP="007F474C">
            <w:pPr>
              <w:shd w:val="clear" w:color="auto" w:fill="FFFFFF"/>
              <w:spacing w:after="0" w:line="240" w:lineRule="auto"/>
              <w:ind w:left="57" w:right="57"/>
              <w:rPr>
                <w:rFonts w:ascii="Times New Roman" w:hAnsi="Times New Roman" w:cs="Times New Roman"/>
                <w:sz w:val="24"/>
                <w:szCs w:val="24"/>
                <w:lang w:eastAsia="lv-LV"/>
              </w:rPr>
            </w:pPr>
            <w:r w:rsidRPr="00BB5A47">
              <w:rPr>
                <w:rFonts w:ascii="Times New Roman" w:eastAsia="Times New Roman" w:hAnsi="Times New Roman" w:cs="Times New Roman"/>
                <w:sz w:val="24"/>
                <w:szCs w:val="24"/>
                <w:lang w:eastAsia="lv-LV"/>
              </w:rPr>
              <w:t>Projekts šo jomu neskar.</w:t>
            </w:r>
          </w:p>
        </w:tc>
      </w:tr>
      <w:tr w:rsidR="00582255" w:rsidRPr="00DD49B6" w:rsidTr="007F474C">
        <w:trPr>
          <w:trHeight w:val="523"/>
        </w:trPr>
        <w:tc>
          <w:tcPr>
            <w:tcW w:w="431" w:type="dxa"/>
          </w:tcPr>
          <w:p w:rsidR="00582255" w:rsidRPr="00DD49B6" w:rsidRDefault="00582255" w:rsidP="007F474C">
            <w:pPr>
              <w:pStyle w:val="naiskr"/>
              <w:spacing w:before="0" w:beforeAutospacing="0" w:after="0" w:afterAutospacing="0"/>
              <w:ind w:left="57" w:right="57"/>
              <w:jc w:val="both"/>
            </w:pPr>
            <w:r w:rsidRPr="00DD49B6">
              <w:t>3.</w:t>
            </w:r>
          </w:p>
        </w:tc>
        <w:tc>
          <w:tcPr>
            <w:tcW w:w="2976" w:type="dxa"/>
          </w:tcPr>
          <w:p w:rsidR="00582255" w:rsidRPr="00DD49B6" w:rsidRDefault="00582255" w:rsidP="007F474C">
            <w:pPr>
              <w:pStyle w:val="naiskr"/>
              <w:spacing w:before="0" w:beforeAutospacing="0" w:after="0" w:afterAutospacing="0"/>
              <w:ind w:left="57" w:right="57"/>
            </w:pPr>
            <w:r w:rsidRPr="00DD49B6">
              <w:t>Administratīvo izmaksu monetārs novērtējums</w:t>
            </w:r>
          </w:p>
        </w:tc>
        <w:tc>
          <w:tcPr>
            <w:tcW w:w="6096" w:type="dxa"/>
          </w:tcPr>
          <w:p w:rsidR="00582255" w:rsidRPr="00BB5A47" w:rsidRDefault="00A35FE0" w:rsidP="007F474C">
            <w:pPr>
              <w:shd w:val="clear" w:color="auto" w:fill="FFFFFF"/>
              <w:spacing w:after="0" w:line="240" w:lineRule="auto"/>
              <w:ind w:left="57" w:right="57"/>
              <w:rPr>
                <w:rFonts w:ascii="Times New Roman" w:hAnsi="Times New Roman" w:cs="Times New Roman"/>
                <w:sz w:val="24"/>
                <w:szCs w:val="24"/>
                <w:lang w:eastAsia="lv-LV"/>
              </w:rPr>
            </w:pPr>
            <w:r w:rsidRPr="00BB5A47">
              <w:rPr>
                <w:rFonts w:ascii="Times New Roman" w:eastAsia="Times New Roman" w:hAnsi="Times New Roman" w:cs="Times New Roman"/>
                <w:sz w:val="24"/>
                <w:szCs w:val="24"/>
                <w:lang w:eastAsia="lv-LV"/>
              </w:rPr>
              <w:t>Projekts šo jomu neskar.</w:t>
            </w:r>
          </w:p>
        </w:tc>
      </w:tr>
      <w:tr w:rsidR="00582255" w:rsidRPr="00DD49B6" w:rsidTr="007F474C">
        <w:trPr>
          <w:trHeight w:val="357"/>
        </w:trPr>
        <w:tc>
          <w:tcPr>
            <w:tcW w:w="431" w:type="dxa"/>
          </w:tcPr>
          <w:p w:rsidR="00582255" w:rsidRPr="00DD49B6" w:rsidRDefault="00582255" w:rsidP="007F474C">
            <w:pPr>
              <w:pStyle w:val="naiskr"/>
              <w:spacing w:before="0" w:beforeAutospacing="0" w:after="0" w:afterAutospacing="0"/>
              <w:ind w:left="57" w:right="57"/>
              <w:jc w:val="both"/>
            </w:pPr>
            <w:r w:rsidRPr="00DD49B6">
              <w:lastRenderedPageBreak/>
              <w:t>4.</w:t>
            </w:r>
          </w:p>
        </w:tc>
        <w:tc>
          <w:tcPr>
            <w:tcW w:w="2976" w:type="dxa"/>
          </w:tcPr>
          <w:p w:rsidR="00582255" w:rsidRPr="00DD49B6" w:rsidRDefault="00582255" w:rsidP="007F474C">
            <w:pPr>
              <w:pStyle w:val="naiskr"/>
              <w:spacing w:before="0" w:beforeAutospacing="0" w:after="0" w:afterAutospacing="0"/>
              <w:ind w:left="57" w:right="57"/>
            </w:pPr>
            <w:r w:rsidRPr="00DD49B6">
              <w:t>Cita informācija</w:t>
            </w:r>
          </w:p>
        </w:tc>
        <w:tc>
          <w:tcPr>
            <w:tcW w:w="6096" w:type="dxa"/>
          </w:tcPr>
          <w:p w:rsidR="00582255" w:rsidRPr="00DD49B6" w:rsidRDefault="00A35FE0" w:rsidP="007F474C">
            <w:pPr>
              <w:shd w:val="clear" w:color="auto" w:fill="FFFFFF"/>
              <w:spacing w:after="0" w:line="240" w:lineRule="auto"/>
              <w:ind w:left="57" w:right="57"/>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582255" w:rsidRDefault="00582255" w:rsidP="00582255">
      <w:pPr>
        <w:spacing w:after="0" w:line="240" w:lineRule="auto"/>
        <w:rPr>
          <w:rFonts w:ascii="Times New Roman" w:hAnsi="Times New Roman" w:cs="Times New Roman"/>
          <w:sz w:val="24"/>
          <w:szCs w:val="24"/>
        </w:rPr>
      </w:pPr>
    </w:p>
    <w:p w:rsidR="00A35FE0" w:rsidRPr="00A35FE0" w:rsidRDefault="00A35FE0" w:rsidP="00A35FE0">
      <w:pPr>
        <w:spacing w:line="240" w:lineRule="auto"/>
        <w:rPr>
          <w:rFonts w:ascii="Times New Roman" w:eastAsia="Times New Roman" w:hAnsi="Times New Roman" w:cs="Times New Roman"/>
          <w:sz w:val="24"/>
          <w:szCs w:val="24"/>
          <w:lang w:eastAsia="lv-LV"/>
        </w:rPr>
      </w:pPr>
      <w:r w:rsidRPr="00A35FE0">
        <w:rPr>
          <w:rFonts w:ascii="Times New Roman" w:eastAsia="Times New Roman" w:hAnsi="Times New Roman" w:cs="Times New Roman"/>
          <w:sz w:val="24"/>
          <w:szCs w:val="24"/>
          <w:lang w:eastAsia="lv-LV"/>
        </w:rPr>
        <w:t xml:space="preserve">Anotācijas III un IV sadaļa – projekts šīs jomas neskar. </w:t>
      </w: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1007"/>
        <w:gridCol w:w="1083"/>
        <w:gridCol w:w="2657"/>
        <w:gridCol w:w="2585"/>
      </w:tblGrid>
      <w:tr w:rsidR="00582255" w:rsidRPr="00DD49B6" w:rsidTr="007F474C">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rsidR="00582255" w:rsidRPr="00DD49B6" w:rsidRDefault="00582255" w:rsidP="007F474C">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582255" w:rsidRPr="00DD49B6" w:rsidTr="007F474C">
        <w:trPr>
          <w:jc w:val="center"/>
        </w:trPr>
        <w:tc>
          <w:tcPr>
            <w:tcW w:w="497" w:type="dxa"/>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3"/>
            <w:tcBorders>
              <w:top w:val="outset" w:sz="6" w:space="0" w:color="auto"/>
              <w:left w:val="outset" w:sz="6" w:space="0" w:color="auto"/>
              <w:bottom w:val="outset" w:sz="6" w:space="0" w:color="auto"/>
              <w:right w:val="outset" w:sz="6" w:space="0" w:color="auto"/>
            </w:tcBorders>
          </w:tcPr>
          <w:p w:rsidR="00BF43A5" w:rsidRPr="00BF43A5" w:rsidRDefault="00BF43A5" w:rsidP="00BF43A5">
            <w:pPr>
              <w:ind w:left="57"/>
              <w:jc w:val="both"/>
              <w:rPr>
                <w:rFonts w:ascii="Times New Roman" w:hAnsi="Times New Roman" w:cs="Times New Roman"/>
                <w:bCs/>
                <w:sz w:val="24"/>
                <w:szCs w:val="24"/>
              </w:rPr>
            </w:pPr>
            <w:r w:rsidRPr="00BF43A5">
              <w:rPr>
                <w:rFonts w:ascii="Times New Roman" w:hAnsi="Times New Roman" w:cs="Times New Roman"/>
                <w:bCs/>
                <w:sz w:val="24"/>
                <w:szCs w:val="24"/>
              </w:rPr>
              <w:t xml:space="preserve">Komisijas </w:t>
            </w:r>
            <w:r w:rsidR="00A65A38">
              <w:rPr>
                <w:rFonts w:ascii="Times New Roman" w:hAnsi="Times New Roman" w:cs="Times New Roman"/>
                <w:bCs/>
                <w:sz w:val="24"/>
                <w:szCs w:val="24"/>
              </w:rPr>
              <w:t>2011. gada 20. decembra Lēmums 2012/21/ES</w:t>
            </w:r>
            <w:r w:rsidRPr="00BF43A5">
              <w:rPr>
                <w:rFonts w:ascii="Times New Roman" w:hAnsi="Times New Roman" w:cs="Times New Roman"/>
                <w:bCs/>
                <w:sz w:val="24"/>
                <w:szCs w:val="24"/>
              </w:rPr>
              <w:t xml:space="preserve"> par Līguma par Eiropas Savienības darbību 106. panta 2. punkta piemērošanu valsts atbalstam attiecībā uz kompensāciju par sabiedriskajiem pakalpojumiem dažiem uzņēmumiem, kuriem uzticēts sniegt pakalpojumus ar vispārēju tautsaimniecisku nozīmi (izziņots ar dokumenta numuru C(2011) 9380) Dokuments attiecas uz EEZ</w:t>
            </w:r>
          </w:p>
          <w:p w:rsidR="00582255" w:rsidRPr="00DD49B6" w:rsidRDefault="00BF43A5" w:rsidP="00BF43A5">
            <w:pPr>
              <w:spacing w:after="0" w:line="240" w:lineRule="auto"/>
              <w:ind w:left="57"/>
              <w:jc w:val="both"/>
              <w:rPr>
                <w:rFonts w:ascii="Times New Roman" w:hAnsi="Times New Roman" w:cs="Times New Roman"/>
                <w:sz w:val="24"/>
                <w:szCs w:val="24"/>
              </w:rPr>
            </w:pPr>
            <w:r w:rsidRPr="00BF43A5">
              <w:rPr>
                <w:rFonts w:ascii="Times New Roman" w:hAnsi="Times New Roman" w:cs="Times New Roman"/>
                <w:sz w:val="24"/>
                <w:szCs w:val="24"/>
              </w:rPr>
              <w:t>(</w:t>
            </w:r>
            <w:r w:rsidRPr="00BF43A5">
              <w:rPr>
                <w:rFonts w:ascii="Times New Roman" w:hAnsi="Times New Roman" w:cs="Times New Roman"/>
                <w:i/>
                <w:iCs/>
                <w:sz w:val="24"/>
                <w:szCs w:val="24"/>
              </w:rPr>
              <w:t xml:space="preserve">Oficiālais Vēstnesis L 007 , 11/01/2012 </w:t>
            </w:r>
            <w:proofErr w:type="spellStart"/>
            <w:r w:rsidRPr="00BF43A5">
              <w:rPr>
                <w:rFonts w:ascii="Times New Roman" w:hAnsi="Times New Roman" w:cs="Times New Roman"/>
                <w:i/>
                <w:iCs/>
                <w:sz w:val="24"/>
                <w:szCs w:val="24"/>
              </w:rPr>
              <w:t>Lpp</w:t>
            </w:r>
            <w:proofErr w:type="spellEnd"/>
            <w:r w:rsidRPr="00BF43A5">
              <w:rPr>
                <w:rFonts w:ascii="Times New Roman" w:hAnsi="Times New Roman" w:cs="Times New Roman"/>
                <w:i/>
                <w:iCs/>
                <w:sz w:val="24"/>
                <w:szCs w:val="24"/>
              </w:rPr>
              <w:t>. 0003 – 0010)</w:t>
            </w:r>
          </w:p>
        </w:tc>
      </w:tr>
      <w:tr w:rsidR="00582255" w:rsidRPr="00DD49B6" w:rsidTr="007F474C">
        <w:trPr>
          <w:jc w:val="center"/>
        </w:trPr>
        <w:tc>
          <w:tcPr>
            <w:tcW w:w="497" w:type="dxa"/>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3"/>
            <w:tcBorders>
              <w:top w:val="outset" w:sz="6" w:space="0" w:color="auto"/>
              <w:left w:val="outset" w:sz="6" w:space="0" w:color="auto"/>
              <w:bottom w:val="outset" w:sz="6" w:space="0" w:color="auto"/>
              <w:right w:val="outset" w:sz="6" w:space="0" w:color="auto"/>
            </w:tcBorders>
          </w:tcPr>
          <w:p w:rsidR="00582255" w:rsidRPr="00DD49B6" w:rsidRDefault="00BF43A5" w:rsidP="007F474C">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582255" w:rsidRPr="00DD49B6" w:rsidTr="007F474C">
        <w:trPr>
          <w:jc w:val="center"/>
        </w:trPr>
        <w:tc>
          <w:tcPr>
            <w:tcW w:w="497" w:type="dxa"/>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3"/>
            <w:tcBorders>
              <w:top w:val="outset" w:sz="6" w:space="0" w:color="auto"/>
              <w:left w:val="outset" w:sz="6" w:space="0" w:color="auto"/>
              <w:bottom w:val="outset" w:sz="6" w:space="0" w:color="auto"/>
              <w:right w:val="outset" w:sz="6" w:space="0" w:color="auto"/>
            </w:tcBorders>
          </w:tcPr>
          <w:p w:rsidR="00582255" w:rsidRPr="00DD49B6" w:rsidRDefault="00BF43A5" w:rsidP="007F474C">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582255" w:rsidRPr="00DD49B6" w:rsidTr="007F474C">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rsidR="00582255" w:rsidRPr="00DD49B6" w:rsidRDefault="00582255" w:rsidP="007F474C">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rsidR="00582255" w:rsidRPr="00DD49B6" w:rsidRDefault="00582255" w:rsidP="007F474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58225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4"/>
            <w:tcBorders>
              <w:top w:val="outset" w:sz="6" w:space="0" w:color="auto"/>
              <w:left w:val="outset" w:sz="6" w:space="0" w:color="auto"/>
              <w:bottom w:val="outset" w:sz="6" w:space="0" w:color="auto"/>
              <w:right w:val="outset" w:sz="6" w:space="0" w:color="auto"/>
            </w:tcBorders>
          </w:tcPr>
          <w:p w:rsidR="00BF43A5" w:rsidRPr="00BF43A5" w:rsidRDefault="00BF43A5" w:rsidP="00BF43A5">
            <w:pPr>
              <w:ind w:left="57"/>
              <w:jc w:val="both"/>
              <w:rPr>
                <w:rFonts w:ascii="Times New Roman" w:hAnsi="Times New Roman" w:cs="Times New Roman"/>
                <w:bCs/>
              </w:rPr>
            </w:pPr>
            <w:r w:rsidRPr="00BF43A5">
              <w:rPr>
                <w:rFonts w:ascii="Times New Roman" w:hAnsi="Times New Roman" w:cs="Times New Roman"/>
                <w:bCs/>
              </w:rPr>
              <w:t xml:space="preserve">Komisijas </w:t>
            </w:r>
            <w:r w:rsidR="00A65A38">
              <w:rPr>
                <w:rFonts w:ascii="Times New Roman" w:hAnsi="Times New Roman" w:cs="Times New Roman"/>
                <w:bCs/>
              </w:rPr>
              <w:t xml:space="preserve">2011. gada 20. decembra Lēmums </w:t>
            </w:r>
            <w:r w:rsidRPr="00BF43A5">
              <w:rPr>
                <w:rFonts w:ascii="Times New Roman" w:hAnsi="Times New Roman" w:cs="Times New Roman"/>
                <w:bCs/>
              </w:rPr>
              <w:t>2012/21/ES par Līguma par Eiropas Savienības darbību 106. panta 2. punkta piemērošanu valsts atbalstam attiecībā uz kompensāciju par sabiedriskajiem pakalpojumiem dažiem uzņēmumiem, kuriem uzticēts sniegt pakalpojumus ar vispārēju tautsaimniecisku nozīmi (izziņots ar dokumenta numuru C(2011) 9380) Dokuments attiecas uz EEZ</w:t>
            </w:r>
          </w:p>
          <w:p w:rsidR="00582255" w:rsidRPr="00DD49B6" w:rsidRDefault="00BF43A5" w:rsidP="00BF43A5">
            <w:pPr>
              <w:spacing w:after="0" w:line="240" w:lineRule="auto"/>
              <w:ind w:left="57"/>
              <w:rPr>
                <w:rFonts w:ascii="Times New Roman" w:hAnsi="Times New Roman" w:cs="Times New Roman"/>
                <w:sz w:val="24"/>
                <w:szCs w:val="24"/>
              </w:rPr>
            </w:pPr>
            <w:r w:rsidRPr="00BF43A5">
              <w:rPr>
                <w:rFonts w:ascii="Times New Roman" w:hAnsi="Times New Roman" w:cs="Times New Roman"/>
              </w:rPr>
              <w:t>(</w:t>
            </w:r>
            <w:r w:rsidRPr="00BF43A5">
              <w:rPr>
                <w:rFonts w:ascii="Times New Roman" w:hAnsi="Times New Roman" w:cs="Times New Roman"/>
                <w:i/>
                <w:iCs/>
              </w:rPr>
              <w:t xml:space="preserve">Oficiālais Vēstnesis L 007 , 11/01/2012 </w:t>
            </w:r>
            <w:proofErr w:type="spellStart"/>
            <w:r w:rsidRPr="00BF43A5">
              <w:rPr>
                <w:rFonts w:ascii="Times New Roman" w:hAnsi="Times New Roman" w:cs="Times New Roman"/>
                <w:i/>
                <w:iCs/>
              </w:rPr>
              <w:t>Lpp</w:t>
            </w:r>
            <w:proofErr w:type="spellEnd"/>
            <w:r w:rsidRPr="00BF43A5">
              <w:rPr>
                <w:rFonts w:ascii="Times New Roman" w:hAnsi="Times New Roman" w:cs="Times New Roman"/>
                <w:i/>
                <w:iCs/>
              </w:rPr>
              <w:t>. 0003 – 0010</w:t>
            </w:r>
            <w:r>
              <w:rPr>
                <w:i/>
                <w:iCs/>
              </w:rPr>
              <w:t>)</w:t>
            </w:r>
          </w:p>
        </w:tc>
      </w:tr>
      <w:tr w:rsidR="0058225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rsidR="00582255" w:rsidRPr="00DD49B6" w:rsidRDefault="00582255" w:rsidP="007F474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2"/>
            <w:tcBorders>
              <w:top w:val="outset" w:sz="6" w:space="0" w:color="auto"/>
              <w:left w:val="outset" w:sz="6" w:space="0" w:color="auto"/>
              <w:bottom w:val="outset" w:sz="6" w:space="0" w:color="auto"/>
              <w:right w:val="outset" w:sz="6" w:space="0" w:color="auto"/>
            </w:tcBorders>
            <w:vAlign w:val="center"/>
          </w:tcPr>
          <w:p w:rsidR="00582255" w:rsidRPr="00DD49B6" w:rsidRDefault="00582255" w:rsidP="007F474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tcBorders>
              <w:top w:val="outset" w:sz="6" w:space="0" w:color="auto"/>
              <w:left w:val="outset" w:sz="6" w:space="0" w:color="auto"/>
              <w:bottom w:val="outset" w:sz="6" w:space="0" w:color="auto"/>
              <w:right w:val="outset" w:sz="6" w:space="0" w:color="auto"/>
            </w:tcBorders>
            <w:vAlign w:val="center"/>
          </w:tcPr>
          <w:p w:rsidR="00582255" w:rsidRPr="00DD49B6" w:rsidRDefault="00582255" w:rsidP="007F474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rsidR="00582255" w:rsidRPr="00DD49B6" w:rsidRDefault="00582255" w:rsidP="007F474C">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58225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Projekta vienība, kas pārņem vai ievieš katru šīs tabulas A</w:t>
            </w:r>
            <w:r>
              <w:rPr>
                <w:rFonts w:ascii="Times New Roman" w:hAnsi="Times New Roman" w:cs="Times New Roman"/>
                <w:spacing w:val="-3"/>
                <w:sz w:val="24"/>
                <w:szCs w:val="24"/>
              </w:rPr>
              <w:t> </w:t>
            </w:r>
            <w:r w:rsidRPr="00DD49B6">
              <w:rPr>
                <w:rFonts w:ascii="Times New Roman" w:hAnsi="Times New Roman" w:cs="Times New Roman"/>
                <w:spacing w:val="-3"/>
                <w:sz w:val="24"/>
                <w:szCs w:val="24"/>
              </w:rPr>
              <w:t>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Informācija par to, vai šīs tabulas A ailē minētās ES tiesību akta vienības tiek pārņemtas vai ieviestas pilnībā vai daļēji.</w:t>
            </w:r>
          </w:p>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pacing w:val="-3"/>
                <w:sz w:val="24"/>
                <w:szCs w:val="24"/>
              </w:rPr>
              <w:t xml:space="preserve">Informācija par to, vai šīs </w:t>
            </w:r>
            <w:r w:rsidRPr="00DD49B6">
              <w:rPr>
                <w:rFonts w:ascii="Times New Roman" w:hAnsi="Times New Roman" w:cs="Times New Roman"/>
                <w:sz w:val="24"/>
                <w:szCs w:val="24"/>
              </w:rPr>
              <w:t>tabulas B ailē minētās projekta vienības paredz stingrākas prasības nekā šīs tabulas A ailē minētās ES tiesību akta vienības.</w:t>
            </w:r>
          </w:p>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projekts satur stingrā</w:t>
            </w:r>
            <w:r>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w:t>
            </w:r>
            <w:proofErr w:type="spellStart"/>
            <w:r w:rsidRPr="00DD49B6">
              <w:rPr>
                <w:rFonts w:ascii="Times New Roman" w:hAnsi="Times New Roman" w:cs="Times New Roman"/>
                <w:sz w:val="24"/>
                <w:szCs w:val="24"/>
              </w:rPr>
              <w:t>t.sk</w:t>
            </w:r>
            <w:proofErr w:type="spellEnd"/>
            <w:r w:rsidRPr="00DD49B6">
              <w:rPr>
                <w:rFonts w:ascii="Times New Roman" w:hAnsi="Times New Roman" w:cs="Times New Roman"/>
                <w:sz w:val="24"/>
                <w:szCs w:val="24"/>
              </w:rPr>
              <w:t>.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w:t>
            </w:r>
            <w:r w:rsidRPr="00DD49B6">
              <w:rPr>
                <w:rFonts w:ascii="Times New Roman" w:hAnsi="Times New Roman" w:cs="Times New Roman"/>
                <w:spacing w:val="-3"/>
                <w:sz w:val="24"/>
                <w:szCs w:val="24"/>
              </w:rPr>
              <w:lastRenderedPageBreak/>
              <w:t>noteikšanas, nekā paredzēts attiecīgajos ES tiesību aktos</w:t>
            </w:r>
          </w:p>
        </w:tc>
      </w:tr>
      <w:tr w:rsidR="00BF43A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BF43A5" w:rsidRPr="00BF43A5" w:rsidRDefault="00566892" w:rsidP="00566892">
            <w:pPr>
              <w:ind w:left="57"/>
              <w:rPr>
                <w:rFonts w:ascii="Times New Roman" w:hAnsi="Times New Roman" w:cs="Times New Roman"/>
                <w:sz w:val="24"/>
                <w:szCs w:val="24"/>
              </w:rPr>
            </w:pPr>
            <w:r>
              <w:rPr>
                <w:rFonts w:ascii="Times New Roman" w:hAnsi="Times New Roman" w:cs="Times New Roman"/>
                <w:bCs/>
                <w:sz w:val="24"/>
                <w:szCs w:val="24"/>
              </w:rPr>
              <w:lastRenderedPageBreak/>
              <w:t>Komisijas 2011. gada lēmuma 2</w:t>
            </w:r>
            <w:r w:rsidR="00BF43A5" w:rsidRPr="00BF43A5">
              <w:rPr>
                <w:rFonts w:ascii="Times New Roman" w:hAnsi="Times New Roman" w:cs="Times New Roman"/>
                <w:bCs/>
                <w:sz w:val="24"/>
                <w:szCs w:val="24"/>
              </w:rPr>
              <w:t xml:space="preserve">.panta  </w:t>
            </w:r>
            <w:r>
              <w:rPr>
                <w:rFonts w:ascii="Times New Roman" w:hAnsi="Times New Roman" w:cs="Times New Roman"/>
                <w:bCs/>
                <w:sz w:val="24"/>
                <w:szCs w:val="24"/>
              </w:rPr>
              <w:t xml:space="preserve">1.punkta </w:t>
            </w:r>
            <w:r w:rsidR="00BF43A5" w:rsidRPr="00BF43A5">
              <w:rPr>
                <w:rFonts w:ascii="Times New Roman" w:hAnsi="Times New Roman" w:cs="Times New Roman"/>
                <w:bCs/>
                <w:sz w:val="24"/>
                <w:szCs w:val="24"/>
              </w:rPr>
              <w:t>e) apakšpunkts</w:t>
            </w:r>
          </w:p>
        </w:tc>
        <w:tc>
          <w:tcPr>
            <w:tcW w:w="2090" w:type="dxa"/>
            <w:gridSpan w:val="2"/>
            <w:tcBorders>
              <w:top w:val="outset" w:sz="6" w:space="0" w:color="auto"/>
              <w:left w:val="outset" w:sz="6" w:space="0" w:color="auto"/>
              <w:bottom w:val="outset" w:sz="6" w:space="0" w:color="auto"/>
              <w:right w:val="outset" w:sz="6" w:space="0" w:color="auto"/>
            </w:tcBorders>
          </w:tcPr>
          <w:p w:rsidR="00BF43A5" w:rsidRPr="00BF43A5" w:rsidRDefault="00BF43A5" w:rsidP="007F474C">
            <w:pPr>
              <w:ind w:left="57"/>
              <w:rPr>
                <w:rFonts w:ascii="Times New Roman" w:hAnsi="Times New Roman" w:cs="Times New Roman"/>
                <w:sz w:val="24"/>
                <w:szCs w:val="24"/>
              </w:rPr>
            </w:pPr>
            <w:r w:rsidRPr="00BF43A5">
              <w:rPr>
                <w:rFonts w:ascii="Times New Roman" w:hAnsi="Times New Roman" w:cs="Times New Roman"/>
                <w:bCs/>
                <w:sz w:val="24"/>
                <w:szCs w:val="24"/>
              </w:rPr>
              <w:t xml:space="preserve">Noteikumu projekta 1.punkts. </w:t>
            </w:r>
          </w:p>
        </w:tc>
        <w:tc>
          <w:tcPr>
            <w:tcW w:w="2657" w:type="dxa"/>
            <w:tcBorders>
              <w:top w:val="outset" w:sz="6" w:space="0" w:color="auto"/>
              <w:left w:val="outset" w:sz="6" w:space="0" w:color="auto"/>
              <w:bottom w:val="outset" w:sz="6" w:space="0" w:color="auto"/>
              <w:right w:val="outset" w:sz="6" w:space="0" w:color="auto"/>
            </w:tcBorders>
          </w:tcPr>
          <w:p w:rsidR="00BF43A5" w:rsidRPr="007614CA" w:rsidRDefault="007614CA" w:rsidP="007F474C">
            <w:pPr>
              <w:spacing w:after="0" w:line="240" w:lineRule="auto"/>
              <w:ind w:left="57"/>
              <w:rPr>
                <w:rFonts w:ascii="Times New Roman" w:hAnsi="Times New Roman" w:cs="Times New Roman"/>
                <w:spacing w:val="-2"/>
                <w:sz w:val="24"/>
                <w:szCs w:val="24"/>
              </w:rPr>
            </w:pPr>
            <w:r w:rsidRPr="007614CA">
              <w:rPr>
                <w:rFonts w:ascii="Times New Roman" w:hAnsi="Times New Roman" w:cs="Times New Roman"/>
                <w:iCs/>
                <w:sz w:val="24"/>
                <w:szCs w:val="24"/>
              </w:rPr>
              <w:t>Tiesību norma izpildīta pilnībā.</w:t>
            </w:r>
          </w:p>
        </w:tc>
        <w:tc>
          <w:tcPr>
            <w:tcW w:w="2585" w:type="dxa"/>
            <w:tcBorders>
              <w:top w:val="outset" w:sz="6" w:space="0" w:color="auto"/>
              <w:left w:val="outset" w:sz="6" w:space="0" w:color="auto"/>
              <w:bottom w:val="outset" w:sz="6" w:space="0" w:color="auto"/>
              <w:right w:val="outset" w:sz="6" w:space="0" w:color="auto"/>
            </w:tcBorders>
          </w:tcPr>
          <w:p w:rsidR="00BF43A5" w:rsidRPr="00DD49B6" w:rsidRDefault="00BF43A5" w:rsidP="007F474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Stingrākas prasības netiek  piemērotas.</w:t>
            </w:r>
          </w:p>
        </w:tc>
      </w:tr>
      <w:tr w:rsidR="00BF43A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BF43A5" w:rsidRPr="00BF43A5" w:rsidRDefault="00566892" w:rsidP="00566892">
            <w:pPr>
              <w:ind w:left="57"/>
              <w:rPr>
                <w:rFonts w:ascii="Times New Roman" w:hAnsi="Times New Roman" w:cs="Times New Roman"/>
                <w:bCs/>
                <w:sz w:val="24"/>
                <w:szCs w:val="24"/>
              </w:rPr>
            </w:pPr>
            <w:r>
              <w:rPr>
                <w:rFonts w:ascii="Times New Roman" w:hAnsi="Times New Roman" w:cs="Times New Roman"/>
                <w:bCs/>
                <w:sz w:val="24"/>
                <w:szCs w:val="24"/>
              </w:rPr>
              <w:t>Komisijas 2011. gada lēmuma 2.panta 2.punkts</w:t>
            </w:r>
            <w:r w:rsidR="00BF43A5" w:rsidRPr="00BF43A5">
              <w:rPr>
                <w:rFonts w:ascii="Times New Roman" w:hAnsi="Times New Roman" w:cs="Times New Roman"/>
                <w:bCs/>
                <w:sz w:val="24"/>
                <w:szCs w:val="24"/>
              </w:rPr>
              <w:t xml:space="preserve">. </w:t>
            </w:r>
          </w:p>
        </w:tc>
        <w:tc>
          <w:tcPr>
            <w:tcW w:w="2090" w:type="dxa"/>
            <w:gridSpan w:val="2"/>
            <w:tcBorders>
              <w:top w:val="outset" w:sz="6" w:space="0" w:color="auto"/>
              <w:left w:val="outset" w:sz="6" w:space="0" w:color="auto"/>
              <w:bottom w:val="outset" w:sz="6" w:space="0" w:color="auto"/>
              <w:right w:val="outset" w:sz="6" w:space="0" w:color="auto"/>
            </w:tcBorders>
          </w:tcPr>
          <w:p w:rsidR="00BF43A5" w:rsidRPr="00BF43A5" w:rsidRDefault="00BF43A5" w:rsidP="007F474C">
            <w:pPr>
              <w:ind w:left="57"/>
              <w:rPr>
                <w:rFonts w:ascii="Times New Roman" w:hAnsi="Times New Roman" w:cs="Times New Roman"/>
                <w:bCs/>
                <w:sz w:val="24"/>
                <w:szCs w:val="24"/>
              </w:rPr>
            </w:pPr>
            <w:r w:rsidRPr="00BF43A5">
              <w:rPr>
                <w:rFonts w:ascii="Times New Roman" w:hAnsi="Times New Roman" w:cs="Times New Roman"/>
                <w:bCs/>
                <w:sz w:val="24"/>
                <w:szCs w:val="24"/>
              </w:rPr>
              <w:t>Noteikumu projekta 2.punkts.</w:t>
            </w:r>
          </w:p>
        </w:tc>
        <w:tc>
          <w:tcPr>
            <w:tcW w:w="2657" w:type="dxa"/>
            <w:tcBorders>
              <w:top w:val="outset" w:sz="6" w:space="0" w:color="auto"/>
              <w:left w:val="outset" w:sz="6" w:space="0" w:color="auto"/>
              <w:bottom w:val="outset" w:sz="6" w:space="0" w:color="auto"/>
              <w:right w:val="outset" w:sz="6" w:space="0" w:color="auto"/>
            </w:tcBorders>
          </w:tcPr>
          <w:p w:rsidR="00BF43A5" w:rsidRPr="00DD49B6" w:rsidRDefault="007614CA" w:rsidP="007F474C">
            <w:pPr>
              <w:spacing w:after="0" w:line="240" w:lineRule="auto"/>
              <w:ind w:left="57"/>
              <w:rPr>
                <w:rFonts w:ascii="Times New Roman" w:hAnsi="Times New Roman" w:cs="Times New Roman"/>
                <w:spacing w:val="-2"/>
                <w:sz w:val="24"/>
                <w:szCs w:val="24"/>
              </w:rPr>
            </w:pPr>
            <w:r w:rsidRPr="007614CA">
              <w:rPr>
                <w:rFonts w:ascii="Times New Roman" w:hAnsi="Times New Roman" w:cs="Times New Roman"/>
                <w:iCs/>
                <w:sz w:val="24"/>
                <w:szCs w:val="24"/>
              </w:rPr>
              <w:t>Tiesību norma izpildīta pilnībā.</w:t>
            </w:r>
          </w:p>
        </w:tc>
        <w:tc>
          <w:tcPr>
            <w:tcW w:w="2585" w:type="dxa"/>
            <w:tcBorders>
              <w:top w:val="outset" w:sz="6" w:space="0" w:color="auto"/>
              <w:left w:val="outset" w:sz="6" w:space="0" w:color="auto"/>
              <w:bottom w:val="outset" w:sz="6" w:space="0" w:color="auto"/>
              <w:right w:val="outset" w:sz="6" w:space="0" w:color="auto"/>
            </w:tcBorders>
          </w:tcPr>
          <w:p w:rsidR="00BF43A5" w:rsidRPr="00DD49B6" w:rsidRDefault="00BF43A5" w:rsidP="007F474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Stingrākas prasības netiek  piemērotas.</w:t>
            </w:r>
          </w:p>
        </w:tc>
      </w:tr>
      <w:tr w:rsidR="00BF43A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BF43A5" w:rsidRPr="00BF43A5" w:rsidRDefault="00BF43A5" w:rsidP="007F474C">
            <w:pPr>
              <w:ind w:left="57"/>
              <w:rPr>
                <w:rFonts w:ascii="Times New Roman" w:hAnsi="Times New Roman" w:cs="Times New Roman"/>
                <w:bCs/>
                <w:sz w:val="24"/>
                <w:szCs w:val="24"/>
              </w:rPr>
            </w:pPr>
            <w:r w:rsidRPr="00BF43A5">
              <w:rPr>
                <w:rFonts w:ascii="Times New Roman" w:hAnsi="Times New Roman" w:cs="Times New Roman"/>
                <w:bCs/>
                <w:sz w:val="24"/>
                <w:szCs w:val="24"/>
              </w:rPr>
              <w:t xml:space="preserve">Komisijas 2011. gada lēmuma 4. </w:t>
            </w:r>
            <w:r w:rsidR="004D2705">
              <w:rPr>
                <w:rFonts w:ascii="Times New Roman" w:hAnsi="Times New Roman" w:cs="Times New Roman"/>
                <w:bCs/>
                <w:sz w:val="24"/>
                <w:szCs w:val="24"/>
              </w:rPr>
              <w:t>p</w:t>
            </w:r>
            <w:r w:rsidR="00DC128B">
              <w:rPr>
                <w:rFonts w:ascii="Times New Roman" w:hAnsi="Times New Roman" w:cs="Times New Roman"/>
                <w:bCs/>
                <w:sz w:val="24"/>
                <w:szCs w:val="24"/>
              </w:rPr>
              <w:t xml:space="preserve">anta </w:t>
            </w:r>
            <w:r w:rsidRPr="00BF43A5">
              <w:rPr>
                <w:rFonts w:ascii="Times New Roman" w:hAnsi="Times New Roman" w:cs="Times New Roman"/>
                <w:bCs/>
                <w:sz w:val="24"/>
                <w:szCs w:val="24"/>
              </w:rPr>
              <w:t>f) apakšpunkts</w:t>
            </w:r>
          </w:p>
        </w:tc>
        <w:tc>
          <w:tcPr>
            <w:tcW w:w="2090" w:type="dxa"/>
            <w:gridSpan w:val="2"/>
            <w:tcBorders>
              <w:top w:val="outset" w:sz="6" w:space="0" w:color="auto"/>
              <w:left w:val="outset" w:sz="6" w:space="0" w:color="auto"/>
              <w:bottom w:val="outset" w:sz="6" w:space="0" w:color="auto"/>
              <w:right w:val="outset" w:sz="6" w:space="0" w:color="auto"/>
            </w:tcBorders>
          </w:tcPr>
          <w:p w:rsidR="00BF43A5" w:rsidRPr="00BF43A5" w:rsidRDefault="00BF43A5" w:rsidP="007F474C">
            <w:pPr>
              <w:ind w:left="57"/>
              <w:rPr>
                <w:rFonts w:ascii="Times New Roman" w:hAnsi="Times New Roman" w:cs="Times New Roman"/>
                <w:bCs/>
                <w:sz w:val="24"/>
                <w:szCs w:val="24"/>
              </w:rPr>
            </w:pPr>
            <w:r w:rsidRPr="00BF43A5">
              <w:rPr>
                <w:rFonts w:ascii="Times New Roman" w:hAnsi="Times New Roman" w:cs="Times New Roman"/>
                <w:bCs/>
                <w:sz w:val="24"/>
                <w:szCs w:val="24"/>
              </w:rPr>
              <w:t>Noteikumu projekta 4.punkts.</w:t>
            </w:r>
          </w:p>
        </w:tc>
        <w:tc>
          <w:tcPr>
            <w:tcW w:w="2657" w:type="dxa"/>
            <w:tcBorders>
              <w:top w:val="outset" w:sz="6" w:space="0" w:color="auto"/>
              <w:left w:val="outset" w:sz="6" w:space="0" w:color="auto"/>
              <w:bottom w:val="outset" w:sz="6" w:space="0" w:color="auto"/>
              <w:right w:val="outset" w:sz="6" w:space="0" w:color="auto"/>
            </w:tcBorders>
          </w:tcPr>
          <w:p w:rsidR="00BF43A5" w:rsidRPr="00DD49B6" w:rsidRDefault="007614CA" w:rsidP="007F474C">
            <w:pPr>
              <w:spacing w:after="0" w:line="240" w:lineRule="auto"/>
              <w:ind w:left="57"/>
              <w:rPr>
                <w:rFonts w:ascii="Times New Roman" w:hAnsi="Times New Roman" w:cs="Times New Roman"/>
                <w:spacing w:val="-2"/>
                <w:sz w:val="24"/>
                <w:szCs w:val="24"/>
              </w:rPr>
            </w:pPr>
            <w:r w:rsidRPr="007614CA">
              <w:rPr>
                <w:rFonts w:ascii="Times New Roman" w:hAnsi="Times New Roman" w:cs="Times New Roman"/>
                <w:iCs/>
                <w:sz w:val="24"/>
                <w:szCs w:val="24"/>
              </w:rPr>
              <w:t>Tiesību norma izpildīta pilnībā.</w:t>
            </w:r>
          </w:p>
        </w:tc>
        <w:tc>
          <w:tcPr>
            <w:tcW w:w="2585" w:type="dxa"/>
            <w:tcBorders>
              <w:top w:val="outset" w:sz="6" w:space="0" w:color="auto"/>
              <w:left w:val="outset" w:sz="6" w:space="0" w:color="auto"/>
              <w:bottom w:val="outset" w:sz="6" w:space="0" w:color="auto"/>
              <w:right w:val="outset" w:sz="6" w:space="0" w:color="auto"/>
            </w:tcBorders>
          </w:tcPr>
          <w:p w:rsidR="00BF43A5" w:rsidRPr="00DD49B6" w:rsidRDefault="00BF43A5" w:rsidP="007F474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Stingrākas prasības netiek  piemērotas.</w:t>
            </w:r>
          </w:p>
        </w:tc>
      </w:tr>
      <w:tr w:rsidR="00BF43A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BF43A5" w:rsidRPr="00BF43A5" w:rsidRDefault="00BF43A5" w:rsidP="007F474C">
            <w:pPr>
              <w:ind w:left="57"/>
              <w:rPr>
                <w:rFonts w:ascii="Times New Roman" w:hAnsi="Times New Roman" w:cs="Times New Roman"/>
                <w:bCs/>
                <w:sz w:val="24"/>
                <w:szCs w:val="24"/>
              </w:rPr>
            </w:pPr>
            <w:r w:rsidRPr="00BF43A5">
              <w:rPr>
                <w:rFonts w:ascii="Times New Roman" w:hAnsi="Times New Roman" w:cs="Times New Roman"/>
                <w:bCs/>
                <w:sz w:val="24"/>
                <w:szCs w:val="24"/>
              </w:rPr>
              <w:t>Komisijas 2011. gada lēmuma 6.panta 1.punkts.</w:t>
            </w:r>
          </w:p>
        </w:tc>
        <w:tc>
          <w:tcPr>
            <w:tcW w:w="2090" w:type="dxa"/>
            <w:gridSpan w:val="2"/>
            <w:tcBorders>
              <w:top w:val="outset" w:sz="6" w:space="0" w:color="auto"/>
              <w:left w:val="outset" w:sz="6" w:space="0" w:color="auto"/>
              <w:bottom w:val="outset" w:sz="6" w:space="0" w:color="auto"/>
              <w:right w:val="outset" w:sz="6" w:space="0" w:color="auto"/>
            </w:tcBorders>
          </w:tcPr>
          <w:p w:rsidR="00BF43A5" w:rsidRPr="00BF43A5" w:rsidRDefault="00BF43A5" w:rsidP="007F474C">
            <w:pPr>
              <w:ind w:left="57"/>
              <w:rPr>
                <w:rFonts w:ascii="Times New Roman" w:hAnsi="Times New Roman" w:cs="Times New Roman"/>
                <w:bCs/>
                <w:sz w:val="24"/>
                <w:szCs w:val="24"/>
              </w:rPr>
            </w:pPr>
            <w:r w:rsidRPr="00BF43A5">
              <w:rPr>
                <w:rFonts w:ascii="Times New Roman" w:hAnsi="Times New Roman" w:cs="Times New Roman"/>
                <w:bCs/>
                <w:sz w:val="24"/>
                <w:szCs w:val="24"/>
              </w:rPr>
              <w:t>Noteikumu projekta 3.punkts.</w:t>
            </w:r>
          </w:p>
        </w:tc>
        <w:tc>
          <w:tcPr>
            <w:tcW w:w="2657" w:type="dxa"/>
            <w:tcBorders>
              <w:top w:val="outset" w:sz="6" w:space="0" w:color="auto"/>
              <w:left w:val="outset" w:sz="6" w:space="0" w:color="auto"/>
              <w:bottom w:val="outset" w:sz="6" w:space="0" w:color="auto"/>
              <w:right w:val="outset" w:sz="6" w:space="0" w:color="auto"/>
            </w:tcBorders>
          </w:tcPr>
          <w:p w:rsidR="00BF43A5" w:rsidRDefault="007614CA" w:rsidP="007F474C">
            <w:pPr>
              <w:spacing w:after="0" w:line="240" w:lineRule="auto"/>
              <w:ind w:left="57"/>
              <w:rPr>
                <w:rFonts w:ascii="Times New Roman" w:hAnsi="Times New Roman" w:cs="Times New Roman"/>
                <w:iCs/>
                <w:sz w:val="24"/>
                <w:szCs w:val="24"/>
              </w:rPr>
            </w:pPr>
            <w:r w:rsidRPr="007614CA">
              <w:rPr>
                <w:rFonts w:ascii="Times New Roman" w:hAnsi="Times New Roman" w:cs="Times New Roman"/>
                <w:iCs/>
                <w:sz w:val="24"/>
                <w:szCs w:val="24"/>
              </w:rPr>
              <w:t>Tiesību norma izpildīta pilnībā.</w:t>
            </w:r>
          </w:p>
          <w:p w:rsidR="00BB5A47" w:rsidRPr="00DD49B6" w:rsidRDefault="00BB5A47" w:rsidP="007F474C">
            <w:pPr>
              <w:spacing w:after="0" w:line="240" w:lineRule="auto"/>
              <w:ind w:left="57"/>
              <w:rPr>
                <w:rFonts w:ascii="Times New Roman" w:hAnsi="Times New Roman" w:cs="Times New Roman"/>
                <w:spacing w:val="-2"/>
                <w:sz w:val="24"/>
                <w:szCs w:val="24"/>
              </w:rPr>
            </w:pPr>
          </w:p>
        </w:tc>
        <w:tc>
          <w:tcPr>
            <w:tcW w:w="2585" w:type="dxa"/>
            <w:tcBorders>
              <w:top w:val="outset" w:sz="6" w:space="0" w:color="auto"/>
              <w:left w:val="outset" w:sz="6" w:space="0" w:color="auto"/>
              <w:bottom w:val="outset" w:sz="6" w:space="0" w:color="auto"/>
              <w:right w:val="outset" w:sz="6" w:space="0" w:color="auto"/>
            </w:tcBorders>
          </w:tcPr>
          <w:p w:rsidR="00BF43A5" w:rsidRPr="00DD49B6" w:rsidRDefault="00BF43A5" w:rsidP="007F474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Stingrākas prasības netiek  piemērotas.</w:t>
            </w:r>
          </w:p>
        </w:tc>
      </w:tr>
      <w:tr w:rsidR="0058225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4"/>
            <w:tcBorders>
              <w:top w:val="outset" w:sz="6" w:space="0" w:color="auto"/>
              <w:left w:val="outset" w:sz="6" w:space="0" w:color="auto"/>
              <w:bottom w:val="outset" w:sz="6" w:space="0" w:color="auto"/>
              <w:right w:val="outset" w:sz="6" w:space="0" w:color="auto"/>
            </w:tcBorders>
          </w:tcPr>
          <w:p w:rsidR="00582255" w:rsidRPr="00DD49B6" w:rsidRDefault="00BF43A5" w:rsidP="007F474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58225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4"/>
            <w:tcBorders>
              <w:top w:val="outset" w:sz="6" w:space="0" w:color="auto"/>
              <w:left w:val="outset" w:sz="6" w:space="0" w:color="auto"/>
              <w:bottom w:val="outset" w:sz="6" w:space="0" w:color="auto"/>
              <w:right w:val="outset" w:sz="6" w:space="0" w:color="auto"/>
            </w:tcBorders>
          </w:tcPr>
          <w:p w:rsidR="00582255" w:rsidRPr="00DD49B6" w:rsidRDefault="007614CA" w:rsidP="007F474C">
            <w:pPr>
              <w:spacing w:after="0" w:line="240" w:lineRule="auto"/>
              <w:ind w:left="57"/>
              <w:rPr>
                <w:rFonts w:ascii="Times New Roman" w:hAnsi="Times New Roman" w:cs="Times New Roman"/>
                <w:sz w:val="24"/>
                <w:szCs w:val="24"/>
              </w:rPr>
            </w:pPr>
            <w:r>
              <w:rPr>
                <w:rFonts w:ascii="Times New Roman" w:hAnsi="Times New Roman" w:cs="Times New Roman"/>
                <w:spacing w:val="-2"/>
                <w:sz w:val="24"/>
                <w:szCs w:val="24"/>
              </w:rPr>
              <w:t>Stingrākas prasības netiek  piemērotas.</w:t>
            </w:r>
          </w:p>
        </w:tc>
      </w:tr>
      <w:tr w:rsidR="00582255" w:rsidRPr="00DD49B6" w:rsidTr="007F474C">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DD49B6" w:rsidRDefault="00582255" w:rsidP="007F474C">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7332" w:type="dxa"/>
            <w:gridSpan w:val="4"/>
            <w:tcBorders>
              <w:top w:val="outset" w:sz="6" w:space="0" w:color="auto"/>
              <w:left w:val="outset" w:sz="6" w:space="0" w:color="auto"/>
              <w:bottom w:val="outset" w:sz="6" w:space="0" w:color="auto"/>
              <w:right w:val="outset" w:sz="6" w:space="0" w:color="auto"/>
            </w:tcBorders>
          </w:tcPr>
          <w:p w:rsidR="00582255" w:rsidRPr="00DD49B6" w:rsidRDefault="007614CA" w:rsidP="007F474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bl>
    <w:p w:rsidR="00A35FE0" w:rsidRDefault="00A35FE0" w:rsidP="00582255">
      <w:pPr>
        <w:spacing w:after="0" w:line="240" w:lineRule="auto"/>
        <w:rPr>
          <w:rFonts w:ascii="Times New Roman" w:eastAsia="Times New Roman" w:hAnsi="Times New Roman" w:cs="Times New Roman"/>
          <w:sz w:val="24"/>
          <w:szCs w:val="24"/>
          <w:lang w:eastAsia="lv-LV"/>
        </w:rPr>
      </w:pPr>
    </w:p>
    <w:p w:rsidR="00582255" w:rsidRDefault="00A35FE0" w:rsidP="00582255">
      <w:pPr>
        <w:spacing w:after="0" w:line="240" w:lineRule="auto"/>
        <w:rPr>
          <w:rFonts w:ascii="Times New Roman" w:eastAsia="Times New Roman" w:hAnsi="Times New Roman" w:cs="Times New Roman"/>
          <w:sz w:val="24"/>
          <w:szCs w:val="24"/>
          <w:lang w:eastAsia="lv-LV"/>
        </w:rPr>
      </w:pPr>
      <w:r w:rsidRPr="00A35FE0">
        <w:rPr>
          <w:rFonts w:ascii="Times New Roman" w:eastAsia="Times New Roman" w:hAnsi="Times New Roman" w:cs="Times New Roman"/>
          <w:sz w:val="24"/>
          <w:szCs w:val="24"/>
          <w:lang w:eastAsia="lv-LV"/>
        </w:rPr>
        <w:t xml:space="preserve">Anotācijas </w:t>
      </w:r>
      <w:r w:rsidR="007614CA">
        <w:rPr>
          <w:rFonts w:ascii="Times New Roman" w:eastAsia="Times New Roman" w:hAnsi="Times New Roman" w:cs="Times New Roman"/>
          <w:sz w:val="24"/>
          <w:szCs w:val="24"/>
          <w:lang w:eastAsia="lv-LV"/>
        </w:rPr>
        <w:t xml:space="preserve">V sadaļas 2.tabula un </w:t>
      </w:r>
      <w:r w:rsidRPr="00A35FE0">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I sadaļa – projekts šo jomu</w:t>
      </w:r>
      <w:r w:rsidRPr="00A35FE0">
        <w:rPr>
          <w:rFonts w:ascii="Times New Roman" w:eastAsia="Times New Roman" w:hAnsi="Times New Roman" w:cs="Times New Roman"/>
          <w:sz w:val="24"/>
          <w:szCs w:val="24"/>
          <w:lang w:eastAsia="lv-LV"/>
        </w:rPr>
        <w:t xml:space="preserve"> neskar</w:t>
      </w:r>
      <w:r>
        <w:rPr>
          <w:rFonts w:ascii="Times New Roman" w:eastAsia="Times New Roman" w:hAnsi="Times New Roman" w:cs="Times New Roman"/>
          <w:sz w:val="24"/>
          <w:szCs w:val="24"/>
          <w:lang w:eastAsia="lv-LV"/>
        </w:rPr>
        <w:t>.</w:t>
      </w:r>
    </w:p>
    <w:p w:rsidR="00582255" w:rsidRDefault="00582255" w:rsidP="00582255">
      <w:pPr>
        <w:spacing w:after="0" w:line="240" w:lineRule="auto"/>
        <w:rPr>
          <w:rFonts w:ascii="Times New Roman" w:hAnsi="Times New Roman" w:cs="Times New Roman"/>
          <w:sz w:val="24"/>
          <w:szCs w:val="24"/>
        </w:rPr>
      </w:pPr>
    </w:p>
    <w:p w:rsidR="00AA43C9" w:rsidRPr="00DD49B6" w:rsidRDefault="00AA43C9" w:rsidP="00582255">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582255" w:rsidRPr="00DD49B6" w:rsidTr="007F474C">
        <w:trPr>
          <w:trHeight w:val="381"/>
          <w:jc w:val="center"/>
        </w:trPr>
        <w:tc>
          <w:tcPr>
            <w:tcW w:w="9518" w:type="dxa"/>
            <w:gridSpan w:val="3"/>
            <w:vAlign w:val="center"/>
          </w:tcPr>
          <w:p w:rsidR="00582255" w:rsidRPr="00DD49B6" w:rsidRDefault="00582255" w:rsidP="007F474C">
            <w:pPr>
              <w:pStyle w:val="naisnod"/>
              <w:spacing w:before="0" w:beforeAutospacing="0" w:after="0" w:afterAutospacing="0"/>
              <w:ind w:left="57" w:right="57"/>
              <w:jc w:val="center"/>
            </w:pPr>
            <w:r w:rsidRPr="00DD49B6">
              <w:rPr>
                <w:b/>
              </w:rPr>
              <w:lastRenderedPageBreak/>
              <w:t>VII. Tiesību akta projekta izpildes nodrošināšana un tās ietekme uz institūcijām</w:t>
            </w:r>
          </w:p>
        </w:tc>
      </w:tr>
      <w:tr w:rsidR="00582255" w:rsidRPr="00DD49B6" w:rsidTr="007F474C">
        <w:trPr>
          <w:trHeight w:val="427"/>
          <w:jc w:val="center"/>
        </w:trPr>
        <w:tc>
          <w:tcPr>
            <w:tcW w:w="437" w:type="dxa"/>
          </w:tcPr>
          <w:p w:rsidR="00582255" w:rsidRPr="00DD49B6" w:rsidRDefault="00582255" w:rsidP="007F474C">
            <w:pPr>
              <w:pStyle w:val="naisnod"/>
              <w:spacing w:before="0" w:beforeAutospacing="0" w:after="0" w:afterAutospacing="0"/>
              <w:ind w:left="57" w:right="57"/>
              <w:jc w:val="both"/>
            </w:pPr>
            <w:r w:rsidRPr="00DD49B6">
              <w:t>1.</w:t>
            </w:r>
          </w:p>
        </w:tc>
        <w:tc>
          <w:tcPr>
            <w:tcW w:w="3615" w:type="dxa"/>
          </w:tcPr>
          <w:p w:rsidR="00582255" w:rsidRPr="00DD49B6" w:rsidRDefault="00582255" w:rsidP="007F474C">
            <w:pPr>
              <w:pStyle w:val="naisf"/>
              <w:spacing w:before="0" w:beforeAutospacing="0" w:after="0" w:afterAutospacing="0"/>
              <w:ind w:left="57" w:right="57"/>
            </w:pPr>
            <w:r w:rsidRPr="00DD49B6">
              <w:t>Projekta izpildē iesaistītās institūcijas</w:t>
            </w:r>
          </w:p>
        </w:tc>
        <w:tc>
          <w:tcPr>
            <w:tcW w:w="5466" w:type="dxa"/>
          </w:tcPr>
          <w:p w:rsidR="00582255" w:rsidRPr="00A35FE0" w:rsidRDefault="00A35FE0" w:rsidP="007F474C">
            <w:pPr>
              <w:shd w:val="clear" w:color="auto" w:fill="FFFFFF"/>
              <w:spacing w:after="0" w:line="240" w:lineRule="auto"/>
              <w:jc w:val="both"/>
              <w:rPr>
                <w:rFonts w:ascii="Times New Roman" w:hAnsi="Times New Roman" w:cs="Times New Roman"/>
                <w:sz w:val="24"/>
                <w:szCs w:val="24"/>
                <w:lang w:eastAsia="lv-LV"/>
              </w:rPr>
            </w:pPr>
            <w:bookmarkStart w:id="5" w:name="p66"/>
            <w:bookmarkStart w:id="6" w:name="p67"/>
            <w:bookmarkStart w:id="7" w:name="p68"/>
            <w:bookmarkStart w:id="8" w:name="p69"/>
            <w:bookmarkEnd w:id="5"/>
            <w:bookmarkEnd w:id="6"/>
            <w:bookmarkEnd w:id="7"/>
            <w:bookmarkEnd w:id="8"/>
            <w:r w:rsidRPr="00A35FE0">
              <w:rPr>
                <w:rFonts w:ascii="Times New Roman" w:hAnsi="Times New Roman" w:cs="Times New Roman"/>
                <w:sz w:val="24"/>
                <w:szCs w:val="24"/>
              </w:rPr>
              <w:t>Liepājas pilsētas dome, Ventspils pilsētas dome, SIA „</w:t>
            </w:r>
            <w:proofErr w:type="spellStart"/>
            <w:r w:rsidRPr="00A35FE0">
              <w:rPr>
                <w:rFonts w:ascii="Times New Roman" w:hAnsi="Times New Roman" w:cs="Times New Roman"/>
                <w:sz w:val="24"/>
                <w:szCs w:val="24"/>
              </w:rPr>
              <w:t>Aviasabiedrība</w:t>
            </w:r>
            <w:proofErr w:type="spellEnd"/>
            <w:r w:rsidRPr="00A35FE0">
              <w:rPr>
                <w:rFonts w:ascii="Times New Roman" w:hAnsi="Times New Roman" w:cs="Times New Roman"/>
                <w:sz w:val="24"/>
                <w:szCs w:val="24"/>
              </w:rPr>
              <w:t xml:space="preserve"> „Liepāja””, SIA „Ventspils lidosta”.</w:t>
            </w:r>
          </w:p>
        </w:tc>
      </w:tr>
      <w:tr w:rsidR="00582255" w:rsidRPr="00DD49B6" w:rsidTr="007F474C">
        <w:trPr>
          <w:trHeight w:val="463"/>
          <w:jc w:val="center"/>
        </w:trPr>
        <w:tc>
          <w:tcPr>
            <w:tcW w:w="437" w:type="dxa"/>
          </w:tcPr>
          <w:p w:rsidR="00582255" w:rsidRPr="00DD49B6" w:rsidRDefault="00582255" w:rsidP="007F474C">
            <w:pPr>
              <w:pStyle w:val="naisnod"/>
              <w:spacing w:before="0" w:beforeAutospacing="0" w:after="0" w:afterAutospacing="0"/>
              <w:ind w:left="57" w:right="57"/>
              <w:jc w:val="both"/>
            </w:pPr>
            <w:r w:rsidRPr="00DD49B6">
              <w:t>2.</w:t>
            </w:r>
          </w:p>
        </w:tc>
        <w:tc>
          <w:tcPr>
            <w:tcW w:w="3615" w:type="dxa"/>
          </w:tcPr>
          <w:p w:rsidR="00582255" w:rsidRPr="00DD49B6" w:rsidRDefault="00582255" w:rsidP="007F474C">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582255" w:rsidRPr="00DD49B6" w:rsidRDefault="00582255" w:rsidP="007F474C">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rsidR="00582255" w:rsidRPr="00DD49B6" w:rsidRDefault="00A35FE0" w:rsidP="00A35FE0">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582255" w:rsidRPr="00DD49B6" w:rsidTr="007F474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82255" w:rsidRPr="00DD49B6" w:rsidRDefault="00582255" w:rsidP="007F474C">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582255" w:rsidRPr="00DD49B6" w:rsidRDefault="00582255" w:rsidP="007F474C">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582255" w:rsidRPr="00DD49B6" w:rsidRDefault="00A35FE0" w:rsidP="007F474C">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67673D" w:rsidRPr="00BB5A47" w:rsidRDefault="0067673D" w:rsidP="00BB5A47">
      <w:pPr>
        <w:spacing w:after="0" w:line="240" w:lineRule="auto"/>
        <w:rPr>
          <w:rFonts w:ascii="Times New Roman" w:hAnsi="Times New Roman" w:cs="Times New Roman"/>
        </w:rPr>
      </w:pPr>
    </w:p>
    <w:p w:rsidR="00BB5A47" w:rsidRPr="00BB5A47" w:rsidRDefault="00BB5A47" w:rsidP="00BB5A47">
      <w:pPr>
        <w:spacing w:after="0" w:line="240" w:lineRule="auto"/>
        <w:rPr>
          <w:rFonts w:ascii="Times New Roman" w:hAnsi="Times New Roman" w:cs="Times New Roman"/>
          <w:sz w:val="28"/>
          <w:szCs w:val="28"/>
        </w:rPr>
      </w:pPr>
    </w:p>
    <w:p w:rsidR="00BB5A47" w:rsidRPr="00BB5A47" w:rsidRDefault="00BB5A47" w:rsidP="00BB5A47">
      <w:pPr>
        <w:spacing w:after="0" w:line="240" w:lineRule="auto"/>
        <w:rPr>
          <w:rFonts w:ascii="Times New Roman" w:hAnsi="Times New Roman" w:cs="Times New Roman"/>
          <w:sz w:val="28"/>
          <w:szCs w:val="28"/>
        </w:rPr>
      </w:pPr>
    </w:p>
    <w:p w:rsidR="00BB5A47" w:rsidRPr="00BB5A47" w:rsidRDefault="00BB5A47" w:rsidP="00BB5A47">
      <w:pPr>
        <w:pStyle w:val="Signature"/>
        <w:widowControl/>
        <w:spacing w:before="0"/>
        <w:rPr>
          <w:color w:val="000000"/>
          <w:sz w:val="28"/>
          <w:szCs w:val="28"/>
        </w:rPr>
      </w:pPr>
      <w:r w:rsidRPr="00BB5A47">
        <w:rPr>
          <w:color w:val="000000"/>
          <w:sz w:val="28"/>
          <w:szCs w:val="28"/>
        </w:rPr>
        <w:t>Satiksmes ministrs                                               A.Matīss</w:t>
      </w:r>
    </w:p>
    <w:p w:rsidR="00BB5A47" w:rsidRPr="00BB5A47" w:rsidRDefault="00BB5A47" w:rsidP="00BB5A47">
      <w:pPr>
        <w:tabs>
          <w:tab w:val="left" w:pos="6480"/>
        </w:tabs>
        <w:spacing w:after="0" w:line="240" w:lineRule="auto"/>
        <w:ind w:firstLine="720"/>
        <w:jc w:val="both"/>
        <w:rPr>
          <w:rFonts w:ascii="Times New Roman" w:hAnsi="Times New Roman" w:cs="Times New Roman"/>
          <w:color w:val="000000"/>
          <w:sz w:val="28"/>
          <w:szCs w:val="28"/>
        </w:rPr>
      </w:pPr>
    </w:p>
    <w:p w:rsidR="00BB5A47" w:rsidRPr="00BB5A47" w:rsidRDefault="00BB5A47" w:rsidP="00BB5A47">
      <w:pPr>
        <w:tabs>
          <w:tab w:val="left" w:pos="6480"/>
        </w:tabs>
        <w:spacing w:after="0" w:line="240" w:lineRule="auto"/>
        <w:jc w:val="both"/>
        <w:rPr>
          <w:rFonts w:ascii="Times New Roman" w:hAnsi="Times New Roman" w:cs="Times New Roman"/>
          <w:color w:val="000000"/>
          <w:sz w:val="28"/>
          <w:szCs w:val="28"/>
        </w:rPr>
      </w:pPr>
    </w:p>
    <w:p w:rsidR="00495CBD" w:rsidRDefault="00495CBD" w:rsidP="00BB5A47">
      <w:pPr>
        <w:tabs>
          <w:tab w:val="left" w:pos="612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Vīza: valsts sekretāra vietā –</w:t>
      </w:r>
    </w:p>
    <w:p w:rsidR="00BB5A47" w:rsidRPr="00BB5A47" w:rsidRDefault="00495CBD" w:rsidP="00BB5A47">
      <w:pPr>
        <w:tabs>
          <w:tab w:val="left" w:pos="612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valsts sekretāra vietniece</w:t>
      </w:r>
      <w:r w:rsidR="00BB5A47" w:rsidRPr="00BB5A47">
        <w:rPr>
          <w:rFonts w:ascii="Times New Roman" w:hAnsi="Times New Roman" w:cs="Times New Roman"/>
          <w:color w:val="000000"/>
          <w:sz w:val="28"/>
          <w:szCs w:val="28"/>
        </w:rPr>
        <w:t xml:space="preserve"> </w:t>
      </w:r>
      <w:r w:rsidR="00BB5A47" w:rsidRPr="00BB5A47">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Dž.Innusa</w:t>
      </w:r>
      <w:proofErr w:type="spellEnd"/>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D25793" w:rsidP="00BB5A47">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14.0</w:t>
      </w:r>
      <w:r w:rsidR="005640B9">
        <w:rPr>
          <w:rFonts w:ascii="Times New Roman" w:hAnsi="Times New Roman" w:cs="Times New Roman"/>
          <w:color w:val="000000"/>
          <w:sz w:val="24"/>
          <w:szCs w:val="24"/>
        </w:rPr>
        <w:t>4</w:t>
      </w:r>
      <w:r w:rsidR="00BB5A47" w:rsidRPr="00BB5A47">
        <w:rPr>
          <w:rFonts w:ascii="Times New Roman" w:hAnsi="Times New Roman" w:cs="Times New Roman"/>
          <w:color w:val="000000"/>
          <w:sz w:val="24"/>
          <w:szCs w:val="24"/>
        </w:rPr>
        <w:t>.2014. 13:00</w:t>
      </w:r>
    </w:p>
    <w:p w:rsidR="00BB5A47" w:rsidRPr="00BB5A47" w:rsidRDefault="00BB5A47" w:rsidP="00BB5A47">
      <w:pPr>
        <w:pStyle w:val="Header"/>
        <w:tabs>
          <w:tab w:val="left" w:pos="720"/>
        </w:tabs>
        <w:rPr>
          <w:rFonts w:ascii="Times New Roman" w:hAnsi="Times New Roman" w:cs="Times New Roman"/>
          <w:color w:val="000000"/>
          <w:sz w:val="24"/>
          <w:szCs w:val="24"/>
        </w:rPr>
      </w:pPr>
      <w:r w:rsidRPr="00BB5A47">
        <w:rPr>
          <w:rFonts w:ascii="Times New Roman" w:hAnsi="Times New Roman" w:cs="Times New Roman"/>
          <w:color w:val="000000"/>
          <w:sz w:val="24"/>
          <w:szCs w:val="24"/>
        </w:rPr>
        <w:t>1</w:t>
      </w:r>
      <w:r w:rsidR="00342401">
        <w:rPr>
          <w:rFonts w:ascii="Times New Roman" w:hAnsi="Times New Roman" w:cs="Times New Roman"/>
          <w:color w:val="000000"/>
          <w:sz w:val="24"/>
          <w:szCs w:val="24"/>
        </w:rPr>
        <w:t>1</w:t>
      </w:r>
      <w:r w:rsidR="00495CBD">
        <w:rPr>
          <w:rFonts w:ascii="Times New Roman" w:hAnsi="Times New Roman" w:cs="Times New Roman"/>
          <w:color w:val="000000"/>
          <w:sz w:val="24"/>
          <w:szCs w:val="24"/>
        </w:rPr>
        <w:t>92</w:t>
      </w:r>
    </w:p>
    <w:p w:rsidR="00BB5A47" w:rsidRPr="00BB5A47" w:rsidRDefault="00BB5A47" w:rsidP="00BB5A47">
      <w:pPr>
        <w:pStyle w:val="Header"/>
        <w:tabs>
          <w:tab w:val="left" w:pos="720"/>
        </w:tabs>
        <w:rPr>
          <w:rFonts w:ascii="Times New Roman" w:hAnsi="Times New Roman" w:cs="Times New Roman"/>
          <w:color w:val="000000"/>
          <w:sz w:val="24"/>
          <w:szCs w:val="24"/>
        </w:rPr>
      </w:pPr>
      <w:r w:rsidRPr="00BB5A47">
        <w:rPr>
          <w:rFonts w:ascii="Times New Roman" w:hAnsi="Times New Roman" w:cs="Times New Roman"/>
          <w:color w:val="000000"/>
          <w:sz w:val="24"/>
          <w:szCs w:val="24"/>
        </w:rPr>
        <w:t>Jansone 67028258</w:t>
      </w:r>
    </w:p>
    <w:p w:rsidR="00BB5A47" w:rsidRPr="00BB5A47" w:rsidRDefault="00BB5A47" w:rsidP="00BB5A47">
      <w:pPr>
        <w:pStyle w:val="Header"/>
        <w:tabs>
          <w:tab w:val="left" w:pos="720"/>
        </w:tabs>
        <w:rPr>
          <w:rFonts w:ascii="Times New Roman" w:hAnsi="Times New Roman" w:cs="Times New Roman"/>
          <w:color w:val="000000"/>
          <w:sz w:val="24"/>
          <w:szCs w:val="24"/>
        </w:rPr>
      </w:pPr>
      <w:r w:rsidRPr="00BB5A47">
        <w:rPr>
          <w:rFonts w:ascii="Times New Roman" w:hAnsi="Times New Roman" w:cs="Times New Roman"/>
          <w:color w:val="000000"/>
          <w:sz w:val="24"/>
          <w:szCs w:val="24"/>
        </w:rPr>
        <w:t>zanete.jansone@sam.gov.lv</w:t>
      </w:r>
    </w:p>
    <w:sectPr w:rsidR="00BB5A47" w:rsidRPr="00BB5A47" w:rsidSect="00E805B3">
      <w:headerReference w:type="default" r:id="rId7"/>
      <w:footerReference w:type="default" r:id="rId8"/>
      <w:footerReference w:type="first" r:id="rId9"/>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12" w:rsidRDefault="00421A12" w:rsidP="00582255">
      <w:pPr>
        <w:spacing w:after="0" w:line="240" w:lineRule="auto"/>
      </w:pPr>
      <w:r>
        <w:separator/>
      </w:r>
    </w:p>
  </w:endnote>
  <w:endnote w:type="continuationSeparator" w:id="0">
    <w:p w:rsidR="00421A12" w:rsidRDefault="00421A12" w:rsidP="0058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55" w:rsidRPr="00D25DA6" w:rsidRDefault="00582255" w:rsidP="00D25DA6">
    <w:pPr>
      <w:pStyle w:val="Footer"/>
      <w:ind w:left="-284" w:right="-285"/>
      <w:jc w:val="both"/>
      <w:rPr>
        <w:rFonts w:ascii="Times New Roman" w:hAnsi="Times New Roman" w:cs="Times New Roman"/>
        <w:sz w:val="24"/>
        <w:szCs w:val="24"/>
      </w:rPr>
    </w:pPr>
    <w:r w:rsidRPr="00D25DA6">
      <w:rPr>
        <w:rFonts w:ascii="Times New Roman" w:hAnsi="Times New Roman" w:cs="Times New Roman"/>
        <w:sz w:val="24"/>
        <w:szCs w:val="24"/>
      </w:rPr>
      <w:t>SAMAnot_</w:t>
    </w:r>
    <w:r w:rsidR="00D25DA6" w:rsidRPr="00D25DA6">
      <w:rPr>
        <w:rFonts w:ascii="Times New Roman" w:hAnsi="Times New Roman" w:cs="Times New Roman"/>
        <w:sz w:val="24"/>
        <w:szCs w:val="24"/>
      </w:rPr>
      <w:t>1</w:t>
    </w:r>
    <w:r w:rsidR="00D25793">
      <w:rPr>
        <w:rFonts w:ascii="Times New Roman" w:hAnsi="Times New Roman" w:cs="Times New Roman"/>
        <w:sz w:val="24"/>
        <w:szCs w:val="24"/>
      </w:rPr>
      <w:t>4</w:t>
    </w:r>
    <w:r w:rsidR="00D25DA6" w:rsidRPr="00D25DA6">
      <w:rPr>
        <w:rFonts w:ascii="Times New Roman" w:hAnsi="Times New Roman" w:cs="Times New Roman"/>
        <w:sz w:val="24"/>
        <w:szCs w:val="24"/>
      </w:rPr>
      <w:t>0</w:t>
    </w:r>
    <w:r w:rsidR="005640B9">
      <w:rPr>
        <w:rFonts w:ascii="Times New Roman" w:hAnsi="Times New Roman" w:cs="Times New Roman"/>
        <w:sz w:val="24"/>
        <w:szCs w:val="24"/>
      </w:rPr>
      <w:t>4</w:t>
    </w:r>
    <w:r w:rsidR="00D25DA6" w:rsidRPr="00D25DA6">
      <w:rPr>
        <w:rFonts w:ascii="Times New Roman" w:hAnsi="Times New Roman" w:cs="Times New Roman"/>
        <w:sz w:val="24"/>
        <w:szCs w:val="24"/>
      </w:rPr>
      <w:t>14</w:t>
    </w:r>
    <w:r w:rsidRPr="00D25DA6">
      <w:rPr>
        <w:rFonts w:ascii="Times New Roman" w:hAnsi="Times New Roman" w:cs="Times New Roman"/>
        <w:sz w:val="24"/>
        <w:szCs w:val="24"/>
      </w:rPr>
      <w:t xml:space="preserve">_sabpakalpojums; </w:t>
    </w:r>
    <w:r w:rsidRPr="00D25DA6">
      <w:rPr>
        <w:rFonts w:ascii="Times New Roman" w:hAnsi="Times New Roman" w:cs="Times New Roman"/>
        <w:bCs/>
        <w:sz w:val="24"/>
        <w:szCs w:val="24"/>
      </w:rPr>
      <w:t xml:space="preserve">Ministru kabineta noteikumu projekta </w:t>
    </w:r>
    <w:r w:rsidRPr="00D25DA6">
      <w:rPr>
        <w:rFonts w:ascii="Times New Roman" w:hAnsi="Times New Roman" w:cs="Times New Roman"/>
        <w:sz w:val="24"/>
        <w:szCs w:val="24"/>
      </w:rPr>
      <w:t>„</w:t>
    </w:r>
    <w:r w:rsidRPr="00D25DA6">
      <w:rPr>
        <w:rFonts w:ascii="Times New Roman" w:hAnsi="Times New Roman" w:cs="Times New Roman"/>
        <w:color w:val="000000"/>
        <w:sz w:val="24"/>
        <w:szCs w:val="24"/>
      </w:rPr>
      <w:t>Grozījumi Ministru kabineta 2011.gada 23.augusta noteikumos Nr.661 „Noteikumi par lidostai uzliekamām sabiedriskas nozīmes pakalpojumu sniegšanas saistībām””</w:t>
    </w:r>
    <w:r w:rsidRPr="00D25DA6">
      <w:rPr>
        <w:rFonts w:ascii="Times New Roman" w:hAnsi="Times New Roman" w:cs="Times New Roman"/>
        <w:bCs/>
        <w:sz w:val="24"/>
        <w:szCs w:val="24"/>
      </w:rPr>
      <w:t xml:space="preserve"> </w:t>
    </w:r>
    <w:r w:rsidRPr="00D25DA6">
      <w:rPr>
        <w:rFonts w:ascii="Times New Roman" w:hAnsi="Times New Roman" w:cs="Times New Roman"/>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B3" w:rsidRPr="00DB1928" w:rsidRDefault="00DB1928" w:rsidP="00DB1928">
    <w:pPr>
      <w:pStyle w:val="Footer"/>
      <w:ind w:left="-284" w:right="-285"/>
      <w:jc w:val="both"/>
      <w:rPr>
        <w:rFonts w:ascii="Times New Roman" w:hAnsi="Times New Roman" w:cs="Times New Roman"/>
        <w:sz w:val="24"/>
        <w:szCs w:val="24"/>
      </w:rPr>
    </w:pPr>
    <w:r w:rsidRPr="00D25DA6">
      <w:rPr>
        <w:rFonts w:ascii="Times New Roman" w:hAnsi="Times New Roman" w:cs="Times New Roman"/>
        <w:sz w:val="24"/>
        <w:szCs w:val="24"/>
      </w:rPr>
      <w:t>SAMAnot_1</w:t>
    </w:r>
    <w:r>
      <w:rPr>
        <w:rFonts w:ascii="Times New Roman" w:hAnsi="Times New Roman" w:cs="Times New Roman"/>
        <w:sz w:val="24"/>
        <w:szCs w:val="24"/>
      </w:rPr>
      <w:t>4</w:t>
    </w:r>
    <w:r w:rsidRPr="00D25DA6">
      <w:rPr>
        <w:rFonts w:ascii="Times New Roman" w:hAnsi="Times New Roman" w:cs="Times New Roman"/>
        <w:sz w:val="24"/>
        <w:szCs w:val="24"/>
      </w:rPr>
      <w:t>0</w:t>
    </w:r>
    <w:r>
      <w:rPr>
        <w:rFonts w:ascii="Times New Roman" w:hAnsi="Times New Roman" w:cs="Times New Roman"/>
        <w:sz w:val="24"/>
        <w:szCs w:val="24"/>
      </w:rPr>
      <w:t>4</w:t>
    </w:r>
    <w:r w:rsidRPr="00D25DA6">
      <w:rPr>
        <w:rFonts w:ascii="Times New Roman" w:hAnsi="Times New Roman" w:cs="Times New Roman"/>
        <w:sz w:val="24"/>
        <w:szCs w:val="24"/>
      </w:rPr>
      <w:t xml:space="preserve">14_sabpakalpojums; </w:t>
    </w:r>
    <w:r w:rsidRPr="00D25DA6">
      <w:rPr>
        <w:rFonts w:ascii="Times New Roman" w:hAnsi="Times New Roman" w:cs="Times New Roman"/>
        <w:bCs/>
        <w:sz w:val="24"/>
        <w:szCs w:val="24"/>
      </w:rPr>
      <w:t xml:space="preserve">Ministru kabineta noteikumu projekta </w:t>
    </w:r>
    <w:r w:rsidRPr="00D25DA6">
      <w:rPr>
        <w:rFonts w:ascii="Times New Roman" w:hAnsi="Times New Roman" w:cs="Times New Roman"/>
        <w:sz w:val="24"/>
        <w:szCs w:val="24"/>
      </w:rPr>
      <w:t>„</w:t>
    </w:r>
    <w:r w:rsidRPr="00D25DA6">
      <w:rPr>
        <w:rFonts w:ascii="Times New Roman" w:hAnsi="Times New Roman" w:cs="Times New Roman"/>
        <w:color w:val="000000"/>
        <w:sz w:val="24"/>
        <w:szCs w:val="24"/>
      </w:rPr>
      <w:t>Grozījumi Ministru kabineta 2011.gada 23.augusta noteikumos Nr.661 „Noteikumi par lidostai uzliekamām sabiedriskas nozīmes pakalpojumu sniegšanas saistībām””</w:t>
    </w:r>
    <w:r w:rsidRPr="00D25DA6">
      <w:rPr>
        <w:rFonts w:ascii="Times New Roman" w:hAnsi="Times New Roman" w:cs="Times New Roman"/>
        <w:bCs/>
        <w:sz w:val="24"/>
        <w:szCs w:val="24"/>
      </w:rPr>
      <w:t xml:space="preserve"> </w:t>
    </w:r>
    <w:r w:rsidRPr="00D25DA6">
      <w:rPr>
        <w:rFonts w:ascii="Times New Roman" w:hAnsi="Times New Roman" w:cs="Times New Roman"/>
        <w:sz w:val="24"/>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12" w:rsidRDefault="00421A12" w:rsidP="00582255">
      <w:pPr>
        <w:spacing w:after="0" w:line="240" w:lineRule="auto"/>
      </w:pPr>
      <w:r>
        <w:separator/>
      </w:r>
    </w:p>
  </w:footnote>
  <w:footnote w:type="continuationSeparator" w:id="0">
    <w:p w:rsidR="00421A12" w:rsidRDefault="00421A12" w:rsidP="0058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83442"/>
      <w:docPartObj>
        <w:docPartGallery w:val="Page Numbers (Top of Page)"/>
        <w:docPartUnique/>
      </w:docPartObj>
    </w:sdtPr>
    <w:sdtEndPr>
      <w:rPr>
        <w:noProof/>
      </w:rPr>
    </w:sdtEndPr>
    <w:sdtContent>
      <w:p w:rsidR="00E805B3" w:rsidRDefault="00E805B3">
        <w:pPr>
          <w:pStyle w:val="Header"/>
          <w:jc w:val="center"/>
        </w:pPr>
        <w:r>
          <w:fldChar w:fldCharType="begin"/>
        </w:r>
        <w:r>
          <w:instrText xml:space="preserve"> PAGE   \* MERGEFORMAT </w:instrText>
        </w:r>
        <w:r>
          <w:fldChar w:fldCharType="separate"/>
        </w:r>
        <w:r w:rsidR="00817E22">
          <w:rPr>
            <w:noProof/>
          </w:rPr>
          <w:t>5</w:t>
        </w:r>
        <w:r>
          <w:rPr>
            <w:noProof/>
          </w:rPr>
          <w:fldChar w:fldCharType="end"/>
        </w:r>
      </w:p>
    </w:sdtContent>
  </w:sdt>
  <w:p w:rsidR="00E805B3" w:rsidRDefault="00E80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55"/>
    <w:rsid w:val="000870B3"/>
    <w:rsid w:val="000D3B01"/>
    <w:rsid w:val="000E078C"/>
    <w:rsid w:val="002A4332"/>
    <w:rsid w:val="002D030F"/>
    <w:rsid w:val="002D2657"/>
    <w:rsid w:val="00314808"/>
    <w:rsid w:val="00316351"/>
    <w:rsid w:val="00330838"/>
    <w:rsid w:val="00342401"/>
    <w:rsid w:val="003E57AD"/>
    <w:rsid w:val="00421A12"/>
    <w:rsid w:val="004310E5"/>
    <w:rsid w:val="00495CBD"/>
    <w:rsid w:val="004D2705"/>
    <w:rsid w:val="005640B9"/>
    <w:rsid w:val="00566892"/>
    <w:rsid w:val="00582255"/>
    <w:rsid w:val="0067673D"/>
    <w:rsid w:val="006A040C"/>
    <w:rsid w:val="006F7676"/>
    <w:rsid w:val="007614CA"/>
    <w:rsid w:val="007B674D"/>
    <w:rsid w:val="007C6319"/>
    <w:rsid w:val="007F6AE3"/>
    <w:rsid w:val="00807F97"/>
    <w:rsid w:val="00817E22"/>
    <w:rsid w:val="00865035"/>
    <w:rsid w:val="009E470F"/>
    <w:rsid w:val="00A35FE0"/>
    <w:rsid w:val="00A65A38"/>
    <w:rsid w:val="00AA43C9"/>
    <w:rsid w:val="00AF287F"/>
    <w:rsid w:val="00B316F3"/>
    <w:rsid w:val="00B67052"/>
    <w:rsid w:val="00B91FA6"/>
    <w:rsid w:val="00BB5A47"/>
    <w:rsid w:val="00BF43A5"/>
    <w:rsid w:val="00D25793"/>
    <w:rsid w:val="00D25DA6"/>
    <w:rsid w:val="00DB1928"/>
    <w:rsid w:val="00DB7BC3"/>
    <w:rsid w:val="00DC128B"/>
    <w:rsid w:val="00E225F6"/>
    <w:rsid w:val="00E805B3"/>
    <w:rsid w:val="00E95B5F"/>
    <w:rsid w:val="00EC2FA5"/>
    <w:rsid w:val="00ED2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uiPriority w:val="99"/>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uiPriority w:val="99"/>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6059</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23.augusta noteikumos Nr.661 „Noteikumi par lidostai uzliekamām sabiedriskas nozīmes pakalpojumu sniegšanas saistībām”” sākotnējās ietekmes novērtējuma ziņojums (anotācija)</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23.augusta noteikumos Nr.661 „Noteikumi par lidostai uzliekamām sabiedriskas nozīmes pakalpojumu sniegšanas saistībām”” sākotnējās ietekmes novērtējuma ziņojums (anotācija)</dc:title>
  <dc:subject>Sākotnējās ietekmes novērtējuma ziņojums (anotācija)</dc:subject>
  <dc:creator>Žanete Jansone</dc:creator>
  <dc:description>Žaneta Jansone 67028258; zanete.jansone@sam.gov.lv</dc:description>
  <cp:lastModifiedBy>Baiba Šterna</cp:lastModifiedBy>
  <cp:revision>21</cp:revision>
  <cp:lastPrinted>2014-03-15T17:00:00Z</cp:lastPrinted>
  <dcterms:created xsi:type="dcterms:W3CDTF">2014-03-14T17:30:00Z</dcterms:created>
  <dcterms:modified xsi:type="dcterms:W3CDTF">2014-05-09T10:52:00Z</dcterms:modified>
</cp:coreProperties>
</file>