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13" w:rsidRPr="00262F13" w:rsidRDefault="00262F13" w:rsidP="00262F13">
      <w:pPr>
        <w:rPr>
          <w:sz w:val="28"/>
          <w:szCs w:val="28"/>
        </w:rPr>
      </w:pPr>
      <w:r w:rsidRPr="00262F13">
        <w:rPr>
          <w:sz w:val="28"/>
          <w:szCs w:val="28"/>
        </w:rPr>
        <w:t>2014.gada</w:t>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t xml:space="preserve">Noteikumi </w:t>
      </w:r>
      <w:proofErr w:type="spellStart"/>
      <w:r w:rsidRPr="00262F13">
        <w:rPr>
          <w:sz w:val="28"/>
          <w:szCs w:val="28"/>
        </w:rPr>
        <w:t>Nr</w:t>
      </w:r>
      <w:proofErr w:type="spellEnd"/>
      <w:r w:rsidRPr="00262F13">
        <w:rPr>
          <w:sz w:val="28"/>
          <w:szCs w:val="28"/>
        </w:rPr>
        <w:t>.</w:t>
      </w:r>
    </w:p>
    <w:p w:rsidR="00262F13" w:rsidRPr="00262F13" w:rsidRDefault="00262F13" w:rsidP="00262F13">
      <w:pPr>
        <w:rPr>
          <w:sz w:val="28"/>
          <w:szCs w:val="28"/>
        </w:rPr>
      </w:pPr>
      <w:r w:rsidRPr="00262F13">
        <w:rPr>
          <w:sz w:val="28"/>
          <w:szCs w:val="28"/>
        </w:rPr>
        <w:t>Rīgā</w:t>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t>(</w:t>
      </w:r>
      <w:proofErr w:type="spellStart"/>
      <w:r w:rsidRPr="00262F13">
        <w:rPr>
          <w:sz w:val="28"/>
          <w:szCs w:val="28"/>
        </w:rPr>
        <w:t>prot.Nr</w:t>
      </w:r>
      <w:proofErr w:type="spellEnd"/>
      <w:r w:rsidRPr="00262F13">
        <w:rPr>
          <w:sz w:val="28"/>
          <w:szCs w:val="28"/>
        </w:rPr>
        <w:t>.</w:t>
      </w:r>
      <w:r w:rsidRPr="00262F13">
        <w:rPr>
          <w:sz w:val="28"/>
          <w:szCs w:val="28"/>
        </w:rPr>
        <w:tab/>
        <w:t>.§)</w:t>
      </w:r>
    </w:p>
    <w:p w:rsidR="00262F13" w:rsidRPr="00262F13" w:rsidRDefault="00262F13" w:rsidP="00262F13">
      <w:pPr>
        <w:jc w:val="center"/>
        <w:rPr>
          <w:sz w:val="28"/>
          <w:szCs w:val="28"/>
        </w:rPr>
      </w:pPr>
    </w:p>
    <w:p w:rsidR="00262F13" w:rsidRPr="00262F13" w:rsidRDefault="00262F13" w:rsidP="00262F13">
      <w:pPr>
        <w:jc w:val="center"/>
        <w:rPr>
          <w:sz w:val="28"/>
          <w:szCs w:val="28"/>
        </w:rPr>
      </w:pPr>
    </w:p>
    <w:p w:rsidR="00262F13" w:rsidRPr="00262F13" w:rsidRDefault="00262F13" w:rsidP="00262F13">
      <w:pPr>
        <w:pStyle w:val="NoSpacing"/>
        <w:jc w:val="center"/>
        <w:rPr>
          <w:b/>
          <w:sz w:val="28"/>
          <w:szCs w:val="28"/>
        </w:rPr>
      </w:pPr>
      <w:r w:rsidRPr="00262F13">
        <w:rPr>
          <w:b/>
          <w:sz w:val="28"/>
          <w:szCs w:val="28"/>
        </w:rPr>
        <w:t>Autoceļu lietošanas nodevas maksāšanas, iekasēšanas</w:t>
      </w:r>
    </w:p>
    <w:p w:rsidR="00262F13" w:rsidRPr="00262F13" w:rsidRDefault="00262F13" w:rsidP="00262F13">
      <w:pPr>
        <w:pStyle w:val="NoSpacing"/>
        <w:jc w:val="center"/>
        <w:rPr>
          <w:b/>
          <w:sz w:val="28"/>
          <w:szCs w:val="28"/>
        </w:rPr>
      </w:pPr>
      <w:r w:rsidRPr="00262F13">
        <w:rPr>
          <w:b/>
          <w:sz w:val="28"/>
          <w:szCs w:val="28"/>
        </w:rPr>
        <w:t>un administrēšanas kārtība</w:t>
      </w:r>
    </w:p>
    <w:p w:rsidR="00262F13" w:rsidRPr="00262F13" w:rsidRDefault="00262F13" w:rsidP="00262F13">
      <w:pPr>
        <w:pStyle w:val="NoSpacing"/>
        <w:jc w:val="both"/>
        <w:rPr>
          <w:sz w:val="28"/>
          <w:szCs w:val="28"/>
        </w:rPr>
      </w:pPr>
    </w:p>
    <w:p w:rsidR="00262F13" w:rsidRPr="00262F13" w:rsidRDefault="00262F13" w:rsidP="00262F13">
      <w:pPr>
        <w:pStyle w:val="NoSpacing"/>
        <w:jc w:val="right"/>
        <w:rPr>
          <w:sz w:val="28"/>
          <w:szCs w:val="28"/>
        </w:rPr>
      </w:pPr>
      <w:r w:rsidRPr="00262F13">
        <w:rPr>
          <w:sz w:val="28"/>
          <w:szCs w:val="28"/>
        </w:rPr>
        <w:t>Izdoti saskaņā ar</w:t>
      </w:r>
    </w:p>
    <w:p w:rsidR="00262F13" w:rsidRPr="00262F13" w:rsidRDefault="00262F13" w:rsidP="00262F13">
      <w:pPr>
        <w:pStyle w:val="NoSpacing"/>
        <w:jc w:val="right"/>
        <w:rPr>
          <w:sz w:val="28"/>
          <w:szCs w:val="28"/>
        </w:rPr>
      </w:pPr>
      <w:r w:rsidRPr="00262F13">
        <w:rPr>
          <w:sz w:val="28"/>
          <w:szCs w:val="28"/>
        </w:rPr>
        <w:t xml:space="preserve">Autoceļu lietošanas nodevas likuma </w:t>
      </w:r>
    </w:p>
    <w:p w:rsidR="00262F13" w:rsidRPr="00262F13" w:rsidRDefault="00262F13" w:rsidP="00262F13">
      <w:pPr>
        <w:pStyle w:val="NoSpacing"/>
        <w:jc w:val="right"/>
        <w:rPr>
          <w:sz w:val="28"/>
          <w:szCs w:val="28"/>
        </w:rPr>
      </w:pPr>
      <w:r w:rsidRPr="00262F13">
        <w:rPr>
          <w:sz w:val="28"/>
          <w:szCs w:val="28"/>
        </w:rPr>
        <w:t xml:space="preserve">3.pantu un 5.panta trešo daļu </w:t>
      </w:r>
    </w:p>
    <w:p w:rsidR="00262F13" w:rsidRPr="00262F13" w:rsidRDefault="00262F13" w:rsidP="00262F13">
      <w:pPr>
        <w:pStyle w:val="NoSpacing"/>
        <w:jc w:val="both"/>
        <w:rPr>
          <w:sz w:val="28"/>
          <w:szCs w:val="28"/>
        </w:rPr>
      </w:pPr>
    </w:p>
    <w:p w:rsidR="00262F13" w:rsidRPr="00262F13" w:rsidRDefault="00262F13" w:rsidP="00262F13">
      <w:pPr>
        <w:pStyle w:val="NoSpacing"/>
        <w:jc w:val="center"/>
        <w:rPr>
          <w:b/>
          <w:sz w:val="28"/>
          <w:szCs w:val="28"/>
        </w:rPr>
      </w:pPr>
      <w:r w:rsidRPr="00262F13">
        <w:rPr>
          <w:b/>
          <w:sz w:val="28"/>
          <w:szCs w:val="28"/>
        </w:rPr>
        <w:t>I. Vispārīgie jautājumi</w:t>
      </w:r>
    </w:p>
    <w:p w:rsidR="00262F13" w:rsidRPr="00262F13" w:rsidRDefault="00262F13" w:rsidP="00262F13">
      <w:pPr>
        <w:pStyle w:val="NoSpacing"/>
        <w:jc w:val="both"/>
        <w:rPr>
          <w:sz w:val="28"/>
          <w:szCs w:val="28"/>
        </w:rPr>
      </w:pPr>
    </w:p>
    <w:p w:rsidR="00262F13" w:rsidRPr="00262F13" w:rsidRDefault="00262F13" w:rsidP="00262F13">
      <w:pPr>
        <w:pStyle w:val="NoSpacing"/>
        <w:ind w:firstLine="709"/>
        <w:jc w:val="both"/>
        <w:rPr>
          <w:sz w:val="28"/>
          <w:szCs w:val="28"/>
        </w:rPr>
      </w:pPr>
      <w:r w:rsidRPr="00262F13">
        <w:rPr>
          <w:sz w:val="28"/>
          <w:szCs w:val="28"/>
        </w:rPr>
        <w:t>1. Noteikumi nosaka kārtību, kādā maksā, iekasē un administrē autoceļu lietošanas nodevu (turpmāk – nodeva).</w:t>
      </w:r>
    </w:p>
    <w:p w:rsidR="00262F13" w:rsidRPr="00262F13" w:rsidRDefault="00262F13" w:rsidP="00262F13">
      <w:pPr>
        <w:pStyle w:val="NoSpacing"/>
        <w:ind w:firstLine="709"/>
        <w:jc w:val="both"/>
        <w:rPr>
          <w:sz w:val="28"/>
          <w:szCs w:val="28"/>
        </w:rPr>
      </w:pPr>
    </w:p>
    <w:p w:rsidR="00262F13" w:rsidRPr="00262F13" w:rsidRDefault="00262F13" w:rsidP="00262F13">
      <w:pPr>
        <w:pStyle w:val="NoSpacing"/>
        <w:ind w:firstLine="709"/>
        <w:jc w:val="both"/>
        <w:rPr>
          <w:bCs/>
          <w:strike/>
          <w:sz w:val="28"/>
          <w:szCs w:val="28"/>
        </w:rPr>
      </w:pPr>
      <w:r w:rsidRPr="00262F13">
        <w:rPr>
          <w:sz w:val="28"/>
          <w:szCs w:val="28"/>
        </w:rPr>
        <w:t xml:space="preserve">2. Nodevas </w:t>
      </w:r>
      <w:r w:rsidRPr="00262F13">
        <w:rPr>
          <w:bCs/>
          <w:sz w:val="28"/>
          <w:szCs w:val="28"/>
        </w:rPr>
        <w:t xml:space="preserve">maksājumu veic pirms Autoceļu lietošanas nodevas likuma (turpmāk – likums) 1.pielikumā noteiktā valsts galvenā autoceļa posma (turpmāk – autoceļa) lietošanas uzsākšanas. </w:t>
      </w:r>
    </w:p>
    <w:p w:rsidR="00262F13" w:rsidRPr="00262F13" w:rsidRDefault="00262F13" w:rsidP="00262F13">
      <w:pPr>
        <w:pStyle w:val="NoSpacing"/>
        <w:jc w:val="both"/>
        <w:rPr>
          <w:bCs/>
          <w:sz w:val="28"/>
          <w:szCs w:val="28"/>
        </w:rPr>
      </w:pPr>
    </w:p>
    <w:p w:rsidR="00262F13" w:rsidRPr="00262F13" w:rsidRDefault="00262F13" w:rsidP="00262F13">
      <w:pPr>
        <w:pStyle w:val="NoSpacing"/>
        <w:jc w:val="center"/>
        <w:rPr>
          <w:b/>
          <w:bCs/>
          <w:sz w:val="28"/>
          <w:szCs w:val="28"/>
        </w:rPr>
      </w:pPr>
      <w:r w:rsidRPr="00262F13">
        <w:rPr>
          <w:b/>
          <w:bCs/>
          <w:sz w:val="28"/>
          <w:szCs w:val="28"/>
        </w:rPr>
        <w:t>II. Nodevas maksāšana</w:t>
      </w:r>
    </w:p>
    <w:p w:rsidR="00262F13" w:rsidRPr="00262F13" w:rsidRDefault="00262F13" w:rsidP="00262F13">
      <w:pPr>
        <w:pStyle w:val="NoSpacing"/>
        <w:jc w:val="center"/>
        <w:rPr>
          <w:bCs/>
          <w:sz w:val="28"/>
          <w:szCs w:val="28"/>
        </w:rPr>
      </w:pPr>
    </w:p>
    <w:p w:rsidR="00262F13" w:rsidRPr="00262F13" w:rsidRDefault="00262F13" w:rsidP="00262F13">
      <w:pPr>
        <w:pStyle w:val="NoSpacing"/>
        <w:ind w:firstLine="709"/>
        <w:jc w:val="both"/>
        <w:rPr>
          <w:bCs/>
          <w:sz w:val="28"/>
          <w:szCs w:val="28"/>
        </w:rPr>
      </w:pPr>
      <w:r w:rsidRPr="00262F13">
        <w:rPr>
          <w:bCs/>
          <w:sz w:val="28"/>
          <w:szCs w:val="28"/>
        </w:rPr>
        <w:t>3. Nodevu mehāniskā transportlīdzekļa īpašnieks, turētājs vai vadītājs (turpmāk – nodevas maksātājs) maksā, izmantojot šādus maksājumu veidus:</w:t>
      </w:r>
    </w:p>
    <w:p w:rsidR="00262F13" w:rsidRPr="00262F13" w:rsidRDefault="00262F13" w:rsidP="00262F13">
      <w:pPr>
        <w:pStyle w:val="NoSpacing"/>
        <w:ind w:firstLine="709"/>
        <w:jc w:val="both"/>
        <w:rPr>
          <w:bCs/>
          <w:sz w:val="28"/>
          <w:szCs w:val="28"/>
        </w:rPr>
      </w:pPr>
      <w:r w:rsidRPr="00262F13">
        <w:rPr>
          <w:bCs/>
          <w:sz w:val="28"/>
          <w:szCs w:val="28"/>
        </w:rPr>
        <w:t xml:space="preserve">3.1. ar maksājumu karti elektronisko pakalpojumu sistēmā </w:t>
      </w:r>
      <w:proofErr w:type="spellStart"/>
      <w:r w:rsidRPr="00262F13">
        <w:rPr>
          <w:bCs/>
          <w:sz w:val="28"/>
          <w:szCs w:val="28"/>
        </w:rPr>
        <w:t>www.lvvignette.eu</w:t>
      </w:r>
      <w:proofErr w:type="spellEnd"/>
      <w:r w:rsidRPr="00262F13">
        <w:rPr>
          <w:bCs/>
          <w:sz w:val="28"/>
          <w:szCs w:val="28"/>
        </w:rPr>
        <w:t xml:space="preserve"> (turpmāk – portāls);</w:t>
      </w:r>
    </w:p>
    <w:p w:rsidR="00262F13" w:rsidRPr="00262F13" w:rsidRDefault="00262F13" w:rsidP="00262F13">
      <w:pPr>
        <w:pStyle w:val="NoSpacing"/>
        <w:ind w:firstLine="709"/>
        <w:jc w:val="both"/>
        <w:rPr>
          <w:bCs/>
          <w:sz w:val="28"/>
          <w:szCs w:val="28"/>
        </w:rPr>
      </w:pPr>
      <w:r w:rsidRPr="00262F13">
        <w:rPr>
          <w:bCs/>
          <w:sz w:val="28"/>
          <w:szCs w:val="28"/>
        </w:rPr>
        <w:t>3.2. skaidrā naudā vai ar maksājumu karti maksājumu karšu pieņemšanas terminālī valsts akciju sabiedrības „Ceļu satiksmes drošības direkcija” (turpmāk – CSDD) kasē;</w:t>
      </w:r>
    </w:p>
    <w:p w:rsidR="00262F13" w:rsidRPr="00262F13" w:rsidRDefault="00262F13" w:rsidP="00262F13">
      <w:pPr>
        <w:pStyle w:val="NoSpacing"/>
        <w:ind w:firstLine="709"/>
        <w:jc w:val="both"/>
        <w:rPr>
          <w:sz w:val="28"/>
          <w:szCs w:val="28"/>
        </w:rPr>
      </w:pPr>
      <w:r w:rsidRPr="00262F13">
        <w:rPr>
          <w:bCs/>
          <w:sz w:val="28"/>
          <w:szCs w:val="28"/>
        </w:rPr>
        <w:t>3.3. skaidrā naudā vai ar maksājumu karti maksājumu karšu pieņemšanas terminālī nodevas iekasēšanas pakalpojuma sniedzēja tirdzniecības vietās.</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09"/>
        <w:jc w:val="both"/>
        <w:rPr>
          <w:strike/>
          <w:sz w:val="28"/>
          <w:szCs w:val="28"/>
        </w:rPr>
      </w:pPr>
      <w:r w:rsidRPr="00262F13">
        <w:rPr>
          <w:sz w:val="28"/>
          <w:szCs w:val="28"/>
        </w:rPr>
        <w:t>4. Maksājamās nodevas kopējā apmēra noteikšanai, maksātājs norāda autoceļa lietošanas sākuma datumu, kas nedrīkst pārsniegt vienu gadu, skaitot no maksājuma veikšanas dienas, un izvēlēto autoceļa lietošanas periodu. Ja paredzētais autoceļa lietošanas periods ir viena diena, maksātājs norāda arī autoceļa lietošanas sākuma laiku (stundu). Maksimālais nodevas maksāšanas periods ir viens gads, skaitot no maksātāja norādītā autoceļa lietošanas sākuma datuma.</w:t>
      </w:r>
    </w:p>
    <w:p w:rsidR="00262F13" w:rsidRPr="00262F13" w:rsidRDefault="00262F13" w:rsidP="00262F13">
      <w:pPr>
        <w:pStyle w:val="NoSpacing"/>
        <w:jc w:val="both"/>
        <w:rPr>
          <w:sz w:val="28"/>
          <w:szCs w:val="28"/>
        </w:rPr>
      </w:pPr>
    </w:p>
    <w:p w:rsidR="00262F13" w:rsidRPr="00262F13" w:rsidRDefault="00262F13" w:rsidP="00262F13">
      <w:pPr>
        <w:pStyle w:val="NoSpacing"/>
        <w:ind w:firstLine="709"/>
        <w:jc w:val="both"/>
        <w:rPr>
          <w:sz w:val="28"/>
          <w:szCs w:val="28"/>
        </w:rPr>
      </w:pPr>
      <w:r w:rsidRPr="00262F13">
        <w:rPr>
          <w:sz w:val="28"/>
          <w:szCs w:val="28"/>
        </w:rPr>
        <w:t>5. Ja nodevas maksātājs samaksu veic izmantojot noteikumu 3.1.apakšpunktā minēto maksājumu pakalpojumu veidu, nodevas apmēra aprēķināšanai norāda šādu informāciju:</w:t>
      </w:r>
    </w:p>
    <w:p w:rsidR="00262F13" w:rsidRPr="00262F13" w:rsidRDefault="00262F13" w:rsidP="00262F13">
      <w:pPr>
        <w:pStyle w:val="NoSpacing"/>
        <w:ind w:firstLine="709"/>
        <w:jc w:val="both"/>
        <w:rPr>
          <w:sz w:val="28"/>
          <w:szCs w:val="28"/>
        </w:rPr>
      </w:pPr>
      <w:r w:rsidRPr="00262F13">
        <w:rPr>
          <w:sz w:val="28"/>
          <w:szCs w:val="28"/>
        </w:rPr>
        <w:lastRenderedPageBreak/>
        <w:t>5.1. nepārtraukto laika periodu, kad ir paredzēts izmantot autoceļus;</w:t>
      </w:r>
    </w:p>
    <w:p w:rsidR="00262F13" w:rsidRPr="00262F13" w:rsidRDefault="00262F13" w:rsidP="00262F13">
      <w:pPr>
        <w:pStyle w:val="NoSpacing"/>
        <w:ind w:firstLine="709"/>
        <w:jc w:val="both"/>
        <w:rPr>
          <w:sz w:val="28"/>
          <w:szCs w:val="28"/>
        </w:rPr>
      </w:pPr>
      <w:r w:rsidRPr="00262F13">
        <w:rPr>
          <w:sz w:val="28"/>
          <w:szCs w:val="28"/>
        </w:rPr>
        <w:t>5.2. transportlīdzekļa valsts reģistrācijas numuru (transportlīdzekļu sastāvam norāda vilcēja reģistrācijas numuru);</w:t>
      </w:r>
    </w:p>
    <w:p w:rsidR="00262F13" w:rsidRPr="00262F13" w:rsidRDefault="00262F13" w:rsidP="00262F13">
      <w:pPr>
        <w:pStyle w:val="NoSpacing"/>
        <w:ind w:firstLine="709"/>
        <w:jc w:val="both"/>
        <w:rPr>
          <w:sz w:val="28"/>
          <w:szCs w:val="28"/>
        </w:rPr>
      </w:pPr>
      <w:r w:rsidRPr="00262F13">
        <w:rPr>
          <w:sz w:val="28"/>
          <w:szCs w:val="28"/>
        </w:rPr>
        <w:t>5.3. transportlīdzekļa reģistrācijas valsti;</w:t>
      </w:r>
    </w:p>
    <w:p w:rsidR="00262F13" w:rsidRPr="00262F13" w:rsidRDefault="00262F13" w:rsidP="00262F13">
      <w:pPr>
        <w:pStyle w:val="NoSpacing"/>
        <w:ind w:firstLine="709"/>
        <w:jc w:val="both"/>
        <w:rPr>
          <w:sz w:val="28"/>
          <w:szCs w:val="28"/>
        </w:rPr>
      </w:pPr>
      <w:r w:rsidRPr="00262F13">
        <w:rPr>
          <w:sz w:val="28"/>
          <w:szCs w:val="28"/>
        </w:rPr>
        <w:t>5.4. transportlīdzekļa motora izmešu līmeni;</w:t>
      </w:r>
    </w:p>
    <w:p w:rsidR="00262F13" w:rsidRPr="00262F13" w:rsidRDefault="00262F13" w:rsidP="00262F13">
      <w:pPr>
        <w:pStyle w:val="NoSpacing"/>
        <w:ind w:firstLine="709"/>
        <w:jc w:val="both"/>
        <w:rPr>
          <w:sz w:val="28"/>
          <w:szCs w:val="28"/>
        </w:rPr>
      </w:pPr>
      <w:r w:rsidRPr="00262F13">
        <w:rPr>
          <w:sz w:val="28"/>
          <w:szCs w:val="28"/>
        </w:rPr>
        <w:t>5.5. transportlīdzekļa vai to sastāva pilno masu;</w:t>
      </w:r>
    </w:p>
    <w:p w:rsidR="00262F13" w:rsidRPr="00262F13" w:rsidRDefault="00262F13" w:rsidP="00262F13">
      <w:pPr>
        <w:pStyle w:val="NoSpacing"/>
        <w:ind w:firstLine="709"/>
        <w:jc w:val="both"/>
        <w:rPr>
          <w:sz w:val="28"/>
          <w:szCs w:val="28"/>
        </w:rPr>
      </w:pPr>
      <w:r w:rsidRPr="00262F13">
        <w:rPr>
          <w:sz w:val="28"/>
          <w:szCs w:val="28"/>
        </w:rPr>
        <w:t>5.6. transportlīdzekļa vai to sastāva asu skaitu.</w:t>
      </w: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r w:rsidRPr="00262F13">
        <w:rPr>
          <w:sz w:val="28"/>
          <w:szCs w:val="28"/>
        </w:rPr>
        <w:tab/>
        <w:t xml:space="preserve">6. Šo noteikumu 3.1.apakšpunktā minētā maksājumu pakalpojuma veida izmantošanas gadījumā portāls nodevas maksātājam elektroniski sagatavo apliecinājumu par veikto nodevas maksājumu, kas ir derīgs bez paraksta un kas satur šādu informāciju: </w:t>
      </w:r>
    </w:p>
    <w:p w:rsidR="00262F13" w:rsidRPr="00262F13" w:rsidRDefault="00262F13" w:rsidP="00262F13">
      <w:pPr>
        <w:pStyle w:val="NoSpacing"/>
        <w:ind w:firstLine="720"/>
        <w:jc w:val="both"/>
        <w:rPr>
          <w:sz w:val="28"/>
          <w:szCs w:val="28"/>
        </w:rPr>
      </w:pPr>
      <w:r w:rsidRPr="00262F13">
        <w:rPr>
          <w:sz w:val="28"/>
          <w:szCs w:val="28"/>
        </w:rPr>
        <w:t>6.1. transportlīdzekļa valsts reģistrācijas numuru, par kuru veikts nodevas maksājums, reģistrācijas valsti, izmešu līmeni, kā arī transportlīdzekļa (vai to sastāva) pilno masu un asu skaitu;</w:t>
      </w:r>
    </w:p>
    <w:p w:rsidR="00262F13" w:rsidRPr="00262F13" w:rsidRDefault="00262F13" w:rsidP="00262F13">
      <w:pPr>
        <w:pStyle w:val="NoSpacing"/>
        <w:ind w:firstLine="720"/>
        <w:jc w:val="both"/>
        <w:rPr>
          <w:sz w:val="28"/>
          <w:szCs w:val="28"/>
        </w:rPr>
      </w:pPr>
      <w:r w:rsidRPr="00262F13">
        <w:rPr>
          <w:sz w:val="28"/>
          <w:szCs w:val="28"/>
        </w:rPr>
        <w:t>6.2. nepārtraukto laika periodu, par kādu veikts nodevas maksājums;</w:t>
      </w:r>
    </w:p>
    <w:p w:rsidR="00262F13" w:rsidRPr="00262F13" w:rsidRDefault="00262F13" w:rsidP="00262F13">
      <w:pPr>
        <w:pStyle w:val="NoSpacing"/>
        <w:ind w:firstLine="720"/>
        <w:jc w:val="both"/>
        <w:rPr>
          <w:sz w:val="28"/>
          <w:szCs w:val="28"/>
        </w:rPr>
      </w:pPr>
      <w:r w:rsidRPr="00262F13">
        <w:rPr>
          <w:sz w:val="28"/>
          <w:szCs w:val="28"/>
        </w:rPr>
        <w:t>6.3. samaksātās nodevas apmēru.</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7. Ja nodevas maksātājs samaksu veic izmantojot šo noteikumu 3.2. vai 3.3.apakšpunktā minēto maksājumu pakalpojumu veidu:</w:t>
      </w:r>
    </w:p>
    <w:p w:rsidR="00262F13" w:rsidRPr="00262F13" w:rsidRDefault="00262F13" w:rsidP="00262F13">
      <w:pPr>
        <w:pStyle w:val="NoSpacing"/>
        <w:ind w:firstLine="720"/>
        <w:jc w:val="both"/>
        <w:rPr>
          <w:sz w:val="28"/>
          <w:szCs w:val="28"/>
        </w:rPr>
      </w:pPr>
      <w:r w:rsidRPr="00262F13">
        <w:rPr>
          <w:sz w:val="28"/>
          <w:szCs w:val="28"/>
        </w:rPr>
        <w:t>7.1 nodevas maksātājs norāda noteikumu 5.punktā minēto informāciju;</w:t>
      </w:r>
    </w:p>
    <w:p w:rsidR="00262F13" w:rsidRPr="00262F13" w:rsidRDefault="00262F13" w:rsidP="00262F13">
      <w:pPr>
        <w:pStyle w:val="NoSpacing"/>
        <w:ind w:firstLine="720"/>
        <w:jc w:val="both"/>
        <w:rPr>
          <w:rStyle w:val="Hyperlink"/>
          <w:color w:val="auto"/>
          <w:sz w:val="28"/>
          <w:szCs w:val="28"/>
          <w:u w:val="none"/>
        </w:rPr>
      </w:pPr>
      <w:r w:rsidRPr="00262F13">
        <w:rPr>
          <w:sz w:val="28"/>
          <w:szCs w:val="28"/>
        </w:rPr>
        <w:t>7.2. nodevas iekasēšanas pakalpojuma sniedzēja vai CSDD pārstāvis noformē nodevas maksājumu portālā</w:t>
      </w:r>
      <w:r w:rsidRPr="00262F13">
        <w:rPr>
          <w:rStyle w:val="Hyperlink"/>
          <w:color w:val="auto"/>
          <w:sz w:val="28"/>
          <w:szCs w:val="28"/>
          <w:u w:val="none"/>
        </w:rPr>
        <w:t>;</w:t>
      </w:r>
    </w:p>
    <w:p w:rsidR="00262F13" w:rsidRPr="00262F13" w:rsidRDefault="00262F13" w:rsidP="00262F13">
      <w:pPr>
        <w:pStyle w:val="NoSpacing"/>
        <w:ind w:firstLine="720"/>
        <w:jc w:val="both"/>
        <w:rPr>
          <w:rStyle w:val="Hyperlink"/>
          <w:color w:val="auto"/>
          <w:sz w:val="28"/>
          <w:szCs w:val="28"/>
          <w:u w:val="none"/>
        </w:rPr>
      </w:pPr>
      <w:r w:rsidRPr="00262F13">
        <w:rPr>
          <w:rStyle w:val="Hyperlink"/>
          <w:color w:val="auto"/>
          <w:sz w:val="28"/>
          <w:szCs w:val="28"/>
          <w:u w:val="none"/>
        </w:rPr>
        <w:t xml:space="preserve">7.3. </w:t>
      </w:r>
      <w:r w:rsidRPr="00262F13">
        <w:rPr>
          <w:sz w:val="28"/>
          <w:szCs w:val="28"/>
        </w:rPr>
        <w:t>nodevas iekasēšanas pakalpojuma sniedzēja vai CSDD pārstāvis</w:t>
      </w:r>
      <w:r w:rsidRPr="00262F13">
        <w:rPr>
          <w:rStyle w:val="Hyperlink"/>
          <w:color w:val="auto"/>
          <w:sz w:val="28"/>
          <w:szCs w:val="28"/>
          <w:u w:val="none"/>
        </w:rPr>
        <w:t xml:space="preserve"> pieņem nodevas maksājumu skaidrā naudā vai ar maksājumu karti, atbilstoši normatīvajiem aktiem par nodokļu un citu maksājumu reģistrēšanas elektronisko ierīču un iekārtu lietošanas kārtību;</w:t>
      </w:r>
    </w:p>
    <w:p w:rsidR="00262F13" w:rsidRPr="00262F13" w:rsidRDefault="00262F13" w:rsidP="00262F13">
      <w:pPr>
        <w:pStyle w:val="NoSpacing"/>
        <w:ind w:firstLine="720"/>
        <w:jc w:val="both"/>
        <w:rPr>
          <w:sz w:val="28"/>
          <w:szCs w:val="28"/>
        </w:rPr>
      </w:pPr>
      <w:r w:rsidRPr="00262F13">
        <w:rPr>
          <w:rStyle w:val="Hyperlink"/>
          <w:color w:val="auto"/>
          <w:sz w:val="28"/>
          <w:szCs w:val="28"/>
          <w:u w:val="none"/>
        </w:rPr>
        <w:t>7.4. nodevas iekasēšanas pakalpojumu sniedzēja vai CSDD pārstāvis no portāla izdrukā un izsniedz nodevas maksātājam apliecinājumu par veikto nodevas maksājumu, kas ir derīgs bez paraksta un satur šo noteikumu 6.punktā minēto informāciju.</w:t>
      </w:r>
    </w:p>
    <w:p w:rsidR="00262F13" w:rsidRPr="00262F13" w:rsidRDefault="00262F13" w:rsidP="00262F13">
      <w:pPr>
        <w:pStyle w:val="NoSpacing"/>
        <w:jc w:val="both"/>
        <w:rPr>
          <w:sz w:val="28"/>
          <w:szCs w:val="28"/>
        </w:rPr>
      </w:pPr>
    </w:p>
    <w:p w:rsidR="00262F13" w:rsidRPr="00262F13" w:rsidRDefault="00262F13" w:rsidP="00262F13">
      <w:pPr>
        <w:pStyle w:val="NoSpacing"/>
        <w:jc w:val="center"/>
        <w:rPr>
          <w:b/>
          <w:sz w:val="28"/>
          <w:szCs w:val="28"/>
        </w:rPr>
      </w:pPr>
      <w:r w:rsidRPr="00262F13">
        <w:rPr>
          <w:b/>
          <w:sz w:val="28"/>
          <w:szCs w:val="28"/>
        </w:rPr>
        <w:t>III. Nodevas iekasēšana</w:t>
      </w:r>
    </w:p>
    <w:p w:rsidR="00262F13" w:rsidRPr="00262F13" w:rsidRDefault="00262F13" w:rsidP="00262F13">
      <w:pPr>
        <w:pStyle w:val="NoSpacing"/>
        <w:jc w:val="center"/>
        <w:rPr>
          <w:sz w:val="28"/>
          <w:szCs w:val="28"/>
        </w:rPr>
      </w:pPr>
    </w:p>
    <w:p w:rsidR="00262F13" w:rsidRPr="00262F13" w:rsidRDefault="00262F13" w:rsidP="00262F13">
      <w:pPr>
        <w:pStyle w:val="NoSpacing"/>
        <w:ind w:firstLine="720"/>
        <w:jc w:val="both"/>
        <w:rPr>
          <w:sz w:val="28"/>
          <w:szCs w:val="28"/>
        </w:rPr>
      </w:pPr>
      <w:r w:rsidRPr="00262F13">
        <w:rPr>
          <w:sz w:val="28"/>
          <w:szCs w:val="28"/>
        </w:rPr>
        <w:t>8. Nodevas iekasēšanas pakalpojuma sniedzējs var būt juridiska persona, kurai:</w:t>
      </w:r>
    </w:p>
    <w:p w:rsidR="00262F13" w:rsidRPr="00262F13" w:rsidRDefault="00262F13" w:rsidP="00262F13">
      <w:pPr>
        <w:pStyle w:val="NoSpacing"/>
        <w:ind w:firstLine="720"/>
        <w:jc w:val="both"/>
        <w:rPr>
          <w:sz w:val="28"/>
          <w:szCs w:val="28"/>
        </w:rPr>
      </w:pPr>
      <w:r w:rsidRPr="00262F13">
        <w:rPr>
          <w:sz w:val="28"/>
          <w:szCs w:val="28"/>
        </w:rPr>
        <w:t>8.1. ir tehniskās iespējas darbam portālā atbilstoši CSDD izstrādātajai specifikācijai, kuras apraksts ir pieejams CSDD tīmekļa vietnē http://www.csdd.gov.lv, informācijas par nodevas maksājumiem pievienošanai portālā, kā arī nodevas maksājuma apliecinājuma izdrukāšanai;</w:t>
      </w:r>
    </w:p>
    <w:p w:rsidR="00262F13" w:rsidRPr="00262F13" w:rsidRDefault="00262F13" w:rsidP="00262F13">
      <w:pPr>
        <w:pStyle w:val="NoSpacing"/>
        <w:ind w:firstLine="720"/>
        <w:jc w:val="both"/>
        <w:rPr>
          <w:sz w:val="28"/>
          <w:szCs w:val="28"/>
        </w:rPr>
      </w:pPr>
      <w:r w:rsidRPr="00262F13">
        <w:rPr>
          <w:sz w:val="28"/>
          <w:szCs w:val="28"/>
        </w:rPr>
        <w:t xml:space="preserve">8.2. kopējais finanšu apgrozījums pēc pēdējā gada pārskata datiem nav mazāks par 500 000 </w:t>
      </w:r>
      <w:proofErr w:type="spellStart"/>
      <w:r w:rsidRPr="00262F13">
        <w:rPr>
          <w:sz w:val="28"/>
          <w:szCs w:val="28"/>
        </w:rPr>
        <w:t>euro</w:t>
      </w:r>
      <w:proofErr w:type="spellEnd"/>
      <w:r w:rsidRPr="00262F13">
        <w:rPr>
          <w:sz w:val="28"/>
          <w:szCs w:val="28"/>
        </w:rPr>
        <w:t>;</w:t>
      </w:r>
    </w:p>
    <w:p w:rsidR="00262F13" w:rsidRPr="00262F13" w:rsidRDefault="00262F13" w:rsidP="00262F13">
      <w:pPr>
        <w:pStyle w:val="NoSpacing"/>
        <w:ind w:firstLine="720"/>
        <w:jc w:val="both"/>
        <w:rPr>
          <w:sz w:val="28"/>
          <w:szCs w:val="28"/>
        </w:rPr>
      </w:pPr>
      <w:r w:rsidRPr="00262F13">
        <w:rPr>
          <w:sz w:val="28"/>
          <w:szCs w:val="28"/>
        </w:rPr>
        <w:lastRenderedPageBreak/>
        <w:t>8.3. likviditātes koeficients pēc pēdējā gada pārskata datiem ir vienāds ar 1 vai lielāks;</w:t>
      </w:r>
    </w:p>
    <w:p w:rsidR="00262F13" w:rsidRPr="00262F13" w:rsidRDefault="00262F13" w:rsidP="00262F13">
      <w:pPr>
        <w:pStyle w:val="NoSpacing"/>
        <w:ind w:firstLine="720"/>
        <w:jc w:val="both"/>
        <w:rPr>
          <w:sz w:val="28"/>
          <w:szCs w:val="28"/>
        </w:rPr>
      </w:pPr>
      <w:r w:rsidRPr="00262F13">
        <w:rPr>
          <w:sz w:val="28"/>
          <w:szCs w:val="28"/>
        </w:rPr>
        <w:t>8.4. pašu kapitāls pēc pēdējā gada pārskata datiem ir pozitīvs;</w:t>
      </w:r>
    </w:p>
    <w:p w:rsidR="00262F13" w:rsidRPr="00262F13" w:rsidRDefault="00262F13" w:rsidP="00262F13">
      <w:pPr>
        <w:pStyle w:val="NoSpacing"/>
        <w:ind w:firstLine="720"/>
        <w:jc w:val="both"/>
        <w:rPr>
          <w:sz w:val="28"/>
          <w:szCs w:val="28"/>
        </w:rPr>
      </w:pPr>
      <w:r w:rsidRPr="00262F13">
        <w:rPr>
          <w:sz w:val="28"/>
          <w:szCs w:val="28"/>
        </w:rPr>
        <w:t>8.5. saskaņā ar Valsts ieņēmumu dienesta administrēto nodokļu (nodevu) parādnieku datubāzē pieejamo informāciju nav nodokļu vai nodevu parādu.</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9. Juridiskā persona, kura vēlas sniegt nodevas iekasēšanas pakalpojumu, iesniedz rakstisku iesniegumu valsts akciju sabiedrībai „Latvijas Valsts ceļi”, kurā apliecina atbilstību noteikumu 8.2., 8.3., 8.4. un 8.5.apakšpunktā noteiktajām prasībām.</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10. Valsts akciju sabiedrība „Latvijas Valsts ceļi” 10 darba dienu laikā no iesnieguma saņemšanas dienas izskata iesniegumu, izvērtē juridiskās personas atbilstību noteikumu prasībām un nosūta tai izvērtēšanai noteikumu 11.punktā minētā līguma projektu.</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11. Par nodevas iekasēšanas pakalpojuma sniegšanu CSDD, valsts akciju sabiedrība „Latvijas Valsts ceļi” un Nodevas iekasēšanas pakalpojuma sniedzējs slēdz līgumu, kurā vienojas par:</w:t>
      </w:r>
    </w:p>
    <w:p w:rsidR="00262F13" w:rsidRPr="00262F13" w:rsidRDefault="00262F13" w:rsidP="00262F13">
      <w:pPr>
        <w:pStyle w:val="NoSpacing"/>
        <w:ind w:firstLine="720"/>
        <w:jc w:val="both"/>
        <w:rPr>
          <w:sz w:val="28"/>
          <w:szCs w:val="28"/>
        </w:rPr>
      </w:pPr>
      <w:r w:rsidRPr="00262F13">
        <w:rPr>
          <w:sz w:val="28"/>
          <w:szCs w:val="28"/>
        </w:rPr>
        <w:t>11.1. nodevas maksājumu informācijas aprites kārtību atbilstoši līguma pielikumā noteiktajām tehniskajām prasībām;</w:t>
      </w:r>
    </w:p>
    <w:p w:rsidR="00262F13" w:rsidRPr="00262F13" w:rsidRDefault="00262F13" w:rsidP="00262F13">
      <w:pPr>
        <w:pStyle w:val="NoSpacing"/>
        <w:ind w:firstLine="720"/>
        <w:jc w:val="both"/>
        <w:rPr>
          <w:sz w:val="28"/>
          <w:szCs w:val="28"/>
        </w:rPr>
      </w:pPr>
      <w:r w:rsidRPr="00262F13">
        <w:rPr>
          <w:sz w:val="28"/>
          <w:szCs w:val="28"/>
        </w:rPr>
        <w:t>11.2. nodevas iekasēšanas pakalpojuma sniedzēja atbildību, par neveiktu vai kavētu nodevas maksājumu ieskaitīšanu valsts pamatbudžeta ieņēmumu kontā Valsts kasē;</w:t>
      </w:r>
    </w:p>
    <w:p w:rsidR="00262F13" w:rsidRPr="00262F13" w:rsidRDefault="00262F13" w:rsidP="00262F13">
      <w:pPr>
        <w:pStyle w:val="NoSpacing"/>
        <w:ind w:firstLine="720"/>
        <w:jc w:val="both"/>
        <w:rPr>
          <w:sz w:val="28"/>
          <w:szCs w:val="28"/>
        </w:rPr>
      </w:pPr>
      <w:r w:rsidRPr="00262F13">
        <w:rPr>
          <w:sz w:val="28"/>
          <w:szCs w:val="28"/>
        </w:rPr>
        <w:t>11.3. kārtību, kādā valsts akciju sabiedrība „Latvijas Valsts ceļi” visā nodevas iekasēšanas pakalpojuma sniegšanas laikā uzraudzīs Nodevas iekasēšanas pakalpojuma sniedzēja atbilstību noteikumu 8.punktā noteiktajām prasībām;</w:t>
      </w:r>
    </w:p>
    <w:p w:rsidR="00262F13" w:rsidRPr="00262F13" w:rsidRDefault="00262F13" w:rsidP="00262F13">
      <w:pPr>
        <w:pStyle w:val="NoSpacing"/>
        <w:ind w:firstLine="720"/>
        <w:jc w:val="both"/>
        <w:rPr>
          <w:sz w:val="28"/>
          <w:szCs w:val="28"/>
        </w:rPr>
      </w:pPr>
      <w:r w:rsidRPr="00262F13">
        <w:rPr>
          <w:sz w:val="28"/>
          <w:szCs w:val="28"/>
        </w:rPr>
        <w:t>11.4. citiem nosacījumiem, kuri nodrošina nodevas maksājumu iekasēšanu, pārskaitīšanu valsts pamatbudžeta ieņēmumu kontā Valsts kasē un maksājumu veikšanas kontroli.</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12. Ja nodevas samaksa veikta izmantojot šo noteikumu 3.2. vai 3.3.apakšpunktā minēto maksājumu pakalpojumu veidu:</w:t>
      </w:r>
    </w:p>
    <w:p w:rsidR="00262F13" w:rsidRPr="00262F13" w:rsidRDefault="00262F13" w:rsidP="00262F13">
      <w:pPr>
        <w:pStyle w:val="NoSpacing"/>
        <w:ind w:firstLine="720"/>
        <w:jc w:val="both"/>
        <w:rPr>
          <w:rStyle w:val="Hyperlink"/>
          <w:color w:val="auto"/>
          <w:sz w:val="28"/>
          <w:szCs w:val="28"/>
          <w:u w:val="none"/>
        </w:rPr>
      </w:pPr>
      <w:r w:rsidRPr="00262F13">
        <w:rPr>
          <w:rStyle w:val="Hyperlink"/>
          <w:color w:val="auto"/>
          <w:sz w:val="28"/>
          <w:szCs w:val="28"/>
          <w:u w:val="none"/>
        </w:rPr>
        <w:t>12.1. CSDD triju darbdienu laikā no 7.2.apakšpunktā minētā nodevas maksājuma noformēšanas brīža portālā iemaksā valsts pamatbudžeta ieņēmumu kontā Valsts kasē iekasēto nodevu summas pilnā apmērā atbilstoši portālā reģistrētajai informācijai.</w:t>
      </w:r>
    </w:p>
    <w:p w:rsidR="00262F13" w:rsidRPr="00262F13" w:rsidRDefault="00262F13" w:rsidP="00262F13">
      <w:pPr>
        <w:pStyle w:val="NoSpacing"/>
        <w:ind w:firstLine="720"/>
        <w:jc w:val="both"/>
        <w:rPr>
          <w:rStyle w:val="Hyperlink"/>
          <w:color w:val="auto"/>
          <w:sz w:val="28"/>
          <w:szCs w:val="28"/>
          <w:u w:val="none"/>
        </w:rPr>
      </w:pPr>
      <w:r w:rsidRPr="00262F13">
        <w:rPr>
          <w:rStyle w:val="Hyperlink"/>
          <w:color w:val="auto"/>
          <w:sz w:val="28"/>
          <w:szCs w:val="28"/>
          <w:u w:val="none"/>
        </w:rPr>
        <w:t xml:space="preserve">12.2. CSDD ne retāk kā divas reizes mēnesī nodrošina portālā rēķinu (atskaiti) par nodevas maksājumiem iepriekšējo divu nedēļu periodā, kas ģenerēta atbilstoši portālā reģistrētajai informācijai par attiecīgā Nodevas iekasēšanas pakalpojuma sniedzēja iekasētajiem nodevas maksājumiem. Nodevas iekasēšanas pakalpojuma sniedzējs piecu darba dienu laikā pēc rēķina </w:t>
      </w:r>
      <w:r w:rsidRPr="00262F13">
        <w:rPr>
          <w:rStyle w:val="Hyperlink"/>
          <w:color w:val="auto"/>
          <w:sz w:val="28"/>
          <w:szCs w:val="28"/>
          <w:u w:val="none"/>
        </w:rPr>
        <w:lastRenderedPageBreak/>
        <w:t>(atskaites) saņemšanas apmaksā to pilnā apmērā, veicot pārskaitījumu valsts pamatbudžeta ieņēmumu kontā Valsts kasē.</w:t>
      </w:r>
    </w:p>
    <w:p w:rsidR="00262F13" w:rsidRPr="00262F13" w:rsidRDefault="00262F13" w:rsidP="00262F13">
      <w:pPr>
        <w:pStyle w:val="NoSpacing"/>
        <w:ind w:firstLine="720"/>
        <w:jc w:val="both"/>
        <w:rPr>
          <w:rStyle w:val="Hyperlink"/>
          <w:color w:val="auto"/>
          <w:sz w:val="28"/>
          <w:szCs w:val="28"/>
        </w:rPr>
      </w:pPr>
      <w:r w:rsidRPr="00262F13">
        <w:rPr>
          <w:rStyle w:val="Hyperlink"/>
          <w:color w:val="auto"/>
          <w:sz w:val="28"/>
          <w:szCs w:val="28"/>
          <w:u w:val="none"/>
        </w:rPr>
        <w:t>12.3. nodevas iekasēšanas pakalpojuma sniedzējs un CSDD ir tiesīgi iekasēt maksu par sniegto pakalpojumu. Maksa par pakalpojumu nosakāma vienam nodevas maksājumam, neatkarīgi no maksājamās nodevas kopējā apmēra.</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center"/>
        <w:rPr>
          <w:b/>
          <w:sz w:val="28"/>
          <w:szCs w:val="28"/>
        </w:rPr>
      </w:pPr>
      <w:r w:rsidRPr="00262F13">
        <w:rPr>
          <w:b/>
          <w:sz w:val="28"/>
          <w:szCs w:val="28"/>
        </w:rPr>
        <w:t>IV. Nodevas administrēšana</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trike/>
          <w:sz w:val="28"/>
          <w:szCs w:val="28"/>
        </w:rPr>
      </w:pPr>
      <w:r w:rsidRPr="00262F13">
        <w:rPr>
          <w:sz w:val="28"/>
          <w:szCs w:val="28"/>
        </w:rPr>
        <w:t xml:space="preserve">13. Valsts akciju sabiedrība „Latvijas Valsts ceļi” un CSDD slēdz līgumu par sadarbību nodevas iekasēšanā un administrēšanā, paredzot informācijas aprites kārtību, kā arī ar nodevas iekasēšanu un </w:t>
      </w:r>
      <w:r w:rsidRPr="00262F13">
        <w:rPr>
          <w:bCs/>
          <w:sz w:val="28"/>
          <w:szCs w:val="28"/>
        </w:rPr>
        <w:t>portāla</w:t>
      </w:r>
      <w:r w:rsidRPr="00262F13">
        <w:rPr>
          <w:sz w:val="28"/>
          <w:szCs w:val="28"/>
        </w:rPr>
        <w:t xml:space="preserve"> </w:t>
      </w:r>
      <w:r w:rsidRPr="00262F13">
        <w:rPr>
          <w:rStyle w:val="Hyperlink"/>
          <w:color w:val="auto"/>
          <w:sz w:val="28"/>
          <w:szCs w:val="28"/>
          <w:u w:val="none"/>
        </w:rPr>
        <w:t xml:space="preserve">uzturēšanu </w:t>
      </w:r>
      <w:r w:rsidRPr="00262F13">
        <w:rPr>
          <w:sz w:val="28"/>
          <w:szCs w:val="28"/>
        </w:rPr>
        <w:t xml:space="preserve">saistīto izdevumu segšanas kārtību. </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 xml:space="preserve">14. CSDD nodrošina portālā </w:t>
      </w:r>
      <w:r w:rsidRPr="00262F13">
        <w:rPr>
          <w:rStyle w:val="Hyperlink"/>
          <w:color w:val="auto"/>
          <w:sz w:val="28"/>
          <w:szCs w:val="28"/>
          <w:u w:val="none"/>
        </w:rPr>
        <w:t xml:space="preserve">esošās </w:t>
      </w:r>
      <w:r w:rsidRPr="00262F13">
        <w:rPr>
          <w:sz w:val="28"/>
          <w:szCs w:val="28"/>
        </w:rPr>
        <w:t xml:space="preserve">informācijas par veikto nodevas maksājumu pievienošanu transportlīdzekļu un to vadītāju reģistram tiešsaistes režīmā. Nodevas samaksu apliecina ieraksts transportlīdzekļu un to vadītāju valsts reģistrā. </w:t>
      </w:r>
    </w:p>
    <w:p w:rsidR="00262F13" w:rsidRPr="00262F13" w:rsidRDefault="00262F13" w:rsidP="00262F13">
      <w:pPr>
        <w:pStyle w:val="NoSpacing"/>
        <w:jc w:val="both"/>
        <w:rPr>
          <w:sz w:val="28"/>
          <w:szCs w:val="28"/>
        </w:rPr>
      </w:pPr>
      <w:r w:rsidRPr="00262F13">
        <w:rPr>
          <w:sz w:val="28"/>
          <w:szCs w:val="28"/>
        </w:rPr>
        <w:tab/>
      </w:r>
    </w:p>
    <w:p w:rsidR="00262F13" w:rsidRPr="00262F13" w:rsidRDefault="00262F13" w:rsidP="00262F13">
      <w:pPr>
        <w:pStyle w:val="NoSpacing"/>
        <w:ind w:firstLine="720"/>
        <w:jc w:val="both"/>
        <w:rPr>
          <w:rStyle w:val="Hyperlink"/>
          <w:color w:val="auto"/>
          <w:sz w:val="28"/>
          <w:szCs w:val="28"/>
          <w:u w:val="none"/>
        </w:rPr>
      </w:pPr>
      <w:r w:rsidRPr="00262F13">
        <w:rPr>
          <w:sz w:val="28"/>
          <w:szCs w:val="28"/>
        </w:rPr>
        <w:t xml:space="preserve">15. CSDD nodevas iekasēšanas nodrošināšanai, balstoties uz 13.punktā minēto līgumu, uztur </w:t>
      </w:r>
      <w:r w:rsidRPr="00262F13">
        <w:rPr>
          <w:bCs/>
          <w:sz w:val="28"/>
          <w:szCs w:val="28"/>
        </w:rPr>
        <w:t>portāla</w:t>
      </w:r>
      <w:r w:rsidRPr="00262F13">
        <w:rPr>
          <w:rStyle w:val="Hyperlink"/>
          <w:color w:val="auto"/>
          <w:sz w:val="28"/>
          <w:szCs w:val="28"/>
          <w:u w:val="none"/>
        </w:rPr>
        <w:t xml:space="preserve"> </w:t>
      </w:r>
      <w:r w:rsidRPr="00262F13">
        <w:rPr>
          <w:sz w:val="28"/>
          <w:szCs w:val="28"/>
        </w:rPr>
        <w:t xml:space="preserve">nepārtrauktu </w:t>
      </w:r>
      <w:r w:rsidRPr="00262F13">
        <w:rPr>
          <w:rStyle w:val="Hyperlink"/>
          <w:color w:val="auto"/>
          <w:sz w:val="28"/>
          <w:szCs w:val="28"/>
          <w:u w:val="none"/>
        </w:rPr>
        <w:t>darbību</w:t>
      </w:r>
      <w:r w:rsidRPr="00262F13">
        <w:rPr>
          <w:sz w:val="28"/>
          <w:szCs w:val="28"/>
        </w:rPr>
        <w:t xml:space="preserve"> un nodrošina tās pieejamību tiešsaistes režīmā nodevas maksātājiem, nodevas iekasēšanas pakalpojuma sniedzējiem, valsts akciju sabiedrībai „Latvijas Valsts ceļi” un Valsts ieņēmumu dienestam.</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16.Valsts akciju sabiedrība „Latvijas Valsts ceļi”:</w:t>
      </w:r>
    </w:p>
    <w:p w:rsidR="00262F13" w:rsidRPr="00262F13" w:rsidRDefault="00262F13" w:rsidP="00262F13">
      <w:pPr>
        <w:pStyle w:val="NoSpacing"/>
        <w:ind w:firstLine="720"/>
        <w:jc w:val="both"/>
        <w:rPr>
          <w:sz w:val="28"/>
          <w:szCs w:val="28"/>
        </w:rPr>
      </w:pPr>
      <w:r w:rsidRPr="00262F13">
        <w:rPr>
          <w:sz w:val="28"/>
          <w:szCs w:val="28"/>
        </w:rPr>
        <w:t>16.1. nodrošina funkcijas saskaņā ar maksājumu veikšanu valsts budžetā un nodevu un nodokļu jomu regulējošiem normatīvajiem aktiem;</w:t>
      </w:r>
    </w:p>
    <w:p w:rsidR="00262F13" w:rsidRPr="00262F13" w:rsidRDefault="00262F13" w:rsidP="00262F13">
      <w:pPr>
        <w:pStyle w:val="NoSpacing"/>
        <w:ind w:firstLine="720"/>
        <w:jc w:val="both"/>
        <w:rPr>
          <w:sz w:val="28"/>
          <w:szCs w:val="28"/>
        </w:rPr>
      </w:pPr>
      <w:r w:rsidRPr="00262F13">
        <w:rPr>
          <w:sz w:val="28"/>
          <w:szCs w:val="28"/>
        </w:rPr>
        <w:t xml:space="preserve">16.2. veic šajos noteikumos noteikto nodevas iekasēšanas procesa uzraudzību un kontroli; </w:t>
      </w:r>
    </w:p>
    <w:p w:rsidR="00262F13" w:rsidRPr="00262F13" w:rsidRDefault="00262F13" w:rsidP="00262F13">
      <w:pPr>
        <w:pStyle w:val="NoSpacing"/>
        <w:ind w:firstLine="720"/>
        <w:jc w:val="both"/>
        <w:rPr>
          <w:sz w:val="28"/>
          <w:szCs w:val="28"/>
        </w:rPr>
      </w:pPr>
      <w:r w:rsidRPr="00262F13">
        <w:rPr>
          <w:sz w:val="28"/>
          <w:szCs w:val="28"/>
        </w:rPr>
        <w:t>16.3. sagatavo ieņēmumu prognozi no autoceļu lietošanas nodevas nākamajam gadam un vidējam termiņam iesniegšanai Satiksmes ministrijā, lai tā, atbilstoši valsts budžeta likumprojekta sagatavošanas grafikam, iesniegtu Finanšu ministrijā iekļaušanai valsts makroekonomisko rādītāju prognozēs nākamajam gadam un vidējam termiņam (3 gadiem).</w:t>
      </w:r>
    </w:p>
    <w:p w:rsidR="00262F13" w:rsidRPr="00262F13" w:rsidRDefault="00262F13" w:rsidP="00262F13">
      <w:pPr>
        <w:pStyle w:val="NoSpacing"/>
        <w:ind w:firstLine="720"/>
        <w:jc w:val="both"/>
        <w:rPr>
          <w:sz w:val="28"/>
          <w:szCs w:val="28"/>
          <w:u w:val="single"/>
        </w:rPr>
      </w:pPr>
    </w:p>
    <w:p w:rsidR="00262F13" w:rsidRPr="00262F13" w:rsidRDefault="00262F13" w:rsidP="00262F13">
      <w:pPr>
        <w:pStyle w:val="NoSpacing"/>
        <w:ind w:firstLine="720"/>
        <w:jc w:val="both"/>
        <w:rPr>
          <w:sz w:val="28"/>
          <w:szCs w:val="28"/>
        </w:rPr>
      </w:pPr>
      <w:r w:rsidRPr="00262F13">
        <w:rPr>
          <w:sz w:val="28"/>
          <w:szCs w:val="28"/>
        </w:rPr>
        <w:t>17. Valsts akciju sabiedrība „Latvijas Valsts ceļi” un CSDD nodevas administrēšanas ietvaros atrodas Satiksmes ministrijas funkcionālā pakļautībā.</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t>18. Valsts ieņēmumu dienests, pamatojoties uz nodevas maksātāja iesniegumu, veic nodevas atmaksāšanu Autoceļu lietošanas nodevas likumā noteiktos gadījumos, likumā „Par nodokļiem un nodevām” noteiktajā kārtībā.</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both"/>
        <w:rPr>
          <w:sz w:val="28"/>
          <w:szCs w:val="28"/>
        </w:rPr>
      </w:pPr>
      <w:r w:rsidRPr="00262F13">
        <w:rPr>
          <w:sz w:val="28"/>
          <w:szCs w:val="28"/>
        </w:rPr>
        <w:lastRenderedPageBreak/>
        <w:t>19. Lai atgūtu par ārvalstī reģistrētu transportlīdzekli samaksāto nodevu nodevas maksātājs, iesniegumam pievieno attiecīgās ārvalsts transportlīdzekļu reģistrāciju veicošās institūcijas apliecinājumu par likumā noteikto nodevas atmaksāšanai paredzēto apstākļu esamību.</w:t>
      </w:r>
    </w:p>
    <w:p w:rsidR="00262F13" w:rsidRPr="00262F13" w:rsidRDefault="00262F13" w:rsidP="00262F13">
      <w:pPr>
        <w:pStyle w:val="NoSpacing"/>
        <w:ind w:firstLine="720"/>
        <w:jc w:val="both"/>
        <w:rPr>
          <w:sz w:val="28"/>
          <w:szCs w:val="28"/>
        </w:rPr>
      </w:pPr>
    </w:p>
    <w:p w:rsidR="00262F13" w:rsidRPr="00262F13" w:rsidRDefault="00262F13" w:rsidP="00262F13">
      <w:pPr>
        <w:pStyle w:val="NoSpacing"/>
        <w:ind w:firstLine="720"/>
        <w:jc w:val="center"/>
        <w:rPr>
          <w:b/>
          <w:sz w:val="28"/>
          <w:szCs w:val="28"/>
        </w:rPr>
      </w:pPr>
      <w:r w:rsidRPr="00262F13">
        <w:rPr>
          <w:b/>
          <w:sz w:val="28"/>
          <w:szCs w:val="28"/>
        </w:rPr>
        <w:t>V.</w:t>
      </w:r>
      <w:r>
        <w:rPr>
          <w:b/>
          <w:sz w:val="28"/>
          <w:szCs w:val="28"/>
        </w:rPr>
        <w:t xml:space="preserve"> Noslēguma jautājums</w:t>
      </w:r>
    </w:p>
    <w:p w:rsidR="00262F13" w:rsidRPr="00262F13" w:rsidRDefault="00262F13" w:rsidP="00262F13">
      <w:pPr>
        <w:pStyle w:val="NoSpacing"/>
        <w:ind w:firstLine="720"/>
        <w:jc w:val="both"/>
        <w:rPr>
          <w:sz w:val="28"/>
          <w:szCs w:val="28"/>
        </w:rPr>
      </w:pPr>
    </w:p>
    <w:p w:rsidR="00262F13" w:rsidRPr="00262F13" w:rsidRDefault="00262F13" w:rsidP="00262F13">
      <w:pPr>
        <w:ind w:firstLine="709"/>
        <w:rPr>
          <w:sz w:val="28"/>
          <w:szCs w:val="28"/>
        </w:rPr>
      </w:pPr>
      <w:r w:rsidRPr="00262F13">
        <w:rPr>
          <w:sz w:val="28"/>
          <w:szCs w:val="28"/>
        </w:rPr>
        <w:t>20. Noteikumi stājas spēkā 2014.gada 1.jūlijā.</w:t>
      </w:r>
    </w:p>
    <w:p w:rsidR="00262F13" w:rsidRPr="00262F13" w:rsidRDefault="00262F13" w:rsidP="00262F13">
      <w:pPr>
        <w:ind w:firstLine="709"/>
        <w:rPr>
          <w:sz w:val="28"/>
          <w:szCs w:val="28"/>
        </w:rPr>
      </w:pPr>
    </w:p>
    <w:p w:rsidR="00262F13" w:rsidRPr="00262F13" w:rsidRDefault="00262F13" w:rsidP="00262F13">
      <w:pPr>
        <w:ind w:firstLine="709"/>
        <w:rPr>
          <w:b/>
          <w:sz w:val="28"/>
        </w:rPr>
      </w:pPr>
      <w:r w:rsidRPr="00262F13">
        <w:rPr>
          <w:b/>
          <w:sz w:val="28"/>
        </w:rPr>
        <w:t>Informatīva atsauce uz Eiropas Savienības direktīvām</w:t>
      </w:r>
    </w:p>
    <w:p w:rsidR="00262F13" w:rsidRPr="00262F13" w:rsidRDefault="00262F13" w:rsidP="00262F13">
      <w:pPr>
        <w:ind w:firstLine="709"/>
        <w:rPr>
          <w:sz w:val="28"/>
        </w:rPr>
      </w:pPr>
    </w:p>
    <w:p w:rsidR="00262F13" w:rsidRPr="00262F13" w:rsidRDefault="00262F13" w:rsidP="00262F13">
      <w:pPr>
        <w:ind w:firstLine="709"/>
        <w:jc w:val="both"/>
        <w:rPr>
          <w:sz w:val="28"/>
          <w:szCs w:val="28"/>
        </w:rPr>
      </w:pPr>
      <w:r w:rsidRPr="00262F13">
        <w:rPr>
          <w:sz w:val="28"/>
          <w:szCs w:val="28"/>
        </w:rPr>
        <w:t>Noteikumos iekļautas tiesību normas, kas izriet no:</w:t>
      </w:r>
    </w:p>
    <w:p w:rsidR="00262F13" w:rsidRPr="00262F13" w:rsidRDefault="00262F13" w:rsidP="00262F13">
      <w:pPr>
        <w:ind w:firstLine="709"/>
        <w:jc w:val="both"/>
        <w:rPr>
          <w:sz w:val="28"/>
          <w:szCs w:val="28"/>
        </w:rPr>
      </w:pPr>
      <w:r w:rsidRPr="00262F13">
        <w:rPr>
          <w:sz w:val="28"/>
          <w:szCs w:val="28"/>
        </w:rPr>
        <w:t>1) Eiropas Parlamenta un Padomes 1999.gada 17.jūnija direktīvas 1999/62/EK par dažu infrastruktūru lietošanas maksas noteikšanu kravas transportlīdzekļiem;</w:t>
      </w:r>
    </w:p>
    <w:p w:rsidR="00262F13" w:rsidRPr="00262F13" w:rsidRDefault="00262F13" w:rsidP="00262F13">
      <w:pPr>
        <w:ind w:firstLine="709"/>
        <w:jc w:val="both"/>
        <w:rPr>
          <w:sz w:val="28"/>
          <w:szCs w:val="28"/>
        </w:rPr>
      </w:pPr>
      <w:r w:rsidRPr="00262F13">
        <w:rPr>
          <w:sz w:val="28"/>
          <w:szCs w:val="28"/>
        </w:rPr>
        <w:t>2) Eiropas Parlamenta un Padomes 2006.gada 17.maija direktīvas 2006/38/EK, ar ko groza Direktīvu 1999/62/EK par dažu infrastruktūru lietošanas maksas noteikšanu smagajiem kravas transportlīdzekļiem;</w:t>
      </w:r>
    </w:p>
    <w:p w:rsidR="00262F13" w:rsidRPr="00262F13" w:rsidRDefault="00262F13" w:rsidP="00262F13">
      <w:pPr>
        <w:ind w:firstLine="709"/>
        <w:jc w:val="both"/>
        <w:rPr>
          <w:sz w:val="28"/>
          <w:szCs w:val="28"/>
        </w:rPr>
      </w:pPr>
      <w:r w:rsidRPr="00262F13">
        <w:rPr>
          <w:sz w:val="28"/>
          <w:szCs w:val="28"/>
        </w:rPr>
        <w:t>3) Eiropas Parlamenta un Padomes 2011.gada 27.septembra direktīvas 2011/76/ES, ar ko groza Direktīvu 199/62/EK par dažu infrastruktūru lietošanas maksas noteikšanu smagajiem kravas transportlīdzekļiem.</w:t>
      </w:r>
    </w:p>
    <w:p w:rsidR="00262F13" w:rsidRPr="00262F13" w:rsidRDefault="00262F13" w:rsidP="00262F13">
      <w:pPr>
        <w:ind w:right="-514" w:firstLine="709"/>
        <w:jc w:val="both"/>
        <w:rPr>
          <w:sz w:val="28"/>
          <w:szCs w:val="28"/>
        </w:rPr>
      </w:pPr>
    </w:p>
    <w:p w:rsidR="00262F13" w:rsidRPr="00262F13" w:rsidRDefault="00262F13" w:rsidP="00262F13">
      <w:pPr>
        <w:ind w:right="-514" w:firstLine="709"/>
        <w:jc w:val="both"/>
        <w:rPr>
          <w:sz w:val="28"/>
          <w:szCs w:val="28"/>
        </w:rPr>
      </w:pPr>
    </w:p>
    <w:p w:rsidR="00262F13" w:rsidRPr="00262F13" w:rsidRDefault="00262F13" w:rsidP="00262F13">
      <w:pPr>
        <w:pStyle w:val="NoSpacing"/>
        <w:rPr>
          <w:sz w:val="28"/>
          <w:szCs w:val="28"/>
        </w:rPr>
      </w:pPr>
      <w:r w:rsidRPr="00262F13">
        <w:rPr>
          <w:sz w:val="28"/>
          <w:szCs w:val="28"/>
        </w:rPr>
        <w:t xml:space="preserve">Ministru prezidente </w:t>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t>L.Straujuma</w:t>
      </w: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r w:rsidRPr="00262F13">
        <w:rPr>
          <w:sz w:val="28"/>
          <w:szCs w:val="28"/>
        </w:rPr>
        <w:t xml:space="preserve">Satiksmes ministrs </w:t>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t>A.Matīss</w:t>
      </w:r>
    </w:p>
    <w:p w:rsidR="00262F13" w:rsidRPr="00262F13" w:rsidRDefault="00262F13" w:rsidP="00262F13">
      <w:pPr>
        <w:pStyle w:val="NoSpacing"/>
        <w:jc w:val="both"/>
        <w:rPr>
          <w:sz w:val="28"/>
          <w:szCs w:val="28"/>
        </w:rPr>
      </w:pPr>
      <w:r w:rsidRPr="00262F13">
        <w:rPr>
          <w:sz w:val="28"/>
          <w:szCs w:val="28"/>
        </w:rPr>
        <w:tab/>
      </w: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r w:rsidRPr="00262F13">
        <w:rPr>
          <w:sz w:val="28"/>
          <w:szCs w:val="28"/>
        </w:rPr>
        <w:t xml:space="preserve">Iesniedzējs: Satiksmes ministrs </w:t>
      </w:r>
      <w:r w:rsidRPr="00262F13">
        <w:rPr>
          <w:sz w:val="28"/>
          <w:szCs w:val="28"/>
        </w:rPr>
        <w:tab/>
      </w:r>
      <w:r w:rsidRPr="00262F13">
        <w:rPr>
          <w:sz w:val="28"/>
          <w:szCs w:val="28"/>
        </w:rPr>
        <w:tab/>
      </w:r>
      <w:r w:rsidRPr="00262F13">
        <w:rPr>
          <w:sz w:val="28"/>
          <w:szCs w:val="28"/>
        </w:rPr>
        <w:tab/>
      </w:r>
      <w:r w:rsidRPr="00262F13">
        <w:rPr>
          <w:sz w:val="28"/>
          <w:szCs w:val="28"/>
        </w:rPr>
        <w:tab/>
        <w:t>A.Matīss</w:t>
      </w: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r w:rsidRPr="00262F13">
        <w:rPr>
          <w:sz w:val="28"/>
          <w:szCs w:val="28"/>
        </w:rPr>
        <w:t>Vīza: Valsts sekretārs</w:t>
      </w:r>
      <w:r w:rsidRPr="00262F13">
        <w:rPr>
          <w:sz w:val="28"/>
          <w:szCs w:val="28"/>
        </w:rPr>
        <w:tab/>
      </w:r>
      <w:r w:rsidRPr="00262F13">
        <w:rPr>
          <w:sz w:val="28"/>
          <w:szCs w:val="28"/>
        </w:rPr>
        <w:tab/>
      </w:r>
      <w:r w:rsidRPr="00262F13">
        <w:rPr>
          <w:sz w:val="28"/>
          <w:szCs w:val="28"/>
        </w:rPr>
        <w:tab/>
      </w:r>
      <w:r w:rsidRPr="00262F13">
        <w:rPr>
          <w:sz w:val="28"/>
          <w:szCs w:val="28"/>
        </w:rPr>
        <w:tab/>
      </w:r>
      <w:r w:rsidRPr="00262F13">
        <w:rPr>
          <w:sz w:val="28"/>
          <w:szCs w:val="28"/>
        </w:rPr>
        <w:tab/>
        <w:t>K.Ozoliņš</w:t>
      </w:r>
    </w:p>
    <w:p w:rsidR="00262F13" w:rsidRPr="00262F13" w:rsidRDefault="00262F13" w:rsidP="00262F13">
      <w:pPr>
        <w:pStyle w:val="NoSpacing"/>
        <w:jc w:val="both"/>
        <w:rPr>
          <w:sz w:val="28"/>
          <w:szCs w:val="28"/>
        </w:rPr>
      </w:pPr>
    </w:p>
    <w:p w:rsidR="00262F13" w:rsidRPr="00262F13" w:rsidRDefault="00262F13" w:rsidP="00262F13">
      <w:pPr>
        <w:pStyle w:val="NoSpacing"/>
        <w:jc w:val="both"/>
        <w:rPr>
          <w:sz w:val="28"/>
          <w:szCs w:val="28"/>
        </w:rPr>
      </w:pPr>
    </w:p>
    <w:p w:rsidR="00262F13" w:rsidRPr="00262F13" w:rsidRDefault="00262F13" w:rsidP="00262F13">
      <w:pPr>
        <w:ind w:right="-514"/>
        <w:jc w:val="both"/>
        <w:rPr>
          <w:sz w:val="20"/>
          <w:szCs w:val="28"/>
        </w:rPr>
      </w:pPr>
      <w:r w:rsidRPr="00262F13">
        <w:rPr>
          <w:sz w:val="20"/>
          <w:szCs w:val="28"/>
        </w:rPr>
        <w:t>21.05.2014. 11:00</w:t>
      </w:r>
    </w:p>
    <w:p w:rsidR="00262F13" w:rsidRPr="00262F13" w:rsidRDefault="008F78EE" w:rsidP="00262F13">
      <w:pPr>
        <w:ind w:right="-514"/>
        <w:jc w:val="both"/>
        <w:rPr>
          <w:sz w:val="20"/>
          <w:szCs w:val="28"/>
        </w:rPr>
      </w:pPr>
      <w:r>
        <w:rPr>
          <w:sz w:val="20"/>
          <w:szCs w:val="28"/>
        </w:rPr>
        <w:t>1158</w:t>
      </w:r>
      <w:bookmarkStart w:id="0" w:name="_GoBack"/>
      <w:bookmarkEnd w:id="0"/>
    </w:p>
    <w:p w:rsidR="00262F13" w:rsidRPr="00262F13" w:rsidRDefault="00262F13" w:rsidP="00262F13">
      <w:pPr>
        <w:ind w:right="-514"/>
        <w:jc w:val="both"/>
        <w:rPr>
          <w:sz w:val="20"/>
          <w:szCs w:val="28"/>
        </w:rPr>
      </w:pPr>
      <w:r w:rsidRPr="00262F13">
        <w:rPr>
          <w:sz w:val="20"/>
          <w:szCs w:val="28"/>
        </w:rPr>
        <w:t>Nīmanis, 67025719</w:t>
      </w:r>
    </w:p>
    <w:p w:rsidR="00262F13" w:rsidRPr="00262F13" w:rsidRDefault="00262F13" w:rsidP="00262F13">
      <w:pPr>
        <w:ind w:right="-514"/>
        <w:jc w:val="both"/>
        <w:rPr>
          <w:sz w:val="20"/>
          <w:szCs w:val="28"/>
        </w:rPr>
      </w:pPr>
      <w:proofErr w:type="spellStart"/>
      <w:r w:rsidRPr="00262F13">
        <w:rPr>
          <w:sz w:val="20"/>
          <w:szCs w:val="28"/>
        </w:rPr>
        <w:t>Sijāte</w:t>
      </w:r>
      <w:proofErr w:type="spellEnd"/>
      <w:r w:rsidRPr="00262F13">
        <w:rPr>
          <w:sz w:val="20"/>
          <w:szCs w:val="28"/>
        </w:rPr>
        <w:t xml:space="preserve"> - </w:t>
      </w:r>
      <w:proofErr w:type="spellStart"/>
      <w:r w:rsidRPr="00262F13">
        <w:rPr>
          <w:sz w:val="20"/>
          <w:szCs w:val="28"/>
        </w:rPr>
        <w:t>Vernava</w:t>
      </w:r>
      <w:proofErr w:type="spellEnd"/>
      <w:r w:rsidRPr="00262F13">
        <w:rPr>
          <w:sz w:val="20"/>
          <w:szCs w:val="28"/>
        </w:rPr>
        <w:t>, 67028284</w:t>
      </w:r>
    </w:p>
    <w:p w:rsidR="00986A99" w:rsidRPr="00262F13" w:rsidRDefault="00986A99" w:rsidP="00262F13"/>
    <w:sectPr w:rsidR="00986A99" w:rsidRPr="00262F13" w:rsidSect="00984A0C">
      <w:headerReference w:type="default" r:id="rId9"/>
      <w:footerReference w:type="default" r:id="rId10"/>
      <w:headerReference w:type="first" r:id="rId11"/>
      <w:footerReference w:type="first" r:id="rId12"/>
      <w:pgSz w:w="11906" w:h="16838" w:code="9"/>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46" w:rsidRDefault="00637146" w:rsidP="000A6C47">
      <w:r>
        <w:separator/>
      </w:r>
    </w:p>
  </w:endnote>
  <w:endnote w:type="continuationSeparator" w:id="0">
    <w:p w:rsidR="00637146" w:rsidRDefault="00637146" w:rsidP="000A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0C" w:rsidRPr="00984A0C" w:rsidRDefault="0033320D">
    <w:pPr>
      <w:pStyle w:val="Footer"/>
      <w:rPr>
        <w:sz w:val="20"/>
      </w:rPr>
    </w:pPr>
    <w:r>
      <w:rPr>
        <w:sz w:val="20"/>
        <w:szCs w:val="20"/>
      </w:rPr>
      <w:t>SAMnot_</w:t>
    </w:r>
    <w:r w:rsidR="00A8181F">
      <w:rPr>
        <w:sz w:val="20"/>
        <w:szCs w:val="20"/>
      </w:rPr>
      <w:t>2</w:t>
    </w:r>
    <w:r>
      <w:rPr>
        <w:sz w:val="20"/>
        <w:szCs w:val="20"/>
      </w:rPr>
      <w:t>1</w:t>
    </w:r>
    <w:r w:rsidR="00A8181F">
      <w:rPr>
        <w:sz w:val="20"/>
        <w:szCs w:val="20"/>
      </w:rPr>
      <w:t>05</w:t>
    </w:r>
    <w:r w:rsidR="00984A0C" w:rsidRPr="00984A0C">
      <w:rPr>
        <w:sz w:val="20"/>
        <w:szCs w:val="20"/>
      </w:rPr>
      <w:t>14_nodeva; Ministru kabineta noteikumu projekts „Autoceļu lietošanas nodevas</w:t>
    </w:r>
    <w:r w:rsidR="00984A0C" w:rsidRPr="00984A0C">
      <w:rPr>
        <w:sz w:val="20"/>
      </w:rPr>
      <w:t xml:space="preserve"> maksāšanas, iekasēšanas un administrēšanas kārtība</w:t>
    </w:r>
    <w:r w:rsidR="00984A0C">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7B" w:rsidRPr="00984A0C" w:rsidRDefault="0033320D" w:rsidP="00E6677B">
    <w:pPr>
      <w:pStyle w:val="Footer"/>
      <w:rPr>
        <w:sz w:val="20"/>
      </w:rPr>
    </w:pPr>
    <w:r>
      <w:rPr>
        <w:sz w:val="20"/>
        <w:szCs w:val="20"/>
      </w:rPr>
      <w:t>SAMnot_2105</w:t>
    </w:r>
    <w:r w:rsidR="00E6677B" w:rsidRPr="00984A0C">
      <w:rPr>
        <w:sz w:val="20"/>
        <w:szCs w:val="20"/>
      </w:rPr>
      <w:t>14_nodeva; Ministru kabineta noteikumu projekts „Autoceļu lietošanas nodevas</w:t>
    </w:r>
    <w:r w:rsidR="00E6677B" w:rsidRPr="00984A0C">
      <w:rPr>
        <w:sz w:val="20"/>
      </w:rPr>
      <w:t xml:space="preserve"> maksāšanas, iekasēšanas un administrēšanas kārtība</w:t>
    </w:r>
    <w:r w:rsidR="00E6677B">
      <w:rPr>
        <w:sz w:val="20"/>
      </w:rPr>
      <w:t>”</w:t>
    </w:r>
  </w:p>
  <w:p w:rsidR="00E6677B" w:rsidRDefault="00E6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46" w:rsidRDefault="00637146" w:rsidP="000A6C47">
      <w:r>
        <w:separator/>
      </w:r>
    </w:p>
  </w:footnote>
  <w:footnote w:type="continuationSeparator" w:id="0">
    <w:p w:rsidR="00637146" w:rsidRDefault="00637146" w:rsidP="000A6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30062"/>
      <w:docPartObj>
        <w:docPartGallery w:val="Page Numbers (Top of Page)"/>
        <w:docPartUnique/>
      </w:docPartObj>
    </w:sdtPr>
    <w:sdtEndPr>
      <w:rPr>
        <w:noProof/>
      </w:rPr>
    </w:sdtEndPr>
    <w:sdtContent>
      <w:p w:rsidR="00984A0C" w:rsidRDefault="00984A0C">
        <w:pPr>
          <w:pStyle w:val="Header"/>
          <w:jc w:val="center"/>
        </w:pPr>
        <w:r>
          <w:fldChar w:fldCharType="begin"/>
        </w:r>
        <w:r>
          <w:instrText xml:space="preserve"> PAGE   \* MERGEFORMAT </w:instrText>
        </w:r>
        <w:r>
          <w:fldChar w:fldCharType="separate"/>
        </w:r>
        <w:r w:rsidR="008F78EE">
          <w:rPr>
            <w:noProof/>
          </w:rPr>
          <w:t>5</w:t>
        </w:r>
        <w:r>
          <w:rPr>
            <w:noProof/>
          </w:rPr>
          <w:fldChar w:fldCharType="end"/>
        </w:r>
      </w:p>
    </w:sdtContent>
  </w:sdt>
  <w:p w:rsidR="00984A0C" w:rsidRDefault="00984A0C" w:rsidP="00984A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0C" w:rsidRDefault="006067A5" w:rsidP="006067A5">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746"/>
    <w:multiLevelType w:val="hybridMultilevel"/>
    <w:tmpl w:val="D99E02B8"/>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0643F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E0E6F27"/>
    <w:multiLevelType w:val="hybridMultilevel"/>
    <w:tmpl w:val="EA5C6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A05C9"/>
    <w:multiLevelType w:val="multilevel"/>
    <w:tmpl w:val="E78A528C"/>
    <w:lvl w:ilvl="0">
      <w:start w:val="1"/>
      <w:numFmt w:val="decimal"/>
      <w:lvlText w:val="%1."/>
      <w:lvlJc w:val="left"/>
      <w:pPr>
        <w:tabs>
          <w:tab w:val="num" w:pos="390"/>
        </w:tabs>
        <w:ind w:left="390" w:hanging="390"/>
      </w:pPr>
      <w:rPr>
        <w:rFonts w:ascii="Verdana" w:hAnsi="Verdana" w:cs="Times New Roman" w:hint="default"/>
        <w:b/>
        <w:sz w:val="18"/>
      </w:rPr>
    </w:lvl>
    <w:lvl w:ilvl="1">
      <w:start w:val="4"/>
      <w:numFmt w:val="decimal"/>
      <w:lvlText w:val="%1.%2."/>
      <w:lvlJc w:val="left"/>
      <w:pPr>
        <w:tabs>
          <w:tab w:val="num" w:pos="750"/>
        </w:tabs>
        <w:ind w:left="750" w:hanging="390"/>
      </w:pPr>
      <w:rPr>
        <w:rFonts w:ascii="Times New Roman" w:hAnsi="Times New Roman" w:cs="Times New Roman" w:hint="default"/>
        <w:b w:val="0"/>
        <w:sz w:val="24"/>
        <w:szCs w:val="24"/>
      </w:rPr>
    </w:lvl>
    <w:lvl w:ilvl="2">
      <w:start w:val="1"/>
      <w:numFmt w:val="decimal"/>
      <w:lvlText w:val="%1.%2.%3."/>
      <w:lvlJc w:val="left"/>
      <w:pPr>
        <w:tabs>
          <w:tab w:val="num" w:pos="1440"/>
        </w:tabs>
        <w:ind w:left="1440" w:hanging="720"/>
      </w:pPr>
      <w:rPr>
        <w:rFonts w:ascii="Verdana" w:hAnsi="Verdana" w:cs="Times New Roman" w:hint="default"/>
        <w:b/>
        <w:sz w:val="18"/>
      </w:rPr>
    </w:lvl>
    <w:lvl w:ilvl="3">
      <w:start w:val="1"/>
      <w:numFmt w:val="decimal"/>
      <w:lvlText w:val="%1.%2.%3.%4."/>
      <w:lvlJc w:val="left"/>
      <w:pPr>
        <w:tabs>
          <w:tab w:val="num" w:pos="1800"/>
        </w:tabs>
        <w:ind w:left="1800" w:hanging="720"/>
      </w:pPr>
      <w:rPr>
        <w:rFonts w:ascii="Verdana" w:hAnsi="Verdana" w:cs="Times New Roman" w:hint="default"/>
        <w:b/>
        <w:sz w:val="18"/>
      </w:rPr>
    </w:lvl>
    <w:lvl w:ilvl="4">
      <w:start w:val="1"/>
      <w:numFmt w:val="decimal"/>
      <w:lvlText w:val="%1.%2.%3.%4.%5."/>
      <w:lvlJc w:val="left"/>
      <w:pPr>
        <w:tabs>
          <w:tab w:val="num" w:pos="2520"/>
        </w:tabs>
        <w:ind w:left="2520" w:hanging="1080"/>
      </w:pPr>
      <w:rPr>
        <w:rFonts w:ascii="Verdana" w:hAnsi="Verdana" w:cs="Times New Roman" w:hint="default"/>
        <w:b/>
        <w:sz w:val="18"/>
      </w:rPr>
    </w:lvl>
    <w:lvl w:ilvl="5">
      <w:start w:val="1"/>
      <w:numFmt w:val="decimal"/>
      <w:lvlText w:val="%1.%2.%3.%4.%5.%6."/>
      <w:lvlJc w:val="left"/>
      <w:pPr>
        <w:tabs>
          <w:tab w:val="num" w:pos="2880"/>
        </w:tabs>
        <w:ind w:left="2880" w:hanging="1080"/>
      </w:pPr>
      <w:rPr>
        <w:rFonts w:ascii="Verdana" w:hAnsi="Verdana" w:cs="Times New Roman" w:hint="default"/>
        <w:b/>
        <w:sz w:val="18"/>
      </w:rPr>
    </w:lvl>
    <w:lvl w:ilvl="6">
      <w:start w:val="1"/>
      <w:numFmt w:val="decimal"/>
      <w:lvlText w:val="%1.%2.%3.%4.%5.%6.%7."/>
      <w:lvlJc w:val="left"/>
      <w:pPr>
        <w:tabs>
          <w:tab w:val="num" w:pos="3600"/>
        </w:tabs>
        <w:ind w:left="3600" w:hanging="1440"/>
      </w:pPr>
      <w:rPr>
        <w:rFonts w:ascii="Verdana" w:hAnsi="Verdana" w:cs="Times New Roman" w:hint="default"/>
        <w:b/>
        <w:sz w:val="18"/>
      </w:rPr>
    </w:lvl>
    <w:lvl w:ilvl="7">
      <w:start w:val="1"/>
      <w:numFmt w:val="decimal"/>
      <w:lvlText w:val="%1.%2.%3.%4.%5.%6.%7.%8."/>
      <w:lvlJc w:val="left"/>
      <w:pPr>
        <w:tabs>
          <w:tab w:val="num" w:pos="3960"/>
        </w:tabs>
        <w:ind w:left="3960" w:hanging="1440"/>
      </w:pPr>
      <w:rPr>
        <w:rFonts w:ascii="Verdana" w:hAnsi="Verdana" w:cs="Times New Roman" w:hint="default"/>
        <w:b/>
        <w:sz w:val="18"/>
      </w:rPr>
    </w:lvl>
    <w:lvl w:ilvl="8">
      <w:start w:val="1"/>
      <w:numFmt w:val="decimal"/>
      <w:lvlText w:val="%1.%2.%3.%4.%5.%6.%7.%8.%9."/>
      <w:lvlJc w:val="left"/>
      <w:pPr>
        <w:tabs>
          <w:tab w:val="num" w:pos="4680"/>
        </w:tabs>
        <w:ind w:left="4680" w:hanging="1800"/>
      </w:pPr>
      <w:rPr>
        <w:rFonts w:ascii="Verdana" w:hAnsi="Verdana" w:cs="Times New Roman" w:hint="default"/>
        <w:b/>
        <w:sz w:val="18"/>
      </w:rPr>
    </w:lvl>
  </w:abstractNum>
  <w:abstractNum w:abstractNumId="4">
    <w:nsid w:val="1ACC2E20"/>
    <w:multiLevelType w:val="multilevel"/>
    <w:tmpl w:val="7A26860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CA872E6"/>
    <w:multiLevelType w:val="hybridMultilevel"/>
    <w:tmpl w:val="F140D19C"/>
    <w:lvl w:ilvl="0" w:tplc="334683AC">
      <w:start w:val="1"/>
      <w:numFmt w:val="upperRoman"/>
      <w:lvlText w:val="%1."/>
      <w:lvlJc w:val="left"/>
      <w:pPr>
        <w:tabs>
          <w:tab w:val="num" w:pos="1080"/>
        </w:tabs>
        <w:ind w:left="1080" w:hanging="720"/>
      </w:pPr>
      <w:rPr>
        <w:rFonts w:cs="Times New Roman" w:hint="default"/>
      </w:rPr>
    </w:lvl>
    <w:lvl w:ilvl="1" w:tplc="F6FA6736">
      <w:start w:val="16"/>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348F1F6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363E371F"/>
    <w:multiLevelType w:val="multilevel"/>
    <w:tmpl w:val="A08235F0"/>
    <w:lvl w:ilvl="0">
      <w:start w:val="1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A855F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E6B50C6"/>
    <w:multiLevelType w:val="hybridMultilevel"/>
    <w:tmpl w:val="E9248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F05EFC"/>
    <w:multiLevelType w:val="hybridMultilevel"/>
    <w:tmpl w:val="7338C24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426C6549"/>
    <w:multiLevelType w:val="multilevel"/>
    <w:tmpl w:val="E2FEB8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7E30FF5"/>
    <w:multiLevelType w:val="multilevel"/>
    <w:tmpl w:val="A440A34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58D774EE"/>
    <w:multiLevelType w:val="hybridMultilevel"/>
    <w:tmpl w:val="2D72D120"/>
    <w:lvl w:ilvl="0" w:tplc="0426000F">
      <w:start w:val="1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96F3346"/>
    <w:multiLevelType w:val="multilevel"/>
    <w:tmpl w:val="A25C29A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5FA33C36"/>
    <w:multiLevelType w:val="multilevel"/>
    <w:tmpl w:val="2B7CB53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5D4503F"/>
    <w:multiLevelType w:val="hybridMultilevel"/>
    <w:tmpl w:val="A5B80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8932CE"/>
    <w:multiLevelType w:val="multilevel"/>
    <w:tmpl w:val="6D0492DA"/>
    <w:lvl w:ilvl="0">
      <w:start w:val="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1845"/>
        </w:tabs>
        <w:ind w:left="1845" w:hanging="76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54470D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C9D6BC6"/>
    <w:multiLevelType w:val="hybridMultilevel"/>
    <w:tmpl w:val="6CFECA4E"/>
    <w:lvl w:ilvl="0" w:tplc="BAB2CF2E">
      <w:start w:val="9"/>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8"/>
  </w:num>
  <w:num w:numId="3">
    <w:abstractNumId w:val="10"/>
  </w:num>
  <w:num w:numId="4">
    <w:abstractNumId w:val="11"/>
  </w:num>
  <w:num w:numId="5">
    <w:abstractNumId w:val="17"/>
  </w:num>
  <w:num w:numId="6">
    <w:abstractNumId w:val="3"/>
  </w:num>
  <w:num w:numId="7">
    <w:abstractNumId w:val="14"/>
  </w:num>
  <w:num w:numId="8">
    <w:abstractNumId w:val="12"/>
  </w:num>
  <w:num w:numId="9">
    <w:abstractNumId w:val="4"/>
  </w:num>
  <w:num w:numId="10">
    <w:abstractNumId w:val="13"/>
  </w:num>
  <w:num w:numId="11">
    <w:abstractNumId w:val="15"/>
  </w:num>
  <w:num w:numId="12">
    <w:abstractNumId w:val="19"/>
  </w:num>
  <w:num w:numId="13">
    <w:abstractNumId w:val="0"/>
  </w:num>
  <w:num w:numId="14">
    <w:abstractNumId w:val="16"/>
  </w:num>
  <w:num w:numId="15">
    <w:abstractNumId w:val="6"/>
  </w:num>
  <w:num w:numId="16">
    <w:abstractNumId w:val="1"/>
  </w:num>
  <w:num w:numId="17">
    <w:abstractNumId w:val="9"/>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26"/>
    <w:rsid w:val="00022915"/>
    <w:rsid w:val="00027167"/>
    <w:rsid w:val="00031ADE"/>
    <w:rsid w:val="00035641"/>
    <w:rsid w:val="00042097"/>
    <w:rsid w:val="00043E82"/>
    <w:rsid w:val="000502AF"/>
    <w:rsid w:val="00050E5B"/>
    <w:rsid w:val="00052CEE"/>
    <w:rsid w:val="00061011"/>
    <w:rsid w:val="00080BBF"/>
    <w:rsid w:val="00085C55"/>
    <w:rsid w:val="00094D3F"/>
    <w:rsid w:val="00095A53"/>
    <w:rsid w:val="000A2861"/>
    <w:rsid w:val="000A69C9"/>
    <w:rsid w:val="000A6C47"/>
    <w:rsid w:val="000B0F62"/>
    <w:rsid w:val="000B1493"/>
    <w:rsid w:val="000F2B8D"/>
    <w:rsid w:val="00101D8B"/>
    <w:rsid w:val="001025B3"/>
    <w:rsid w:val="0010269F"/>
    <w:rsid w:val="00105283"/>
    <w:rsid w:val="00106449"/>
    <w:rsid w:val="00106876"/>
    <w:rsid w:val="001264B5"/>
    <w:rsid w:val="0013250C"/>
    <w:rsid w:val="001366FE"/>
    <w:rsid w:val="00141647"/>
    <w:rsid w:val="00142D4D"/>
    <w:rsid w:val="0014703F"/>
    <w:rsid w:val="00154870"/>
    <w:rsid w:val="001615F5"/>
    <w:rsid w:val="001650C6"/>
    <w:rsid w:val="00166BD5"/>
    <w:rsid w:val="001671D8"/>
    <w:rsid w:val="00175966"/>
    <w:rsid w:val="00184275"/>
    <w:rsid w:val="001868C1"/>
    <w:rsid w:val="00186F4C"/>
    <w:rsid w:val="00190AAD"/>
    <w:rsid w:val="001962DF"/>
    <w:rsid w:val="001F187A"/>
    <w:rsid w:val="001F59F6"/>
    <w:rsid w:val="00202710"/>
    <w:rsid w:val="00207F30"/>
    <w:rsid w:val="00210CBC"/>
    <w:rsid w:val="00215BD8"/>
    <w:rsid w:val="00237BC8"/>
    <w:rsid w:val="0024268D"/>
    <w:rsid w:val="00243D24"/>
    <w:rsid w:val="002509ED"/>
    <w:rsid w:val="00253927"/>
    <w:rsid w:val="00257B40"/>
    <w:rsid w:val="00262F13"/>
    <w:rsid w:val="00273D98"/>
    <w:rsid w:val="00283B97"/>
    <w:rsid w:val="00287A8C"/>
    <w:rsid w:val="00292BD8"/>
    <w:rsid w:val="002A14BA"/>
    <w:rsid w:val="002A1B4F"/>
    <w:rsid w:val="002A2C59"/>
    <w:rsid w:val="002C5188"/>
    <w:rsid w:val="002D7856"/>
    <w:rsid w:val="002D7BA0"/>
    <w:rsid w:val="002E0FBF"/>
    <w:rsid w:val="002E2F45"/>
    <w:rsid w:val="002F192D"/>
    <w:rsid w:val="002F39FE"/>
    <w:rsid w:val="003041CF"/>
    <w:rsid w:val="00310461"/>
    <w:rsid w:val="003104A8"/>
    <w:rsid w:val="00325B98"/>
    <w:rsid w:val="0033276E"/>
    <w:rsid w:val="0033320D"/>
    <w:rsid w:val="00340F1A"/>
    <w:rsid w:val="00351459"/>
    <w:rsid w:val="003519BE"/>
    <w:rsid w:val="00354F3A"/>
    <w:rsid w:val="003600A7"/>
    <w:rsid w:val="00361527"/>
    <w:rsid w:val="003716E2"/>
    <w:rsid w:val="00372AE1"/>
    <w:rsid w:val="0037341C"/>
    <w:rsid w:val="0038134F"/>
    <w:rsid w:val="00386533"/>
    <w:rsid w:val="003B5DB8"/>
    <w:rsid w:val="003B5EE5"/>
    <w:rsid w:val="003C33A1"/>
    <w:rsid w:val="003C5E49"/>
    <w:rsid w:val="003D5439"/>
    <w:rsid w:val="003D69E4"/>
    <w:rsid w:val="003F5B8F"/>
    <w:rsid w:val="004243F6"/>
    <w:rsid w:val="004351F9"/>
    <w:rsid w:val="00442D00"/>
    <w:rsid w:val="004508E5"/>
    <w:rsid w:val="00456E39"/>
    <w:rsid w:val="0046470C"/>
    <w:rsid w:val="00480BA8"/>
    <w:rsid w:val="00484763"/>
    <w:rsid w:val="004918D7"/>
    <w:rsid w:val="004A7874"/>
    <w:rsid w:val="004B3AE1"/>
    <w:rsid w:val="004B4468"/>
    <w:rsid w:val="004B44E1"/>
    <w:rsid w:val="004B49F6"/>
    <w:rsid w:val="004C60A0"/>
    <w:rsid w:val="004C614D"/>
    <w:rsid w:val="004D1B2B"/>
    <w:rsid w:val="004D234F"/>
    <w:rsid w:val="004D4A3A"/>
    <w:rsid w:val="004E0F6C"/>
    <w:rsid w:val="004E3663"/>
    <w:rsid w:val="004E675A"/>
    <w:rsid w:val="004F5315"/>
    <w:rsid w:val="00504CA6"/>
    <w:rsid w:val="0050545D"/>
    <w:rsid w:val="00507408"/>
    <w:rsid w:val="00507F4A"/>
    <w:rsid w:val="005126BE"/>
    <w:rsid w:val="00514CE3"/>
    <w:rsid w:val="005168C8"/>
    <w:rsid w:val="00524088"/>
    <w:rsid w:val="0052691C"/>
    <w:rsid w:val="0053256B"/>
    <w:rsid w:val="0054749F"/>
    <w:rsid w:val="00556E25"/>
    <w:rsid w:val="00562290"/>
    <w:rsid w:val="005628C4"/>
    <w:rsid w:val="005659FF"/>
    <w:rsid w:val="00572C7D"/>
    <w:rsid w:val="00574DBB"/>
    <w:rsid w:val="00582A9F"/>
    <w:rsid w:val="005831B9"/>
    <w:rsid w:val="005907F8"/>
    <w:rsid w:val="00595C3F"/>
    <w:rsid w:val="005A2AB4"/>
    <w:rsid w:val="005B3D7E"/>
    <w:rsid w:val="005B6478"/>
    <w:rsid w:val="005B6EBB"/>
    <w:rsid w:val="005B7165"/>
    <w:rsid w:val="005C169A"/>
    <w:rsid w:val="005E4514"/>
    <w:rsid w:val="005E77EB"/>
    <w:rsid w:val="005F0E60"/>
    <w:rsid w:val="005F356A"/>
    <w:rsid w:val="005F6CB3"/>
    <w:rsid w:val="005F6F14"/>
    <w:rsid w:val="0060072D"/>
    <w:rsid w:val="00601A5F"/>
    <w:rsid w:val="006044C2"/>
    <w:rsid w:val="00605FD2"/>
    <w:rsid w:val="00606342"/>
    <w:rsid w:val="006067A5"/>
    <w:rsid w:val="00607958"/>
    <w:rsid w:val="00614510"/>
    <w:rsid w:val="00616289"/>
    <w:rsid w:val="00620293"/>
    <w:rsid w:val="006271B7"/>
    <w:rsid w:val="00627B26"/>
    <w:rsid w:val="006311E9"/>
    <w:rsid w:val="00632A3A"/>
    <w:rsid w:val="00633813"/>
    <w:rsid w:val="00637146"/>
    <w:rsid w:val="00647D13"/>
    <w:rsid w:val="00647FF1"/>
    <w:rsid w:val="00651714"/>
    <w:rsid w:val="0066152E"/>
    <w:rsid w:val="0066577B"/>
    <w:rsid w:val="006679A6"/>
    <w:rsid w:val="00675C13"/>
    <w:rsid w:val="00686ABE"/>
    <w:rsid w:val="006942E5"/>
    <w:rsid w:val="00695C85"/>
    <w:rsid w:val="006B572B"/>
    <w:rsid w:val="006C4B69"/>
    <w:rsid w:val="006C68B3"/>
    <w:rsid w:val="006C76B1"/>
    <w:rsid w:val="006D6118"/>
    <w:rsid w:val="006F2027"/>
    <w:rsid w:val="006F30CE"/>
    <w:rsid w:val="00702701"/>
    <w:rsid w:val="00704CA3"/>
    <w:rsid w:val="00707752"/>
    <w:rsid w:val="00713F2D"/>
    <w:rsid w:val="00743C58"/>
    <w:rsid w:val="00746AA2"/>
    <w:rsid w:val="007514E5"/>
    <w:rsid w:val="00767C55"/>
    <w:rsid w:val="00771BF8"/>
    <w:rsid w:val="00776B6A"/>
    <w:rsid w:val="00781835"/>
    <w:rsid w:val="0078200F"/>
    <w:rsid w:val="0078352E"/>
    <w:rsid w:val="00793973"/>
    <w:rsid w:val="007A54B5"/>
    <w:rsid w:val="007B4AD9"/>
    <w:rsid w:val="007B6F0A"/>
    <w:rsid w:val="007C6D2C"/>
    <w:rsid w:val="007D0013"/>
    <w:rsid w:val="007D377E"/>
    <w:rsid w:val="007E104D"/>
    <w:rsid w:val="007E7177"/>
    <w:rsid w:val="0080258D"/>
    <w:rsid w:val="00802F88"/>
    <w:rsid w:val="008112A7"/>
    <w:rsid w:val="008120C2"/>
    <w:rsid w:val="00813278"/>
    <w:rsid w:val="00813970"/>
    <w:rsid w:val="00814494"/>
    <w:rsid w:val="00815925"/>
    <w:rsid w:val="00842DC6"/>
    <w:rsid w:val="0084302F"/>
    <w:rsid w:val="008562E4"/>
    <w:rsid w:val="00860A88"/>
    <w:rsid w:val="00862059"/>
    <w:rsid w:val="00863B73"/>
    <w:rsid w:val="00881CE5"/>
    <w:rsid w:val="008870A8"/>
    <w:rsid w:val="008A0451"/>
    <w:rsid w:val="008B27DB"/>
    <w:rsid w:val="008D0E6F"/>
    <w:rsid w:val="008E285A"/>
    <w:rsid w:val="008F7661"/>
    <w:rsid w:val="008F76F4"/>
    <w:rsid w:val="008F78EE"/>
    <w:rsid w:val="00911FD7"/>
    <w:rsid w:val="00916E95"/>
    <w:rsid w:val="00921818"/>
    <w:rsid w:val="009221E9"/>
    <w:rsid w:val="009429C2"/>
    <w:rsid w:val="00956FBD"/>
    <w:rsid w:val="0096175C"/>
    <w:rsid w:val="009624EE"/>
    <w:rsid w:val="00970A54"/>
    <w:rsid w:val="0097694E"/>
    <w:rsid w:val="00984A0C"/>
    <w:rsid w:val="00986A99"/>
    <w:rsid w:val="00990FC9"/>
    <w:rsid w:val="00995409"/>
    <w:rsid w:val="009A00E5"/>
    <w:rsid w:val="009A7BE9"/>
    <w:rsid w:val="009D13CC"/>
    <w:rsid w:val="00A03240"/>
    <w:rsid w:val="00A06AEF"/>
    <w:rsid w:val="00A1134A"/>
    <w:rsid w:val="00A13114"/>
    <w:rsid w:val="00A17BBD"/>
    <w:rsid w:val="00A21B29"/>
    <w:rsid w:val="00A232E6"/>
    <w:rsid w:val="00A23EC9"/>
    <w:rsid w:val="00A25AED"/>
    <w:rsid w:val="00A3392B"/>
    <w:rsid w:val="00A34AD8"/>
    <w:rsid w:val="00A425E6"/>
    <w:rsid w:val="00A472B7"/>
    <w:rsid w:val="00A50CDC"/>
    <w:rsid w:val="00A522F8"/>
    <w:rsid w:val="00A569A2"/>
    <w:rsid w:val="00A6733B"/>
    <w:rsid w:val="00A736F0"/>
    <w:rsid w:val="00A73ACA"/>
    <w:rsid w:val="00A73F29"/>
    <w:rsid w:val="00A762DA"/>
    <w:rsid w:val="00A7663B"/>
    <w:rsid w:val="00A801B9"/>
    <w:rsid w:val="00A8181F"/>
    <w:rsid w:val="00A81B30"/>
    <w:rsid w:val="00A974BF"/>
    <w:rsid w:val="00AA177C"/>
    <w:rsid w:val="00AA7830"/>
    <w:rsid w:val="00AB1B44"/>
    <w:rsid w:val="00AB7C32"/>
    <w:rsid w:val="00AC62F0"/>
    <w:rsid w:val="00AD426B"/>
    <w:rsid w:val="00AD5557"/>
    <w:rsid w:val="00AE6831"/>
    <w:rsid w:val="00AE6A99"/>
    <w:rsid w:val="00AF140E"/>
    <w:rsid w:val="00B01BD3"/>
    <w:rsid w:val="00B0368A"/>
    <w:rsid w:val="00B16F04"/>
    <w:rsid w:val="00B17EB3"/>
    <w:rsid w:val="00B21FF4"/>
    <w:rsid w:val="00B2540B"/>
    <w:rsid w:val="00B35302"/>
    <w:rsid w:val="00B42E2D"/>
    <w:rsid w:val="00B51EFE"/>
    <w:rsid w:val="00B54C52"/>
    <w:rsid w:val="00B62138"/>
    <w:rsid w:val="00B8212D"/>
    <w:rsid w:val="00B85922"/>
    <w:rsid w:val="00B86F8A"/>
    <w:rsid w:val="00B910AD"/>
    <w:rsid w:val="00BA5CAA"/>
    <w:rsid w:val="00BC0970"/>
    <w:rsid w:val="00BD4D26"/>
    <w:rsid w:val="00BD5F6C"/>
    <w:rsid w:val="00C00156"/>
    <w:rsid w:val="00C06769"/>
    <w:rsid w:val="00C37E26"/>
    <w:rsid w:val="00C41412"/>
    <w:rsid w:val="00C557A4"/>
    <w:rsid w:val="00C5633E"/>
    <w:rsid w:val="00C63543"/>
    <w:rsid w:val="00C64DC9"/>
    <w:rsid w:val="00C64EBD"/>
    <w:rsid w:val="00C662E9"/>
    <w:rsid w:val="00C75907"/>
    <w:rsid w:val="00C769D9"/>
    <w:rsid w:val="00C77286"/>
    <w:rsid w:val="00C806AC"/>
    <w:rsid w:val="00C80C4B"/>
    <w:rsid w:val="00C83C58"/>
    <w:rsid w:val="00C97F29"/>
    <w:rsid w:val="00CA70EF"/>
    <w:rsid w:val="00CB5859"/>
    <w:rsid w:val="00CC5BB0"/>
    <w:rsid w:val="00CD076B"/>
    <w:rsid w:val="00CE084D"/>
    <w:rsid w:val="00CE557D"/>
    <w:rsid w:val="00CF1E69"/>
    <w:rsid w:val="00CF75FA"/>
    <w:rsid w:val="00D02891"/>
    <w:rsid w:val="00D167B9"/>
    <w:rsid w:val="00D2599F"/>
    <w:rsid w:val="00D6149C"/>
    <w:rsid w:val="00D660D6"/>
    <w:rsid w:val="00D67E64"/>
    <w:rsid w:val="00D70EF6"/>
    <w:rsid w:val="00D7145C"/>
    <w:rsid w:val="00D83A3F"/>
    <w:rsid w:val="00DA3BF8"/>
    <w:rsid w:val="00DA61B3"/>
    <w:rsid w:val="00DB5625"/>
    <w:rsid w:val="00DC0B28"/>
    <w:rsid w:val="00DC1FD1"/>
    <w:rsid w:val="00DD2B66"/>
    <w:rsid w:val="00DE62B2"/>
    <w:rsid w:val="00DE6B32"/>
    <w:rsid w:val="00E0457A"/>
    <w:rsid w:val="00E07C30"/>
    <w:rsid w:val="00E21129"/>
    <w:rsid w:val="00E277AE"/>
    <w:rsid w:val="00E4363A"/>
    <w:rsid w:val="00E53BBD"/>
    <w:rsid w:val="00E56BB0"/>
    <w:rsid w:val="00E656FD"/>
    <w:rsid w:val="00E6677B"/>
    <w:rsid w:val="00E721AB"/>
    <w:rsid w:val="00E84081"/>
    <w:rsid w:val="00EA768E"/>
    <w:rsid w:val="00EB1A59"/>
    <w:rsid w:val="00EB627C"/>
    <w:rsid w:val="00EB7539"/>
    <w:rsid w:val="00EC2F6B"/>
    <w:rsid w:val="00ED3B75"/>
    <w:rsid w:val="00ED55E0"/>
    <w:rsid w:val="00EE7FB8"/>
    <w:rsid w:val="00F15589"/>
    <w:rsid w:val="00F228D7"/>
    <w:rsid w:val="00F237A8"/>
    <w:rsid w:val="00F34DDA"/>
    <w:rsid w:val="00F36028"/>
    <w:rsid w:val="00F43B15"/>
    <w:rsid w:val="00F44368"/>
    <w:rsid w:val="00F63595"/>
    <w:rsid w:val="00F71E1F"/>
    <w:rsid w:val="00F92529"/>
    <w:rsid w:val="00F93FC0"/>
    <w:rsid w:val="00FC65E0"/>
    <w:rsid w:val="00FD6241"/>
    <w:rsid w:val="00FE5B0E"/>
    <w:rsid w:val="00FF4D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CC5BB0"/>
    <w:pPr>
      <w:spacing w:before="75" w:after="75"/>
      <w:jc w:val="right"/>
    </w:pPr>
  </w:style>
  <w:style w:type="paragraph" w:customStyle="1" w:styleId="naisnod">
    <w:name w:val="naisnod"/>
    <w:basedOn w:val="Normal"/>
    <w:uiPriority w:val="99"/>
    <w:rsid w:val="00CC5BB0"/>
    <w:pPr>
      <w:spacing w:before="150" w:after="150"/>
      <w:jc w:val="center"/>
    </w:pPr>
    <w:rPr>
      <w:b/>
      <w:bCs/>
    </w:rPr>
  </w:style>
  <w:style w:type="paragraph" w:customStyle="1" w:styleId="naisf">
    <w:name w:val="naisf"/>
    <w:basedOn w:val="Normal"/>
    <w:uiPriority w:val="99"/>
    <w:rsid w:val="00CC5BB0"/>
    <w:pPr>
      <w:spacing w:before="75" w:after="75"/>
      <w:ind w:firstLine="375"/>
      <w:jc w:val="both"/>
    </w:pPr>
  </w:style>
  <w:style w:type="character" w:styleId="CommentReference">
    <w:name w:val="annotation reference"/>
    <w:basedOn w:val="DefaultParagraphFont"/>
    <w:uiPriority w:val="99"/>
    <w:semiHidden/>
    <w:rsid w:val="00CC5BB0"/>
    <w:rPr>
      <w:rFonts w:cs="Times New Roman"/>
      <w:sz w:val="16"/>
      <w:szCs w:val="16"/>
    </w:rPr>
  </w:style>
  <w:style w:type="paragraph" w:styleId="CommentText">
    <w:name w:val="annotation text"/>
    <w:basedOn w:val="Normal"/>
    <w:link w:val="CommentTextChar"/>
    <w:uiPriority w:val="99"/>
    <w:semiHidden/>
    <w:rsid w:val="00CC5BB0"/>
    <w:rPr>
      <w:sz w:val="20"/>
      <w:szCs w:val="20"/>
    </w:rPr>
  </w:style>
  <w:style w:type="character" w:customStyle="1" w:styleId="CommentTextChar">
    <w:name w:val="Comment Text Char"/>
    <w:basedOn w:val="DefaultParagraphFont"/>
    <w:link w:val="CommentText"/>
    <w:uiPriority w:val="99"/>
    <w:semiHidden/>
    <w:rsid w:val="00EF2EA9"/>
    <w:rPr>
      <w:sz w:val="20"/>
      <w:szCs w:val="20"/>
    </w:rPr>
  </w:style>
  <w:style w:type="paragraph" w:styleId="CommentSubject">
    <w:name w:val="annotation subject"/>
    <w:basedOn w:val="CommentText"/>
    <w:next w:val="CommentText"/>
    <w:link w:val="CommentSubjectChar"/>
    <w:uiPriority w:val="99"/>
    <w:semiHidden/>
    <w:rsid w:val="00CC5BB0"/>
    <w:rPr>
      <w:b/>
      <w:bCs/>
    </w:rPr>
  </w:style>
  <w:style w:type="character" w:customStyle="1" w:styleId="CommentSubjectChar">
    <w:name w:val="Comment Subject Char"/>
    <w:basedOn w:val="CommentTextChar"/>
    <w:link w:val="CommentSubject"/>
    <w:uiPriority w:val="99"/>
    <w:semiHidden/>
    <w:rsid w:val="00EF2EA9"/>
    <w:rPr>
      <w:b/>
      <w:bCs/>
      <w:sz w:val="20"/>
      <w:szCs w:val="20"/>
    </w:rPr>
  </w:style>
  <w:style w:type="paragraph" w:styleId="BalloonText">
    <w:name w:val="Balloon Text"/>
    <w:basedOn w:val="Normal"/>
    <w:link w:val="BalloonTextChar"/>
    <w:uiPriority w:val="99"/>
    <w:semiHidden/>
    <w:rsid w:val="00CC5BB0"/>
    <w:rPr>
      <w:rFonts w:ascii="Tahoma" w:hAnsi="Tahoma" w:cs="Tahoma"/>
      <w:sz w:val="16"/>
      <w:szCs w:val="16"/>
    </w:rPr>
  </w:style>
  <w:style w:type="character" w:customStyle="1" w:styleId="BalloonTextChar">
    <w:name w:val="Balloon Text Char"/>
    <w:basedOn w:val="DefaultParagraphFont"/>
    <w:link w:val="BalloonText"/>
    <w:uiPriority w:val="99"/>
    <w:semiHidden/>
    <w:rsid w:val="00EF2EA9"/>
    <w:rPr>
      <w:sz w:val="0"/>
      <w:szCs w:val="0"/>
    </w:rPr>
  </w:style>
  <w:style w:type="character" w:styleId="Hyperlink">
    <w:name w:val="Hyperlink"/>
    <w:basedOn w:val="DefaultParagraphFont"/>
    <w:uiPriority w:val="99"/>
    <w:semiHidden/>
    <w:rsid w:val="00CC5BB0"/>
    <w:rPr>
      <w:rFonts w:cs="Times New Roman"/>
      <w:color w:val="0000FF"/>
      <w:u w:val="single"/>
    </w:rPr>
  </w:style>
  <w:style w:type="paragraph" w:styleId="DocumentMap">
    <w:name w:val="Document Map"/>
    <w:basedOn w:val="Normal"/>
    <w:link w:val="DocumentMapChar"/>
    <w:uiPriority w:val="99"/>
    <w:semiHidden/>
    <w:rsid w:val="00CC5B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F2EA9"/>
    <w:rPr>
      <w:sz w:val="0"/>
      <w:szCs w:val="0"/>
    </w:rPr>
  </w:style>
  <w:style w:type="paragraph" w:styleId="FootnoteText">
    <w:name w:val="footnote text"/>
    <w:basedOn w:val="Normal"/>
    <w:link w:val="FootnoteTextChar"/>
    <w:uiPriority w:val="99"/>
    <w:semiHidden/>
    <w:rsid w:val="000A6C47"/>
    <w:rPr>
      <w:sz w:val="20"/>
      <w:szCs w:val="20"/>
    </w:rPr>
  </w:style>
  <w:style w:type="character" w:customStyle="1" w:styleId="FootnoteTextChar">
    <w:name w:val="Footnote Text Char"/>
    <w:basedOn w:val="DefaultParagraphFont"/>
    <w:link w:val="FootnoteText"/>
    <w:uiPriority w:val="99"/>
    <w:semiHidden/>
    <w:locked/>
    <w:rsid w:val="000A6C47"/>
    <w:rPr>
      <w:rFonts w:cs="Times New Roman"/>
      <w:lang w:val="lv-LV" w:eastAsia="lv-LV"/>
    </w:rPr>
  </w:style>
  <w:style w:type="character" w:styleId="FootnoteReference">
    <w:name w:val="footnote reference"/>
    <w:basedOn w:val="DefaultParagraphFont"/>
    <w:uiPriority w:val="99"/>
    <w:semiHidden/>
    <w:rsid w:val="000A6C47"/>
    <w:rPr>
      <w:rFonts w:cs="Times New Roman"/>
      <w:vertAlign w:val="superscript"/>
    </w:rPr>
  </w:style>
  <w:style w:type="character" w:styleId="PlaceholderText">
    <w:name w:val="Placeholder Text"/>
    <w:basedOn w:val="DefaultParagraphFont"/>
    <w:uiPriority w:val="99"/>
    <w:semiHidden/>
    <w:rsid w:val="00D6149C"/>
    <w:rPr>
      <w:rFonts w:cs="Times New Roman"/>
      <w:color w:val="808080"/>
    </w:rPr>
  </w:style>
  <w:style w:type="paragraph" w:styleId="NoSpacing">
    <w:name w:val="No Spacing"/>
    <w:uiPriority w:val="1"/>
    <w:qFormat/>
    <w:rsid w:val="00EB1A59"/>
    <w:rPr>
      <w:sz w:val="24"/>
      <w:szCs w:val="24"/>
    </w:rPr>
  </w:style>
  <w:style w:type="character" w:styleId="FollowedHyperlink">
    <w:name w:val="FollowedHyperlink"/>
    <w:basedOn w:val="DefaultParagraphFont"/>
    <w:uiPriority w:val="99"/>
    <w:semiHidden/>
    <w:rsid w:val="000502AF"/>
    <w:rPr>
      <w:rFonts w:cs="Times New Roman"/>
      <w:color w:val="800080"/>
      <w:u w:val="single"/>
    </w:rPr>
  </w:style>
  <w:style w:type="paragraph" w:styleId="Revision">
    <w:name w:val="Revision"/>
    <w:hidden/>
    <w:uiPriority w:val="99"/>
    <w:semiHidden/>
    <w:rsid w:val="00990FC9"/>
    <w:rPr>
      <w:sz w:val="24"/>
      <w:szCs w:val="24"/>
    </w:rPr>
  </w:style>
  <w:style w:type="paragraph" w:styleId="Header">
    <w:name w:val="header"/>
    <w:basedOn w:val="Normal"/>
    <w:link w:val="HeaderChar"/>
    <w:uiPriority w:val="99"/>
    <w:unhideWhenUsed/>
    <w:rsid w:val="00984A0C"/>
    <w:pPr>
      <w:tabs>
        <w:tab w:val="center" w:pos="4153"/>
        <w:tab w:val="right" w:pos="8306"/>
      </w:tabs>
    </w:pPr>
  </w:style>
  <w:style w:type="character" w:customStyle="1" w:styleId="HeaderChar">
    <w:name w:val="Header Char"/>
    <w:basedOn w:val="DefaultParagraphFont"/>
    <w:link w:val="Header"/>
    <w:uiPriority w:val="99"/>
    <w:rsid w:val="00984A0C"/>
    <w:rPr>
      <w:sz w:val="24"/>
      <w:szCs w:val="24"/>
    </w:rPr>
  </w:style>
  <w:style w:type="paragraph" w:styleId="Footer">
    <w:name w:val="footer"/>
    <w:basedOn w:val="Normal"/>
    <w:link w:val="FooterChar"/>
    <w:uiPriority w:val="99"/>
    <w:unhideWhenUsed/>
    <w:rsid w:val="00984A0C"/>
    <w:pPr>
      <w:tabs>
        <w:tab w:val="center" w:pos="4153"/>
        <w:tab w:val="right" w:pos="8306"/>
      </w:tabs>
    </w:pPr>
  </w:style>
  <w:style w:type="character" w:customStyle="1" w:styleId="FooterChar">
    <w:name w:val="Footer Char"/>
    <w:basedOn w:val="DefaultParagraphFont"/>
    <w:link w:val="Footer"/>
    <w:uiPriority w:val="99"/>
    <w:rsid w:val="00984A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CC5BB0"/>
    <w:pPr>
      <w:spacing w:before="75" w:after="75"/>
      <w:jc w:val="right"/>
    </w:pPr>
  </w:style>
  <w:style w:type="paragraph" w:customStyle="1" w:styleId="naisnod">
    <w:name w:val="naisnod"/>
    <w:basedOn w:val="Normal"/>
    <w:uiPriority w:val="99"/>
    <w:rsid w:val="00CC5BB0"/>
    <w:pPr>
      <w:spacing w:before="150" w:after="150"/>
      <w:jc w:val="center"/>
    </w:pPr>
    <w:rPr>
      <w:b/>
      <w:bCs/>
    </w:rPr>
  </w:style>
  <w:style w:type="paragraph" w:customStyle="1" w:styleId="naisf">
    <w:name w:val="naisf"/>
    <w:basedOn w:val="Normal"/>
    <w:uiPriority w:val="99"/>
    <w:rsid w:val="00CC5BB0"/>
    <w:pPr>
      <w:spacing w:before="75" w:after="75"/>
      <w:ind w:firstLine="375"/>
      <w:jc w:val="both"/>
    </w:pPr>
  </w:style>
  <w:style w:type="character" w:styleId="CommentReference">
    <w:name w:val="annotation reference"/>
    <w:basedOn w:val="DefaultParagraphFont"/>
    <w:uiPriority w:val="99"/>
    <w:semiHidden/>
    <w:rsid w:val="00CC5BB0"/>
    <w:rPr>
      <w:rFonts w:cs="Times New Roman"/>
      <w:sz w:val="16"/>
      <w:szCs w:val="16"/>
    </w:rPr>
  </w:style>
  <w:style w:type="paragraph" w:styleId="CommentText">
    <w:name w:val="annotation text"/>
    <w:basedOn w:val="Normal"/>
    <w:link w:val="CommentTextChar"/>
    <w:uiPriority w:val="99"/>
    <w:semiHidden/>
    <w:rsid w:val="00CC5BB0"/>
    <w:rPr>
      <w:sz w:val="20"/>
      <w:szCs w:val="20"/>
    </w:rPr>
  </w:style>
  <w:style w:type="character" w:customStyle="1" w:styleId="CommentTextChar">
    <w:name w:val="Comment Text Char"/>
    <w:basedOn w:val="DefaultParagraphFont"/>
    <w:link w:val="CommentText"/>
    <w:uiPriority w:val="99"/>
    <w:semiHidden/>
    <w:rsid w:val="00EF2EA9"/>
    <w:rPr>
      <w:sz w:val="20"/>
      <w:szCs w:val="20"/>
    </w:rPr>
  </w:style>
  <w:style w:type="paragraph" w:styleId="CommentSubject">
    <w:name w:val="annotation subject"/>
    <w:basedOn w:val="CommentText"/>
    <w:next w:val="CommentText"/>
    <w:link w:val="CommentSubjectChar"/>
    <w:uiPriority w:val="99"/>
    <w:semiHidden/>
    <w:rsid w:val="00CC5BB0"/>
    <w:rPr>
      <w:b/>
      <w:bCs/>
    </w:rPr>
  </w:style>
  <w:style w:type="character" w:customStyle="1" w:styleId="CommentSubjectChar">
    <w:name w:val="Comment Subject Char"/>
    <w:basedOn w:val="CommentTextChar"/>
    <w:link w:val="CommentSubject"/>
    <w:uiPriority w:val="99"/>
    <w:semiHidden/>
    <w:rsid w:val="00EF2EA9"/>
    <w:rPr>
      <w:b/>
      <w:bCs/>
      <w:sz w:val="20"/>
      <w:szCs w:val="20"/>
    </w:rPr>
  </w:style>
  <w:style w:type="paragraph" w:styleId="BalloonText">
    <w:name w:val="Balloon Text"/>
    <w:basedOn w:val="Normal"/>
    <w:link w:val="BalloonTextChar"/>
    <w:uiPriority w:val="99"/>
    <w:semiHidden/>
    <w:rsid w:val="00CC5BB0"/>
    <w:rPr>
      <w:rFonts w:ascii="Tahoma" w:hAnsi="Tahoma" w:cs="Tahoma"/>
      <w:sz w:val="16"/>
      <w:szCs w:val="16"/>
    </w:rPr>
  </w:style>
  <w:style w:type="character" w:customStyle="1" w:styleId="BalloonTextChar">
    <w:name w:val="Balloon Text Char"/>
    <w:basedOn w:val="DefaultParagraphFont"/>
    <w:link w:val="BalloonText"/>
    <w:uiPriority w:val="99"/>
    <w:semiHidden/>
    <w:rsid w:val="00EF2EA9"/>
    <w:rPr>
      <w:sz w:val="0"/>
      <w:szCs w:val="0"/>
    </w:rPr>
  </w:style>
  <w:style w:type="character" w:styleId="Hyperlink">
    <w:name w:val="Hyperlink"/>
    <w:basedOn w:val="DefaultParagraphFont"/>
    <w:uiPriority w:val="99"/>
    <w:semiHidden/>
    <w:rsid w:val="00CC5BB0"/>
    <w:rPr>
      <w:rFonts w:cs="Times New Roman"/>
      <w:color w:val="0000FF"/>
      <w:u w:val="single"/>
    </w:rPr>
  </w:style>
  <w:style w:type="paragraph" w:styleId="DocumentMap">
    <w:name w:val="Document Map"/>
    <w:basedOn w:val="Normal"/>
    <w:link w:val="DocumentMapChar"/>
    <w:uiPriority w:val="99"/>
    <w:semiHidden/>
    <w:rsid w:val="00CC5B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F2EA9"/>
    <w:rPr>
      <w:sz w:val="0"/>
      <w:szCs w:val="0"/>
    </w:rPr>
  </w:style>
  <w:style w:type="paragraph" w:styleId="FootnoteText">
    <w:name w:val="footnote text"/>
    <w:basedOn w:val="Normal"/>
    <w:link w:val="FootnoteTextChar"/>
    <w:uiPriority w:val="99"/>
    <w:semiHidden/>
    <w:rsid w:val="000A6C47"/>
    <w:rPr>
      <w:sz w:val="20"/>
      <w:szCs w:val="20"/>
    </w:rPr>
  </w:style>
  <w:style w:type="character" w:customStyle="1" w:styleId="FootnoteTextChar">
    <w:name w:val="Footnote Text Char"/>
    <w:basedOn w:val="DefaultParagraphFont"/>
    <w:link w:val="FootnoteText"/>
    <w:uiPriority w:val="99"/>
    <w:semiHidden/>
    <w:locked/>
    <w:rsid w:val="000A6C47"/>
    <w:rPr>
      <w:rFonts w:cs="Times New Roman"/>
      <w:lang w:val="lv-LV" w:eastAsia="lv-LV"/>
    </w:rPr>
  </w:style>
  <w:style w:type="character" w:styleId="FootnoteReference">
    <w:name w:val="footnote reference"/>
    <w:basedOn w:val="DefaultParagraphFont"/>
    <w:uiPriority w:val="99"/>
    <w:semiHidden/>
    <w:rsid w:val="000A6C47"/>
    <w:rPr>
      <w:rFonts w:cs="Times New Roman"/>
      <w:vertAlign w:val="superscript"/>
    </w:rPr>
  </w:style>
  <w:style w:type="character" w:styleId="PlaceholderText">
    <w:name w:val="Placeholder Text"/>
    <w:basedOn w:val="DefaultParagraphFont"/>
    <w:uiPriority w:val="99"/>
    <w:semiHidden/>
    <w:rsid w:val="00D6149C"/>
    <w:rPr>
      <w:rFonts w:cs="Times New Roman"/>
      <w:color w:val="808080"/>
    </w:rPr>
  </w:style>
  <w:style w:type="paragraph" w:styleId="NoSpacing">
    <w:name w:val="No Spacing"/>
    <w:uiPriority w:val="1"/>
    <w:qFormat/>
    <w:rsid w:val="00EB1A59"/>
    <w:rPr>
      <w:sz w:val="24"/>
      <w:szCs w:val="24"/>
    </w:rPr>
  </w:style>
  <w:style w:type="character" w:styleId="FollowedHyperlink">
    <w:name w:val="FollowedHyperlink"/>
    <w:basedOn w:val="DefaultParagraphFont"/>
    <w:uiPriority w:val="99"/>
    <w:semiHidden/>
    <w:rsid w:val="000502AF"/>
    <w:rPr>
      <w:rFonts w:cs="Times New Roman"/>
      <w:color w:val="800080"/>
      <w:u w:val="single"/>
    </w:rPr>
  </w:style>
  <w:style w:type="paragraph" w:styleId="Revision">
    <w:name w:val="Revision"/>
    <w:hidden/>
    <w:uiPriority w:val="99"/>
    <w:semiHidden/>
    <w:rsid w:val="00990FC9"/>
    <w:rPr>
      <w:sz w:val="24"/>
      <w:szCs w:val="24"/>
    </w:rPr>
  </w:style>
  <w:style w:type="paragraph" w:styleId="Header">
    <w:name w:val="header"/>
    <w:basedOn w:val="Normal"/>
    <w:link w:val="HeaderChar"/>
    <w:uiPriority w:val="99"/>
    <w:unhideWhenUsed/>
    <w:rsid w:val="00984A0C"/>
    <w:pPr>
      <w:tabs>
        <w:tab w:val="center" w:pos="4153"/>
        <w:tab w:val="right" w:pos="8306"/>
      </w:tabs>
    </w:pPr>
  </w:style>
  <w:style w:type="character" w:customStyle="1" w:styleId="HeaderChar">
    <w:name w:val="Header Char"/>
    <w:basedOn w:val="DefaultParagraphFont"/>
    <w:link w:val="Header"/>
    <w:uiPriority w:val="99"/>
    <w:rsid w:val="00984A0C"/>
    <w:rPr>
      <w:sz w:val="24"/>
      <w:szCs w:val="24"/>
    </w:rPr>
  </w:style>
  <w:style w:type="paragraph" w:styleId="Footer">
    <w:name w:val="footer"/>
    <w:basedOn w:val="Normal"/>
    <w:link w:val="FooterChar"/>
    <w:uiPriority w:val="99"/>
    <w:unhideWhenUsed/>
    <w:rsid w:val="00984A0C"/>
    <w:pPr>
      <w:tabs>
        <w:tab w:val="center" w:pos="4153"/>
        <w:tab w:val="right" w:pos="8306"/>
      </w:tabs>
    </w:pPr>
  </w:style>
  <w:style w:type="character" w:customStyle="1" w:styleId="FooterChar">
    <w:name w:val="Footer Char"/>
    <w:basedOn w:val="DefaultParagraphFont"/>
    <w:link w:val="Footer"/>
    <w:uiPriority w:val="99"/>
    <w:rsid w:val="00984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F187-905C-4F32-80BB-C8F307A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6149</Words>
  <Characters>3505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Autoceļu lietošanas nodevas samaksas kontroles kārtība</vt:lpstr>
    </vt:vector>
  </TitlesOfParts>
  <Company>Telekomunikaciju Grupa</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Autoceļu lietošanas nodevas samaksas kontroles kārtība</dc:title>
  <dc:creator>Andra.Vanaga</dc:creator>
  <cp:lastModifiedBy>Annija Novikova</cp:lastModifiedBy>
  <cp:revision>9</cp:revision>
  <cp:lastPrinted>2014-05-21T14:39:00Z</cp:lastPrinted>
  <dcterms:created xsi:type="dcterms:W3CDTF">2014-05-21T14:04:00Z</dcterms:created>
  <dcterms:modified xsi:type="dcterms:W3CDTF">2014-05-22T06:49:00Z</dcterms:modified>
</cp:coreProperties>
</file>