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A9" w:rsidRPr="00E97DD2" w:rsidRDefault="00A33B4B" w:rsidP="00E9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97DD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noteikumu </w:t>
      </w:r>
      <w:r w:rsidR="00FF2E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projekta </w:t>
      </w:r>
      <w:r w:rsidRPr="00E97DD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„</w:t>
      </w:r>
      <w:r w:rsidR="00E97DD2" w:rsidRPr="00E97DD2">
        <w:rPr>
          <w:rFonts w:ascii="Times New Roman" w:hAnsi="Times New Roman" w:cs="Times New Roman"/>
          <w:b/>
          <w:sz w:val="24"/>
          <w:szCs w:val="24"/>
        </w:rPr>
        <w:t xml:space="preserve">Grozījumi Ministru kabineta </w:t>
      </w:r>
      <w:proofErr w:type="gramStart"/>
      <w:r w:rsidR="00E97DD2" w:rsidRPr="00E97DD2">
        <w:rPr>
          <w:rFonts w:ascii="Times New Roman" w:hAnsi="Times New Roman" w:cs="Times New Roman"/>
          <w:b/>
          <w:sz w:val="24"/>
          <w:szCs w:val="24"/>
        </w:rPr>
        <w:t>2009.gada</w:t>
      </w:r>
      <w:proofErr w:type="gramEnd"/>
      <w:r w:rsidR="00E97DD2" w:rsidRPr="00E97DD2">
        <w:rPr>
          <w:rFonts w:ascii="Times New Roman" w:hAnsi="Times New Roman" w:cs="Times New Roman"/>
          <w:b/>
          <w:sz w:val="24"/>
          <w:szCs w:val="24"/>
        </w:rPr>
        <w:t xml:space="preserve"> 21.jūlija noteikumos Nr.792 „Noteikumi par saistību piespiedu izpildīšanas brīdinājuma kārtībā izmantojamām veidlapām””</w:t>
      </w:r>
      <w:r w:rsidRPr="00E97DD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D15A9" w:rsidRPr="00E97DD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533730" w:rsidRPr="00131CA5" w:rsidTr="004D15A9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131CA5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533730" w:rsidRPr="00131CA5" w:rsidTr="004D15A9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3B4B" w:rsidRPr="00816F7D" w:rsidRDefault="00A33B4B" w:rsidP="0081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gramStart"/>
            <w:r w:rsidRPr="00816F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 w:rsidR="004F2C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816F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.gada</w:t>
            </w:r>
            <w:proofErr w:type="gramEnd"/>
            <w:r w:rsidRPr="00816F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F2C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816F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F2C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janvārī</w:t>
            </w:r>
            <w:r w:rsidRPr="00816F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F2C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stājās spēkā</w:t>
            </w:r>
            <w:r w:rsidRPr="00816F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„Grozījumi Civilprocesa likumā”</w:t>
            </w:r>
            <w:r w:rsidR="004F2C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816F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816F7D" w:rsidRDefault="00816F7D" w:rsidP="0081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4D15A9" w:rsidRPr="00131CA5" w:rsidRDefault="00771580" w:rsidP="00406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Civilprocesa l</w:t>
            </w:r>
            <w:r w:rsidR="004F2C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ikuma</w:t>
            </w:r>
            <w:r w:rsidR="00A33B4B" w:rsidRPr="00816F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E53AA" w:rsidRPr="00816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406.</w:t>
            </w:r>
            <w:r w:rsidR="004E53AA" w:rsidRPr="00816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="004E53AA" w:rsidRPr="00816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panta otr</w:t>
            </w:r>
            <w:r w:rsidR="00816F7D" w:rsidRPr="00816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ās</w:t>
            </w:r>
            <w:r w:rsidR="004E53AA" w:rsidRPr="00816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daļ</w:t>
            </w:r>
            <w:r w:rsidR="00816F7D" w:rsidRPr="00816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as 10.punkts paredz, ka pieteikumā par saistību piespiedu izpildīšanu brīdinājuma kārtībā norādāms </w:t>
            </w:r>
            <w:r w:rsidR="004E53AA" w:rsidRPr="004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apliecinājums, ka tiesai sniegtas patiesas ziņas par faktiem un pieteicējs ir informēts, ka Krimināllikums paredz atbildību par nepatiesa pieteikuma sniegšanu.</w:t>
            </w:r>
            <w:r w:rsidR="00816F7D" w:rsidRPr="0081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Vienlaikus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Civilprocesa likuma</w:t>
            </w:r>
            <w:r w:rsidR="00816F7D" w:rsidRPr="0081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Pārejas noteikumu 76.punkts noteic, ka 406.</w:t>
            </w:r>
            <w:r w:rsidR="00816F7D" w:rsidRPr="0081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="00816F7D" w:rsidRPr="0081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panta otrās daļas 10.punkta noteikumi par apliecinājuma ietveršanu pieteikumā nav </w:t>
            </w:r>
            <w:r w:rsidR="00816F7D" w:rsidRPr="00816F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piemērojami to pieteikumu izskatīšanai, kuri iesniegti tiesai līdz </w:t>
            </w:r>
            <w:proofErr w:type="gramStart"/>
            <w:r w:rsidR="00816F7D" w:rsidRPr="00816F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2014.gada</w:t>
            </w:r>
            <w:proofErr w:type="gramEnd"/>
            <w:r w:rsidR="00816F7D" w:rsidRPr="00816F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1.jūlijam.</w:t>
            </w:r>
            <w:r w:rsidR="0040643B"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533730" w:rsidRPr="00131CA5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6F7D" w:rsidRPr="00267159" w:rsidRDefault="00816F7D" w:rsidP="00267159">
            <w:pPr>
              <w:pStyle w:val="tv2131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267159">
              <w:rPr>
                <w:color w:val="000000" w:themeColor="text1"/>
                <w:sz w:val="24"/>
                <w:szCs w:val="24"/>
              </w:rPr>
              <w:t xml:space="preserve">Civilprocesa likuma </w:t>
            </w:r>
            <w:r w:rsidRPr="00267159">
              <w:rPr>
                <w:bCs/>
                <w:color w:val="000000" w:themeColor="text1"/>
                <w:sz w:val="24"/>
                <w:szCs w:val="24"/>
              </w:rPr>
              <w:t>406.</w:t>
            </w:r>
            <w:r w:rsidRPr="00267159">
              <w:rPr>
                <w:bCs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267159">
              <w:rPr>
                <w:bCs/>
                <w:color w:val="000000" w:themeColor="text1"/>
                <w:sz w:val="24"/>
                <w:szCs w:val="24"/>
              </w:rPr>
              <w:t xml:space="preserve">panta </w:t>
            </w:r>
            <w:r w:rsidR="00267159" w:rsidRPr="00267159">
              <w:rPr>
                <w:bCs/>
                <w:color w:val="000000" w:themeColor="text1"/>
                <w:sz w:val="24"/>
                <w:szCs w:val="24"/>
              </w:rPr>
              <w:t>pirmā daļa noteic, ka pieteikums par saistību piespiedu izpildīšanu brīdinājuma kārtību</w:t>
            </w:r>
            <w:r w:rsidRPr="0026715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67159">
              <w:rPr>
                <w:color w:val="000000" w:themeColor="text1"/>
                <w:sz w:val="24"/>
                <w:szCs w:val="24"/>
              </w:rPr>
              <w:t>noformējams atbilstoši Ministru kabineta apstiprinātajam parau</w:t>
            </w:r>
            <w:r w:rsidRPr="00267159">
              <w:rPr>
                <w:color w:val="000000" w:themeColor="text1"/>
                <w:sz w:val="24"/>
                <w:szCs w:val="24"/>
              </w:rPr>
              <w:softHyphen/>
              <w:t>gam.</w:t>
            </w:r>
          </w:p>
          <w:p w:rsidR="00816F7D" w:rsidRDefault="00816F7D" w:rsidP="00A3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16F7D" w:rsidRPr="00816F7D" w:rsidRDefault="00816F7D" w:rsidP="00A3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6F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Šobrīd </w:t>
            </w:r>
            <w:r w:rsidRPr="0081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pieteikums saistību piespiedu izpildīšanai brīdinājuma kārtībā noformējams atbilstoši Ministru kabineta </w:t>
            </w:r>
            <w:proofErr w:type="gramStart"/>
            <w:r w:rsidRPr="0081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2009.gada</w:t>
            </w:r>
            <w:proofErr w:type="gramEnd"/>
            <w:r w:rsidRPr="0081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21.jūlija noteikumiem Nr.792 „Noteikumi par saistību piespiedu izpildīšanas brīdinājuma kārtībā izmantojamām veidlapām”. </w:t>
            </w:r>
          </w:p>
          <w:p w:rsidR="00816F7D" w:rsidRDefault="00816F7D" w:rsidP="00A3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4D15A9" w:rsidRPr="00131CA5" w:rsidRDefault="00A33B4B" w:rsidP="00A3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 </w:t>
            </w:r>
            <w:r w:rsidR="00267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Civilprocesa likuma </w:t>
            </w:r>
            <w:r w:rsidR="00267159" w:rsidRPr="00267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406.</w:t>
            </w:r>
            <w:r w:rsidR="00267159" w:rsidRPr="00267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="00267159" w:rsidRPr="00267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panta pirmajā daļā Ministru kabinetam </w:t>
            </w: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doto deleģējumu, nepieciešams izstrādāt </w:t>
            </w:r>
            <w:r w:rsidR="00267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grozījumus </w:t>
            </w:r>
            <w:r w:rsidR="00267159" w:rsidRPr="0081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Ministru kabineta </w:t>
            </w:r>
            <w:proofErr w:type="gramStart"/>
            <w:r w:rsidR="00267159" w:rsidRPr="0081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2009.gada</w:t>
            </w:r>
            <w:proofErr w:type="gramEnd"/>
            <w:r w:rsidR="00267159" w:rsidRPr="0081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21.jūlija noteikum</w:t>
            </w:r>
            <w:r w:rsidR="0026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os</w:t>
            </w:r>
            <w:r w:rsidR="00267159" w:rsidRPr="0081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Nr.792 „Noteikumi par saistību piespiedu izpildīšanas brīdinājuma kārtībā izmantojamām veidlapām”</w:t>
            </w:r>
            <w:r w:rsidR="0026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paredzot veidlapās iekļaut </w:t>
            </w:r>
            <w:r w:rsidR="000F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Civilprocesa likuma</w:t>
            </w:r>
            <w:r w:rsidR="0026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67159" w:rsidRPr="00816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406.</w:t>
            </w:r>
            <w:r w:rsidR="00267159" w:rsidRPr="00816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="00267159" w:rsidRPr="00816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panta otrās daļas 10.punkt</w:t>
            </w:r>
            <w:r w:rsidR="00267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ā minēto apliecinājumu.</w:t>
            </w:r>
          </w:p>
          <w:p w:rsidR="00A33B4B" w:rsidRPr="00131CA5" w:rsidRDefault="00A33B4B" w:rsidP="00A3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C045F" w:rsidRDefault="00CC045F" w:rsidP="002B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04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Civilprocesa likuma 406.</w:t>
            </w:r>
            <w:r w:rsidRPr="00CC04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CC04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otrās daļas 10.punktā minēt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</w:t>
            </w:r>
            <w:r w:rsidRPr="00CC04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apliecinājum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paredz, ka pieteicējs vai pieteicējs un pārstāvis </w:t>
            </w:r>
            <w:r w:rsidRPr="00CC04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apliecin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CC04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pieteikumā </w:t>
            </w:r>
            <w:r w:rsidRPr="00CC04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Pr="00CC04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sniegtas patiesas ziņas par faktiem 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C04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šie lietas dalībnieki ir informēti par to, ka </w:t>
            </w:r>
            <w:r w:rsidRPr="00CC04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Krimināllikums paredz atbildību par nepatiesa pieteikuma sniegšanu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Minētais apliecinājums un atbildība lietās </w:t>
            </w:r>
            <w:r w:rsidRPr="00CC04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saistību piespiedu izpildīšanas brīdinājuma kārtībā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ieviests, jo šajās lietās ir atvieglota pieteikuma izskatīšana, tādēļ ir nepieciešama īpaša atbildība, ja tiesai </w:t>
            </w:r>
            <w:r w:rsidR="004C59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sniegtas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nepatiesas ziņas. </w:t>
            </w:r>
          </w:p>
          <w:p w:rsidR="00CC045F" w:rsidRDefault="00CC045F" w:rsidP="002B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3B4B" w:rsidRDefault="001A6FDC" w:rsidP="002B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7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Ministru kabineta noteikumu projekta „</w:t>
            </w:r>
            <w:r w:rsidRPr="00D27F63">
              <w:rPr>
                <w:rFonts w:ascii="Times New Roman" w:hAnsi="Times New Roman" w:cs="Times New Roman"/>
                <w:sz w:val="24"/>
                <w:szCs w:val="24"/>
              </w:rPr>
              <w:t xml:space="preserve">Grozījumi Ministru </w:t>
            </w:r>
            <w:r w:rsidRPr="00D27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kabineta </w:t>
            </w:r>
            <w:proofErr w:type="gramStart"/>
            <w:r w:rsidRPr="00D27F63">
              <w:rPr>
                <w:rFonts w:ascii="Times New Roman" w:hAnsi="Times New Roman" w:cs="Times New Roman"/>
                <w:sz w:val="24"/>
                <w:szCs w:val="24"/>
              </w:rPr>
              <w:t>2009.gada</w:t>
            </w:r>
            <w:proofErr w:type="gramEnd"/>
            <w:r w:rsidRPr="00D27F63">
              <w:rPr>
                <w:rFonts w:ascii="Times New Roman" w:hAnsi="Times New Roman" w:cs="Times New Roman"/>
                <w:sz w:val="24"/>
                <w:szCs w:val="24"/>
              </w:rPr>
              <w:t xml:space="preserve"> 21.jūlija noteikumos Nr.792 „Noteikumi par saistību piespiedu izpildīšanas brīdinājuma kārtībā izmantojamām </w:t>
            </w:r>
            <w:proofErr w:type="spellStart"/>
            <w:r w:rsidRPr="00D27F63">
              <w:rPr>
                <w:rFonts w:ascii="Times New Roman" w:hAnsi="Times New Roman" w:cs="Times New Roman"/>
                <w:sz w:val="24"/>
                <w:szCs w:val="24"/>
              </w:rPr>
              <w:t>veidlapām””</w:t>
            </w:r>
            <w:r w:rsidRPr="001A6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(turpmāk</w:t>
            </w:r>
            <w:proofErr w:type="spellEnd"/>
            <w:r w:rsidRPr="001A6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27F6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1A6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</w:t>
            </w:r>
            <w:r w:rsidRPr="001A6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33B4B"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mērķis ir </w:t>
            </w:r>
            <w:r w:rsidR="00267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apstiprināt grozījumus </w:t>
            </w:r>
            <w:r w:rsidR="00A33B4B"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pieteikuma par </w:t>
            </w:r>
            <w:r w:rsidR="00267159" w:rsidRPr="0081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saistību piespiedu izpildīšanas brīdinājuma kārtībā</w:t>
            </w:r>
            <w:r w:rsidR="00267159"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33B4B"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veidlap</w:t>
            </w:r>
            <w:r w:rsidR="00267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ās</w:t>
            </w:r>
            <w:r w:rsidR="00A33B4B"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ņemot vērā </w:t>
            </w:r>
            <w:r w:rsidR="00267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Civilprocesa likuma </w:t>
            </w:r>
            <w:r w:rsidR="00267159" w:rsidRPr="00267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406.</w:t>
            </w:r>
            <w:r w:rsidR="00267159" w:rsidRPr="00267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="00267159" w:rsidRPr="00267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panta pirmajā daļā </w:t>
            </w:r>
            <w:r w:rsidR="00A33B4B"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ietverto deleģējumu</w:t>
            </w:r>
            <w:r w:rsidR="002B4B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A33B4B"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67159" w:rsidRPr="0081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406.</w:t>
            </w:r>
            <w:r w:rsidR="00267159" w:rsidRPr="0081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="00267159" w:rsidRPr="0081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panta </w:t>
            </w:r>
            <w:r w:rsidR="00A33B4B"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otrajā daļā noteiktos šī pieteikuma rekvizītus</w:t>
            </w:r>
            <w:r w:rsidR="002B4B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 Civilprocesa likuma Pārejas noteikumu 76.punktu.</w:t>
            </w:r>
          </w:p>
          <w:p w:rsidR="000F3B2B" w:rsidRDefault="000F3B2B" w:rsidP="002B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0F3B2B" w:rsidRDefault="000F3B2B" w:rsidP="000F3B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B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Papildus nepieciešams veikt grozījumus veidlapās saistībā ar </w:t>
            </w:r>
            <w:r w:rsidRPr="000F3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deklarētās dzīvesvietas principa ieviešanu </w:t>
            </w:r>
            <w:r w:rsidR="00E62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Civilprocesa likumā</w:t>
            </w:r>
            <w:r w:rsidRPr="000F3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nosakot, ka veidlapās tiek norādīta personu deklarētā dzīvesvieta. </w:t>
            </w:r>
          </w:p>
          <w:p w:rsidR="000F3B2B" w:rsidRDefault="000F3B2B" w:rsidP="000F3B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3B2B" w:rsidRPr="000F3B2B" w:rsidRDefault="000F3B2B" w:rsidP="00E6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2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Papildus</w:t>
            </w:r>
            <w:r w:rsidR="006F3691" w:rsidRPr="00392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ņemot vērā to, ka valsts nodevas un ar brīdinājuma izsniegšanu saistīto izdevumu apmēr</w:t>
            </w:r>
            <w:r w:rsidR="00771580" w:rsidRPr="00392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6F3691" w:rsidRPr="00392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1580" w:rsidRPr="00392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tiek noteikts</w:t>
            </w:r>
            <w:r w:rsidR="006F3691" w:rsidRPr="00392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saskaņā ar </w:t>
            </w:r>
            <w:r w:rsidRPr="00392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6F3691" w:rsidRPr="00392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ivilprocesa likum</w:t>
            </w:r>
            <w:r w:rsidR="00771580" w:rsidRPr="00392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normām</w:t>
            </w:r>
            <w:r w:rsidRPr="00392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F3691" w:rsidRPr="00392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minētie tiesāšanās izdevumi līdz ar grozījumiem tiek izslēgti no </w:t>
            </w:r>
            <w:r w:rsidR="001A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Ministru kabineta </w:t>
            </w:r>
            <w:proofErr w:type="gramStart"/>
            <w:r w:rsidR="006F3691" w:rsidRPr="0039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2009.gada</w:t>
            </w:r>
            <w:proofErr w:type="gramEnd"/>
            <w:r w:rsidR="006F3691" w:rsidRPr="0039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21.jūlija noteikumu Nr.792 „Noteikumi par saistību piespiedu izpildīšanas brīdinājuma kārtībā izmantojamām veidlapām” 3.pielikuma </w:t>
            </w:r>
            <w:r w:rsidR="006F3691" w:rsidRPr="00392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kā </w:t>
            </w:r>
            <w:r w:rsidR="00E62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izdevumi, kurus parādnieks var atzīt arī tikai </w:t>
            </w:r>
            <w:r w:rsidR="006F3691" w:rsidRPr="00392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daļēj</w:t>
            </w:r>
            <w:r w:rsidR="00E62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F3691" w:rsidRPr="00392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33730" w:rsidRPr="00131CA5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B65C12" w:rsidRDefault="00A33B4B" w:rsidP="00457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5C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projektu izstrādāja Tieslietu ministrija</w:t>
            </w:r>
            <w:r w:rsidR="002B4B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82E9A" w:rsidRPr="00B65C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65C12" w:rsidRPr="00B65C12">
              <w:rPr>
                <w:rFonts w:ascii="Times New Roman" w:hAnsi="Times New Roman" w:cs="Times New Roman"/>
                <w:sz w:val="24"/>
                <w:szCs w:val="24"/>
              </w:rPr>
              <w:t xml:space="preserve">Sagatavotie grozījumi </w:t>
            </w:r>
            <w:r w:rsidR="002B4BF7">
              <w:rPr>
                <w:rFonts w:ascii="Times New Roman" w:hAnsi="Times New Roman" w:cs="Times New Roman"/>
                <w:sz w:val="24"/>
                <w:szCs w:val="24"/>
              </w:rPr>
              <w:t xml:space="preserve">tika </w:t>
            </w:r>
            <w:r w:rsidR="00B65C12" w:rsidRPr="00B65C12">
              <w:rPr>
                <w:rFonts w:ascii="Times New Roman" w:hAnsi="Times New Roman" w:cs="Times New Roman"/>
                <w:sz w:val="24"/>
                <w:szCs w:val="24"/>
              </w:rPr>
              <w:t>izskatīti un atbalstīti ar tieslietu ministra rīkojumu</w:t>
            </w:r>
            <w:r w:rsidR="00457ACD">
              <w:rPr>
                <w:rFonts w:ascii="Times New Roman" w:hAnsi="Times New Roman" w:cs="Times New Roman"/>
                <w:sz w:val="24"/>
                <w:szCs w:val="24"/>
              </w:rPr>
              <w:t xml:space="preserve"> izveidotajā </w:t>
            </w:r>
            <w:r w:rsidR="00B65C12" w:rsidRPr="00B65C12">
              <w:rPr>
                <w:rFonts w:ascii="Times New Roman" w:hAnsi="Times New Roman" w:cs="Times New Roman"/>
                <w:sz w:val="24"/>
                <w:szCs w:val="24"/>
              </w:rPr>
              <w:t>Civilprocesa likum</w:t>
            </w:r>
            <w:r w:rsidR="00457A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65C12" w:rsidRPr="00B65C12">
              <w:rPr>
                <w:rFonts w:ascii="Times New Roman" w:hAnsi="Times New Roman" w:cs="Times New Roman"/>
                <w:sz w:val="24"/>
                <w:szCs w:val="24"/>
              </w:rPr>
              <w:t xml:space="preserve"> grozījumu izstrāde</w:t>
            </w:r>
            <w:r w:rsidR="00457AC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65C12" w:rsidRPr="00B65C12">
              <w:rPr>
                <w:rFonts w:ascii="Times New Roman" w:hAnsi="Times New Roman" w:cs="Times New Roman"/>
                <w:sz w:val="24"/>
                <w:szCs w:val="24"/>
              </w:rPr>
              <w:t xml:space="preserve"> pastāvīgajā darba grupā</w:t>
            </w:r>
            <w:r w:rsidR="002B4BF7">
              <w:rPr>
                <w:rFonts w:ascii="Times New Roman" w:hAnsi="Times New Roman" w:cs="Times New Roman"/>
                <w:sz w:val="24"/>
                <w:szCs w:val="24"/>
              </w:rPr>
              <w:t xml:space="preserve">, kurā piedalās </w:t>
            </w:r>
            <w:r w:rsidR="00457ACD">
              <w:rPr>
                <w:rFonts w:ascii="Times New Roman" w:hAnsi="Times New Roman" w:cs="Times New Roman"/>
                <w:sz w:val="24"/>
                <w:szCs w:val="24"/>
              </w:rPr>
              <w:t xml:space="preserve">visu instanču tiesu, </w:t>
            </w:r>
            <w:r w:rsidR="002B4BF7">
              <w:rPr>
                <w:rFonts w:ascii="Times New Roman" w:hAnsi="Times New Roman" w:cs="Times New Roman"/>
                <w:sz w:val="24"/>
                <w:szCs w:val="24"/>
              </w:rPr>
              <w:t xml:space="preserve">Latvijas Zvērinātu advokātu padomes, Latvijas Zvērinātu tiesu izpildītāju padomes pārstāvji, </w:t>
            </w:r>
            <w:r w:rsidR="00457ACD">
              <w:rPr>
                <w:rFonts w:ascii="Times New Roman" w:hAnsi="Times New Roman" w:cs="Times New Roman"/>
                <w:sz w:val="24"/>
                <w:szCs w:val="24"/>
              </w:rPr>
              <w:t xml:space="preserve">atsevišķu tiesu priekšsēdētāji, </w:t>
            </w:r>
            <w:r w:rsidR="002B4BF7">
              <w:rPr>
                <w:rFonts w:ascii="Times New Roman" w:hAnsi="Times New Roman" w:cs="Times New Roman"/>
                <w:sz w:val="24"/>
                <w:szCs w:val="24"/>
              </w:rPr>
              <w:t>Latvijas Universitātes mācībspēki</w:t>
            </w:r>
            <w:r w:rsidR="00457ACD">
              <w:rPr>
                <w:rFonts w:ascii="Times New Roman" w:hAnsi="Times New Roman" w:cs="Times New Roman"/>
                <w:sz w:val="24"/>
                <w:szCs w:val="24"/>
              </w:rPr>
              <w:t>, kā arī citas personas</w:t>
            </w:r>
            <w:r w:rsidR="00B65C12" w:rsidRPr="00B65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730" w:rsidRPr="00131CA5" w:rsidTr="004D15A9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A3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1A6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D4E8A" w:rsidRPr="00131CA5" w:rsidTr="00D313D5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:rsidR="00A33B4B" w:rsidRPr="00131CA5" w:rsidRDefault="00A33B4B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D15A9" w:rsidRPr="00131CA5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533730" w:rsidRPr="00131CA5" w:rsidTr="00101CD5">
        <w:trPr>
          <w:trHeight w:val="555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131CA5" w:rsidRDefault="004D15A9" w:rsidP="001A6FDC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33730" w:rsidRPr="00131CA5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1A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3B4B" w:rsidRPr="005E071A" w:rsidRDefault="001A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</w:t>
            </w:r>
            <w:r w:rsidR="00A33B4B"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rojekts attiecināms uz jebkuru sabiedrības locekli, kas </w:t>
            </w:r>
            <w:r w:rsidR="00E82E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vēlas </w:t>
            </w:r>
            <w:r w:rsidR="00457A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panākt</w:t>
            </w:r>
            <w:r w:rsidR="00293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saistību piespiedu izpildīšanu brīdinājuma kārtībā. </w:t>
            </w:r>
          </w:p>
        </w:tc>
      </w:tr>
      <w:tr w:rsidR="00533730" w:rsidRPr="00131CA5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1A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A3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</w:t>
            </w:r>
            <w:r w:rsidR="00671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</w:t>
            </w: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rojekta un </w:t>
            </w:r>
            <w:r w:rsidR="007715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Civilprocesa likuma</w:t>
            </w: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71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izriet, ka līdz šim pastāvošā kārtība attiecībā uz pieteikuma par saistības piespiedu izpildīšanu brīdinājuma kārtībā iesniegšanu un noformēšanu</w:t>
            </w:r>
            <w:r w:rsidR="00A13C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tiek grozīta nelielā </w:t>
            </w:r>
            <w:proofErr w:type="gramStart"/>
            <w:r w:rsidR="00A13C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apmērā </w:t>
            </w:r>
            <w:r w:rsidR="001A6FDC" w:rsidRPr="001021D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A13C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proofErr w:type="gramEnd"/>
            <w:r w:rsidR="00A13C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airāk tehniski</w:t>
            </w:r>
            <w:r w:rsidR="00671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533730" w:rsidRPr="00131CA5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1A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B65C12" w:rsidRDefault="00F3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Noteikumu projekts neradīs jaunas </w:t>
            </w:r>
            <w:r w:rsidRPr="00F37210">
              <w:rPr>
                <w:rFonts w:ascii="Times New Roman" w:hAnsi="Times New Roman" w:cs="Times New Roman"/>
                <w:sz w:val="24"/>
                <w:szCs w:val="24"/>
              </w:rPr>
              <w:t xml:space="preserve">administratīvās izmaksas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Pr="00F37210">
              <w:rPr>
                <w:rFonts w:ascii="Times New Roman" w:hAnsi="Times New Roman" w:cs="Times New Roman"/>
                <w:sz w:val="24"/>
                <w:szCs w:val="24"/>
              </w:rPr>
              <w:t>fizisk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Pr="00F37210"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ām, ne </w:t>
            </w:r>
            <w:r w:rsidRPr="00F37210">
              <w:rPr>
                <w:rFonts w:ascii="Times New Roman" w:hAnsi="Times New Roman" w:cs="Times New Roman"/>
                <w:sz w:val="24"/>
                <w:szCs w:val="24"/>
              </w:rPr>
              <w:t>juridisk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Pr="00F37210"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ām, ne </w:t>
            </w:r>
            <w:r w:rsidRPr="00F37210">
              <w:rPr>
                <w:rFonts w:ascii="Times New Roman" w:hAnsi="Times New Roman" w:cs="Times New Roman"/>
                <w:sz w:val="24"/>
                <w:szCs w:val="24"/>
              </w:rPr>
              <w:t>valsts pārvaldes institūcij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ām. </w:t>
            </w:r>
          </w:p>
        </w:tc>
      </w:tr>
      <w:tr w:rsidR="00533730" w:rsidRPr="00131CA5" w:rsidTr="004D15A9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1A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1A6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A33B4B" w:rsidRPr="00131CA5" w:rsidRDefault="00A33B4B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648"/>
        <w:gridCol w:w="6026"/>
      </w:tblGrid>
      <w:tr w:rsidR="00533730" w:rsidRPr="00131CA5" w:rsidTr="004D15A9">
        <w:trPr>
          <w:trHeight w:val="45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131CA5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33730" w:rsidRPr="00131CA5" w:rsidTr="004D15A9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82E9A" w:rsidRDefault="00A33B4B" w:rsidP="00BF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šo </w:t>
            </w:r>
            <w:r w:rsidR="001A6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projektu saistīt</w:t>
            </w:r>
            <w:r w:rsidR="00E82E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</w:t>
            </w: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tiesību akt</w:t>
            </w:r>
            <w:r w:rsidR="00E82E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i:</w:t>
            </w:r>
          </w:p>
          <w:p w:rsidR="00A33B4B" w:rsidRPr="00F37210" w:rsidRDefault="00FE5677" w:rsidP="00F3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A33B4B" w:rsidRPr="00F372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Civilprocesa likum</w:t>
            </w:r>
            <w:r w:rsidR="00A13C74" w:rsidRPr="00F372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82E9A" w:rsidRPr="00F372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4D15A9" w:rsidRPr="00F37210" w:rsidRDefault="00FE5677" w:rsidP="00F3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</w:t>
            </w:r>
            <w:r w:rsidR="00A13C74" w:rsidRPr="00F372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E82E9A" w:rsidRPr="00F372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ikumprojekts „Grozījumi Krimināllikumā” (reģ.Nr.</w:t>
            </w:r>
            <w:r w:rsidR="003851A0" w:rsidRPr="00F372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749</w:t>
            </w:r>
            <w:r w:rsidR="00E82E9A" w:rsidRPr="00F372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r w:rsidR="003851A0" w:rsidRPr="00F372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Lp</w:t>
            </w:r>
            <w:r w:rsidR="00E82E9A" w:rsidRPr="00F372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11). </w:t>
            </w:r>
          </w:p>
        </w:tc>
      </w:tr>
      <w:tr w:rsidR="00533730" w:rsidRPr="00131CA5" w:rsidTr="004D15A9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A33B4B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</w:t>
            </w:r>
          </w:p>
        </w:tc>
      </w:tr>
      <w:tr w:rsidR="00533730" w:rsidRPr="00131CA5" w:rsidTr="004D15A9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A33B4B" w:rsidP="0084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 to, ka </w:t>
            </w:r>
            <w:r w:rsidR="007715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Civilprocesa likuma Pārejas noteikumu </w:t>
            </w:r>
            <w:proofErr w:type="gramStart"/>
            <w:r w:rsidR="007715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76.pantā</w:t>
            </w:r>
            <w:proofErr w:type="gramEnd"/>
            <w:r w:rsidR="007715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ietverts nosacījums, ka </w:t>
            </w:r>
            <w:r w:rsidR="0077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Civilprocesa likuma </w:t>
            </w:r>
            <w:r w:rsidR="00771580" w:rsidRPr="00816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406.</w:t>
            </w:r>
            <w:r w:rsidR="00771580" w:rsidRPr="00816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="00771580" w:rsidRPr="00816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panta otr</w:t>
            </w:r>
            <w:r w:rsidR="00771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ās</w:t>
            </w:r>
            <w:r w:rsidR="00771580" w:rsidRPr="00816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daļas 10.punkt</w:t>
            </w:r>
            <w:r w:rsidR="00771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s </w:t>
            </w:r>
            <w:r w:rsidR="003B0673" w:rsidRPr="0081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nav </w:t>
            </w:r>
            <w:r w:rsidR="003B0673" w:rsidRPr="00816F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piemērojam</w:t>
            </w:r>
            <w:r w:rsidR="001A6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</w:t>
            </w:r>
            <w:r w:rsidR="003B0673" w:rsidRPr="00816F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to pieteikumu izskatīšanai, kuri iesniegti tiesai līdz 2014.gada 1.jūlijam</w:t>
            </w: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7715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3537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p</w:t>
            </w: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rojekts paredz, ka </w:t>
            </w:r>
            <w:r w:rsidR="00840F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tas </w:t>
            </w: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stājas spēkā 2014.gada 1.</w:t>
            </w:r>
            <w:r w:rsidR="00BF4E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jūlijā</w:t>
            </w: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4D15A9" w:rsidRPr="00131CA5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15A9" w:rsidRPr="00131CA5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739"/>
        <w:gridCol w:w="5935"/>
      </w:tblGrid>
      <w:tr w:rsidR="00533730" w:rsidRPr="00131CA5" w:rsidTr="004D15A9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131CA5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533730" w:rsidRPr="00131CA5" w:rsidTr="004D15A9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3730" w:rsidRDefault="00533730" w:rsidP="0053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51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</w:t>
            </w:r>
            <w:r w:rsidR="00B65C12" w:rsidRPr="003851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3851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projektu sabiedrība netika informēta, tomēr sabiedrība tika informēta par </w:t>
            </w:r>
            <w:r w:rsidR="00771580" w:rsidRPr="003851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veiktajiem grozījumiem Civilprocesa likumā</w:t>
            </w:r>
            <w:r w:rsidRPr="003851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</w:t>
            </w:r>
            <w:r w:rsidR="003851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3851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virzību.</w:t>
            </w:r>
          </w:p>
          <w:p w:rsidR="003851A0" w:rsidRPr="003851A0" w:rsidRDefault="003851A0" w:rsidP="0053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4D15A9" w:rsidRPr="00671843" w:rsidRDefault="00771580" w:rsidP="0077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3851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Civilprocesa likums</w:t>
            </w:r>
            <w:r w:rsidR="00533730" w:rsidRPr="003851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satur deleģējumu Ministru kabinetam, ir publiski pieejams.</w:t>
            </w:r>
          </w:p>
        </w:tc>
      </w:tr>
      <w:tr w:rsidR="00533730" w:rsidRPr="00131CA5" w:rsidTr="004D15A9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71843" w:rsidRDefault="00B65C12" w:rsidP="00E8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3851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</w:t>
            </w:r>
            <w:r w:rsidR="00533730" w:rsidRPr="003851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rojekta izstrādē sabiedrība nepiedalījās, tomēr </w:t>
            </w:r>
            <w:r w:rsidR="003851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3851A0" w:rsidRPr="00B65C12">
              <w:rPr>
                <w:rFonts w:ascii="Times New Roman" w:hAnsi="Times New Roman" w:cs="Times New Roman"/>
                <w:sz w:val="24"/>
                <w:szCs w:val="24"/>
              </w:rPr>
              <w:t xml:space="preserve">agatavotie grozījumi </w:t>
            </w:r>
            <w:r w:rsidR="003851A0">
              <w:rPr>
                <w:rFonts w:ascii="Times New Roman" w:hAnsi="Times New Roman" w:cs="Times New Roman"/>
                <w:sz w:val="24"/>
                <w:szCs w:val="24"/>
              </w:rPr>
              <w:t xml:space="preserve">tika </w:t>
            </w:r>
            <w:r w:rsidR="003851A0" w:rsidRPr="00B65C12">
              <w:rPr>
                <w:rFonts w:ascii="Times New Roman" w:hAnsi="Times New Roman" w:cs="Times New Roman"/>
                <w:sz w:val="24"/>
                <w:szCs w:val="24"/>
              </w:rPr>
              <w:t xml:space="preserve">izskatīti un atbalstīti ar tieslietu ministra rīkojumu </w:t>
            </w:r>
            <w:r w:rsidR="00E85736" w:rsidRPr="00B65C12">
              <w:rPr>
                <w:rFonts w:ascii="Times New Roman" w:hAnsi="Times New Roman" w:cs="Times New Roman"/>
                <w:sz w:val="24"/>
                <w:szCs w:val="24"/>
              </w:rPr>
              <w:t xml:space="preserve">izveidotajā </w:t>
            </w:r>
            <w:r w:rsidR="003851A0" w:rsidRPr="00B65C12">
              <w:rPr>
                <w:rFonts w:ascii="Times New Roman" w:hAnsi="Times New Roman" w:cs="Times New Roman"/>
                <w:sz w:val="24"/>
                <w:szCs w:val="24"/>
              </w:rPr>
              <w:t>Civilprocesa likum</w:t>
            </w:r>
            <w:r w:rsidR="00E857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851A0" w:rsidRPr="00B65C12">
              <w:rPr>
                <w:rFonts w:ascii="Times New Roman" w:hAnsi="Times New Roman" w:cs="Times New Roman"/>
                <w:sz w:val="24"/>
                <w:szCs w:val="24"/>
              </w:rPr>
              <w:t xml:space="preserve"> grozījumu izstrāde</w:t>
            </w:r>
            <w:r w:rsidR="00E857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851A0" w:rsidRPr="00B65C12">
              <w:rPr>
                <w:rFonts w:ascii="Times New Roman" w:hAnsi="Times New Roman" w:cs="Times New Roman"/>
                <w:sz w:val="24"/>
                <w:szCs w:val="24"/>
              </w:rPr>
              <w:t xml:space="preserve"> pastāvīgajā darba grupā</w:t>
            </w:r>
            <w:r w:rsidR="003851A0">
              <w:rPr>
                <w:rFonts w:ascii="Times New Roman" w:hAnsi="Times New Roman" w:cs="Times New Roman"/>
                <w:sz w:val="24"/>
                <w:szCs w:val="24"/>
              </w:rPr>
              <w:t>, kurā piedalās arī nevalstisko organizāciju pārstāvji</w:t>
            </w:r>
            <w:r w:rsidR="00E8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FDC" w:rsidRPr="001021D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E8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1A0">
              <w:rPr>
                <w:rFonts w:ascii="Times New Roman" w:hAnsi="Times New Roman" w:cs="Times New Roman"/>
                <w:sz w:val="24"/>
                <w:szCs w:val="24"/>
              </w:rPr>
              <w:t>Latvijas Zvērinātu advokātu padomes pārstāvji, Latvijas Zvērinātu tiesu izpildītāju padomes pārstāvji</w:t>
            </w:r>
            <w:r w:rsidR="003851A0" w:rsidRPr="00B65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730" w:rsidRPr="00131CA5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71843" w:rsidRDefault="00E85736" w:rsidP="00E8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B65C12">
              <w:rPr>
                <w:rFonts w:ascii="Times New Roman" w:hAnsi="Times New Roman" w:cs="Times New Roman"/>
                <w:sz w:val="24"/>
                <w:szCs w:val="24"/>
              </w:rPr>
              <w:t>Civilprocesa likum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65C12">
              <w:rPr>
                <w:rFonts w:ascii="Times New Roman" w:hAnsi="Times New Roman" w:cs="Times New Roman"/>
                <w:sz w:val="24"/>
                <w:szCs w:val="24"/>
              </w:rPr>
              <w:t xml:space="preserve"> grozījumu izstrāde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65C12">
              <w:rPr>
                <w:rFonts w:ascii="Times New Roman" w:hAnsi="Times New Roman" w:cs="Times New Roman"/>
                <w:sz w:val="24"/>
                <w:szCs w:val="24"/>
              </w:rPr>
              <w:t xml:space="preserve"> pastāvīgā darba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51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33730" w:rsidRPr="003851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atbalsta </w:t>
            </w:r>
            <w:r w:rsidR="003851A0" w:rsidRPr="003851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projektu</w:t>
            </w:r>
            <w:r w:rsidR="00533730" w:rsidRPr="003851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D15A9" w:rsidRPr="00131CA5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53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4064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4D15A9" w:rsidRPr="00131CA5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470"/>
        <w:gridCol w:w="5205"/>
      </w:tblGrid>
      <w:tr w:rsidR="00533730" w:rsidRPr="00131CA5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131CA5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33730" w:rsidRPr="00131CA5" w:rsidTr="004D15A9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79544E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Vispārējās jurisdikcijas tiesas.</w:t>
            </w:r>
          </w:p>
        </w:tc>
      </w:tr>
      <w:tr w:rsidR="00533730" w:rsidRPr="00131CA5" w:rsidTr="004D15A9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4D15A9" w:rsidRPr="00131CA5" w:rsidRDefault="004D15A9" w:rsidP="00DA596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544E" w:rsidRDefault="0079544E" w:rsidP="0079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būtiski neietekmē vispārējās jurisdikcijas tiesas funkcijas, jo jau šobrīd </w:t>
            </w:r>
            <w:r w:rsidR="00293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pieteikums par saistības piespiedu izpildīšanu brīdinājuma kārt</w:t>
            </w:r>
            <w:r w:rsidR="00B65C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ībā noformējams atbilstoši</w:t>
            </w:r>
            <w:r w:rsidR="00293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65C12" w:rsidRPr="0081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Ministru kabineta </w:t>
            </w:r>
            <w:proofErr w:type="gramStart"/>
            <w:r w:rsidR="00B65C12" w:rsidRPr="0081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2009.gada</w:t>
            </w:r>
            <w:proofErr w:type="gramEnd"/>
            <w:r w:rsidR="00B65C12" w:rsidRPr="0081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21.jūlija noteikum</w:t>
            </w:r>
            <w:r w:rsidR="00B65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iem</w:t>
            </w:r>
            <w:r w:rsidR="00B65C12" w:rsidRPr="0081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Nr.792 „Noteikumi par saistību piespiedu izpildīšanas brīdinājuma kārtībā izmantojamām veidlapām”</w:t>
            </w:r>
            <w:r w:rsidR="00B65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:rsidR="0079544E" w:rsidRDefault="001A6FDC" w:rsidP="0079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</w:t>
            </w:r>
            <w:r w:rsidR="0079544E"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rojekta izpildes rezultātā nav nepieciešams veidot jaunas institūcijas.</w:t>
            </w:r>
          </w:p>
          <w:p w:rsidR="00B65C12" w:rsidRPr="00131CA5" w:rsidRDefault="00B65C12" w:rsidP="0079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9544E" w:rsidRDefault="001A6FDC" w:rsidP="0079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</w:t>
            </w:r>
            <w:r w:rsidR="0079544E"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rojekta izpildes rezultātā nav plānots likvidēt kādu esošu institūciju.</w:t>
            </w:r>
          </w:p>
          <w:p w:rsidR="00B65C12" w:rsidRPr="00131CA5" w:rsidRDefault="00B65C12" w:rsidP="0079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4D15A9" w:rsidRPr="00131CA5" w:rsidRDefault="001A6FDC" w:rsidP="0079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</w:t>
            </w:r>
            <w:r w:rsidR="0079544E"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rojekta izpildes rezultātā nav plānots reorganizēt esošu institūciju vai arī apvienot esošas institūcijas.</w:t>
            </w:r>
          </w:p>
        </w:tc>
      </w:tr>
      <w:tr w:rsidR="004D15A9" w:rsidRPr="00131CA5" w:rsidTr="004D15A9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131CA5" w:rsidRDefault="004D15A9" w:rsidP="00795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1A6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BB1F46" w:rsidRPr="00131CA5" w:rsidRDefault="00BB1F46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730" w:rsidRPr="00131CA5" w:rsidRDefault="00533730" w:rsidP="00533730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131CA5">
        <w:rPr>
          <w:sz w:val="24"/>
          <w:szCs w:val="24"/>
        </w:rPr>
        <w:t xml:space="preserve">Anotācijas </w:t>
      </w:r>
      <w:r w:rsidR="00D36836" w:rsidRPr="00131CA5">
        <w:rPr>
          <w:sz w:val="24"/>
          <w:szCs w:val="24"/>
        </w:rPr>
        <w:t xml:space="preserve">III un </w:t>
      </w:r>
      <w:r w:rsidRPr="00131CA5">
        <w:rPr>
          <w:sz w:val="24"/>
          <w:szCs w:val="24"/>
        </w:rPr>
        <w:t xml:space="preserve">V sadaļa – </w:t>
      </w:r>
      <w:r w:rsidR="001A6FDC">
        <w:rPr>
          <w:sz w:val="24"/>
          <w:szCs w:val="24"/>
        </w:rPr>
        <w:t>Noteikumu p</w:t>
      </w:r>
      <w:r w:rsidRPr="00131CA5">
        <w:rPr>
          <w:sz w:val="24"/>
          <w:szCs w:val="24"/>
        </w:rPr>
        <w:t xml:space="preserve">rojekts šo jomu neskar. </w:t>
      </w:r>
    </w:p>
    <w:p w:rsidR="00533730" w:rsidRPr="00131CA5" w:rsidRDefault="00533730" w:rsidP="00533730">
      <w:pPr>
        <w:pStyle w:val="StyleRight"/>
        <w:spacing w:after="0"/>
        <w:jc w:val="both"/>
        <w:rPr>
          <w:sz w:val="24"/>
          <w:szCs w:val="24"/>
        </w:rPr>
      </w:pPr>
    </w:p>
    <w:p w:rsidR="004C59CD" w:rsidRDefault="004C59CD" w:rsidP="00533730">
      <w:pPr>
        <w:pStyle w:val="StyleRight"/>
        <w:spacing w:after="0"/>
        <w:ind w:firstLine="0"/>
        <w:jc w:val="both"/>
        <w:rPr>
          <w:sz w:val="20"/>
          <w:szCs w:val="20"/>
        </w:rPr>
      </w:pPr>
    </w:p>
    <w:p w:rsidR="001A6FDC" w:rsidRPr="00D27F63" w:rsidRDefault="001A6FDC" w:rsidP="00533730">
      <w:pPr>
        <w:pStyle w:val="StyleRight"/>
        <w:spacing w:after="0"/>
        <w:ind w:firstLine="0"/>
        <w:jc w:val="both"/>
      </w:pPr>
      <w:r w:rsidRPr="00D27F63">
        <w:t>Iesniedzējs:</w:t>
      </w:r>
    </w:p>
    <w:p w:rsidR="002125F7" w:rsidRPr="002125F7" w:rsidRDefault="003B067B" w:rsidP="001A6FDC">
      <w:pPr>
        <w:pStyle w:val="StyleRight"/>
        <w:spacing w:after="0"/>
        <w:ind w:firstLine="0"/>
        <w:jc w:val="both"/>
        <w:rPr>
          <w:rFonts w:eastAsia="Calibri"/>
        </w:rPr>
      </w:pPr>
      <w:r>
        <w:rPr>
          <w:rFonts w:eastAsia="Calibri"/>
        </w:rPr>
        <w:t>Tieslietu ministre</w:t>
      </w:r>
      <w:r w:rsidR="001A6FDC">
        <w:rPr>
          <w:rFonts w:eastAsia="Calibri"/>
        </w:rPr>
        <w:tab/>
      </w:r>
      <w:r w:rsidR="001A6FDC">
        <w:rPr>
          <w:rFonts w:eastAsia="Calibri"/>
        </w:rPr>
        <w:tab/>
      </w:r>
      <w:r w:rsidR="001A6FDC">
        <w:rPr>
          <w:rFonts w:eastAsia="Calibri"/>
        </w:rPr>
        <w:tab/>
      </w:r>
      <w:r w:rsidR="001A6FDC">
        <w:rPr>
          <w:rFonts w:eastAsia="Calibri"/>
        </w:rPr>
        <w:tab/>
      </w:r>
      <w:r w:rsidR="001A6FDC">
        <w:rPr>
          <w:rFonts w:eastAsia="Calibri"/>
        </w:rPr>
        <w:tab/>
      </w:r>
      <w:r w:rsidR="001A6FDC">
        <w:rPr>
          <w:rFonts w:eastAsia="Calibri"/>
        </w:rPr>
        <w:tab/>
      </w:r>
      <w:r>
        <w:rPr>
          <w:rFonts w:eastAsia="Calibri"/>
        </w:rPr>
        <w:t xml:space="preserve">                      </w:t>
      </w:r>
      <w:proofErr w:type="spellStart"/>
      <w:r>
        <w:rPr>
          <w:rFonts w:eastAsia="Calibri"/>
        </w:rPr>
        <w:t>B.Broka</w:t>
      </w:r>
      <w:proofErr w:type="spellEnd"/>
    </w:p>
    <w:p w:rsidR="004C59CD" w:rsidRDefault="004C59CD" w:rsidP="00533730">
      <w:pPr>
        <w:pStyle w:val="StyleRight"/>
        <w:spacing w:after="0"/>
        <w:ind w:firstLine="0"/>
        <w:jc w:val="both"/>
        <w:rPr>
          <w:sz w:val="20"/>
          <w:szCs w:val="20"/>
        </w:rPr>
      </w:pPr>
    </w:p>
    <w:p w:rsidR="004C59CD" w:rsidRDefault="004C59CD" w:rsidP="00533730">
      <w:pPr>
        <w:pStyle w:val="StyleRight"/>
        <w:spacing w:after="0"/>
        <w:ind w:firstLine="0"/>
        <w:jc w:val="both"/>
        <w:rPr>
          <w:sz w:val="20"/>
          <w:szCs w:val="20"/>
        </w:rPr>
      </w:pPr>
    </w:p>
    <w:p w:rsidR="00533730" w:rsidRPr="00131CA5" w:rsidRDefault="00614CF5" w:rsidP="00533730">
      <w:pPr>
        <w:pStyle w:val="StyleRight"/>
        <w:spacing w:after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533730" w:rsidRPr="00131CA5">
        <w:rPr>
          <w:sz w:val="20"/>
          <w:szCs w:val="20"/>
        </w:rPr>
        <w:t>.0</w:t>
      </w:r>
      <w:r w:rsidR="004C59CD">
        <w:rPr>
          <w:sz w:val="20"/>
          <w:szCs w:val="20"/>
        </w:rPr>
        <w:t>6</w:t>
      </w:r>
      <w:r w:rsidR="00533730" w:rsidRPr="00131CA5">
        <w:rPr>
          <w:sz w:val="20"/>
          <w:szCs w:val="20"/>
        </w:rPr>
        <w:t>.2014.</w:t>
      </w:r>
      <w:r>
        <w:rPr>
          <w:sz w:val="20"/>
          <w:szCs w:val="20"/>
        </w:rPr>
        <w:t>13:28</w:t>
      </w:r>
    </w:p>
    <w:p w:rsidR="00533730" w:rsidRPr="00131CA5" w:rsidRDefault="004C59CD" w:rsidP="00533730">
      <w:pPr>
        <w:pStyle w:val="StyleRight"/>
        <w:spacing w:after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614CF5">
        <w:rPr>
          <w:sz w:val="20"/>
          <w:szCs w:val="20"/>
        </w:rPr>
        <w:t>86</w:t>
      </w:r>
    </w:p>
    <w:p w:rsidR="00533730" w:rsidRPr="00131CA5" w:rsidRDefault="0053794C" w:rsidP="00533730">
      <w:pPr>
        <w:pStyle w:val="StyleRight"/>
        <w:spacing w:after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D.</w:t>
      </w:r>
      <w:r w:rsidR="00B65C12">
        <w:rPr>
          <w:sz w:val="20"/>
          <w:szCs w:val="20"/>
        </w:rPr>
        <w:t>Vītola</w:t>
      </w:r>
    </w:p>
    <w:p w:rsidR="004D15A9" w:rsidRPr="00533730" w:rsidRDefault="00533730" w:rsidP="00533730">
      <w:pPr>
        <w:pStyle w:val="StyleRight"/>
        <w:spacing w:after="0"/>
        <w:ind w:firstLine="0"/>
        <w:jc w:val="both"/>
        <w:rPr>
          <w:sz w:val="20"/>
          <w:szCs w:val="20"/>
        </w:rPr>
      </w:pPr>
      <w:r w:rsidRPr="00131CA5">
        <w:rPr>
          <w:sz w:val="20"/>
          <w:szCs w:val="20"/>
        </w:rPr>
        <w:t>6703695</w:t>
      </w:r>
      <w:r w:rsidR="00B65C12">
        <w:rPr>
          <w:sz w:val="20"/>
          <w:szCs w:val="20"/>
        </w:rPr>
        <w:t>6</w:t>
      </w:r>
      <w:r w:rsidRPr="00131CA5">
        <w:rPr>
          <w:sz w:val="20"/>
          <w:szCs w:val="20"/>
        </w:rPr>
        <w:t xml:space="preserve">, </w:t>
      </w:r>
      <w:r w:rsidR="00B65C12">
        <w:rPr>
          <w:sz w:val="20"/>
          <w:szCs w:val="20"/>
        </w:rPr>
        <w:t>Dace.Vitola</w:t>
      </w:r>
      <w:r w:rsidRPr="00131CA5">
        <w:rPr>
          <w:sz w:val="20"/>
          <w:szCs w:val="20"/>
        </w:rPr>
        <w:t>@tm.gov.lv</w:t>
      </w:r>
      <w:bookmarkStart w:id="0" w:name="_GoBack"/>
      <w:bookmarkEnd w:id="0"/>
    </w:p>
    <w:sectPr w:rsidR="004D15A9" w:rsidRPr="00533730" w:rsidSect="00FE5677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F9" w:rsidRDefault="00853EF9" w:rsidP="004D15A9">
      <w:pPr>
        <w:spacing w:after="0" w:line="240" w:lineRule="auto"/>
      </w:pPr>
      <w:r>
        <w:separator/>
      </w:r>
    </w:p>
  </w:endnote>
  <w:endnote w:type="continuationSeparator" w:id="0">
    <w:p w:rsidR="00853EF9" w:rsidRDefault="00853EF9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A9" w:rsidRPr="00FF2E5E" w:rsidRDefault="00FF2E5E" w:rsidP="00FF2E5E">
    <w:pPr>
      <w:pStyle w:val="Kjene"/>
    </w:pPr>
    <w:r w:rsidRPr="00FF2E5E">
      <w:rPr>
        <w:rFonts w:ascii="Times New Roman" w:hAnsi="Times New Roman" w:cs="Times New Roman"/>
        <w:sz w:val="20"/>
        <w:szCs w:val="20"/>
      </w:rPr>
      <w:t>TMAnot_</w:t>
    </w:r>
    <w:r w:rsidR="003B067B">
      <w:rPr>
        <w:rFonts w:ascii="Times New Roman" w:hAnsi="Times New Roman" w:cs="Times New Roman"/>
        <w:sz w:val="20"/>
        <w:szCs w:val="20"/>
      </w:rPr>
      <w:t>10</w:t>
    </w:r>
    <w:r w:rsidR="00281C42">
      <w:rPr>
        <w:rFonts w:ascii="Times New Roman" w:hAnsi="Times New Roman" w:cs="Times New Roman"/>
        <w:sz w:val="20"/>
        <w:szCs w:val="20"/>
      </w:rPr>
      <w:t>06</w:t>
    </w:r>
    <w:r w:rsidRPr="00FF2E5E">
      <w:rPr>
        <w:rFonts w:ascii="Times New Roman" w:hAnsi="Times New Roman" w:cs="Times New Roman"/>
        <w:sz w:val="20"/>
        <w:szCs w:val="20"/>
      </w:rPr>
      <w:t xml:space="preserve">14_bridinajums; Ministru kabineta noteikumu projekta „Grozījumi Ministru kabineta </w:t>
    </w:r>
    <w:proofErr w:type="gramStart"/>
    <w:r w:rsidRPr="00FF2E5E">
      <w:rPr>
        <w:rFonts w:ascii="Times New Roman" w:hAnsi="Times New Roman" w:cs="Times New Roman"/>
        <w:sz w:val="20"/>
        <w:szCs w:val="20"/>
      </w:rPr>
      <w:t>2009.gada</w:t>
    </w:r>
    <w:proofErr w:type="gramEnd"/>
    <w:r w:rsidRPr="00FF2E5E">
      <w:rPr>
        <w:rFonts w:ascii="Times New Roman" w:hAnsi="Times New Roman" w:cs="Times New Roman"/>
        <w:sz w:val="20"/>
        <w:szCs w:val="20"/>
      </w:rPr>
      <w:t xml:space="preserve"> 21.jūlija noteikumos Nr.792 „Noteikumi par saistību piespiedu izpildīšanas brīdinājuma kārtībā izmantojamām veidlapām””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A9" w:rsidRPr="00267159" w:rsidRDefault="00267159" w:rsidP="00267159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D01180">
      <w:rPr>
        <w:rFonts w:ascii="Times New Roman" w:hAnsi="Times New Roman" w:cs="Times New Roman"/>
        <w:sz w:val="20"/>
        <w:szCs w:val="20"/>
      </w:rPr>
      <w:t>TM</w:t>
    </w:r>
    <w:r>
      <w:rPr>
        <w:rFonts w:ascii="Times New Roman" w:hAnsi="Times New Roman" w:cs="Times New Roman"/>
        <w:sz w:val="20"/>
        <w:szCs w:val="20"/>
      </w:rPr>
      <w:t>An</w:t>
    </w:r>
    <w:r w:rsidRPr="00D01180">
      <w:rPr>
        <w:rFonts w:ascii="Times New Roman" w:hAnsi="Times New Roman" w:cs="Times New Roman"/>
        <w:sz w:val="20"/>
        <w:szCs w:val="20"/>
      </w:rPr>
      <w:t>ot_</w:t>
    </w:r>
    <w:r w:rsidR="003B067B">
      <w:rPr>
        <w:rFonts w:ascii="Times New Roman" w:hAnsi="Times New Roman" w:cs="Times New Roman"/>
        <w:sz w:val="20"/>
        <w:szCs w:val="20"/>
      </w:rPr>
      <w:t>10</w:t>
    </w:r>
    <w:r w:rsidR="00281C42">
      <w:rPr>
        <w:rFonts w:ascii="Times New Roman" w:hAnsi="Times New Roman" w:cs="Times New Roman"/>
        <w:sz w:val="20"/>
        <w:szCs w:val="20"/>
      </w:rPr>
      <w:t>06</w:t>
    </w:r>
    <w:r w:rsidRPr="00D01180">
      <w:rPr>
        <w:rFonts w:ascii="Times New Roman" w:hAnsi="Times New Roman" w:cs="Times New Roman"/>
        <w:sz w:val="20"/>
        <w:szCs w:val="20"/>
      </w:rPr>
      <w:t xml:space="preserve">14_bridinajums; </w:t>
    </w:r>
    <w:r w:rsidR="00FF2E5E" w:rsidRPr="00FF2E5E">
      <w:rPr>
        <w:rFonts w:ascii="Times New Roman" w:hAnsi="Times New Roman" w:cs="Times New Roman"/>
        <w:sz w:val="20"/>
        <w:szCs w:val="20"/>
      </w:rPr>
      <w:t xml:space="preserve">Ministru kabineta noteikumu projekta „Grozījumi Ministru kabineta </w:t>
    </w:r>
    <w:proofErr w:type="gramStart"/>
    <w:r w:rsidR="00FF2E5E" w:rsidRPr="00FF2E5E">
      <w:rPr>
        <w:rFonts w:ascii="Times New Roman" w:hAnsi="Times New Roman" w:cs="Times New Roman"/>
        <w:sz w:val="20"/>
        <w:szCs w:val="20"/>
      </w:rPr>
      <w:t>2009.gada</w:t>
    </w:r>
    <w:proofErr w:type="gramEnd"/>
    <w:r w:rsidR="00FF2E5E" w:rsidRPr="00FF2E5E">
      <w:rPr>
        <w:rFonts w:ascii="Times New Roman" w:hAnsi="Times New Roman" w:cs="Times New Roman"/>
        <w:sz w:val="20"/>
        <w:szCs w:val="20"/>
      </w:rPr>
      <w:t xml:space="preserve"> 21.jūlija noteikumos Nr.792 „Noteikumi par saistību piespiedu izpildīšanas brīdinājuma kārtībā izmantojamām veidlapām””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F9" w:rsidRDefault="00853EF9" w:rsidP="004D15A9">
      <w:pPr>
        <w:spacing w:after="0" w:line="240" w:lineRule="auto"/>
      </w:pPr>
      <w:r>
        <w:separator/>
      </w:r>
    </w:p>
  </w:footnote>
  <w:footnote w:type="continuationSeparator" w:id="0">
    <w:p w:rsidR="00853EF9" w:rsidRDefault="00853EF9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15A9" w:rsidRPr="004D15A9" w:rsidRDefault="004D15A9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4CF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15A9" w:rsidRDefault="004D15A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3351"/>
    <w:multiLevelType w:val="hybridMultilevel"/>
    <w:tmpl w:val="6AF49464"/>
    <w:lvl w:ilvl="0" w:tplc="042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9"/>
    <w:rsid w:val="00006C88"/>
    <w:rsid w:val="00031256"/>
    <w:rsid w:val="000F3B2B"/>
    <w:rsid w:val="00101CD5"/>
    <w:rsid w:val="00123004"/>
    <w:rsid w:val="00131CA5"/>
    <w:rsid w:val="001A6FDC"/>
    <w:rsid w:val="002125F7"/>
    <w:rsid w:val="002315EF"/>
    <w:rsid w:val="00267159"/>
    <w:rsid w:val="00281C42"/>
    <w:rsid w:val="0029357A"/>
    <w:rsid w:val="002B4BF7"/>
    <w:rsid w:val="00353705"/>
    <w:rsid w:val="003851A0"/>
    <w:rsid w:val="003922B0"/>
    <w:rsid w:val="00392ED2"/>
    <w:rsid w:val="003A2A0B"/>
    <w:rsid w:val="003B0673"/>
    <w:rsid w:val="003B067B"/>
    <w:rsid w:val="0040643B"/>
    <w:rsid w:val="00457ACD"/>
    <w:rsid w:val="004C59CD"/>
    <w:rsid w:val="004D15A9"/>
    <w:rsid w:val="004D711A"/>
    <w:rsid w:val="004E53AA"/>
    <w:rsid w:val="004F2C4B"/>
    <w:rsid w:val="00533730"/>
    <w:rsid w:val="0053794C"/>
    <w:rsid w:val="005C2992"/>
    <w:rsid w:val="005D4E8A"/>
    <w:rsid w:val="005E071A"/>
    <w:rsid w:val="00614CF5"/>
    <w:rsid w:val="00671843"/>
    <w:rsid w:val="006F3691"/>
    <w:rsid w:val="00701A4A"/>
    <w:rsid w:val="00723478"/>
    <w:rsid w:val="00744A06"/>
    <w:rsid w:val="00771580"/>
    <w:rsid w:val="0079544E"/>
    <w:rsid w:val="0081203F"/>
    <w:rsid w:val="00816F7D"/>
    <w:rsid w:val="00840F80"/>
    <w:rsid w:val="008436D8"/>
    <w:rsid w:val="00853EF9"/>
    <w:rsid w:val="00974A71"/>
    <w:rsid w:val="00984137"/>
    <w:rsid w:val="00984CCE"/>
    <w:rsid w:val="00A13C74"/>
    <w:rsid w:val="00A33B4B"/>
    <w:rsid w:val="00A77866"/>
    <w:rsid w:val="00AB2BE4"/>
    <w:rsid w:val="00B055DC"/>
    <w:rsid w:val="00B44DC3"/>
    <w:rsid w:val="00B65C12"/>
    <w:rsid w:val="00BB1F46"/>
    <w:rsid w:val="00BF4E7E"/>
    <w:rsid w:val="00C43375"/>
    <w:rsid w:val="00CC045F"/>
    <w:rsid w:val="00D27F63"/>
    <w:rsid w:val="00D313D5"/>
    <w:rsid w:val="00D36836"/>
    <w:rsid w:val="00DA596D"/>
    <w:rsid w:val="00E62D15"/>
    <w:rsid w:val="00E82E9A"/>
    <w:rsid w:val="00E85736"/>
    <w:rsid w:val="00E97DD2"/>
    <w:rsid w:val="00F37210"/>
    <w:rsid w:val="00FB368D"/>
    <w:rsid w:val="00FE5677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A33B4B"/>
    <w:pPr>
      <w:ind w:left="720"/>
      <w:contextualSpacing/>
    </w:pPr>
  </w:style>
  <w:style w:type="paragraph" w:customStyle="1" w:styleId="naisf">
    <w:name w:val="naisf"/>
    <w:basedOn w:val="Parasts"/>
    <w:rsid w:val="00A33B4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4E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4E53AA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v2131">
    <w:name w:val="tv2131"/>
    <w:basedOn w:val="Parasts"/>
    <w:rsid w:val="00816F7D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E56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E567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E567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E56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E56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A33B4B"/>
    <w:pPr>
      <w:ind w:left="720"/>
      <w:contextualSpacing/>
    </w:pPr>
  </w:style>
  <w:style w:type="paragraph" w:customStyle="1" w:styleId="naisf">
    <w:name w:val="naisf"/>
    <w:basedOn w:val="Parasts"/>
    <w:rsid w:val="00A33B4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4E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4E53AA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v2131">
    <w:name w:val="tv2131"/>
    <w:basedOn w:val="Parasts"/>
    <w:rsid w:val="00816F7D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E56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E567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E567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E56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E56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6644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0732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0B30-9323-4162-8976-850D8CC8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4912</Words>
  <Characters>2801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„Grozījumi Ministru kabineta 2009.gada 21.jūlija noteikumos Nr.792 „Noteikumi par saistību piespiedu izpildīšanas brīdinājuma kārtībā izmantojamām veidlapām”” sākotnējās ietekmes novērtējuma ziņojums (anotācija)</vt:lpstr>
    </vt:vector>
  </TitlesOfParts>
  <Company>Tieslietu ministrija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2009.gada 21.jūlija noteikumos Nr.792 „Noteikumi par saistību piespiedu izpildīšanas brīdinājuma kārtībā izmantojamām veidlapām”” sākotnējās ietekmes novērtējuma ziņojums (anotācija)</dc:title>
  <dc:subject>Anotācija</dc:subject>
  <dc:creator>Dace Vītola</dc:creator>
  <dc:description>67036956, Dace.Vitola@tm.gov.lv</dc:description>
  <cp:lastModifiedBy>Ilze Lepiksone</cp:lastModifiedBy>
  <cp:revision>3</cp:revision>
  <cp:lastPrinted>2014-06-04T12:25:00Z</cp:lastPrinted>
  <dcterms:created xsi:type="dcterms:W3CDTF">2014-06-10T10:26:00Z</dcterms:created>
  <dcterms:modified xsi:type="dcterms:W3CDTF">2014-06-10T10:28:00Z</dcterms:modified>
</cp:coreProperties>
</file>