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9F8" w:rsidRPr="00202A51" w:rsidRDefault="0085370C" w:rsidP="008479F8">
      <w:pPr>
        <w:spacing w:after="0" w:line="240" w:lineRule="auto"/>
        <w:ind w:firstLine="300"/>
        <w:jc w:val="center"/>
        <w:rPr>
          <w:rFonts w:ascii="Times New Roman" w:eastAsia="Times New Roman" w:hAnsi="Times New Roman" w:cs="Times New Roman"/>
          <w:b/>
          <w:bCs/>
          <w:sz w:val="24"/>
          <w:szCs w:val="24"/>
          <w:lang w:eastAsia="lv-LV"/>
        </w:rPr>
      </w:pPr>
      <w:r w:rsidRPr="00202A51">
        <w:rPr>
          <w:rFonts w:ascii="Times New Roman" w:hAnsi="Times New Roman" w:cs="Times New Roman"/>
          <w:b/>
          <w:sz w:val="24"/>
          <w:szCs w:val="24"/>
        </w:rPr>
        <w:t>Ministru kabineta rīkojuma „Par valsts nozīmes pasākumu starptautiskas nozīmes svētvietā Aglonā un tā nodro</w:t>
      </w:r>
      <w:r w:rsidR="00B0217D" w:rsidRPr="00202A51">
        <w:rPr>
          <w:rFonts w:ascii="Times New Roman" w:hAnsi="Times New Roman" w:cs="Times New Roman"/>
          <w:b/>
          <w:sz w:val="24"/>
          <w:szCs w:val="24"/>
        </w:rPr>
        <w:t>šināšanas un drošības plānu 2015</w:t>
      </w:r>
      <w:r w:rsidRPr="00202A51">
        <w:rPr>
          <w:rFonts w:ascii="Times New Roman" w:hAnsi="Times New Roman" w:cs="Times New Roman"/>
          <w:b/>
          <w:sz w:val="24"/>
          <w:szCs w:val="24"/>
        </w:rPr>
        <w:t>. gadam”</w:t>
      </w:r>
      <w:r w:rsidRPr="00202A51">
        <w:rPr>
          <w:rFonts w:ascii="Times New Roman" w:eastAsia="Times New Roman" w:hAnsi="Times New Roman" w:cs="Times New Roman"/>
          <w:b/>
          <w:bCs/>
          <w:sz w:val="24"/>
          <w:szCs w:val="24"/>
          <w:lang w:eastAsia="lv-LV"/>
        </w:rPr>
        <w:t xml:space="preserve"> </w:t>
      </w:r>
      <w:r w:rsidR="008479F8" w:rsidRPr="00202A51">
        <w:rPr>
          <w:rFonts w:ascii="Times New Roman" w:eastAsia="Times New Roman" w:hAnsi="Times New Roman" w:cs="Times New Roman"/>
          <w:b/>
          <w:bCs/>
          <w:sz w:val="24"/>
          <w:szCs w:val="24"/>
          <w:lang w:eastAsia="lv-LV"/>
        </w:rPr>
        <w:t>sākotnējās ietekmes novērtējuma ziņojums (anotācija)</w:t>
      </w:r>
    </w:p>
    <w:p w:rsidR="008479F8" w:rsidRPr="00202A51" w:rsidRDefault="008479F8" w:rsidP="008479F8">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202A51" w:rsidRPr="00202A51" w:rsidTr="0044449C">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479F8" w:rsidRPr="00202A51" w:rsidRDefault="008479F8" w:rsidP="0044449C">
            <w:pPr>
              <w:spacing w:after="0" w:line="240" w:lineRule="auto"/>
              <w:ind w:firstLine="300"/>
              <w:jc w:val="center"/>
              <w:rPr>
                <w:rFonts w:ascii="Times New Roman" w:eastAsia="Times New Roman" w:hAnsi="Times New Roman" w:cs="Times New Roman"/>
                <w:b/>
                <w:bCs/>
                <w:sz w:val="24"/>
                <w:szCs w:val="24"/>
                <w:lang w:eastAsia="lv-LV"/>
              </w:rPr>
            </w:pPr>
            <w:r w:rsidRPr="00202A51">
              <w:rPr>
                <w:rFonts w:ascii="Times New Roman" w:eastAsia="Times New Roman" w:hAnsi="Times New Roman" w:cs="Times New Roman"/>
                <w:b/>
                <w:bCs/>
                <w:sz w:val="24"/>
                <w:szCs w:val="24"/>
                <w:lang w:eastAsia="lv-LV"/>
              </w:rPr>
              <w:t>I. Tiesību akta projekta izstrādes nepieciešamība</w:t>
            </w:r>
          </w:p>
        </w:tc>
      </w:tr>
      <w:tr w:rsidR="00202A51" w:rsidRPr="00202A51" w:rsidTr="0044449C">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8479F8" w:rsidRPr="00202A51" w:rsidRDefault="008479F8" w:rsidP="0044449C">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479F8" w:rsidRPr="00202A51" w:rsidRDefault="008479F8" w:rsidP="0044449C">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752C69" w:rsidRPr="00202A51" w:rsidRDefault="00752C69" w:rsidP="00E177CF">
            <w:pPr>
              <w:pStyle w:val="naisf"/>
              <w:spacing w:before="0" w:after="0"/>
              <w:ind w:firstLine="720"/>
            </w:pPr>
            <w:r w:rsidRPr="00202A51">
              <w:t>Latvijas Republikas un Svētā Krēsla līguma 12.</w:t>
            </w:r>
            <w:r w:rsidR="009610BA">
              <w:t> </w:t>
            </w:r>
            <w:r w:rsidRPr="00202A51">
              <w:t>panta pirmā daļa un likuma „Par starptautiskas nozīmes svētvietu Aglonā” 7. pants.</w:t>
            </w:r>
          </w:p>
          <w:p w:rsidR="008479F8" w:rsidRPr="00202A51" w:rsidRDefault="00752C69" w:rsidP="00E177CF">
            <w:pPr>
              <w:pStyle w:val="naisf"/>
              <w:spacing w:before="0" w:after="0"/>
              <w:ind w:firstLine="720"/>
            </w:pPr>
            <w:r w:rsidRPr="00202A51">
              <w:t>Ministru kabineta 2010. gada 25. maija noteikumu Nr. 473 „Kārtība, kādā tiek noteikti valsts nozīmes pasākumi svētvietā Aglonā, kā arī nodrošināta to norise un finansēšana” (turpmāk – noteikumi Nr. 473) 9. punkts.</w:t>
            </w:r>
          </w:p>
        </w:tc>
      </w:tr>
      <w:tr w:rsidR="00202A51" w:rsidRPr="00202A51" w:rsidTr="0044449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479F8" w:rsidRPr="00202A51" w:rsidRDefault="008479F8" w:rsidP="0044449C">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479F8" w:rsidRPr="00202A51" w:rsidRDefault="008479F8">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752C69" w:rsidRPr="00603912" w:rsidRDefault="00752C69" w:rsidP="00202A51">
            <w:pPr>
              <w:pStyle w:val="naisf"/>
              <w:spacing w:before="0" w:after="0"/>
              <w:ind w:firstLine="720"/>
            </w:pPr>
            <w:r w:rsidRPr="00202A51">
              <w:t xml:space="preserve">Atbilstoši noteikumu Nr.473 4. punktam Ministru kabineta noteikto valsts nozīmes pasākumu norises koordinēšanai svētvietā Ministru kabinets izveido rīcības komiteju. Rīcības komitejas darbību materiāltehniski nodrošina Tieslietu ministrija. Rīcības komitejas sastāvā atbilstoši noteikumu Nr.473 4. punktam ir pārstāvji no Aizsardzības ministrijas, Ekonomikas ministrijas, Finanšu ministrijas, Iekšlietu ministrijas, Vides aizsardzības un reģionālās attīstības ministrijas, Satiksmes ministrijas, Tieslietu ministrijas, Veselības </w:t>
            </w:r>
            <w:r w:rsidRPr="00F060CA">
              <w:t>ministrijas, Zemkopības ministrijas, Aglonas novada domes un Romas Katoļu Baznīcas Latvijā.</w:t>
            </w:r>
          </w:p>
          <w:p w:rsidR="00752C69" w:rsidRPr="00202A51" w:rsidRDefault="00752C69" w:rsidP="00F060CA">
            <w:pPr>
              <w:pStyle w:val="naisf"/>
              <w:spacing w:before="0" w:after="0"/>
              <w:ind w:firstLine="720"/>
            </w:pPr>
            <w:r w:rsidRPr="00202A51">
              <w:t>Saskaņā ar noteikumu Nr.473 9. punktu Tieslietu ministrija līdz kārtējā gada 1. jūnijam iesniedz priekšlikumus par atsevišķu pasākumu noteikšanu par valsts nozīmes pasākumiem, finansējuma apmēru ministrijām apstiprināto valsts budžeta bāzes izdevumu ietvaros un plāna projektu apstiprināšanai Ministru kabinetā.</w:t>
            </w:r>
          </w:p>
          <w:p w:rsidR="00752C69" w:rsidRPr="00202A51" w:rsidRDefault="00752C69" w:rsidP="00603912">
            <w:pPr>
              <w:pStyle w:val="naisf"/>
              <w:spacing w:before="0" w:after="0"/>
              <w:ind w:firstLine="720"/>
            </w:pPr>
            <w:r w:rsidRPr="00202A51">
              <w:t>Atbilstoši noteikumu Nr.473 7. punktam rīcības komiteja izvērtē to svētvietā paredzēto pasākumu plānu nākamajam gadam, kuri varētu būt valsts nozīmes pasākumi, kā arī draudzes iesniegto tāmi, budžeta pieprasījuma pamatotību un priekšlikumus par pasākumiem, kurus finansē no valsts budžeta līdzekļiem, un plānu.</w:t>
            </w:r>
          </w:p>
          <w:p w:rsidR="00C44CBE" w:rsidRPr="00202A51" w:rsidRDefault="00C44CBE">
            <w:pPr>
              <w:pStyle w:val="naisf"/>
              <w:spacing w:before="0" w:after="0"/>
              <w:ind w:firstLine="720"/>
            </w:pPr>
            <w:r w:rsidRPr="00202A51">
              <w:t xml:space="preserve">Tieslietu ministrijā </w:t>
            </w:r>
            <w:r w:rsidR="008B79CE" w:rsidRPr="00202A51">
              <w:t>2014.</w:t>
            </w:r>
            <w:r w:rsidR="00FC686F" w:rsidRPr="00202A51">
              <w:t> </w:t>
            </w:r>
            <w:r w:rsidR="008B79CE" w:rsidRPr="00202A51">
              <w:t xml:space="preserve">gada </w:t>
            </w:r>
            <w:r w:rsidRPr="00202A51">
              <w:t>10. </w:t>
            </w:r>
            <w:r w:rsidR="00BC2B34" w:rsidRPr="00202A51">
              <w:t>m</w:t>
            </w:r>
            <w:r w:rsidRPr="00202A51">
              <w:t>artā</w:t>
            </w:r>
            <w:r w:rsidR="00E043B9" w:rsidRPr="00202A51">
              <w:t xml:space="preserve"> tika</w:t>
            </w:r>
            <w:r w:rsidRPr="00202A51">
              <w:t xml:space="preserve"> saņemta 2014. gada 3. marta Romas Katoļu baznīcas Rēzeknes – Aglonas diecēzes bīskapa vēstule, kurā lūgts Ministru kabinetam atzīt par valstiski nozīmīgiem ikgadējos Dievmātes Debesīs uzņemšanas svētkus Aglonā</w:t>
            </w:r>
            <w:r w:rsidR="00B720F7" w:rsidRPr="00202A51">
              <w:t xml:space="preserve"> (turpmāk – svētki)</w:t>
            </w:r>
            <w:r w:rsidRPr="00202A51">
              <w:t xml:space="preserve"> 2015. gadā, kā arī nodrošināt svētceļnieku un citu pilsoņu un ārvalstu viesu satiksmes organizēšanu, medicīnisko apkalpošanu un citus ar drošību saistītus pasākumus.</w:t>
            </w:r>
          </w:p>
          <w:p w:rsidR="0044449C" w:rsidRPr="00202A51" w:rsidRDefault="00C44CBE" w:rsidP="00E440B3">
            <w:pPr>
              <w:pStyle w:val="naisf"/>
              <w:spacing w:before="0" w:after="0"/>
              <w:ind w:firstLine="720"/>
            </w:pPr>
            <w:r w:rsidRPr="00202A51">
              <w:t>Lai nodrošinātu noteikumos Nr.473 paredzēto</w:t>
            </w:r>
            <w:r w:rsidR="00E043B9" w:rsidRPr="00202A51">
              <w:t xml:space="preserve"> un izpildītu Latvijas Republikas un Svētā Krēsla līguma </w:t>
            </w:r>
            <w:r w:rsidR="00E043B9" w:rsidRPr="00202A51">
              <w:lastRenderedPageBreak/>
              <w:t>12.</w:t>
            </w:r>
            <w:r w:rsidR="00BC2B34" w:rsidRPr="00202A51">
              <w:t> </w:t>
            </w:r>
            <w:r w:rsidR="00E043B9" w:rsidRPr="00202A51">
              <w:t xml:space="preserve">panta pirmajā daļā un likuma „Par starptautiskas nozīmes svētvietu Aglonā” 7. pantā noteikto, </w:t>
            </w:r>
            <w:r w:rsidRPr="00202A51">
              <w:t>Tieslietu ministrija 2014. gada 5. martā organizēja rīcības komitejas sēdi.</w:t>
            </w:r>
          </w:p>
          <w:p w:rsidR="000F053E" w:rsidRPr="00202A51" w:rsidRDefault="00C44CBE" w:rsidP="00861C1E">
            <w:pPr>
              <w:pStyle w:val="naisf"/>
              <w:spacing w:before="0" w:after="0"/>
              <w:ind w:firstLine="720"/>
            </w:pPr>
            <w:r w:rsidRPr="00202A51">
              <w:t xml:space="preserve">Rīcības komitejas sēdē </w:t>
            </w:r>
            <w:r w:rsidR="000F053E" w:rsidRPr="00202A51">
              <w:t>tika nolemts piešķirt finansējumu šādu pasākumu nodrošināšanai:</w:t>
            </w:r>
          </w:p>
          <w:p w:rsidR="000F053E" w:rsidRPr="00202A51" w:rsidRDefault="000F053E" w:rsidP="00E440B3">
            <w:pPr>
              <w:pStyle w:val="naisf"/>
              <w:spacing w:before="0" w:after="0"/>
              <w:ind w:firstLine="720"/>
            </w:pPr>
            <w:r w:rsidRPr="00202A51">
              <w:t>1. Iekšlietu ministrijai:</w:t>
            </w:r>
          </w:p>
          <w:p w:rsidR="000F053E" w:rsidRPr="00202A51" w:rsidRDefault="000F053E" w:rsidP="00E440B3">
            <w:pPr>
              <w:pStyle w:val="naisf"/>
              <w:spacing w:before="0" w:after="0"/>
              <w:ind w:firstLine="720"/>
            </w:pPr>
            <w:r w:rsidRPr="00202A51">
              <w:t>1</w:t>
            </w:r>
            <w:r w:rsidR="00B720F7" w:rsidRPr="00202A51">
              <w:t>.1.</w:t>
            </w:r>
            <w:r w:rsidR="00FC686F" w:rsidRPr="00202A51">
              <w:t xml:space="preserve"> </w:t>
            </w:r>
            <w:r w:rsidR="00B720F7" w:rsidRPr="00202A51">
              <w:t>ceļu satiksmes organizēšanai;</w:t>
            </w:r>
            <w:r w:rsidRPr="00202A51">
              <w:t xml:space="preserve"> personu un sabiedrības drošības garantēšanai, apsardzes veikšanai</w:t>
            </w:r>
            <w:r w:rsidR="00C106E3" w:rsidRPr="00202A51">
              <w:t xml:space="preserve">, ko nodrošinās </w:t>
            </w:r>
            <w:r w:rsidRPr="00202A51">
              <w:t>Valsts policija</w:t>
            </w:r>
            <w:r w:rsidR="00C106E3" w:rsidRPr="00202A51">
              <w:t>;</w:t>
            </w:r>
          </w:p>
          <w:p w:rsidR="000F053E" w:rsidRPr="00202A51" w:rsidRDefault="000F053E" w:rsidP="00E440B3">
            <w:pPr>
              <w:pStyle w:val="naisf"/>
              <w:spacing w:before="0" w:after="0"/>
              <w:ind w:firstLine="720"/>
            </w:pPr>
            <w:r w:rsidRPr="00202A51">
              <w:t>1.2.</w:t>
            </w:r>
            <w:r w:rsidR="00FC686F" w:rsidRPr="00202A51">
              <w:t xml:space="preserve"> </w:t>
            </w:r>
            <w:r w:rsidRPr="00202A51">
              <w:t>ugunsdrošības un glābšanas profilaktisko pasākumu veikšanai</w:t>
            </w:r>
            <w:r w:rsidR="00C106E3" w:rsidRPr="00202A51">
              <w:t>, ko nodrošinās Valsts ugunsdzēsības un glābšanas dienests;</w:t>
            </w:r>
            <w:r w:rsidRPr="00202A51">
              <w:t xml:space="preserve"> </w:t>
            </w:r>
          </w:p>
          <w:p w:rsidR="000F053E" w:rsidRPr="00202A51" w:rsidRDefault="000F053E" w:rsidP="00E440B3">
            <w:pPr>
              <w:pStyle w:val="naisf"/>
              <w:spacing w:before="0" w:after="0"/>
              <w:ind w:firstLine="720"/>
            </w:pPr>
            <w:r w:rsidRPr="00202A51">
              <w:t>2.</w:t>
            </w:r>
            <w:r w:rsidR="00FC686F" w:rsidRPr="00202A51">
              <w:t xml:space="preserve"> </w:t>
            </w:r>
            <w:r w:rsidRPr="00202A51">
              <w:t xml:space="preserve">Veselības ministrijai: </w:t>
            </w:r>
          </w:p>
          <w:p w:rsidR="0037795F" w:rsidRPr="00202A51" w:rsidRDefault="000F053E" w:rsidP="00E440B3">
            <w:pPr>
              <w:pStyle w:val="naisf"/>
              <w:spacing w:before="0" w:after="0"/>
              <w:ind w:firstLine="720"/>
            </w:pPr>
            <w:r w:rsidRPr="00202A51">
              <w:t>2.1.</w:t>
            </w:r>
            <w:r w:rsidR="00FC686F" w:rsidRPr="00202A51">
              <w:t xml:space="preserve"> </w:t>
            </w:r>
            <w:r w:rsidRPr="00202A51">
              <w:t xml:space="preserve">neatliekamās medicīniskās palīdzības nodrošināšanai un koordinēšanai, </w:t>
            </w:r>
            <w:r w:rsidR="00C106E3" w:rsidRPr="00202A51">
              <w:t>ko nodrošinās Neatliekamās medicīniskās palīdzības dienests;</w:t>
            </w:r>
          </w:p>
          <w:p w:rsidR="000F053E" w:rsidRPr="00202A51" w:rsidRDefault="000F053E" w:rsidP="00E440B3">
            <w:pPr>
              <w:pStyle w:val="naisf"/>
              <w:spacing w:before="0" w:after="0"/>
              <w:ind w:firstLine="720"/>
            </w:pPr>
            <w:r w:rsidRPr="00202A51">
              <w:t>2.2.</w:t>
            </w:r>
            <w:r w:rsidR="00FC686F" w:rsidRPr="00202A51">
              <w:t xml:space="preserve"> </w:t>
            </w:r>
            <w:r w:rsidRPr="00202A51">
              <w:t>dzeramā ūdens mikrobioloģiskajai un ķīmiskajai izmeklēšanai</w:t>
            </w:r>
            <w:r w:rsidR="00C106E3" w:rsidRPr="00202A51">
              <w:t>, ko nodrošinās Veselības inspekcija</w:t>
            </w:r>
            <w:r w:rsidR="00FC686F" w:rsidRPr="00202A51">
              <w:t>.</w:t>
            </w:r>
          </w:p>
          <w:p w:rsidR="000F053E" w:rsidRPr="00202A51" w:rsidRDefault="00C106E3" w:rsidP="00E440B3">
            <w:pPr>
              <w:pStyle w:val="naisf"/>
              <w:spacing w:before="0" w:after="0"/>
              <w:ind w:firstLine="720"/>
            </w:pPr>
            <w:r w:rsidRPr="00202A51">
              <w:t>3.</w:t>
            </w:r>
            <w:r w:rsidR="00FC686F" w:rsidRPr="00202A51">
              <w:t xml:space="preserve"> </w:t>
            </w:r>
            <w:r w:rsidRPr="00202A51">
              <w:t xml:space="preserve">Zemkopības ministrijai </w:t>
            </w:r>
            <w:r w:rsidR="000F053E" w:rsidRPr="00202A51">
              <w:t>dzeramā ūdens kārtējā monitoringa programmas paraugu izmeklēšanai pēc pasūtījuma</w:t>
            </w:r>
            <w:r w:rsidRPr="00202A51">
              <w:t>, ko nodrošinās valsts zinātniskais institūts</w:t>
            </w:r>
            <w:proofErr w:type="gramStart"/>
            <w:r w:rsidRPr="00202A51">
              <w:t xml:space="preserve">  </w:t>
            </w:r>
            <w:proofErr w:type="gramEnd"/>
            <w:r w:rsidRPr="00202A51">
              <w:t>„Pārtikas drošības, dzīvnieku veselības un vides zinātniskais institūts” Latgales reģionālajai nodaļa</w:t>
            </w:r>
            <w:r w:rsidR="00FC686F" w:rsidRPr="00202A51">
              <w:t>.</w:t>
            </w:r>
          </w:p>
          <w:p w:rsidR="000F053E" w:rsidRPr="00202A51" w:rsidRDefault="00C106E3">
            <w:pPr>
              <w:spacing w:after="0" w:line="240" w:lineRule="auto"/>
              <w:ind w:firstLine="720"/>
              <w:rPr>
                <w:rFonts w:ascii="Times New Roman" w:hAnsi="Times New Roman" w:cs="Times New Roman"/>
                <w:sz w:val="24"/>
                <w:szCs w:val="24"/>
              </w:rPr>
            </w:pPr>
            <w:r w:rsidRPr="00202A51">
              <w:rPr>
                <w:rFonts w:ascii="Times New Roman" w:hAnsi="Times New Roman" w:cs="Times New Roman"/>
                <w:sz w:val="24"/>
                <w:szCs w:val="24"/>
              </w:rPr>
              <w:t>4. Tieslietu ministrijai</w:t>
            </w:r>
            <w:r w:rsidR="000F053E" w:rsidRPr="00202A51">
              <w:rPr>
                <w:rFonts w:ascii="Times New Roman" w:hAnsi="Times New Roman" w:cs="Times New Roman"/>
                <w:sz w:val="24"/>
                <w:szCs w:val="24"/>
              </w:rPr>
              <w:t>:</w:t>
            </w:r>
          </w:p>
          <w:p w:rsidR="00C106E3" w:rsidRPr="00202A51" w:rsidRDefault="00C106E3">
            <w:pPr>
              <w:spacing w:after="0" w:line="240" w:lineRule="auto"/>
              <w:ind w:firstLine="720"/>
              <w:rPr>
                <w:rFonts w:ascii="Times New Roman" w:hAnsi="Times New Roman" w:cs="Times New Roman"/>
                <w:sz w:val="24"/>
                <w:szCs w:val="24"/>
              </w:rPr>
            </w:pPr>
            <w:r w:rsidRPr="00202A51">
              <w:rPr>
                <w:rFonts w:ascii="Times New Roman" w:hAnsi="Times New Roman" w:cs="Times New Roman"/>
                <w:sz w:val="24"/>
                <w:szCs w:val="24"/>
              </w:rPr>
              <w:t>4.1. </w:t>
            </w:r>
            <w:r w:rsidR="000F053E" w:rsidRPr="00202A51">
              <w:rPr>
                <w:rFonts w:ascii="Times New Roman" w:hAnsi="Times New Roman" w:cs="Times New Roman"/>
                <w:sz w:val="24"/>
                <w:szCs w:val="24"/>
              </w:rPr>
              <w:t>atkritumu konteineru nomai un to kompleksai apkalpošanai</w:t>
            </w:r>
            <w:r w:rsidRPr="00202A51">
              <w:rPr>
                <w:rFonts w:ascii="Times New Roman" w:hAnsi="Times New Roman" w:cs="Times New Roman"/>
                <w:sz w:val="24"/>
                <w:szCs w:val="24"/>
              </w:rPr>
              <w:t>;</w:t>
            </w:r>
            <w:r w:rsidR="000F053E" w:rsidRPr="00202A51">
              <w:rPr>
                <w:rFonts w:ascii="Times New Roman" w:hAnsi="Times New Roman" w:cs="Times New Roman"/>
                <w:sz w:val="24"/>
                <w:szCs w:val="24"/>
              </w:rPr>
              <w:t xml:space="preserve"> </w:t>
            </w:r>
          </w:p>
          <w:p w:rsidR="000F053E" w:rsidRPr="00202A51" w:rsidRDefault="000F053E">
            <w:pPr>
              <w:spacing w:after="0" w:line="240" w:lineRule="auto"/>
              <w:ind w:firstLine="720"/>
              <w:rPr>
                <w:rFonts w:ascii="Times New Roman" w:hAnsi="Times New Roman" w:cs="Times New Roman"/>
                <w:sz w:val="24"/>
                <w:szCs w:val="24"/>
              </w:rPr>
            </w:pPr>
            <w:r w:rsidRPr="00202A51">
              <w:rPr>
                <w:rFonts w:ascii="Times New Roman" w:hAnsi="Times New Roman" w:cs="Times New Roman"/>
                <w:sz w:val="24"/>
                <w:szCs w:val="24"/>
              </w:rPr>
              <w:t>4.2. pārviet</w:t>
            </w:r>
            <w:r w:rsidR="00C106E3" w:rsidRPr="00202A51">
              <w:rPr>
                <w:rFonts w:ascii="Times New Roman" w:hAnsi="Times New Roman" w:cs="Times New Roman"/>
                <w:sz w:val="24"/>
                <w:szCs w:val="24"/>
              </w:rPr>
              <w:t>ojamo sabiedrisko tualešu nomai;</w:t>
            </w:r>
          </w:p>
          <w:p w:rsidR="000F053E" w:rsidRPr="00202A51" w:rsidRDefault="000F053E" w:rsidP="00E440B3">
            <w:pPr>
              <w:pStyle w:val="naisf"/>
              <w:spacing w:before="0" w:after="0"/>
              <w:ind w:firstLine="720"/>
            </w:pPr>
            <w:r w:rsidRPr="00202A51">
              <w:t>4.3.</w:t>
            </w:r>
            <w:r w:rsidR="00B720F7" w:rsidRPr="00202A51">
              <w:t> </w:t>
            </w:r>
            <w:r w:rsidR="003C67BE" w:rsidRPr="00202A51">
              <w:t xml:space="preserve">trīs dzeramā ūdens </w:t>
            </w:r>
            <w:proofErr w:type="spellStart"/>
            <w:r w:rsidR="003C67BE" w:rsidRPr="00202A51">
              <w:t>spiedbāku</w:t>
            </w:r>
            <w:proofErr w:type="spellEnd"/>
            <w:r w:rsidR="003C67BE" w:rsidRPr="00202A51">
              <w:t xml:space="preserve"> un divu dzeramā ūdens apgādes tīklu ūdensvadu profilaktiskā attīrīšana un dezinfekcija;</w:t>
            </w:r>
          </w:p>
          <w:p w:rsidR="000F053E" w:rsidRPr="00202A51" w:rsidRDefault="000F053E">
            <w:pPr>
              <w:spacing w:after="0" w:line="240" w:lineRule="auto"/>
              <w:ind w:firstLine="720"/>
              <w:rPr>
                <w:rFonts w:ascii="Times New Roman" w:hAnsi="Times New Roman" w:cs="Times New Roman"/>
                <w:sz w:val="24"/>
                <w:szCs w:val="24"/>
              </w:rPr>
            </w:pPr>
            <w:r w:rsidRPr="00202A51">
              <w:rPr>
                <w:rFonts w:ascii="Times New Roman" w:hAnsi="Times New Roman" w:cs="Times New Roman"/>
                <w:sz w:val="24"/>
                <w:szCs w:val="24"/>
              </w:rPr>
              <w:t>4.4.</w:t>
            </w:r>
            <w:r w:rsidR="00B720F7" w:rsidRPr="00202A51">
              <w:rPr>
                <w:rFonts w:ascii="Times New Roman" w:hAnsi="Times New Roman" w:cs="Times New Roman"/>
                <w:sz w:val="24"/>
                <w:szCs w:val="24"/>
              </w:rPr>
              <w:t> </w:t>
            </w:r>
            <w:r w:rsidRPr="00202A51">
              <w:rPr>
                <w:rFonts w:ascii="Times New Roman" w:hAnsi="Times New Roman" w:cs="Times New Roman"/>
                <w:sz w:val="24"/>
                <w:szCs w:val="24"/>
              </w:rPr>
              <w:t xml:space="preserve">dzeramā ūdens </w:t>
            </w:r>
            <w:r w:rsidR="00C106E3" w:rsidRPr="00202A51">
              <w:rPr>
                <w:rFonts w:ascii="Times New Roman" w:hAnsi="Times New Roman" w:cs="Times New Roman"/>
                <w:sz w:val="24"/>
                <w:szCs w:val="24"/>
              </w:rPr>
              <w:t>apgādes sistēmas dezinficēšanai;</w:t>
            </w:r>
          </w:p>
          <w:p w:rsidR="00C106E3" w:rsidRPr="00202A51" w:rsidRDefault="000F053E" w:rsidP="00E440B3">
            <w:pPr>
              <w:pStyle w:val="naisf"/>
              <w:spacing w:before="0" w:after="0"/>
              <w:ind w:firstLine="720"/>
            </w:pPr>
            <w:r w:rsidRPr="00202A51">
              <w:t>4.5.</w:t>
            </w:r>
            <w:r w:rsidR="00B720F7" w:rsidRPr="00202A51">
              <w:t> </w:t>
            </w:r>
            <w:r w:rsidRPr="00202A51">
              <w:t>nepārtrauktas elektroapgādes gara</w:t>
            </w:r>
            <w:r w:rsidR="00C106E3" w:rsidRPr="00202A51">
              <w:t>ntēšanai pasākuma norises vietā;</w:t>
            </w:r>
          </w:p>
          <w:p w:rsidR="000F053E" w:rsidRPr="00202A51" w:rsidRDefault="000F053E" w:rsidP="00E440B3">
            <w:pPr>
              <w:pStyle w:val="naisf"/>
              <w:spacing w:before="0" w:after="0"/>
              <w:ind w:firstLine="720"/>
            </w:pPr>
            <w:r w:rsidRPr="00202A51">
              <w:t>4.6.</w:t>
            </w:r>
            <w:r w:rsidR="00B720F7" w:rsidRPr="00202A51">
              <w:t> </w:t>
            </w:r>
            <w:r w:rsidRPr="00202A51">
              <w:t xml:space="preserve">notekūdeņu pārsūknēšanas, kanalizācijas sistēmas un </w:t>
            </w:r>
            <w:proofErr w:type="spellStart"/>
            <w:r w:rsidRPr="00202A51">
              <w:t>santehnisko</w:t>
            </w:r>
            <w:proofErr w:type="spellEnd"/>
            <w:r w:rsidRPr="00202A51">
              <w:t xml:space="preserve"> ierīču nepārt</w:t>
            </w:r>
            <w:r w:rsidR="00C106E3" w:rsidRPr="00202A51">
              <w:t>rauktas darbības garantēšanai;</w:t>
            </w:r>
          </w:p>
          <w:p w:rsidR="00C106E3" w:rsidRPr="00202A51" w:rsidRDefault="000F053E">
            <w:pPr>
              <w:spacing w:after="0" w:line="240" w:lineRule="auto"/>
              <w:ind w:firstLine="720"/>
              <w:rPr>
                <w:rFonts w:ascii="Times New Roman" w:hAnsi="Times New Roman" w:cs="Times New Roman"/>
                <w:sz w:val="24"/>
                <w:szCs w:val="24"/>
              </w:rPr>
            </w:pPr>
            <w:r w:rsidRPr="00202A51">
              <w:rPr>
                <w:rFonts w:ascii="Times New Roman" w:hAnsi="Times New Roman" w:cs="Times New Roman"/>
                <w:sz w:val="24"/>
                <w:szCs w:val="24"/>
              </w:rPr>
              <w:t>4.7.</w:t>
            </w:r>
            <w:r w:rsidR="00B720F7" w:rsidRPr="00202A51">
              <w:rPr>
                <w:rFonts w:ascii="Times New Roman" w:hAnsi="Times New Roman" w:cs="Times New Roman"/>
                <w:sz w:val="24"/>
                <w:szCs w:val="24"/>
              </w:rPr>
              <w:t> </w:t>
            </w:r>
            <w:r w:rsidRPr="00202A51">
              <w:rPr>
                <w:rFonts w:ascii="Times New Roman" w:hAnsi="Times New Roman" w:cs="Times New Roman"/>
                <w:sz w:val="24"/>
                <w:szCs w:val="24"/>
              </w:rPr>
              <w:t>apskaņoš</w:t>
            </w:r>
            <w:r w:rsidR="00C106E3" w:rsidRPr="00202A51">
              <w:rPr>
                <w:rFonts w:ascii="Times New Roman" w:hAnsi="Times New Roman" w:cs="Times New Roman"/>
                <w:sz w:val="24"/>
                <w:szCs w:val="24"/>
              </w:rPr>
              <w:t>anas pakalpojumu nodrošināšanai;</w:t>
            </w:r>
          </w:p>
          <w:p w:rsidR="000F053E" w:rsidRPr="00202A51" w:rsidRDefault="000F053E" w:rsidP="00E440B3">
            <w:pPr>
              <w:pStyle w:val="naisf"/>
              <w:spacing w:before="0" w:after="0"/>
              <w:ind w:firstLine="720"/>
            </w:pPr>
            <w:r w:rsidRPr="00202A51">
              <w:t>4.8.</w:t>
            </w:r>
            <w:r w:rsidR="00B720F7" w:rsidRPr="00202A51">
              <w:t> </w:t>
            </w:r>
            <w:r w:rsidRPr="00202A51">
              <w:t>ugunsgrēku profilaktisko pasākumu nodrošināšanai</w:t>
            </w:r>
            <w:r w:rsidR="00C106E3" w:rsidRPr="00202A51">
              <w:t>;</w:t>
            </w:r>
          </w:p>
          <w:p w:rsidR="00C106E3" w:rsidRDefault="0044449C">
            <w:pPr>
              <w:spacing w:after="0" w:line="240" w:lineRule="auto"/>
              <w:ind w:firstLine="720"/>
              <w:rPr>
                <w:rFonts w:ascii="Times New Roman" w:hAnsi="Times New Roman" w:cs="Times New Roman"/>
                <w:sz w:val="24"/>
                <w:szCs w:val="24"/>
              </w:rPr>
            </w:pPr>
            <w:r w:rsidRPr="00202A51">
              <w:rPr>
                <w:rFonts w:ascii="Times New Roman" w:hAnsi="Times New Roman" w:cs="Times New Roman"/>
                <w:sz w:val="24"/>
                <w:szCs w:val="24"/>
              </w:rPr>
              <w:t>4.9.</w:t>
            </w:r>
            <w:r w:rsidR="00B720F7" w:rsidRPr="00202A51">
              <w:rPr>
                <w:rFonts w:ascii="Times New Roman" w:hAnsi="Times New Roman" w:cs="Times New Roman"/>
                <w:sz w:val="24"/>
                <w:szCs w:val="24"/>
              </w:rPr>
              <w:t> </w:t>
            </w:r>
            <w:proofErr w:type="gramStart"/>
            <w:r w:rsidRPr="00202A51">
              <w:rPr>
                <w:rFonts w:ascii="Times New Roman" w:hAnsi="Times New Roman" w:cs="Times New Roman"/>
                <w:sz w:val="24"/>
                <w:szCs w:val="24"/>
              </w:rPr>
              <w:t>video</w:t>
            </w:r>
            <w:r w:rsidR="00B720F7" w:rsidRPr="00202A51">
              <w:rPr>
                <w:rFonts w:ascii="Times New Roman" w:hAnsi="Times New Roman" w:cs="Times New Roman"/>
                <w:sz w:val="24"/>
                <w:szCs w:val="24"/>
              </w:rPr>
              <w:t xml:space="preserve"> </w:t>
            </w:r>
            <w:r w:rsidR="000F053E" w:rsidRPr="00202A51">
              <w:rPr>
                <w:rFonts w:ascii="Times New Roman" w:hAnsi="Times New Roman" w:cs="Times New Roman"/>
                <w:sz w:val="24"/>
                <w:szCs w:val="24"/>
              </w:rPr>
              <w:t>translāciju</w:t>
            </w:r>
            <w:proofErr w:type="gramEnd"/>
            <w:r w:rsidR="000F053E" w:rsidRPr="00202A51">
              <w:rPr>
                <w:rFonts w:ascii="Times New Roman" w:hAnsi="Times New Roman" w:cs="Times New Roman"/>
                <w:sz w:val="24"/>
                <w:szCs w:val="24"/>
              </w:rPr>
              <w:t xml:space="preserve"> nodrošināšanai</w:t>
            </w:r>
            <w:r w:rsidR="00C26871">
              <w:rPr>
                <w:rFonts w:ascii="Times New Roman" w:hAnsi="Times New Roman" w:cs="Times New Roman"/>
                <w:sz w:val="24"/>
                <w:szCs w:val="24"/>
              </w:rPr>
              <w:t>;</w:t>
            </w:r>
          </w:p>
          <w:p w:rsidR="00C26871" w:rsidRPr="0075495D" w:rsidRDefault="00C26871" w:rsidP="00C26871">
            <w:pPr>
              <w:spacing w:after="0" w:line="240" w:lineRule="auto"/>
              <w:ind w:firstLine="720"/>
              <w:jc w:val="both"/>
              <w:rPr>
                <w:rFonts w:ascii="Times New Roman" w:hAnsi="Times New Roman" w:cs="Times New Roman"/>
                <w:sz w:val="24"/>
                <w:szCs w:val="24"/>
              </w:rPr>
            </w:pPr>
            <w:r w:rsidRPr="0075495D">
              <w:rPr>
                <w:rFonts w:ascii="Times New Roman" w:hAnsi="Times New Roman" w:cs="Times New Roman"/>
                <w:sz w:val="24"/>
                <w:szCs w:val="24"/>
              </w:rPr>
              <w:t>4.10. Aglonas novada domei, lai</w:t>
            </w:r>
            <w:r w:rsidRPr="0075495D">
              <w:t xml:space="preserve"> </w:t>
            </w:r>
            <w:r w:rsidRPr="0075495D">
              <w:rPr>
                <w:rFonts w:ascii="Times New Roman" w:hAnsi="Times New Roman" w:cs="Times New Roman"/>
                <w:sz w:val="24"/>
                <w:szCs w:val="24"/>
              </w:rPr>
              <w:t>nodrošinātu apmeklētāju drošību un kārtību Aglonas pašvaldības objektos un teritorijā.</w:t>
            </w:r>
          </w:p>
          <w:p w:rsidR="00C106E3" w:rsidRPr="00202A51" w:rsidRDefault="000F053E" w:rsidP="00E440B3">
            <w:pPr>
              <w:pStyle w:val="naisf"/>
              <w:spacing w:before="0" w:after="0"/>
              <w:ind w:firstLine="720"/>
            </w:pPr>
            <w:r w:rsidRPr="0075495D">
              <w:t>5.</w:t>
            </w:r>
            <w:r w:rsidR="00B720F7" w:rsidRPr="0075495D">
              <w:t> </w:t>
            </w:r>
            <w:r w:rsidRPr="0075495D">
              <w:t xml:space="preserve">Aizsardzības ministrijai </w:t>
            </w:r>
            <w:r w:rsidRPr="00202A51">
              <w:t>atbalsta sniegšanai drošības un sabiedriskās kārtības nodrošināšanai svētku laikā</w:t>
            </w:r>
            <w:r w:rsidR="00C106E3" w:rsidRPr="00202A51">
              <w:t>, ko nodrošinās Zemessardze.</w:t>
            </w:r>
            <w:r w:rsidRPr="00202A51">
              <w:t xml:space="preserve"> </w:t>
            </w:r>
          </w:p>
          <w:p w:rsidR="006C51EF" w:rsidRPr="0075495D" w:rsidRDefault="006F0806" w:rsidP="006C51EF">
            <w:pPr>
              <w:pStyle w:val="naisf"/>
              <w:spacing w:before="0" w:after="0"/>
              <w:ind w:firstLine="720"/>
            </w:pPr>
            <w:r w:rsidRPr="00202A51">
              <w:t>Salīdzinot ar 2014.</w:t>
            </w:r>
            <w:r w:rsidR="00BC2B34" w:rsidRPr="00202A51">
              <w:t> </w:t>
            </w:r>
            <w:r w:rsidRPr="00202A51">
              <w:t>gadā piešķirtajiem finanšu līdzekļiem, 2015.</w:t>
            </w:r>
            <w:r w:rsidR="00BC2B34" w:rsidRPr="00202A51">
              <w:t> </w:t>
            </w:r>
            <w:r w:rsidRPr="00202A51">
              <w:t xml:space="preserve">gadā papildus ir nepieciešami 9463 </w:t>
            </w:r>
            <w:r w:rsidRPr="00202A51">
              <w:rPr>
                <w:i/>
              </w:rPr>
              <w:t>euro</w:t>
            </w:r>
            <w:r w:rsidRPr="00202A51">
              <w:t xml:space="preserve">, </w:t>
            </w:r>
            <w:r w:rsidRPr="00202A51">
              <w:lastRenderedPageBreak/>
              <w:t>t.sk</w:t>
            </w:r>
            <w:r w:rsidRPr="0075495D">
              <w:t xml:space="preserve">.: </w:t>
            </w:r>
          </w:p>
          <w:p w:rsidR="00380FE4" w:rsidRPr="0075495D" w:rsidRDefault="006C51EF" w:rsidP="00520184">
            <w:pPr>
              <w:pStyle w:val="naisf"/>
              <w:spacing w:before="0" w:after="0"/>
              <w:ind w:firstLine="720"/>
            </w:pPr>
            <w:r w:rsidRPr="0075495D">
              <w:t xml:space="preserve">1) </w:t>
            </w:r>
            <w:r w:rsidR="006F0806" w:rsidRPr="0075495D">
              <w:t xml:space="preserve">Tieslietu ministrijai </w:t>
            </w:r>
            <w:r w:rsidRPr="0075495D">
              <w:t xml:space="preserve">8424 </w:t>
            </w:r>
            <w:r w:rsidR="006F0806" w:rsidRPr="0075495D">
              <w:rPr>
                <w:i/>
              </w:rPr>
              <w:t>euro</w:t>
            </w:r>
            <w:r w:rsidR="00B1784E">
              <w:t xml:space="preserve"> </w:t>
            </w:r>
            <w:r w:rsidR="00B1784E" w:rsidRPr="00202A51">
              <w:t>–</w:t>
            </w:r>
            <w:r w:rsidR="00B1784E">
              <w:t xml:space="preserve"> </w:t>
            </w:r>
            <w:r w:rsidR="00B1784E" w:rsidRPr="0075495D">
              <w:t xml:space="preserve">6 084 </w:t>
            </w:r>
            <w:r w:rsidR="00B1784E" w:rsidRPr="0075495D">
              <w:rPr>
                <w:i/>
              </w:rPr>
              <w:t>euro</w:t>
            </w:r>
            <w:r w:rsidR="00B1784E">
              <w:rPr>
                <w:i/>
              </w:rPr>
              <w:t xml:space="preserve">, </w:t>
            </w:r>
            <w:r w:rsidR="00B042F9" w:rsidRPr="0075495D">
              <w:t>lai nodrošinātu</w:t>
            </w:r>
            <w:r w:rsidR="006F0806" w:rsidRPr="0075495D">
              <w:t xml:space="preserve"> </w:t>
            </w:r>
            <w:proofErr w:type="gramStart"/>
            <w:r w:rsidR="006F0806" w:rsidRPr="0075495D">
              <w:t>video transl</w:t>
            </w:r>
            <w:r w:rsidR="00B042F9" w:rsidRPr="0075495D">
              <w:t>āciju</w:t>
            </w:r>
            <w:proofErr w:type="gramEnd"/>
            <w:r w:rsidR="006F0806" w:rsidRPr="0075495D">
              <w:t xml:space="preserve"> </w:t>
            </w:r>
            <w:r w:rsidR="00B042F9" w:rsidRPr="0075495D">
              <w:t>(ņemot vērā līdzekļu samazinājumu citiem pasākumiem, sīkāka informācija anotācijas III sadaļā)</w:t>
            </w:r>
            <w:r w:rsidR="007679CC">
              <w:t>,</w:t>
            </w:r>
            <w:r w:rsidRPr="0075495D">
              <w:t xml:space="preserve"> un </w:t>
            </w:r>
            <w:r w:rsidR="00B1784E" w:rsidRPr="0075495D">
              <w:t xml:space="preserve">2340 </w:t>
            </w:r>
            <w:r w:rsidR="00B1784E" w:rsidRPr="0075495D">
              <w:rPr>
                <w:i/>
              </w:rPr>
              <w:t>euro</w:t>
            </w:r>
            <w:r w:rsidR="00B1784E" w:rsidRPr="0075495D">
              <w:t xml:space="preserve"> </w:t>
            </w:r>
            <w:r w:rsidRPr="0075495D">
              <w:t>Aglonas novada pašvaldībai, lai nodrošinātu svētku apmeklētāju drošību, kā arī kārtību un tīrību svētku laikā un pēc svētkiem Aglonas pašvald</w:t>
            </w:r>
            <w:r w:rsidR="00520184" w:rsidRPr="0075495D">
              <w:t xml:space="preserve">ības objektos un </w:t>
            </w:r>
            <w:r w:rsidR="00B042F9" w:rsidRPr="0075495D">
              <w:t xml:space="preserve">teritorijā. </w:t>
            </w:r>
            <w:r w:rsidRPr="0075495D">
              <w:t>Papildus finansējums Aglonas novada domei iepriekš netika pieprasīts, jo 2007.</w:t>
            </w:r>
            <w:r w:rsidR="00380FE4" w:rsidRPr="0075495D">
              <w:t> </w:t>
            </w:r>
            <w:r w:rsidRPr="0075495D">
              <w:t>gadā no reliģiskajai draudzei „Aglonas bazilikas draudze” papildus piešķirtajiem finanšu līdzekļiem tika iegādāts elektroģenerators, atkritumu konteineri, zāles pļaujmašīna, krūmgriezis un motorzā</w:t>
            </w:r>
            <w:r w:rsidR="006917D5" w:rsidRPr="0075495D">
              <w:t>ģis.</w:t>
            </w:r>
            <w:r w:rsidR="00520184" w:rsidRPr="0075495D">
              <w:t xml:space="preserve"> Iepriekšējos</w:t>
            </w:r>
            <w:r w:rsidR="006917D5" w:rsidRPr="0075495D">
              <w:t xml:space="preserve"> gados Aglonas novada dome kārtības uzturēšanai piesaistīja personas, kur</w:t>
            </w:r>
            <w:r w:rsidR="00380FE4" w:rsidRPr="0075495D">
              <w:t>as bija reģistrējušās N</w:t>
            </w:r>
            <w:r w:rsidR="006917D5" w:rsidRPr="0075495D">
              <w:t>odarbinātības valsts aģent</w:t>
            </w:r>
            <w:r w:rsidR="00380FE4" w:rsidRPr="0075495D">
              <w:t>ūrā kā bezdarbnieki un kuriem programmas „Cilvēkresursi un nodarbinātība” ietvaros tika piešķirta stipendija 100 latu apmērā</w:t>
            </w:r>
            <w:r w:rsidR="00520184" w:rsidRPr="0075495D">
              <w:t xml:space="preserve"> (sabiedrībā tā saucamie „simtlatnieki”)</w:t>
            </w:r>
            <w:r w:rsidR="00380FE4" w:rsidRPr="0075495D">
              <w:t>, kā arī šo darbinieku nodarbināšanai</w:t>
            </w:r>
            <w:r w:rsidR="00520184" w:rsidRPr="0075495D">
              <w:t xml:space="preserve"> tika</w:t>
            </w:r>
            <w:proofErr w:type="gramStart"/>
            <w:r w:rsidR="00520184" w:rsidRPr="0075495D">
              <w:t xml:space="preserve"> </w:t>
            </w:r>
            <w:r w:rsidR="00380FE4" w:rsidRPr="0075495D">
              <w:t xml:space="preserve"> </w:t>
            </w:r>
            <w:proofErr w:type="gramEnd"/>
            <w:r w:rsidR="00380FE4" w:rsidRPr="0075495D">
              <w:t>piešķirti darba rīki. 2013. un 2014.gadā Nodarbinātības valsts aģentūra vairs nepiešķīra līdzekļus nodarbinātības nodrošināšanai ar darba inventāru</w:t>
            </w:r>
            <w:r w:rsidR="00B042F9" w:rsidRPr="0075495D">
              <w:t xml:space="preserve"> un</w:t>
            </w:r>
            <w:r w:rsidR="00380FE4" w:rsidRPr="0075495D">
              <w:t xml:space="preserve"> </w:t>
            </w:r>
            <w:r w:rsidR="00B042F9" w:rsidRPr="0075495D">
              <w:t>i</w:t>
            </w:r>
            <w:r w:rsidR="00380FE4" w:rsidRPr="0075495D">
              <w:t xml:space="preserve">zdevumus, kas saistīti ar autobusu paviljona uzkopšanu un atkritumu novākšanu pašvaldības teritorijā svētku laikā, kā arī pārējos ar </w:t>
            </w:r>
            <w:r w:rsidR="00B042F9" w:rsidRPr="0075495D">
              <w:t>tīrības</w:t>
            </w:r>
            <w:r w:rsidR="00380FE4" w:rsidRPr="0075495D">
              <w:t xml:space="preserve"> uzturēšanu saistītos izdevumus pašvaldība se</w:t>
            </w:r>
            <w:r w:rsidR="00B042F9" w:rsidRPr="0075495D">
              <w:t>gs</w:t>
            </w:r>
            <w:r w:rsidR="00380FE4" w:rsidRPr="0075495D">
              <w:t xml:space="preserve"> no ietaupītajiem budžeta līdzekļiem, kas plānoti pašvaldības teritoriju uzturēšanai.  </w:t>
            </w:r>
          </w:p>
          <w:p w:rsidR="005D6200" w:rsidRDefault="006C51EF" w:rsidP="001D260F">
            <w:pPr>
              <w:pStyle w:val="naisf"/>
              <w:spacing w:before="0" w:after="0"/>
              <w:ind w:firstLine="720"/>
            </w:pPr>
            <w:r w:rsidRPr="0075495D">
              <w:t xml:space="preserve">2) </w:t>
            </w:r>
            <w:r w:rsidR="006F0806" w:rsidRPr="0075495D">
              <w:t>Aizsardzība</w:t>
            </w:r>
            <w:r w:rsidR="006F0806" w:rsidRPr="00202A51">
              <w:t>s ministrijai 1</w:t>
            </w:r>
            <w:r w:rsidR="00B042F9">
              <w:t> </w:t>
            </w:r>
            <w:r w:rsidR="006F0806" w:rsidRPr="00202A51">
              <w:t xml:space="preserve">039 </w:t>
            </w:r>
            <w:r w:rsidR="006F0806" w:rsidRPr="00202A51">
              <w:rPr>
                <w:i/>
              </w:rPr>
              <w:t>euro</w:t>
            </w:r>
            <w:r w:rsidR="006F0806" w:rsidRPr="00202A51">
              <w:t>, lai no</w:t>
            </w:r>
            <w:r w:rsidR="00380FE4">
              <w:t xml:space="preserve">drošinātu kompensācijas apmēru </w:t>
            </w:r>
            <w:r w:rsidR="006F0806" w:rsidRPr="00202A51">
              <w:t>zemessargiem atbilstoši Ministru kabineta 2010.</w:t>
            </w:r>
            <w:r w:rsidR="00FC686F" w:rsidRPr="00202A51">
              <w:t> </w:t>
            </w:r>
            <w:r w:rsidR="006F0806" w:rsidRPr="00202A51">
              <w:t>gada 5.</w:t>
            </w:r>
            <w:r w:rsidR="00FC686F" w:rsidRPr="00202A51">
              <w:t> </w:t>
            </w:r>
            <w:r w:rsidR="006F0806" w:rsidRPr="00202A51">
              <w:t>oktobra noteikumiem Nr.948 „Noteikumi par zemessargiem izmaksājamo dienesta uzdevumu izpildes un apmācību kompensāciju, Zemessardzes veterānu priekšnieka algu, kā arī zemessarga mantai nodarīto zaudējumu</w:t>
            </w:r>
            <w:r w:rsidR="004C7AB1" w:rsidRPr="00202A51">
              <w:t>”</w:t>
            </w:r>
            <w:r w:rsidR="007252F5">
              <w:t xml:space="preserve"> un Ministru kabineta </w:t>
            </w:r>
            <w:proofErr w:type="gramStart"/>
            <w:r w:rsidR="007252F5">
              <w:t>2010.gada</w:t>
            </w:r>
            <w:proofErr w:type="gramEnd"/>
            <w:r w:rsidR="007252F5">
              <w:t xml:space="preserve"> 29.jūnija noteikumiem Nr. 606 „Noteikumi par karavīra un zemessarga uzturdevas kompensācijas apmēru un izmaksāšanas kārtību”.</w:t>
            </w:r>
          </w:p>
          <w:p w:rsidR="006C51EF" w:rsidRPr="00202A51" w:rsidRDefault="00EB7DB3" w:rsidP="006C51EF">
            <w:pPr>
              <w:pStyle w:val="naisf"/>
              <w:spacing w:before="0" w:after="0"/>
              <w:ind w:firstLine="720"/>
            </w:pPr>
            <w:r>
              <w:t>Pamatojums finansējuma palielināšanai ir norādīts šīs sākotnējās ietekmes novērtējuma ziņojuma (anotācijas) III sadaļā.</w:t>
            </w:r>
          </w:p>
          <w:p w:rsidR="008479F8" w:rsidRPr="00202A51" w:rsidRDefault="00BC2B34" w:rsidP="00E440B3">
            <w:pPr>
              <w:pStyle w:val="naisf"/>
              <w:spacing w:before="0" w:after="0"/>
              <w:ind w:firstLine="720"/>
            </w:pPr>
            <w:r w:rsidRPr="00202A51">
              <w:t xml:space="preserve">Tieslietu ministrija </w:t>
            </w:r>
            <w:r w:rsidR="00FC686F" w:rsidRPr="00F060CA">
              <w:t xml:space="preserve">ir </w:t>
            </w:r>
            <w:r w:rsidRPr="00F060CA">
              <w:t>izstrādā</w:t>
            </w:r>
            <w:r w:rsidR="00FC686F" w:rsidRPr="00F060CA">
              <w:t>jusi</w:t>
            </w:r>
            <w:r w:rsidRPr="00F060CA">
              <w:t xml:space="preserve"> valsts nozīmes pasākumu nodrošināšanas un drošības plānu starptautiskas nozīmes svētvietā Aglonā 2015. gadā</w:t>
            </w:r>
            <w:r w:rsidR="00B720F7" w:rsidRPr="00603912">
              <w:t>, kas paredz pasākumu un uzdevumu kopumu, lai nodrošinātu svētku laikā sabiedrisko kārtību un ceļu satiksmes drošību, neatliekamās medicīniskās palī</w:t>
            </w:r>
            <w:r w:rsidR="00B720F7" w:rsidRPr="00202A51">
              <w:t xml:space="preserve">dzības sniegšanu nepieciešamības gadījumā, </w:t>
            </w:r>
            <w:r w:rsidR="00CC3072" w:rsidRPr="00202A51">
              <w:t>ugunsdrošību glābšanu nepieciešamības gadījumā, sabiedrības informēšanu, sabiedrības veselību un infrastruktūru un komunikāciju svētku norises laikā.</w:t>
            </w:r>
          </w:p>
        </w:tc>
      </w:tr>
      <w:tr w:rsidR="00202A51" w:rsidRPr="00202A51" w:rsidTr="0044449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479F8" w:rsidRPr="00202A51" w:rsidRDefault="008479F8" w:rsidP="0044449C">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479F8" w:rsidRPr="00202A51" w:rsidRDefault="008479F8">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791790" w:rsidRPr="00202A51" w:rsidRDefault="00CC3072" w:rsidP="00E440B3">
            <w:pPr>
              <w:pStyle w:val="naisf"/>
              <w:spacing w:before="0" w:after="0"/>
              <w:ind w:firstLine="720"/>
            </w:pPr>
            <w:r w:rsidRPr="00202A51">
              <w:t>Ministru kabineta rīkojums „Par valsts nozīmes pasākumu starptautiskas nozīmes svētvietā Aglonā un tā nodrošināšanas un drošības plānu 2015. gadam” un Valsts nozīmes pasākumu nodrošināšanas un drošības plāns starptautiskas nozīmes svētvietā Aglonā 2015. gadā</w:t>
            </w:r>
            <w:proofErr w:type="gramStart"/>
            <w:r w:rsidRPr="00202A51">
              <w:t xml:space="preserve">  </w:t>
            </w:r>
            <w:proofErr w:type="gramEnd"/>
            <w:r w:rsidR="00791790" w:rsidRPr="00202A51">
              <w:t>izstrādāts sadarbībā ar Aizsardzības ministriju, Ekonomikas ministriju, Iekšlietu ministriju, Valsts policiju, Veselības ministriju, Veselības inspekciju, Neatliekamās medicīniskās palīdzības dienestu, Vides aizsardzības un reģionālās attīstības ministriju, Aglonas novada domi, Satiksmes ministriju, Zemkopības ministriju, valsts zinātnisko institūtu „Pārtikas drošības, dzīvnieku veselības un vides zinātniskais institūts”, reliģisko organizāciju „Aglonas bazilikas draudze”.</w:t>
            </w:r>
          </w:p>
        </w:tc>
      </w:tr>
      <w:tr w:rsidR="00202A51" w:rsidRPr="00202A51" w:rsidTr="0044449C">
        <w:tc>
          <w:tcPr>
            <w:tcW w:w="250" w:type="pct"/>
            <w:tcBorders>
              <w:top w:val="outset" w:sz="6" w:space="0" w:color="414142"/>
              <w:left w:val="outset" w:sz="6" w:space="0" w:color="414142"/>
              <w:bottom w:val="outset" w:sz="6" w:space="0" w:color="414142"/>
              <w:right w:val="outset" w:sz="6" w:space="0" w:color="414142"/>
            </w:tcBorders>
            <w:hideMark/>
          </w:tcPr>
          <w:p w:rsidR="008479F8" w:rsidRPr="00202A51" w:rsidRDefault="008479F8" w:rsidP="0044449C">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479F8" w:rsidRPr="00202A51" w:rsidRDefault="008479F8" w:rsidP="0044449C">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479F8" w:rsidRPr="00202A51" w:rsidRDefault="00791790" w:rsidP="00791790">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Nav.</w:t>
            </w:r>
          </w:p>
        </w:tc>
      </w:tr>
      <w:tr w:rsidR="00603912" w:rsidRPr="00202A51" w:rsidTr="0044449C">
        <w:trPr>
          <w:trHeight w:val="128"/>
        </w:trPr>
        <w:tc>
          <w:tcPr>
            <w:tcW w:w="5000" w:type="pct"/>
            <w:gridSpan w:val="3"/>
            <w:tcBorders>
              <w:top w:val="outset" w:sz="6" w:space="0" w:color="414142"/>
              <w:left w:val="nil"/>
              <w:bottom w:val="outset" w:sz="6" w:space="0" w:color="414142"/>
              <w:right w:val="nil"/>
            </w:tcBorders>
          </w:tcPr>
          <w:p w:rsidR="008479F8" w:rsidRPr="00202A51" w:rsidRDefault="008479F8" w:rsidP="0044449C">
            <w:pPr>
              <w:tabs>
                <w:tab w:val="left" w:pos="990"/>
              </w:tabs>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ab/>
            </w:r>
          </w:p>
        </w:tc>
      </w:tr>
      <w:tr w:rsidR="00202A51" w:rsidRPr="00202A51" w:rsidTr="0044449C">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8479F8" w:rsidRPr="00202A51" w:rsidRDefault="008479F8" w:rsidP="0044449C">
            <w:pPr>
              <w:spacing w:after="0" w:line="240" w:lineRule="auto"/>
              <w:ind w:firstLine="300"/>
              <w:jc w:val="center"/>
              <w:rPr>
                <w:rFonts w:ascii="Times New Roman" w:eastAsia="Times New Roman" w:hAnsi="Times New Roman" w:cs="Times New Roman"/>
                <w:b/>
                <w:bCs/>
                <w:sz w:val="24"/>
                <w:szCs w:val="24"/>
                <w:lang w:eastAsia="lv-LV"/>
              </w:rPr>
            </w:pPr>
            <w:r w:rsidRPr="00202A5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02A51" w:rsidRPr="00202A51" w:rsidTr="00CC3072">
        <w:trPr>
          <w:trHeight w:val="254"/>
        </w:trPr>
        <w:tc>
          <w:tcPr>
            <w:tcW w:w="250" w:type="pct"/>
            <w:tcBorders>
              <w:top w:val="outset" w:sz="6" w:space="0" w:color="414142"/>
              <w:left w:val="outset" w:sz="6" w:space="0" w:color="414142"/>
              <w:bottom w:val="outset" w:sz="6" w:space="0" w:color="414142"/>
              <w:right w:val="outset" w:sz="6" w:space="0" w:color="414142"/>
            </w:tcBorders>
            <w:hideMark/>
          </w:tcPr>
          <w:p w:rsidR="008479F8" w:rsidRPr="00202A51" w:rsidRDefault="008479F8" w:rsidP="008479F8">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479F8" w:rsidRPr="00202A51" w:rsidRDefault="008479F8">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791790" w:rsidRPr="00202A51" w:rsidRDefault="00791790" w:rsidP="00CC3072">
            <w:pPr>
              <w:pStyle w:val="naisf"/>
              <w:spacing w:before="0" w:after="0"/>
              <w:ind w:firstLine="720"/>
            </w:pPr>
            <w:r w:rsidRPr="00202A51">
              <w:t>Latvijā dzīvojošie katoļu konfesijai piederīgie. Saskaņā ar reliģiskās organizācijas „Rīgas Metropolijas Romas katoļu kūrija” publiski sniegto informāciju Latvijā ir aptuveni 500 000 katoļu konfesijas piekritēju.</w:t>
            </w:r>
          </w:p>
          <w:p w:rsidR="008479F8" w:rsidRPr="00202A51" w:rsidRDefault="00791790" w:rsidP="00CC3072">
            <w:pPr>
              <w:pStyle w:val="naisf"/>
              <w:spacing w:before="0" w:after="0"/>
              <w:ind w:firstLine="720"/>
            </w:pPr>
            <w:r w:rsidRPr="00202A51">
              <w:t xml:space="preserve">Saskaņā ar presē norādīto informāciju, 2013. gadā svētkus apmeklēja ap 115 000 cilvēku. </w:t>
            </w:r>
            <w:r w:rsidR="00CC3072" w:rsidRPr="00202A51">
              <w:t>Informējam</w:t>
            </w:r>
            <w:r w:rsidRPr="00202A51">
              <w:t>, ka nav veikti pētījumi un statistikas apkopojumi par precīzu svētku apmeklētāju skaitu un konfesionālo piederību</w:t>
            </w:r>
            <w:r w:rsidR="00FC686F" w:rsidRPr="00202A51">
              <w:t>.</w:t>
            </w:r>
          </w:p>
        </w:tc>
      </w:tr>
      <w:tr w:rsidR="00202A51" w:rsidRPr="00202A51" w:rsidTr="0044449C">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8479F8" w:rsidRPr="00202A51" w:rsidRDefault="008479F8" w:rsidP="008479F8">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479F8" w:rsidRPr="00202A51" w:rsidRDefault="008479F8">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479F8" w:rsidRPr="00202A51" w:rsidRDefault="000D7170" w:rsidP="00CC3072">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Projekts šo jomu neskar.</w:t>
            </w:r>
          </w:p>
        </w:tc>
      </w:tr>
      <w:tr w:rsidR="00202A51" w:rsidRPr="00202A51" w:rsidTr="0044449C">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8479F8" w:rsidRPr="00202A51" w:rsidRDefault="008479F8" w:rsidP="008479F8">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479F8" w:rsidRPr="00202A51" w:rsidRDefault="008479F8">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479F8" w:rsidRPr="00202A51" w:rsidRDefault="000D7170" w:rsidP="008479F8">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Projekts šo jomu neskar.</w:t>
            </w:r>
          </w:p>
        </w:tc>
      </w:tr>
      <w:tr w:rsidR="008479F8" w:rsidRPr="00202A51" w:rsidTr="0044449C">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8479F8" w:rsidRPr="00202A51" w:rsidRDefault="008479F8" w:rsidP="008479F8">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479F8" w:rsidRPr="00202A51" w:rsidRDefault="008479F8" w:rsidP="008479F8">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479F8" w:rsidRPr="00202A51" w:rsidRDefault="00791790" w:rsidP="00791790">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Nav.</w:t>
            </w:r>
          </w:p>
        </w:tc>
      </w:tr>
    </w:tbl>
    <w:p w:rsidR="00752C69" w:rsidRPr="00202A51" w:rsidRDefault="00752C69" w:rsidP="008479F8">
      <w:pPr>
        <w:spacing w:after="0" w:line="240" w:lineRule="auto"/>
        <w:rPr>
          <w:rFonts w:ascii="Times New Roman" w:eastAsia="Times New Roman" w:hAnsi="Times New Roman" w:cs="Times New Roman"/>
          <w:vanish/>
          <w:sz w:val="24"/>
          <w:szCs w:val="24"/>
          <w:lang w:eastAsia="lv-LV"/>
        </w:rPr>
      </w:pPr>
    </w:p>
    <w:p w:rsidR="008479F8" w:rsidRPr="00202A51" w:rsidRDefault="008479F8" w:rsidP="008479F8">
      <w:pPr>
        <w:spacing w:after="0" w:line="240" w:lineRule="auto"/>
        <w:rPr>
          <w:rFonts w:ascii="Times New Roman" w:eastAsia="Times New Roman" w:hAnsi="Times New Roman" w:cs="Times New Roman"/>
          <w:sz w:val="24"/>
          <w:szCs w:val="24"/>
          <w:lang w:eastAsia="lv-LV"/>
        </w:rPr>
      </w:pPr>
    </w:p>
    <w:tbl>
      <w:tblPr>
        <w:tblW w:w="9202" w:type="dxa"/>
        <w:jc w:val="center"/>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1331"/>
        <w:gridCol w:w="1436"/>
        <w:gridCol w:w="1326"/>
        <w:gridCol w:w="1368"/>
        <w:gridCol w:w="1339"/>
      </w:tblGrid>
      <w:tr w:rsidR="00202A51" w:rsidRPr="00202A51" w:rsidTr="00752C69">
        <w:trPr>
          <w:trHeight w:val="652"/>
          <w:jc w:val="center"/>
        </w:trPr>
        <w:tc>
          <w:tcPr>
            <w:tcW w:w="9202" w:type="dxa"/>
            <w:gridSpan w:val="6"/>
          </w:tcPr>
          <w:p w:rsidR="008479F8" w:rsidRPr="00202A51" w:rsidRDefault="008479F8" w:rsidP="008479F8">
            <w:pPr>
              <w:pStyle w:val="naisnod"/>
              <w:spacing w:before="0" w:after="0"/>
              <w:ind w:firstLine="0"/>
              <w:jc w:val="both"/>
              <w:rPr>
                <w:i/>
              </w:rPr>
            </w:pPr>
            <w:r w:rsidRPr="00202A51">
              <w:br w:type="page"/>
              <w:t>III. Tiesību akta projekta ietekme uz valsts budžetu un pašvaldību budžetiem</w:t>
            </w:r>
          </w:p>
        </w:tc>
      </w:tr>
      <w:tr w:rsidR="00202A51" w:rsidRPr="00202A51" w:rsidTr="00752C69">
        <w:trPr>
          <w:jc w:val="center"/>
        </w:trPr>
        <w:tc>
          <w:tcPr>
            <w:tcW w:w="2402" w:type="dxa"/>
            <w:vMerge w:val="restart"/>
            <w:vAlign w:val="center"/>
          </w:tcPr>
          <w:p w:rsidR="008479F8" w:rsidRPr="00202A51" w:rsidRDefault="008479F8" w:rsidP="008479F8">
            <w:pPr>
              <w:pStyle w:val="naisf"/>
              <w:spacing w:before="0" w:after="0"/>
              <w:ind w:firstLine="0"/>
              <w:rPr>
                <w:b/>
              </w:rPr>
            </w:pPr>
            <w:r w:rsidRPr="00202A51">
              <w:rPr>
                <w:b/>
              </w:rPr>
              <w:t>Rādītāji</w:t>
            </w:r>
          </w:p>
        </w:tc>
        <w:tc>
          <w:tcPr>
            <w:tcW w:w="2767" w:type="dxa"/>
            <w:gridSpan w:val="2"/>
            <w:vMerge w:val="restart"/>
            <w:vAlign w:val="center"/>
          </w:tcPr>
          <w:p w:rsidR="008479F8" w:rsidRPr="00202A51" w:rsidRDefault="008479F8" w:rsidP="00DD73EF">
            <w:pPr>
              <w:pStyle w:val="naisf"/>
              <w:spacing w:before="0" w:after="0"/>
              <w:ind w:firstLine="0"/>
              <w:jc w:val="center"/>
              <w:rPr>
                <w:b/>
              </w:rPr>
            </w:pPr>
            <w:r w:rsidRPr="00202A51">
              <w:rPr>
                <w:b/>
              </w:rPr>
              <w:t>2014</w:t>
            </w:r>
          </w:p>
        </w:tc>
        <w:tc>
          <w:tcPr>
            <w:tcW w:w="4033" w:type="dxa"/>
            <w:gridSpan w:val="3"/>
            <w:vAlign w:val="center"/>
          </w:tcPr>
          <w:p w:rsidR="008479F8" w:rsidRPr="00202A51" w:rsidRDefault="008479F8" w:rsidP="00C160E9">
            <w:pPr>
              <w:pStyle w:val="naisf"/>
              <w:spacing w:before="0" w:after="0"/>
              <w:ind w:firstLine="0"/>
              <w:jc w:val="center"/>
              <w:rPr>
                <w:b/>
                <w:i/>
              </w:rPr>
            </w:pPr>
            <w:r w:rsidRPr="00202A51">
              <w:t>Turpmākie trīs gadi (</w:t>
            </w:r>
            <w:r w:rsidRPr="00202A51">
              <w:rPr>
                <w:i/>
              </w:rPr>
              <w:t>euro</w:t>
            </w:r>
            <w:r w:rsidRPr="00202A51">
              <w:t>)</w:t>
            </w:r>
          </w:p>
        </w:tc>
      </w:tr>
      <w:tr w:rsidR="00202A51" w:rsidRPr="00202A51" w:rsidTr="00752C69">
        <w:trPr>
          <w:jc w:val="center"/>
        </w:trPr>
        <w:tc>
          <w:tcPr>
            <w:tcW w:w="2402" w:type="dxa"/>
            <w:vMerge/>
            <w:vAlign w:val="center"/>
          </w:tcPr>
          <w:p w:rsidR="008479F8" w:rsidRPr="00202A51" w:rsidRDefault="008479F8" w:rsidP="008479F8">
            <w:pPr>
              <w:pStyle w:val="naisf"/>
              <w:spacing w:before="0" w:after="0"/>
              <w:ind w:firstLine="0"/>
              <w:rPr>
                <w:b/>
                <w:i/>
              </w:rPr>
            </w:pPr>
          </w:p>
        </w:tc>
        <w:tc>
          <w:tcPr>
            <w:tcW w:w="2767" w:type="dxa"/>
            <w:gridSpan w:val="2"/>
            <w:vMerge/>
            <w:vAlign w:val="center"/>
          </w:tcPr>
          <w:p w:rsidR="008479F8" w:rsidRPr="00202A51" w:rsidRDefault="008479F8" w:rsidP="008479F8">
            <w:pPr>
              <w:pStyle w:val="naisf"/>
              <w:spacing w:before="0" w:after="0"/>
              <w:ind w:firstLine="0"/>
              <w:rPr>
                <w:b/>
                <w:i/>
              </w:rPr>
            </w:pPr>
          </w:p>
        </w:tc>
        <w:tc>
          <w:tcPr>
            <w:tcW w:w="1326" w:type="dxa"/>
            <w:vAlign w:val="center"/>
          </w:tcPr>
          <w:p w:rsidR="008479F8" w:rsidRPr="00202A51" w:rsidRDefault="008479F8" w:rsidP="00DD73EF">
            <w:pPr>
              <w:pStyle w:val="naisf"/>
              <w:spacing w:before="0" w:after="0"/>
              <w:ind w:firstLine="0"/>
              <w:jc w:val="center"/>
              <w:rPr>
                <w:b/>
                <w:i/>
              </w:rPr>
            </w:pPr>
            <w:r w:rsidRPr="00202A51">
              <w:rPr>
                <w:b/>
                <w:bCs/>
              </w:rPr>
              <w:t>2015</w:t>
            </w:r>
          </w:p>
        </w:tc>
        <w:tc>
          <w:tcPr>
            <w:tcW w:w="1368" w:type="dxa"/>
            <w:vAlign w:val="center"/>
          </w:tcPr>
          <w:p w:rsidR="008479F8" w:rsidRPr="00202A51" w:rsidRDefault="008479F8" w:rsidP="00DD73EF">
            <w:pPr>
              <w:pStyle w:val="naisf"/>
              <w:spacing w:before="0" w:after="0"/>
              <w:ind w:firstLine="0"/>
              <w:jc w:val="center"/>
              <w:rPr>
                <w:b/>
                <w:i/>
              </w:rPr>
            </w:pPr>
            <w:r w:rsidRPr="00202A51">
              <w:rPr>
                <w:b/>
                <w:bCs/>
              </w:rPr>
              <w:t>2016</w:t>
            </w:r>
          </w:p>
        </w:tc>
        <w:tc>
          <w:tcPr>
            <w:tcW w:w="1339" w:type="dxa"/>
            <w:vAlign w:val="center"/>
          </w:tcPr>
          <w:p w:rsidR="008479F8" w:rsidRPr="00202A51" w:rsidRDefault="008479F8" w:rsidP="00DD73EF">
            <w:pPr>
              <w:pStyle w:val="naisf"/>
              <w:spacing w:before="0" w:after="0"/>
              <w:ind w:firstLine="0"/>
              <w:jc w:val="center"/>
              <w:rPr>
                <w:b/>
                <w:i/>
              </w:rPr>
            </w:pPr>
            <w:r w:rsidRPr="00202A51">
              <w:rPr>
                <w:b/>
                <w:bCs/>
              </w:rPr>
              <w:t>2017</w:t>
            </w:r>
          </w:p>
        </w:tc>
      </w:tr>
      <w:tr w:rsidR="00202A51" w:rsidRPr="00202A51" w:rsidTr="00752C69">
        <w:trPr>
          <w:jc w:val="center"/>
        </w:trPr>
        <w:tc>
          <w:tcPr>
            <w:tcW w:w="2402" w:type="dxa"/>
            <w:vMerge/>
            <w:vAlign w:val="center"/>
          </w:tcPr>
          <w:p w:rsidR="008479F8" w:rsidRPr="00202A51" w:rsidRDefault="008479F8" w:rsidP="008479F8">
            <w:pPr>
              <w:pStyle w:val="naisf"/>
              <w:spacing w:before="0" w:after="0"/>
              <w:ind w:firstLine="0"/>
              <w:rPr>
                <w:b/>
                <w:i/>
              </w:rPr>
            </w:pPr>
          </w:p>
        </w:tc>
        <w:tc>
          <w:tcPr>
            <w:tcW w:w="1331" w:type="dxa"/>
            <w:vAlign w:val="center"/>
          </w:tcPr>
          <w:p w:rsidR="008479F8" w:rsidRPr="00202A51" w:rsidRDefault="008479F8" w:rsidP="008479F8">
            <w:pPr>
              <w:pStyle w:val="naisf"/>
              <w:spacing w:before="0" w:after="0"/>
              <w:ind w:firstLine="0"/>
              <w:rPr>
                <w:b/>
                <w:i/>
              </w:rPr>
            </w:pPr>
            <w:r w:rsidRPr="00202A51">
              <w:t>Saskaņā ar valsts budžetu kārtējam gadam</w:t>
            </w:r>
          </w:p>
        </w:tc>
        <w:tc>
          <w:tcPr>
            <w:tcW w:w="1436" w:type="dxa"/>
            <w:vAlign w:val="center"/>
          </w:tcPr>
          <w:p w:rsidR="008479F8" w:rsidRPr="00202A51" w:rsidRDefault="008479F8" w:rsidP="008479F8">
            <w:pPr>
              <w:pStyle w:val="naisf"/>
              <w:spacing w:before="0" w:after="0"/>
              <w:ind w:firstLine="0"/>
              <w:rPr>
                <w:b/>
                <w:i/>
              </w:rPr>
            </w:pPr>
            <w:r w:rsidRPr="00202A51">
              <w:t>Izmaiņas kārtējā gadā, salīdzinot ar budžetu kārtējam gadam</w:t>
            </w:r>
          </w:p>
        </w:tc>
        <w:tc>
          <w:tcPr>
            <w:tcW w:w="1326" w:type="dxa"/>
            <w:vAlign w:val="center"/>
          </w:tcPr>
          <w:p w:rsidR="008479F8" w:rsidRPr="00202A51" w:rsidRDefault="008479F8" w:rsidP="008479F8">
            <w:pPr>
              <w:pStyle w:val="naisf"/>
              <w:spacing w:before="0" w:after="0"/>
              <w:ind w:firstLine="0"/>
              <w:rPr>
                <w:b/>
                <w:i/>
              </w:rPr>
            </w:pPr>
            <w:r w:rsidRPr="00202A51">
              <w:t>Izmaiņas, salīdzinot ar kārtējo (2014) gadu</w:t>
            </w:r>
          </w:p>
        </w:tc>
        <w:tc>
          <w:tcPr>
            <w:tcW w:w="1368" w:type="dxa"/>
            <w:vAlign w:val="center"/>
          </w:tcPr>
          <w:p w:rsidR="008479F8" w:rsidRPr="00202A51" w:rsidRDefault="008479F8" w:rsidP="008479F8">
            <w:pPr>
              <w:pStyle w:val="naisf"/>
              <w:spacing w:before="0" w:after="0"/>
              <w:ind w:firstLine="0"/>
              <w:rPr>
                <w:b/>
                <w:i/>
              </w:rPr>
            </w:pPr>
            <w:r w:rsidRPr="00202A51">
              <w:t>Izmaiņas, salīdzinot ar kārtējo (2014) gadu</w:t>
            </w:r>
          </w:p>
        </w:tc>
        <w:tc>
          <w:tcPr>
            <w:tcW w:w="1339" w:type="dxa"/>
            <w:vAlign w:val="center"/>
          </w:tcPr>
          <w:p w:rsidR="008479F8" w:rsidRPr="00202A51" w:rsidRDefault="008479F8" w:rsidP="008479F8">
            <w:pPr>
              <w:pStyle w:val="naisf"/>
              <w:spacing w:before="0" w:after="0"/>
              <w:ind w:firstLine="0"/>
              <w:rPr>
                <w:b/>
                <w:i/>
              </w:rPr>
            </w:pPr>
            <w:r w:rsidRPr="00202A51">
              <w:t>Izmaiņas, salīdzinot ar kārtējo (2014) gadu</w:t>
            </w:r>
          </w:p>
        </w:tc>
      </w:tr>
      <w:tr w:rsidR="00202A51" w:rsidRPr="00202A51" w:rsidTr="00752C69">
        <w:trPr>
          <w:jc w:val="center"/>
        </w:trPr>
        <w:tc>
          <w:tcPr>
            <w:tcW w:w="2402" w:type="dxa"/>
            <w:vAlign w:val="center"/>
          </w:tcPr>
          <w:p w:rsidR="008479F8" w:rsidRPr="00202A51" w:rsidRDefault="008479F8" w:rsidP="008479F8">
            <w:pPr>
              <w:pStyle w:val="naisf"/>
              <w:spacing w:before="0" w:after="0"/>
              <w:ind w:firstLine="0"/>
              <w:rPr>
                <w:bCs/>
              </w:rPr>
            </w:pPr>
            <w:r w:rsidRPr="00202A51">
              <w:rPr>
                <w:bCs/>
              </w:rPr>
              <w:t>1</w:t>
            </w:r>
          </w:p>
        </w:tc>
        <w:tc>
          <w:tcPr>
            <w:tcW w:w="1331" w:type="dxa"/>
            <w:vAlign w:val="center"/>
          </w:tcPr>
          <w:p w:rsidR="008479F8" w:rsidRPr="00202A51" w:rsidRDefault="008479F8" w:rsidP="008479F8">
            <w:pPr>
              <w:pStyle w:val="naisf"/>
              <w:spacing w:before="0" w:after="0"/>
              <w:ind w:firstLine="0"/>
              <w:rPr>
                <w:bCs/>
              </w:rPr>
            </w:pPr>
            <w:r w:rsidRPr="00202A51">
              <w:rPr>
                <w:bCs/>
              </w:rPr>
              <w:t>2</w:t>
            </w:r>
          </w:p>
        </w:tc>
        <w:tc>
          <w:tcPr>
            <w:tcW w:w="1436" w:type="dxa"/>
            <w:vAlign w:val="center"/>
          </w:tcPr>
          <w:p w:rsidR="008479F8" w:rsidRPr="00202A51" w:rsidRDefault="008479F8" w:rsidP="008479F8">
            <w:pPr>
              <w:pStyle w:val="naisf"/>
              <w:spacing w:before="0" w:after="0"/>
              <w:ind w:firstLine="0"/>
              <w:rPr>
                <w:bCs/>
              </w:rPr>
            </w:pPr>
            <w:r w:rsidRPr="00202A51">
              <w:rPr>
                <w:bCs/>
              </w:rPr>
              <w:t>3</w:t>
            </w:r>
          </w:p>
        </w:tc>
        <w:tc>
          <w:tcPr>
            <w:tcW w:w="1326" w:type="dxa"/>
            <w:vAlign w:val="center"/>
          </w:tcPr>
          <w:p w:rsidR="008479F8" w:rsidRPr="00202A51" w:rsidRDefault="008479F8" w:rsidP="008479F8">
            <w:pPr>
              <w:pStyle w:val="naisf"/>
              <w:spacing w:before="0" w:after="0"/>
              <w:ind w:firstLine="0"/>
              <w:rPr>
                <w:bCs/>
              </w:rPr>
            </w:pPr>
            <w:r w:rsidRPr="00202A51">
              <w:rPr>
                <w:bCs/>
              </w:rPr>
              <w:t>4</w:t>
            </w:r>
          </w:p>
        </w:tc>
        <w:tc>
          <w:tcPr>
            <w:tcW w:w="1368" w:type="dxa"/>
            <w:vAlign w:val="center"/>
          </w:tcPr>
          <w:p w:rsidR="008479F8" w:rsidRPr="00202A51" w:rsidRDefault="008479F8" w:rsidP="008479F8">
            <w:pPr>
              <w:pStyle w:val="naisf"/>
              <w:spacing w:before="0" w:after="0"/>
              <w:ind w:firstLine="0"/>
              <w:rPr>
                <w:bCs/>
              </w:rPr>
            </w:pPr>
            <w:r w:rsidRPr="00202A51">
              <w:rPr>
                <w:bCs/>
              </w:rPr>
              <w:t>5</w:t>
            </w:r>
          </w:p>
        </w:tc>
        <w:tc>
          <w:tcPr>
            <w:tcW w:w="1339" w:type="dxa"/>
            <w:vAlign w:val="center"/>
          </w:tcPr>
          <w:p w:rsidR="008479F8" w:rsidRPr="00202A51" w:rsidRDefault="008479F8" w:rsidP="008479F8">
            <w:pPr>
              <w:pStyle w:val="naisf"/>
              <w:spacing w:before="0" w:after="0"/>
              <w:ind w:firstLine="0"/>
              <w:rPr>
                <w:bCs/>
              </w:rPr>
            </w:pPr>
            <w:r w:rsidRPr="00202A51">
              <w:rPr>
                <w:bCs/>
              </w:rPr>
              <w:t>6</w:t>
            </w:r>
          </w:p>
        </w:tc>
      </w:tr>
      <w:tr w:rsidR="00202A51" w:rsidRPr="00202A51" w:rsidTr="00752C69">
        <w:trPr>
          <w:jc w:val="center"/>
        </w:trPr>
        <w:tc>
          <w:tcPr>
            <w:tcW w:w="2402" w:type="dxa"/>
          </w:tcPr>
          <w:p w:rsidR="008479F8" w:rsidRPr="00202A51" w:rsidRDefault="008479F8" w:rsidP="008479F8">
            <w:pPr>
              <w:pStyle w:val="naisf"/>
              <w:spacing w:before="0" w:after="0"/>
              <w:ind w:firstLine="0"/>
              <w:rPr>
                <w:i/>
              </w:rPr>
            </w:pPr>
            <w:r w:rsidRPr="00202A51">
              <w:t>1. Budžeta ieņēmumi:</w:t>
            </w:r>
          </w:p>
        </w:tc>
        <w:tc>
          <w:tcPr>
            <w:tcW w:w="1331" w:type="dxa"/>
          </w:tcPr>
          <w:p w:rsidR="008479F8" w:rsidRPr="00202A51" w:rsidRDefault="008479F8" w:rsidP="008479F8">
            <w:pPr>
              <w:pStyle w:val="naisf"/>
              <w:spacing w:before="0" w:after="0"/>
              <w:ind w:firstLine="0"/>
            </w:pPr>
            <w:r w:rsidRPr="00202A51">
              <w:t>116 462</w:t>
            </w:r>
          </w:p>
        </w:tc>
        <w:tc>
          <w:tcPr>
            <w:tcW w:w="1436" w:type="dxa"/>
          </w:tcPr>
          <w:p w:rsidR="008479F8" w:rsidRPr="00202A51" w:rsidRDefault="008479F8" w:rsidP="00A854D1">
            <w:pPr>
              <w:pStyle w:val="naisf"/>
              <w:spacing w:before="0" w:after="0"/>
              <w:ind w:firstLine="0"/>
              <w:jc w:val="center"/>
            </w:pPr>
            <w:r w:rsidRPr="00202A51">
              <w:t>0</w:t>
            </w:r>
          </w:p>
        </w:tc>
        <w:tc>
          <w:tcPr>
            <w:tcW w:w="1326" w:type="dxa"/>
          </w:tcPr>
          <w:p w:rsidR="008479F8" w:rsidRPr="00202A51" w:rsidRDefault="008479F8" w:rsidP="00A854D1">
            <w:pPr>
              <w:pStyle w:val="naisf"/>
              <w:spacing w:before="0" w:after="0"/>
              <w:ind w:firstLine="0"/>
              <w:jc w:val="center"/>
            </w:pPr>
            <w:r w:rsidRPr="00202A51">
              <w:t>0</w:t>
            </w:r>
          </w:p>
        </w:tc>
        <w:tc>
          <w:tcPr>
            <w:tcW w:w="1368" w:type="dxa"/>
          </w:tcPr>
          <w:p w:rsidR="008479F8" w:rsidRPr="00202A51" w:rsidRDefault="008479F8" w:rsidP="00A854D1">
            <w:pPr>
              <w:pStyle w:val="naisf"/>
              <w:spacing w:before="0" w:after="0"/>
              <w:ind w:firstLine="0"/>
              <w:jc w:val="center"/>
            </w:pPr>
            <w:r w:rsidRPr="00202A51">
              <w:t>0</w:t>
            </w:r>
          </w:p>
        </w:tc>
        <w:tc>
          <w:tcPr>
            <w:tcW w:w="1339" w:type="dxa"/>
          </w:tcPr>
          <w:p w:rsidR="008479F8" w:rsidRPr="00202A51" w:rsidRDefault="008479F8" w:rsidP="00A854D1">
            <w:pPr>
              <w:pStyle w:val="naisf"/>
              <w:spacing w:before="0" w:after="0"/>
              <w:ind w:firstLine="0"/>
              <w:jc w:val="center"/>
            </w:pPr>
            <w:r w:rsidRPr="00202A51">
              <w:t>0</w:t>
            </w:r>
          </w:p>
        </w:tc>
      </w:tr>
      <w:tr w:rsidR="00202A51" w:rsidRPr="00202A51" w:rsidTr="00752C69">
        <w:trPr>
          <w:jc w:val="center"/>
        </w:trPr>
        <w:tc>
          <w:tcPr>
            <w:tcW w:w="2402" w:type="dxa"/>
          </w:tcPr>
          <w:p w:rsidR="008479F8" w:rsidRPr="00202A51" w:rsidRDefault="008479F8" w:rsidP="008479F8">
            <w:pPr>
              <w:pStyle w:val="naisf"/>
              <w:spacing w:before="0" w:after="0"/>
              <w:ind w:firstLine="0"/>
              <w:rPr>
                <w:i/>
              </w:rPr>
            </w:pPr>
            <w:r w:rsidRPr="00202A51">
              <w:t xml:space="preserve">1.1. valsts </w:t>
            </w:r>
            <w:r w:rsidRPr="00202A51">
              <w:lastRenderedPageBreak/>
              <w:t>pamatbudžets, tai sk</w:t>
            </w:r>
            <w:r w:rsidR="00752C69" w:rsidRPr="00202A51">
              <w:t>aitā ieņēmumi no maksas pakalpo</w:t>
            </w:r>
            <w:r w:rsidRPr="00202A51">
              <w:t>jumiem un citi pašu ieņēmumi</w:t>
            </w:r>
          </w:p>
        </w:tc>
        <w:tc>
          <w:tcPr>
            <w:tcW w:w="1331" w:type="dxa"/>
          </w:tcPr>
          <w:p w:rsidR="008479F8" w:rsidRPr="00202A51" w:rsidRDefault="008479F8" w:rsidP="008479F8">
            <w:pPr>
              <w:pStyle w:val="naisf"/>
              <w:spacing w:before="0" w:after="0"/>
              <w:ind w:firstLine="0"/>
            </w:pPr>
            <w:r w:rsidRPr="00202A51">
              <w:lastRenderedPageBreak/>
              <w:t>116 462</w:t>
            </w:r>
          </w:p>
        </w:tc>
        <w:tc>
          <w:tcPr>
            <w:tcW w:w="1436" w:type="dxa"/>
          </w:tcPr>
          <w:p w:rsidR="008479F8" w:rsidRPr="00202A51" w:rsidRDefault="008479F8" w:rsidP="00A854D1">
            <w:pPr>
              <w:pStyle w:val="naisf"/>
              <w:spacing w:before="0" w:after="0"/>
              <w:ind w:firstLine="0"/>
              <w:jc w:val="center"/>
            </w:pPr>
            <w:r w:rsidRPr="00202A51">
              <w:t>0</w:t>
            </w:r>
          </w:p>
        </w:tc>
        <w:tc>
          <w:tcPr>
            <w:tcW w:w="1326" w:type="dxa"/>
          </w:tcPr>
          <w:p w:rsidR="008479F8" w:rsidRPr="00202A51" w:rsidRDefault="008479F8" w:rsidP="00A854D1">
            <w:pPr>
              <w:pStyle w:val="naisf"/>
              <w:spacing w:before="0" w:after="0"/>
              <w:ind w:firstLine="0"/>
              <w:jc w:val="center"/>
            </w:pPr>
            <w:r w:rsidRPr="00202A51">
              <w:t>0</w:t>
            </w:r>
          </w:p>
        </w:tc>
        <w:tc>
          <w:tcPr>
            <w:tcW w:w="1368" w:type="dxa"/>
          </w:tcPr>
          <w:p w:rsidR="008479F8" w:rsidRPr="00202A51" w:rsidRDefault="008479F8" w:rsidP="00A854D1">
            <w:pPr>
              <w:pStyle w:val="naisf"/>
              <w:spacing w:before="0" w:after="0"/>
              <w:ind w:firstLine="0"/>
              <w:jc w:val="center"/>
            </w:pPr>
            <w:r w:rsidRPr="00202A51">
              <w:t>0</w:t>
            </w:r>
          </w:p>
        </w:tc>
        <w:tc>
          <w:tcPr>
            <w:tcW w:w="1339" w:type="dxa"/>
          </w:tcPr>
          <w:p w:rsidR="008479F8" w:rsidRPr="00202A51" w:rsidRDefault="008479F8" w:rsidP="00A854D1">
            <w:pPr>
              <w:pStyle w:val="naisf"/>
              <w:spacing w:before="0" w:after="0"/>
              <w:ind w:firstLine="0"/>
              <w:jc w:val="center"/>
            </w:pPr>
            <w:r w:rsidRPr="00202A51">
              <w:t>0</w:t>
            </w:r>
          </w:p>
        </w:tc>
      </w:tr>
      <w:tr w:rsidR="00202A51" w:rsidRPr="00202A51" w:rsidTr="00752C69">
        <w:trPr>
          <w:jc w:val="center"/>
        </w:trPr>
        <w:tc>
          <w:tcPr>
            <w:tcW w:w="2402" w:type="dxa"/>
          </w:tcPr>
          <w:p w:rsidR="008479F8" w:rsidRPr="00202A51" w:rsidRDefault="008479F8" w:rsidP="008479F8">
            <w:pPr>
              <w:pStyle w:val="naisf"/>
              <w:spacing w:before="0" w:after="0"/>
              <w:ind w:firstLine="0"/>
              <w:rPr>
                <w:i/>
              </w:rPr>
            </w:pPr>
            <w:r w:rsidRPr="00202A51">
              <w:lastRenderedPageBreak/>
              <w:t>1.2. valsts speciālais budžets</w:t>
            </w:r>
          </w:p>
        </w:tc>
        <w:tc>
          <w:tcPr>
            <w:tcW w:w="1331" w:type="dxa"/>
          </w:tcPr>
          <w:p w:rsidR="008479F8" w:rsidRPr="00202A51" w:rsidRDefault="008479F8" w:rsidP="008479F8">
            <w:pPr>
              <w:pStyle w:val="naisf"/>
              <w:spacing w:before="0" w:after="0"/>
              <w:ind w:firstLine="0"/>
            </w:pPr>
          </w:p>
        </w:tc>
        <w:tc>
          <w:tcPr>
            <w:tcW w:w="1436" w:type="dxa"/>
          </w:tcPr>
          <w:p w:rsidR="008479F8" w:rsidRPr="00202A51" w:rsidRDefault="008479F8" w:rsidP="00A854D1">
            <w:pPr>
              <w:pStyle w:val="naisf"/>
              <w:spacing w:before="0" w:after="0"/>
              <w:ind w:firstLine="0"/>
              <w:jc w:val="center"/>
            </w:pPr>
          </w:p>
        </w:tc>
        <w:tc>
          <w:tcPr>
            <w:tcW w:w="1326" w:type="dxa"/>
          </w:tcPr>
          <w:p w:rsidR="008479F8" w:rsidRPr="00202A51" w:rsidRDefault="008479F8" w:rsidP="00A854D1">
            <w:pPr>
              <w:pStyle w:val="naisf"/>
              <w:spacing w:before="0" w:after="0"/>
              <w:ind w:firstLine="0"/>
              <w:jc w:val="center"/>
            </w:pPr>
          </w:p>
        </w:tc>
        <w:tc>
          <w:tcPr>
            <w:tcW w:w="1368" w:type="dxa"/>
          </w:tcPr>
          <w:p w:rsidR="008479F8" w:rsidRPr="00202A51" w:rsidRDefault="008479F8" w:rsidP="00A854D1">
            <w:pPr>
              <w:pStyle w:val="naisf"/>
              <w:spacing w:before="0" w:after="0"/>
              <w:ind w:firstLine="0"/>
              <w:jc w:val="center"/>
            </w:pPr>
          </w:p>
        </w:tc>
        <w:tc>
          <w:tcPr>
            <w:tcW w:w="1339" w:type="dxa"/>
          </w:tcPr>
          <w:p w:rsidR="008479F8" w:rsidRPr="00202A51" w:rsidRDefault="008479F8" w:rsidP="00A854D1">
            <w:pPr>
              <w:pStyle w:val="naisf"/>
              <w:spacing w:before="0" w:after="0"/>
              <w:ind w:firstLine="0"/>
              <w:jc w:val="center"/>
            </w:pPr>
          </w:p>
        </w:tc>
      </w:tr>
      <w:tr w:rsidR="00202A51" w:rsidRPr="00202A51" w:rsidTr="00752C69">
        <w:trPr>
          <w:jc w:val="center"/>
        </w:trPr>
        <w:tc>
          <w:tcPr>
            <w:tcW w:w="2402" w:type="dxa"/>
          </w:tcPr>
          <w:p w:rsidR="008479F8" w:rsidRPr="00202A51" w:rsidRDefault="008479F8" w:rsidP="008479F8">
            <w:pPr>
              <w:pStyle w:val="naisf"/>
              <w:spacing w:before="0" w:after="0"/>
              <w:ind w:firstLine="0"/>
              <w:rPr>
                <w:i/>
              </w:rPr>
            </w:pPr>
            <w:r w:rsidRPr="00202A51">
              <w:t>1.3. pašvaldību budžets</w:t>
            </w:r>
          </w:p>
        </w:tc>
        <w:tc>
          <w:tcPr>
            <w:tcW w:w="1331" w:type="dxa"/>
          </w:tcPr>
          <w:p w:rsidR="008479F8" w:rsidRPr="00202A51" w:rsidRDefault="008479F8" w:rsidP="008479F8">
            <w:pPr>
              <w:pStyle w:val="naisf"/>
              <w:spacing w:before="0" w:after="0"/>
              <w:ind w:firstLine="0"/>
            </w:pPr>
          </w:p>
        </w:tc>
        <w:tc>
          <w:tcPr>
            <w:tcW w:w="1436" w:type="dxa"/>
          </w:tcPr>
          <w:p w:rsidR="008479F8" w:rsidRPr="00202A51" w:rsidRDefault="008479F8" w:rsidP="00A854D1">
            <w:pPr>
              <w:pStyle w:val="naisf"/>
              <w:spacing w:before="0" w:after="0"/>
              <w:ind w:firstLine="0"/>
              <w:jc w:val="center"/>
            </w:pPr>
          </w:p>
        </w:tc>
        <w:tc>
          <w:tcPr>
            <w:tcW w:w="1326" w:type="dxa"/>
          </w:tcPr>
          <w:p w:rsidR="008479F8" w:rsidRPr="00202A51" w:rsidRDefault="008479F8" w:rsidP="00A854D1">
            <w:pPr>
              <w:pStyle w:val="naisf"/>
              <w:spacing w:before="0" w:after="0"/>
              <w:ind w:firstLine="0"/>
              <w:jc w:val="center"/>
            </w:pPr>
          </w:p>
        </w:tc>
        <w:tc>
          <w:tcPr>
            <w:tcW w:w="1368" w:type="dxa"/>
          </w:tcPr>
          <w:p w:rsidR="008479F8" w:rsidRPr="00202A51" w:rsidRDefault="008479F8" w:rsidP="00A854D1">
            <w:pPr>
              <w:pStyle w:val="naisf"/>
              <w:spacing w:before="0" w:after="0"/>
              <w:ind w:firstLine="0"/>
              <w:jc w:val="center"/>
            </w:pPr>
          </w:p>
        </w:tc>
        <w:tc>
          <w:tcPr>
            <w:tcW w:w="1339" w:type="dxa"/>
          </w:tcPr>
          <w:p w:rsidR="008479F8" w:rsidRPr="00202A51" w:rsidRDefault="008479F8" w:rsidP="00A854D1">
            <w:pPr>
              <w:pStyle w:val="naisf"/>
              <w:spacing w:before="0" w:after="0"/>
              <w:ind w:firstLine="0"/>
              <w:jc w:val="center"/>
            </w:pPr>
          </w:p>
        </w:tc>
      </w:tr>
      <w:tr w:rsidR="00202A51" w:rsidRPr="00202A51" w:rsidTr="00752C69">
        <w:trPr>
          <w:jc w:val="center"/>
        </w:trPr>
        <w:tc>
          <w:tcPr>
            <w:tcW w:w="2402" w:type="dxa"/>
          </w:tcPr>
          <w:p w:rsidR="008479F8" w:rsidRPr="00202A51" w:rsidRDefault="008479F8" w:rsidP="008479F8">
            <w:pPr>
              <w:spacing w:after="0" w:line="240" w:lineRule="auto"/>
              <w:rPr>
                <w:rFonts w:ascii="Times New Roman" w:hAnsi="Times New Roman" w:cs="Times New Roman"/>
                <w:sz w:val="24"/>
                <w:szCs w:val="24"/>
              </w:rPr>
            </w:pPr>
            <w:r w:rsidRPr="00202A51">
              <w:rPr>
                <w:rFonts w:ascii="Times New Roman" w:hAnsi="Times New Roman" w:cs="Times New Roman"/>
                <w:sz w:val="24"/>
                <w:szCs w:val="24"/>
              </w:rPr>
              <w:t>2. Budžeta izdevumi:</w:t>
            </w:r>
          </w:p>
        </w:tc>
        <w:tc>
          <w:tcPr>
            <w:tcW w:w="1331" w:type="dxa"/>
          </w:tcPr>
          <w:p w:rsidR="008479F8" w:rsidRPr="00202A51" w:rsidRDefault="008479F8" w:rsidP="008479F8">
            <w:pPr>
              <w:pStyle w:val="naisf"/>
              <w:spacing w:before="0" w:after="0"/>
              <w:ind w:firstLine="0"/>
            </w:pPr>
            <w:r w:rsidRPr="00202A51">
              <w:t>116 462</w:t>
            </w:r>
          </w:p>
        </w:tc>
        <w:tc>
          <w:tcPr>
            <w:tcW w:w="1436" w:type="dxa"/>
          </w:tcPr>
          <w:p w:rsidR="008479F8" w:rsidRPr="00202A51" w:rsidRDefault="008479F8" w:rsidP="00A854D1">
            <w:pPr>
              <w:pStyle w:val="naisf"/>
              <w:spacing w:before="0" w:after="0"/>
              <w:ind w:firstLine="0"/>
              <w:jc w:val="center"/>
            </w:pPr>
            <w:r w:rsidRPr="00202A51">
              <w:t>0</w:t>
            </w:r>
          </w:p>
        </w:tc>
        <w:tc>
          <w:tcPr>
            <w:tcW w:w="1326" w:type="dxa"/>
          </w:tcPr>
          <w:p w:rsidR="008479F8" w:rsidRPr="00202A51" w:rsidRDefault="008479F8" w:rsidP="00A854D1">
            <w:pPr>
              <w:pStyle w:val="naisf"/>
              <w:spacing w:before="0" w:after="0"/>
              <w:ind w:firstLine="0"/>
              <w:jc w:val="center"/>
            </w:pPr>
            <w:r w:rsidRPr="00202A51">
              <w:t>9 463</w:t>
            </w:r>
          </w:p>
        </w:tc>
        <w:tc>
          <w:tcPr>
            <w:tcW w:w="1368" w:type="dxa"/>
          </w:tcPr>
          <w:p w:rsidR="008479F8" w:rsidRPr="00202A51" w:rsidRDefault="008479F8" w:rsidP="00A854D1">
            <w:pPr>
              <w:pStyle w:val="naisf"/>
              <w:spacing w:before="0" w:after="0"/>
              <w:ind w:firstLine="0"/>
              <w:jc w:val="center"/>
            </w:pPr>
            <w:r w:rsidRPr="00202A51">
              <w:t>0</w:t>
            </w:r>
          </w:p>
        </w:tc>
        <w:tc>
          <w:tcPr>
            <w:tcW w:w="1339" w:type="dxa"/>
          </w:tcPr>
          <w:p w:rsidR="008479F8" w:rsidRPr="00202A51" w:rsidRDefault="008479F8" w:rsidP="00A854D1">
            <w:pPr>
              <w:pStyle w:val="naisf"/>
              <w:spacing w:before="0" w:after="0"/>
              <w:ind w:firstLine="0"/>
              <w:jc w:val="center"/>
            </w:pPr>
            <w:r w:rsidRPr="00202A51">
              <w:t>0</w:t>
            </w:r>
          </w:p>
        </w:tc>
      </w:tr>
      <w:tr w:rsidR="00202A51" w:rsidRPr="00202A51" w:rsidTr="00752C69">
        <w:trPr>
          <w:jc w:val="center"/>
        </w:trPr>
        <w:tc>
          <w:tcPr>
            <w:tcW w:w="2402" w:type="dxa"/>
          </w:tcPr>
          <w:p w:rsidR="008479F8" w:rsidRPr="00202A51" w:rsidRDefault="008479F8" w:rsidP="008479F8">
            <w:pPr>
              <w:spacing w:after="0" w:line="240" w:lineRule="auto"/>
              <w:rPr>
                <w:rFonts w:ascii="Times New Roman" w:hAnsi="Times New Roman" w:cs="Times New Roman"/>
                <w:sz w:val="24"/>
                <w:szCs w:val="24"/>
              </w:rPr>
            </w:pPr>
            <w:r w:rsidRPr="00202A51">
              <w:rPr>
                <w:rFonts w:ascii="Times New Roman" w:hAnsi="Times New Roman" w:cs="Times New Roman"/>
                <w:sz w:val="24"/>
                <w:szCs w:val="24"/>
              </w:rPr>
              <w:t>2.1. valsts pamatbudžets</w:t>
            </w:r>
          </w:p>
        </w:tc>
        <w:tc>
          <w:tcPr>
            <w:tcW w:w="1331" w:type="dxa"/>
          </w:tcPr>
          <w:p w:rsidR="008479F8" w:rsidRPr="00202A51" w:rsidRDefault="008479F8" w:rsidP="008479F8">
            <w:pPr>
              <w:pStyle w:val="naisf"/>
              <w:spacing w:before="0" w:after="0"/>
              <w:ind w:firstLine="0"/>
            </w:pPr>
            <w:r w:rsidRPr="00202A51">
              <w:t>116 462</w:t>
            </w:r>
          </w:p>
        </w:tc>
        <w:tc>
          <w:tcPr>
            <w:tcW w:w="1436" w:type="dxa"/>
          </w:tcPr>
          <w:p w:rsidR="008479F8" w:rsidRPr="0075495D" w:rsidRDefault="008479F8" w:rsidP="00A854D1">
            <w:pPr>
              <w:pStyle w:val="naisf"/>
              <w:spacing w:before="0" w:after="0"/>
              <w:ind w:firstLine="0"/>
              <w:jc w:val="center"/>
            </w:pPr>
            <w:r w:rsidRPr="0075495D">
              <w:t>0</w:t>
            </w:r>
          </w:p>
        </w:tc>
        <w:tc>
          <w:tcPr>
            <w:tcW w:w="1326" w:type="dxa"/>
          </w:tcPr>
          <w:p w:rsidR="008479F8" w:rsidRPr="0075495D" w:rsidRDefault="00A854D1" w:rsidP="00A854D1">
            <w:pPr>
              <w:pStyle w:val="naisf"/>
              <w:spacing w:before="0" w:after="0"/>
              <w:ind w:firstLine="0"/>
              <w:jc w:val="center"/>
            </w:pPr>
            <w:r w:rsidRPr="0075495D">
              <w:t>9 463</w:t>
            </w:r>
          </w:p>
        </w:tc>
        <w:tc>
          <w:tcPr>
            <w:tcW w:w="1368" w:type="dxa"/>
          </w:tcPr>
          <w:p w:rsidR="008479F8" w:rsidRPr="0075495D" w:rsidRDefault="008479F8" w:rsidP="00A854D1">
            <w:pPr>
              <w:pStyle w:val="naisf"/>
              <w:spacing w:before="0" w:after="0"/>
              <w:ind w:firstLine="0"/>
              <w:jc w:val="center"/>
            </w:pPr>
            <w:r w:rsidRPr="0075495D">
              <w:t>0</w:t>
            </w:r>
          </w:p>
        </w:tc>
        <w:tc>
          <w:tcPr>
            <w:tcW w:w="1339" w:type="dxa"/>
          </w:tcPr>
          <w:p w:rsidR="008479F8" w:rsidRPr="00202A51" w:rsidRDefault="008479F8" w:rsidP="00A854D1">
            <w:pPr>
              <w:pStyle w:val="naisf"/>
              <w:spacing w:before="0" w:after="0"/>
              <w:ind w:firstLine="0"/>
              <w:jc w:val="center"/>
            </w:pPr>
            <w:r w:rsidRPr="00202A51">
              <w:t>0</w:t>
            </w:r>
          </w:p>
        </w:tc>
      </w:tr>
      <w:tr w:rsidR="00202A51" w:rsidRPr="00202A51" w:rsidTr="00752C69">
        <w:trPr>
          <w:jc w:val="center"/>
        </w:trPr>
        <w:tc>
          <w:tcPr>
            <w:tcW w:w="2402" w:type="dxa"/>
          </w:tcPr>
          <w:p w:rsidR="008479F8" w:rsidRPr="00202A51" w:rsidRDefault="008479F8" w:rsidP="008479F8">
            <w:pPr>
              <w:spacing w:after="0" w:line="240" w:lineRule="auto"/>
              <w:rPr>
                <w:rFonts w:ascii="Times New Roman" w:hAnsi="Times New Roman" w:cs="Times New Roman"/>
                <w:sz w:val="24"/>
                <w:szCs w:val="24"/>
              </w:rPr>
            </w:pPr>
            <w:r w:rsidRPr="00202A51">
              <w:rPr>
                <w:rFonts w:ascii="Times New Roman" w:hAnsi="Times New Roman" w:cs="Times New Roman"/>
                <w:sz w:val="24"/>
                <w:szCs w:val="24"/>
              </w:rPr>
              <w:t>2.2. valsts speciālais budžets</w:t>
            </w:r>
          </w:p>
        </w:tc>
        <w:tc>
          <w:tcPr>
            <w:tcW w:w="1331" w:type="dxa"/>
          </w:tcPr>
          <w:p w:rsidR="008479F8" w:rsidRPr="00202A51" w:rsidRDefault="008479F8" w:rsidP="008479F8">
            <w:pPr>
              <w:pStyle w:val="naisf"/>
              <w:spacing w:before="0" w:after="0"/>
              <w:ind w:firstLine="0"/>
            </w:pPr>
          </w:p>
        </w:tc>
        <w:tc>
          <w:tcPr>
            <w:tcW w:w="1436" w:type="dxa"/>
          </w:tcPr>
          <w:p w:rsidR="008479F8" w:rsidRPr="0075495D" w:rsidRDefault="008479F8" w:rsidP="00A854D1">
            <w:pPr>
              <w:pStyle w:val="naisf"/>
              <w:spacing w:before="0" w:after="0"/>
              <w:ind w:firstLine="0"/>
              <w:jc w:val="center"/>
            </w:pPr>
          </w:p>
        </w:tc>
        <w:tc>
          <w:tcPr>
            <w:tcW w:w="1326" w:type="dxa"/>
          </w:tcPr>
          <w:p w:rsidR="008479F8" w:rsidRPr="0075495D" w:rsidRDefault="008479F8" w:rsidP="00A854D1">
            <w:pPr>
              <w:pStyle w:val="naisf"/>
              <w:spacing w:before="0" w:after="0"/>
              <w:ind w:firstLine="0"/>
              <w:jc w:val="center"/>
            </w:pPr>
          </w:p>
        </w:tc>
        <w:tc>
          <w:tcPr>
            <w:tcW w:w="1368" w:type="dxa"/>
          </w:tcPr>
          <w:p w:rsidR="008479F8" w:rsidRPr="0075495D" w:rsidRDefault="008479F8" w:rsidP="00A854D1">
            <w:pPr>
              <w:pStyle w:val="naisf"/>
              <w:spacing w:before="0" w:after="0"/>
              <w:ind w:firstLine="0"/>
              <w:jc w:val="center"/>
            </w:pPr>
          </w:p>
        </w:tc>
        <w:tc>
          <w:tcPr>
            <w:tcW w:w="1339" w:type="dxa"/>
          </w:tcPr>
          <w:p w:rsidR="008479F8" w:rsidRPr="00202A51" w:rsidRDefault="008479F8" w:rsidP="00A854D1">
            <w:pPr>
              <w:pStyle w:val="naisf"/>
              <w:spacing w:before="0" w:after="0"/>
              <w:ind w:firstLine="0"/>
              <w:jc w:val="center"/>
            </w:pPr>
          </w:p>
        </w:tc>
      </w:tr>
      <w:tr w:rsidR="00202A51" w:rsidRPr="00202A51" w:rsidTr="00752C69">
        <w:trPr>
          <w:jc w:val="center"/>
        </w:trPr>
        <w:tc>
          <w:tcPr>
            <w:tcW w:w="2402" w:type="dxa"/>
          </w:tcPr>
          <w:p w:rsidR="008479F8" w:rsidRPr="00202A51" w:rsidRDefault="008479F8" w:rsidP="008479F8">
            <w:pPr>
              <w:spacing w:after="0" w:line="240" w:lineRule="auto"/>
              <w:rPr>
                <w:rFonts w:ascii="Times New Roman" w:hAnsi="Times New Roman" w:cs="Times New Roman"/>
                <w:sz w:val="24"/>
                <w:szCs w:val="24"/>
              </w:rPr>
            </w:pPr>
            <w:r w:rsidRPr="00202A51">
              <w:rPr>
                <w:rFonts w:ascii="Times New Roman" w:hAnsi="Times New Roman" w:cs="Times New Roman"/>
                <w:sz w:val="24"/>
                <w:szCs w:val="24"/>
              </w:rPr>
              <w:t xml:space="preserve">2.3. pašvaldību budžets </w:t>
            </w:r>
          </w:p>
        </w:tc>
        <w:tc>
          <w:tcPr>
            <w:tcW w:w="1331" w:type="dxa"/>
          </w:tcPr>
          <w:p w:rsidR="008479F8" w:rsidRPr="00202A51" w:rsidRDefault="008479F8" w:rsidP="008479F8">
            <w:pPr>
              <w:pStyle w:val="naisf"/>
              <w:spacing w:before="0" w:after="0"/>
              <w:ind w:firstLine="0"/>
            </w:pPr>
          </w:p>
        </w:tc>
        <w:tc>
          <w:tcPr>
            <w:tcW w:w="1436" w:type="dxa"/>
          </w:tcPr>
          <w:p w:rsidR="008479F8" w:rsidRPr="0075495D" w:rsidRDefault="008479F8" w:rsidP="00A854D1">
            <w:pPr>
              <w:pStyle w:val="naisf"/>
              <w:spacing w:before="0" w:after="0"/>
              <w:ind w:firstLine="0"/>
              <w:jc w:val="center"/>
            </w:pPr>
          </w:p>
        </w:tc>
        <w:tc>
          <w:tcPr>
            <w:tcW w:w="1326" w:type="dxa"/>
          </w:tcPr>
          <w:p w:rsidR="008479F8" w:rsidRPr="0075495D" w:rsidRDefault="008479F8" w:rsidP="00A854D1">
            <w:pPr>
              <w:pStyle w:val="naisf"/>
              <w:spacing w:before="0" w:after="0"/>
              <w:ind w:firstLine="0"/>
              <w:jc w:val="center"/>
            </w:pPr>
          </w:p>
        </w:tc>
        <w:tc>
          <w:tcPr>
            <w:tcW w:w="1368" w:type="dxa"/>
          </w:tcPr>
          <w:p w:rsidR="008479F8" w:rsidRPr="0075495D" w:rsidRDefault="008479F8" w:rsidP="00A854D1">
            <w:pPr>
              <w:pStyle w:val="naisf"/>
              <w:spacing w:before="0" w:after="0"/>
              <w:ind w:firstLine="0"/>
              <w:jc w:val="center"/>
            </w:pPr>
          </w:p>
        </w:tc>
        <w:tc>
          <w:tcPr>
            <w:tcW w:w="1339" w:type="dxa"/>
          </w:tcPr>
          <w:p w:rsidR="008479F8" w:rsidRPr="00202A51" w:rsidRDefault="008479F8" w:rsidP="00A854D1">
            <w:pPr>
              <w:pStyle w:val="naisf"/>
              <w:spacing w:before="0" w:after="0"/>
              <w:ind w:firstLine="0"/>
              <w:jc w:val="center"/>
            </w:pPr>
          </w:p>
        </w:tc>
      </w:tr>
      <w:tr w:rsidR="00202A51" w:rsidRPr="00202A51" w:rsidTr="00752C69">
        <w:trPr>
          <w:jc w:val="center"/>
        </w:trPr>
        <w:tc>
          <w:tcPr>
            <w:tcW w:w="2402" w:type="dxa"/>
          </w:tcPr>
          <w:p w:rsidR="008479F8" w:rsidRPr="00202A51" w:rsidRDefault="008479F8" w:rsidP="008479F8">
            <w:pPr>
              <w:spacing w:after="0" w:line="240" w:lineRule="auto"/>
              <w:rPr>
                <w:rFonts w:ascii="Times New Roman" w:hAnsi="Times New Roman" w:cs="Times New Roman"/>
                <w:sz w:val="24"/>
                <w:szCs w:val="24"/>
              </w:rPr>
            </w:pPr>
            <w:r w:rsidRPr="00202A51">
              <w:rPr>
                <w:rFonts w:ascii="Times New Roman" w:hAnsi="Times New Roman" w:cs="Times New Roman"/>
                <w:sz w:val="24"/>
                <w:szCs w:val="24"/>
              </w:rPr>
              <w:t>3. Finansiālā ietekme:</w:t>
            </w:r>
          </w:p>
        </w:tc>
        <w:tc>
          <w:tcPr>
            <w:tcW w:w="1331" w:type="dxa"/>
            <w:shd w:val="clear" w:color="auto" w:fill="auto"/>
            <w:vAlign w:val="center"/>
          </w:tcPr>
          <w:p w:rsidR="008479F8" w:rsidRPr="00202A51" w:rsidRDefault="008479F8" w:rsidP="008479F8">
            <w:pPr>
              <w:pStyle w:val="naisf"/>
              <w:spacing w:before="0" w:after="0"/>
              <w:ind w:firstLine="0"/>
            </w:pPr>
            <w:r w:rsidRPr="00202A51">
              <w:t>0</w:t>
            </w:r>
          </w:p>
        </w:tc>
        <w:tc>
          <w:tcPr>
            <w:tcW w:w="1436" w:type="dxa"/>
          </w:tcPr>
          <w:p w:rsidR="008479F8" w:rsidRPr="0075495D" w:rsidRDefault="008479F8" w:rsidP="00A854D1">
            <w:pPr>
              <w:pStyle w:val="naisf"/>
              <w:spacing w:before="0" w:after="0"/>
              <w:ind w:firstLine="0"/>
              <w:jc w:val="center"/>
            </w:pPr>
            <w:r w:rsidRPr="0075495D">
              <w:t>0</w:t>
            </w:r>
          </w:p>
        </w:tc>
        <w:tc>
          <w:tcPr>
            <w:tcW w:w="1326" w:type="dxa"/>
          </w:tcPr>
          <w:p w:rsidR="008479F8" w:rsidRPr="0075495D" w:rsidRDefault="008479F8" w:rsidP="00A854D1">
            <w:pPr>
              <w:pStyle w:val="naisf"/>
              <w:spacing w:before="0" w:after="0"/>
              <w:ind w:firstLine="0"/>
              <w:jc w:val="center"/>
            </w:pPr>
            <w:r w:rsidRPr="0075495D">
              <w:t>-9 463</w:t>
            </w:r>
          </w:p>
        </w:tc>
        <w:tc>
          <w:tcPr>
            <w:tcW w:w="1368" w:type="dxa"/>
          </w:tcPr>
          <w:p w:rsidR="008479F8" w:rsidRPr="0075495D" w:rsidRDefault="008479F8" w:rsidP="00A854D1">
            <w:pPr>
              <w:pStyle w:val="naisf"/>
              <w:spacing w:before="0" w:after="0"/>
              <w:ind w:firstLine="0"/>
              <w:jc w:val="center"/>
            </w:pPr>
            <w:r w:rsidRPr="0075495D">
              <w:t>0</w:t>
            </w:r>
          </w:p>
        </w:tc>
        <w:tc>
          <w:tcPr>
            <w:tcW w:w="1339" w:type="dxa"/>
          </w:tcPr>
          <w:p w:rsidR="008479F8" w:rsidRPr="00202A51" w:rsidRDefault="008479F8" w:rsidP="00A854D1">
            <w:pPr>
              <w:pStyle w:val="naisf"/>
              <w:spacing w:before="0" w:after="0"/>
              <w:ind w:firstLine="0"/>
              <w:jc w:val="center"/>
            </w:pPr>
            <w:r w:rsidRPr="00202A51">
              <w:t>0</w:t>
            </w:r>
          </w:p>
        </w:tc>
      </w:tr>
      <w:tr w:rsidR="00202A51" w:rsidRPr="00202A51" w:rsidTr="00752C69">
        <w:trPr>
          <w:jc w:val="center"/>
        </w:trPr>
        <w:tc>
          <w:tcPr>
            <w:tcW w:w="2402" w:type="dxa"/>
          </w:tcPr>
          <w:p w:rsidR="008479F8" w:rsidRPr="00202A51" w:rsidRDefault="008479F8" w:rsidP="008479F8">
            <w:pPr>
              <w:spacing w:after="0" w:line="240" w:lineRule="auto"/>
              <w:rPr>
                <w:rFonts w:ascii="Times New Roman" w:hAnsi="Times New Roman" w:cs="Times New Roman"/>
                <w:sz w:val="24"/>
                <w:szCs w:val="24"/>
              </w:rPr>
            </w:pPr>
            <w:r w:rsidRPr="00202A51">
              <w:rPr>
                <w:rFonts w:ascii="Times New Roman" w:hAnsi="Times New Roman" w:cs="Times New Roman"/>
                <w:sz w:val="24"/>
                <w:szCs w:val="24"/>
              </w:rPr>
              <w:t>3.1. valsts pamatbudžets</w:t>
            </w:r>
          </w:p>
        </w:tc>
        <w:tc>
          <w:tcPr>
            <w:tcW w:w="1331" w:type="dxa"/>
            <w:shd w:val="clear" w:color="auto" w:fill="auto"/>
          </w:tcPr>
          <w:p w:rsidR="008479F8" w:rsidRPr="00202A51" w:rsidRDefault="00A854D1" w:rsidP="008479F8">
            <w:pPr>
              <w:pStyle w:val="naisf"/>
              <w:spacing w:before="0" w:after="0"/>
              <w:ind w:firstLine="0"/>
            </w:pPr>
            <w:r>
              <w:t>0</w:t>
            </w:r>
          </w:p>
        </w:tc>
        <w:tc>
          <w:tcPr>
            <w:tcW w:w="1436" w:type="dxa"/>
          </w:tcPr>
          <w:p w:rsidR="008479F8" w:rsidRPr="0075495D" w:rsidRDefault="00A854D1" w:rsidP="00A854D1">
            <w:pPr>
              <w:pStyle w:val="naisf"/>
              <w:spacing w:before="0" w:after="0"/>
              <w:ind w:firstLine="0"/>
              <w:jc w:val="center"/>
            </w:pPr>
            <w:r w:rsidRPr="0075495D">
              <w:t>0</w:t>
            </w:r>
          </w:p>
        </w:tc>
        <w:tc>
          <w:tcPr>
            <w:tcW w:w="1326" w:type="dxa"/>
          </w:tcPr>
          <w:p w:rsidR="008479F8" w:rsidRPr="0075495D" w:rsidRDefault="00A854D1" w:rsidP="00A854D1">
            <w:pPr>
              <w:pStyle w:val="naisf"/>
              <w:spacing w:before="0" w:after="0"/>
              <w:ind w:firstLine="0"/>
              <w:jc w:val="center"/>
            </w:pPr>
            <w:r w:rsidRPr="0075495D">
              <w:t>-9 463</w:t>
            </w:r>
          </w:p>
        </w:tc>
        <w:tc>
          <w:tcPr>
            <w:tcW w:w="1368" w:type="dxa"/>
          </w:tcPr>
          <w:p w:rsidR="008479F8" w:rsidRPr="0075495D" w:rsidRDefault="00A854D1" w:rsidP="00A854D1">
            <w:pPr>
              <w:pStyle w:val="naisf"/>
              <w:spacing w:before="0" w:after="0"/>
              <w:ind w:firstLine="0"/>
              <w:jc w:val="center"/>
            </w:pPr>
            <w:r w:rsidRPr="0075495D">
              <w:t>0</w:t>
            </w:r>
          </w:p>
        </w:tc>
        <w:tc>
          <w:tcPr>
            <w:tcW w:w="1339" w:type="dxa"/>
          </w:tcPr>
          <w:p w:rsidR="008479F8" w:rsidRPr="00202A51" w:rsidRDefault="00A854D1" w:rsidP="00A854D1">
            <w:pPr>
              <w:pStyle w:val="naisf"/>
              <w:spacing w:before="0" w:after="0"/>
              <w:ind w:firstLine="0"/>
              <w:jc w:val="center"/>
            </w:pPr>
            <w:r>
              <w:t>0</w:t>
            </w:r>
          </w:p>
        </w:tc>
      </w:tr>
      <w:tr w:rsidR="00202A51" w:rsidRPr="00202A51" w:rsidTr="00752C69">
        <w:trPr>
          <w:jc w:val="center"/>
        </w:trPr>
        <w:tc>
          <w:tcPr>
            <w:tcW w:w="2402" w:type="dxa"/>
          </w:tcPr>
          <w:p w:rsidR="008479F8" w:rsidRPr="00202A51" w:rsidRDefault="008479F8" w:rsidP="008479F8">
            <w:pPr>
              <w:spacing w:after="0" w:line="240" w:lineRule="auto"/>
              <w:rPr>
                <w:rFonts w:ascii="Times New Roman" w:hAnsi="Times New Roman" w:cs="Times New Roman"/>
                <w:sz w:val="24"/>
                <w:szCs w:val="24"/>
              </w:rPr>
            </w:pPr>
            <w:r w:rsidRPr="00202A51">
              <w:rPr>
                <w:rFonts w:ascii="Times New Roman" w:hAnsi="Times New Roman" w:cs="Times New Roman"/>
                <w:sz w:val="24"/>
                <w:szCs w:val="24"/>
              </w:rPr>
              <w:t>3.2. speciālais budžets</w:t>
            </w:r>
          </w:p>
        </w:tc>
        <w:tc>
          <w:tcPr>
            <w:tcW w:w="1331" w:type="dxa"/>
            <w:shd w:val="clear" w:color="auto" w:fill="auto"/>
          </w:tcPr>
          <w:p w:rsidR="008479F8" w:rsidRPr="00202A51" w:rsidRDefault="008479F8" w:rsidP="008479F8">
            <w:pPr>
              <w:pStyle w:val="naisf"/>
              <w:spacing w:before="0" w:after="0"/>
              <w:ind w:firstLine="0"/>
            </w:pPr>
          </w:p>
        </w:tc>
        <w:tc>
          <w:tcPr>
            <w:tcW w:w="1436" w:type="dxa"/>
          </w:tcPr>
          <w:p w:rsidR="008479F8" w:rsidRPr="00202A51" w:rsidRDefault="008479F8" w:rsidP="008479F8">
            <w:pPr>
              <w:pStyle w:val="naisf"/>
              <w:spacing w:before="0" w:after="0"/>
              <w:ind w:firstLine="0"/>
            </w:pPr>
          </w:p>
        </w:tc>
        <w:tc>
          <w:tcPr>
            <w:tcW w:w="1326" w:type="dxa"/>
          </w:tcPr>
          <w:p w:rsidR="008479F8" w:rsidRPr="00202A51" w:rsidRDefault="008479F8" w:rsidP="008479F8">
            <w:pPr>
              <w:pStyle w:val="naisf"/>
              <w:spacing w:before="0" w:after="0"/>
              <w:ind w:firstLine="0"/>
            </w:pPr>
          </w:p>
        </w:tc>
        <w:tc>
          <w:tcPr>
            <w:tcW w:w="1368" w:type="dxa"/>
          </w:tcPr>
          <w:p w:rsidR="008479F8" w:rsidRPr="00202A51" w:rsidRDefault="008479F8" w:rsidP="008479F8">
            <w:pPr>
              <w:pStyle w:val="naisf"/>
              <w:spacing w:before="0" w:after="0"/>
              <w:ind w:firstLine="0"/>
            </w:pPr>
          </w:p>
        </w:tc>
        <w:tc>
          <w:tcPr>
            <w:tcW w:w="1339" w:type="dxa"/>
          </w:tcPr>
          <w:p w:rsidR="008479F8" w:rsidRPr="00202A51" w:rsidRDefault="008479F8" w:rsidP="008479F8">
            <w:pPr>
              <w:pStyle w:val="naisf"/>
              <w:spacing w:before="0" w:after="0"/>
              <w:ind w:firstLine="0"/>
            </w:pPr>
          </w:p>
        </w:tc>
      </w:tr>
      <w:tr w:rsidR="00202A51" w:rsidRPr="00202A51" w:rsidTr="00752C69">
        <w:trPr>
          <w:jc w:val="center"/>
        </w:trPr>
        <w:tc>
          <w:tcPr>
            <w:tcW w:w="2402" w:type="dxa"/>
          </w:tcPr>
          <w:p w:rsidR="008479F8" w:rsidRPr="00202A51" w:rsidRDefault="008479F8" w:rsidP="008479F8">
            <w:pPr>
              <w:spacing w:after="0" w:line="240" w:lineRule="auto"/>
              <w:rPr>
                <w:rFonts w:ascii="Times New Roman" w:hAnsi="Times New Roman" w:cs="Times New Roman"/>
                <w:sz w:val="24"/>
                <w:szCs w:val="24"/>
              </w:rPr>
            </w:pPr>
            <w:r w:rsidRPr="00202A51">
              <w:rPr>
                <w:rFonts w:ascii="Times New Roman" w:hAnsi="Times New Roman" w:cs="Times New Roman"/>
                <w:sz w:val="24"/>
                <w:szCs w:val="24"/>
              </w:rPr>
              <w:t xml:space="preserve">3.3. pašvaldību budžets </w:t>
            </w:r>
          </w:p>
        </w:tc>
        <w:tc>
          <w:tcPr>
            <w:tcW w:w="1331" w:type="dxa"/>
            <w:shd w:val="clear" w:color="auto" w:fill="auto"/>
          </w:tcPr>
          <w:p w:rsidR="008479F8" w:rsidRPr="00202A51" w:rsidRDefault="008479F8" w:rsidP="008479F8">
            <w:pPr>
              <w:pStyle w:val="naisf"/>
              <w:spacing w:before="0" w:after="0"/>
              <w:ind w:firstLine="0"/>
            </w:pPr>
          </w:p>
        </w:tc>
        <w:tc>
          <w:tcPr>
            <w:tcW w:w="1436" w:type="dxa"/>
          </w:tcPr>
          <w:p w:rsidR="008479F8" w:rsidRPr="00202A51" w:rsidRDefault="008479F8" w:rsidP="008479F8">
            <w:pPr>
              <w:pStyle w:val="naisf"/>
              <w:spacing w:before="0" w:after="0"/>
              <w:ind w:firstLine="0"/>
            </w:pPr>
          </w:p>
        </w:tc>
        <w:tc>
          <w:tcPr>
            <w:tcW w:w="1326" w:type="dxa"/>
          </w:tcPr>
          <w:p w:rsidR="008479F8" w:rsidRPr="00202A51" w:rsidRDefault="008479F8" w:rsidP="008479F8">
            <w:pPr>
              <w:pStyle w:val="naisf"/>
              <w:spacing w:before="0" w:after="0"/>
              <w:ind w:firstLine="0"/>
            </w:pPr>
          </w:p>
        </w:tc>
        <w:tc>
          <w:tcPr>
            <w:tcW w:w="1368" w:type="dxa"/>
          </w:tcPr>
          <w:p w:rsidR="008479F8" w:rsidRPr="00202A51" w:rsidRDefault="008479F8" w:rsidP="008479F8">
            <w:pPr>
              <w:pStyle w:val="naisf"/>
              <w:spacing w:before="0" w:after="0"/>
              <w:ind w:firstLine="0"/>
            </w:pPr>
          </w:p>
        </w:tc>
        <w:tc>
          <w:tcPr>
            <w:tcW w:w="1339" w:type="dxa"/>
          </w:tcPr>
          <w:p w:rsidR="008479F8" w:rsidRPr="00202A51" w:rsidRDefault="008479F8" w:rsidP="008479F8">
            <w:pPr>
              <w:pStyle w:val="naisf"/>
              <w:spacing w:before="0" w:after="0"/>
              <w:ind w:firstLine="0"/>
            </w:pPr>
          </w:p>
        </w:tc>
      </w:tr>
      <w:tr w:rsidR="00202A51" w:rsidRPr="00202A51" w:rsidTr="00752C69">
        <w:trPr>
          <w:jc w:val="center"/>
        </w:trPr>
        <w:tc>
          <w:tcPr>
            <w:tcW w:w="2402" w:type="dxa"/>
            <w:vMerge w:val="restart"/>
          </w:tcPr>
          <w:p w:rsidR="008479F8" w:rsidRPr="00202A51" w:rsidRDefault="008479F8" w:rsidP="008479F8">
            <w:pPr>
              <w:spacing w:after="0" w:line="240" w:lineRule="auto"/>
              <w:rPr>
                <w:rFonts w:ascii="Times New Roman" w:hAnsi="Times New Roman" w:cs="Times New Roman"/>
                <w:sz w:val="24"/>
                <w:szCs w:val="24"/>
              </w:rPr>
            </w:pPr>
            <w:r w:rsidRPr="00202A51">
              <w:rPr>
                <w:rFonts w:ascii="Times New Roman" w:hAnsi="Times New Roman" w:cs="Times New Roman"/>
                <w:sz w:val="24"/>
                <w:szCs w:val="24"/>
              </w:rPr>
              <w:t>4</w:t>
            </w:r>
            <w:r w:rsidR="00752C69" w:rsidRPr="00202A51">
              <w:rPr>
                <w:rFonts w:ascii="Times New Roman" w:hAnsi="Times New Roman" w:cs="Times New Roman"/>
                <w:sz w:val="24"/>
                <w:szCs w:val="24"/>
              </w:rPr>
              <w:t>. Finanšu līdzekļi papildu izde</w:t>
            </w:r>
            <w:r w:rsidRPr="00202A51">
              <w:rPr>
                <w:rFonts w:ascii="Times New Roman" w:hAnsi="Times New Roman" w:cs="Times New Roman"/>
                <w:sz w:val="24"/>
                <w:szCs w:val="24"/>
              </w:rPr>
              <w:t>vumu finansēšanai (kompensējošu izdevumu samazinājumu norāda ar "+" zīmi)</w:t>
            </w:r>
          </w:p>
        </w:tc>
        <w:tc>
          <w:tcPr>
            <w:tcW w:w="1331" w:type="dxa"/>
            <w:vMerge w:val="restart"/>
          </w:tcPr>
          <w:p w:rsidR="008479F8" w:rsidRPr="00202A51" w:rsidRDefault="008479F8" w:rsidP="00A854D1">
            <w:pPr>
              <w:pStyle w:val="naisf"/>
              <w:spacing w:before="0" w:after="0"/>
              <w:ind w:firstLine="0"/>
              <w:jc w:val="center"/>
            </w:pPr>
            <w:r w:rsidRPr="00202A51">
              <w:t>X</w:t>
            </w:r>
          </w:p>
        </w:tc>
        <w:tc>
          <w:tcPr>
            <w:tcW w:w="1436" w:type="dxa"/>
          </w:tcPr>
          <w:p w:rsidR="008479F8" w:rsidRPr="00202A51" w:rsidRDefault="008479F8" w:rsidP="00A854D1">
            <w:pPr>
              <w:pStyle w:val="naisf"/>
              <w:spacing w:before="0" w:after="0"/>
              <w:ind w:firstLine="0"/>
              <w:jc w:val="center"/>
            </w:pPr>
            <w:r w:rsidRPr="00202A51">
              <w:t>0</w:t>
            </w:r>
          </w:p>
        </w:tc>
        <w:tc>
          <w:tcPr>
            <w:tcW w:w="1326" w:type="dxa"/>
          </w:tcPr>
          <w:p w:rsidR="008479F8" w:rsidRPr="00202A51" w:rsidRDefault="008479F8" w:rsidP="00A854D1">
            <w:pPr>
              <w:pStyle w:val="naisf"/>
              <w:spacing w:before="0" w:after="0"/>
              <w:ind w:firstLine="0"/>
              <w:jc w:val="center"/>
            </w:pPr>
            <w:r w:rsidRPr="00202A51">
              <w:t>0</w:t>
            </w:r>
          </w:p>
        </w:tc>
        <w:tc>
          <w:tcPr>
            <w:tcW w:w="1368" w:type="dxa"/>
          </w:tcPr>
          <w:p w:rsidR="008479F8" w:rsidRPr="00202A51" w:rsidRDefault="008479F8" w:rsidP="00A854D1">
            <w:pPr>
              <w:pStyle w:val="naisf"/>
              <w:spacing w:before="0" w:after="0"/>
              <w:ind w:firstLine="0"/>
              <w:jc w:val="center"/>
            </w:pPr>
            <w:r w:rsidRPr="00202A51">
              <w:t>0</w:t>
            </w:r>
          </w:p>
        </w:tc>
        <w:tc>
          <w:tcPr>
            <w:tcW w:w="1339" w:type="dxa"/>
          </w:tcPr>
          <w:p w:rsidR="008479F8" w:rsidRPr="00202A51" w:rsidRDefault="008479F8" w:rsidP="00A854D1">
            <w:pPr>
              <w:pStyle w:val="naisf"/>
              <w:spacing w:before="0" w:after="0"/>
              <w:ind w:firstLine="0"/>
              <w:jc w:val="center"/>
            </w:pPr>
            <w:r w:rsidRPr="00202A51">
              <w:t>0</w:t>
            </w:r>
          </w:p>
        </w:tc>
      </w:tr>
      <w:tr w:rsidR="00202A51" w:rsidRPr="00202A51" w:rsidTr="00752C69">
        <w:trPr>
          <w:jc w:val="center"/>
        </w:trPr>
        <w:tc>
          <w:tcPr>
            <w:tcW w:w="2402" w:type="dxa"/>
            <w:vMerge/>
          </w:tcPr>
          <w:p w:rsidR="008479F8" w:rsidRPr="00202A51" w:rsidRDefault="008479F8" w:rsidP="008479F8">
            <w:pPr>
              <w:spacing w:after="0" w:line="240" w:lineRule="auto"/>
              <w:rPr>
                <w:rFonts w:ascii="Times New Roman" w:hAnsi="Times New Roman" w:cs="Times New Roman"/>
                <w:sz w:val="24"/>
                <w:szCs w:val="24"/>
              </w:rPr>
            </w:pPr>
          </w:p>
        </w:tc>
        <w:tc>
          <w:tcPr>
            <w:tcW w:w="1331" w:type="dxa"/>
            <w:vMerge/>
          </w:tcPr>
          <w:p w:rsidR="008479F8" w:rsidRPr="00202A51" w:rsidRDefault="008479F8" w:rsidP="008479F8">
            <w:pPr>
              <w:pStyle w:val="naisf"/>
              <w:spacing w:before="0" w:after="0"/>
              <w:ind w:firstLine="0"/>
            </w:pPr>
          </w:p>
        </w:tc>
        <w:tc>
          <w:tcPr>
            <w:tcW w:w="1436" w:type="dxa"/>
          </w:tcPr>
          <w:p w:rsidR="008479F8" w:rsidRPr="00202A51" w:rsidRDefault="008479F8" w:rsidP="008479F8">
            <w:pPr>
              <w:pStyle w:val="naisf"/>
              <w:spacing w:before="0" w:after="0"/>
              <w:ind w:firstLine="0"/>
            </w:pPr>
          </w:p>
        </w:tc>
        <w:tc>
          <w:tcPr>
            <w:tcW w:w="1326" w:type="dxa"/>
          </w:tcPr>
          <w:p w:rsidR="008479F8" w:rsidRPr="00202A51" w:rsidRDefault="008479F8" w:rsidP="008479F8">
            <w:pPr>
              <w:pStyle w:val="naisf"/>
              <w:spacing w:before="0" w:after="0"/>
              <w:ind w:firstLine="0"/>
            </w:pPr>
          </w:p>
        </w:tc>
        <w:tc>
          <w:tcPr>
            <w:tcW w:w="1368" w:type="dxa"/>
          </w:tcPr>
          <w:p w:rsidR="008479F8" w:rsidRPr="00202A51" w:rsidRDefault="008479F8" w:rsidP="008479F8">
            <w:pPr>
              <w:pStyle w:val="naisf"/>
              <w:spacing w:before="0" w:after="0"/>
              <w:ind w:firstLine="0"/>
            </w:pPr>
          </w:p>
        </w:tc>
        <w:tc>
          <w:tcPr>
            <w:tcW w:w="1339" w:type="dxa"/>
          </w:tcPr>
          <w:p w:rsidR="008479F8" w:rsidRPr="00202A51" w:rsidRDefault="008479F8" w:rsidP="008479F8">
            <w:pPr>
              <w:pStyle w:val="naisf"/>
              <w:spacing w:before="0" w:after="0"/>
              <w:ind w:firstLine="0"/>
            </w:pPr>
          </w:p>
        </w:tc>
      </w:tr>
      <w:tr w:rsidR="00202A51" w:rsidRPr="00202A51" w:rsidTr="00752C69">
        <w:trPr>
          <w:jc w:val="center"/>
        </w:trPr>
        <w:tc>
          <w:tcPr>
            <w:tcW w:w="2402" w:type="dxa"/>
            <w:vMerge/>
          </w:tcPr>
          <w:p w:rsidR="008479F8" w:rsidRPr="00202A51" w:rsidRDefault="008479F8" w:rsidP="008479F8">
            <w:pPr>
              <w:spacing w:after="0" w:line="240" w:lineRule="auto"/>
              <w:rPr>
                <w:rFonts w:ascii="Times New Roman" w:hAnsi="Times New Roman" w:cs="Times New Roman"/>
                <w:sz w:val="24"/>
                <w:szCs w:val="24"/>
              </w:rPr>
            </w:pPr>
          </w:p>
        </w:tc>
        <w:tc>
          <w:tcPr>
            <w:tcW w:w="1331" w:type="dxa"/>
            <w:vMerge/>
          </w:tcPr>
          <w:p w:rsidR="008479F8" w:rsidRPr="00202A51" w:rsidRDefault="008479F8" w:rsidP="008479F8">
            <w:pPr>
              <w:pStyle w:val="naisf"/>
              <w:spacing w:before="0" w:after="0"/>
              <w:ind w:firstLine="0"/>
            </w:pPr>
          </w:p>
        </w:tc>
        <w:tc>
          <w:tcPr>
            <w:tcW w:w="1436" w:type="dxa"/>
          </w:tcPr>
          <w:p w:rsidR="008479F8" w:rsidRPr="00202A51" w:rsidRDefault="008479F8" w:rsidP="00A854D1">
            <w:pPr>
              <w:pStyle w:val="naisf"/>
              <w:spacing w:before="0" w:after="0"/>
              <w:ind w:firstLine="0"/>
              <w:jc w:val="center"/>
            </w:pPr>
          </w:p>
        </w:tc>
        <w:tc>
          <w:tcPr>
            <w:tcW w:w="1326" w:type="dxa"/>
          </w:tcPr>
          <w:p w:rsidR="008479F8" w:rsidRPr="00202A51" w:rsidRDefault="008479F8" w:rsidP="00A854D1">
            <w:pPr>
              <w:pStyle w:val="naisf"/>
              <w:spacing w:before="0" w:after="0"/>
              <w:ind w:firstLine="0"/>
              <w:jc w:val="center"/>
            </w:pPr>
          </w:p>
        </w:tc>
        <w:tc>
          <w:tcPr>
            <w:tcW w:w="1368" w:type="dxa"/>
          </w:tcPr>
          <w:p w:rsidR="008479F8" w:rsidRPr="00202A51" w:rsidRDefault="008479F8" w:rsidP="00A854D1">
            <w:pPr>
              <w:pStyle w:val="naisf"/>
              <w:spacing w:before="0" w:after="0"/>
              <w:ind w:firstLine="0"/>
              <w:jc w:val="center"/>
            </w:pPr>
          </w:p>
        </w:tc>
        <w:tc>
          <w:tcPr>
            <w:tcW w:w="1339" w:type="dxa"/>
          </w:tcPr>
          <w:p w:rsidR="008479F8" w:rsidRPr="00202A51" w:rsidRDefault="008479F8" w:rsidP="00A854D1">
            <w:pPr>
              <w:pStyle w:val="naisf"/>
              <w:spacing w:before="0" w:after="0"/>
              <w:ind w:firstLine="0"/>
              <w:jc w:val="center"/>
            </w:pPr>
          </w:p>
        </w:tc>
      </w:tr>
      <w:tr w:rsidR="00202A51" w:rsidRPr="00202A51" w:rsidTr="00752C69">
        <w:trPr>
          <w:jc w:val="center"/>
        </w:trPr>
        <w:tc>
          <w:tcPr>
            <w:tcW w:w="2402" w:type="dxa"/>
          </w:tcPr>
          <w:p w:rsidR="008479F8" w:rsidRPr="00202A51" w:rsidRDefault="008479F8" w:rsidP="008479F8">
            <w:pPr>
              <w:spacing w:after="0" w:line="240" w:lineRule="auto"/>
              <w:rPr>
                <w:rFonts w:ascii="Times New Roman" w:hAnsi="Times New Roman" w:cs="Times New Roman"/>
                <w:sz w:val="24"/>
                <w:szCs w:val="24"/>
              </w:rPr>
            </w:pPr>
            <w:r w:rsidRPr="00202A51">
              <w:rPr>
                <w:rFonts w:ascii="Times New Roman" w:hAnsi="Times New Roman" w:cs="Times New Roman"/>
                <w:sz w:val="24"/>
                <w:szCs w:val="24"/>
              </w:rPr>
              <w:t>5. Precizēta finansiālā ietekme:</w:t>
            </w:r>
          </w:p>
        </w:tc>
        <w:tc>
          <w:tcPr>
            <w:tcW w:w="1331" w:type="dxa"/>
            <w:vMerge w:val="restart"/>
          </w:tcPr>
          <w:p w:rsidR="008479F8" w:rsidRPr="0075495D" w:rsidRDefault="008479F8" w:rsidP="00A854D1">
            <w:pPr>
              <w:pStyle w:val="naisf"/>
              <w:spacing w:before="0" w:after="0"/>
              <w:ind w:firstLine="0"/>
              <w:jc w:val="center"/>
            </w:pPr>
            <w:r w:rsidRPr="0075495D">
              <w:t>X</w:t>
            </w:r>
          </w:p>
        </w:tc>
        <w:tc>
          <w:tcPr>
            <w:tcW w:w="1436" w:type="dxa"/>
          </w:tcPr>
          <w:p w:rsidR="008479F8" w:rsidRPr="0075495D" w:rsidRDefault="008479F8" w:rsidP="00A854D1">
            <w:pPr>
              <w:pStyle w:val="naisf"/>
              <w:spacing w:before="0" w:after="0"/>
              <w:ind w:firstLine="0"/>
              <w:jc w:val="center"/>
            </w:pPr>
            <w:r w:rsidRPr="0075495D">
              <w:t>0</w:t>
            </w:r>
          </w:p>
        </w:tc>
        <w:tc>
          <w:tcPr>
            <w:tcW w:w="1326" w:type="dxa"/>
          </w:tcPr>
          <w:p w:rsidR="008479F8" w:rsidRPr="0075495D" w:rsidRDefault="008479F8" w:rsidP="00A854D1">
            <w:pPr>
              <w:pStyle w:val="naisf"/>
              <w:spacing w:before="0" w:after="0"/>
              <w:ind w:firstLine="0"/>
              <w:jc w:val="center"/>
            </w:pPr>
            <w:r w:rsidRPr="0075495D">
              <w:t>-9 463</w:t>
            </w:r>
          </w:p>
        </w:tc>
        <w:tc>
          <w:tcPr>
            <w:tcW w:w="1368" w:type="dxa"/>
          </w:tcPr>
          <w:p w:rsidR="008479F8" w:rsidRPr="0075495D" w:rsidRDefault="008479F8" w:rsidP="00A854D1">
            <w:pPr>
              <w:pStyle w:val="naisf"/>
              <w:spacing w:before="0" w:after="0"/>
              <w:ind w:firstLine="0"/>
              <w:jc w:val="center"/>
            </w:pPr>
            <w:r w:rsidRPr="0075495D">
              <w:t>0</w:t>
            </w:r>
          </w:p>
        </w:tc>
        <w:tc>
          <w:tcPr>
            <w:tcW w:w="1339" w:type="dxa"/>
          </w:tcPr>
          <w:p w:rsidR="008479F8" w:rsidRPr="00202A51" w:rsidRDefault="008479F8" w:rsidP="00A854D1">
            <w:pPr>
              <w:pStyle w:val="naisf"/>
              <w:spacing w:before="0" w:after="0"/>
              <w:ind w:firstLine="0"/>
              <w:jc w:val="center"/>
            </w:pPr>
            <w:r w:rsidRPr="00202A51">
              <w:t>0</w:t>
            </w:r>
          </w:p>
        </w:tc>
      </w:tr>
      <w:tr w:rsidR="00202A51" w:rsidRPr="00202A51" w:rsidTr="00752C69">
        <w:trPr>
          <w:jc w:val="center"/>
        </w:trPr>
        <w:tc>
          <w:tcPr>
            <w:tcW w:w="2402" w:type="dxa"/>
          </w:tcPr>
          <w:p w:rsidR="008479F8" w:rsidRPr="00202A51" w:rsidRDefault="008479F8" w:rsidP="008479F8">
            <w:pPr>
              <w:spacing w:after="0" w:line="240" w:lineRule="auto"/>
              <w:rPr>
                <w:rFonts w:ascii="Times New Roman" w:hAnsi="Times New Roman" w:cs="Times New Roman"/>
                <w:sz w:val="24"/>
                <w:szCs w:val="24"/>
              </w:rPr>
            </w:pPr>
            <w:r w:rsidRPr="00202A51">
              <w:rPr>
                <w:rFonts w:ascii="Times New Roman" w:hAnsi="Times New Roman" w:cs="Times New Roman"/>
                <w:sz w:val="24"/>
                <w:szCs w:val="24"/>
              </w:rPr>
              <w:t>5.1. valsts pamatbudžets</w:t>
            </w:r>
          </w:p>
        </w:tc>
        <w:tc>
          <w:tcPr>
            <w:tcW w:w="1331" w:type="dxa"/>
            <w:vMerge/>
            <w:vAlign w:val="center"/>
          </w:tcPr>
          <w:p w:rsidR="008479F8" w:rsidRPr="0075495D" w:rsidRDefault="008479F8" w:rsidP="008479F8">
            <w:pPr>
              <w:pStyle w:val="naisf"/>
              <w:spacing w:before="0" w:after="0"/>
              <w:ind w:firstLine="0"/>
            </w:pPr>
          </w:p>
        </w:tc>
        <w:tc>
          <w:tcPr>
            <w:tcW w:w="1436" w:type="dxa"/>
          </w:tcPr>
          <w:p w:rsidR="008479F8" w:rsidRPr="0075495D" w:rsidRDefault="00A854D1" w:rsidP="00A854D1">
            <w:pPr>
              <w:pStyle w:val="naisf"/>
              <w:spacing w:before="0" w:after="0"/>
              <w:ind w:firstLine="0"/>
              <w:jc w:val="center"/>
            </w:pPr>
            <w:r w:rsidRPr="0075495D">
              <w:t>0</w:t>
            </w:r>
          </w:p>
        </w:tc>
        <w:tc>
          <w:tcPr>
            <w:tcW w:w="1326" w:type="dxa"/>
          </w:tcPr>
          <w:p w:rsidR="008479F8" w:rsidRPr="0075495D" w:rsidRDefault="00A854D1" w:rsidP="00A854D1">
            <w:pPr>
              <w:pStyle w:val="naisf"/>
              <w:spacing w:before="0" w:after="0"/>
              <w:ind w:firstLine="0"/>
              <w:jc w:val="center"/>
            </w:pPr>
            <w:r w:rsidRPr="0075495D">
              <w:t>-9 463</w:t>
            </w:r>
          </w:p>
        </w:tc>
        <w:tc>
          <w:tcPr>
            <w:tcW w:w="1368" w:type="dxa"/>
          </w:tcPr>
          <w:p w:rsidR="008479F8" w:rsidRPr="0075495D" w:rsidRDefault="00A854D1" w:rsidP="00A854D1">
            <w:pPr>
              <w:pStyle w:val="naisf"/>
              <w:spacing w:before="0" w:after="0"/>
              <w:ind w:firstLine="0"/>
              <w:jc w:val="center"/>
            </w:pPr>
            <w:r w:rsidRPr="0075495D">
              <w:t>0</w:t>
            </w:r>
          </w:p>
        </w:tc>
        <w:tc>
          <w:tcPr>
            <w:tcW w:w="1339" w:type="dxa"/>
          </w:tcPr>
          <w:p w:rsidR="008479F8" w:rsidRPr="00202A51" w:rsidRDefault="00A854D1" w:rsidP="00A854D1">
            <w:pPr>
              <w:pStyle w:val="naisf"/>
              <w:spacing w:before="0" w:after="0"/>
              <w:ind w:firstLine="0"/>
              <w:jc w:val="center"/>
            </w:pPr>
            <w:r>
              <w:t>0</w:t>
            </w:r>
          </w:p>
        </w:tc>
      </w:tr>
      <w:tr w:rsidR="00202A51" w:rsidRPr="00202A51" w:rsidTr="00752C69">
        <w:trPr>
          <w:jc w:val="center"/>
        </w:trPr>
        <w:tc>
          <w:tcPr>
            <w:tcW w:w="2402" w:type="dxa"/>
          </w:tcPr>
          <w:p w:rsidR="008479F8" w:rsidRPr="00202A51" w:rsidRDefault="008479F8" w:rsidP="008479F8">
            <w:pPr>
              <w:spacing w:after="0" w:line="240" w:lineRule="auto"/>
              <w:rPr>
                <w:rFonts w:ascii="Times New Roman" w:hAnsi="Times New Roman" w:cs="Times New Roman"/>
                <w:sz w:val="24"/>
                <w:szCs w:val="24"/>
              </w:rPr>
            </w:pPr>
            <w:r w:rsidRPr="00202A51">
              <w:rPr>
                <w:rFonts w:ascii="Times New Roman" w:hAnsi="Times New Roman" w:cs="Times New Roman"/>
                <w:sz w:val="24"/>
                <w:szCs w:val="24"/>
              </w:rPr>
              <w:t>5.2. speciālais budžets</w:t>
            </w:r>
          </w:p>
        </w:tc>
        <w:tc>
          <w:tcPr>
            <w:tcW w:w="1331" w:type="dxa"/>
            <w:vMerge/>
            <w:vAlign w:val="center"/>
          </w:tcPr>
          <w:p w:rsidR="008479F8" w:rsidRPr="00202A51" w:rsidRDefault="008479F8" w:rsidP="008479F8">
            <w:pPr>
              <w:pStyle w:val="naisf"/>
              <w:spacing w:before="0" w:after="0"/>
              <w:ind w:firstLine="0"/>
            </w:pPr>
          </w:p>
        </w:tc>
        <w:tc>
          <w:tcPr>
            <w:tcW w:w="1436" w:type="dxa"/>
          </w:tcPr>
          <w:p w:rsidR="008479F8" w:rsidRPr="00202A51" w:rsidRDefault="008479F8" w:rsidP="00A854D1">
            <w:pPr>
              <w:pStyle w:val="naisf"/>
              <w:spacing w:before="0" w:after="0"/>
              <w:ind w:firstLine="0"/>
              <w:jc w:val="center"/>
            </w:pPr>
          </w:p>
        </w:tc>
        <w:tc>
          <w:tcPr>
            <w:tcW w:w="1326" w:type="dxa"/>
          </w:tcPr>
          <w:p w:rsidR="008479F8" w:rsidRPr="00202A51" w:rsidRDefault="008479F8" w:rsidP="00A854D1">
            <w:pPr>
              <w:pStyle w:val="naisf"/>
              <w:spacing w:before="0" w:after="0"/>
              <w:ind w:firstLine="0"/>
              <w:jc w:val="center"/>
            </w:pPr>
          </w:p>
        </w:tc>
        <w:tc>
          <w:tcPr>
            <w:tcW w:w="1368" w:type="dxa"/>
          </w:tcPr>
          <w:p w:rsidR="008479F8" w:rsidRPr="00202A51" w:rsidRDefault="008479F8" w:rsidP="00A854D1">
            <w:pPr>
              <w:pStyle w:val="naisf"/>
              <w:spacing w:before="0" w:after="0"/>
              <w:ind w:firstLine="0"/>
              <w:jc w:val="center"/>
            </w:pPr>
          </w:p>
        </w:tc>
        <w:tc>
          <w:tcPr>
            <w:tcW w:w="1339" w:type="dxa"/>
          </w:tcPr>
          <w:p w:rsidR="008479F8" w:rsidRPr="00202A51" w:rsidRDefault="008479F8" w:rsidP="00A854D1">
            <w:pPr>
              <w:pStyle w:val="naisf"/>
              <w:spacing w:before="0" w:after="0"/>
              <w:ind w:firstLine="0"/>
              <w:jc w:val="center"/>
            </w:pPr>
          </w:p>
        </w:tc>
      </w:tr>
      <w:tr w:rsidR="00202A51" w:rsidRPr="00202A51" w:rsidTr="00752C69">
        <w:trPr>
          <w:jc w:val="center"/>
        </w:trPr>
        <w:tc>
          <w:tcPr>
            <w:tcW w:w="2402" w:type="dxa"/>
          </w:tcPr>
          <w:p w:rsidR="008479F8" w:rsidRPr="00202A51" w:rsidRDefault="008479F8" w:rsidP="008479F8">
            <w:pPr>
              <w:spacing w:after="0" w:line="240" w:lineRule="auto"/>
              <w:rPr>
                <w:rFonts w:ascii="Times New Roman" w:hAnsi="Times New Roman" w:cs="Times New Roman"/>
                <w:sz w:val="24"/>
                <w:szCs w:val="24"/>
              </w:rPr>
            </w:pPr>
            <w:r w:rsidRPr="00202A51">
              <w:rPr>
                <w:rFonts w:ascii="Times New Roman" w:hAnsi="Times New Roman" w:cs="Times New Roman"/>
                <w:sz w:val="24"/>
                <w:szCs w:val="24"/>
              </w:rPr>
              <w:t xml:space="preserve">5.3. pašvaldību budžets </w:t>
            </w:r>
          </w:p>
        </w:tc>
        <w:tc>
          <w:tcPr>
            <w:tcW w:w="1331" w:type="dxa"/>
            <w:vMerge/>
            <w:vAlign w:val="center"/>
          </w:tcPr>
          <w:p w:rsidR="008479F8" w:rsidRPr="00202A51" w:rsidRDefault="008479F8" w:rsidP="008479F8">
            <w:pPr>
              <w:pStyle w:val="naisf"/>
              <w:spacing w:before="0" w:after="0"/>
              <w:ind w:firstLine="0"/>
            </w:pPr>
          </w:p>
        </w:tc>
        <w:tc>
          <w:tcPr>
            <w:tcW w:w="1436" w:type="dxa"/>
          </w:tcPr>
          <w:p w:rsidR="008479F8" w:rsidRPr="00202A51" w:rsidRDefault="008479F8" w:rsidP="00A854D1">
            <w:pPr>
              <w:pStyle w:val="naisf"/>
              <w:spacing w:before="0" w:after="0"/>
              <w:ind w:firstLine="0"/>
              <w:jc w:val="center"/>
            </w:pPr>
          </w:p>
        </w:tc>
        <w:tc>
          <w:tcPr>
            <w:tcW w:w="1326" w:type="dxa"/>
          </w:tcPr>
          <w:p w:rsidR="008479F8" w:rsidRPr="00202A51" w:rsidRDefault="008479F8" w:rsidP="00A854D1">
            <w:pPr>
              <w:pStyle w:val="naisf"/>
              <w:spacing w:before="0" w:after="0"/>
              <w:ind w:firstLine="0"/>
              <w:jc w:val="center"/>
            </w:pPr>
          </w:p>
        </w:tc>
        <w:tc>
          <w:tcPr>
            <w:tcW w:w="1368" w:type="dxa"/>
          </w:tcPr>
          <w:p w:rsidR="008479F8" w:rsidRPr="00202A51" w:rsidRDefault="008479F8" w:rsidP="00A854D1">
            <w:pPr>
              <w:pStyle w:val="naisf"/>
              <w:spacing w:before="0" w:after="0"/>
              <w:ind w:firstLine="0"/>
              <w:jc w:val="center"/>
            </w:pPr>
          </w:p>
        </w:tc>
        <w:tc>
          <w:tcPr>
            <w:tcW w:w="1339" w:type="dxa"/>
          </w:tcPr>
          <w:p w:rsidR="008479F8" w:rsidRPr="00202A51" w:rsidRDefault="008479F8" w:rsidP="00A854D1">
            <w:pPr>
              <w:pStyle w:val="naisf"/>
              <w:spacing w:before="0" w:after="0"/>
              <w:ind w:firstLine="0"/>
              <w:jc w:val="center"/>
            </w:pPr>
          </w:p>
        </w:tc>
      </w:tr>
      <w:tr w:rsidR="00202A51" w:rsidRPr="00202A51" w:rsidTr="00752C69">
        <w:trPr>
          <w:trHeight w:val="983"/>
          <w:jc w:val="center"/>
        </w:trPr>
        <w:tc>
          <w:tcPr>
            <w:tcW w:w="9202" w:type="dxa"/>
            <w:gridSpan w:val="6"/>
          </w:tcPr>
          <w:p w:rsidR="00A854D1" w:rsidRDefault="00A854D1">
            <w:pPr>
              <w:spacing w:after="0" w:line="240" w:lineRule="auto"/>
              <w:rPr>
                <w:rFonts w:ascii="Times New Roman" w:eastAsia="Times New Roman" w:hAnsi="Times New Roman"/>
                <w:sz w:val="24"/>
                <w:szCs w:val="24"/>
                <w:lang w:eastAsia="lv-LV"/>
              </w:rPr>
            </w:pPr>
            <w:r w:rsidRPr="0075495D">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p w:rsidR="00A854D1" w:rsidRDefault="00A854D1">
            <w:pPr>
              <w:spacing w:after="0" w:line="240" w:lineRule="auto"/>
              <w:rPr>
                <w:rFonts w:ascii="Times New Roman" w:hAnsi="Times New Roman" w:cs="Times New Roman"/>
                <w:b/>
                <w:sz w:val="24"/>
                <w:szCs w:val="24"/>
                <w:u w:val="single"/>
              </w:rPr>
            </w:pPr>
          </w:p>
          <w:p w:rsidR="008479F8" w:rsidRPr="00F060CA" w:rsidRDefault="008479F8">
            <w:pPr>
              <w:spacing w:after="0" w:line="240" w:lineRule="auto"/>
              <w:rPr>
                <w:rFonts w:ascii="Times New Roman" w:hAnsi="Times New Roman" w:cs="Times New Roman"/>
                <w:b/>
                <w:sz w:val="24"/>
                <w:szCs w:val="24"/>
                <w:u w:val="single"/>
              </w:rPr>
            </w:pPr>
            <w:r w:rsidRPr="00202A51">
              <w:rPr>
                <w:rFonts w:ascii="Times New Roman" w:hAnsi="Times New Roman" w:cs="Times New Roman"/>
                <w:b/>
                <w:sz w:val="24"/>
                <w:szCs w:val="24"/>
                <w:u w:val="single"/>
              </w:rPr>
              <w:t>2014.</w:t>
            </w:r>
            <w:r w:rsidR="00F060CA">
              <w:rPr>
                <w:rFonts w:ascii="Times New Roman" w:hAnsi="Times New Roman" w:cs="Times New Roman"/>
                <w:b/>
                <w:sz w:val="24"/>
                <w:szCs w:val="24"/>
                <w:u w:val="single"/>
              </w:rPr>
              <w:t xml:space="preserve"> </w:t>
            </w:r>
            <w:r w:rsidRPr="00F060CA">
              <w:rPr>
                <w:rFonts w:ascii="Times New Roman" w:hAnsi="Times New Roman" w:cs="Times New Roman"/>
                <w:b/>
                <w:sz w:val="24"/>
                <w:szCs w:val="24"/>
                <w:u w:val="single"/>
              </w:rPr>
              <w:t>gads</w:t>
            </w:r>
          </w:p>
          <w:p w:rsidR="008479F8" w:rsidRPr="00202A51" w:rsidRDefault="008479F8" w:rsidP="00E440B3">
            <w:pPr>
              <w:pStyle w:val="naisf"/>
              <w:spacing w:before="0" w:after="0"/>
              <w:ind w:firstLine="0"/>
            </w:pPr>
            <w:r w:rsidRPr="00202A51">
              <w:t xml:space="preserve">Saskaņā ar likumu „Par valsts budžetu 2014. gadam” Valsts nozīmes pasākuma starptautiskas nozīmes svētvietā Aglonā </w:t>
            </w:r>
            <w:r w:rsidR="00FC686F" w:rsidRPr="00202A51">
              <w:t>–</w:t>
            </w:r>
            <w:r w:rsidRPr="00202A51">
              <w:t xml:space="preserve"> Vissvētākās Jaunavas Marijas Debesīs uzņemšanas svētku norises nodrošināšanai ir piešķirti 116 462 </w:t>
            </w:r>
            <w:r w:rsidRPr="00202A51">
              <w:rPr>
                <w:i/>
              </w:rPr>
              <w:t>euro</w:t>
            </w:r>
            <w:r w:rsidRPr="00202A51">
              <w:t xml:space="preserve"> </w:t>
            </w:r>
            <w:r w:rsidR="007416A1">
              <w:t>turpmāk minēto</w:t>
            </w:r>
            <w:r w:rsidR="007416A1" w:rsidRPr="00202A51">
              <w:t xml:space="preserve"> </w:t>
            </w:r>
            <w:r w:rsidRPr="00202A51">
              <w:t>pasākumu nodrošināšanai</w:t>
            </w:r>
            <w:r w:rsidR="007416A1">
              <w:t>.</w:t>
            </w:r>
          </w:p>
          <w:p w:rsidR="008479F8" w:rsidRPr="00202A51" w:rsidRDefault="008479F8">
            <w:pPr>
              <w:spacing w:after="0" w:line="240" w:lineRule="auto"/>
              <w:rPr>
                <w:rFonts w:ascii="Times New Roman" w:hAnsi="Times New Roman" w:cs="Times New Roman"/>
                <w:sz w:val="24"/>
                <w:szCs w:val="24"/>
              </w:rPr>
            </w:pPr>
            <w:r w:rsidRPr="00202A51">
              <w:rPr>
                <w:rFonts w:ascii="Times New Roman" w:hAnsi="Times New Roman" w:cs="Times New Roman"/>
                <w:sz w:val="24"/>
                <w:szCs w:val="24"/>
              </w:rPr>
              <w:t xml:space="preserve">1. Iekšlietu ministrijai 25 129 </w:t>
            </w:r>
            <w:r w:rsidRPr="00202A51">
              <w:rPr>
                <w:rFonts w:ascii="Times New Roman" w:hAnsi="Times New Roman" w:cs="Times New Roman"/>
                <w:i/>
                <w:sz w:val="24"/>
                <w:szCs w:val="24"/>
              </w:rPr>
              <w:t>euro</w:t>
            </w:r>
            <w:r w:rsidR="00FC686F" w:rsidRPr="00202A51">
              <w:rPr>
                <w:rFonts w:ascii="Times New Roman" w:hAnsi="Times New Roman" w:cs="Times New Roman"/>
                <w:sz w:val="24"/>
                <w:szCs w:val="24"/>
              </w:rPr>
              <w:t xml:space="preserve"> t.sk.:</w:t>
            </w:r>
          </w:p>
          <w:p w:rsidR="008479F8" w:rsidRPr="00202A51" w:rsidRDefault="008479F8" w:rsidP="00E440B3">
            <w:pPr>
              <w:pStyle w:val="naisf"/>
              <w:spacing w:before="0" w:after="0"/>
              <w:ind w:firstLine="0"/>
            </w:pPr>
            <w:r w:rsidRPr="00202A51">
              <w:t xml:space="preserve">1.1. ceļu satiksmes organizēšanai, personu un sabiedrības drošības garantēšanai, apsardzes veikšanai (Valsts policija) 21 101 </w:t>
            </w:r>
            <w:r w:rsidRPr="00202A51">
              <w:rPr>
                <w:i/>
              </w:rPr>
              <w:t>euro</w:t>
            </w:r>
            <w:r w:rsidRPr="00202A51">
              <w:t>.</w:t>
            </w:r>
          </w:p>
          <w:p w:rsidR="008479F8" w:rsidRPr="00202A51" w:rsidRDefault="008479F8" w:rsidP="00E440B3">
            <w:pPr>
              <w:pStyle w:val="naisf"/>
              <w:spacing w:before="0" w:after="0"/>
              <w:ind w:firstLine="0"/>
            </w:pPr>
            <w:r w:rsidRPr="00202A51">
              <w:t xml:space="preserve">1.2. ugunsdrošības un glābšanas profilaktisko pasākumu veikšanai (VUGD) 4 028 </w:t>
            </w:r>
            <w:r w:rsidRPr="00202A51">
              <w:rPr>
                <w:i/>
              </w:rPr>
              <w:t>euro</w:t>
            </w:r>
            <w:r w:rsidRPr="00202A51">
              <w:t>.</w:t>
            </w:r>
          </w:p>
          <w:p w:rsidR="008479F8" w:rsidRPr="00202A51" w:rsidRDefault="008479F8">
            <w:pPr>
              <w:spacing w:after="0" w:line="240" w:lineRule="auto"/>
              <w:rPr>
                <w:rFonts w:ascii="Times New Roman" w:hAnsi="Times New Roman" w:cs="Times New Roman"/>
                <w:sz w:val="24"/>
                <w:szCs w:val="24"/>
              </w:rPr>
            </w:pPr>
            <w:r w:rsidRPr="00202A51">
              <w:rPr>
                <w:rFonts w:ascii="Times New Roman" w:hAnsi="Times New Roman" w:cs="Times New Roman"/>
                <w:sz w:val="24"/>
                <w:szCs w:val="24"/>
              </w:rPr>
              <w:t xml:space="preserve">2. Veselības ministrijai 38 850 </w:t>
            </w:r>
            <w:r w:rsidRPr="00202A51">
              <w:rPr>
                <w:rFonts w:ascii="Times New Roman" w:hAnsi="Times New Roman" w:cs="Times New Roman"/>
                <w:i/>
                <w:sz w:val="24"/>
                <w:szCs w:val="24"/>
              </w:rPr>
              <w:t>euro</w:t>
            </w:r>
            <w:r w:rsidRPr="00202A51">
              <w:rPr>
                <w:rFonts w:ascii="Times New Roman" w:hAnsi="Times New Roman" w:cs="Times New Roman"/>
                <w:sz w:val="24"/>
                <w:szCs w:val="24"/>
              </w:rPr>
              <w:t xml:space="preserve"> t.sk.:</w:t>
            </w:r>
          </w:p>
          <w:p w:rsidR="008479F8" w:rsidRPr="00202A51" w:rsidRDefault="008479F8" w:rsidP="00E440B3">
            <w:pPr>
              <w:pStyle w:val="naisf"/>
              <w:spacing w:before="0" w:after="0"/>
              <w:ind w:firstLine="0"/>
            </w:pPr>
            <w:r w:rsidRPr="00202A51">
              <w:t xml:space="preserve">2.1. neatliekamās medicīniskās palīdzības nodrošināšanai un koordinēšanai, nepieciešamības </w:t>
            </w:r>
            <w:r w:rsidRPr="00202A51">
              <w:lastRenderedPageBreak/>
              <w:t xml:space="preserve">gadījumā personu nodrošināšanai ar dzeramo ūdeni (NMPD) 38 342 </w:t>
            </w:r>
            <w:r w:rsidRPr="00202A51">
              <w:rPr>
                <w:i/>
              </w:rPr>
              <w:t>euro</w:t>
            </w:r>
            <w:r w:rsidRPr="00202A51">
              <w:t>.</w:t>
            </w:r>
          </w:p>
          <w:p w:rsidR="008479F8" w:rsidRPr="00202A51" w:rsidRDefault="008479F8" w:rsidP="00E440B3">
            <w:pPr>
              <w:pStyle w:val="naisf"/>
              <w:spacing w:before="0" w:after="0"/>
              <w:ind w:firstLine="0"/>
            </w:pPr>
            <w:r w:rsidRPr="00202A51">
              <w:t>2.2. dzeramā ūdens mikrobioloģiskajai un ķīmiskajai izmeklēšanai (Veselības inspekcija)</w:t>
            </w:r>
            <w:proofErr w:type="gramStart"/>
            <w:r w:rsidRPr="00202A51">
              <w:t xml:space="preserve">  </w:t>
            </w:r>
            <w:proofErr w:type="gramEnd"/>
            <w:r w:rsidRPr="00202A51">
              <w:t xml:space="preserve">508 </w:t>
            </w:r>
            <w:r w:rsidRPr="00202A51">
              <w:rPr>
                <w:i/>
              </w:rPr>
              <w:t>euro.</w:t>
            </w:r>
            <w:r w:rsidRPr="00202A51">
              <w:t xml:space="preserve"> </w:t>
            </w:r>
          </w:p>
          <w:p w:rsidR="008479F8" w:rsidRPr="00202A51" w:rsidRDefault="008479F8" w:rsidP="00E440B3">
            <w:pPr>
              <w:pStyle w:val="naisf"/>
              <w:spacing w:before="0" w:after="0"/>
              <w:ind w:firstLine="0"/>
            </w:pPr>
            <w:r w:rsidRPr="00202A51">
              <w:t xml:space="preserve">3. Zemkopības ministrijai </w:t>
            </w:r>
            <w:proofErr w:type="gramStart"/>
            <w:r w:rsidRPr="00202A51">
              <w:t>(</w:t>
            </w:r>
            <w:proofErr w:type="gramEnd"/>
            <w:r w:rsidRPr="00202A51">
              <w:t xml:space="preserve">valsts zinātniskajam institūtam „Pārtikas drošības, dzīvnieku veselības un vides zinātniskais institūts” Latgales reģionālajai nodaļai dzeramā ūdens monitoringa izmeklējuma veikšanai 538 </w:t>
            </w:r>
            <w:r w:rsidRPr="00202A51">
              <w:rPr>
                <w:i/>
              </w:rPr>
              <w:t>euro</w:t>
            </w:r>
            <w:r w:rsidRPr="00202A51">
              <w:t>.</w:t>
            </w:r>
          </w:p>
          <w:p w:rsidR="008479F8" w:rsidRPr="00202A51" w:rsidRDefault="008479F8">
            <w:pPr>
              <w:spacing w:after="0" w:line="240" w:lineRule="auto"/>
              <w:rPr>
                <w:rFonts w:ascii="Times New Roman" w:hAnsi="Times New Roman" w:cs="Times New Roman"/>
                <w:sz w:val="24"/>
                <w:szCs w:val="24"/>
              </w:rPr>
            </w:pPr>
            <w:r w:rsidRPr="00202A51">
              <w:rPr>
                <w:rFonts w:ascii="Times New Roman" w:hAnsi="Times New Roman" w:cs="Times New Roman"/>
                <w:sz w:val="24"/>
                <w:szCs w:val="24"/>
              </w:rPr>
              <w:t xml:space="preserve">4. Tieslietu ministrijai 47 081 </w:t>
            </w:r>
            <w:r w:rsidRPr="00202A51">
              <w:rPr>
                <w:rFonts w:ascii="Times New Roman" w:hAnsi="Times New Roman" w:cs="Times New Roman"/>
                <w:i/>
                <w:sz w:val="24"/>
                <w:szCs w:val="24"/>
              </w:rPr>
              <w:t>euro</w:t>
            </w:r>
            <w:r w:rsidR="00FC686F" w:rsidRPr="00202A51">
              <w:rPr>
                <w:rFonts w:ascii="Times New Roman" w:hAnsi="Times New Roman" w:cs="Times New Roman"/>
                <w:sz w:val="24"/>
                <w:szCs w:val="24"/>
              </w:rPr>
              <w:t xml:space="preserve"> t.sk.:</w:t>
            </w:r>
          </w:p>
          <w:p w:rsidR="008479F8" w:rsidRPr="00202A51" w:rsidRDefault="008479F8">
            <w:pPr>
              <w:spacing w:after="0" w:line="240" w:lineRule="auto"/>
              <w:rPr>
                <w:rFonts w:ascii="Times New Roman" w:hAnsi="Times New Roman" w:cs="Times New Roman"/>
                <w:sz w:val="24"/>
                <w:szCs w:val="24"/>
              </w:rPr>
            </w:pPr>
            <w:r w:rsidRPr="00202A51">
              <w:rPr>
                <w:rFonts w:ascii="Times New Roman" w:hAnsi="Times New Roman" w:cs="Times New Roman"/>
                <w:sz w:val="24"/>
                <w:szCs w:val="24"/>
              </w:rPr>
              <w:t xml:space="preserve">4.1. atkritumu konteineru nomai un to kompleksai apkalpošanai 11 405 </w:t>
            </w:r>
            <w:r w:rsidRPr="00202A51">
              <w:rPr>
                <w:rFonts w:ascii="Times New Roman" w:hAnsi="Times New Roman" w:cs="Times New Roman"/>
                <w:i/>
                <w:sz w:val="24"/>
                <w:szCs w:val="24"/>
              </w:rPr>
              <w:t>euro</w:t>
            </w:r>
            <w:r w:rsidR="00EB7DB3">
              <w:rPr>
                <w:rFonts w:ascii="Times New Roman" w:hAnsi="Times New Roman" w:cs="Times New Roman"/>
                <w:sz w:val="24"/>
                <w:szCs w:val="24"/>
              </w:rPr>
              <w:t>;</w:t>
            </w:r>
          </w:p>
          <w:p w:rsidR="008479F8" w:rsidRPr="00202A51" w:rsidRDefault="008479F8">
            <w:pPr>
              <w:spacing w:after="0" w:line="240" w:lineRule="auto"/>
              <w:rPr>
                <w:rFonts w:ascii="Times New Roman" w:hAnsi="Times New Roman" w:cs="Times New Roman"/>
                <w:sz w:val="24"/>
                <w:szCs w:val="24"/>
              </w:rPr>
            </w:pPr>
            <w:r w:rsidRPr="00202A51">
              <w:rPr>
                <w:rFonts w:ascii="Times New Roman" w:hAnsi="Times New Roman" w:cs="Times New Roman"/>
                <w:sz w:val="24"/>
                <w:szCs w:val="24"/>
              </w:rPr>
              <w:t xml:space="preserve">4.2. pārvietojamo sabiedrisko tualešu nomai 13 302 </w:t>
            </w:r>
            <w:r w:rsidRPr="00202A51">
              <w:rPr>
                <w:rFonts w:ascii="Times New Roman" w:hAnsi="Times New Roman" w:cs="Times New Roman"/>
                <w:i/>
                <w:sz w:val="24"/>
                <w:szCs w:val="24"/>
              </w:rPr>
              <w:t>euro</w:t>
            </w:r>
            <w:r w:rsidR="00EB7DB3">
              <w:rPr>
                <w:rFonts w:ascii="Times New Roman" w:hAnsi="Times New Roman" w:cs="Times New Roman"/>
                <w:i/>
                <w:sz w:val="24"/>
                <w:szCs w:val="24"/>
              </w:rPr>
              <w:t>;</w:t>
            </w:r>
          </w:p>
          <w:p w:rsidR="008479F8" w:rsidRPr="00202A51" w:rsidRDefault="008479F8" w:rsidP="00E440B3">
            <w:pPr>
              <w:pStyle w:val="naisf"/>
              <w:spacing w:before="0" w:after="0"/>
              <w:ind w:firstLine="0"/>
            </w:pPr>
            <w:r w:rsidRPr="00F060CA">
              <w:t xml:space="preserve">4.3. </w:t>
            </w:r>
            <w:r w:rsidR="007B4A7D" w:rsidRPr="00F060CA">
              <w:t>četru</w:t>
            </w:r>
            <w:r w:rsidRPr="00F060CA">
              <w:t xml:space="preserve"> artēzisko urbumu, divu dzeramā ūdens </w:t>
            </w:r>
            <w:proofErr w:type="spellStart"/>
            <w:r w:rsidRPr="00F060CA">
              <w:t>spiedbāku</w:t>
            </w:r>
            <w:proofErr w:type="spellEnd"/>
            <w:r w:rsidRPr="00F060CA">
              <w:t xml:space="preserve"> un dzeramā ūdens apgādes tīkla cauruļvadu iekšējās virsmas ķīmiskajai attīrīšanai/dezinfekcijai un skalošanai 1 003 </w:t>
            </w:r>
            <w:r w:rsidRPr="00202A51">
              <w:rPr>
                <w:i/>
              </w:rPr>
              <w:t>euro</w:t>
            </w:r>
            <w:r w:rsidR="00EB7DB3">
              <w:t>;</w:t>
            </w:r>
          </w:p>
          <w:p w:rsidR="008479F8" w:rsidRPr="00202A51" w:rsidRDefault="008479F8">
            <w:pPr>
              <w:spacing w:after="0" w:line="240" w:lineRule="auto"/>
              <w:rPr>
                <w:rFonts w:ascii="Times New Roman" w:hAnsi="Times New Roman" w:cs="Times New Roman"/>
                <w:sz w:val="24"/>
                <w:szCs w:val="24"/>
              </w:rPr>
            </w:pPr>
            <w:r w:rsidRPr="00202A51">
              <w:rPr>
                <w:rFonts w:ascii="Times New Roman" w:hAnsi="Times New Roman" w:cs="Times New Roman"/>
                <w:sz w:val="24"/>
                <w:szCs w:val="24"/>
              </w:rPr>
              <w:t xml:space="preserve">4.4. dzeramā ūdens apgādes sistēmas dezinficēšanai 976 </w:t>
            </w:r>
            <w:r w:rsidRPr="00202A51">
              <w:rPr>
                <w:rFonts w:ascii="Times New Roman" w:hAnsi="Times New Roman" w:cs="Times New Roman"/>
                <w:i/>
                <w:sz w:val="24"/>
                <w:szCs w:val="24"/>
              </w:rPr>
              <w:t>euro</w:t>
            </w:r>
            <w:r w:rsidR="00EB7DB3">
              <w:rPr>
                <w:rFonts w:ascii="Times New Roman" w:hAnsi="Times New Roman" w:cs="Times New Roman"/>
                <w:sz w:val="24"/>
                <w:szCs w:val="24"/>
              </w:rPr>
              <w:t>;</w:t>
            </w:r>
          </w:p>
          <w:p w:rsidR="008479F8" w:rsidRPr="00202A51" w:rsidRDefault="008479F8" w:rsidP="00E440B3">
            <w:pPr>
              <w:pStyle w:val="naisf"/>
              <w:spacing w:before="0" w:after="0"/>
              <w:ind w:firstLine="0"/>
              <w:rPr>
                <w:i/>
              </w:rPr>
            </w:pPr>
            <w:r w:rsidRPr="00202A51">
              <w:t xml:space="preserve">4.5. nepārtrauktas elektroapgādes garantēšanai pasākuma norises vietā 2 050 </w:t>
            </w:r>
            <w:r w:rsidR="00EB7DB3">
              <w:rPr>
                <w:i/>
              </w:rPr>
              <w:t>euro;</w:t>
            </w:r>
          </w:p>
          <w:p w:rsidR="008479F8" w:rsidRPr="00202A51" w:rsidRDefault="008479F8" w:rsidP="00E440B3">
            <w:pPr>
              <w:pStyle w:val="naisf"/>
              <w:spacing w:before="0" w:after="0"/>
              <w:ind w:firstLine="0"/>
              <w:rPr>
                <w:i/>
              </w:rPr>
            </w:pPr>
            <w:r w:rsidRPr="00202A51">
              <w:t xml:space="preserve">4.6. notekūdeņu pārsūknēšanas, kanalizācijas sistēmas un </w:t>
            </w:r>
            <w:proofErr w:type="spellStart"/>
            <w:r w:rsidRPr="00202A51">
              <w:t>santehnisko</w:t>
            </w:r>
            <w:proofErr w:type="spellEnd"/>
            <w:r w:rsidRPr="00202A51">
              <w:t xml:space="preserve"> ierīču nepārtrauktas darbības garantēšanai 2 965 </w:t>
            </w:r>
            <w:r w:rsidR="00EB7DB3">
              <w:rPr>
                <w:i/>
              </w:rPr>
              <w:t>euro;</w:t>
            </w:r>
          </w:p>
          <w:p w:rsidR="008479F8" w:rsidRPr="00202A51" w:rsidRDefault="008479F8">
            <w:pPr>
              <w:spacing w:after="0" w:line="240" w:lineRule="auto"/>
              <w:rPr>
                <w:rFonts w:ascii="Times New Roman" w:hAnsi="Times New Roman" w:cs="Times New Roman"/>
                <w:i/>
                <w:sz w:val="24"/>
                <w:szCs w:val="24"/>
              </w:rPr>
            </w:pPr>
            <w:r w:rsidRPr="00202A51">
              <w:rPr>
                <w:rFonts w:ascii="Times New Roman" w:hAnsi="Times New Roman" w:cs="Times New Roman"/>
                <w:sz w:val="24"/>
                <w:szCs w:val="24"/>
              </w:rPr>
              <w:t xml:space="preserve">4.7. apskaņošanas pakalpojumu nodrošināšanai 14 115 </w:t>
            </w:r>
            <w:r w:rsidR="00EB7DB3">
              <w:rPr>
                <w:rFonts w:ascii="Times New Roman" w:hAnsi="Times New Roman" w:cs="Times New Roman"/>
                <w:i/>
                <w:sz w:val="24"/>
                <w:szCs w:val="24"/>
              </w:rPr>
              <w:t>euro;</w:t>
            </w:r>
          </w:p>
          <w:p w:rsidR="008479F8" w:rsidRPr="00202A51" w:rsidRDefault="008479F8">
            <w:pPr>
              <w:spacing w:after="0" w:line="240" w:lineRule="auto"/>
              <w:rPr>
                <w:rFonts w:ascii="Times New Roman" w:hAnsi="Times New Roman" w:cs="Times New Roman"/>
                <w:sz w:val="24"/>
                <w:szCs w:val="24"/>
              </w:rPr>
            </w:pPr>
            <w:r w:rsidRPr="00202A51">
              <w:rPr>
                <w:rFonts w:ascii="Times New Roman" w:hAnsi="Times New Roman" w:cs="Times New Roman"/>
                <w:sz w:val="24"/>
                <w:szCs w:val="24"/>
              </w:rPr>
              <w:t xml:space="preserve">4.8. ugunsgrēku profilaktisko pasākumu nodrošināšana 1 265 </w:t>
            </w:r>
            <w:r w:rsidRPr="00202A51">
              <w:rPr>
                <w:rFonts w:ascii="Times New Roman" w:hAnsi="Times New Roman" w:cs="Times New Roman"/>
                <w:i/>
                <w:sz w:val="24"/>
                <w:szCs w:val="24"/>
              </w:rPr>
              <w:t>euro</w:t>
            </w:r>
            <w:r w:rsidR="00EB7DB3">
              <w:rPr>
                <w:rFonts w:ascii="Times New Roman" w:hAnsi="Times New Roman" w:cs="Times New Roman"/>
                <w:sz w:val="24"/>
                <w:szCs w:val="24"/>
              </w:rPr>
              <w:t>.</w:t>
            </w:r>
          </w:p>
          <w:p w:rsidR="008479F8" w:rsidRPr="00202A51" w:rsidRDefault="008479F8">
            <w:pPr>
              <w:spacing w:after="0" w:line="240" w:lineRule="auto"/>
              <w:rPr>
                <w:rFonts w:ascii="Times New Roman" w:hAnsi="Times New Roman" w:cs="Times New Roman"/>
                <w:sz w:val="24"/>
                <w:szCs w:val="24"/>
              </w:rPr>
            </w:pPr>
            <w:r w:rsidRPr="00202A51">
              <w:rPr>
                <w:rFonts w:ascii="Times New Roman" w:hAnsi="Times New Roman" w:cs="Times New Roman"/>
                <w:sz w:val="24"/>
                <w:szCs w:val="24"/>
              </w:rPr>
              <w:t xml:space="preserve">5. Aizsardzības ministrijai atbalsta sniegšanai drošības un sabiedriskās kārtības nodrošināšanai Aglonas svētku laikā 4 864 </w:t>
            </w:r>
            <w:r w:rsidRPr="00202A51">
              <w:rPr>
                <w:rFonts w:ascii="Times New Roman" w:hAnsi="Times New Roman" w:cs="Times New Roman"/>
                <w:i/>
                <w:sz w:val="24"/>
                <w:szCs w:val="24"/>
              </w:rPr>
              <w:t>euro</w:t>
            </w:r>
            <w:r w:rsidRPr="00202A51">
              <w:rPr>
                <w:rFonts w:ascii="Times New Roman" w:hAnsi="Times New Roman" w:cs="Times New Roman"/>
                <w:sz w:val="24"/>
                <w:szCs w:val="24"/>
              </w:rPr>
              <w:t>.</w:t>
            </w:r>
          </w:p>
          <w:p w:rsidR="008479F8" w:rsidRPr="00202A51" w:rsidRDefault="008479F8">
            <w:pPr>
              <w:spacing w:after="0" w:line="240" w:lineRule="auto"/>
              <w:rPr>
                <w:rFonts w:ascii="Times New Roman" w:hAnsi="Times New Roman" w:cs="Times New Roman"/>
                <w:sz w:val="24"/>
                <w:szCs w:val="24"/>
              </w:rPr>
            </w:pPr>
          </w:p>
          <w:p w:rsidR="008479F8" w:rsidRPr="00F060CA" w:rsidRDefault="008479F8">
            <w:pPr>
              <w:spacing w:after="0" w:line="240" w:lineRule="auto"/>
              <w:rPr>
                <w:rFonts w:ascii="Times New Roman" w:hAnsi="Times New Roman" w:cs="Times New Roman"/>
                <w:b/>
                <w:sz w:val="24"/>
                <w:szCs w:val="24"/>
                <w:u w:val="single"/>
              </w:rPr>
            </w:pPr>
            <w:r w:rsidRPr="00202A51">
              <w:rPr>
                <w:rFonts w:ascii="Times New Roman" w:hAnsi="Times New Roman" w:cs="Times New Roman"/>
                <w:b/>
                <w:sz w:val="24"/>
                <w:szCs w:val="24"/>
                <w:u w:val="single"/>
              </w:rPr>
              <w:t>2015.</w:t>
            </w:r>
            <w:r w:rsidR="00F060CA">
              <w:rPr>
                <w:rFonts w:ascii="Times New Roman" w:hAnsi="Times New Roman" w:cs="Times New Roman"/>
                <w:b/>
                <w:sz w:val="24"/>
                <w:szCs w:val="24"/>
                <w:u w:val="single"/>
              </w:rPr>
              <w:t xml:space="preserve"> </w:t>
            </w:r>
            <w:r w:rsidRPr="00F060CA">
              <w:rPr>
                <w:rFonts w:ascii="Times New Roman" w:hAnsi="Times New Roman" w:cs="Times New Roman"/>
                <w:b/>
                <w:sz w:val="24"/>
                <w:szCs w:val="24"/>
                <w:u w:val="single"/>
              </w:rPr>
              <w:t>gads</w:t>
            </w:r>
          </w:p>
          <w:p w:rsidR="008479F8" w:rsidRPr="00202A51" w:rsidRDefault="008479F8" w:rsidP="00E440B3">
            <w:pPr>
              <w:pStyle w:val="naisf"/>
              <w:spacing w:before="0" w:after="0"/>
              <w:ind w:firstLine="0"/>
            </w:pPr>
            <w:r w:rsidRPr="00202A51">
              <w:t xml:space="preserve">Valsts nozīmes pasākuma starptautiskas nozīmes svētvietā Aglonā </w:t>
            </w:r>
            <w:r w:rsidR="00E25AB7" w:rsidRPr="00202A51">
              <w:t>–</w:t>
            </w:r>
            <w:r w:rsidRPr="00202A51">
              <w:t xml:space="preserve"> Vissvētākās Jaunavas Marijas Debesīs uzņemšanas svētku nodrošināšanai 2015.</w:t>
            </w:r>
            <w:r w:rsidR="00F060CA">
              <w:t xml:space="preserve"> </w:t>
            </w:r>
            <w:r w:rsidRPr="00F060CA">
              <w:t>gadā nepieciešami 125 </w:t>
            </w:r>
            <w:r w:rsidR="00A854D1">
              <w:t>925</w:t>
            </w:r>
            <w:r w:rsidRPr="00F060CA">
              <w:t xml:space="preserve"> </w:t>
            </w:r>
            <w:r w:rsidRPr="00F060CA">
              <w:rPr>
                <w:i/>
              </w:rPr>
              <w:t>euro</w:t>
            </w:r>
            <w:r w:rsidRPr="00F060CA">
              <w:t xml:space="preserve"> šādu pasākumu nodrošināšanai:</w:t>
            </w:r>
          </w:p>
          <w:p w:rsidR="008479F8" w:rsidRPr="00202A51" w:rsidRDefault="008479F8">
            <w:pPr>
              <w:spacing w:after="0" w:line="240" w:lineRule="auto"/>
              <w:rPr>
                <w:rFonts w:ascii="Times New Roman" w:hAnsi="Times New Roman" w:cs="Times New Roman"/>
                <w:sz w:val="24"/>
                <w:szCs w:val="24"/>
              </w:rPr>
            </w:pPr>
            <w:r w:rsidRPr="00202A51">
              <w:rPr>
                <w:rFonts w:ascii="Times New Roman" w:hAnsi="Times New Roman" w:cs="Times New Roman"/>
                <w:sz w:val="24"/>
                <w:szCs w:val="24"/>
              </w:rPr>
              <w:t xml:space="preserve">1. Iekšlietu ministrijai 25 129 </w:t>
            </w:r>
            <w:r w:rsidRPr="00202A51">
              <w:rPr>
                <w:rFonts w:ascii="Times New Roman" w:hAnsi="Times New Roman" w:cs="Times New Roman"/>
                <w:i/>
                <w:sz w:val="24"/>
                <w:szCs w:val="24"/>
              </w:rPr>
              <w:t>euro</w:t>
            </w:r>
            <w:r w:rsidR="00E25AB7" w:rsidRPr="00202A51">
              <w:rPr>
                <w:rFonts w:ascii="Times New Roman" w:hAnsi="Times New Roman" w:cs="Times New Roman"/>
                <w:sz w:val="24"/>
                <w:szCs w:val="24"/>
              </w:rPr>
              <w:t xml:space="preserve"> t.sk.:</w:t>
            </w:r>
          </w:p>
          <w:p w:rsidR="008479F8" w:rsidRPr="00202A51" w:rsidRDefault="008479F8" w:rsidP="00E440B3">
            <w:pPr>
              <w:pStyle w:val="naisf"/>
              <w:spacing w:before="0" w:after="0"/>
              <w:ind w:firstLine="0"/>
            </w:pPr>
            <w:r w:rsidRPr="00202A51">
              <w:t>1.1.</w:t>
            </w:r>
            <w:r w:rsidR="00202A51" w:rsidRPr="00202A51">
              <w:t xml:space="preserve"> </w:t>
            </w:r>
            <w:r w:rsidRPr="00202A51">
              <w:t xml:space="preserve">ceļu satiksmes organizēšanai, personu un sabiedrības drošības garantēšanai, apsardzes veikšanai (Valsts policija) 21 101 </w:t>
            </w:r>
            <w:r w:rsidRPr="00202A51">
              <w:rPr>
                <w:i/>
              </w:rPr>
              <w:t>euro</w:t>
            </w:r>
            <w:r w:rsidRPr="00202A51">
              <w:t>, kas paredzēti atlīdzības samaksai 210 darbiniekiem par dienesta pienākumu izpildi virs noteiktā dienesta pienākumu izpildes laika un par dienesta pienākumu izpildi nakts laikā, kā arī degvielas iegādei 1009 litru apmērā 48 auto ekipāžām.</w:t>
            </w:r>
          </w:p>
          <w:p w:rsidR="008479F8" w:rsidRPr="00202A51" w:rsidRDefault="008479F8" w:rsidP="00E440B3">
            <w:pPr>
              <w:pStyle w:val="naisf"/>
              <w:spacing w:before="0" w:after="0"/>
              <w:ind w:firstLine="0"/>
            </w:pPr>
            <w:r w:rsidRPr="00202A51">
              <w:t>1.2.</w:t>
            </w:r>
            <w:r w:rsidR="00E25AB7" w:rsidRPr="00202A51">
              <w:t xml:space="preserve"> </w:t>
            </w:r>
            <w:r w:rsidRPr="00202A51">
              <w:t xml:space="preserve">ugunsdrošības un glābšanas profilaktisko pasākumu veikšanai (VUGD) 4 028 </w:t>
            </w:r>
            <w:r w:rsidRPr="00202A51">
              <w:rPr>
                <w:i/>
              </w:rPr>
              <w:t>euro</w:t>
            </w:r>
            <w:r w:rsidRPr="00202A51">
              <w:t>, kas paredzēti atlīdzības samaksai par dienesta pienākumu izpildi virs noteiktā dienesta pienākumu izpildes laika un par dienesta</w:t>
            </w:r>
            <w:r w:rsidR="0037795F" w:rsidRPr="00202A51">
              <w:t xml:space="preserve"> pienākumu izpildi nakts laikā, degvielas iegādei </w:t>
            </w:r>
            <w:r w:rsidRPr="00202A51">
              <w:t>70 litru apmērā, kā arī komandējuma izmaksu segšanai 4 darbiniekiem 4 dienām.</w:t>
            </w:r>
          </w:p>
          <w:p w:rsidR="008479F8" w:rsidRPr="00202A51" w:rsidRDefault="008479F8">
            <w:pPr>
              <w:spacing w:after="0" w:line="240" w:lineRule="auto"/>
              <w:rPr>
                <w:rFonts w:ascii="Times New Roman" w:hAnsi="Times New Roman" w:cs="Times New Roman"/>
                <w:sz w:val="24"/>
                <w:szCs w:val="24"/>
              </w:rPr>
            </w:pPr>
            <w:r w:rsidRPr="00202A51">
              <w:rPr>
                <w:rFonts w:ascii="Times New Roman" w:hAnsi="Times New Roman" w:cs="Times New Roman"/>
                <w:sz w:val="24"/>
                <w:szCs w:val="24"/>
              </w:rPr>
              <w:t>2.</w:t>
            </w:r>
            <w:r w:rsidR="00E25AB7" w:rsidRPr="00202A51">
              <w:rPr>
                <w:rFonts w:ascii="Times New Roman" w:hAnsi="Times New Roman" w:cs="Times New Roman"/>
                <w:sz w:val="24"/>
                <w:szCs w:val="24"/>
              </w:rPr>
              <w:t xml:space="preserve"> </w:t>
            </w:r>
            <w:r w:rsidRPr="00202A51">
              <w:rPr>
                <w:rFonts w:ascii="Times New Roman" w:hAnsi="Times New Roman" w:cs="Times New Roman"/>
                <w:sz w:val="24"/>
                <w:szCs w:val="24"/>
              </w:rPr>
              <w:t xml:space="preserve">Veselības ministrijai 38 850 </w:t>
            </w:r>
            <w:r w:rsidRPr="00202A51">
              <w:rPr>
                <w:rFonts w:ascii="Times New Roman" w:hAnsi="Times New Roman" w:cs="Times New Roman"/>
                <w:i/>
                <w:sz w:val="24"/>
                <w:szCs w:val="24"/>
              </w:rPr>
              <w:t>euro</w:t>
            </w:r>
            <w:r w:rsidRPr="00202A51">
              <w:rPr>
                <w:rFonts w:ascii="Times New Roman" w:hAnsi="Times New Roman" w:cs="Times New Roman"/>
                <w:sz w:val="24"/>
                <w:szCs w:val="24"/>
              </w:rPr>
              <w:t xml:space="preserve"> t.sk.: </w:t>
            </w:r>
          </w:p>
          <w:p w:rsidR="0037795F" w:rsidRPr="00202A51" w:rsidRDefault="008479F8" w:rsidP="00E440B3">
            <w:pPr>
              <w:pStyle w:val="naisf"/>
              <w:spacing w:before="0" w:after="0"/>
              <w:ind w:firstLine="0"/>
            </w:pPr>
            <w:r w:rsidRPr="00202A51">
              <w:t>2.1.</w:t>
            </w:r>
            <w:r w:rsidR="00E25AB7" w:rsidRPr="00202A51">
              <w:t xml:space="preserve"> </w:t>
            </w:r>
            <w:r w:rsidRPr="00202A51">
              <w:t>neatliekamās medicīniskās palīdzības nodrošināšanai un koordinēšanai,</w:t>
            </w:r>
            <w:r w:rsidR="0037795F" w:rsidRPr="00202A51">
              <w:t xml:space="preserve"> Neatliekamās medicīniskās palīdzības dienestam</w:t>
            </w:r>
            <w:r w:rsidRPr="00202A51">
              <w:t xml:space="preserve"> (NMPD) 38 342 </w:t>
            </w:r>
            <w:r w:rsidRPr="00202A51">
              <w:rPr>
                <w:i/>
              </w:rPr>
              <w:t>euro</w:t>
            </w:r>
            <w:r w:rsidRPr="00202A51">
              <w:t xml:space="preserve">, </w:t>
            </w:r>
            <w:r w:rsidR="0037795F" w:rsidRPr="00202A51">
              <w:t>kas paredzēti medpunktu izveidei, intensīvās terapijas brigādes darba nodrošināšanai, reanimācijas brigādes darba nodrošināšanai, ārsta palīgu brigāžu darba nodrošināšanai, vadības ārstu un pirmās palīdzības posteņu nodrošināšanai.</w:t>
            </w:r>
          </w:p>
          <w:p w:rsidR="008479F8" w:rsidRPr="00202A51" w:rsidRDefault="008479F8" w:rsidP="00E440B3">
            <w:pPr>
              <w:pStyle w:val="naisf"/>
              <w:spacing w:before="0" w:after="0"/>
              <w:ind w:firstLine="0"/>
            </w:pPr>
            <w:r w:rsidRPr="00202A51">
              <w:t>2.2.</w:t>
            </w:r>
            <w:r w:rsidR="00E25AB7" w:rsidRPr="00202A51">
              <w:t xml:space="preserve"> </w:t>
            </w:r>
            <w:r w:rsidRPr="00202A51">
              <w:t>dzeramā ūdens mikrobioloģiskajai un ķīmiskajai izmeklēšanai (Veselības inspekcija) 508 </w:t>
            </w:r>
            <w:r w:rsidRPr="00202A51">
              <w:rPr>
                <w:i/>
              </w:rPr>
              <w:t>euro</w:t>
            </w:r>
            <w:r w:rsidRPr="00202A51">
              <w:t xml:space="preserve">, kas paredzēti laboratorisko izmeklējumu uzdevuma izstrādāšana fizikāli ķīmiskajiem un mikrobioloģiskajiem izmeklējumiem, paraugu ņemšanai fizikāli ķīmiskiem un mikrobioloģiskiem izmeklējumiem dzeramajam ūdenim (t.sk. </w:t>
            </w:r>
            <w:proofErr w:type="spellStart"/>
            <w:r w:rsidRPr="00202A51">
              <w:t>Svētavota</w:t>
            </w:r>
            <w:proofErr w:type="spellEnd"/>
            <w:r w:rsidRPr="00202A51">
              <w:t xml:space="preserve"> ūdenim), speciālista atzinuma sagatavošanai par testēšanas pārskatiem. </w:t>
            </w:r>
          </w:p>
          <w:p w:rsidR="008479F8" w:rsidRPr="00202A51" w:rsidRDefault="008479F8" w:rsidP="00E440B3">
            <w:pPr>
              <w:pStyle w:val="naisf"/>
              <w:spacing w:before="0" w:after="0"/>
              <w:ind w:firstLine="0"/>
            </w:pPr>
            <w:r w:rsidRPr="00202A51">
              <w:t>3.</w:t>
            </w:r>
            <w:r w:rsidR="00E25AB7" w:rsidRPr="00202A51">
              <w:t xml:space="preserve"> </w:t>
            </w:r>
            <w:r w:rsidRPr="00202A51">
              <w:t>Zemkopības ministrijai (valsts zinātniskajam institūtam „Pārtikas drošības, dzīvnieku veselības un vides zinātniskais institūts” Latgales reģionālajai nodaļai) dzeramā ūdens kārtējā monitoringa programmas paraugu izmeklēšanai pēc pasūtījuma 538</w:t>
            </w:r>
            <w:r w:rsidRPr="00202A51">
              <w:rPr>
                <w:i/>
              </w:rPr>
              <w:t xml:space="preserve"> euro</w:t>
            </w:r>
            <w:r w:rsidRPr="00202A51">
              <w:t xml:space="preserve"> (15 paraugi) un izmeklēšanai pēc šādiem rādītājiem: amonijs, </w:t>
            </w:r>
            <w:proofErr w:type="spellStart"/>
            <w:r w:rsidRPr="00202A51">
              <w:t>duļķainība</w:t>
            </w:r>
            <w:proofErr w:type="spellEnd"/>
            <w:r w:rsidRPr="00202A51">
              <w:t xml:space="preserve">, </w:t>
            </w:r>
            <w:proofErr w:type="spellStart"/>
            <w:r w:rsidRPr="00202A51">
              <w:rPr>
                <w:i/>
                <w:iCs/>
              </w:rPr>
              <w:t>Escherichia</w:t>
            </w:r>
            <w:proofErr w:type="spellEnd"/>
            <w:r w:rsidRPr="00202A51">
              <w:rPr>
                <w:i/>
                <w:iCs/>
              </w:rPr>
              <w:t xml:space="preserve"> </w:t>
            </w:r>
            <w:proofErr w:type="spellStart"/>
            <w:r w:rsidRPr="00202A51">
              <w:rPr>
                <w:i/>
                <w:iCs/>
              </w:rPr>
              <w:t>coli</w:t>
            </w:r>
            <w:proofErr w:type="spellEnd"/>
            <w:r w:rsidRPr="00202A51">
              <w:rPr>
                <w:i/>
                <w:iCs/>
              </w:rPr>
              <w:t xml:space="preserve"> </w:t>
            </w:r>
            <w:r w:rsidRPr="00202A51">
              <w:t xml:space="preserve">un </w:t>
            </w:r>
            <w:proofErr w:type="spellStart"/>
            <w:r w:rsidRPr="00202A51">
              <w:t>koliformas</w:t>
            </w:r>
            <w:proofErr w:type="spellEnd"/>
            <w:r w:rsidRPr="00202A51">
              <w:t xml:space="preserve">, garša un smarža, krāsainība, elektrovadītspēja, ūdeņraža jonu koncentrācija un testēšanas </w:t>
            </w:r>
            <w:r w:rsidRPr="00202A51">
              <w:lastRenderedPageBreak/>
              <w:t>pārskatu sagatavošanai.</w:t>
            </w:r>
          </w:p>
          <w:p w:rsidR="008479F8" w:rsidRPr="00F060CA" w:rsidRDefault="008479F8">
            <w:pPr>
              <w:spacing w:after="0" w:line="240" w:lineRule="auto"/>
              <w:rPr>
                <w:rFonts w:ascii="Times New Roman" w:hAnsi="Times New Roman" w:cs="Times New Roman"/>
                <w:sz w:val="24"/>
                <w:szCs w:val="24"/>
              </w:rPr>
            </w:pPr>
            <w:r w:rsidRPr="00202A51">
              <w:rPr>
                <w:rFonts w:ascii="Times New Roman" w:hAnsi="Times New Roman" w:cs="Times New Roman"/>
                <w:sz w:val="24"/>
                <w:szCs w:val="24"/>
              </w:rPr>
              <w:t xml:space="preserve">4. Tieslietu ministrijai </w:t>
            </w:r>
            <w:r w:rsidRPr="00927220">
              <w:rPr>
                <w:rFonts w:ascii="Times New Roman" w:hAnsi="Times New Roman" w:cs="Times New Roman"/>
                <w:sz w:val="24"/>
                <w:szCs w:val="24"/>
              </w:rPr>
              <w:t>5</w:t>
            </w:r>
            <w:r w:rsidR="007B566C">
              <w:rPr>
                <w:rFonts w:ascii="Times New Roman" w:hAnsi="Times New Roman" w:cs="Times New Roman"/>
                <w:sz w:val="24"/>
                <w:szCs w:val="24"/>
              </w:rPr>
              <w:t>5 50</w:t>
            </w:r>
            <w:r w:rsidRPr="00927220">
              <w:rPr>
                <w:rFonts w:ascii="Times New Roman" w:hAnsi="Times New Roman" w:cs="Times New Roman"/>
                <w:sz w:val="24"/>
                <w:szCs w:val="24"/>
              </w:rPr>
              <w:t>5</w:t>
            </w:r>
            <w:r w:rsidRPr="00F060CA">
              <w:rPr>
                <w:rFonts w:ascii="Times New Roman" w:hAnsi="Times New Roman" w:cs="Times New Roman"/>
                <w:i/>
                <w:sz w:val="24"/>
                <w:szCs w:val="24"/>
              </w:rPr>
              <w:t xml:space="preserve"> </w:t>
            </w:r>
            <w:proofErr w:type="spellStart"/>
            <w:r w:rsidRPr="00F060CA">
              <w:rPr>
                <w:rFonts w:ascii="Times New Roman" w:hAnsi="Times New Roman" w:cs="Times New Roman"/>
                <w:i/>
                <w:sz w:val="24"/>
                <w:szCs w:val="24"/>
              </w:rPr>
              <w:t>euro</w:t>
            </w:r>
            <w:proofErr w:type="spellEnd"/>
            <w:r w:rsidR="00E25AB7" w:rsidRPr="00F060CA">
              <w:rPr>
                <w:rFonts w:ascii="Times New Roman" w:hAnsi="Times New Roman" w:cs="Times New Roman"/>
                <w:sz w:val="24"/>
                <w:szCs w:val="24"/>
              </w:rPr>
              <w:t xml:space="preserve"> </w:t>
            </w:r>
            <w:proofErr w:type="spellStart"/>
            <w:r w:rsidR="00E25AB7" w:rsidRPr="00F060CA">
              <w:rPr>
                <w:rFonts w:ascii="Times New Roman" w:hAnsi="Times New Roman" w:cs="Times New Roman"/>
                <w:sz w:val="24"/>
                <w:szCs w:val="24"/>
              </w:rPr>
              <w:t>t.sk</w:t>
            </w:r>
            <w:proofErr w:type="spellEnd"/>
            <w:r w:rsidR="00E25AB7" w:rsidRPr="00F060CA">
              <w:rPr>
                <w:rFonts w:ascii="Times New Roman" w:hAnsi="Times New Roman" w:cs="Times New Roman"/>
                <w:sz w:val="24"/>
                <w:szCs w:val="24"/>
              </w:rPr>
              <w:t>.:</w:t>
            </w:r>
          </w:p>
          <w:p w:rsidR="008479F8" w:rsidRPr="00202A51" w:rsidRDefault="008479F8" w:rsidP="00E440B3">
            <w:pPr>
              <w:pStyle w:val="naisf"/>
              <w:spacing w:before="0" w:after="0"/>
              <w:ind w:firstLine="0"/>
            </w:pPr>
            <w:r w:rsidRPr="00202A51">
              <w:t>4.1.</w:t>
            </w:r>
            <w:r w:rsidR="00E25AB7" w:rsidRPr="00202A51">
              <w:t xml:space="preserve"> </w:t>
            </w:r>
            <w:r w:rsidRPr="00202A51">
              <w:t xml:space="preserve">atkritumu konteineru nomai un to kompleksai apkalpošanai 11 405 </w:t>
            </w:r>
            <w:r w:rsidRPr="00202A51">
              <w:rPr>
                <w:i/>
              </w:rPr>
              <w:t>euro</w:t>
            </w:r>
            <w:r w:rsidRPr="00202A51">
              <w:t>, kas par</w:t>
            </w:r>
            <w:r w:rsidR="0037795F" w:rsidRPr="00202A51">
              <w:t xml:space="preserve">edzēti 55 atkritumu konteineru </w:t>
            </w:r>
            <w:r w:rsidRPr="00202A51">
              <w:t>ar tilpumu 1,1 m3 un 4 atkritumu konteineru ar tilpumu 7,0 m3 nomai un to izvešanai (kopumā plānots izvest 839 m3 atkritumu), kā arī cieto sadzīves atkritumu savākšanai, šķirošanai, pārvadāšanai un apglabāšanai, atkritumu konteineru uzstādīšanai, to remontam un</w:t>
            </w:r>
            <w:proofErr w:type="gramStart"/>
            <w:r w:rsidRPr="00202A51">
              <w:t xml:space="preserve">  </w:t>
            </w:r>
            <w:proofErr w:type="gramEnd"/>
            <w:r w:rsidRPr="00202A51">
              <w:t>uzturēšanai, mazgāšanai un dezinficēšanai.</w:t>
            </w:r>
          </w:p>
          <w:p w:rsidR="008479F8" w:rsidRPr="00202A51" w:rsidRDefault="008479F8">
            <w:pPr>
              <w:spacing w:after="0" w:line="240" w:lineRule="auto"/>
              <w:rPr>
                <w:rFonts w:ascii="Times New Roman" w:hAnsi="Times New Roman" w:cs="Times New Roman"/>
                <w:sz w:val="24"/>
                <w:szCs w:val="24"/>
              </w:rPr>
            </w:pPr>
            <w:r w:rsidRPr="00202A51">
              <w:rPr>
                <w:rFonts w:ascii="Times New Roman" w:hAnsi="Times New Roman" w:cs="Times New Roman"/>
                <w:sz w:val="24"/>
                <w:szCs w:val="24"/>
              </w:rPr>
              <w:t xml:space="preserve">4.2. pārvietojamo sabiedrisko tualešu nomai 13 032 </w:t>
            </w:r>
            <w:r w:rsidRPr="00202A51">
              <w:rPr>
                <w:rFonts w:ascii="Times New Roman" w:hAnsi="Times New Roman" w:cs="Times New Roman"/>
                <w:i/>
                <w:sz w:val="24"/>
                <w:szCs w:val="24"/>
              </w:rPr>
              <w:t>euro</w:t>
            </w:r>
            <w:r w:rsidRPr="00202A51">
              <w:rPr>
                <w:rFonts w:ascii="Times New Roman" w:hAnsi="Times New Roman" w:cs="Times New Roman"/>
                <w:sz w:val="24"/>
                <w:szCs w:val="24"/>
              </w:rPr>
              <w:t xml:space="preserve"> t.sk.: </w:t>
            </w:r>
          </w:p>
          <w:p w:rsidR="008479F8" w:rsidRPr="00202A51" w:rsidRDefault="008479F8">
            <w:pPr>
              <w:spacing w:after="0" w:line="240" w:lineRule="auto"/>
              <w:rPr>
                <w:rFonts w:ascii="Times New Roman" w:hAnsi="Times New Roman" w:cs="Times New Roman"/>
                <w:sz w:val="24"/>
                <w:szCs w:val="24"/>
              </w:rPr>
            </w:pPr>
            <w:r w:rsidRPr="00202A51">
              <w:rPr>
                <w:rFonts w:ascii="Times New Roman" w:hAnsi="Times New Roman" w:cs="Times New Roman"/>
                <w:sz w:val="24"/>
                <w:szCs w:val="24"/>
              </w:rPr>
              <w:t xml:space="preserve">1.dienā 21 </w:t>
            </w:r>
            <w:proofErr w:type="spellStart"/>
            <w:r w:rsidRPr="00202A51">
              <w:rPr>
                <w:rFonts w:ascii="Times New Roman" w:hAnsi="Times New Roman" w:cs="Times New Roman"/>
                <w:sz w:val="24"/>
                <w:szCs w:val="24"/>
              </w:rPr>
              <w:t>bio-tualešu</w:t>
            </w:r>
            <w:proofErr w:type="spellEnd"/>
            <w:r w:rsidRPr="00202A51">
              <w:rPr>
                <w:rFonts w:ascii="Times New Roman" w:hAnsi="Times New Roman" w:cs="Times New Roman"/>
                <w:sz w:val="24"/>
                <w:szCs w:val="24"/>
              </w:rPr>
              <w:t xml:space="preserve"> noma un 2 roku mazgājamo ierīču noma. </w:t>
            </w:r>
          </w:p>
          <w:p w:rsidR="008479F8" w:rsidRPr="00202A51" w:rsidRDefault="008479F8">
            <w:pPr>
              <w:spacing w:after="0" w:line="240" w:lineRule="auto"/>
              <w:rPr>
                <w:rFonts w:ascii="Times New Roman" w:hAnsi="Times New Roman" w:cs="Times New Roman"/>
                <w:sz w:val="24"/>
                <w:szCs w:val="24"/>
              </w:rPr>
            </w:pPr>
            <w:r w:rsidRPr="00202A51">
              <w:rPr>
                <w:rFonts w:ascii="Times New Roman" w:hAnsi="Times New Roman" w:cs="Times New Roman"/>
                <w:sz w:val="24"/>
                <w:szCs w:val="24"/>
              </w:rPr>
              <w:t xml:space="preserve">2.dienā 42 </w:t>
            </w:r>
            <w:proofErr w:type="spellStart"/>
            <w:r w:rsidRPr="00202A51">
              <w:rPr>
                <w:rFonts w:ascii="Times New Roman" w:hAnsi="Times New Roman" w:cs="Times New Roman"/>
                <w:sz w:val="24"/>
                <w:szCs w:val="24"/>
              </w:rPr>
              <w:t>bio-tualešu</w:t>
            </w:r>
            <w:proofErr w:type="spellEnd"/>
            <w:r w:rsidRPr="00202A51">
              <w:rPr>
                <w:rFonts w:ascii="Times New Roman" w:hAnsi="Times New Roman" w:cs="Times New Roman"/>
                <w:sz w:val="24"/>
                <w:szCs w:val="24"/>
              </w:rPr>
              <w:t xml:space="preserve"> noma, 4 roku mazgājamo ierīču noma un to apkope. </w:t>
            </w:r>
          </w:p>
          <w:p w:rsidR="008479F8" w:rsidRPr="00202A51" w:rsidRDefault="008479F8">
            <w:pPr>
              <w:spacing w:after="0" w:line="240" w:lineRule="auto"/>
              <w:rPr>
                <w:rFonts w:ascii="Times New Roman" w:hAnsi="Times New Roman" w:cs="Times New Roman"/>
                <w:sz w:val="24"/>
                <w:szCs w:val="24"/>
              </w:rPr>
            </w:pPr>
            <w:r w:rsidRPr="00202A51">
              <w:rPr>
                <w:rFonts w:ascii="Times New Roman" w:hAnsi="Times New Roman" w:cs="Times New Roman"/>
                <w:sz w:val="24"/>
                <w:szCs w:val="24"/>
              </w:rPr>
              <w:t xml:space="preserve">3.dienā 77 </w:t>
            </w:r>
            <w:proofErr w:type="spellStart"/>
            <w:r w:rsidRPr="00202A51">
              <w:rPr>
                <w:rFonts w:ascii="Times New Roman" w:hAnsi="Times New Roman" w:cs="Times New Roman"/>
                <w:sz w:val="24"/>
                <w:szCs w:val="24"/>
              </w:rPr>
              <w:t>bio-tualešu</w:t>
            </w:r>
            <w:proofErr w:type="spellEnd"/>
            <w:r w:rsidRPr="00202A51">
              <w:rPr>
                <w:rFonts w:ascii="Times New Roman" w:hAnsi="Times New Roman" w:cs="Times New Roman"/>
                <w:sz w:val="24"/>
                <w:szCs w:val="24"/>
              </w:rPr>
              <w:t xml:space="preserve"> noma, 10 roku mazgājamo ierīču noma un to apkope. </w:t>
            </w:r>
          </w:p>
          <w:p w:rsidR="008479F8" w:rsidRPr="00202A51" w:rsidRDefault="008479F8">
            <w:pPr>
              <w:spacing w:after="0" w:line="240" w:lineRule="auto"/>
              <w:rPr>
                <w:rFonts w:ascii="Times New Roman" w:hAnsi="Times New Roman" w:cs="Times New Roman"/>
                <w:sz w:val="24"/>
                <w:szCs w:val="24"/>
              </w:rPr>
            </w:pPr>
            <w:r w:rsidRPr="00202A51">
              <w:rPr>
                <w:rFonts w:ascii="Times New Roman" w:hAnsi="Times New Roman" w:cs="Times New Roman"/>
                <w:sz w:val="24"/>
                <w:szCs w:val="24"/>
              </w:rPr>
              <w:t xml:space="preserve">4.dienā 77 </w:t>
            </w:r>
            <w:proofErr w:type="spellStart"/>
            <w:r w:rsidRPr="00202A51">
              <w:rPr>
                <w:rFonts w:ascii="Times New Roman" w:hAnsi="Times New Roman" w:cs="Times New Roman"/>
                <w:sz w:val="24"/>
                <w:szCs w:val="24"/>
              </w:rPr>
              <w:t>bio-tualešu</w:t>
            </w:r>
            <w:proofErr w:type="spellEnd"/>
            <w:r w:rsidRPr="00202A51">
              <w:rPr>
                <w:rFonts w:ascii="Times New Roman" w:hAnsi="Times New Roman" w:cs="Times New Roman"/>
                <w:sz w:val="24"/>
                <w:szCs w:val="24"/>
              </w:rPr>
              <w:t xml:space="preserve"> noma, 10 roku mazgājamo ierīču noma un to apkope. </w:t>
            </w:r>
          </w:p>
          <w:p w:rsidR="008479F8" w:rsidRPr="00202A51" w:rsidRDefault="008479F8">
            <w:pPr>
              <w:spacing w:after="0" w:line="240" w:lineRule="auto"/>
              <w:rPr>
                <w:rFonts w:ascii="Times New Roman" w:hAnsi="Times New Roman" w:cs="Times New Roman"/>
                <w:sz w:val="24"/>
                <w:szCs w:val="24"/>
              </w:rPr>
            </w:pPr>
            <w:r w:rsidRPr="00202A51">
              <w:rPr>
                <w:rFonts w:ascii="Times New Roman" w:hAnsi="Times New Roman" w:cs="Times New Roman"/>
                <w:sz w:val="24"/>
                <w:szCs w:val="24"/>
              </w:rPr>
              <w:t>Transportēšanas un uzstādīšanas izdevumi</w:t>
            </w:r>
          </w:p>
          <w:p w:rsidR="00FD0C59" w:rsidRPr="00202A51" w:rsidRDefault="00FD0C59" w:rsidP="00E440B3">
            <w:pPr>
              <w:pStyle w:val="naisf"/>
              <w:spacing w:before="0" w:after="0"/>
              <w:ind w:firstLine="0"/>
            </w:pPr>
            <w:r w:rsidRPr="00202A51">
              <w:t>4.3.</w:t>
            </w:r>
            <w:r w:rsidR="00E25AB7" w:rsidRPr="00202A51">
              <w:t xml:space="preserve"> </w:t>
            </w:r>
            <w:r w:rsidRPr="00202A51">
              <w:t xml:space="preserve">trīs dzeramā ūdens </w:t>
            </w:r>
            <w:proofErr w:type="spellStart"/>
            <w:r w:rsidRPr="00202A51">
              <w:t>spiedbāku</w:t>
            </w:r>
            <w:proofErr w:type="spellEnd"/>
            <w:r w:rsidRPr="00202A51">
              <w:t xml:space="preserve"> un divu dzeramā ūdens apgādes tīklu ūdensvadu profilaktiskajai attīrīšanai un dezinfekcijai 768 </w:t>
            </w:r>
            <w:r w:rsidRPr="00202A51">
              <w:rPr>
                <w:i/>
              </w:rPr>
              <w:t>euro</w:t>
            </w:r>
            <w:r w:rsidRPr="00202A51">
              <w:t xml:space="preserve">, kas paredzēti Aglonas bazilikas un Aglonas katoļu ģimnāzijas trīs dzeramā ūdens </w:t>
            </w:r>
            <w:proofErr w:type="spellStart"/>
            <w:r w:rsidRPr="00202A51">
              <w:t>spiedbāku</w:t>
            </w:r>
            <w:proofErr w:type="spellEnd"/>
            <w:r w:rsidRPr="00202A51">
              <w:t xml:space="preserve"> attīrīšanai un dezinfekcijai, kā arī uzpildīšanai ar attīrīšanas un dezinfekcijas līdzekļu šķīdumu un ūdensvadu un </w:t>
            </w:r>
            <w:proofErr w:type="spellStart"/>
            <w:r w:rsidRPr="00202A51">
              <w:t>spiedbāku</w:t>
            </w:r>
            <w:proofErr w:type="spellEnd"/>
            <w:r w:rsidRPr="00202A51">
              <w:t xml:space="preserve"> skalošanai, nogulšņu un atlikušā reģenta izskalošanai, attīrīšanas un dezinfekcijas līdzekļu koncentrācijas mērījumu veikšanai.</w:t>
            </w:r>
          </w:p>
          <w:p w:rsidR="008479F8" w:rsidRPr="00202A51" w:rsidRDefault="008479F8" w:rsidP="00E440B3">
            <w:pPr>
              <w:pStyle w:val="naisf"/>
              <w:spacing w:before="0" w:after="0"/>
              <w:ind w:firstLine="0"/>
            </w:pPr>
            <w:r w:rsidRPr="00202A51">
              <w:t>4.4.</w:t>
            </w:r>
            <w:r w:rsidR="00E25AB7" w:rsidRPr="00202A51">
              <w:t xml:space="preserve"> </w:t>
            </w:r>
            <w:r w:rsidRPr="00202A51">
              <w:t xml:space="preserve">dzeramā ūdens apgādes sistēmas dezinficēšanai 850 </w:t>
            </w:r>
            <w:r w:rsidRPr="00202A51">
              <w:rPr>
                <w:i/>
              </w:rPr>
              <w:t>euro</w:t>
            </w:r>
            <w:r w:rsidRPr="00202A51">
              <w:t xml:space="preserve">, kas paredzēti ūdens attīrīšanas stacijas apkopei, </w:t>
            </w:r>
            <w:proofErr w:type="spellStart"/>
            <w:r w:rsidRPr="00202A51">
              <w:t>spiedfiltra</w:t>
            </w:r>
            <w:proofErr w:type="spellEnd"/>
            <w:r w:rsidRPr="00202A51">
              <w:t xml:space="preserve"> atdzelžošanai, gaisa kompresora kondensāta izvadīšanai, filtrējošo materiālu maiņai un citiem dzeramā ūdens dezinficēšanas pakalpojumiem. </w:t>
            </w:r>
          </w:p>
          <w:p w:rsidR="008479F8" w:rsidRPr="00202A51" w:rsidRDefault="008479F8" w:rsidP="00E440B3">
            <w:pPr>
              <w:pStyle w:val="naisf"/>
              <w:spacing w:before="0" w:after="0"/>
              <w:ind w:firstLine="0"/>
            </w:pPr>
            <w:r w:rsidRPr="00202A51">
              <w:t>4.5.</w:t>
            </w:r>
            <w:r w:rsidR="00202A51" w:rsidRPr="00202A51">
              <w:t xml:space="preserve"> </w:t>
            </w:r>
            <w:r w:rsidRPr="00202A51">
              <w:t xml:space="preserve">nepārtrauktas elektroapgādes garantēšanai pasākuma norises vietā 2 050 </w:t>
            </w:r>
            <w:r w:rsidRPr="00202A51">
              <w:rPr>
                <w:i/>
              </w:rPr>
              <w:t>euro</w:t>
            </w:r>
            <w:r w:rsidRPr="00202A51">
              <w:t xml:space="preserve">, kas paredzēti atlīdzības samaksai </w:t>
            </w:r>
            <w:proofErr w:type="spellStart"/>
            <w:r w:rsidRPr="00202A51">
              <w:t>dežūrbrigādei</w:t>
            </w:r>
            <w:proofErr w:type="spellEnd"/>
            <w:r w:rsidRPr="00202A51">
              <w:t>, kas nodrošinās elektrisko iekārtu nepārtrauktu apkalpošanu, apgaismojuma pārbaudei un remontam, gaismas objektu un palīgmateriālu izmaksām, kā arī transporta izdevumiem.</w:t>
            </w:r>
          </w:p>
          <w:p w:rsidR="008479F8" w:rsidRPr="00202A51" w:rsidRDefault="008479F8" w:rsidP="00E440B3">
            <w:pPr>
              <w:pStyle w:val="naisf"/>
              <w:spacing w:before="0" w:after="0"/>
              <w:ind w:firstLine="0"/>
            </w:pPr>
            <w:r w:rsidRPr="00202A51">
              <w:t>4.6.</w:t>
            </w:r>
            <w:r w:rsidR="00E25AB7" w:rsidRPr="00202A51">
              <w:t xml:space="preserve"> </w:t>
            </w:r>
            <w:r w:rsidRPr="00202A51">
              <w:t xml:space="preserve">notekūdeņu pārsūknēšanas, kanalizācijas sistēmas un </w:t>
            </w:r>
            <w:proofErr w:type="spellStart"/>
            <w:r w:rsidRPr="00202A51">
              <w:t>santehnisko</w:t>
            </w:r>
            <w:proofErr w:type="spellEnd"/>
            <w:r w:rsidRPr="00202A51">
              <w:t xml:space="preserve"> ierīču nepārtrauktas darbības garantēšanai 2 965 </w:t>
            </w:r>
            <w:r w:rsidRPr="00202A51">
              <w:rPr>
                <w:i/>
              </w:rPr>
              <w:t>euro</w:t>
            </w:r>
            <w:r w:rsidRPr="00202A51">
              <w:t>, kas paredzēti kanalizācijas sistēmas tīrīšanai, skalošanai un pārbaudei, bazilikas ūdensvadu un ar ūdeni skalojamo tualešu remontiem (</w:t>
            </w:r>
            <w:proofErr w:type="spellStart"/>
            <w:r w:rsidRPr="00202A51">
              <w:t>santehniskie</w:t>
            </w:r>
            <w:proofErr w:type="spellEnd"/>
            <w:r w:rsidRPr="00202A51">
              <w:t xml:space="preserve"> un metināšanas darbi), atlīdzības samaksai tehniskajai brigādei, kas būs atbildīga par avārijas tehnisko bojājumu novēršanu.</w:t>
            </w:r>
          </w:p>
          <w:p w:rsidR="008479F8" w:rsidRPr="00202A51" w:rsidRDefault="008479F8" w:rsidP="00E440B3">
            <w:pPr>
              <w:pStyle w:val="naisf"/>
              <w:spacing w:before="0" w:after="0"/>
              <w:ind w:firstLine="0"/>
            </w:pPr>
            <w:r w:rsidRPr="00202A51">
              <w:t>4.7.</w:t>
            </w:r>
            <w:r w:rsidR="00E25AB7" w:rsidRPr="00202A51">
              <w:t xml:space="preserve"> </w:t>
            </w:r>
            <w:r w:rsidRPr="00202A51">
              <w:t xml:space="preserve">apskaņošanas pakalpojumu nodrošināšanai 14 115 </w:t>
            </w:r>
            <w:r w:rsidRPr="00202A51">
              <w:rPr>
                <w:i/>
              </w:rPr>
              <w:t>euro</w:t>
            </w:r>
            <w:r w:rsidRPr="00202A51">
              <w:t>, kas paredzēti dažād</w:t>
            </w:r>
            <w:r w:rsidR="00F060CA">
              <w:t>ai</w:t>
            </w:r>
            <w:r w:rsidRPr="00F060CA">
              <w:t xml:space="preserve"> skaņas aparatūras nomai (</w:t>
            </w:r>
            <w:r w:rsidRPr="00202A51">
              <w:t xml:space="preserve">skandas, pastiprinātāji, statīvi, mikrofoni, līniju transformatori), kā arī skaņas apkalpošanas un transportēšanas izdevumu segšanai. </w:t>
            </w:r>
          </w:p>
          <w:p w:rsidR="008479F8" w:rsidRPr="00202A51" w:rsidRDefault="008479F8" w:rsidP="00E440B3">
            <w:pPr>
              <w:pStyle w:val="naisf"/>
              <w:spacing w:before="0" w:after="0"/>
              <w:ind w:firstLine="0"/>
            </w:pPr>
            <w:r w:rsidRPr="00202A51">
              <w:t>4.8.</w:t>
            </w:r>
            <w:r w:rsidR="00E25AB7" w:rsidRPr="00202A51">
              <w:t xml:space="preserve"> </w:t>
            </w:r>
            <w:r w:rsidRPr="00202A51">
              <w:t xml:space="preserve">ugunsgrēku profilaktisko pasākumu nodrošināšanai – 1 265 </w:t>
            </w:r>
            <w:r w:rsidRPr="00202A51">
              <w:rPr>
                <w:i/>
              </w:rPr>
              <w:t>euro</w:t>
            </w:r>
            <w:r w:rsidRPr="00202A51">
              <w:t xml:space="preserve">, kas paredzēti ugunsdzēšamo aparātu apkopei, kā arī profilaktisko pasākumu nodrošināšanai (atbildīgā personāla pa ugunsdrošību apmācību, ugunsdrošības instrukcijas izstrādāšana, objektu apgādāšana ar ugunsdrošības un darba drošības zīmēm, norādēm). </w:t>
            </w:r>
          </w:p>
          <w:p w:rsidR="008479F8" w:rsidRDefault="008479F8" w:rsidP="00E440B3">
            <w:pPr>
              <w:pStyle w:val="naisf"/>
              <w:spacing w:before="0" w:after="0"/>
              <w:ind w:firstLine="0"/>
            </w:pPr>
            <w:r w:rsidRPr="00202A51">
              <w:t>4.9.</w:t>
            </w:r>
            <w:r w:rsidR="00E25AB7" w:rsidRPr="00202A51">
              <w:t xml:space="preserve"> </w:t>
            </w:r>
            <w:proofErr w:type="gramStart"/>
            <w:r w:rsidR="00D41100" w:rsidRPr="00202A51">
              <w:t>video translāciju</w:t>
            </w:r>
            <w:proofErr w:type="gramEnd"/>
            <w:r w:rsidRPr="00202A51">
              <w:t xml:space="preserve"> nodrošināšanai 6 715 </w:t>
            </w:r>
            <w:r w:rsidRPr="00202A51">
              <w:rPr>
                <w:i/>
              </w:rPr>
              <w:t>euro</w:t>
            </w:r>
            <w:r w:rsidR="00D41100">
              <w:rPr>
                <w:i/>
              </w:rPr>
              <w:t xml:space="preserve"> </w:t>
            </w:r>
            <w:r w:rsidR="00D41100">
              <w:t>(atbilstoši saņemtajam piedāvājumam)</w:t>
            </w:r>
            <w:r w:rsidRPr="00202A51">
              <w:rPr>
                <w:i/>
              </w:rPr>
              <w:t xml:space="preserve">, </w:t>
            </w:r>
            <w:r w:rsidRPr="00202A51">
              <w:t>kas paredzēti</w:t>
            </w:r>
            <w:r w:rsidRPr="00202A51">
              <w:rPr>
                <w:i/>
              </w:rPr>
              <w:t xml:space="preserve"> </w:t>
            </w:r>
            <w:r w:rsidRPr="00202A51">
              <w:t>TV signāla translācijai uz citām Aglonas bazilikas teritorijas vietām (centrālajā laukumā, pie ieejas bazilikā, pie avotiņa) un visu ekrāniem nepieciešamo video aparatūru un komutācijas tehniku, kā arī iekārtu transportēšanu, uzstādīšanu un kvalificētu apkalpošanu pasākuma laikā un demontāžu pēc pasākuma.</w:t>
            </w:r>
          </w:p>
          <w:p w:rsidR="00A854D1" w:rsidRPr="00202A51" w:rsidRDefault="00A854D1" w:rsidP="00E440B3">
            <w:pPr>
              <w:pStyle w:val="naisf"/>
              <w:spacing w:before="0" w:after="0"/>
              <w:ind w:firstLine="0"/>
            </w:pPr>
            <w:r>
              <w:t>4.10.</w:t>
            </w:r>
            <w:r w:rsidRPr="00202A51">
              <w:t xml:space="preserve"> Aglonas pašvaldībai nepieciešami finanšu līdzekļi 2 340 </w:t>
            </w:r>
            <w:r w:rsidRPr="00202A51">
              <w:rPr>
                <w:i/>
              </w:rPr>
              <w:t>euro</w:t>
            </w:r>
            <w:r w:rsidRPr="00202A51">
              <w:t xml:space="preserve"> apmērā, lai svētku laikā nodrošinātu apmeklētāju drošību un kārtību Aglonas pašvaldības objektos un teritorijā. Lai nodrošinātu svētku apmeklētāju drošību un informētību par transporta maršrutiem un atiešanas/pienākšanas laikiem</w:t>
            </w:r>
            <w:r>
              <w:t>,</w:t>
            </w:r>
            <w:r w:rsidRPr="00F060CA">
              <w:t xml:space="preserve"> ir nepieciešams nodrošināt apgaismojumu Aglonas centrā un autobusu paviljonā. Ņemot vērā, ka svētku apmeklētāji uzturēsies ne tikai Draudzes teritorijā, bet arī pašvaldības teritorijā, ir nepieciešams finansējums teritorijas uzkopšanai un sakārtošanai </w:t>
            </w:r>
            <w:r w:rsidRPr="00202A51">
              <w:t>gan svētku laikā, gan pēc svētkiem.</w:t>
            </w:r>
          </w:p>
          <w:p w:rsidR="008479F8" w:rsidRPr="00202A51" w:rsidRDefault="008479F8" w:rsidP="00E440B3">
            <w:pPr>
              <w:pStyle w:val="naisf"/>
              <w:spacing w:before="0" w:after="0"/>
              <w:ind w:firstLine="0"/>
            </w:pPr>
            <w:r w:rsidRPr="00202A51">
              <w:lastRenderedPageBreak/>
              <w:t>5.</w:t>
            </w:r>
            <w:r w:rsidR="00A854D1">
              <w:t xml:space="preserve"> </w:t>
            </w:r>
            <w:r w:rsidRPr="00202A51">
              <w:t xml:space="preserve">Aizsardzības ministrijai atbalsta sniegšanai drošības un sabiedriskās kārtības nodrošināšanai Aglonas svētku laikā 5 903 </w:t>
            </w:r>
            <w:r w:rsidRPr="00202A51">
              <w:rPr>
                <w:i/>
              </w:rPr>
              <w:t>euro</w:t>
            </w:r>
            <w:r w:rsidRPr="00202A51">
              <w:t xml:space="preserve">, kas paredzēti dienesta uzdevumu izpildes kompensācijai zemessargiem, ēdināšanas izdevumi, </w:t>
            </w:r>
            <w:r w:rsidRPr="0075495D">
              <w:t>degviela (</w:t>
            </w:r>
            <w:r w:rsidR="00640915" w:rsidRPr="0075495D">
              <w:t>481</w:t>
            </w:r>
            <w:r w:rsidRPr="0075495D">
              <w:t xml:space="preserve"> litri</w:t>
            </w:r>
            <w:r w:rsidRPr="00202A51">
              <w:t xml:space="preserve"> dīzeļdegviela un 60 litri Ai 95 degviela), kā arī saimniecības preču iegādei, zemessargu uzturēšanās nodrošināšanai Aglonā svētku laikā.</w:t>
            </w:r>
          </w:p>
          <w:p w:rsidR="008479F8" w:rsidRPr="00202A51" w:rsidRDefault="008479F8">
            <w:pPr>
              <w:spacing w:after="0" w:line="240" w:lineRule="auto"/>
              <w:rPr>
                <w:rFonts w:ascii="Times New Roman" w:hAnsi="Times New Roman" w:cs="Times New Roman"/>
                <w:sz w:val="24"/>
                <w:szCs w:val="24"/>
              </w:rPr>
            </w:pPr>
          </w:p>
          <w:p w:rsidR="008479F8" w:rsidRPr="00202A51" w:rsidRDefault="008479F8" w:rsidP="00E440B3">
            <w:pPr>
              <w:pStyle w:val="naisf"/>
              <w:spacing w:before="0" w:after="0"/>
              <w:ind w:firstLine="0"/>
            </w:pPr>
            <w:r w:rsidRPr="00202A51">
              <w:rPr>
                <w:b/>
              </w:rPr>
              <w:t>2015.</w:t>
            </w:r>
            <w:r w:rsidR="00F060CA">
              <w:rPr>
                <w:b/>
              </w:rPr>
              <w:t xml:space="preserve"> </w:t>
            </w:r>
            <w:r w:rsidRPr="00F060CA">
              <w:rPr>
                <w:b/>
              </w:rPr>
              <w:t>gadā papildus</w:t>
            </w:r>
            <w:r w:rsidRPr="00F060CA">
              <w:t xml:space="preserve"> </w:t>
            </w:r>
            <w:r w:rsidR="00E25AB7" w:rsidRPr="00F060CA">
              <w:t xml:space="preserve">salīdzinot ar </w:t>
            </w:r>
            <w:r w:rsidRPr="00F060CA">
              <w:t>2014.</w:t>
            </w:r>
            <w:r w:rsidR="00F060CA">
              <w:t xml:space="preserve"> </w:t>
            </w:r>
            <w:r w:rsidRPr="00F060CA">
              <w:t>gadu un Ministru kabineta 2014.</w:t>
            </w:r>
            <w:r w:rsidR="00F060CA">
              <w:t xml:space="preserve"> </w:t>
            </w:r>
            <w:r w:rsidRPr="00F060CA">
              <w:t>gada 18.</w:t>
            </w:r>
            <w:r w:rsidR="00F060CA">
              <w:t xml:space="preserve"> </w:t>
            </w:r>
            <w:r w:rsidRPr="00F060CA">
              <w:t>marta sēdē (prot. Nr.17 44.§</w:t>
            </w:r>
            <w:r w:rsidR="00EB7DB3">
              <w:t>) pieņemto Informatīvo</w:t>
            </w:r>
            <w:r w:rsidRPr="00F060CA">
              <w:t xml:space="preserve"> ziņojum</w:t>
            </w:r>
            <w:r w:rsidR="00EB7DB3">
              <w:t>u</w:t>
            </w:r>
            <w:r w:rsidRPr="00F060CA">
              <w:t xml:space="preserve"> </w:t>
            </w:r>
            <w:r w:rsidR="00E25AB7" w:rsidRPr="00F060CA">
              <w:t>„</w:t>
            </w:r>
            <w:r w:rsidRPr="00F060CA">
              <w:t>Par valsts pamatbudžeta un valsts speciālā budžeta bāzi 2015., 2016. un 2017.</w:t>
            </w:r>
            <w:r w:rsidR="00F060CA">
              <w:t xml:space="preserve"> </w:t>
            </w:r>
            <w:r w:rsidRPr="00F060CA">
              <w:t>gadam un bāzes izdevumos neiekļauto ministriju un citu centrālo valsts iestāžu iesniegto pasākumu sarakstu</w:t>
            </w:r>
            <w:r w:rsidR="00E25AB7" w:rsidRPr="00202A51">
              <w:t>”</w:t>
            </w:r>
            <w:r w:rsidRPr="00202A51">
              <w:t xml:space="preserve"> Valsts nozīmes pasākuma starptautiskas nozīmes svētvietā Aglonā nodrošināšanai nepieciešami </w:t>
            </w:r>
            <w:r w:rsidRPr="00202A51">
              <w:rPr>
                <w:b/>
              </w:rPr>
              <w:t xml:space="preserve">9 463 </w:t>
            </w:r>
            <w:r w:rsidRPr="00202A51">
              <w:rPr>
                <w:b/>
                <w:i/>
              </w:rPr>
              <w:t>euro</w:t>
            </w:r>
            <w:r w:rsidRPr="00202A51">
              <w:rPr>
                <w:b/>
              </w:rPr>
              <w:t xml:space="preserve"> t.sk.</w:t>
            </w:r>
            <w:r w:rsidRPr="00202A51">
              <w:t xml:space="preserve">: </w:t>
            </w:r>
          </w:p>
          <w:p w:rsidR="00B36723" w:rsidRDefault="00B36723" w:rsidP="00DD73EF">
            <w:pPr>
              <w:spacing w:after="0" w:line="240" w:lineRule="auto"/>
              <w:rPr>
                <w:rFonts w:ascii="Times New Roman" w:hAnsi="Times New Roman" w:cs="Times New Roman"/>
                <w:sz w:val="24"/>
                <w:szCs w:val="24"/>
              </w:rPr>
            </w:pPr>
          </w:p>
          <w:p w:rsidR="00DD73EF" w:rsidRPr="0075495D" w:rsidRDefault="00DD73EF" w:rsidP="007E360E">
            <w:pPr>
              <w:spacing w:after="0" w:line="240" w:lineRule="auto"/>
              <w:jc w:val="both"/>
              <w:rPr>
                <w:rFonts w:ascii="Times New Roman" w:hAnsi="Times New Roman" w:cs="Times New Roman"/>
                <w:sz w:val="24"/>
                <w:szCs w:val="24"/>
              </w:rPr>
            </w:pPr>
            <w:r w:rsidRPr="0075495D">
              <w:rPr>
                <w:rFonts w:ascii="Times New Roman" w:hAnsi="Times New Roman" w:cs="Times New Roman"/>
                <w:sz w:val="24"/>
                <w:szCs w:val="24"/>
              </w:rPr>
              <w:t xml:space="preserve">Aizsardzības ministrijai 1 039 </w:t>
            </w:r>
            <w:r w:rsidRPr="0075495D">
              <w:rPr>
                <w:rFonts w:ascii="Times New Roman" w:hAnsi="Times New Roman" w:cs="Times New Roman"/>
                <w:i/>
                <w:sz w:val="24"/>
                <w:szCs w:val="24"/>
              </w:rPr>
              <w:t>euro</w:t>
            </w:r>
            <w:r w:rsidRPr="0075495D">
              <w:rPr>
                <w:rFonts w:ascii="Times New Roman" w:hAnsi="Times New Roman" w:cs="Times New Roman"/>
                <w:sz w:val="24"/>
                <w:szCs w:val="24"/>
              </w:rPr>
              <w:t xml:space="preserve"> t.sk.:</w:t>
            </w:r>
          </w:p>
          <w:p w:rsidR="00DD73EF" w:rsidRPr="0075495D" w:rsidRDefault="00DD73EF" w:rsidP="007E360E">
            <w:pPr>
              <w:spacing w:after="0" w:line="240" w:lineRule="auto"/>
              <w:ind w:firstLine="384"/>
              <w:jc w:val="both"/>
              <w:rPr>
                <w:rFonts w:ascii="Times New Roman" w:hAnsi="Times New Roman" w:cs="Times New Roman"/>
                <w:sz w:val="24"/>
                <w:szCs w:val="24"/>
              </w:rPr>
            </w:pPr>
            <w:r w:rsidRPr="0075495D">
              <w:rPr>
                <w:rFonts w:ascii="Times New Roman" w:hAnsi="Times New Roman" w:cs="Times New Roman"/>
                <w:sz w:val="24"/>
                <w:szCs w:val="24"/>
              </w:rPr>
              <w:t>Dienesta uzdevumu izp</w:t>
            </w:r>
            <w:r w:rsidRPr="007B566C">
              <w:rPr>
                <w:rFonts w:ascii="Times New Roman" w:hAnsi="Times New Roman" w:cs="Times New Roman"/>
                <w:sz w:val="24"/>
                <w:szCs w:val="24"/>
              </w:rPr>
              <w:t>i</w:t>
            </w:r>
            <w:r w:rsidRPr="0075495D">
              <w:rPr>
                <w:rFonts w:ascii="Times New Roman" w:hAnsi="Times New Roman" w:cs="Times New Roman"/>
                <w:sz w:val="24"/>
                <w:szCs w:val="24"/>
              </w:rPr>
              <w:t xml:space="preserve">ldes kompensāciju nodrošināšanai pilnā apmērā 399 </w:t>
            </w:r>
            <w:r w:rsidRPr="0075495D">
              <w:rPr>
                <w:rFonts w:ascii="Times New Roman" w:hAnsi="Times New Roman" w:cs="Times New Roman"/>
                <w:i/>
                <w:sz w:val="24"/>
                <w:szCs w:val="24"/>
              </w:rPr>
              <w:t>euro</w:t>
            </w:r>
            <w:r w:rsidRPr="0075495D">
              <w:rPr>
                <w:rFonts w:ascii="Times New Roman" w:hAnsi="Times New Roman" w:cs="Times New Roman"/>
                <w:sz w:val="24"/>
                <w:szCs w:val="24"/>
              </w:rPr>
              <w:t>;</w:t>
            </w:r>
          </w:p>
          <w:p w:rsidR="00DD73EF" w:rsidRPr="0075495D" w:rsidRDefault="00DD73EF" w:rsidP="007E360E">
            <w:pPr>
              <w:spacing w:after="0" w:line="240" w:lineRule="auto"/>
              <w:ind w:firstLine="384"/>
              <w:jc w:val="both"/>
              <w:rPr>
                <w:rFonts w:ascii="Times New Roman" w:hAnsi="Times New Roman" w:cs="Times New Roman"/>
                <w:i/>
                <w:sz w:val="24"/>
                <w:szCs w:val="24"/>
              </w:rPr>
            </w:pPr>
            <w:r w:rsidRPr="0075495D">
              <w:rPr>
                <w:rFonts w:ascii="Times New Roman" w:hAnsi="Times New Roman" w:cs="Times New Roman"/>
                <w:sz w:val="24"/>
                <w:szCs w:val="24"/>
              </w:rPr>
              <w:t xml:space="preserve">Zemessargu ēdināšanas izdevumu nodrošināšanai pilnā apmērā 640 </w:t>
            </w:r>
            <w:r w:rsidRPr="0075495D">
              <w:rPr>
                <w:rFonts w:ascii="Times New Roman" w:hAnsi="Times New Roman" w:cs="Times New Roman"/>
                <w:i/>
                <w:sz w:val="24"/>
                <w:szCs w:val="24"/>
              </w:rPr>
              <w:t>euro.</w:t>
            </w:r>
          </w:p>
          <w:p w:rsidR="00DD73EF" w:rsidRPr="0075495D" w:rsidRDefault="00DD73EF" w:rsidP="007E360E">
            <w:pPr>
              <w:spacing w:after="0" w:line="240" w:lineRule="auto"/>
              <w:jc w:val="both"/>
              <w:rPr>
                <w:rFonts w:ascii="Times New Roman" w:hAnsi="Times New Roman" w:cs="Times New Roman"/>
                <w:i/>
                <w:sz w:val="24"/>
                <w:szCs w:val="24"/>
              </w:rPr>
            </w:pPr>
          </w:p>
          <w:p w:rsidR="008479F8" w:rsidRPr="0075495D" w:rsidRDefault="008479F8" w:rsidP="007E360E">
            <w:pPr>
              <w:spacing w:after="0" w:line="240" w:lineRule="auto"/>
              <w:jc w:val="both"/>
              <w:rPr>
                <w:rFonts w:ascii="Times New Roman" w:hAnsi="Times New Roman" w:cs="Times New Roman"/>
                <w:sz w:val="24"/>
                <w:szCs w:val="24"/>
              </w:rPr>
            </w:pPr>
            <w:r w:rsidRPr="0075495D">
              <w:rPr>
                <w:rFonts w:ascii="Times New Roman" w:hAnsi="Times New Roman" w:cs="Times New Roman"/>
                <w:sz w:val="24"/>
                <w:szCs w:val="24"/>
              </w:rPr>
              <w:t xml:space="preserve">Tieslietu ministrijai </w:t>
            </w:r>
            <w:r w:rsidR="00DD73EF" w:rsidRPr="0075495D">
              <w:rPr>
                <w:rFonts w:ascii="Times New Roman" w:hAnsi="Times New Roman" w:cs="Times New Roman"/>
                <w:sz w:val="24"/>
                <w:szCs w:val="24"/>
              </w:rPr>
              <w:t>8 424</w:t>
            </w:r>
            <w:r w:rsidRPr="0075495D">
              <w:rPr>
                <w:rFonts w:ascii="Times New Roman" w:hAnsi="Times New Roman" w:cs="Times New Roman"/>
                <w:sz w:val="24"/>
                <w:szCs w:val="24"/>
              </w:rPr>
              <w:t xml:space="preserve"> </w:t>
            </w:r>
            <w:r w:rsidRPr="0075495D">
              <w:rPr>
                <w:rFonts w:ascii="Times New Roman" w:hAnsi="Times New Roman" w:cs="Times New Roman"/>
                <w:i/>
                <w:sz w:val="24"/>
                <w:szCs w:val="24"/>
              </w:rPr>
              <w:t>euro</w:t>
            </w:r>
            <w:r w:rsidRPr="0075495D">
              <w:rPr>
                <w:rFonts w:ascii="Times New Roman" w:hAnsi="Times New Roman" w:cs="Times New Roman"/>
                <w:sz w:val="24"/>
                <w:szCs w:val="24"/>
              </w:rPr>
              <w:t xml:space="preserve"> </w:t>
            </w:r>
            <w:r w:rsidR="00314037" w:rsidRPr="0075495D">
              <w:rPr>
                <w:rFonts w:ascii="Times New Roman" w:hAnsi="Times New Roman" w:cs="Times New Roman"/>
                <w:sz w:val="24"/>
                <w:szCs w:val="24"/>
              </w:rPr>
              <w:t>t.sk.</w:t>
            </w:r>
            <w:r w:rsidR="007416A1">
              <w:rPr>
                <w:rFonts w:ascii="Times New Roman" w:hAnsi="Times New Roman" w:cs="Times New Roman"/>
                <w:sz w:val="24"/>
                <w:szCs w:val="24"/>
              </w:rPr>
              <w:t>:</w:t>
            </w:r>
          </w:p>
          <w:p w:rsidR="00DD73EF" w:rsidRPr="0075495D" w:rsidRDefault="00DD73EF" w:rsidP="007E360E">
            <w:pPr>
              <w:spacing w:after="0" w:line="240" w:lineRule="auto"/>
              <w:ind w:firstLine="384"/>
              <w:jc w:val="both"/>
              <w:rPr>
                <w:rFonts w:ascii="Times New Roman" w:hAnsi="Times New Roman" w:cs="Times New Roman"/>
                <w:sz w:val="24"/>
                <w:szCs w:val="24"/>
              </w:rPr>
            </w:pPr>
            <w:r w:rsidRPr="0075495D">
              <w:rPr>
                <w:rFonts w:ascii="Times New Roman" w:hAnsi="Times New Roman" w:cs="Times New Roman"/>
                <w:sz w:val="24"/>
                <w:szCs w:val="24"/>
              </w:rPr>
              <w:t xml:space="preserve">Apmeklētāju drošības un kārtības nodrošināšanai Aglonas pašvaldības objektos un teritorijā 2 340 </w:t>
            </w:r>
            <w:r w:rsidRPr="00C160E9">
              <w:rPr>
                <w:rFonts w:ascii="Times New Roman" w:hAnsi="Times New Roman" w:cs="Times New Roman"/>
                <w:i/>
                <w:sz w:val="24"/>
                <w:szCs w:val="24"/>
              </w:rPr>
              <w:t>euro</w:t>
            </w:r>
            <w:r w:rsidRPr="0075495D">
              <w:rPr>
                <w:rFonts w:ascii="Times New Roman" w:hAnsi="Times New Roman" w:cs="Times New Roman"/>
                <w:sz w:val="24"/>
                <w:szCs w:val="24"/>
              </w:rPr>
              <w:t>;</w:t>
            </w:r>
          </w:p>
          <w:p w:rsidR="00314037" w:rsidRPr="00202A51" w:rsidRDefault="00640915" w:rsidP="007E360E">
            <w:pPr>
              <w:spacing w:after="0" w:line="240" w:lineRule="auto"/>
              <w:ind w:firstLine="384"/>
              <w:jc w:val="both"/>
              <w:rPr>
                <w:rFonts w:ascii="Times New Roman" w:hAnsi="Times New Roman" w:cs="Times New Roman"/>
                <w:sz w:val="24"/>
                <w:szCs w:val="24"/>
              </w:rPr>
            </w:pPr>
            <w:proofErr w:type="spellStart"/>
            <w:r w:rsidRPr="0075495D">
              <w:rPr>
                <w:rFonts w:ascii="Times New Roman" w:hAnsi="Times New Roman" w:cs="Times New Roman"/>
                <w:sz w:val="24"/>
                <w:szCs w:val="24"/>
              </w:rPr>
              <w:t>Videotranslāciju</w:t>
            </w:r>
            <w:proofErr w:type="spellEnd"/>
            <w:r w:rsidR="00D41100" w:rsidRPr="0075495D">
              <w:rPr>
                <w:rFonts w:ascii="Times New Roman" w:hAnsi="Times New Roman" w:cs="Times New Roman"/>
                <w:sz w:val="24"/>
                <w:szCs w:val="24"/>
              </w:rPr>
              <w:t xml:space="preserve"> nodrošināšanai</w:t>
            </w:r>
            <w:r w:rsidR="00B36723" w:rsidRPr="0075495D">
              <w:rPr>
                <w:rFonts w:ascii="Times New Roman" w:hAnsi="Times New Roman" w:cs="Times New Roman"/>
                <w:sz w:val="24"/>
                <w:szCs w:val="24"/>
              </w:rPr>
              <w:t xml:space="preserve"> </w:t>
            </w:r>
            <w:r w:rsidR="007E360E" w:rsidRPr="0075495D">
              <w:rPr>
                <w:rFonts w:ascii="Times New Roman" w:hAnsi="Times New Roman" w:cs="Times New Roman"/>
                <w:sz w:val="24"/>
                <w:szCs w:val="24"/>
              </w:rPr>
              <w:t xml:space="preserve">bazilikas teritorijā </w:t>
            </w:r>
            <w:r w:rsidR="00D41100" w:rsidRPr="0075495D">
              <w:rPr>
                <w:rFonts w:ascii="Times New Roman" w:hAnsi="Times New Roman" w:cs="Times New Roman"/>
                <w:sz w:val="24"/>
                <w:szCs w:val="24"/>
              </w:rPr>
              <w:t xml:space="preserve">6 715 </w:t>
            </w:r>
            <w:r w:rsidR="00D41100" w:rsidRPr="0075495D">
              <w:rPr>
                <w:rFonts w:ascii="Times New Roman" w:hAnsi="Times New Roman" w:cs="Times New Roman"/>
                <w:i/>
                <w:sz w:val="24"/>
                <w:szCs w:val="24"/>
              </w:rPr>
              <w:t>euro</w:t>
            </w:r>
            <w:r w:rsidR="00DD73EF" w:rsidRPr="0075495D">
              <w:rPr>
                <w:rFonts w:ascii="Times New Roman" w:hAnsi="Times New Roman" w:cs="Times New Roman"/>
                <w:i/>
                <w:sz w:val="24"/>
                <w:szCs w:val="24"/>
              </w:rPr>
              <w:t xml:space="preserve">, </w:t>
            </w:r>
            <w:r w:rsidR="00DD73EF" w:rsidRPr="0075495D">
              <w:rPr>
                <w:rFonts w:ascii="Times New Roman" w:hAnsi="Times New Roman" w:cs="Times New Roman"/>
                <w:sz w:val="24"/>
                <w:szCs w:val="24"/>
              </w:rPr>
              <w:t>taču ņemot vērā</w:t>
            </w:r>
            <w:r w:rsidR="00B36723" w:rsidRPr="0075495D">
              <w:rPr>
                <w:rFonts w:ascii="Times New Roman" w:hAnsi="Times New Roman" w:cs="Times New Roman"/>
                <w:sz w:val="24"/>
                <w:szCs w:val="24"/>
              </w:rPr>
              <w:t>, ka</w:t>
            </w:r>
            <w:r w:rsidR="00DD73EF" w:rsidRPr="0075495D">
              <w:rPr>
                <w:rFonts w:ascii="Times New Roman" w:hAnsi="Times New Roman" w:cs="Times New Roman"/>
                <w:sz w:val="24"/>
                <w:szCs w:val="24"/>
              </w:rPr>
              <w:t xml:space="preserve"> </w:t>
            </w:r>
            <w:proofErr w:type="gramStart"/>
            <w:r w:rsidR="00B36723" w:rsidRPr="0075495D">
              <w:rPr>
                <w:rFonts w:ascii="Times New Roman" w:hAnsi="Times New Roman" w:cs="Times New Roman"/>
                <w:sz w:val="24"/>
                <w:szCs w:val="24"/>
              </w:rPr>
              <w:t>2015.gadā</w:t>
            </w:r>
            <w:proofErr w:type="gramEnd"/>
            <w:r w:rsidR="00B36723" w:rsidRPr="0075495D">
              <w:rPr>
                <w:rFonts w:ascii="Times New Roman" w:hAnsi="Times New Roman" w:cs="Times New Roman"/>
                <w:sz w:val="24"/>
                <w:szCs w:val="24"/>
              </w:rPr>
              <w:t xml:space="preserve"> punkt</w:t>
            </w:r>
            <w:r w:rsidR="007E360E" w:rsidRPr="0075495D">
              <w:rPr>
                <w:rFonts w:ascii="Times New Roman" w:hAnsi="Times New Roman" w:cs="Times New Roman"/>
                <w:sz w:val="24"/>
                <w:szCs w:val="24"/>
              </w:rPr>
              <w:t>os</w:t>
            </w:r>
            <w:r w:rsidR="00B36723" w:rsidRPr="0075495D">
              <w:rPr>
                <w:rFonts w:ascii="Times New Roman" w:hAnsi="Times New Roman" w:cs="Times New Roman"/>
                <w:sz w:val="24"/>
                <w:szCs w:val="24"/>
              </w:rPr>
              <w:t xml:space="preserve"> 4.2., 4.3. un 4.4. </w:t>
            </w:r>
            <w:r w:rsidR="007E360E" w:rsidRPr="0075495D">
              <w:rPr>
                <w:rFonts w:ascii="Times New Roman" w:hAnsi="Times New Roman" w:cs="Times New Roman"/>
                <w:sz w:val="24"/>
                <w:szCs w:val="24"/>
              </w:rPr>
              <w:t xml:space="preserve">minētajos pasākumos </w:t>
            </w:r>
            <w:r w:rsidR="00B36723" w:rsidRPr="0075495D">
              <w:rPr>
                <w:rFonts w:ascii="Times New Roman" w:hAnsi="Times New Roman" w:cs="Times New Roman"/>
                <w:sz w:val="24"/>
                <w:szCs w:val="24"/>
              </w:rPr>
              <w:t xml:space="preserve">nepieciešams mazāks </w:t>
            </w:r>
            <w:r w:rsidR="00DD73EF" w:rsidRPr="0075495D">
              <w:rPr>
                <w:rFonts w:ascii="Times New Roman" w:hAnsi="Times New Roman" w:cs="Times New Roman"/>
                <w:sz w:val="24"/>
                <w:szCs w:val="24"/>
              </w:rPr>
              <w:t xml:space="preserve">līdzekļu </w:t>
            </w:r>
            <w:r w:rsidR="007252F5">
              <w:rPr>
                <w:rFonts w:ascii="Times New Roman" w:hAnsi="Times New Roman" w:cs="Times New Roman"/>
                <w:sz w:val="24"/>
                <w:szCs w:val="24"/>
              </w:rPr>
              <w:t>apmērs, t</w:t>
            </w:r>
            <w:r w:rsidR="00B36723" w:rsidRPr="0075495D">
              <w:rPr>
                <w:rFonts w:ascii="Times New Roman" w:hAnsi="Times New Roman" w:cs="Times New Roman"/>
                <w:sz w:val="24"/>
                <w:szCs w:val="24"/>
              </w:rPr>
              <w:t xml:space="preserve">ad ietaupītos 631 </w:t>
            </w:r>
            <w:proofErr w:type="spellStart"/>
            <w:r w:rsidR="00B36723" w:rsidRPr="00C160E9">
              <w:rPr>
                <w:rFonts w:ascii="Times New Roman" w:hAnsi="Times New Roman" w:cs="Times New Roman"/>
                <w:i/>
                <w:sz w:val="24"/>
                <w:szCs w:val="24"/>
              </w:rPr>
              <w:t>euro</w:t>
            </w:r>
            <w:proofErr w:type="spellEnd"/>
            <w:r w:rsidR="00B36723" w:rsidRPr="0075495D">
              <w:rPr>
                <w:rFonts w:ascii="Times New Roman" w:hAnsi="Times New Roman" w:cs="Times New Roman"/>
                <w:sz w:val="24"/>
                <w:szCs w:val="24"/>
              </w:rPr>
              <w:t xml:space="preserve"> var novirzīt </w:t>
            </w:r>
            <w:proofErr w:type="spellStart"/>
            <w:r w:rsidR="00B36723" w:rsidRPr="0075495D">
              <w:rPr>
                <w:rFonts w:ascii="Times New Roman" w:hAnsi="Times New Roman" w:cs="Times New Roman"/>
                <w:sz w:val="24"/>
                <w:szCs w:val="24"/>
              </w:rPr>
              <w:t>videotranslāciju</w:t>
            </w:r>
            <w:proofErr w:type="spellEnd"/>
            <w:r w:rsidR="00B36723" w:rsidRPr="0075495D">
              <w:rPr>
                <w:rFonts w:ascii="Times New Roman" w:hAnsi="Times New Roman" w:cs="Times New Roman"/>
                <w:sz w:val="24"/>
                <w:szCs w:val="24"/>
              </w:rPr>
              <w:t xml:space="preserve"> nodrošināšanai, līdz ar to </w:t>
            </w:r>
            <w:proofErr w:type="spellStart"/>
            <w:r w:rsidR="00B36723" w:rsidRPr="0075495D">
              <w:rPr>
                <w:rFonts w:ascii="Times New Roman" w:hAnsi="Times New Roman" w:cs="Times New Roman"/>
                <w:sz w:val="24"/>
                <w:szCs w:val="24"/>
              </w:rPr>
              <w:t>videotranslāciju</w:t>
            </w:r>
            <w:proofErr w:type="spellEnd"/>
            <w:r w:rsidR="00B36723" w:rsidRPr="0075495D">
              <w:rPr>
                <w:rFonts w:ascii="Times New Roman" w:hAnsi="Times New Roman" w:cs="Times New Roman"/>
                <w:sz w:val="24"/>
                <w:szCs w:val="24"/>
              </w:rPr>
              <w:t xml:space="preserve"> nodrošināšanai nepieciešami 6 084 </w:t>
            </w:r>
            <w:r w:rsidR="00B36723" w:rsidRPr="0075495D">
              <w:rPr>
                <w:rFonts w:ascii="Times New Roman" w:hAnsi="Times New Roman" w:cs="Times New Roman"/>
                <w:i/>
                <w:sz w:val="24"/>
                <w:szCs w:val="24"/>
              </w:rPr>
              <w:t>euro</w:t>
            </w:r>
            <w:r w:rsidR="00B36723" w:rsidRPr="0075495D">
              <w:rPr>
                <w:rFonts w:ascii="Times New Roman" w:hAnsi="Times New Roman" w:cs="Times New Roman"/>
                <w:sz w:val="24"/>
                <w:szCs w:val="24"/>
              </w:rPr>
              <w:t>.</w:t>
            </w:r>
          </w:p>
        </w:tc>
      </w:tr>
      <w:tr w:rsidR="00202A51" w:rsidRPr="00202A51" w:rsidTr="00752C69">
        <w:trPr>
          <w:jc w:val="center"/>
        </w:trPr>
        <w:tc>
          <w:tcPr>
            <w:tcW w:w="2402" w:type="dxa"/>
            <w:shd w:val="clear" w:color="auto" w:fill="auto"/>
          </w:tcPr>
          <w:p w:rsidR="008479F8" w:rsidRPr="00202A51" w:rsidRDefault="00A854D1">
            <w:pPr>
              <w:spacing w:after="0" w:line="240" w:lineRule="auto"/>
              <w:rPr>
                <w:rFonts w:ascii="Times New Roman" w:hAnsi="Times New Roman" w:cs="Times New Roman"/>
                <w:sz w:val="24"/>
                <w:szCs w:val="24"/>
              </w:rPr>
            </w:pPr>
            <w:r w:rsidRPr="0075495D">
              <w:rPr>
                <w:rFonts w:ascii="Times New Roman" w:hAnsi="Times New Roman" w:cs="Times New Roman"/>
                <w:sz w:val="24"/>
                <w:szCs w:val="24"/>
              </w:rPr>
              <w:lastRenderedPageBreak/>
              <w:t>7</w:t>
            </w:r>
            <w:r w:rsidR="008479F8" w:rsidRPr="0075495D">
              <w:rPr>
                <w:rFonts w:ascii="Times New Roman" w:hAnsi="Times New Roman" w:cs="Times New Roman"/>
                <w:sz w:val="24"/>
                <w:szCs w:val="24"/>
              </w:rPr>
              <w:t>. Cita informācija</w:t>
            </w:r>
          </w:p>
        </w:tc>
        <w:tc>
          <w:tcPr>
            <w:tcW w:w="6800" w:type="dxa"/>
            <w:gridSpan w:val="5"/>
            <w:shd w:val="clear" w:color="auto" w:fill="auto"/>
          </w:tcPr>
          <w:p w:rsidR="007252F5" w:rsidRPr="007252F5" w:rsidRDefault="007252F5" w:rsidP="007679CC">
            <w:pPr>
              <w:pStyle w:val="naisf"/>
              <w:spacing w:before="0" w:after="0"/>
              <w:ind w:firstLine="0"/>
            </w:pPr>
            <w:r w:rsidRPr="007252F5">
              <w:t>Finanšu ministrijai palielināt Tieslietu ministrijas (</w:t>
            </w:r>
            <w:r w:rsidRPr="007252F5">
              <w:rPr>
                <w:bCs/>
                <w:iCs/>
                <w:lang w:eastAsia="zh-TW"/>
              </w:rPr>
              <w:t>apakšprogrammas 09.04.00. „Valsts nozīmes pasākumu norises nodrošināšana starptautiskas nozīmes svētvietā Aglonā”)</w:t>
            </w:r>
            <w:r w:rsidRPr="007252F5">
              <w:t xml:space="preserve"> un Aizsardzības ministrijas </w:t>
            </w:r>
            <w:proofErr w:type="gramStart"/>
            <w:r w:rsidRPr="007252F5">
              <w:t>(</w:t>
            </w:r>
            <w:proofErr w:type="gramEnd"/>
            <w:r w:rsidRPr="007252F5">
              <w:rPr>
                <w:bCs/>
                <w:iCs/>
                <w:lang w:eastAsia="zh-TW"/>
              </w:rPr>
              <w:t>apakšprogrammas 22.10.00. „Starptautisko operāciju un Nacionālo bruņoto spēku personālsastāva centralizētais atalgojums”)</w:t>
            </w:r>
            <w:r w:rsidRPr="007252F5">
              <w:t xml:space="preserve"> bāzes izdevumus </w:t>
            </w:r>
            <w:r>
              <w:t>2015. </w:t>
            </w:r>
            <w:r w:rsidRPr="007252F5">
              <w:t xml:space="preserve">gadam un turpmākajiem gadiem attiecīgi par 8 424 </w:t>
            </w:r>
            <w:r w:rsidR="007679CC" w:rsidRPr="00C160E9">
              <w:rPr>
                <w:i/>
              </w:rPr>
              <w:t xml:space="preserve">euro </w:t>
            </w:r>
            <w:r w:rsidRPr="007252F5">
              <w:t>un 1</w:t>
            </w:r>
            <w:r w:rsidR="007679CC">
              <w:t> </w:t>
            </w:r>
            <w:r w:rsidRPr="007252F5">
              <w:t>039</w:t>
            </w:r>
            <w:r w:rsidR="007679CC" w:rsidRPr="00C160E9">
              <w:rPr>
                <w:i/>
              </w:rPr>
              <w:t xml:space="preserve"> euro</w:t>
            </w:r>
            <w:r w:rsidRPr="007252F5">
              <w:t>, lai nodrošinātu Valsts nozīmes pasākuma starptautiskas nozīmes svētvietā Aglonā – Vissvētākās Jaunavas Marijas Debesīs uzņemšanas svētku norisi.</w:t>
            </w:r>
          </w:p>
        </w:tc>
      </w:tr>
    </w:tbl>
    <w:p w:rsidR="00E440B3" w:rsidRDefault="00E440B3" w:rsidP="008479F8">
      <w:pPr>
        <w:spacing w:after="0" w:line="240" w:lineRule="auto"/>
        <w:rPr>
          <w:rFonts w:ascii="Times New Roman" w:eastAsia="Times New Roman" w:hAnsi="Times New Roman" w:cs="Times New Roman"/>
          <w:i/>
          <w:iCs/>
          <w:sz w:val="24"/>
          <w:szCs w:val="24"/>
          <w:lang w:eastAsia="lv-LV"/>
        </w:rPr>
      </w:pPr>
    </w:p>
    <w:p w:rsidR="008479F8" w:rsidRPr="00202A51" w:rsidRDefault="000D7170" w:rsidP="008479F8">
      <w:pPr>
        <w:spacing w:after="0" w:line="240" w:lineRule="auto"/>
        <w:rPr>
          <w:rFonts w:ascii="Times New Roman" w:eastAsia="Times New Roman" w:hAnsi="Times New Roman" w:cs="Times New Roman"/>
          <w:i/>
          <w:iCs/>
          <w:sz w:val="24"/>
          <w:szCs w:val="24"/>
          <w:lang w:eastAsia="lv-LV"/>
        </w:rPr>
      </w:pPr>
      <w:r w:rsidRPr="00202A51">
        <w:rPr>
          <w:rFonts w:ascii="Times New Roman" w:eastAsia="Times New Roman" w:hAnsi="Times New Roman" w:cs="Times New Roman"/>
          <w:i/>
          <w:iCs/>
          <w:sz w:val="24"/>
          <w:szCs w:val="24"/>
          <w:lang w:eastAsia="lv-LV"/>
        </w:rPr>
        <w:t>Anotācijas IV</w:t>
      </w:r>
      <w:r w:rsidR="00CC3072" w:rsidRPr="00202A51">
        <w:rPr>
          <w:rFonts w:ascii="Times New Roman" w:eastAsia="Times New Roman" w:hAnsi="Times New Roman" w:cs="Times New Roman"/>
          <w:i/>
          <w:iCs/>
          <w:sz w:val="24"/>
          <w:szCs w:val="24"/>
          <w:lang w:eastAsia="lv-LV"/>
        </w:rPr>
        <w:t xml:space="preserve"> un </w:t>
      </w:r>
      <w:r w:rsidRPr="00202A51">
        <w:rPr>
          <w:rFonts w:ascii="Times New Roman" w:eastAsia="Times New Roman" w:hAnsi="Times New Roman" w:cs="Times New Roman"/>
          <w:i/>
          <w:iCs/>
          <w:sz w:val="24"/>
          <w:szCs w:val="24"/>
          <w:lang w:eastAsia="lv-LV"/>
        </w:rPr>
        <w:t>V</w:t>
      </w:r>
      <w:r w:rsidR="00CC3072" w:rsidRPr="00202A51">
        <w:rPr>
          <w:rFonts w:ascii="Times New Roman" w:eastAsia="Times New Roman" w:hAnsi="Times New Roman" w:cs="Times New Roman"/>
          <w:i/>
          <w:iCs/>
          <w:sz w:val="24"/>
          <w:szCs w:val="24"/>
          <w:lang w:eastAsia="lv-LV"/>
        </w:rPr>
        <w:t xml:space="preserve"> </w:t>
      </w:r>
      <w:r w:rsidRPr="00202A51">
        <w:rPr>
          <w:rFonts w:ascii="Times New Roman" w:eastAsia="Times New Roman" w:hAnsi="Times New Roman" w:cs="Times New Roman"/>
          <w:i/>
          <w:iCs/>
          <w:sz w:val="24"/>
          <w:szCs w:val="24"/>
          <w:lang w:eastAsia="lv-LV"/>
        </w:rPr>
        <w:t>sadaļa – projekts šīs jomas neskar.</w:t>
      </w:r>
    </w:p>
    <w:p w:rsidR="00E25AB7" w:rsidRPr="00202A51" w:rsidRDefault="00E25AB7" w:rsidP="008479F8">
      <w:pPr>
        <w:spacing w:after="0" w:line="240" w:lineRule="auto"/>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202A51" w:rsidRPr="00202A51" w:rsidTr="00490CAE">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C3072" w:rsidRPr="00202A51" w:rsidRDefault="00CC3072" w:rsidP="00CC3072">
            <w:pPr>
              <w:spacing w:after="0" w:line="240" w:lineRule="auto"/>
              <w:ind w:firstLine="300"/>
              <w:rPr>
                <w:rFonts w:ascii="Times New Roman" w:eastAsia="Times New Roman" w:hAnsi="Times New Roman" w:cs="Times New Roman"/>
                <w:b/>
                <w:bCs/>
                <w:sz w:val="24"/>
                <w:szCs w:val="24"/>
                <w:lang w:eastAsia="lv-LV"/>
              </w:rPr>
            </w:pPr>
            <w:r w:rsidRPr="00202A51">
              <w:rPr>
                <w:rFonts w:ascii="Times New Roman" w:eastAsia="Times New Roman" w:hAnsi="Times New Roman" w:cs="Times New Roman"/>
                <w:b/>
                <w:bCs/>
                <w:sz w:val="24"/>
                <w:szCs w:val="24"/>
                <w:lang w:eastAsia="lv-LV"/>
              </w:rPr>
              <w:t>VI. Sabiedrības līdzdalība un komunikācijas aktivitātes</w:t>
            </w:r>
          </w:p>
        </w:tc>
      </w:tr>
      <w:tr w:rsidR="00202A51" w:rsidRPr="00202A51" w:rsidTr="00490CAE">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CC3072" w:rsidRPr="00202A51" w:rsidRDefault="00CC3072" w:rsidP="00CC3072">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CC3072" w:rsidRPr="00202A51" w:rsidRDefault="00CC3072">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B0092F" w:rsidRPr="00202A51" w:rsidRDefault="00CC3072" w:rsidP="00E440B3">
            <w:pPr>
              <w:pStyle w:val="naisf"/>
              <w:spacing w:before="0" w:after="0"/>
              <w:ind w:firstLine="0"/>
              <w:rPr>
                <w:rFonts w:eastAsia="Calibri"/>
              </w:rPr>
            </w:pPr>
            <w:r w:rsidRPr="00202A51">
              <w:rPr>
                <w:rFonts w:eastAsia="Calibri"/>
              </w:rPr>
              <w:t>Atbilstoši notei</w:t>
            </w:r>
            <w:r w:rsidR="00B0092F" w:rsidRPr="00202A51">
              <w:rPr>
                <w:rFonts w:eastAsia="Calibri"/>
              </w:rPr>
              <w:t>kumu Nr. 473 4. </w:t>
            </w:r>
            <w:r w:rsidRPr="00202A51">
              <w:rPr>
                <w:rFonts w:eastAsia="Calibri"/>
              </w:rPr>
              <w:t>punktam Ministru kabineta noteikto valsts nozīmes pasākumu norises koordinēšanai svētvietā izveido rīcības komite</w:t>
            </w:r>
            <w:r w:rsidR="00B0092F" w:rsidRPr="00202A51">
              <w:rPr>
                <w:rFonts w:eastAsia="Calibri"/>
              </w:rPr>
              <w:t xml:space="preserve">ju, kuras sastāvā ietilpst Aizsardzības ministrijas, Ekonomikas ministrijas, Finanšu ministrijas, Iekšlietu ministrijas, Vides aizsardzības un reģionālās attīstības ministrijas, Satiksmes ministrijas, Veselības ministrijas, </w:t>
            </w:r>
            <w:r w:rsidR="00B0092F" w:rsidRPr="00E440B3">
              <w:t>Zemkopības</w:t>
            </w:r>
            <w:r w:rsidR="00B0092F" w:rsidRPr="00202A51">
              <w:rPr>
                <w:rFonts w:eastAsia="Calibri"/>
              </w:rPr>
              <w:t xml:space="preserve"> ministrijas, Latgales reģiona attīstības padomes, Preiļu novada domes, Aglonas novada domes, reliģiskās organizācijas „Aglonas bazilikas draudze” pārstāvji.</w:t>
            </w:r>
          </w:p>
          <w:p w:rsidR="00CC3072" w:rsidRPr="00202A51" w:rsidRDefault="00B0092F" w:rsidP="00E440B3">
            <w:pPr>
              <w:pStyle w:val="naisf"/>
              <w:spacing w:before="0" w:after="0"/>
              <w:ind w:firstLine="0"/>
            </w:pPr>
            <w:r w:rsidRPr="00202A51">
              <w:rPr>
                <w:rFonts w:eastAsia="Calibri"/>
              </w:rPr>
              <w:t xml:space="preserve">Tiek organizētas rīcības komitejas sēdes, kuru laikā iesaistītās institūcijas izsaka viedokļus, </w:t>
            </w:r>
            <w:r w:rsidRPr="00E440B3">
              <w:t>komentārus</w:t>
            </w:r>
            <w:r w:rsidRPr="00202A51">
              <w:rPr>
                <w:rFonts w:eastAsia="Calibri"/>
              </w:rPr>
              <w:t xml:space="preserve">, kā arī </w:t>
            </w:r>
            <w:r w:rsidRPr="00202A51">
              <w:rPr>
                <w:rFonts w:eastAsia="Calibri"/>
              </w:rPr>
              <w:lastRenderedPageBreak/>
              <w:t>sniedz nepieciešamo informāciju.</w:t>
            </w:r>
            <w:r w:rsidR="00202A51" w:rsidRPr="00202A51" w:rsidDel="00202A51">
              <w:rPr>
                <w:rFonts w:eastAsia="Calibri"/>
              </w:rPr>
              <w:t xml:space="preserve"> </w:t>
            </w:r>
          </w:p>
        </w:tc>
      </w:tr>
      <w:tr w:rsidR="00202A51" w:rsidRPr="00202A51" w:rsidTr="00490CAE">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CC3072" w:rsidRPr="00202A51" w:rsidRDefault="00CC3072" w:rsidP="00CC3072">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CC3072" w:rsidRPr="00202A51" w:rsidRDefault="00CC3072">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CC3072" w:rsidRPr="00202A51" w:rsidRDefault="00B0092F" w:rsidP="00E440B3">
            <w:pPr>
              <w:pStyle w:val="naisf"/>
              <w:spacing w:before="0" w:after="0"/>
              <w:ind w:firstLine="0"/>
            </w:pPr>
            <w:r w:rsidRPr="00202A51">
              <w:rPr>
                <w:rFonts w:eastAsia="Calibri"/>
              </w:rPr>
              <w:t xml:space="preserve">Atbilstoši noteikumu Nr. 473 4. punktam rīcības komitejas sastāvā ir gan valsts </w:t>
            </w:r>
            <w:r w:rsidRPr="00E440B3">
              <w:t>pārvaldes</w:t>
            </w:r>
            <w:r w:rsidRPr="00202A51">
              <w:rPr>
                <w:rFonts w:eastAsia="Calibri"/>
              </w:rPr>
              <w:t xml:space="preserve"> pārstāvji, gan draudzes pārstāvji.</w:t>
            </w:r>
          </w:p>
        </w:tc>
      </w:tr>
      <w:tr w:rsidR="00202A51" w:rsidRPr="00202A51" w:rsidTr="00490CA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C3072" w:rsidRPr="00202A51" w:rsidRDefault="00CC3072" w:rsidP="00CC3072">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CC3072" w:rsidRPr="00202A51" w:rsidRDefault="00CC3072">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CC3072" w:rsidRPr="00202A51" w:rsidRDefault="00B0092F" w:rsidP="00B0092F">
            <w:pPr>
              <w:spacing w:after="0" w:line="240" w:lineRule="auto"/>
              <w:rPr>
                <w:rFonts w:ascii="Times New Roman" w:eastAsia="Times New Roman" w:hAnsi="Times New Roman" w:cs="Times New Roman"/>
                <w:sz w:val="24"/>
                <w:szCs w:val="24"/>
                <w:lang w:eastAsia="lv-LV"/>
              </w:rPr>
            </w:pPr>
            <w:r w:rsidRPr="00202A51">
              <w:rPr>
                <w:rFonts w:ascii="Times New Roman" w:eastAsia="Calibri" w:hAnsi="Times New Roman" w:cs="Times New Roman"/>
                <w:sz w:val="24"/>
                <w:szCs w:val="24"/>
              </w:rPr>
              <w:t xml:space="preserve">Rīcības komitejā visi jautājumi tika pieņemti balsojot. </w:t>
            </w:r>
          </w:p>
        </w:tc>
      </w:tr>
      <w:tr w:rsidR="00CC3072" w:rsidRPr="00202A51" w:rsidTr="00490CA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C3072" w:rsidRPr="00202A51" w:rsidRDefault="00CC3072" w:rsidP="00CC3072">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CC3072" w:rsidRPr="00202A51" w:rsidRDefault="00CC3072" w:rsidP="00CC3072">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CC3072" w:rsidRPr="00202A51" w:rsidRDefault="00B0092F" w:rsidP="00B0092F">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Nav.</w:t>
            </w:r>
          </w:p>
        </w:tc>
      </w:tr>
    </w:tbl>
    <w:p w:rsidR="00CC3072" w:rsidRPr="00202A51" w:rsidRDefault="00CC3072" w:rsidP="00CC3072">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202A51" w:rsidRPr="00202A51" w:rsidTr="00490CAE">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C3072" w:rsidRPr="00202A51" w:rsidRDefault="00CC3072" w:rsidP="00CC3072">
            <w:pPr>
              <w:spacing w:after="0" w:line="240" w:lineRule="auto"/>
              <w:ind w:firstLine="300"/>
              <w:rPr>
                <w:rFonts w:ascii="Times New Roman" w:eastAsia="Times New Roman" w:hAnsi="Times New Roman" w:cs="Times New Roman"/>
                <w:b/>
                <w:bCs/>
                <w:sz w:val="24"/>
                <w:szCs w:val="24"/>
                <w:lang w:eastAsia="lv-LV"/>
              </w:rPr>
            </w:pPr>
            <w:r w:rsidRPr="00202A51">
              <w:rPr>
                <w:rFonts w:ascii="Times New Roman" w:eastAsia="Times New Roman" w:hAnsi="Times New Roman" w:cs="Times New Roman"/>
                <w:b/>
                <w:bCs/>
                <w:sz w:val="24"/>
                <w:szCs w:val="24"/>
                <w:lang w:eastAsia="lv-LV"/>
              </w:rPr>
              <w:t>VII. Tiesību akta projekta izpildes nodrošināšana un tās ietekme uz institūcijām</w:t>
            </w:r>
          </w:p>
        </w:tc>
      </w:tr>
      <w:tr w:rsidR="00202A51" w:rsidRPr="00202A51" w:rsidTr="00490CAE">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CC3072" w:rsidRPr="00202A51" w:rsidRDefault="00CC3072" w:rsidP="00CC3072">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CC3072" w:rsidRPr="00202A51" w:rsidRDefault="00CC3072">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CC3072" w:rsidRPr="00202A51" w:rsidRDefault="00B0092F" w:rsidP="00E440B3">
            <w:pPr>
              <w:pStyle w:val="naisf"/>
              <w:spacing w:before="0" w:after="0"/>
              <w:ind w:firstLine="0"/>
            </w:pPr>
            <w:r w:rsidRPr="00202A51">
              <w:t>Iekšlietu ministrija, Veselības ministrija, Zemkopības ministrija, Satiksmes ministrija, Finanšu ministrija, Aizsardzības ministrija.</w:t>
            </w:r>
          </w:p>
        </w:tc>
      </w:tr>
      <w:tr w:rsidR="00202A51" w:rsidRPr="00202A51" w:rsidTr="00490CAE">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CC3072" w:rsidRPr="00202A51" w:rsidRDefault="00CC3072" w:rsidP="00CC3072">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CC3072" w:rsidRPr="00202A51" w:rsidRDefault="00CC3072">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 xml:space="preserve">Projekta izpildes ietekme uz pārvaldes funkcijām un institucionālo struktūru. </w:t>
            </w:r>
          </w:p>
          <w:p w:rsidR="00CC3072" w:rsidRPr="00202A51" w:rsidRDefault="00CC3072" w:rsidP="00927220">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CC3072" w:rsidRPr="00202A51" w:rsidRDefault="003E6F33" w:rsidP="003E6F33">
            <w:pPr>
              <w:spacing w:after="0" w:line="240" w:lineRule="auto"/>
              <w:rPr>
                <w:rFonts w:ascii="Times New Roman" w:eastAsia="Times New Roman" w:hAnsi="Times New Roman" w:cs="Times New Roman"/>
                <w:sz w:val="24"/>
                <w:szCs w:val="24"/>
                <w:lang w:eastAsia="lv-LV"/>
              </w:rPr>
            </w:pPr>
            <w:r w:rsidRPr="00202A51">
              <w:rPr>
                <w:rFonts w:ascii="Times New Roman" w:hAnsi="Times New Roman" w:cs="Times New Roman"/>
                <w:iCs/>
                <w:sz w:val="24"/>
                <w:szCs w:val="24"/>
              </w:rPr>
              <w:t>Projekts šo jomu neskar.</w:t>
            </w:r>
          </w:p>
        </w:tc>
      </w:tr>
      <w:tr w:rsidR="00CC3072" w:rsidRPr="00202A51" w:rsidTr="00490CAE">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CC3072" w:rsidRPr="00202A51" w:rsidRDefault="00CC3072" w:rsidP="00CC3072">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CC3072" w:rsidRPr="00202A51" w:rsidRDefault="00CC3072" w:rsidP="00CC3072">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CC3072" w:rsidRPr="00202A51" w:rsidRDefault="003E6F33" w:rsidP="003E6F33">
            <w:pPr>
              <w:spacing w:after="0" w:line="240" w:lineRule="auto"/>
              <w:rPr>
                <w:rFonts w:ascii="Times New Roman" w:eastAsia="Times New Roman" w:hAnsi="Times New Roman" w:cs="Times New Roman"/>
                <w:sz w:val="24"/>
                <w:szCs w:val="24"/>
                <w:lang w:eastAsia="lv-LV"/>
              </w:rPr>
            </w:pPr>
            <w:r w:rsidRPr="00202A51">
              <w:rPr>
                <w:rFonts w:ascii="Times New Roman" w:eastAsia="Times New Roman" w:hAnsi="Times New Roman" w:cs="Times New Roman"/>
                <w:sz w:val="24"/>
                <w:szCs w:val="24"/>
                <w:lang w:eastAsia="lv-LV"/>
              </w:rPr>
              <w:t>Nav.</w:t>
            </w:r>
          </w:p>
        </w:tc>
      </w:tr>
    </w:tbl>
    <w:p w:rsidR="00CC3072" w:rsidRPr="00202A51" w:rsidRDefault="00CC3072" w:rsidP="00CC3072">
      <w:pPr>
        <w:spacing w:after="0" w:line="240" w:lineRule="auto"/>
        <w:rPr>
          <w:rFonts w:ascii="Times New Roman" w:hAnsi="Times New Roman" w:cs="Times New Roman"/>
          <w:sz w:val="24"/>
          <w:szCs w:val="24"/>
        </w:rPr>
      </w:pPr>
    </w:p>
    <w:p w:rsidR="00CC3072" w:rsidRPr="00202A51" w:rsidRDefault="00CC3072" w:rsidP="008479F8">
      <w:pPr>
        <w:spacing w:after="0" w:line="240" w:lineRule="auto"/>
        <w:rPr>
          <w:rFonts w:ascii="Times New Roman" w:eastAsia="Times New Roman" w:hAnsi="Times New Roman" w:cs="Times New Roman"/>
          <w:sz w:val="24"/>
          <w:szCs w:val="24"/>
          <w:lang w:eastAsia="lv-LV"/>
        </w:rPr>
      </w:pPr>
    </w:p>
    <w:p w:rsidR="008479F8" w:rsidRPr="00202A51" w:rsidRDefault="008479F8" w:rsidP="008479F8">
      <w:pPr>
        <w:pStyle w:val="StyleRight"/>
        <w:spacing w:after="0"/>
        <w:ind w:firstLine="0"/>
        <w:jc w:val="both"/>
        <w:rPr>
          <w:sz w:val="24"/>
          <w:szCs w:val="24"/>
        </w:rPr>
      </w:pPr>
      <w:r w:rsidRPr="00202A51">
        <w:rPr>
          <w:sz w:val="24"/>
          <w:szCs w:val="24"/>
        </w:rPr>
        <w:t>Iesniedzējs:</w:t>
      </w:r>
    </w:p>
    <w:p w:rsidR="008479F8" w:rsidRPr="00202A51" w:rsidRDefault="0075495D" w:rsidP="008479F8">
      <w:pPr>
        <w:pStyle w:val="StyleRight"/>
        <w:spacing w:after="0"/>
        <w:ind w:firstLine="0"/>
        <w:jc w:val="both"/>
        <w:rPr>
          <w:sz w:val="24"/>
          <w:szCs w:val="24"/>
        </w:rPr>
      </w:pPr>
      <w:r>
        <w:rPr>
          <w:sz w:val="24"/>
          <w:szCs w:val="24"/>
        </w:rPr>
        <w:t xml:space="preserve">tieslietu ministre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B.Broka</w:t>
      </w:r>
    </w:p>
    <w:p w:rsidR="008479F8" w:rsidRPr="00202A51" w:rsidRDefault="008479F8" w:rsidP="008479F8">
      <w:pPr>
        <w:pStyle w:val="StyleRight"/>
        <w:spacing w:after="0"/>
        <w:ind w:firstLine="0"/>
        <w:jc w:val="both"/>
        <w:rPr>
          <w:sz w:val="24"/>
          <w:szCs w:val="24"/>
        </w:rPr>
      </w:pPr>
    </w:p>
    <w:p w:rsidR="003E6F33" w:rsidRPr="00202A51" w:rsidRDefault="003E6F33" w:rsidP="008479F8">
      <w:pPr>
        <w:pStyle w:val="StyleRight"/>
        <w:spacing w:after="0"/>
        <w:ind w:firstLine="0"/>
        <w:jc w:val="both"/>
        <w:rPr>
          <w:sz w:val="24"/>
          <w:szCs w:val="24"/>
        </w:rPr>
      </w:pPr>
    </w:p>
    <w:p w:rsidR="008479F8" w:rsidRPr="00C26871" w:rsidRDefault="009610BA" w:rsidP="008479F8">
      <w:pPr>
        <w:pStyle w:val="StyleRight"/>
        <w:spacing w:after="0"/>
        <w:ind w:firstLine="0"/>
        <w:jc w:val="both"/>
        <w:rPr>
          <w:sz w:val="20"/>
          <w:szCs w:val="20"/>
        </w:rPr>
      </w:pPr>
      <w:r>
        <w:rPr>
          <w:sz w:val="20"/>
          <w:szCs w:val="20"/>
        </w:rPr>
        <w:t>28</w:t>
      </w:r>
      <w:r w:rsidR="00C26871" w:rsidRPr="00C26871">
        <w:rPr>
          <w:sz w:val="20"/>
          <w:szCs w:val="20"/>
        </w:rPr>
        <w:t>.</w:t>
      </w:r>
      <w:r w:rsidR="00520184" w:rsidRPr="00C26871">
        <w:rPr>
          <w:sz w:val="20"/>
          <w:szCs w:val="20"/>
        </w:rPr>
        <w:t>07</w:t>
      </w:r>
      <w:r w:rsidR="00E73016" w:rsidRPr="00C26871">
        <w:rPr>
          <w:sz w:val="20"/>
          <w:szCs w:val="20"/>
        </w:rPr>
        <w:t>.2014.</w:t>
      </w:r>
      <w:r w:rsidR="00B0217D" w:rsidRPr="00C26871">
        <w:rPr>
          <w:sz w:val="20"/>
          <w:szCs w:val="20"/>
        </w:rPr>
        <w:t xml:space="preserve"> </w:t>
      </w:r>
      <w:r>
        <w:rPr>
          <w:sz w:val="20"/>
          <w:szCs w:val="20"/>
        </w:rPr>
        <w:t>08:38</w:t>
      </w:r>
    </w:p>
    <w:p w:rsidR="00B0217D" w:rsidRPr="00C26871" w:rsidRDefault="00CC3072" w:rsidP="008479F8">
      <w:pPr>
        <w:pStyle w:val="StyleRight"/>
        <w:spacing w:after="0"/>
        <w:ind w:firstLine="0"/>
        <w:jc w:val="both"/>
        <w:rPr>
          <w:sz w:val="20"/>
          <w:szCs w:val="20"/>
        </w:rPr>
      </w:pPr>
      <w:r w:rsidRPr="00C26871">
        <w:rPr>
          <w:sz w:val="20"/>
          <w:szCs w:val="20"/>
        </w:rPr>
        <w:t>2</w:t>
      </w:r>
      <w:r w:rsidR="00520184" w:rsidRPr="00C26871">
        <w:rPr>
          <w:sz w:val="20"/>
          <w:szCs w:val="20"/>
        </w:rPr>
        <w:t>6</w:t>
      </w:r>
      <w:r w:rsidR="008C6674">
        <w:rPr>
          <w:sz w:val="20"/>
          <w:szCs w:val="20"/>
        </w:rPr>
        <w:t>84</w:t>
      </w:r>
    </w:p>
    <w:p w:rsidR="00B0217D" w:rsidRPr="00C26871" w:rsidRDefault="00B0217D" w:rsidP="008479F8">
      <w:pPr>
        <w:pStyle w:val="StyleRight"/>
        <w:spacing w:after="0"/>
        <w:ind w:firstLine="0"/>
        <w:jc w:val="both"/>
        <w:rPr>
          <w:sz w:val="20"/>
          <w:szCs w:val="20"/>
        </w:rPr>
      </w:pPr>
      <w:proofErr w:type="spellStart"/>
      <w:r w:rsidRPr="00C26871">
        <w:rPr>
          <w:sz w:val="20"/>
          <w:szCs w:val="20"/>
        </w:rPr>
        <w:t>D.Voitiņa</w:t>
      </w:r>
      <w:proofErr w:type="spellEnd"/>
    </w:p>
    <w:p w:rsidR="00B0217D" w:rsidRPr="00F060CA" w:rsidRDefault="00B0217D" w:rsidP="008479F8">
      <w:pPr>
        <w:pStyle w:val="StyleRight"/>
        <w:spacing w:after="0"/>
        <w:ind w:firstLine="0"/>
        <w:jc w:val="both"/>
        <w:rPr>
          <w:sz w:val="20"/>
          <w:szCs w:val="20"/>
        </w:rPr>
      </w:pPr>
      <w:r w:rsidRPr="00202A51">
        <w:rPr>
          <w:sz w:val="20"/>
          <w:szCs w:val="20"/>
        </w:rPr>
        <w:t xml:space="preserve">67046135; </w:t>
      </w:r>
      <w:hyperlink r:id="rId8" w:history="1">
        <w:r w:rsidR="00202A51" w:rsidRPr="00927220">
          <w:rPr>
            <w:rFonts w:eastAsia="Calibri"/>
            <w:bCs/>
            <w:sz w:val="20"/>
            <w:szCs w:val="20"/>
            <w:u w:val="single"/>
            <w:lang w:eastAsia="lv-LV"/>
          </w:rPr>
          <w:t>Dana.Voitina@tm.gov.lv</w:t>
        </w:r>
      </w:hyperlink>
    </w:p>
    <w:p w:rsidR="008479F8" w:rsidRPr="00202A51" w:rsidRDefault="008479F8" w:rsidP="008479F8">
      <w:pPr>
        <w:spacing w:after="0" w:line="240" w:lineRule="auto"/>
        <w:rPr>
          <w:rFonts w:ascii="Times New Roman" w:hAnsi="Times New Roman" w:cs="Times New Roman"/>
          <w:sz w:val="20"/>
          <w:szCs w:val="20"/>
        </w:rPr>
      </w:pPr>
      <w:r w:rsidRPr="00202A51">
        <w:rPr>
          <w:rFonts w:ascii="Times New Roman" w:hAnsi="Times New Roman" w:cs="Times New Roman"/>
          <w:sz w:val="20"/>
          <w:szCs w:val="20"/>
        </w:rPr>
        <w:t xml:space="preserve"> </w:t>
      </w:r>
      <w:bookmarkStart w:id="0" w:name="_GoBack"/>
      <w:bookmarkEnd w:id="0"/>
    </w:p>
    <w:sectPr w:rsidR="008479F8" w:rsidRPr="00202A51" w:rsidSect="009610BA">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DFF" w:rsidRDefault="00FF0DFF" w:rsidP="008479F8">
      <w:pPr>
        <w:spacing w:after="0" w:line="240" w:lineRule="auto"/>
      </w:pPr>
      <w:r>
        <w:separator/>
      </w:r>
    </w:p>
  </w:endnote>
  <w:endnote w:type="continuationSeparator" w:id="0">
    <w:p w:rsidR="00FF0DFF" w:rsidRDefault="00FF0DFF" w:rsidP="00847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9C" w:rsidRPr="008479F8" w:rsidRDefault="0044449C" w:rsidP="008479F8">
    <w:pPr>
      <w:pStyle w:val="Paraststmeklis"/>
      <w:spacing w:before="0" w:beforeAutospacing="0" w:after="0" w:afterAutospacing="0"/>
      <w:ind w:firstLine="0"/>
      <w:jc w:val="both"/>
      <w:rPr>
        <w:bCs/>
        <w:sz w:val="20"/>
        <w:szCs w:val="20"/>
      </w:rPr>
    </w:pPr>
    <w:r>
      <w:rPr>
        <w:sz w:val="20"/>
        <w:szCs w:val="20"/>
      </w:rPr>
      <w:t>TMAnot_</w:t>
    </w:r>
    <w:r w:rsidR="009610BA">
      <w:rPr>
        <w:sz w:val="20"/>
        <w:szCs w:val="20"/>
      </w:rPr>
      <w:t>28</w:t>
    </w:r>
    <w:r w:rsidR="007A3B13">
      <w:rPr>
        <w:sz w:val="20"/>
        <w:szCs w:val="20"/>
      </w:rPr>
      <w:t>07</w:t>
    </w:r>
    <w:r>
      <w:rPr>
        <w:sz w:val="20"/>
        <w:szCs w:val="20"/>
      </w:rPr>
      <w:t xml:space="preserve">14_Agl; </w:t>
    </w:r>
    <w:r w:rsidRPr="009E095D">
      <w:rPr>
        <w:bCs/>
        <w:sz w:val="20"/>
        <w:szCs w:val="20"/>
      </w:rPr>
      <w:t xml:space="preserve">Ministru kabineta rīkojuma </w:t>
    </w:r>
    <w:r w:rsidR="00B1784E">
      <w:rPr>
        <w:bCs/>
        <w:sz w:val="20"/>
        <w:szCs w:val="20"/>
      </w:rPr>
      <w:t xml:space="preserve">projekta </w:t>
    </w:r>
    <w:r w:rsidRPr="009E095D">
      <w:rPr>
        <w:bCs/>
        <w:sz w:val="20"/>
        <w:szCs w:val="20"/>
      </w:rPr>
      <w:t>„Par valsts nozīmes pasākumu starptautiskas nozīmes svētvietā Aglonā un tā nodrošināšanas un drošības plānu 201</w:t>
    </w:r>
    <w:r>
      <w:rPr>
        <w:bCs/>
        <w:sz w:val="20"/>
        <w:szCs w:val="20"/>
      </w:rPr>
      <w:t>5</w:t>
    </w:r>
    <w:r w:rsidRPr="009E095D">
      <w:rPr>
        <w:bCs/>
        <w:sz w:val="20"/>
        <w:szCs w:val="20"/>
      </w:rPr>
      <w:t>.</w:t>
    </w:r>
    <w:r w:rsidRPr="009E095D">
      <w:rPr>
        <w:sz w:val="20"/>
        <w:szCs w:val="20"/>
      </w:rPr>
      <w:t xml:space="preserve"> gadam</w:t>
    </w:r>
    <w:r w:rsidRPr="009E095D">
      <w:rPr>
        <w:bCs/>
        <w:sz w:val="20"/>
        <w:szCs w:val="20"/>
      </w:rPr>
      <w:t xml:space="preserve">” sākotnējās ietekmes </w:t>
    </w:r>
    <w:r>
      <w:rPr>
        <w:bCs/>
        <w:sz w:val="20"/>
        <w:szCs w:val="20"/>
      </w:rPr>
      <w:t>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9C" w:rsidRPr="008479F8" w:rsidRDefault="007A3B13" w:rsidP="008479F8">
    <w:pPr>
      <w:pStyle w:val="Paraststmeklis"/>
      <w:spacing w:before="0" w:beforeAutospacing="0" w:after="0" w:afterAutospacing="0"/>
      <w:ind w:firstLine="0"/>
      <w:jc w:val="both"/>
      <w:rPr>
        <w:bCs/>
        <w:sz w:val="20"/>
        <w:szCs w:val="20"/>
      </w:rPr>
    </w:pPr>
    <w:r>
      <w:rPr>
        <w:sz w:val="20"/>
        <w:szCs w:val="20"/>
      </w:rPr>
      <w:t>TMAno</w:t>
    </w:r>
    <w:r w:rsidR="0004168E">
      <w:rPr>
        <w:sz w:val="20"/>
        <w:szCs w:val="20"/>
      </w:rPr>
      <w:t>t</w:t>
    </w:r>
    <w:r>
      <w:rPr>
        <w:sz w:val="20"/>
        <w:szCs w:val="20"/>
      </w:rPr>
      <w:t>_</w:t>
    </w:r>
    <w:r w:rsidR="009610BA">
      <w:rPr>
        <w:sz w:val="20"/>
        <w:szCs w:val="20"/>
      </w:rPr>
      <w:t>28</w:t>
    </w:r>
    <w:r>
      <w:rPr>
        <w:sz w:val="20"/>
        <w:szCs w:val="20"/>
      </w:rPr>
      <w:t>07</w:t>
    </w:r>
    <w:r w:rsidR="0044449C">
      <w:rPr>
        <w:sz w:val="20"/>
        <w:szCs w:val="20"/>
      </w:rPr>
      <w:t xml:space="preserve">14_Agl; </w:t>
    </w:r>
    <w:r w:rsidR="0044449C" w:rsidRPr="009E095D">
      <w:rPr>
        <w:bCs/>
        <w:sz w:val="20"/>
        <w:szCs w:val="20"/>
      </w:rPr>
      <w:t>Ministru kabineta rīkojuma „Par valsts nozīmes pasākumu starptautiskas nozīmes svētvietā Aglonā un tā nodrošināšanas un drošības plānu 201</w:t>
    </w:r>
    <w:r w:rsidR="0044449C">
      <w:rPr>
        <w:bCs/>
        <w:sz w:val="20"/>
        <w:szCs w:val="20"/>
      </w:rPr>
      <w:t>5</w:t>
    </w:r>
    <w:r w:rsidR="0044449C" w:rsidRPr="009E095D">
      <w:rPr>
        <w:bCs/>
        <w:sz w:val="20"/>
        <w:szCs w:val="20"/>
      </w:rPr>
      <w:t>.</w:t>
    </w:r>
    <w:r w:rsidR="0044449C" w:rsidRPr="009E095D">
      <w:rPr>
        <w:sz w:val="20"/>
        <w:szCs w:val="20"/>
      </w:rPr>
      <w:t xml:space="preserve"> gadam</w:t>
    </w:r>
    <w:r w:rsidR="0044449C" w:rsidRPr="009E095D">
      <w:rPr>
        <w:bCs/>
        <w:sz w:val="20"/>
        <w:szCs w:val="20"/>
      </w:rPr>
      <w:t xml:space="preserve">” sākotnējās ietekmes </w:t>
    </w:r>
    <w:r w:rsidR="0044449C">
      <w:rPr>
        <w:bCs/>
        <w:sz w:val="20"/>
        <w:szCs w:val="20"/>
      </w:rPr>
      <w:t>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DFF" w:rsidRDefault="00FF0DFF" w:rsidP="008479F8">
      <w:pPr>
        <w:spacing w:after="0" w:line="240" w:lineRule="auto"/>
      </w:pPr>
      <w:r>
        <w:separator/>
      </w:r>
    </w:p>
  </w:footnote>
  <w:footnote w:type="continuationSeparator" w:id="0">
    <w:p w:rsidR="00FF0DFF" w:rsidRDefault="00FF0DFF" w:rsidP="00847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4449C" w:rsidRPr="004D15A9" w:rsidRDefault="0014275F">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44449C"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B566C">
          <w:rPr>
            <w:rFonts w:ascii="Times New Roman" w:hAnsi="Times New Roman" w:cs="Times New Roman"/>
            <w:noProof/>
            <w:sz w:val="24"/>
            <w:szCs w:val="24"/>
          </w:rPr>
          <w:t>9</w:t>
        </w:r>
        <w:r w:rsidRPr="004D15A9">
          <w:rPr>
            <w:rFonts w:ascii="Times New Roman" w:hAnsi="Times New Roman" w:cs="Times New Roman"/>
            <w:sz w:val="24"/>
            <w:szCs w:val="24"/>
          </w:rPr>
          <w:fldChar w:fldCharType="end"/>
        </w:r>
      </w:p>
    </w:sdtContent>
  </w:sdt>
  <w:p w:rsidR="0044449C" w:rsidRDefault="0044449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C3453"/>
    <w:multiLevelType w:val="hybridMultilevel"/>
    <w:tmpl w:val="1CE83A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A2149BA"/>
    <w:multiLevelType w:val="hybridMultilevel"/>
    <w:tmpl w:val="53E61F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F8"/>
    <w:rsid w:val="00011A36"/>
    <w:rsid w:val="000310FE"/>
    <w:rsid w:val="0004168E"/>
    <w:rsid w:val="000472AB"/>
    <w:rsid w:val="00055A7E"/>
    <w:rsid w:val="0005663A"/>
    <w:rsid w:val="00072A0C"/>
    <w:rsid w:val="000A3913"/>
    <w:rsid w:val="000D4FAE"/>
    <w:rsid w:val="000D65D8"/>
    <w:rsid w:val="000D7170"/>
    <w:rsid w:val="000F053E"/>
    <w:rsid w:val="000F1521"/>
    <w:rsid w:val="000F79D6"/>
    <w:rsid w:val="001148C5"/>
    <w:rsid w:val="00134F83"/>
    <w:rsid w:val="0014275F"/>
    <w:rsid w:val="00157B29"/>
    <w:rsid w:val="001660FD"/>
    <w:rsid w:val="001974C4"/>
    <w:rsid w:val="001B1E43"/>
    <w:rsid w:val="001B2181"/>
    <w:rsid w:val="001D260F"/>
    <w:rsid w:val="002012D0"/>
    <w:rsid w:val="00202A51"/>
    <w:rsid w:val="00232A98"/>
    <w:rsid w:val="00234F9F"/>
    <w:rsid w:val="002871CB"/>
    <w:rsid w:val="00296624"/>
    <w:rsid w:val="002A3A5E"/>
    <w:rsid w:val="002F4EB2"/>
    <w:rsid w:val="00312C3B"/>
    <w:rsid w:val="00314037"/>
    <w:rsid w:val="00316BF3"/>
    <w:rsid w:val="003202C2"/>
    <w:rsid w:val="00332412"/>
    <w:rsid w:val="00344772"/>
    <w:rsid w:val="00351833"/>
    <w:rsid w:val="0037795F"/>
    <w:rsid w:val="00380FE4"/>
    <w:rsid w:val="003917FF"/>
    <w:rsid w:val="003A343D"/>
    <w:rsid w:val="003C657E"/>
    <w:rsid w:val="003C67BE"/>
    <w:rsid w:val="003E2422"/>
    <w:rsid w:val="003E6F33"/>
    <w:rsid w:val="0044449C"/>
    <w:rsid w:val="00454750"/>
    <w:rsid w:val="00465201"/>
    <w:rsid w:val="004A0AF1"/>
    <w:rsid w:val="004A7496"/>
    <w:rsid w:val="004C7AB1"/>
    <w:rsid w:val="004E1D7B"/>
    <w:rsid w:val="00506DEE"/>
    <w:rsid w:val="00520184"/>
    <w:rsid w:val="005203FD"/>
    <w:rsid w:val="00521452"/>
    <w:rsid w:val="00550717"/>
    <w:rsid w:val="005A1330"/>
    <w:rsid w:val="005A5F61"/>
    <w:rsid w:val="005A7983"/>
    <w:rsid w:val="005C0610"/>
    <w:rsid w:val="005D6200"/>
    <w:rsid w:val="00603912"/>
    <w:rsid w:val="006075A8"/>
    <w:rsid w:val="00626BF7"/>
    <w:rsid w:val="00636622"/>
    <w:rsid w:val="00640915"/>
    <w:rsid w:val="00672AC5"/>
    <w:rsid w:val="00685061"/>
    <w:rsid w:val="006861C8"/>
    <w:rsid w:val="006917D5"/>
    <w:rsid w:val="006C51EF"/>
    <w:rsid w:val="006D3C32"/>
    <w:rsid w:val="006F0806"/>
    <w:rsid w:val="006F5DA3"/>
    <w:rsid w:val="007252F5"/>
    <w:rsid w:val="007416A1"/>
    <w:rsid w:val="0074483C"/>
    <w:rsid w:val="00746419"/>
    <w:rsid w:val="00752C69"/>
    <w:rsid w:val="0075495D"/>
    <w:rsid w:val="00760BF1"/>
    <w:rsid w:val="00765761"/>
    <w:rsid w:val="007679CC"/>
    <w:rsid w:val="00791790"/>
    <w:rsid w:val="007A3B13"/>
    <w:rsid w:val="007B4A7D"/>
    <w:rsid w:val="007B566C"/>
    <w:rsid w:val="007E360E"/>
    <w:rsid w:val="007F066C"/>
    <w:rsid w:val="00803D42"/>
    <w:rsid w:val="00812BD6"/>
    <w:rsid w:val="00842AFB"/>
    <w:rsid w:val="008479F8"/>
    <w:rsid w:val="0085370C"/>
    <w:rsid w:val="00861C1E"/>
    <w:rsid w:val="0086711F"/>
    <w:rsid w:val="008915BE"/>
    <w:rsid w:val="00893C29"/>
    <w:rsid w:val="008A29B2"/>
    <w:rsid w:val="008A70EE"/>
    <w:rsid w:val="008B1523"/>
    <w:rsid w:val="008B79CE"/>
    <w:rsid w:val="008C6674"/>
    <w:rsid w:val="008E0D63"/>
    <w:rsid w:val="008E225F"/>
    <w:rsid w:val="008E3858"/>
    <w:rsid w:val="008F2013"/>
    <w:rsid w:val="00920BCB"/>
    <w:rsid w:val="00927220"/>
    <w:rsid w:val="009400F9"/>
    <w:rsid w:val="00952206"/>
    <w:rsid w:val="009569C1"/>
    <w:rsid w:val="009610BA"/>
    <w:rsid w:val="0097583F"/>
    <w:rsid w:val="00986F78"/>
    <w:rsid w:val="00A15596"/>
    <w:rsid w:val="00A80C04"/>
    <w:rsid w:val="00A854D1"/>
    <w:rsid w:val="00A923E1"/>
    <w:rsid w:val="00A9369E"/>
    <w:rsid w:val="00AC2273"/>
    <w:rsid w:val="00B0092F"/>
    <w:rsid w:val="00B0217D"/>
    <w:rsid w:val="00B042F9"/>
    <w:rsid w:val="00B05352"/>
    <w:rsid w:val="00B065CE"/>
    <w:rsid w:val="00B1784E"/>
    <w:rsid w:val="00B323E3"/>
    <w:rsid w:val="00B36723"/>
    <w:rsid w:val="00B43D52"/>
    <w:rsid w:val="00B661F3"/>
    <w:rsid w:val="00B720F7"/>
    <w:rsid w:val="00BA113B"/>
    <w:rsid w:val="00BB1975"/>
    <w:rsid w:val="00BC2B34"/>
    <w:rsid w:val="00BD256D"/>
    <w:rsid w:val="00C106E3"/>
    <w:rsid w:val="00C160E9"/>
    <w:rsid w:val="00C264C1"/>
    <w:rsid w:val="00C26871"/>
    <w:rsid w:val="00C317DA"/>
    <w:rsid w:val="00C44CBE"/>
    <w:rsid w:val="00C65479"/>
    <w:rsid w:val="00C73003"/>
    <w:rsid w:val="00C9280D"/>
    <w:rsid w:val="00CC3072"/>
    <w:rsid w:val="00CC58A9"/>
    <w:rsid w:val="00CD2959"/>
    <w:rsid w:val="00D41100"/>
    <w:rsid w:val="00D6290F"/>
    <w:rsid w:val="00D853A4"/>
    <w:rsid w:val="00D979C9"/>
    <w:rsid w:val="00DB0600"/>
    <w:rsid w:val="00DB415A"/>
    <w:rsid w:val="00DD73EF"/>
    <w:rsid w:val="00DF41CA"/>
    <w:rsid w:val="00E043B9"/>
    <w:rsid w:val="00E16228"/>
    <w:rsid w:val="00E177CF"/>
    <w:rsid w:val="00E25AB7"/>
    <w:rsid w:val="00E440B3"/>
    <w:rsid w:val="00E73016"/>
    <w:rsid w:val="00E90FCA"/>
    <w:rsid w:val="00EA613E"/>
    <w:rsid w:val="00EB7DB3"/>
    <w:rsid w:val="00EC14CB"/>
    <w:rsid w:val="00EC7B37"/>
    <w:rsid w:val="00EF0F3D"/>
    <w:rsid w:val="00F01333"/>
    <w:rsid w:val="00F060CA"/>
    <w:rsid w:val="00F7153E"/>
    <w:rsid w:val="00F72314"/>
    <w:rsid w:val="00F74D00"/>
    <w:rsid w:val="00F76B04"/>
    <w:rsid w:val="00FA08BA"/>
    <w:rsid w:val="00FA5E65"/>
    <w:rsid w:val="00FB2ABB"/>
    <w:rsid w:val="00FC686F"/>
    <w:rsid w:val="00FC71D7"/>
    <w:rsid w:val="00FD0C59"/>
    <w:rsid w:val="00FD47F1"/>
    <w:rsid w:val="00FF0D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479F8"/>
    <w:pPr>
      <w:spacing w:after="200" w:line="276" w:lineRule="auto"/>
      <w:ind w:firstLine="0"/>
      <w:jc w:val="left"/>
    </w:pPr>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8479F8"/>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8479F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479F8"/>
    <w:rPr>
      <w:rFonts w:asciiTheme="minorHAnsi" w:hAnsiTheme="minorHAnsi"/>
      <w:sz w:val="22"/>
    </w:rPr>
  </w:style>
  <w:style w:type="paragraph" w:styleId="Kjene">
    <w:name w:val="footer"/>
    <w:basedOn w:val="Parasts"/>
    <w:link w:val="KjeneRakstz"/>
    <w:uiPriority w:val="99"/>
    <w:unhideWhenUsed/>
    <w:rsid w:val="008479F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479F8"/>
    <w:rPr>
      <w:rFonts w:asciiTheme="minorHAnsi" w:hAnsiTheme="minorHAnsi"/>
      <w:sz w:val="22"/>
    </w:rPr>
  </w:style>
  <w:style w:type="paragraph" w:customStyle="1" w:styleId="naisf">
    <w:name w:val="naisf"/>
    <w:basedOn w:val="Parasts"/>
    <w:uiPriority w:val="99"/>
    <w:rsid w:val="008479F8"/>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Parasts"/>
    <w:uiPriority w:val="99"/>
    <w:rsid w:val="008479F8"/>
    <w:pPr>
      <w:spacing w:before="150" w:after="150" w:line="240" w:lineRule="auto"/>
      <w:ind w:firstLine="720"/>
      <w:jc w:val="center"/>
    </w:pPr>
    <w:rPr>
      <w:rFonts w:ascii="Times New Roman" w:eastAsia="Times New Roman" w:hAnsi="Times New Roman" w:cs="Times New Roman"/>
      <w:b/>
      <w:bCs/>
      <w:sz w:val="24"/>
      <w:szCs w:val="24"/>
      <w:lang w:eastAsia="lv-LV"/>
    </w:rPr>
  </w:style>
  <w:style w:type="paragraph" w:styleId="Balonteksts">
    <w:name w:val="Balloon Text"/>
    <w:basedOn w:val="Parasts"/>
    <w:link w:val="BalontekstsRakstz"/>
    <w:uiPriority w:val="99"/>
    <w:semiHidden/>
    <w:unhideWhenUsed/>
    <w:rsid w:val="008479F8"/>
    <w:pPr>
      <w:spacing w:after="0" w:line="240" w:lineRule="auto"/>
    </w:pPr>
    <w:rPr>
      <w:rFonts w:ascii="Calibri" w:hAnsi="Calibri"/>
      <w:sz w:val="16"/>
      <w:szCs w:val="16"/>
    </w:rPr>
  </w:style>
  <w:style w:type="character" w:customStyle="1" w:styleId="BalontekstsRakstz">
    <w:name w:val="Balonteksts Rakstz."/>
    <w:basedOn w:val="Noklusjumarindkopasfonts"/>
    <w:link w:val="Balonteksts"/>
    <w:uiPriority w:val="99"/>
    <w:semiHidden/>
    <w:rsid w:val="008479F8"/>
    <w:rPr>
      <w:rFonts w:ascii="Calibri" w:hAnsi="Calibri"/>
      <w:sz w:val="16"/>
      <w:szCs w:val="16"/>
    </w:rPr>
  </w:style>
  <w:style w:type="paragraph" w:styleId="Paraststmeklis">
    <w:name w:val="Normal (Web)"/>
    <w:basedOn w:val="Parasts"/>
    <w:uiPriority w:val="99"/>
    <w:rsid w:val="008479F8"/>
    <w:pPr>
      <w:spacing w:before="100" w:beforeAutospacing="1" w:after="100" w:afterAutospacing="1" w:line="240" w:lineRule="auto"/>
      <w:ind w:firstLine="720"/>
    </w:pPr>
    <w:rPr>
      <w:rFonts w:ascii="Times New Roman" w:eastAsia="Times New Roman" w:hAnsi="Times New Roman" w:cs="Times New Roman"/>
      <w:sz w:val="24"/>
      <w:szCs w:val="24"/>
      <w:lang w:eastAsia="lv-LV"/>
    </w:rPr>
  </w:style>
  <w:style w:type="paragraph" w:customStyle="1" w:styleId="tv2131">
    <w:name w:val="tv2131"/>
    <w:basedOn w:val="Parasts"/>
    <w:rsid w:val="00B0092F"/>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FC686F"/>
    <w:rPr>
      <w:sz w:val="16"/>
      <w:szCs w:val="16"/>
    </w:rPr>
  </w:style>
  <w:style w:type="paragraph" w:styleId="Komentrateksts">
    <w:name w:val="annotation text"/>
    <w:basedOn w:val="Parasts"/>
    <w:link w:val="KomentratekstsRakstz"/>
    <w:uiPriority w:val="99"/>
    <w:semiHidden/>
    <w:unhideWhenUsed/>
    <w:rsid w:val="00FC686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C686F"/>
    <w:rPr>
      <w:rFonts w:asciiTheme="minorHAnsi" w:hAnsiTheme="minorHAnsi"/>
      <w:sz w:val="20"/>
      <w:szCs w:val="20"/>
    </w:rPr>
  </w:style>
  <w:style w:type="paragraph" w:styleId="Komentratma">
    <w:name w:val="annotation subject"/>
    <w:basedOn w:val="Komentrateksts"/>
    <w:next w:val="Komentrateksts"/>
    <w:link w:val="KomentratmaRakstz"/>
    <w:uiPriority w:val="99"/>
    <w:semiHidden/>
    <w:unhideWhenUsed/>
    <w:rsid w:val="00FC686F"/>
    <w:rPr>
      <w:b/>
      <w:bCs/>
    </w:rPr>
  </w:style>
  <w:style w:type="character" w:customStyle="1" w:styleId="KomentratmaRakstz">
    <w:name w:val="Komentāra tēma Rakstz."/>
    <w:basedOn w:val="KomentratekstsRakstz"/>
    <w:link w:val="Komentratma"/>
    <w:uiPriority w:val="99"/>
    <w:semiHidden/>
    <w:rsid w:val="00FC686F"/>
    <w:rPr>
      <w:rFonts w:asciiTheme="minorHAnsi" w:hAnsiTheme="minorHAnsi"/>
      <w:b/>
      <w:bCs/>
      <w:sz w:val="20"/>
      <w:szCs w:val="20"/>
    </w:rPr>
  </w:style>
  <w:style w:type="paragraph" w:styleId="Sarakstarindkopa">
    <w:name w:val="List Paragraph"/>
    <w:basedOn w:val="Parasts"/>
    <w:uiPriority w:val="34"/>
    <w:qFormat/>
    <w:rsid w:val="00D411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479F8"/>
    <w:pPr>
      <w:spacing w:after="200" w:line="276" w:lineRule="auto"/>
      <w:ind w:firstLine="0"/>
      <w:jc w:val="left"/>
    </w:pPr>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8479F8"/>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8479F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479F8"/>
    <w:rPr>
      <w:rFonts w:asciiTheme="minorHAnsi" w:hAnsiTheme="minorHAnsi"/>
      <w:sz w:val="22"/>
    </w:rPr>
  </w:style>
  <w:style w:type="paragraph" w:styleId="Kjene">
    <w:name w:val="footer"/>
    <w:basedOn w:val="Parasts"/>
    <w:link w:val="KjeneRakstz"/>
    <w:uiPriority w:val="99"/>
    <w:unhideWhenUsed/>
    <w:rsid w:val="008479F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479F8"/>
    <w:rPr>
      <w:rFonts w:asciiTheme="minorHAnsi" w:hAnsiTheme="minorHAnsi"/>
      <w:sz w:val="22"/>
    </w:rPr>
  </w:style>
  <w:style w:type="paragraph" w:customStyle="1" w:styleId="naisf">
    <w:name w:val="naisf"/>
    <w:basedOn w:val="Parasts"/>
    <w:uiPriority w:val="99"/>
    <w:rsid w:val="008479F8"/>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Parasts"/>
    <w:uiPriority w:val="99"/>
    <w:rsid w:val="008479F8"/>
    <w:pPr>
      <w:spacing w:before="150" w:after="150" w:line="240" w:lineRule="auto"/>
      <w:ind w:firstLine="720"/>
      <w:jc w:val="center"/>
    </w:pPr>
    <w:rPr>
      <w:rFonts w:ascii="Times New Roman" w:eastAsia="Times New Roman" w:hAnsi="Times New Roman" w:cs="Times New Roman"/>
      <w:b/>
      <w:bCs/>
      <w:sz w:val="24"/>
      <w:szCs w:val="24"/>
      <w:lang w:eastAsia="lv-LV"/>
    </w:rPr>
  </w:style>
  <w:style w:type="paragraph" w:styleId="Balonteksts">
    <w:name w:val="Balloon Text"/>
    <w:basedOn w:val="Parasts"/>
    <w:link w:val="BalontekstsRakstz"/>
    <w:uiPriority w:val="99"/>
    <w:semiHidden/>
    <w:unhideWhenUsed/>
    <w:rsid w:val="008479F8"/>
    <w:pPr>
      <w:spacing w:after="0" w:line="240" w:lineRule="auto"/>
    </w:pPr>
    <w:rPr>
      <w:rFonts w:ascii="Calibri" w:hAnsi="Calibri"/>
      <w:sz w:val="16"/>
      <w:szCs w:val="16"/>
    </w:rPr>
  </w:style>
  <w:style w:type="character" w:customStyle="1" w:styleId="BalontekstsRakstz">
    <w:name w:val="Balonteksts Rakstz."/>
    <w:basedOn w:val="Noklusjumarindkopasfonts"/>
    <w:link w:val="Balonteksts"/>
    <w:uiPriority w:val="99"/>
    <w:semiHidden/>
    <w:rsid w:val="008479F8"/>
    <w:rPr>
      <w:rFonts w:ascii="Calibri" w:hAnsi="Calibri"/>
      <w:sz w:val="16"/>
      <w:szCs w:val="16"/>
    </w:rPr>
  </w:style>
  <w:style w:type="paragraph" w:styleId="Paraststmeklis">
    <w:name w:val="Normal (Web)"/>
    <w:basedOn w:val="Parasts"/>
    <w:uiPriority w:val="99"/>
    <w:rsid w:val="008479F8"/>
    <w:pPr>
      <w:spacing w:before="100" w:beforeAutospacing="1" w:after="100" w:afterAutospacing="1" w:line="240" w:lineRule="auto"/>
      <w:ind w:firstLine="720"/>
    </w:pPr>
    <w:rPr>
      <w:rFonts w:ascii="Times New Roman" w:eastAsia="Times New Roman" w:hAnsi="Times New Roman" w:cs="Times New Roman"/>
      <w:sz w:val="24"/>
      <w:szCs w:val="24"/>
      <w:lang w:eastAsia="lv-LV"/>
    </w:rPr>
  </w:style>
  <w:style w:type="paragraph" w:customStyle="1" w:styleId="tv2131">
    <w:name w:val="tv2131"/>
    <w:basedOn w:val="Parasts"/>
    <w:rsid w:val="00B0092F"/>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FC686F"/>
    <w:rPr>
      <w:sz w:val="16"/>
      <w:szCs w:val="16"/>
    </w:rPr>
  </w:style>
  <w:style w:type="paragraph" w:styleId="Komentrateksts">
    <w:name w:val="annotation text"/>
    <w:basedOn w:val="Parasts"/>
    <w:link w:val="KomentratekstsRakstz"/>
    <w:uiPriority w:val="99"/>
    <w:semiHidden/>
    <w:unhideWhenUsed/>
    <w:rsid w:val="00FC686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C686F"/>
    <w:rPr>
      <w:rFonts w:asciiTheme="minorHAnsi" w:hAnsiTheme="minorHAnsi"/>
      <w:sz w:val="20"/>
      <w:szCs w:val="20"/>
    </w:rPr>
  </w:style>
  <w:style w:type="paragraph" w:styleId="Komentratma">
    <w:name w:val="annotation subject"/>
    <w:basedOn w:val="Komentrateksts"/>
    <w:next w:val="Komentrateksts"/>
    <w:link w:val="KomentratmaRakstz"/>
    <w:uiPriority w:val="99"/>
    <w:semiHidden/>
    <w:unhideWhenUsed/>
    <w:rsid w:val="00FC686F"/>
    <w:rPr>
      <w:b/>
      <w:bCs/>
    </w:rPr>
  </w:style>
  <w:style w:type="character" w:customStyle="1" w:styleId="KomentratmaRakstz">
    <w:name w:val="Komentāra tēma Rakstz."/>
    <w:basedOn w:val="KomentratekstsRakstz"/>
    <w:link w:val="Komentratma"/>
    <w:uiPriority w:val="99"/>
    <w:semiHidden/>
    <w:rsid w:val="00FC686F"/>
    <w:rPr>
      <w:rFonts w:asciiTheme="minorHAnsi" w:hAnsiTheme="minorHAnsi"/>
      <w:b/>
      <w:bCs/>
      <w:sz w:val="20"/>
      <w:szCs w:val="20"/>
    </w:rPr>
  </w:style>
  <w:style w:type="paragraph" w:styleId="Sarakstarindkopa">
    <w:name w:val="List Paragraph"/>
    <w:basedOn w:val="Parasts"/>
    <w:uiPriority w:val="34"/>
    <w:qFormat/>
    <w:rsid w:val="00D41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238045">
      <w:bodyDiv w:val="1"/>
      <w:marLeft w:val="0"/>
      <w:marRight w:val="0"/>
      <w:marTop w:val="0"/>
      <w:marBottom w:val="0"/>
      <w:divBdr>
        <w:top w:val="none" w:sz="0" w:space="0" w:color="auto"/>
        <w:left w:val="none" w:sz="0" w:space="0" w:color="auto"/>
        <w:bottom w:val="none" w:sz="0" w:space="0" w:color="auto"/>
        <w:right w:val="none" w:sz="0" w:space="0" w:color="auto"/>
      </w:divBdr>
      <w:divsChild>
        <w:div w:id="78719678">
          <w:marLeft w:val="0"/>
          <w:marRight w:val="0"/>
          <w:marTop w:val="0"/>
          <w:marBottom w:val="0"/>
          <w:divBdr>
            <w:top w:val="none" w:sz="0" w:space="0" w:color="auto"/>
            <w:left w:val="none" w:sz="0" w:space="0" w:color="auto"/>
            <w:bottom w:val="none" w:sz="0" w:space="0" w:color="auto"/>
            <w:right w:val="none" w:sz="0" w:space="0" w:color="auto"/>
          </w:divBdr>
          <w:divsChild>
            <w:div w:id="1762294833">
              <w:marLeft w:val="0"/>
              <w:marRight w:val="0"/>
              <w:marTop w:val="0"/>
              <w:marBottom w:val="0"/>
              <w:divBdr>
                <w:top w:val="none" w:sz="0" w:space="0" w:color="auto"/>
                <w:left w:val="none" w:sz="0" w:space="0" w:color="auto"/>
                <w:bottom w:val="none" w:sz="0" w:space="0" w:color="auto"/>
                <w:right w:val="none" w:sz="0" w:space="0" w:color="auto"/>
              </w:divBdr>
              <w:divsChild>
                <w:div w:id="388572802">
                  <w:marLeft w:val="0"/>
                  <w:marRight w:val="0"/>
                  <w:marTop w:val="0"/>
                  <w:marBottom w:val="0"/>
                  <w:divBdr>
                    <w:top w:val="none" w:sz="0" w:space="0" w:color="auto"/>
                    <w:left w:val="none" w:sz="0" w:space="0" w:color="auto"/>
                    <w:bottom w:val="none" w:sz="0" w:space="0" w:color="auto"/>
                    <w:right w:val="none" w:sz="0" w:space="0" w:color="auto"/>
                  </w:divBdr>
                  <w:divsChild>
                    <w:div w:id="848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52038">
      <w:bodyDiv w:val="1"/>
      <w:marLeft w:val="0"/>
      <w:marRight w:val="0"/>
      <w:marTop w:val="0"/>
      <w:marBottom w:val="0"/>
      <w:divBdr>
        <w:top w:val="none" w:sz="0" w:space="0" w:color="auto"/>
        <w:left w:val="none" w:sz="0" w:space="0" w:color="auto"/>
        <w:bottom w:val="none" w:sz="0" w:space="0" w:color="auto"/>
        <w:right w:val="none" w:sz="0" w:space="0" w:color="auto"/>
      </w:divBdr>
    </w:div>
    <w:div w:id="211578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Voitina@t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14007</Words>
  <Characters>7984</Characters>
  <Application>Microsoft Office Word</Application>
  <DocSecurity>4</DocSecurity>
  <Lines>66</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valsts nozīmes pasākumu starptautiskas nozīmes svētvietā Aglonā un tā nodrošināšanas un drošības plānu 2015.gadam</vt:lpstr>
      <vt:lpstr>Par valsts nozīmes pasākumu starptautiskas nozīmes svētvietā Aglonā un tā nodrošināšanas un drošības plānu 2015.gadam</vt:lpstr>
    </vt:vector>
  </TitlesOfParts>
  <Company>Tieslietu ministrija</Company>
  <LinksUpToDate>false</LinksUpToDate>
  <CharactersWithSpaces>21948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nozīmes pasākumu starptautiskas nozīmes svētvietā Aglonā un tā nodrošināšanas un drošības plānu 2015.gadam</dc:title>
  <dc:subject>Ministru kabineta rīkojuma sākotnējās ietekmes novērtējuma ziņojums (anotācija)</dc:subject>
  <dc:creator>Dana Voitina</dc:creator>
  <dc:description>67046135; Dana.Voitina@tm.gov.lv</dc:description>
  <cp:lastModifiedBy>Dana Voitina</cp:lastModifiedBy>
  <cp:revision>2</cp:revision>
  <cp:lastPrinted>2014-04-28T06:56:00Z</cp:lastPrinted>
  <dcterms:created xsi:type="dcterms:W3CDTF">2014-08-01T11:36:00Z</dcterms:created>
  <dcterms:modified xsi:type="dcterms:W3CDTF">2014-08-01T11:36:00Z</dcterms:modified>
</cp:coreProperties>
</file>