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B8" w:rsidRPr="00347D4F" w:rsidRDefault="005C03B8" w:rsidP="000F539B">
      <w:pPr>
        <w:widowControl w:val="0"/>
        <w:autoSpaceDE w:val="0"/>
        <w:autoSpaceDN w:val="0"/>
        <w:adjustRightInd w:val="0"/>
        <w:spacing w:after="0" w:line="240" w:lineRule="auto"/>
        <w:ind w:firstLine="720"/>
        <w:jc w:val="center"/>
        <w:rPr>
          <w:rFonts w:ascii="Times New Roman" w:hAnsi="Times New Roman"/>
          <w:b/>
          <w:bCs/>
          <w:sz w:val="24"/>
          <w:szCs w:val="24"/>
        </w:rPr>
      </w:pPr>
      <w:r w:rsidRPr="00347D4F">
        <w:rPr>
          <w:rFonts w:ascii="Times New Roman" w:hAnsi="Times New Roman"/>
          <w:b/>
          <w:bCs/>
          <w:sz w:val="24"/>
          <w:szCs w:val="24"/>
        </w:rPr>
        <w:t>Informatīvais ziņojums</w:t>
      </w:r>
    </w:p>
    <w:p w:rsidR="005C03B8" w:rsidRPr="00347D4F" w:rsidRDefault="005C03B8" w:rsidP="000F539B">
      <w:pPr>
        <w:widowControl w:val="0"/>
        <w:autoSpaceDE w:val="0"/>
        <w:autoSpaceDN w:val="0"/>
        <w:adjustRightInd w:val="0"/>
        <w:spacing w:after="0" w:line="240" w:lineRule="auto"/>
        <w:ind w:firstLine="720"/>
        <w:jc w:val="center"/>
        <w:rPr>
          <w:rFonts w:ascii="Times New Roman" w:hAnsi="Times New Roman"/>
          <w:b/>
          <w:bCs/>
          <w:sz w:val="24"/>
          <w:szCs w:val="24"/>
        </w:rPr>
      </w:pPr>
      <w:r w:rsidRPr="00347D4F">
        <w:rPr>
          <w:rFonts w:ascii="Times New Roman" w:hAnsi="Times New Roman"/>
          <w:b/>
          <w:bCs/>
          <w:sz w:val="24"/>
          <w:szCs w:val="24"/>
        </w:rPr>
        <w:t>par tiesnešu profesionālās darbības novērtēšanas sistēmas</w:t>
      </w:r>
    </w:p>
    <w:p w:rsidR="005C03B8" w:rsidRPr="00347D4F" w:rsidRDefault="005C03B8" w:rsidP="000F539B">
      <w:pPr>
        <w:widowControl w:val="0"/>
        <w:autoSpaceDE w:val="0"/>
        <w:autoSpaceDN w:val="0"/>
        <w:adjustRightInd w:val="0"/>
        <w:spacing w:after="0" w:line="240" w:lineRule="auto"/>
        <w:ind w:firstLine="720"/>
        <w:jc w:val="center"/>
        <w:rPr>
          <w:rFonts w:ascii="Times New Roman" w:hAnsi="Times New Roman"/>
          <w:b/>
          <w:bCs/>
          <w:sz w:val="24"/>
          <w:szCs w:val="24"/>
        </w:rPr>
      </w:pPr>
      <w:r w:rsidRPr="00347D4F">
        <w:rPr>
          <w:rFonts w:ascii="Times New Roman" w:hAnsi="Times New Roman"/>
          <w:b/>
          <w:bCs/>
          <w:sz w:val="24"/>
          <w:szCs w:val="24"/>
        </w:rPr>
        <w:t>pirmo darbības gadu</w:t>
      </w:r>
    </w:p>
    <w:p w:rsidR="005C03B8" w:rsidRPr="00347D4F" w:rsidRDefault="005C03B8" w:rsidP="000F539B">
      <w:pPr>
        <w:spacing w:after="0" w:line="240" w:lineRule="auto"/>
        <w:ind w:firstLine="720"/>
        <w:jc w:val="both"/>
        <w:rPr>
          <w:rFonts w:ascii="Times New Roman" w:hAnsi="Times New Roman"/>
          <w:sz w:val="24"/>
          <w:szCs w:val="24"/>
          <w:lang w:eastAsia="en-US"/>
        </w:rPr>
      </w:pP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Informatīvais ziņojums ir sagatavots, lai izpildītu Ministru kabineta 2012.gada 27.marta sēdes protokola Nr.17 22.</w:t>
      </w:r>
      <w:bookmarkStart w:id="0" w:name="1"/>
      <w:r w:rsidRPr="00347D4F">
        <w:rPr>
          <w:rFonts w:ascii="Times New Roman" w:hAnsi="Times New Roman"/>
          <w:sz w:val="24"/>
          <w:szCs w:val="24"/>
        </w:rPr>
        <w:t>§</w:t>
      </w:r>
      <w:bookmarkEnd w:id="0"/>
      <w:r w:rsidRPr="00347D4F">
        <w:rPr>
          <w:rFonts w:ascii="Times New Roman" w:hAnsi="Times New Roman"/>
          <w:sz w:val="24"/>
          <w:szCs w:val="24"/>
          <w:lang w:eastAsia="en-US"/>
        </w:rPr>
        <w:t xml:space="preserve"> „Informatīvais ziņojums „Par līdzšinējo praksi tiesnešu izglītošanas un tiesnešu kvalifikācijas izvērtēšanas jautājumos”” 2.punktā norādīto uzdevumu – Tieslietu ministrijai sagatavot un tieslietu ministram iesniegt izskatīšanai Ministru kabinetā informatīvo ziņojumu par tiesnešu profesionālās darbības novērtēšanas sistēmas pirmo darbības gadu</w:t>
      </w:r>
      <w:r w:rsidR="00625276" w:rsidRPr="00347D4F">
        <w:rPr>
          <w:rFonts w:ascii="Times New Roman" w:hAnsi="Times New Roman"/>
          <w:sz w:val="24"/>
          <w:szCs w:val="24"/>
          <w:lang w:eastAsia="en-US"/>
        </w:rPr>
        <w:t>, kā arī Ministru kabineta 2014.gada 18.februāra sēdes protokola Nr.10 42.</w:t>
      </w:r>
      <w:r w:rsidR="00625276" w:rsidRPr="00347D4F">
        <w:rPr>
          <w:rFonts w:ascii="Times New Roman" w:hAnsi="Times New Roman"/>
          <w:sz w:val="24"/>
          <w:szCs w:val="24"/>
        </w:rPr>
        <w:t>§ „</w:t>
      </w:r>
      <w:r w:rsidR="00625276" w:rsidRPr="00347D4F">
        <w:rPr>
          <w:rFonts w:ascii="Times New Roman" w:hAnsi="Times New Roman"/>
          <w:bCs/>
          <w:sz w:val="24"/>
          <w:szCs w:val="24"/>
        </w:rPr>
        <w:t xml:space="preserve">Par Eiropas Cilvēktiesību tiesas spriedumu lietā </w:t>
      </w:r>
      <w:r w:rsidR="00275E0D">
        <w:rPr>
          <w:rFonts w:ascii="Times New Roman" w:hAnsi="Times New Roman"/>
          <w:bCs/>
          <w:sz w:val="24"/>
          <w:szCs w:val="24"/>
        </w:rPr>
        <w:t>„</w:t>
      </w:r>
      <w:proofErr w:type="spellStart"/>
      <w:r w:rsidR="00625276" w:rsidRPr="00347D4F">
        <w:rPr>
          <w:rFonts w:ascii="Times New Roman" w:hAnsi="Times New Roman"/>
          <w:bCs/>
          <w:sz w:val="24"/>
          <w:szCs w:val="24"/>
        </w:rPr>
        <w:t>Raudevs</w:t>
      </w:r>
      <w:proofErr w:type="spellEnd"/>
      <w:r w:rsidR="00625276" w:rsidRPr="00347D4F">
        <w:rPr>
          <w:rFonts w:ascii="Times New Roman" w:hAnsi="Times New Roman"/>
          <w:bCs/>
          <w:sz w:val="24"/>
          <w:szCs w:val="24"/>
        </w:rPr>
        <w:t xml:space="preserve"> pret Latviju</w:t>
      </w:r>
      <w:r w:rsidR="00625276" w:rsidRPr="00347D4F">
        <w:rPr>
          <w:rFonts w:ascii="Times New Roman" w:hAnsi="Times New Roman"/>
          <w:sz w:val="24"/>
          <w:szCs w:val="24"/>
        </w:rPr>
        <w:t>” 5.punktā norādīto uzdevumu Tieslietu ministrijai iesniegt izskatīšanai Ministru kabineta sēdē informatīvo ziņojumu par tiesnešu profesionālās darbības novērtēšanas sistēmas pirmo darbības gadu, kurā ietvert informāciju arī par to, kā tiesnešu novērtēšanas procesā tiek ņemti vērā valstij nelabvēlīgie Eiropas Cilvēktiesību tiesas spriedumi nacionālo tiesu darbības nepilnību dēļ.</w:t>
      </w:r>
    </w:p>
    <w:p w:rsidR="005C03B8" w:rsidRPr="00347D4F" w:rsidRDefault="005C03B8" w:rsidP="000F539B">
      <w:pPr>
        <w:spacing w:after="0" w:line="240" w:lineRule="auto"/>
        <w:ind w:firstLine="720"/>
        <w:jc w:val="both"/>
        <w:rPr>
          <w:rFonts w:ascii="Times New Roman" w:hAnsi="Times New Roman"/>
          <w:sz w:val="24"/>
          <w:szCs w:val="24"/>
          <w:lang w:eastAsia="en-US"/>
        </w:rPr>
      </w:pPr>
    </w:p>
    <w:p w:rsidR="005C03B8" w:rsidRPr="00347D4F" w:rsidRDefault="005C03B8" w:rsidP="000F539B">
      <w:pPr>
        <w:spacing w:after="0" w:line="240" w:lineRule="auto"/>
        <w:ind w:firstLine="720"/>
        <w:jc w:val="center"/>
        <w:rPr>
          <w:rFonts w:ascii="Times New Roman" w:hAnsi="Times New Roman"/>
          <w:b/>
          <w:sz w:val="24"/>
          <w:szCs w:val="24"/>
          <w:lang w:eastAsia="en-US"/>
        </w:rPr>
      </w:pPr>
      <w:r w:rsidRPr="00347D4F">
        <w:rPr>
          <w:rFonts w:ascii="Times New Roman" w:hAnsi="Times New Roman"/>
          <w:b/>
          <w:sz w:val="24"/>
          <w:szCs w:val="24"/>
          <w:lang w:eastAsia="en-US"/>
        </w:rPr>
        <w:t>Tiesnešu profesionālās darbības novērtēšanas tiesiskais regulējums</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 xml:space="preserve">Līdz 2013.gada 1.janvārī spēkā stājušajiem grozījumiem likumā „Par tiesu varu” Tiesnešu kvalifikācijas kolēģija (turpmāk – TKK) izvērtēja tiesnešu darbu, sniedzot atzinumus par rajona (pilsētas) tiesas, apgabaltiesas vai Augstākās tiesas tiesneša kandidatūru un lemjot par kvalifikācijas klases piešķiršanu vai pazemināšanu. Līdz ar to tiesneša, kurš ieguvis augstāko, </w:t>
      </w:r>
      <w:proofErr w:type="spellStart"/>
      <w:r w:rsidRPr="00347D4F">
        <w:rPr>
          <w:rFonts w:ascii="Times New Roman" w:hAnsi="Times New Roman"/>
          <w:sz w:val="24"/>
          <w:szCs w:val="24"/>
          <w:lang w:eastAsia="en-US"/>
        </w:rPr>
        <w:t>t.i</w:t>
      </w:r>
      <w:proofErr w:type="spellEnd"/>
      <w:r w:rsidRPr="00347D4F">
        <w:rPr>
          <w:rFonts w:ascii="Times New Roman" w:hAnsi="Times New Roman"/>
          <w:sz w:val="24"/>
          <w:szCs w:val="24"/>
          <w:lang w:eastAsia="en-US"/>
        </w:rPr>
        <w:t>., 1.kvalifikācijas klasi, darbs pēc kvalifikācijas klases piešķiršanas vairs netika izvērtēts.</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iCs/>
          <w:sz w:val="24"/>
          <w:szCs w:val="24"/>
          <w:lang w:eastAsia="en-US"/>
        </w:rPr>
        <w:t xml:space="preserve">Atbilstoši 2011.gada 9.jūnijā pieņemtajiem grozījumiem likumā „Par tiesu varu” tika izveidota tiesnešu profesionālā darba regulāras novērtēšanas sistēma ar mērķi veicināt tiesneša nepārtrauktu profesionālo izaugsmi visas tiesneša karjeras laikā, tādējādi uzlabojot tiesneša un tiesas darba kvalitāti kopumā. </w:t>
      </w:r>
    </w:p>
    <w:p w:rsidR="005C03B8" w:rsidRPr="00347D4F" w:rsidRDefault="005C03B8" w:rsidP="000F539B">
      <w:pPr>
        <w:spacing w:after="0" w:line="240" w:lineRule="auto"/>
        <w:ind w:firstLine="720"/>
        <w:jc w:val="both"/>
        <w:rPr>
          <w:rFonts w:ascii="Times New Roman" w:hAnsi="Times New Roman"/>
          <w:sz w:val="24"/>
          <w:szCs w:val="24"/>
        </w:rPr>
      </w:pPr>
      <w:r w:rsidRPr="00347D4F">
        <w:rPr>
          <w:rFonts w:ascii="Times New Roman" w:hAnsi="Times New Roman"/>
          <w:sz w:val="24"/>
          <w:szCs w:val="24"/>
          <w:lang w:eastAsia="en-US"/>
        </w:rPr>
        <w:t xml:space="preserve">Tiesnešu profesionālās darbības novērtēšanu veic tiesnešu pašpārvaldes institūcija TKK, kuras locekļus, aizklāti balsojot, ievēlē Tiesnešu konference (tiesnešu pašpārvaldes institūcija, kuras darbā ar balsstiesībām piedalās Augstākās tiesas tiesneši, apgabaltiesu tiesneši, rajonu (pilsētu) tiesu tiesneši un zemesgrāmatu nodaļu tiesneši) uz četriem gadiem. TKK sastāvā ir </w:t>
      </w:r>
      <w:r w:rsidRPr="00347D4F">
        <w:rPr>
          <w:rFonts w:ascii="Times New Roman" w:hAnsi="Times New Roman"/>
          <w:sz w:val="24"/>
          <w:szCs w:val="24"/>
        </w:rPr>
        <w:t>viens Augstākās tiesas Administratīvo lietu departamenta tiesnesis, viens Augstākās tiesas Civillietu departamenta tiesnesis, viens Augstākās tiesas Krimināllietu departamenta tiesnesis, viens apgabaltiesas civillietu kolēģijas tiesnesis, viens apgabaltiesas krimināllietu kolēģijas tiesnesis, viens Administratīvās apgabaltiesas tiesnesis, divi rajonu (pilsētu) tiesu tiesneši un viens zemesgrāmatu nodaļas tiesnesis. Par TKK locekli var izvirzīt un ievēlēt tiesnesi, kura zināšanas un pieredzi augstu vērtē tieslietu nozares speciālisti un tiesneši.</w:t>
      </w:r>
    </w:p>
    <w:p w:rsidR="00DE5F84" w:rsidRPr="00347D4F" w:rsidRDefault="00DE5F84" w:rsidP="000F539B">
      <w:pPr>
        <w:spacing w:after="0" w:line="240" w:lineRule="auto"/>
        <w:ind w:firstLine="720"/>
        <w:jc w:val="both"/>
        <w:rPr>
          <w:rFonts w:ascii="Times New Roman" w:hAnsi="Times New Roman"/>
          <w:sz w:val="24"/>
          <w:szCs w:val="24"/>
        </w:rPr>
      </w:pPr>
      <w:r w:rsidRPr="00347D4F">
        <w:rPr>
          <w:rFonts w:ascii="Times New Roman" w:hAnsi="Times New Roman"/>
          <w:sz w:val="24"/>
          <w:szCs w:val="24"/>
        </w:rPr>
        <w:t xml:space="preserve">Saskaņā ar </w:t>
      </w:r>
      <w:r w:rsidRPr="00347D4F">
        <w:rPr>
          <w:rFonts w:ascii="Times New Roman" w:hAnsi="Times New Roman"/>
          <w:bCs/>
          <w:sz w:val="24"/>
          <w:szCs w:val="24"/>
        </w:rPr>
        <w:t>Valsts un pašvaldību institūciju amatpersonu un darbinieku atlīdzības likuma</w:t>
      </w:r>
      <w:r w:rsidRPr="00347D4F">
        <w:rPr>
          <w:rFonts w:ascii="Times New Roman" w:hAnsi="Times New Roman"/>
          <w:sz w:val="24"/>
          <w:szCs w:val="24"/>
        </w:rPr>
        <w:t xml:space="preserve"> 14.panta otro daļu tiesnesis, kurš ievēlēts TKK, saņem piemaksu trīs procentu apmērā no rajona (pilsētas) tiesas tiesnesim noteiktās mēnešalgas par katru apmeklēto TKK sēdi. TKK priekšsēdētājs saņem piemaksu piecu procentu apmērā no rajona (pilsētas) tiesas tiesnesim noteiktās mēnešalgas par katru apmeklēto TKK sēdi.</w:t>
      </w:r>
    </w:p>
    <w:p w:rsidR="005C03B8" w:rsidRPr="00347D4F" w:rsidRDefault="005C03B8" w:rsidP="000F539B">
      <w:pPr>
        <w:spacing w:after="0" w:line="240" w:lineRule="auto"/>
        <w:ind w:firstLine="720"/>
        <w:jc w:val="both"/>
        <w:rPr>
          <w:rFonts w:ascii="Times New Roman" w:hAnsi="Times New Roman"/>
          <w:sz w:val="24"/>
          <w:szCs w:val="24"/>
        </w:rPr>
      </w:pPr>
      <w:r w:rsidRPr="00347D4F">
        <w:rPr>
          <w:rFonts w:ascii="Times New Roman" w:hAnsi="Times New Roman"/>
          <w:sz w:val="24"/>
          <w:szCs w:val="24"/>
        </w:rPr>
        <w:t xml:space="preserve">TKK sēdēs ar padomdevēja tiesībām var piedalīties Saeimas Juridiskās komisijas priekšsēdētājs, tieslietu ministrs, ģenerālprokurors, Augstākās tiesas priekšsēdētājs vai viņu pilnvarotas personas, Latvijas Zinātņu akadēmijas apstiprinātu </w:t>
      </w:r>
      <w:proofErr w:type="spellStart"/>
      <w:r w:rsidRPr="00347D4F">
        <w:rPr>
          <w:rFonts w:ascii="Times New Roman" w:hAnsi="Times New Roman"/>
          <w:sz w:val="24"/>
          <w:szCs w:val="24"/>
        </w:rPr>
        <w:t>tiesībzinātņu</w:t>
      </w:r>
      <w:proofErr w:type="spellEnd"/>
      <w:r w:rsidRPr="00347D4F">
        <w:rPr>
          <w:rFonts w:ascii="Times New Roman" w:hAnsi="Times New Roman"/>
          <w:sz w:val="24"/>
          <w:szCs w:val="24"/>
        </w:rPr>
        <w:t xml:space="preserve"> ekspertu deleģēts pārstāvis, kā arī tiesnešu biedrību pārstāvji.</w:t>
      </w:r>
    </w:p>
    <w:p w:rsidR="005C03B8" w:rsidRPr="00347D4F" w:rsidRDefault="005C03B8" w:rsidP="000F539B">
      <w:pPr>
        <w:spacing w:after="0" w:line="240" w:lineRule="auto"/>
        <w:ind w:firstLine="720"/>
        <w:jc w:val="both"/>
        <w:rPr>
          <w:rFonts w:ascii="Times New Roman" w:hAnsi="Times New Roman"/>
          <w:bCs/>
          <w:sz w:val="24"/>
          <w:szCs w:val="24"/>
          <w:lang w:eastAsia="en-US"/>
        </w:rPr>
      </w:pPr>
      <w:r w:rsidRPr="00347D4F">
        <w:rPr>
          <w:rFonts w:ascii="Times New Roman" w:hAnsi="Times New Roman"/>
          <w:sz w:val="24"/>
          <w:szCs w:val="24"/>
        </w:rPr>
        <w:t xml:space="preserve">TKK darbojas saskaņā ar TKK reglamentu (turpmāk – TKK reglaments), kas apstiprināts ar Tieslietu padomes 2012.gada 18.jūnija lēmumu. Atbilstoši TKK reglamenta 1.punktam TKK </w:t>
      </w:r>
      <w:r w:rsidRPr="00347D4F">
        <w:rPr>
          <w:rFonts w:ascii="Times New Roman" w:hAnsi="Times New Roman"/>
          <w:sz w:val="24"/>
          <w:szCs w:val="24"/>
        </w:rPr>
        <w:lastRenderedPageBreak/>
        <w:t xml:space="preserve">reglaments nosaka kārtību, kādā tiek nodrošināta tiesneša profesionālās darbības novērtēšana, profesionālās darbības ārpuskārtas novērtēšana, tiesneša amata kandidāta kvalifikācijas eksāmena norise, kā arī citi TKK izskatāmie tiesnešu karjeras jautājumi. Atbilstoši TKK reglamenta 2.punktam TKK funkcijas un uzdevumus nosaka </w:t>
      </w:r>
      <w:r w:rsidRPr="00347D4F">
        <w:rPr>
          <w:rFonts w:ascii="Times New Roman" w:hAnsi="Times New Roman"/>
          <w:sz w:val="24"/>
          <w:szCs w:val="24"/>
          <w:lang w:eastAsia="en-US"/>
        </w:rPr>
        <w:t>likums „Par tiesu varu”, Ministru kabineta 2009.gada 3.marta noteikumi Nr.204 „</w:t>
      </w:r>
      <w:r w:rsidRPr="00347D4F">
        <w:rPr>
          <w:rFonts w:ascii="Times New Roman" w:hAnsi="Times New Roman"/>
          <w:bCs/>
          <w:sz w:val="24"/>
          <w:szCs w:val="24"/>
          <w:lang w:eastAsia="en-US"/>
        </w:rPr>
        <w:t xml:space="preserve">Tiesneša amata kandidāta atlases, stažēšanās un kvalifikācijas eksāmena kārtošanas kārtība”, </w:t>
      </w:r>
      <w:r w:rsidRPr="00347D4F">
        <w:rPr>
          <w:rFonts w:ascii="Times New Roman" w:hAnsi="Times New Roman"/>
          <w:sz w:val="24"/>
          <w:szCs w:val="24"/>
          <w:lang w:eastAsia="en-US"/>
        </w:rPr>
        <w:t xml:space="preserve">Augstākās tiesas tiesneša amata kandidātu atlases atklāta konkursa nolikums, kas apstiprināts ar Tieslietu padomes </w:t>
      </w:r>
      <w:r w:rsidRPr="00347D4F">
        <w:rPr>
          <w:rFonts w:ascii="Times New Roman" w:hAnsi="Times New Roman"/>
          <w:bCs/>
          <w:sz w:val="24"/>
          <w:szCs w:val="24"/>
          <w:lang w:eastAsia="en-US"/>
        </w:rPr>
        <w:t>2011.gada 27.septembra lēmumu Nr.53,</w:t>
      </w:r>
      <w:r w:rsidRPr="00347D4F">
        <w:rPr>
          <w:rFonts w:ascii="Times New Roman" w:hAnsi="Times New Roman"/>
          <w:sz w:val="24"/>
          <w:szCs w:val="24"/>
          <w:lang w:eastAsia="en-US"/>
        </w:rPr>
        <w:t xml:space="preserve"> un</w:t>
      </w:r>
      <w:r w:rsidRPr="00347D4F">
        <w:rPr>
          <w:rFonts w:ascii="Times New Roman" w:hAnsi="Times New Roman"/>
          <w:bCs/>
          <w:sz w:val="24"/>
          <w:szCs w:val="24"/>
          <w:lang w:eastAsia="en-US"/>
        </w:rPr>
        <w:t xml:space="preserve"> </w:t>
      </w:r>
      <w:r w:rsidRPr="00347D4F">
        <w:rPr>
          <w:rFonts w:ascii="Times New Roman" w:hAnsi="Times New Roman"/>
          <w:sz w:val="24"/>
          <w:szCs w:val="24"/>
          <w:lang w:eastAsia="en-US"/>
        </w:rPr>
        <w:t xml:space="preserve">Rajona (pilsētas) tiesas un apgabaltiesas tiesneša atlases konkursa nolikums, kas apstiprināts ar </w:t>
      </w:r>
      <w:r w:rsidRPr="00347D4F">
        <w:rPr>
          <w:rFonts w:ascii="Times New Roman" w:hAnsi="Times New Roman"/>
          <w:bCs/>
          <w:sz w:val="24"/>
          <w:szCs w:val="24"/>
          <w:lang w:eastAsia="en-US"/>
        </w:rPr>
        <w:t>Tieslietu padomes 2012.gada 10.janvāra lēmumu.</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TKK veic tiesneša profesionālās darbības kārtējo novērtēšanu, tiesneša profesionālās darbības ārpuskārtas novērtēšanu, sniedz atzinumu tiesneša pārcelšanai uz vakanto tiesneša amatu citā tāda paša līmeņa tiesā, tiesu namā vai augstāka līmeņa tiesā, augstāka līmeņa tiesas tiesneša aizstāšanai vakances vai pagaidu prombūtnes gadījumā, novērtē katra pirmo reizi izvirzītā tiesneša amata kandidāta piemērotību tiesneša amatam, novērtē tiesneša amata kandidāta profesionālo sagatavotību, pieņemot kvalifikācijas eksāmenu, sniedz atzinumu par rajona (pilsētas) tiesas un apgabaltiesas tiesneša kandidātu iecelšanu tiesneša amatā, kā arī novērtē un sniedz atzinumu par rajona (pilsētas) tiesas, apgabaltiesas un Augstākās tiesas tiesneša apstiprināšanu amatā.</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Saskaņā ar likuma „Par tiesu varu” 94.</w:t>
      </w:r>
      <w:r w:rsidRPr="00347D4F">
        <w:rPr>
          <w:rFonts w:ascii="Times New Roman" w:hAnsi="Times New Roman"/>
          <w:sz w:val="24"/>
          <w:szCs w:val="24"/>
          <w:vertAlign w:val="superscript"/>
          <w:lang w:eastAsia="en-US"/>
        </w:rPr>
        <w:t>1</w:t>
      </w:r>
      <w:r w:rsidRPr="00347D4F">
        <w:rPr>
          <w:rFonts w:ascii="Times New Roman" w:hAnsi="Times New Roman"/>
          <w:sz w:val="24"/>
          <w:szCs w:val="24"/>
          <w:lang w:eastAsia="en-US"/>
        </w:rPr>
        <w:t xml:space="preserve">panta otro daļu tiesneša profesionālās darbības kārtējo novērtēšanu TKK veic reizi piecos gados pēc tiesneša apstiprināšanas amatā bez pilnvaru termiņa ierobežojuma. Savukārt minētā likuma pārejas noteikumu 41.punkts nosaka, ka tiesnešu profesionālās darbības kārtējo novērtēšanu pirmo reizi TKK veic no 2013.gada 1.janvāra līdz 2016.gada 1.janvārim. Atbilstoši minētajam Tieslietu padome 2012.gada 10.decembrī apstiprināja tiesnešu sarakstu, kuriem profesionālās darbības kārtējā novērtēšana jāveic 2013.gadā. Lai gada garumā plānotu tiesnešu profesionālās darbības novērtēšanas procesu, TKK apstiprināja tiesnešu sarakstu, </w:t>
      </w:r>
      <w:proofErr w:type="gramStart"/>
      <w:r w:rsidRPr="00347D4F">
        <w:rPr>
          <w:rFonts w:ascii="Times New Roman" w:hAnsi="Times New Roman"/>
          <w:sz w:val="24"/>
          <w:szCs w:val="24"/>
          <w:lang w:eastAsia="en-US"/>
        </w:rPr>
        <w:t>kas sagrupēts pa mēnešiem un atbilstoši</w:t>
      </w:r>
      <w:proofErr w:type="gramEnd"/>
      <w:r w:rsidRPr="00347D4F">
        <w:rPr>
          <w:rFonts w:ascii="Times New Roman" w:hAnsi="Times New Roman"/>
          <w:sz w:val="24"/>
          <w:szCs w:val="24"/>
          <w:lang w:eastAsia="en-US"/>
        </w:rPr>
        <w:t xml:space="preserve"> kuram tiek veikta tiesnešu profesionālās darbības kārtējā novērtēšana 2013.gadā.</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Izvērtējot informāciju par zemesgrāmatu nodaļu, rajonu (pilsētu) tiesu un apgabaltiesu tiesnešiem piešķirtajām kvalifikācijas klasēm, tiesneša amatā nostrādāto laiku un piešķirtos finanšu līdzekļus tiesnešu atalgojumam 2013. gadam, Tiesu administrācija izstrādāja kritērijus secīgai zemesgrāmatu nodaļu, rajonu (pilsētu) tiesu un apgabaltiesu tiesnešu profesionālās darbības kārtējai novērtēšanai laika periodā no 2013. gada 1. janvāra līdz 2016. gada 1. janvārim.</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Saskaņā ar likuma „Par tiesu varu” 94.</w:t>
      </w:r>
      <w:r w:rsidRPr="00347D4F">
        <w:rPr>
          <w:rFonts w:ascii="Times New Roman" w:hAnsi="Times New Roman"/>
          <w:sz w:val="24"/>
          <w:szCs w:val="24"/>
          <w:vertAlign w:val="superscript"/>
          <w:lang w:eastAsia="en-US"/>
        </w:rPr>
        <w:t>3</w:t>
      </w:r>
      <w:r w:rsidRPr="00347D4F">
        <w:rPr>
          <w:rFonts w:ascii="Times New Roman" w:hAnsi="Times New Roman"/>
          <w:sz w:val="24"/>
          <w:szCs w:val="24"/>
          <w:lang w:eastAsia="en-US"/>
        </w:rPr>
        <w:t xml:space="preserve">panta astoto daļu tiesneša profesionālo darbību novērtē TKK sēdē, piedaloties tiesnesim, kura profesionālā darbība tiek novērtēta. TKK ir lemttiesīga, ja tās sēdē piedalās vismaz septiņi TKK locekļi. TKK var sniegt atzinumu bez tiesneša klātbūtnes, ja saņemts tiesneša lūgums novērtēt viņu bez viņa klātbūtnes un TKK atzīst, ka tiesneša profesionālo darbību var novērtēt, viņam klāt neesot. Pirms sēdes, kas notiek ne retāk kā reizi mēnesī, TKK iepazīstas ar iesniegtajiem materiāliem par tiesneša darbu un ar tiesneša profesionālās darbības pašnovērtējumu, tāpat ar materiāliem savlaicīgi iepazīstina novērtējamo tiesnesi. </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TKK reglamenta V nodaļā noteikts, kādi dokumenti iesniedzami TKK, lai novērtētu tiesneša profesionālo darbību:</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 xml:space="preserve">1) Tiesu administrācijas uzziņa vai Augstākās tiesas administrācijas uzziņa, kurā ietverta TKK reglamenta 1.pielikumā minētā informācija atbilstoši Augstākās tiesas kompetencei (atbilstoši TKK reglamenta 1.pielikumam uzziņā norāda tiesneša izglītību, darba stāžu tiesneša amatā, statistiskas datus par tiesneša darbu, informāciju par dalību kvalifikācijas celšanas pasākumos </w:t>
      </w:r>
      <w:proofErr w:type="spellStart"/>
      <w:r w:rsidRPr="00347D4F">
        <w:rPr>
          <w:rFonts w:ascii="Times New Roman" w:hAnsi="Times New Roman"/>
          <w:sz w:val="24"/>
          <w:szCs w:val="24"/>
          <w:lang w:eastAsia="en-US"/>
        </w:rPr>
        <w:t>u.c</w:t>
      </w:r>
      <w:proofErr w:type="spellEnd"/>
      <w:r w:rsidRPr="00347D4F">
        <w:rPr>
          <w:rFonts w:ascii="Times New Roman" w:hAnsi="Times New Roman"/>
          <w:sz w:val="24"/>
          <w:szCs w:val="24"/>
          <w:lang w:eastAsia="en-US"/>
        </w:rPr>
        <w:t>.);</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lastRenderedPageBreak/>
        <w:t xml:space="preserve">2) tiesas priekšsēdētāja (zemesgrāmatu nodaļas priekšnieka) atsauksme par tiesneša darbu (TKK reglamenta 2.pielikumā norādīts, ka iekļaujama informācija par tiesneša specializāciju, tiesas procesa vadīšanas kvalitāti, darba organizāciju, sabiedrisko darbību, tiesneša prasmi izskaidrot savu viedokli, rast kompromisu </w:t>
      </w:r>
      <w:proofErr w:type="spellStart"/>
      <w:r w:rsidRPr="00347D4F">
        <w:rPr>
          <w:rFonts w:ascii="Times New Roman" w:hAnsi="Times New Roman"/>
          <w:sz w:val="24"/>
          <w:szCs w:val="24"/>
          <w:lang w:eastAsia="en-US"/>
        </w:rPr>
        <w:t>promblēmsituācijās</w:t>
      </w:r>
      <w:proofErr w:type="spellEnd"/>
      <w:r w:rsidRPr="00347D4F">
        <w:rPr>
          <w:rFonts w:ascii="Times New Roman" w:hAnsi="Times New Roman"/>
          <w:sz w:val="24"/>
          <w:szCs w:val="24"/>
          <w:lang w:eastAsia="en-US"/>
        </w:rPr>
        <w:t xml:space="preserve"> </w:t>
      </w:r>
      <w:proofErr w:type="spellStart"/>
      <w:r w:rsidRPr="00347D4F">
        <w:rPr>
          <w:rFonts w:ascii="Times New Roman" w:hAnsi="Times New Roman"/>
          <w:sz w:val="24"/>
          <w:szCs w:val="24"/>
          <w:lang w:eastAsia="en-US"/>
        </w:rPr>
        <w:t>u.c</w:t>
      </w:r>
      <w:proofErr w:type="spellEnd"/>
      <w:r w:rsidRPr="00347D4F">
        <w:rPr>
          <w:rFonts w:ascii="Times New Roman" w:hAnsi="Times New Roman"/>
          <w:sz w:val="24"/>
          <w:szCs w:val="24"/>
          <w:lang w:eastAsia="en-US"/>
        </w:rPr>
        <w:t>.);</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 xml:space="preserve">3) augstākas instances tiesneša atsauksme par tiesneša darbu, izņemot par Augstākās tiesas tiesneša darbu (atbilstoši TKK reglamenta 3.pielikumam atsauksmē norāda tiesneša pieņemto nolēmumu kvalitāti, materiālo un procesuālo normu piemērošanu </w:t>
      </w:r>
      <w:proofErr w:type="spellStart"/>
      <w:r w:rsidRPr="00347D4F">
        <w:rPr>
          <w:rFonts w:ascii="Times New Roman" w:hAnsi="Times New Roman"/>
          <w:sz w:val="24"/>
          <w:szCs w:val="24"/>
          <w:lang w:eastAsia="en-US"/>
        </w:rPr>
        <w:t>u.c</w:t>
      </w:r>
      <w:proofErr w:type="spellEnd"/>
      <w:r w:rsidRPr="00347D4F">
        <w:rPr>
          <w:rFonts w:ascii="Times New Roman" w:hAnsi="Times New Roman"/>
          <w:sz w:val="24"/>
          <w:szCs w:val="24"/>
          <w:lang w:eastAsia="en-US"/>
        </w:rPr>
        <w:t>.);</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 xml:space="preserve">4) tiesneša profesionālās darbības pašnovērtējums (atbilstoši TKK reglamenta 4.pielikumam pašnovērtējumā iekļauj informāciju par tiesneša pieņemto lēmumu kvalitāti, tiesas procesa vadīšanas kvalitāti, darba organizāciju tiesas lietu izskatīšanas nodrošināšanai, darba organizācijas noteikumu un tiesas priekšsēdētāja rīkojumu ievērošanu tiesneša darbā, profesionālās un akadēmiskās kvalifikācijas celšanu, pedagoģisko, zinātnisko un sabiedrisko darbību, tiesneša pienākumu izpildi veicinošiem vai kavējošiem faktoriem </w:t>
      </w:r>
      <w:proofErr w:type="spellStart"/>
      <w:r w:rsidRPr="00347D4F">
        <w:rPr>
          <w:rFonts w:ascii="Times New Roman" w:hAnsi="Times New Roman"/>
          <w:sz w:val="24"/>
          <w:szCs w:val="24"/>
          <w:lang w:eastAsia="en-US"/>
        </w:rPr>
        <w:t>u.c</w:t>
      </w:r>
      <w:proofErr w:type="spellEnd"/>
      <w:r w:rsidRPr="00347D4F">
        <w:rPr>
          <w:rFonts w:ascii="Times New Roman" w:hAnsi="Times New Roman"/>
          <w:sz w:val="24"/>
          <w:szCs w:val="24"/>
          <w:lang w:eastAsia="en-US"/>
        </w:rPr>
        <w:t>.);</w:t>
      </w:r>
    </w:p>
    <w:p w:rsidR="005C03B8" w:rsidRPr="00347D4F" w:rsidRDefault="005C03B8" w:rsidP="000F539B">
      <w:pPr>
        <w:spacing w:after="0" w:line="240" w:lineRule="auto"/>
        <w:ind w:firstLine="720"/>
        <w:jc w:val="both"/>
        <w:rPr>
          <w:rFonts w:ascii="Times New Roman" w:hAnsi="Times New Roman"/>
          <w:sz w:val="24"/>
          <w:szCs w:val="24"/>
        </w:rPr>
      </w:pPr>
      <w:r w:rsidRPr="00347D4F">
        <w:rPr>
          <w:rFonts w:ascii="Times New Roman" w:hAnsi="Times New Roman"/>
          <w:sz w:val="24"/>
          <w:szCs w:val="24"/>
          <w:lang w:eastAsia="en-US"/>
        </w:rPr>
        <w:t>5) attiecīgās tiesas tiesnešu un tiesas darbinieku aptaujas rezultāti par tiesneša darbu.</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Likuma „Par tiesu varu” 94.</w:t>
      </w:r>
      <w:r w:rsidRPr="00347D4F">
        <w:rPr>
          <w:rFonts w:ascii="Times New Roman" w:hAnsi="Times New Roman"/>
          <w:sz w:val="24"/>
          <w:szCs w:val="24"/>
          <w:vertAlign w:val="superscript"/>
          <w:lang w:eastAsia="en-US"/>
        </w:rPr>
        <w:t>2</w:t>
      </w:r>
      <w:r w:rsidRPr="00347D4F">
        <w:rPr>
          <w:rFonts w:ascii="Times New Roman" w:hAnsi="Times New Roman"/>
          <w:sz w:val="24"/>
          <w:szCs w:val="24"/>
          <w:lang w:eastAsia="en-US"/>
        </w:rPr>
        <w:t>pants nosaka, ka, novērtējot tiesneša profesionālo darbību, TKK analizē šādas tiesneša profesionālās darbības un to rezultātus:</w:t>
      </w:r>
    </w:p>
    <w:p w:rsidR="005C03B8" w:rsidRPr="00347D4F" w:rsidRDefault="005C03B8" w:rsidP="000F539B">
      <w:pPr>
        <w:spacing w:after="0" w:line="240" w:lineRule="auto"/>
        <w:ind w:firstLine="720"/>
        <w:jc w:val="both"/>
        <w:rPr>
          <w:rFonts w:ascii="Times New Roman" w:hAnsi="Times New Roman"/>
          <w:sz w:val="24"/>
          <w:szCs w:val="24"/>
        </w:rPr>
      </w:pPr>
      <w:r w:rsidRPr="00347D4F">
        <w:rPr>
          <w:rFonts w:ascii="Times New Roman" w:hAnsi="Times New Roman"/>
          <w:iCs/>
          <w:sz w:val="24"/>
          <w:szCs w:val="24"/>
          <w:lang w:eastAsia="en-US"/>
        </w:rPr>
        <w:t xml:space="preserve">1) sagatavoto </w:t>
      </w:r>
      <w:r w:rsidRPr="00347D4F">
        <w:rPr>
          <w:rFonts w:ascii="Times New Roman" w:hAnsi="Times New Roman"/>
          <w:sz w:val="24"/>
          <w:szCs w:val="24"/>
        </w:rPr>
        <w:t xml:space="preserve">nolēmumu struktūru, tajos ietverto juridisko argumentāciju, materiālo un procesuālo normu piemērošanu, kā arī tiesību </w:t>
      </w:r>
      <w:proofErr w:type="spellStart"/>
      <w:r w:rsidRPr="00347D4F">
        <w:rPr>
          <w:rFonts w:ascii="Times New Roman" w:hAnsi="Times New Roman"/>
          <w:sz w:val="24"/>
          <w:szCs w:val="24"/>
        </w:rPr>
        <w:t>palīgavotu</w:t>
      </w:r>
      <w:proofErr w:type="spellEnd"/>
      <w:r w:rsidRPr="00347D4F">
        <w:rPr>
          <w:rFonts w:ascii="Times New Roman" w:hAnsi="Times New Roman"/>
          <w:sz w:val="24"/>
          <w:szCs w:val="24"/>
        </w:rPr>
        <w:t xml:space="preserve"> izmantošanu;</w:t>
      </w:r>
    </w:p>
    <w:p w:rsidR="005C03B8" w:rsidRPr="00347D4F" w:rsidRDefault="005C03B8" w:rsidP="000F539B">
      <w:pPr>
        <w:spacing w:after="0" w:line="240" w:lineRule="auto"/>
        <w:ind w:firstLine="720"/>
        <w:jc w:val="both"/>
        <w:rPr>
          <w:rFonts w:ascii="Times New Roman" w:hAnsi="Times New Roman"/>
          <w:sz w:val="24"/>
          <w:szCs w:val="24"/>
        </w:rPr>
      </w:pPr>
      <w:r w:rsidRPr="00347D4F">
        <w:rPr>
          <w:rFonts w:ascii="Times New Roman" w:hAnsi="Times New Roman"/>
          <w:iCs/>
          <w:sz w:val="24"/>
          <w:szCs w:val="24"/>
          <w:lang w:eastAsia="en-US"/>
        </w:rPr>
        <w:t>2) t</w:t>
      </w:r>
      <w:r w:rsidRPr="00347D4F">
        <w:rPr>
          <w:rFonts w:ascii="Times New Roman" w:hAnsi="Times New Roman"/>
          <w:sz w:val="24"/>
          <w:szCs w:val="24"/>
        </w:rPr>
        <w:t>iesas procesu vadību;</w:t>
      </w:r>
    </w:p>
    <w:p w:rsidR="005C03B8" w:rsidRPr="00347D4F" w:rsidRDefault="005C03B8" w:rsidP="000F539B">
      <w:pPr>
        <w:spacing w:after="0" w:line="240" w:lineRule="auto"/>
        <w:ind w:firstLine="720"/>
        <w:jc w:val="both"/>
        <w:rPr>
          <w:rFonts w:ascii="Times New Roman" w:hAnsi="Times New Roman"/>
          <w:sz w:val="24"/>
          <w:szCs w:val="24"/>
        </w:rPr>
      </w:pPr>
      <w:r w:rsidRPr="00347D4F">
        <w:rPr>
          <w:rFonts w:ascii="Times New Roman" w:hAnsi="Times New Roman"/>
          <w:iCs/>
          <w:sz w:val="24"/>
          <w:szCs w:val="24"/>
          <w:lang w:eastAsia="en-US"/>
        </w:rPr>
        <w:t>3) </w:t>
      </w:r>
      <w:r w:rsidRPr="00347D4F">
        <w:rPr>
          <w:rFonts w:ascii="Times New Roman" w:hAnsi="Times New Roman"/>
          <w:sz w:val="24"/>
          <w:szCs w:val="24"/>
        </w:rPr>
        <w:t>darba organizāciju tiesas lietu izskatīšanas nodrošināšanai;</w:t>
      </w:r>
    </w:p>
    <w:p w:rsidR="005C03B8" w:rsidRPr="00347D4F" w:rsidRDefault="005C03B8" w:rsidP="000F539B">
      <w:pPr>
        <w:spacing w:after="0" w:line="240" w:lineRule="auto"/>
        <w:ind w:firstLine="720"/>
        <w:jc w:val="both"/>
        <w:rPr>
          <w:rFonts w:ascii="Times New Roman" w:hAnsi="Times New Roman"/>
          <w:sz w:val="24"/>
          <w:szCs w:val="24"/>
        </w:rPr>
      </w:pPr>
      <w:r w:rsidRPr="00347D4F">
        <w:rPr>
          <w:rFonts w:ascii="Times New Roman" w:hAnsi="Times New Roman"/>
          <w:iCs/>
          <w:sz w:val="24"/>
          <w:szCs w:val="24"/>
          <w:lang w:eastAsia="en-US"/>
        </w:rPr>
        <w:t>4) </w:t>
      </w:r>
      <w:r w:rsidRPr="00347D4F">
        <w:rPr>
          <w:rFonts w:ascii="Times New Roman" w:hAnsi="Times New Roman"/>
          <w:sz w:val="24"/>
          <w:szCs w:val="24"/>
        </w:rPr>
        <w:t>darba organizācijas noteikumu un tiesas priekšsēdētāja rīkojumu ievērošanu tiesneša darbā;</w:t>
      </w:r>
    </w:p>
    <w:p w:rsidR="005C03B8" w:rsidRPr="00347D4F" w:rsidRDefault="005C03B8" w:rsidP="000F539B">
      <w:pPr>
        <w:spacing w:after="0" w:line="240" w:lineRule="auto"/>
        <w:ind w:firstLine="720"/>
        <w:jc w:val="both"/>
        <w:rPr>
          <w:rFonts w:ascii="Times New Roman" w:hAnsi="Times New Roman"/>
          <w:sz w:val="24"/>
          <w:szCs w:val="24"/>
        </w:rPr>
      </w:pPr>
      <w:r w:rsidRPr="00347D4F">
        <w:rPr>
          <w:rFonts w:ascii="Times New Roman" w:hAnsi="Times New Roman"/>
          <w:iCs/>
          <w:sz w:val="24"/>
          <w:szCs w:val="24"/>
          <w:lang w:eastAsia="en-US"/>
        </w:rPr>
        <w:t>5) </w:t>
      </w:r>
      <w:r w:rsidRPr="00347D4F">
        <w:rPr>
          <w:rFonts w:ascii="Times New Roman" w:hAnsi="Times New Roman"/>
          <w:sz w:val="24"/>
          <w:szCs w:val="24"/>
        </w:rPr>
        <w:t>dalību kvalifikācijas celšanas pasākumos (tostarp maģistra vai doktora grāda iegūšanu), kā arī pedagoģisko un zinātnisko darbību;</w:t>
      </w:r>
    </w:p>
    <w:p w:rsidR="005C03B8" w:rsidRPr="00347D4F" w:rsidRDefault="005C03B8" w:rsidP="000F539B">
      <w:pPr>
        <w:spacing w:after="0" w:line="240" w:lineRule="auto"/>
        <w:ind w:firstLine="720"/>
        <w:jc w:val="both"/>
        <w:rPr>
          <w:rFonts w:ascii="Times New Roman" w:hAnsi="Times New Roman"/>
          <w:sz w:val="24"/>
          <w:szCs w:val="24"/>
        </w:rPr>
      </w:pPr>
      <w:r w:rsidRPr="00347D4F">
        <w:rPr>
          <w:rFonts w:ascii="Times New Roman" w:hAnsi="Times New Roman"/>
          <w:iCs/>
          <w:sz w:val="24"/>
          <w:szCs w:val="24"/>
          <w:lang w:eastAsia="en-US"/>
        </w:rPr>
        <w:t>6) </w:t>
      </w:r>
      <w:r w:rsidRPr="00347D4F">
        <w:rPr>
          <w:rFonts w:ascii="Times New Roman" w:hAnsi="Times New Roman"/>
          <w:sz w:val="24"/>
          <w:szCs w:val="24"/>
        </w:rPr>
        <w:t>sabiedrisko darbību (dalību tiesnešu pašpārvaldes institūcijās, normatīvo aktu projektu izstrādē un pilnveidošanā, viedokļu par tiesību jautājumiem sniegšanu Saeimai, Satversmes tiesai un citām institūcijām);</w:t>
      </w:r>
    </w:p>
    <w:p w:rsidR="005C03B8" w:rsidRPr="00347D4F" w:rsidRDefault="005C03B8" w:rsidP="000F539B">
      <w:pPr>
        <w:spacing w:after="0" w:line="240" w:lineRule="auto"/>
        <w:ind w:firstLine="720"/>
        <w:jc w:val="both"/>
        <w:rPr>
          <w:rFonts w:ascii="Times New Roman" w:hAnsi="Times New Roman"/>
          <w:sz w:val="24"/>
          <w:szCs w:val="24"/>
        </w:rPr>
      </w:pPr>
      <w:r w:rsidRPr="00347D4F">
        <w:rPr>
          <w:rFonts w:ascii="Times New Roman" w:hAnsi="Times New Roman"/>
          <w:iCs/>
          <w:sz w:val="24"/>
          <w:szCs w:val="24"/>
          <w:lang w:eastAsia="en-US"/>
        </w:rPr>
        <w:t>7) </w:t>
      </w:r>
      <w:r w:rsidRPr="00347D4F">
        <w:rPr>
          <w:rFonts w:ascii="Times New Roman" w:hAnsi="Times New Roman"/>
          <w:sz w:val="24"/>
          <w:szCs w:val="24"/>
        </w:rPr>
        <w:t>statistikas datus par tiesneša darbu.</w:t>
      </w:r>
    </w:p>
    <w:p w:rsidR="003F68D4" w:rsidRPr="00347D4F" w:rsidRDefault="004B3EA1" w:rsidP="000F539B">
      <w:pPr>
        <w:spacing w:after="0" w:line="240" w:lineRule="auto"/>
        <w:ind w:firstLine="720"/>
        <w:jc w:val="both"/>
        <w:rPr>
          <w:rFonts w:ascii="Times New Roman" w:hAnsi="Times New Roman"/>
          <w:sz w:val="24"/>
          <w:szCs w:val="24"/>
        </w:rPr>
      </w:pPr>
      <w:r w:rsidRPr="00347D4F">
        <w:rPr>
          <w:rFonts w:ascii="Times New Roman" w:hAnsi="Times New Roman"/>
          <w:sz w:val="24"/>
          <w:szCs w:val="24"/>
        </w:rPr>
        <w:t xml:space="preserve">Papildus norādāms, ka viens no faktoriem, </w:t>
      </w:r>
      <w:r w:rsidR="00EA752A" w:rsidRPr="00347D4F">
        <w:rPr>
          <w:rFonts w:ascii="Times New Roman" w:hAnsi="Times New Roman"/>
          <w:sz w:val="24"/>
          <w:szCs w:val="24"/>
        </w:rPr>
        <w:t>kas</w:t>
      </w:r>
      <w:r w:rsidRPr="00347D4F">
        <w:rPr>
          <w:rFonts w:ascii="Times New Roman" w:hAnsi="Times New Roman"/>
          <w:sz w:val="24"/>
          <w:szCs w:val="24"/>
        </w:rPr>
        <w:t xml:space="preserve"> ņem</w:t>
      </w:r>
      <w:r w:rsidR="00EA752A" w:rsidRPr="00347D4F">
        <w:rPr>
          <w:rFonts w:ascii="Times New Roman" w:hAnsi="Times New Roman"/>
          <w:sz w:val="24"/>
          <w:szCs w:val="24"/>
        </w:rPr>
        <w:t>ams</w:t>
      </w:r>
      <w:r w:rsidRPr="00347D4F">
        <w:rPr>
          <w:rFonts w:ascii="Times New Roman" w:hAnsi="Times New Roman"/>
          <w:sz w:val="24"/>
          <w:szCs w:val="24"/>
        </w:rPr>
        <w:t xml:space="preserve"> vērā pie </w:t>
      </w:r>
      <w:r w:rsidR="00EA752A" w:rsidRPr="00347D4F">
        <w:rPr>
          <w:rFonts w:ascii="Times New Roman" w:hAnsi="Times New Roman"/>
          <w:sz w:val="24"/>
          <w:szCs w:val="24"/>
        </w:rPr>
        <w:t xml:space="preserve">profesionālās darbības </w:t>
      </w:r>
      <w:r w:rsidRPr="00347D4F">
        <w:rPr>
          <w:rFonts w:ascii="Times New Roman" w:hAnsi="Times New Roman"/>
          <w:sz w:val="24"/>
          <w:szCs w:val="24"/>
        </w:rPr>
        <w:t>novērtēšanas</w:t>
      </w:r>
      <w:r w:rsidR="00EA752A" w:rsidRPr="00347D4F">
        <w:rPr>
          <w:rFonts w:ascii="Times New Roman" w:hAnsi="Times New Roman"/>
          <w:sz w:val="24"/>
          <w:szCs w:val="24"/>
        </w:rPr>
        <w:t xml:space="preserve"> </w:t>
      </w:r>
      <w:r w:rsidR="00C570E7" w:rsidRPr="00347D4F">
        <w:rPr>
          <w:rFonts w:ascii="Times New Roman" w:hAnsi="Times New Roman"/>
          <w:sz w:val="24"/>
          <w:szCs w:val="24"/>
        </w:rPr>
        <w:t>ir Eiropas Cilvēktiesību tiesas (turpmāk – ECT) pieņemtie spriedumi</w:t>
      </w:r>
      <w:r w:rsidRPr="00347D4F">
        <w:rPr>
          <w:rFonts w:ascii="Times New Roman" w:hAnsi="Times New Roman"/>
          <w:sz w:val="24"/>
          <w:szCs w:val="24"/>
        </w:rPr>
        <w:t>. Proti, ECT spriedum</w:t>
      </w:r>
      <w:r w:rsidR="00EA752A" w:rsidRPr="00347D4F">
        <w:rPr>
          <w:rFonts w:ascii="Times New Roman" w:hAnsi="Times New Roman"/>
          <w:sz w:val="24"/>
          <w:szCs w:val="24"/>
        </w:rPr>
        <w:t>os sniegtais tiesas vai tiesneša rīcības vērtējums</w:t>
      </w:r>
      <w:r w:rsidRPr="00347D4F">
        <w:rPr>
          <w:rFonts w:ascii="Times New Roman" w:hAnsi="Times New Roman"/>
          <w:sz w:val="24"/>
          <w:szCs w:val="24"/>
        </w:rPr>
        <w:t xml:space="preserve"> ir viens no apstākļiem, kas būtu jāņem vērā pie tiesneša darba izvērtējuma, sniedzot novērtējumu likumā „Par tiesu varu” </w:t>
      </w:r>
      <w:r w:rsidRPr="00347D4F">
        <w:rPr>
          <w:rFonts w:ascii="Times New Roman" w:hAnsi="Times New Roman"/>
          <w:sz w:val="24"/>
          <w:szCs w:val="24"/>
          <w:lang w:eastAsia="en-US"/>
        </w:rPr>
        <w:t>94.</w:t>
      </w:r>
      <w:r w:rsidRPr="00347D4F">
        <w:rPr>
          <w:rFonts w:ascii="Times New Roman" w:hAnsi="Times New Roman"/>
          <w:sz w:val="24"/>
          <w:szCs w:val="24"/>
          <w:vertAlign w:val="superscript"/>
          <w:lang w:eastAsia="en-US"/>
        </w:rPr>
        <w:t>2</w:t>
      </w:r>
      <w:r w:rsidRPr="00347D4F">
        <w:rPr>
          <w:rFonts w:ascii="Times New Roman" w:hAnsi="Times New Roman"/>
          <w:sz w:val="24"/>
          <w:szCs w:val="24"/>
          <w:lang w:eastAsia="en-US"/>
        </w:rPr>
        <w:t xml:space="preserve">pantā </w:t>
      </w:r>
      <w:r w:rsidR="00713FAA" w:rsidRPr="00347D4F">
        <w:rPr>
          <w:rFonts w:ascii="Times New Roman" w:hAnsi="Times New Roman"/>
          <w:sz w:val="24"/>
          <w:szCs w:val="24"/>
          <w:lang w:eastAsia="en-US"/>
        </w:rPr>
        <w:t>norādīto</w:t>
      </w:r>
      <w:r w:rsidR="00713FAA" w:rsidRPr="00347D4F">
        <w:rPr>
          <w:rFonts w:ascii="Times New Roman" w:hAnsi="Times New Roman"/>
          <w:sz w:val="24"/>
          <w:szCs w:val="24"/>
        </w:rPr>
        <w:t xml:space="preserve"> tiesneša profesionālo darbību un t</w:t>
      </w:r>
      <w:r w:rsidR="00620350">
        <w:rPr>
          <w:rFonts w:ascii="Times New Roman" w:hAnsi="Times New Roman"/>
          <w:sz w:val="24"/>
          <w:szCs w:val="24"/>
        </w:rPr>
        <w:t>ās</w:t>
      </w:r>
      <w:r w:rsidR="00713FAA" w:rsidRPr="00347D4F">
        <w:rPr>
          <w:rFonts w:ascii="Times New Roman" w:hAnsi="Times New Roman"/>
          <w:sz w:val="24"/>
          <w:szCs w:val="24"/>
        </w:rPr>
        <w:t xml:space="preserve"> rezultātus, </w:t>
      </w:r>
      <w:r w:rsidRPr="00347D4F">
        <w:rPr>
          <w:rFonts w:ascii="Times New Roman" w:hAnsi="Times New Roman"/>
          <w:sz w:val="24"/>
          <w:szCs w:val="24"/>
        </w:rPr>
        <w:t>tai skaitā, nolēmumu argumentācij</w:t>
      </w:r>
      <w:r w:rsidR="00713FAA" w:rsidRPr="00347D4F">
        <w:rPr>
          <w:rFonts w:ascii="Times New Roman" w:hAnsi="Times New Roman"/>
          <w:sz w:val="24"/>
          <w:szCs w:val="24"/>
        </w:rPr>
        <w:t>u</w:t>
      </w:r>
      <w:r w:rsidRPr="00347D4F">
        <w:rPr>
          <w:rFonts w:ascii="Times New Roman" w:hAnsi="Times New Roman"/>
          <w:sz w:val="24"/>
          <w:szCs w:val="24"/>
        </w:rPr>
        <w:t xml:space="preserve"> un t</w:t>
      </w:r>
      <w:r w:rsidR="00713FAA" w:rsidRPr="00347D4F">
        <w:rPr>
          <w:rFonts w:ascii="Times New Roman" w:hAnsi="Times New Roman"/>
          <w:sz w:val="24"/>
          <w:szCs w:val="24"/>
        </w:rPr>
        <w:t>o</w:t>
      </w:r>
      <w:r w:rsidRPr="00347D4F">
        <w:rPr>
          <w:rFonts w:ascii="Times New Roman" w:hAnsi="Times New Roman"/>
          <w:sz w:val="24"/>
          <w:szCs w:val="24"/>
        </w:rPr>
        <w:t xml:space="preserve"> pietiekamīb</w:t>
      </w:r>
      <w:r w:rsidR="00713FAA" w:rsidRPr="00347D4F">
        <w:rPr>
          <w:rFonts w:ascii="Times New Roman" w:hAnsi="Times New Roman"/>
          <w:sz w:val="24"/>
          <w:szCs w:val="24"/>
        </w:rPr>
        <w:t>u</w:t>
      </w:r>
      <w:r w:rsidRPr="00347D4F">
        <w:rPr>
          <w:rFonts w:ascii="Times New Roman" w:hAnsi="Times New Roman"/>
          <w:sz w:val="24"/>
          <w:szCs w:val="24"/>
        </w:rPr>
        <w:t>, darba organizēšana</w:t>
      </w:r>
      <w:r w:rsidR="00EA752A" w:rsidRPr="00347D4F">
        <w:rPr>
          <w:rFonts w:ascii="Times New Roman" w:hAnsi="Times New Roman"/>
          <w:sz w:val="24"/>
          <w:szCs w:val="24"/>
        </w:rPr>
        <w:t>s prasm</w:t>
      </w:r>
      <w:r w:rsidR="00713FAA" w:rsidRPr="00347D4F">
        <w:rPr>
          <w:rFonts w:ascii="Times New Roman" w:hAnsi="Times New Roman"/>
          <w:sz w:val="24"/>
          <w:szCs w:val="24"/>
        </w:rPr>
        <w:t>i, statistiku</w:t>
      </w:r>
      <w:r w:rsidRPr="00347D4F">
        <w:rPr>
          <w:rFonts w:ascii="Times New Roman" w:hAnsi="Times New Roman"/>
          <w:sz w:val="24"/>
          <w:szCs w:val="24"/>
        </w:rPr>
        <w:t xml:space="preserve">, </w:t>
      </w:r>
      <w:proofErr w:type="spellStart"/>
      <w:r w:rsidRPr="00347D4F">
        <w:rPr>
          <w:rFonts w:ascii="Times New Roman" w:hAnsi="Times New Roman"/>
          <w:sz w:val="24"/>
          <w:szCs w:val="24"/>
        </w:rPr>
        <w:t>u.c</w:t>
      </w:r>
      <w:proofErr w:type="spellEnd"/>
      <w:r w:rsidRPr="00347D4F">
        <w:rPr>
          <w:rFonts w:ascii="Times New Roman" w:hAnsi="Times New Roman"/>
          <w:sz w:val="24"/>
          <w:szCs w:val="24"/>
        </w:rPr>
        <w:t>.</w:t>
      </w:r>
      <w:r w:rsidR="003F68D4" w:rsidRPr="00347D4F">
        <w:rPr>
          <w:rFonts w:ascii="Times New Roman" w:hAnsi="Times New Roman"/>
          <w:sz w:val="24"/>
          <w:szCs w:val="24"/>
        </w:rPr>
        <w:t xml:space="preserve"> Tomēr tajā pašā laikā norādāms, ka ne vienmēr Eiropas Cilvēka tiesību un pamatbrīvību aizsardzības konvencijas (turpmāk </w:t>
      </w:r>
      <w:r w:rsidR="00AA3A1F">
        <w:rPr>
          <w:rFonts w:ascii="Times New Roman" w:hAnsi="Times New Roman"/>
          <w:sz w:val="24"/>
          <w:szCs w:val="24"/>
        </w:rPr>
        <w:t>–</w:t>
      </w:r>
      <w:r w:rsidR="003F68D4" w:rsidRPr="00347D4F">
        <w:rPr>
          <w:rFonts w:ascii="Times New Roman" w:hAnsi="Times New Roman"/>
          <w:sz w:val="24"/>
          <w:szCs w:val="24"/>
        </w:rPr>
        <w:t xml:space="preserve"> Konvencija) pārkāpums vienlīdz veidos pārkāpumu nacionālo tiesību izpratnē. Proti, ne katrā ECT lietā, kur tiek konstatēts Konvenci</w:t>
      </w:r>
      <w:r w:rsidR="00A14785" w:rsidRPr="00347D4F">
        <w:rPr>
          <w:rFonts w:ascii="Times New Roman" w:hAnsi="Times New Roman"/>
          <w:sz w:val="24"/>
          <w:szCs w:val="24"/>
        </w:rPr>
        <w:t xml:space="preserve">jas pārkāpums saistībā ar tiesu vai </w:t>
      </w:r>
      <w:r w:rsidR="003F68D4" w:rsidRPr="00347D4F">
        <w:rPr>
          <w:rFonts w:ascii="Times New Roman" w:hAnsi="Times New Roman"/>
          <w:sz w:val="24"/>
          <w:szCs w:val="24"/>
        </w:rPr>
        <w:t>tiesnešu darbību, pārkāpuma konstatēša</w:t>
      </w:r>
      <w:r w:rsidR="00A14785" w:rsidRPr="00347D4F">
        <w:rPr>
          <w:rFonts w:ascii="Times New Roman" w:hAnsi="Times New Roman"/>
          <w:sz w:val="24"/>
          <w:szCs w:val="24"/>
        </w:rPr>
        <w:t>nas pamatā būs konkrētās tiesas vai</w:t>
      </w:r>
      <w:r w:rsidR="003F68D4" w:rsidRPr="00347D4F">
        <w:rPr>
          <w:rFonts w:ascii="Times New Roman" w:hAnsi="Times New Roman"/>
          <w:sz w:val="24"/>
          <w:szCs w:val="24"/>
        </w:rPr>
        <w:t xml:space="preserve"> tiesneša prettiesiska darbība</w:t>
      </w:r>
      <w:r w:rsidR="00A14785" w:rsidRPr="00347D4F">
        <w:rPr>
          <w:rFonts w:ascii="Times New Roman" w:hAnsi="Times New Roman"/>
          <w:sz w:val="24"/>
          <w:szCs w:val="24"/>
        </w:rPr>
        <w:t xml:space="preserve"> vai </w:t>
      </w:r>
      <w:r w:rsidR="003F68D4" w:rsidRPr="00347D4F">
        <w:rPr>
          <w:rFonts w:ascii="Times New Roman" w:hAnsi="Times New Roman"/>
          <w:sz w:val="24"/>
          <w:szCs w:val="24"/>
        </w:rPr>
        <w:t xml:space="preserve">bezdarbība, jo Konvencijā un nacionālajās tiesībās ietvertie kritēriji var atšķirties. </w:t>
      </w:r>
    </w:p>
    <w:p w:rsidR="00A14785" w:rsidRPr="00347D4F" w:rsidRDefault="005C03B8" w:rsidP="000F539B">
      <w:pPr>
        <w:pStyle w:val="Komentrateksts"/>
        <w:spacing w:after="0" w:line="240" w:lineRule="auto"/>
        <w:ind w:firstLine="720"/>
        <w:jc w:val="both"/>
        <w:rPr>
          <w:rFonts w:ascii="Times New Roman" w:hAnsi="Times New Roman"/>
          <w:sz w:val="24"/>
          <w:szCs w:val="24"/>
          <w:lang w:val="lv-LV" w:eastAsia="en-US"/>
        </w:rPr>
      </w:pPr>
      <w:r w:rsidRPr="00347D4F">
        <w:rPr>
          <w:rFonts w:ascii="Times New Roman" w:hAnsi="Times New Roman"/>
          <w:sz w:val="24"/>
          <w:szCs w:val="24"/>
          <w:lang w:eastAsia="en-US"/>
        </w:rPr>
        <w:t>TKK locekļi un personas, kuras piedalās TKK sēdē ar padomdevēja tiesībām, tiesnesim var uzdot jautājumus.</w:t>
      </w:r>
    </w:p>
    <w:p w:rsidR="005C03B8" w:rsidRPr="00347D4F" w:rsidRDefault="005C03B8" w:rsidP="000F539B">
      <w:pPr>
        <w:pStyle w:val="Komentrateksts"/>
        <w:spacing w:after="0" w:line="240" w:lineRule="auto"/>
        <w:ind w:firstLine="720"/>
        <w:jc w:val="both"/>
        <w:rPr>
          <w:rFonts w:ascii="Times New Roman" w:hAnsi="Times New Roman"/>
          <w:iCs/>
          <w:sz w:val="24"/>
          <w:szCs w:val="24"/>
          <w:lang w:eastAsia="en-US"/>
        </w:rPr>
      </w:pPr>
      <w:r w:rsidRPr="00347D4F">
        <w:rPr>
          <w:rFonts w:ascii="Times New Roman" w:hAnsi="Times New Roman"/>
          <w:sz w:val="24"/>
          <w:szCs w:val="24"/>
          <w:lang w:eastAsia="en-US"/>
        </w:rPr>
        <w:t xml:space="preserve"> Pamatojoties uz tiesneša profesionālās darbības analīzi, TKK sniedz vērtējumu tiesneša profesionālajām prasmēm iegūt un analizēt informāciju, lai izdarītu pamatotus secinājumus, spējai pieņemt lēmumus, izvērtējot informāciju un izmantojot dažādas pieejas problēmas risinājumam, izskaidrot savu viedokli un pārliecināt par tā pareizību, analizēt savu rīcību un uzklausīt kritiku, rast kompromisu </w:t>
      </w:r>
      <w:proofErr w:type="spellStart"/>
      <w:r w:rsidRPr="00347D4F">
        <w:rPr>
          <w:rFonts w:ascii="Times New Roman" w:hAnsi="Times New Roman"/>
          <w:sz w:val="24"/>
          <w:szCs w:val="24"/>
          <w:lang w:eastAsia="en-US"/>
        </w:rPr>
        <w:t>problēmsituācijās</w:t>
      </w:r>
      <w:proofErr w:type="spellEnd"/>
      <w:r w:rsidRPr="00347D4F">
        <w:rPr>
          <w:rFonts w:ascii="Times New Roman" w:hAnsi="Times New Roman"/>
          <w:sz w:val="24"/>
          <w:szCs w:val="24"/>
          <w:lang w:eastAsia="en-US"/>
        </w:rPr>
        <w:t>, kā arī spējai saglabāt emocionālo līdzsvaru stresa situācijās.</w:t>
      </w:r>
      <w:r w:rsidRPr="00347D4F">
        <w:rPr>
          <w:rFonts w:ascii="Times New Roman" w:hAnsi="Times New Roman"/>
          <w:iCs/>
          <w:sz w:val="24"/>
          <w:szCs w:val="24"/>
          <w:lang w:eastAsia="en-US"/>
        </w:rPr>
        <w:t xml:space="preserve"> </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lastRenderedPageBreak/>
        <w:t>Katrs TKK loceklis novērtē tiesneša profesionālo darbību ar pozitīvu vai negatīvu vērtējumu. TKK lēmumus pieņem ar vienkāršu balsu vairākumu, ja balsu skaits sadalās vienādi, tad izšķirošā ir TKK priekšsēdētāja balss.</w:t>
      </w:r>
    </w:p>
    <w:p w:rsidR="005C03B8" w:rsidRPr="00347D4F" w:rsidRDefault="005C03B8" w:rsidP="000F539B">
      <w:pPr>
        <w:spacing w:after="0" w:line="240" w:lineRule="auto"/>
        <w:ind w:firstLine="720"/>
        <w:jc w:val="both"/>
        <w:rPr>
          <w:rFonts w:ascii="Times New Roman" w:hAnsi="Times New Roman"/>
          <w:vanish/>
          <w:sz w:val="24"/>
          <w:szCs w:val="24"/>
        </w:rPr>
      </w:pPr>
      <w:r w:rsidRPr="00347D4F">
        <w:rPr>
          <w:rFonts w:ascii="Times New Roman" w:hAnsi="Times New Roman"/>
          <w:vanish/>
          <w:sz w:val="24"/>
          <w:szCs w:val="24"/>
        </w:rPr>
        <w:t>135</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 xml:space="preserve">TKK, veicot tiesneša profesionālās darbības novērtēšanu, sniedz pozitīvu vai negatīvu atzinumu. </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TKK atzinumu tiesnesis var pārsūdzēt Disciplinārtiesā. Disciplinārtiesa, izskatot sūdzību par TKK lēmuma sagatavošanu un izskatīšanu, piemēro Tiesnešu disciplinārās atbildības likuma noteikumus, kas attiecas uz sūdzību par tiesnešu disciplinārkolēģijas lēmumu sagatavošanu un izskatīšanu, tiktāl, ciktāl šis likums nenosaka citādi.</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Sūdzības izskatīšanas rezultātā Disciplinārtiesa var:</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1) atstāt TKK atzinumu negrozītu un sūdzību noraidīt;</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2) atcelt TKK atzinumu un nosūtīt materiālus atkārtotai izskatīšanai TKK.</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Likuma „Par tiesu varu” 94.</w:t>
      </w:r>
      <w:r w:rsidRPr="00347D4F">
        <w:rPr>
          <w:rFonts w:ascii="Times New Roman" w:hAnsi="Times New Roman"/>
          <w:sz w:val="24"/>
          <w:szCs w:val="24"/>
          <w:vertAlign w:val="superscript"/>
          <w:lang w:eastAsia="en-US"/>
        </w:rPr>
        <w:t>4</w:t>
      </w:r>
      <w:r w:rsidRPr="00347D4F">
        <w:rPr>
          <w:rFonts w:ascii="Times New Roman" w:hAnsi="Times New Roman"/>
          <w:sz w:val="24"/>
          <w:szCs w:val="24"/>
          <w:lang w:eastAsia="en-US"/>
        </w:rPr>
        <w:t xml:space="preserve">pants nosaka, ka gadījumā, ja tiesnesis profesionālās darbības novērtēšanā saņēmis negatīvu atzinumu, atkārtota tiesneša profesionālās darbības novērtēšana tiek veikta TKK noteiktajā termiņā, taču ne vēlāk kā divu gadu laikā no iepriekšējās novērtēšanas, </w:t>
      </w:r>
      <w:proofErr w:type="gramStart"/>
      <w:r w:rsidRPr="00347D4F">
        <w:rPr>
          <w:rFonts w:ascii="Times New Roman" w:hAnsi="Times New Roman"/>
          <w:sz w:val="24"/>
          <w:szCs w:val="24"/>
          <w:lang w:eastAsia="en-US"/>
        </w:rPr>
        <w:t>un</w:t>
      </w:r>
      <w:proofErr w:type="gramEnd"/>
      <w:r w:rsidRPr="00347D4F">
        <w:rPr>
          <w:rFonts w:ascii="Times New Roman" w:hAnsi="Times New Roman"/>
          <w:sz w:val="24"/>
          <w:szCs w:val="24"/>
          <w:lang w:eastAsia="en-US"/>
        </w:rPr>
        <w:t xml:space="preserve"> ja tiesnesis atkārtotā tiesneša profesionālās darbības novērtēšanā saņēmis negatīvu atzinumu, viņu atbrīvo no amata (saskaņā ar likuma „Par tiesu varu” 82.panta pirmās daļas 5.punktu). </w:t>
      </w:r>
    </w:p>
    <w:p w:rsidR="00630678" w:rsidRPr="00347D4F" w:rsidRDefault="00630678" w:rsidP="000F539B">
      <w:pPr>
        <w:spacing w:after="0" w:line="240" w:lineRule="auto"/>
        <w:ind w:firstLine="720"/>
        <w:jc w:val="both"/>
        <w:rPr>
          <w:rFonts w:ascii="Times New Roman" w:hAnsi="Times New Roman"/>
          <w:sz w:val="24"/>
          <w:szCs w:val="24"/>
          <w:lang w:eastAsia="en-US"/>
        </w:rPr>
      </w:pPr>
    </w:p>
    <w:p w:rsidR="005C03B8" w:rsidRPr="00347D4F" w:rsidRDefault="005C03B8" w:rsidP="000F539B">
      <w:pPr>
        <w:spacing w:after="0" w:line="240" w:lineRule="auto"/>
        <w:ind w:firstLine="720"/>
        <w:jc w:val="center"/>
        <w:rPr>
          <w:rFonts w:ascii="Times New Roman" w:hAnsi="Times New Roman"/>
          <w:b/>
          <w:sz w:val="24"/>
          <w:szCs w:val="24"/>
          <w:lang w:eastAsia="en-US"/>
        </w:rPr>
      </w:pPr>
      <w:r w:rsidRPr="00347D4F">
        <w:rPr>
          <w:rFonts w:ascii="Times New Roman" w:hAnsi="Times New Roman"/>
          <w:b/>
          <w:sz w:val="24"/>
          <w:szCs w:val="24"/>
          <w:lang w:eastAsia="en-US"/>
        </w:rPr>
        <w:t>Tiesnešu profesionālās darbības novērtēšanas rezultāti 2013.gadā</w:t>
      </w:r>
    </w:p>
    <w:p w:rsidR="005C03B8" w:rsidRPr="00347D4F" w:rsidRDefault="005C03B8" w:rsidP="000F539B">
      <w:pPr>
        <w:spacing w:after="0" w:line="240" w:lineRule="auto"/>
        <w:ind w:firstLine="720"/>
        <w:jc w:val="both"/>
        <w:rPr>
          <w:rFonts w:ascii="Times New Roman" w:hAnsi="Times New Roman"/>
          <w:sz w:val="24"/>
          <w:szCs w:val="24"/>
        </w:rPr>
      </w:pPr>
      <w:r w:rsidRPr="00347D4F">
        <w:rPr>
          <w:rFonts w:ascii="Times New Roman" w:hAnsi="Times New Roman"/>
          <w:sz w:val="24"/>
          <w:szCs w:val="24"/>
        </w:rPr>
        <w:t>2012.gada 21.septembrī notika Tiesnešu neklātienes konference, kura ievēlēja jaunu TKK, izmantojot elektroniskās vēlēšanas, lai nodrošinātu TKK sastāva atbilstību 2011. gada 9. jūnija grozījumiem likumā „Par tiesu varu”.</w:t>
      </w:r>
    </w:p>
    <w:p w:rsidR="005C03B8" w:rsidRPr="00347D4F" w:rsidRDefault="005C03B8" w:rsidP="000F539B">
      <w:pPr>
        <w:shd w:val="clear" w:color="auto" w:fill="FFFFFF"/>
        <w:spacing w:after="0" w:line="240" w:lineRule="auto"/>
        <w:ind w:firstLine="720"/>
        <w:jc w:val="both"/>
        <w:rPr>
          <w:rFonts w:ascii="Times New Roman" w:hAnsi="Times New Roman"/>
          <w:sz w:val="24"/>
          <w:szCs w:val="24"/>
        </w:rPr>
      </w:pPr>
      <w:r w:rsidRPr="00347D4F">
        <w:rPr>
          <w:rFonts w:ascii="Times New Roman" w:hAnsi="Times New Roman"/>
          <w:sz w:val="24"/>
          <w:szCs w:val="24"/>
        </w:rPr>
        <w:t xml:space="preserve">No 2013.gada 1.janvāra TKK darbojas šādā sastāvā: Augstākās tiesas tiesneši Gunārs Aigars (vienlaicīgi arī TKK priekšsēdētājs), Ervīns Kušķis un Veronika Krūmiņa; apgabaltiesu tiesneši Anna </w:t>
      </w:r>
      <w:proofErr w:type="spellStart"/>
      <w:r w:rsidRPr="00347D4F">
        <w:rPr>
          <w:rFonts w:ascii="Times New Roman" w:hAnsi="Times New Roman"/>
          <w:sz w:val="24"/>
          <w:szCs w:val="24"/>
        </w:rPr>
        <w:t>Biksiniece</w:t>
      </w:r>
      <w:proofErr w:type="spellEnd"/>
      <w:r w:rsidRPr="00347D4F">
        <w:rPr>
          <w:rFonts w:ascii="Times New Roman" w:hAnsi="Times New Roman"/>
          <w:sz w:val="24"/>
          <w:szCs w:val="24"/>
        </w:rPr>
        <w:t xml:space="preserve"> un Silva Reinholde; rajona (pilsētas) tiesas tiesneši Gunita Galiņa un Kristīne </w:t>
      </w:r>
      <w:proofErr w:type="spellStart"/>
      <w:r w:rsidRPr="00347D4F">
        <w:rPr>
          <w:rFonts w:ascii="Times New Roman" w:hAnsi="Times New Roman"/>
          <w:sz w:val="24"/>
          <w:szCs w:val="24"/>
        </w:rPr>
        <w:t>Zdanovska</w:t>
      </w:r>
      <w:proofErr w:type="spellEnd"/>
      <w:r w:rsidRPr="00347D4F">
        <w:rPr>
          <w:rFonts w:ascii="Times New Roman" w:hAnsi="Times New Roman"/>
          <w:sz w:val="24"/>
          <w:szCs w:val="24"/>
        </w:rPr>
        <w:t xml:space="preserve">, kā arī zemesgrāmatu nodaļas tiesnese Ināra Zariņa. No Administratīvās apgabaltiesas darbu TKK turpināja Zita </w:t>
      </w:r>
      <w:proofErr w:type="spellStart"/>
      <w:r w:rsidRPr="00347D4F">
        <w:rPr>
          <w:rFonts w:ascii="Times New Roman" w:hAnsi="Times New Roman"/>
          <w:sz w:val="24"/>
          <w:szCs w:val="24"/>
        </w:rPr>
        <w:t>Kupce</w:t>
      </w:r>
      <w:proofErr w:type="spellEnd"/>
      <w:r w:rsidRPr="00347D4F">
        <w:rPr>
          <w:rFonts w:ascii="Times New Roman" w:hAnsi="Times New Roman"/>
          <w:sz w:val="24"/>
          <w:szCs w:val="24"/>
        </w:rPr>
        <w:t>, bet pēc viņas pāriešanas uz Ogres rajona tiesu elektroniskajās vēlēšanās tiesneši ievēlēja jaunu pārstāvi – Administratīvās apgabaltiesas priekšsēdētāju Māri Vīgantu.</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Sagatavojoties tiesnešu profesionālās darbības novērtēšanas procesam, tika veikti šādi administratīvie pasākumi:</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1) izstrādātas veidlapas atsauksmju par tiesneša darbu un tiesneša profesionālās darbības pašnovērtējuma sagatavošanai (lai informācija par tiesnešiem tiktu sagatavota un iesniegta vienotā formā);</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2) Vienotajā Tiesu administrācijas, tiesu un zemesgrāmatu iekšējā portālā ievietota šāda informācija:</w:t>
      </w:r>
    </w:p>
    <w:p w:rsidR="005C03B8" w:rsidRPr="00347D4F" w:rsidRDefault="005C03B8" w:rsidP="000F539B">
      <w:pPr>
        <w:numPr>
          <w:ilvl w:val="0"/>
          <w:numId w:val="1"/>
        </w:numPr>
        <w:tabs>
          <w:tab w:val="left" w:pos="993"/>
        </w:tabs>
        <w:spacing w:after="0" w:line="240" w:lineRule="auto"/>
        <w:ind w:left="0" w:firstLine="720"/>
        <w:jc w:val="both"/>
        <w:rPr>
          <w:rFonts w:ascii="Times New Roman" w:hAnsi="Times New Roman"/>
          <w:sz w:val="24"/>
          <w:szCs w:val="24"/>
          <w:lang w:eastAsia="en-US"/>
        </w:rPr>
      </w:pPr>
      <w:r w:rsidRPr="00347D4F">
        <w:rPr>
          <w:rFonts w:ascii="Times New Roman" w:hAnsi="Times New Roman"/>
          <w:sz w:val="24"/>
          <w:szCs w:val="24"/>
          <w:lang w:eastAsia="en-US"/>
        </w:rPr>
        <w:t>TKK apstiprinātais tiesnešu saraksts, kas sagrupēts pa mēnešiem;</w:t>
      </w:r>
    </w:p>
    <w:p w:rsidR="005C03B8" w:rsidRPr="00347D4F" w:rsidRDefault="005C03B8" w:rsidP="000F539B">
      <w:pPr>
        <w:numPr>
          <w:ilvl w:val="0"/>
          <w:numId w:val="1"/>
        </w:numPr>
        <w:tabs>
          <w:tab w:val="left" w:pos="993"/>
        </w:tabs>
        <w:spacing w:after="0" w:line="240" w:lineRule="auto"/>
        <w:ind w:left="0" w:firstLine="720"/>
        <w:jc w:val="both"/>
        <w:rPr>
          <w:rFonts w:ascii="Times New Roman" w:hAnsi="Times New Roman"/>
          <w:sz w:val="24"/>
          <w:szCs w:val="24"/>
          <w:lang w:eastAsia="en-US"/>
        </w:rPr>
      </w:pPr>
      <w:r w:rsidRPr="00347D4F">
        <w:rPr>
          <w:rFonts w:ascii="Times New Roman" w:hAnsi="Times New Roman"/>
          <w:sz w:val="24"/>
          <w:szCs w:val="24"/>
          <w:lang w:eastAsia="en-US"/>
        </w:rPr>
        <w:t>tiesnešu profesionālās darbības novērtēšanas procesa apraksts;</w:t>
      </w:r>
    </w:p>
    <w:p w:rsidR="005C03B8" w:rsidRPr="00347D4F" w:rsidRDefault="005C03B8" w:rsidP="000F539B">
      <w:pPr>
        <w:numPr>
          <w:ilvl w:val="0"/>
          <w:numId w:val="1"/>
        </w:numPr>
        <w:tabs>
          <w:tab w:val="left" w:pos="993"/>
        </w:tabs>
        <w:spacing w:after="0" w:line="240" w:lineRule="auto"/>
        <w:ind w:left="0" w:firstLine="720"/>
        <w:jc w:val="both"/>
        <w:rPr>
          <w:rFonts w:ascii="Times New Roman" w:hAnsi="Times New Roman"/>
          <w:sz w:val="24"/>
          <w:szCs w:val="24"/>
          <w:lang w:eastAsia="en-US"/>
        </w:rPr>
      </w:pPr>
      <w:r w:rsidRPr="00347D4F">
        <w:rPr>
          <w:rFonts w:ascii="Times New Roman" w:hAnsi="Times New Roman"/>
          <w:sz w:val="24"/>
          <w:szCs w:val="24"/>
          <w:lang w:eastAsia="en-US"/>
        </w:rPr>
        <w:t>veidlapas tiesneša profesionālās darbības pašnovērtējuma un atsauksmju par tiesneša darbu sagatavošanai;</w:t>
      </w:r>
    </w:p>
    <w:p w:rsidR="005C03B8" w:rsidRPr="00347D4F" w:rsidRDefault="005C03B8" w:rsidP="000F539B">
      <w:pPr>
        <w:numPr>
          <w:ilvl w:val="0"/>
          <w:numId w:val="1"/>
        </w:numPr>
        <w:tabs>
          <w:tab w:val="left" w:pos="993"/>
        </w:tabs>
        <w:spacing w:after="0" w:line="240" w:lineRule="auto"/>
        <w:ind w:left="0" w:firstLine="720"/>
        <w:jc w:val="both"/>
        <w:rPr>
          <w:rFonts w:ascii="Times New Roman" w:hAnsi="Times New Roman"/>
          <w:sz w:val="24"/>
          <w:szCs w:val="24"/>
          <w:lang w:eastAsia="en-US"/>
        </w:rPr>
      </w:pPr>
      <w:r w:rsidRPr="00347D4F">
        <w:rPr>
          <w:rFonts w:ascii="Times New Roman" w:hAnsi="Times New Roman"/>
          <w:sz w:val="24"/>
          <w:szCs w:val="24"/>
          <w:lang w:eastAsia="en-US"/>
        </w:rPr>
        <w:t>tiesneša profesionālo prasmju apraksti;</w:t>
      </w:r>
    </w:p>
    <w:p w:rsidR="005C03B8" w:rsidRPr="00347D4F" w:rsidRDefault="005C03B8" w:rsidP="000F539B">
      <w:pPr>
        <w:numPr>
          <w:ilvl w:val="0"/>
          <w:numId w:val="1"/>
        </w:numPr>
        <w:tabs>
          <w:tab w:val="left" w:pos="993"/>
        </w:tabs>
        <w:spacing w:after="0" w:line="240" w:lineRule="auto"/>
        <w:ind w:left="0" w:firstLine="720"/>
        <w:jc w:val="both"/>
        <w:rPr>
          <w:rFonts w:ascii="Times New Roman" w:hAnsi="Times New Roman"/>
          <w:sz w:val="24"/>
          <w:szCs w:val="24"/>
          <w:lang w:eastAsia="en-US"/>
        </w:rPr>
      </w:pPr>
      <w:r w:rsidRPr="00347D4F">
        <w:rPr>
          <w:rFonts w:ascii="Times New Roman" w:hAnsi="Times New Roman"/>
          <w:sz w:val="24"/>
          <w:szCs w:val="24"/>
          <w:lang w:eastAsia="en-US"/>
        </w:rPr>
        <w:t>ar tiesnešu profesionālās darbības novērtēšanu saistītie normatīvie akti.</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3) TKK locekļiem un tiesu priekšsēdētājiem tika noorganizētas apmācības tiesneša profesionālo prasmju novērtēšanai.</w:t>
      </w:r>
    </w:p>
    <w:p w:rsidR="005C03B8" w:rsidRPr="00347D4F" w:rsidRDefault="005C03B8" w:rsidP="000F539B">
      <w:pPr>
        <w:shd w:val="clear" w:color="auto" w:fill="FFFFFF"/>
        <w:spacing w:after="0" w:line="240" w:lineRule="auto"/>
        <w:ind w:firstLine="720"/>
        <w:jc w:val="both"/>
        <w:rPr>
          <w:rFonts w:ascii="Times New Roman" w:hAnsi="Times New Roman"/>
          <w:sz w:val="24"/>
          <w:szCs w:val="24"/>
          <w:lang w:eastAsia="en-US"/>
        </w:rPr>
      </w:pPr>
      <w:proofErr w:type="gramStart"/>
      <w:r w:rsidRPr="00347D4F">
        <w:rPr>
          <w:rFonts w:ascii="Times New Roman" w:hAnsi="Times New Roman"/>
          <w:sz w:val="24"/>
          <w:szCs w:val="24"/>
          <w:lang w:eastAsia="en-US"/>
        </w:rPr>
        <w:lastRenderedPageBreak/>
        <w:t>Tiesnešu profesionālās darbības kārtējo novērtēšanu</w:t>
      </w:r>
      <w:proofErr w:type="gramEnd"/>
      <w:r w:rsidRPr="00347D4F">
        <w:rPr>
          <w:rFonts w:ascii="Times New Roman" w:hAnsi="Times New Roman"/>
          <w:sz w:val="24"/>
          <w:szCs w:val="24"/>
          <w:lang w:eastAsia="en-US"/>
        </w:rPr>
        <w:t xml:space="preserve"> pirmo reizi TKK no 2013.gada 1.janvāra līdz 2016.gada 1.janvārim kopumā jāveic 564</w:t>
      </w:r>
      <w:r w:rsidRPr="00347D4F">
        <w:rPr>
          <w:rStyle w:val="Vresatsauce"/>
          <w:rFonts w:ascii="Times New Roman" w:hAnsi="Times New Roman"/>
          <w:sz w:val="24"/>
          <w:szCs w:val="24"/>
          <w:lang w:eastAsia="en-US"/>
        </w:rPr>
        <w:footnoteReference w:id="1"/>
      </w:r>
      <w:r w:rsidRPr="00347D4F">
        <w:rPr>
          <w:rFonts w:ascii="Times New Roman" w:hAnsi="Times New Roman"/>
          <w:sz w:val="24"/>
          <w:szCs w:val="24"/>
          <w:lang w:eastAsia="en-US"/>
        </w:rPr>
        <w:t xml:space="preserve"> tiesnešiem.</w:t>
      </w:r>
    </w:p>
    <w:tbl>
      <w:tblPr>
        <w:tblStyle w:val="Reatabula"/>
        <w:tblW w:w="0" w:type="auto"/>
        <w:tblLook w:val="04A0" w:firstRow="1" w:lastRow="0" w:firstColumn="1" w:lastColumn="0" w:noHBand="0" w:noVBand="1"/>
      </w:tblPr>
      <w:tblGrid>
        <w:gridCol w:w="4810"/>
        <w:gridCol w:w="4811"/>
      </w:tblGrid>
      <w:tr w:rsidR="00347D4F" w:rsidRPr="00347D4F" w:rsidTr="00AE4585">
        <w:tc>
          <w:tcPr>
            <w:tcW w:w="4810" w:type="dxa"/>
          </w:tcPr>
          <w:p w:rsidR="005C03B8" w:rsidRPr="00347D4F" w:rsidRDefault="005C03B8" w:rsidP="000F539B">
            <w:pPr>
              <w:jc w:val="both"/>
              <w:rPr>
                <w:rFonts w:ascii="Times New Roman" w:hAnsi="Times New Roman"/>
                <w:b/>
                <w:sz w:val="24"/>
                <w:szCs w:val="24"/>
                <w:lang w:eastAsia="en-US"/>
              </w:rPr>
            </w:pPr>
            <w:r w:rsidRPr="00347D4F">
              <w:rPr>
                <w:rFonts w:ascii="Times New Roman" w:hAnsi="Times New Roman"/>
                <w:b/>
                <w:sz w:val="24"/>
                <w:szCs w:val="24"/>
                <w:lang w:eastAsia="en-US"/>
              </w:rPr>
              <w:t>Tiesas/ zemesgrāmatu nodaļas</w:t>
            </w:r>
          </w:p>
        </w:tc>
        <w:tc>
          <w:tcPr>
            <w:tcW w:w="4811" w:type="dxa"/>
          </w:tcPr>
          <w:p w:rsidR="005C03B8" w:rsidRPr="00347D4F" w:rsidRDefault="005C03B8" w:rsidP="000F539B">
            <w:pPr>
              <w:jc w:val="both"/>
              <w:rPr>
                <w:rFonts w:ascii="Times New Roman" w:hAnsi="Times New Roman"/>
                <w:b/>
                <w:sz w:val="24"/>
                <w:szCs w:val="24"/>
                <w:lang w:eastAsia="en-US"/>
              </w:rPr>
            </w:pPr>
            <w:r w:rsidRPr="00347D4F">
              <w:rPr>
                <w:rFonts w:ascii="Times New Roman" w:hAnsi="Times New Roman"/>
                <w:b/>
                <w:sz w:val="24"/>
                <w:szCs w:val="24"/>
                <w:lang w:eastAsia="en-US"/>
              </w:rPr>
              <w:t>Tiesnešu skaits</w:t>
            </w:r>
          </w:p>
        </w:tc>
      </w:tr>
      <w:tr w:rsidR="00347D4F" w:rsidRPr="00347D4F" w:rsidTr="00AE4585">
        <w:tc>
          <w:tcPr>
            <w:tcW w:w="4810" w:type="dxa"/>
          </w:tcPr>
          <w:p w:rsidR="005C03B8" w:rsidRPr="00347D4F" w:rsidRDefault="005C03B8" w:rsidP="000F539B">
            <w:pPr>
              <w:jc w:val="both"/>
              <w:rPr>
                <w:rFonts w:ascii="Times New Roman" w:hAnsi="Times New Roman"/>
                <w:sz w:val="24"/>
                <w:szCs w:val="24"/>
                <w:lang w:eastAsia="en-US"/>
              </w:rPr>
            </w:pPr>
            <w:r w:rsidRPr="00347D4F">
              <w:rPr>
                <w:rFonts w:ascii="Times New Roman" w:hAnsi="Times New Roman"/>
                <w:sz w:val="24"/>
                <w:szCs w:val="24"/>
                <w:lang w:eastAsia="en-US"/>
              </w:rPr>
              <w:t>Rajona (pilsētas) tiesas</w:t>
            </w:r>
          </w:p>
        </w:tc>
        <w:tc>
          <w:tcPr>
            <w:tcW w:w="4811" w:type="dxa"/>
          </w:tcPr>
          <w:p w:rsidR="005C03B8" w:rsidRPr="00347D4F" w:rsidRDefault="005C03B8" w:rsidP="000F539B">
            <w:pPr>
              <w:jc w:val="both"/>
              <w:rPr>
                <w:rFonts w:ascii="Times New Roman" w:hAnsi="Times New Roman"/>
                <w:sz w:val="24"/>
                <w:szCs w:val="24"/>
                <w:lang w:eastAsia="en-US"/>
              </w:rPr>
            </w:pPr>
            <w:r w:rsidRPr="00347D4F">
              <w:rPr>
                <w:rFonts w:ascii="Times New Roman" w:hAnsi="Times New Roman"/>
                <w:sz w:val="24"/>
                <w:szCs w:val="24"/>
                <w:lang w:eastAsia="en-US"/>
              </w:rPr>
              <w:t>260</w:t>
            </w:r>
          </w:p>
        </w:tc>
      </w:tr>
      <w:tr w:rsidR="00347D4F" w:rsidRPr="00347D4F" w:rsidTr="00AE4585">
        <w:tc>
          <w:tcPr>
            <w:tcW w:w="4810" w:type="dxa"/>
          </w:tcPr>
          <w:p w:rsidR="005C03B8" w:rsidRPr="00347D4F" w:rsidRDefault="005C03B8" w:rsidP="000F539B">
            <w:pPr>
              <w:jc w:val="both"/>
              <w:rPr>
                <w:rFonts w:ascii="Times New Roman" w:hAnsi="Times New Roman"/>
                <w:sz w:val="24"/>
                <w:szCs w:val="24"/>
                <w:lang w:eastAsia="en-US"/>
              </w:rPr>
            </w:pPr>
            <w:r w:rsidRPr="00347D4F">
              <w:rPr>
                <w:rFonts w:ascii="Times New Roman" w:hAnsi="Times New Roman"/>
                <w:sz w:val="24"/>
                <w:szCs w:val="24"/>
                <w:lang w:eastAsia="en-US"/>
              </w:rPr>
              <w:t>Apgabaltiesas</w:t>
            </w:r>
          </w:p>
        </w:tc>
        <w:tc>
          <w:tcPr>
            <w:tcW w:w="4811" w:type="dxa"/>
          </w:tcPr>
          <w:p w:rsidR="005C03B8" w:rsidRPr="00347D4F" w:rsidRDefault="005C03B8" w:rsidP="000F539B">
            <w:pPr>
              <w:jc w:val="both"/>
              <w:rPr>
                <w:rFonts w:ascii="Times New Roman" w:hAnsi="Times New Roman"/>
                <w:sz w:val="24"/>
                <w:szCs w:val="24"/>
                <w:lang w:eastAsia="en-US"/>
              </w:rPr>
            </w:pPr>
            <w:r w:rsidRPr="00347D4F">
              <w:rPr>
                <w:rFonts w:ascii="Times New Roman" w:hAnsi="Times New Roman"/>
                <w:sz w:val="24"/>
                <w:szCs w:val="24"/>
                <w:lang w:eastAsia="en-US"/>
              </w:rPr>
              <w:t>113</w:t>
            </w:r>
          </w:p>
        </w:tc>
      </w:tr>
      <w:tr w:rsidR="00347D4F" w:rsidRPr="00347D4F" w:rsidTr="00AE4585">
        <w:tc>
          <w:tcPr>
            <w:tcW w:w="4810" w:type="dxa"/>
          </w:tcPr>
          <w:p w:rsidR="005C03B8" w:rsidRPr="00347D4F" w:rsidRDefault="005C03B8" w:rsidP="000F539B">
            <w:pPr>
              <w:jc w:val="both"/>
              <w:rPr>
                <w:rFonts w:ascii="Times New Roman" w:hAnsi="Times New Roman"/>
                <w:sz w:val="24"/>
                <w:szCs w:val="24"/>
                <w:lang w:eastAsia="en-US"/>
              </w:rPr>
            </w:pPr>
            <w:r w:rsidRPr="00347D4F">
              <w:rPr>
                <w:rFonts w:ascii="Times New Roman" w:hAnsi="Times New Roman"/>
                <w:sz w:val="24"/>
                <w:szCs w:val="24"/>
                <w:lang w:eastAsia="en-US"/>
              </w:rPr>
              <w:t>Administratīvā rajona tiesa</w:t>
            </w:r>
          </w:p>
        </w:tc>
        <w:tc>
          <w:tcPr>
            <w:tcW w:w="4811" w:type="dxa"/>
          </w:tcPr>
          <w:p w:rsidR="005C03B8" w:rsidRPr="00347D4F" w:rsidRDefault="005C03B8" w:rsidP="000F539B">
            <w:pPr>
              <w:jc w:val="both"/>
              <w:rPr>
                <w:rFonts w:ascii="Times New Roman" w:hAnsi="Times New Roman"/>
                <w:sz w:val="24"/>
                <w:szCs w:val="24"/>
                <w:lang w:eastAsia="en-US"/>
              </w:rPr>
            </w:pPr>
            <w:r w:rsidRPr="00347D4F">
              <w:rPr>
                <w:rFonts w:ascii="Times New Roman" w:hAnsi="Times New Roman"/>
                <w:sz w:val="24"/>
                <w:szCs w:val="24"/>
                <w:lang w:eastAsia="en-US"/>
              </w:rPr>
              <w:t>43</w:t>
            </w:r>
          </w:p>
        </w:tc>
      </w:tr>
      <w:tr w:rsidR="00347D4F" w:rsidRPr="00347D4F" w:rsidTr="00AE4585">
        <w:tc>
          <w:tcPr>
            <w:tcW w:w="4810" w:type="dxa"/>
          </w:tcPr>
          <w:p w:rsidR="005C03B8" w:rsidRPr="00347D4F" w:rsidRDefault="005C03B8" w:rsidP="000F539B">
            <w:pPr>
              <w:jc w:val="both"/>
              <w:rPr>
                <w:rFonts w:ascii="Times New Roman" w:hAnsi="Times New Roman"/>
                <w:sz w:val="24"/>
                <w:szCs w:val="24"/>
                <w:lang w:eastAsia="en-US"/>
              </w:rPr>
            </w:pPr>
            <w:r w:rsidRPr="00347D4F">
              <w:rPr>
                <w:rFonts w:ascii="Times New Roman" w:hAnsi="Times New Roman"/>
                <w:sz w:val="24"/>
                <w:szCs w:val="24"/>
                <w:lang w:eastAsia="en-US"/>
              </w:rPr>
              <w:t>Administratīvā apgabaltiesa</w:t>
            </w:r>
          </w:p>
        </w:tc>
        <w:tc>
          <w:tcPr>
            <w:tcW w:w="4811" w:type="dxa"/>
          </w:tcPr>
          <w:p w:rsidR="005C03B8" w:rsidRPr="00347D4F" w:rsidRDefault="005C03B8" w:rsidP="000F539B">
            <w:pPr>
              <w:jc w:val="both"/>
              <w:rPr>
                <w:rFonts w:ascii="Times New Roman" w:hAnsi="Times New Roman"/>
                <w:sz w:val="24"/>
                <w:szCs w:val="24"/>
                <w:lang w:eastAsia="en-US"/>
              </w:rPr>
            </w:pPr>
            <w:r w:rsidRPr="00347D4F">
              <w:rPr>
                <w:rFonts w:ascii="Times New Roman" w:hAnsi="Times New Roman"/>
                <w:sz w:val="24"/>
                <w:szCs w:val="24"/>
                <w:lang w:eastAsia="en-US"/>
              </w:rPr>
              <w:t>19</w:t>
            </w:r>
          </w:p>
        </w:tc>
      </w:tr>
      <w:tr w:rsidR="00347D4F" w:rsidRPr="00347D4F" w:rsidTr="00AE4585">
        <w:tc>
          <w:tcPr>
            <w:tcW w:w="4810" w:type="dxa"/>
          </w:tcPr>
          <w:p w:rsidR="005C03B8" w:rsidRPr="00347D4F" w:rsidRDefault="005C03B8" w:rsidP="000F539B">
            <w:pPr>
              <w:jc w:val="both"/>
              <w:rPr>
                <w:rFonts w:ascii="Times New Roman" w:hAnsi="Times New Roman"/>
                <w:sz w:val="24"/>
                <w:szCs w:val="24"/>
                <w:lang w:eastAsia="en-US"/>
              </w:rPr>
            </w:pPr>
            <w:r w:rsidRPr="00347D4F">
              <w:rPr>
                <w:rFonts w:ascii="Times New Roman" w:hAnsi="Times New Roman"/>
                <w:sz w:val="24"/>
                <w:szCs w:val="24"/>
                <w:lang w:eastAsia="en-US"/>
              </w:rPr>
              <w:t>Zemesgrāmatu nodaļas</w:t>
            </w:r>
          </w:p>
        </w:tc>
        <w:tc>
          <w:tcPr>
            <w:tcW w:w="4811" w:type="dxa"/>
          </w:tcPr>
          <w:p w:rsidR="005C03B8" w:rsidRPr="00347D4F" w:rsidRDefault="005C03B8" w:rsidP="000F539B">
            <w:pPr>
              <w:jc w:val="both"/>
              <w:rPr>
                <w:rFonts w:ascii="Times New Roman" w:hAnsi="Times New Roman"/>
                <w:sz w:val="24"/>
                <w:szCs w:val="24"/>
                <w:lang w:eastAsia="en-US"/>
              </w:rPr>
            </w:pPr>
            <w:r w:rsidRPr="00347D4F">
              <w:rPr>
                <w:rFonts w:ascii="Times New Roman" w:hAnsi="Times New Roman"/>
                <w:sz w:val="24"/>
                <w:szCs w:val="24"/>
                <w:lang w:eastAsia="en-US"/>
              </w:rPr>
              <w:t>78</w:t>
            </w:r>
          </w:p>
        </w:tc>
      </w:tr>
      <w:tr w:rsidR="00347D4F" w:rsidRPr="00347D4F" w:rsidTr="00AE4585">
        <w:tc>
          <w:tcPr>
            <w:tcW w:w="4810" w:type="dxa"/>
          </w:tcPr>
          <w:p w:rsidR="005C03B8" w:rsidRPr="00347D4F" w:rsidRDefault="005C03B8" w:rsidP="000F539B">
            <w:pPr>
              <w:jc w:val="both"/>
              <w:rPr>
                <w:rFonts w:ascii="Times New Roman" w:hAnsi="Times New Roman"/>
                <w:sz w:val="24"/>
                <w:szCs w:val="24"/>
                <w:lang w:eastAsia="en-US"/>
              </w:rPr>
            </w:pPr>
            <w:r w:rsidRPr="00347D4F">
              <w:rPr>
                <w:rFonts w:ascii="Times New Roman" w:hAnsi="Times New Roman"/>
                <w:sz w:val="24"/>
                <w:szCs w:val="24"/>
                <w:lang w:eastAsia="en-US"/>
              </w:rPr>
              <w:t>Augstākā tiesa</w:t>
            </w:r>
          </w:p>
        </w:tc>
        <w:tc>
          <w:tcPr>
            <w:tcW w:w="4811" w:type="dxa"/>
          </w:tcPr>
          <w:p w:rsidR="005C03B8" w:rsidRPr="00347D4F" w:rsidRDefault="005C03B8" w:rsidP="000F539B">
            <w:pPr>
              <w:jc w:val="both"/>
              <w:rPr>
                <w:rFonts w:ascii="Times New Roman" w:hAnsi="Times New Roman"/>
                <w:sz w:val="24"/>
                <w:szCs w:val="24"/>
                <w:lang w:eastAsia="en-US"/>
              </w:rPr>
            </w:pPr>
            <w:r w:rsidRPr="00347D4F">
              <w:rPr>
                <w:rFonts w:ascii="Times New Roman" w:hAnsi="Times New Roman"/>
                <w:sz w:val="24"/>
                <w:szCs w:val="24"/>
                <w:lang w:eastAsia="en-US"/>
              </w:rPr>
              <w:t>51</w:t>
            </w:r>
          </w:p>
        </w:tc>
      </w:tr>
      <w:tr w:rsidR="000F539B" w:rsidRPr="00347D4F" w:rsidTr="00AE4585">
        <w:tc>
          <w:tcPr>
            <w:tcW w:w="4810" w:type="dxa"/>
          </w:tcPr>
          <w:p w:rsidR="005C03B8" w:rsidRPr="00347D4F" w:rsidRDefault="005C03B8" w:rsidP="000F539B">
            <w:pPr>
              <w:jc w:val="both"/>
              <w:rPr>
                <w:rFonts w:ascii="Times New Roman" w:hAnsi="Times New Roman"/>
                <w:b/>
                <w:sz w:val="24"/>
                <w:szCs w:val="24"/>
                <w:lang w:eastAsia="en-US"/>
              </w:rPr>
            </w:pPr>
            <w:r w:rsidRPr="00347D4F">
              <w:rPr>
                <w:rFonts w:ascii="Times New Roman" w:hAnsi="Times New Roman"/>
                <w:b/>
                <w:sz w:val="24"/>
                <w:szCs w:val="24"/>
                <w:lang w:eastAsia="en-US"/>
              </w:rPr>
              <w:t>KOPĀ:</w:t>
            </w:r>
          </w:p>
        </w:tc>
        <w:tc>
          <w:tcPr>
            <w:tcW w:w="4811" w:type="dxa"/>
          </w:tcPr>
          <w:p w:rsidR="005C03B8" w:rsidRPr="00347D4F" w:rsidRDefault="005C03B8" w:rsidP="000F539B">
            <w:pPr>
              <w:jc w:val="both"/>
              <w:rPr>
                <w:rFonts w:ascii="Times New Roman" w:hAnsi="Times New Roman"/>
                <w:b/>
                <w:sz w:val="24"/>
                <w:szCs w:val="24"/>
                <w:lang w:eastAsia="en-US"/>
              </w:rPr>
            </w:pPr>
            <w:r w:rsidRPr="00347D4F">
              <w:rPr>
                <w:rFonts w:ascii="Times New Roman" w:hAnsi="Times New Roman"/>
                <w:b/>
                <w:sz w:val="24"/>
                <w:szCs w:val="24"/>
                <w:lang w:eastAsia="en-US"/>
              </w:rPr>
              <w:t>564</w:t>
            </w:r>
          </w:p>
        </w:tc>
      </w:tr>
    </w:tbl>
    <w:p w:rsidR="005C03B8" w:rsidRPr="00347D4F" w:rsidRDefault="005C03B8" w:rsidP="000F539B">
      <w:pPr>
        <w:shd w:val="clear" w:color="auto" w:fill="FFFFFF"/>
        <w:spacing w:after="0" w:line="240" w:lineRule="auto"/>
        <w:ind w:firstLine="720"/>
        <w:jc w:val="both"/>
        <w:rPr>
          <w:rFonts w:ascii="Times New Roman" w:hAnsi="Times New Roman"/>
          <w:sz w:val="24"/>
          <w:szCs w:val="24"/>
          <w:lang w:eastAsia="en-US"/>
        </w:rPr>
      </w:pPr>
    </w:p>
    <w:p w:rsidR="005C03B8" w:rsidRPr="00347D4F" w:rsidRDefault="005C03B8" w:rsidP="000F539B">
      <w:pPr>
        <w:shd w:val="clear" w:color="auto" w:fill="FFFFFF"/>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2013.gada 1.martā notika pirmā tiesnešu profesionālās darbības novērtēšana saskaņā ar jauno novērtēšanas kārtību.</w:t>
      </w:r>
    </w:p>
    <w:p w:rsidR="005C03B8" w:rsidRPr="00347D4F" w:rsidRDefault="005C03B8"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 xml:space="preserve">2013.gadā no marta līdz decembrim </w:t>
      </w:r>
      <w:r w:rsidRPr="00347D4F">
        <w:rPr>
          <w:rFonts w:ascii="Times New Roman" w:hAnsi="Times New Roman"/>
          <w:bCs/>
          <w:sz w:val="24"/>
          <w:szCs w:val="24"/>
          <w:lang w:eastAsia="en-US"/>
        </w:rPr>
        <w:t xml:space="preserve">notika 13 sēdes, kuru laikā </w:t>
      </w:r>
      <w:r w:rsidRPr="00347D4F">
        <w:rPr>
          <w:rFonts w:ascii="Times New Roman" w:hAnsi="Times New Roman"/>
          <w:sz w:val="24"/>
          <w:szCs w:val="24"/>
          <w:lang w:eastAsia="en-US"/>
        </w:rPr>
        <w:t xml:space="preserve">profesionālās darbības kārtējā novērtēšana veikta 167 tiesnešiem jeb 30% tiesnešu. </w:t>
      </w:r>
    </w:p>
    <w:p w:rsidR="005C03B8" w:rsidRPr="00347D4F" w:rsidRDefault="005C03B8" w:rsidP="000F539B">
      <w:pPr>
        <w:spacing w:after="0" w:line="240" w:lineRule="auto"/>
        <w:ind w:firstLine="720"/>
        <w:jc w:val="both"/>
        <w:rPr>
          <w:rFonts w:ascii="Times New Roman" w:hAnsi="Times New Roman"/>
          <w:sz w:val="24"/>
          <w:szCs w:val="24"/>
          <w:lang w:eastAsia="en-US"/>
        </w:rPr>
      </w:pPr>
    </w:p>
    <w:tbl>
      <w:tblPr>
        <w:tblStyle w:val="Reatabula"/>
        <w:tblW w:w="0" w:type="auto"/>
        <w:tblLook w:val="04A0" w:firstRow="1" w:lastRow="0" w:firstColumn="1" w:lastColumn="0" w:noHBand="0" w:noVBand="1"/>
      </w:tblPr>
      <w:tblGrid>
        <w:gridCol w:w="3207"/>
        <w:gridCol w:w="3207"/>
        <w:gridCol w:w="3207"/>
      </w:tblGrid>
      <w:tr w:rsidR="00347D4F" w:rsidRPr="00347D4F" w:rsidTr="00AE4585">
        <w:tc>
          <w:tcPr>
            <w:tcW w:w="3207" w:type="dxa"/>
          </w:tcPr>
          <w:p w:rsidR="005C03B8" w:rsidRPr="00347D4F" w:rsidRDefault="005C03B8" w:rsidP="000F539B">
            <w:pPr>
              <w:jc w:val="both"/>
              <w:rPr>
                <w:rFonts w:ascii="Times New Roman" w:hAnsi="Times New Roman"/>
                <w:b/>
                <w:bCs/>
                <w:sz w:val="24"/>
                <w:szCs w:val="24"/>
                <w:lang w:eastAsia="en-US"/>
              </w:rPr>
            </w:pPr>
            <w:r w:rsidRPr="00347D4F">
              <w:rPr>
                <w:rFonts w:ascii="Times New Roman" w:hAnsi="Times New Roman"/>
                <w:b/>
                <w:bCs/>
                <w:sz w:val="24"/>
                <w:szCs w:val="24"/>
                <w:lang w:eastAsia="en-US"/>
              </w:rPr>
              <w:t>Kārtējā tiesneša profesionālās kvalifikācijas novērtēšana</w:t>
            </w:r>
          </w:p>
        </w:tc>
        <w:tc>
          <w:tcPr>
            <w:tcW w:w="3207" w:type="dxa"/>
          </w:tcPr>
          <w:p w:rsidR="005C03B8" w:rsidRPr="00347D4F" w:rsidRDefault="005C03B8" w:rsidP="000F539B">
            <w:pPr>
              <w:jc w:val="both"/>
              <w:rPr>
                <w:rFonts w:ascii="Times New Roman" w:hAnsi="Times New Roman"/>
                <w:b/>
                <w:bCs/>
                <w:sz w:val="24"/>
                <w:szCs w:val="24"/>
                <w:lang w:eastAsia="en-US"/>
              </w:rPr>
            </w:pPr>
            <w:r w:rsidRPr="00347D4F">
              <w:rPr>
                <w:rFonts w:ascii="Times New Roman" w:hAnsi="Times New Roman"/>
                <w:b/>
                <w:bCs/>
                <w:sz w:val="24"/>
                <w:szCs w:val="24"/>
                <w:lang w:eastAsia="en-US"/>
              </w:rPr>
              <w:t>Pozitīvs novērtējums</w:t>
            </w:r>
          </w:p>
        </w:tc>
        <w:tc>
          <w:tcPr>
            <w:tcW w:w="3207" w:type="dxa"/>
          </w:tcPr>
          <w:p w:rsidR="005C03B8" w:rsidRPr="00347D4F" w:rsidRDefault="005C03B8" w:rsidP="000F539B">
            <w:pPr>
              <w:jc w:val="both"/>
              <w:rPr>
                <w:rFonts w:ascii="Times New Roman" w:hAnsi="Times New Roman"/>
                <w:b/>
                <w:bCs/>
                <w:sz w:val="24"/>
                <w:szCs w:val="24"/>
                <w:lang w:eastAsia="en-US"/>
              </w:rPr>
            </w:pPr>
            <w:r w:rsidRPr="00347D4F">
              <w:rPr>
                <w:rFonts w:ascii="Times New Roman" w:hAnsi="Times New Roman"/>
                <w:b/>
                <w:bCs/>
                <w:sz w:val="24"/>
                <w:szCs w:val="24"/>
                <w:lang w:eastAsia="en-US"/>
              </w:rPr>
              <w:t>Negatīvs novērtējums</w:t>
            </w:r>
          </w:p>
        </w:tc>
      </w:tr>
      <w:tr w:rsidR="00347D4F" w:rsidRPr="00347D4F" w:rsidTr="00AE4585">
        <w:tc>
          <w:tcPr>
            <w:tcW w:w="3207" w:type="dxa"/>
          </w:tcPr>
          <w:p w:rsidR="005C03B8" w:rsidRPr="00347D4F" w:rsidRDefault="005C03B8" w:rsidP="000F539B">
            <w:pPr>
              <w:jc w:val="both"/>
              <w:rPr>
                <w:rFonts w:ascii="Times New Roman" w:hAnsi="Times New Roman"/>
                <w:b/>
                <w:bCs/>
                <w:sz w:val="24"/>
                <w:szCs w:val="24"/>
                <w:lang w:eastAsia="en-US"/>
              </w:rPr>
            </w:pPr>
            <w:r w:rsidRPr="00347D4F">
              <w:rPr>
                <w:rFonts w:ascii="Times New Roman" w:hAnsi="Times New Roman"/>
                <w:sz w:val="24"/>
                <w:szCs w:val="24"/>
                <w:lang w:eastAsia="en-US"/>
              </w:rPr>
              <w:t>Rajonu (pilsētas) tiesas</w:t>
            </w:r>
          </w:p>
        </w:tc>
        <w:tc>
          <w:tcPr>
            <w:tcW w:w="3207" w:type="dxa"/>
          </w:tcPr>
          <w:p w:rsidR="005C03B8" w:rsidRPr="00347D4F" w:rsidRDefault="005C03B8" w:rsidP="000F539B">
            <w:pPr>
              <w:jc w:val="both"/>
              <w:rPr>
                <w:rFonts w:ascii="Times New Roman" w:hAnsi="Times New Roman"/>
                <w:bCs/>
                <w:sz w:val="24"/>
                <w:szCs w:val="24"/>
                <w:lang w:eastAsia="en-US"/>
              </w:rPr>
            </w:pPr>
            <w:r w:rsidRPr="00347D4F">
              <w:rPr>
                <w:rFonts w:ascii="Times New Roman" w:hAnsi="Times New Roman"/>
                <w:bCs/>
                <w:sz w:val="24"/>
                <w:szCs w:val="24"/>
                <w:lang w:eastAsia="en-US"/>
              </w:rPr>
              <w:t>83</w:t>
            </w:r>
          </w:p>
        </w:tc>
        <w:tc>
          <w:tcPr>
            <w:tcW w:w="3207" w:type="dxa"/>
          </w:tcPr>
          <w:p w:rsidR="005C03B8" w:rsidRPr="00347D4F" w:rsidRDefault="005C03B8" w:rsidP="000F539B">
            <w:pPr>
              <w:jc w:val="both"/>
              <w:rPr>
                <w:rFonts w:ascii="Times New Roman" w:hAnsi="Times New Roman"/>
                <w:bCs/>
                <w:sz w:val="24"/>
                <w:szCs w:val="24"/>
                <w:lang w:eastAsia="en-US"/>
              </w:rPr>
            </w:pPr>
            <w:r w:rsidRPr="00347D4F">
              <w:rPr>
                <w:rFonts w:ascii="Times New Roman" w:hAnsi="Times New Roman"/>
                <w:bCs/>
                <w:sz w:val="24"/>
                <w:szCs w:val="24"/>
                <w:lang w:eastAsia="en-US"/>
              </w:rPr>
              <w:t>2</w:t>
            </w:r>
          </w:p>
        </w:tc>
      </w:tr>
      <w:tr w:rsidR="00347D4F" w:rsidRPr="00347D4F" w:rsidTr="00AE4585">
        <w:tc>
          <w:tcPr>
            <w:tcW w:w="3207" w:type="dxa"/>
          </w:tcPr>
          <w:p w:rsidR="005C03B8" w:rsidRPr="00347D4F" w:rsidRDefault="005C03B8" w:rsidP="000F539B">
            <w:pPr>
              <w:jc w:val="both"/>
              <w:rPr>
                <w:rFonts w:ascii="Times New Roman" w:hAnsi="Times New Roman"/>
                <w:sz w:val="24"/>
                <w:szCs w:val="24"/>
                <w:lang w:eastAsia="en-US"/>
              </w:rPr>
            </w:pPr>
            <w:r w:rsidRPr="00347D4F">
              <w:rPr>
                <w:rFonts w:ascii="Times New Roman" w:hAnsi="Times New Roman"/>
                <w:sz w:val="24"/>
                <w:szCs w:val="24"/>
                <w:lang w:eastAsia="en-US"/>
              </w:rPr>
              <w:t>Zemesgrāmatu nodaļas</w:t>
            </w:r>
          </w:p>
        </w:tc>
        <w:tc>
          <w:tcPr>
            <w:tcW w:w="3207" w:type="dxa"/>
          </w:tcPr>
          <w:p w:rsidR="005C03B8" w:rsidRPr="00347D4F" w:rsidRDefault="005C03B8" w:rsidP="000F539B">
            <w:pPr>
              <w:jc w:val="both"/>
              <w:rPr>
                <w:rFonts w:ascii="Times New Roman" w:hAnsi="Times New Roman"/>
                <w:bCs/>
                <w:sz w:val="24"/>
                <w:szCs w:val="24"/>
                <w:lang w:eastAsia="en-US"/>
              </w:rPr>
            </w:pPr>
            <w:r w:rsidRPr="00347D4F">
              <w:rPr>
                <w:rFonts w:ascii="Times New Roman" w:hAnsi="Times New Roman"/>
                <w:bCs/>
                <w:sz w:val="24"/>
                <w:szCs w:val="24"/>
                <w:lang w:eastAsia="en-US"/>
              </w:rPr>
              <w:t>14</w:t>
            </w:r>
          </w:p>
        </w:tc>
        <w:tc>
          <w:tcPr>
            <w:tcW w:w="3207" w:type="dxa"/>
          </w:tcPr>
          <w:p w:rsidR="005C03B8" w:rsidRPr="00347D4F" w:rsidRDefault="005C03B8" w:rsidP="000F539B">
            <w:pPr>
              <w:jc w:val="both"/>
              <w:rPr>
                <w:rFonts w:ascii="Times New Roman" w:hAnsi="Times New Roman"/>
                <w:bCs/>
                <w:sz w:val="24"/>
                <w:szCs w:val="24"/>
                <w:lang w:eastAsia="en-US"/>
              </w:rPr>
            </w:pPr>
            <w:r w:rsidRPr="00347D4F">
              <w:rPr>
                <w:rFonts w:ascii="Times New Roman" w:hAnsi="Times New Roman"/>
                <w:bCs/>
                <w:sz w:val="24"/>
                <w:szCs w:val="24"/>
                <w:lang w:eastAsia="en-US"/>
              </w:rPr>
              <w:t>0</w:t>
            </w:r>
          </w:p>
        </w:tc>
      </w:tr>
      <w:tr w:rsidR="00347D4F" w:rsidRPr="00347D4F" w:rsidTr="00AE4585">
        <w:tc>
          <w:tcPr>
            <w:tcW w:w="3207" w:type="dxa"/>
          </w:tcPr>
          <w:p w:rsidR="005C03B8" w:rsidRPr="00347D4F" w:rsidRDefault="005C03B8" w:rsidP="000F539B">
            <w:pPr>
              <w:jc w:val="both"/>
              <w:rPr>
                <w:rFonts w:ascii="Times New Roman" w:hAnsi="Times New Roman"/>
                <w:b/>
                <w:bCs/>
                <w:sz w:val="24"/>
                <w:szCs w:val="24"/>
                <w:lang w:eastAsia="en-US"/>
              </w:rPr>
            </w:pPr>
            <w:r w:rsidRPr="00347D4F">
              <w:rPr>
                <w:rFonts w:ascii="Times New Roman" w:hAnsi="Times New Roman"/>
                <w:sz w:val="24"/>
                <w:szCs w:val="24"/>
                <w:lang w:eastAsia="en-US"/>
              </w:rPr>
              <w:t>Apgabaltiesas</w:t>
            </w:r>
          </w:p>
        </w:tc>
        <w:tc>
          <w:tcPr>
            <w:tcW w:w="3207" w:type="dxa"/>
          </w:tcPr>
          <w:p w:rsidR="005C03B8" w:rsidRPr="00347D4F" w:rsidRDefault="005C03B8" w:rsidP="000F539B">
            <w:pPr>
              <w:jc w:val="both"/>
              <w:rPr>
                <w:rFonts w:ascii="Times New Roman" w:hAnsi="Times New Roman"/>
                <w:bCs/>
                <w:sz w:val="24"/>
                <w:szCs w:val="24"/>
                <w:lang w:eastAsia="en-US"/>
              </w:rPr>
            </w:pPr>
            <w:r w:rsidRPr="00347D4F">
              <w:rPr>
                <w:rFonts w:ascii="Times New Roman" w:hAnsi="Times New Roman"/>
                <w:bCs/>
                <w:sz w:val="24"/>
                <w:szCs w:val="24"/>
                <w:lang w:eastAsia="en-US"/>
              </w:rPr>
              <w:t>46</w:t>
            </w:r>
          </w:p>
        </w:tc>
        <w:tc>
          <w:tcPr>
            <w:tcW w:w="3207" w:type="dxa"/>
          </w:tcPr>
          <w:p w:rsidR="005C03B8" w:rsidRPr="00347D4F" w:rsidRDefault="005C03B8" w:rsidP="000F539B">
            <w:pPr>
              <w:jc w:val="both"/>
              <w:rPr>
                <w:rFonts w:ascii="Times New Roman" w:hAnsi="Times New Roman"/>
                <w:bCs/>
                <w:sz w:val="24"/>
                <w:szCs w:val="24"/>
                <w:lang w:eastAsia="en-US"/>
              </w:rPr>
            </w:pPr>
            <w:r w:rsidRPr="00347D4F">
              <w:rPr>
                <w:rFonts w:ascii="Times New Roman" w:hAnsi="Times New Roman"/>
                <w:bCs/>
                <w:sz w:val="24"/>
                <w:szCs w:val="24"/>
                <w:lang w:eastAsia="en-US"/>
              </w:rPr>
              <w:t>0</w:t>
            </w:r>
          </w:p>
        </w:tc>
      </w:tr>
      <w:tr w:rsidR="00347D4F" w:rsidRPr="00347D4F" w:rsidTr="00AE4585">
        <w:tc>
          <w:tcPr>
            <w:tcW w:w="3207" w:type="dxa"/>
          </w:tcPr>
          <w:p w:rsidR="005C03B8" w:rsidRPr="00347D4F" w:rsidRDefault="005C03B8" w:rsidP="000F539B">
            <w:pPr>
              <w:jc w:val="both"/>
              <w:rPr>
                <w:rFonts w:ascii="Times New Roman" w:hAnsi="Times New Roman"/>
                <w:b/>
                <w:bCs/>
                <w:sz w:val="24"/>
                <w:szCs w:val="24"/>
                <w:lang w:eastAsia="en-US"/>
              </w:rPr>
            </w:pPr>
            <w:r w:rsidRPr="00347D4F">
              <w:rPr>
                <w:rFonts w:ascii="Times New Roman" w:hAnsi="Times New Roman"/>
                <w:sz w:val="24"/>
                <w:szCs w:val="24"/>
                <w:lang w:eastAsia="en-US"/>
              </w:rPr>
              <w:t>Augstākā tiesa</w:t>
            </w:r>
          </w:p>
        </w:tc>
        <w:tc>
          <w:tcPr>
            <w:tcW w:w="3207" w:type="dxa"/>
          </w:tcPr>
          <w:p w:rsidR="005C03B8" w:rsidRPr="00347D4F" w:rsidRDefault="005C03B8" w:rsidP="000F539B">
            <w:pPr>
              <w:jc w:val="both"/>
              <w:rPr>
                <w:rFonts w:ascii="Times New Roman" w:hAnsi="Times New Roman"/>
                <w:bCs/>
                <w:sz w:val="24"/>
                <w:szCs w:val="24"/>
                <w:lang w:eastAsia="en-US"/>
              </w:rPr>
            </w:pPr>
            <w:r w:rsidRPr="00347D4F">
              <w:rPr>
                <w:rFonts w:ascii="Times New Roman" w:hAnsi="Times New Roman"/>
                <w:bCs/>
                <w:sz w:val="24"/>
                <w:szCs w:val="24"/>
                <w:lang w:eastAsia="en-US"/>
              </w:rPr>
              <w:t>22</w:t>
            </w:r>
          </w:p>
        </w:tc>
        <w:tc>
          <w:tcPr>
            <w:tcW w:w="3207" w:type="dxa"/>
          </w:tcPr>
          <w:p w:rsidR="005C03B8" w:rsidRPr="00347D4F" w:rsidRDefault="005C03B8" w:rsidP="000F539B">
            <w:pPr>
              <w:jc w:val="both"/>
              <w:rPr>
                <w:rFonts w:ascii="Times New Roman" w:hAnsi="Times New Roman"/>
                <w:bCs/>
                <w:sz w:val="24"/>
                <w:szCs w:val="24"/>
                <w:lang w:eastAsia="en-US"/>
              </w:rPr>
            </w:pPr>
            <w:r w:rsidRPr="00347D4F">
              <w:rPr>
                <w:rFonts w:ascii="Times New Roman" w:hAnsi="Times New Roman"/>
                <w:bCs/>
                <w:sz w:val="24"/>
                <w:szCs w:val="24"/>
                <w:lang w:eastAsia="en-US"/>
              </w:rPr>
              <w:t>0</w:t>
            </w:r>
          </w:p>
        </w:tc>
      </w:tr>
      <w:tr w:rsidR="000F539B" w:rsidRPr="00347D4F" w:rsidTr="00AE4585">
        <w:tc>
          <w:tcPr>
            <w:tcW w:w="3207" w:type="dxa"/>
          </w:tcPr>
          <w:p w:rsidR="005C03B8" w:rsidRPr="00347D4F" w:rsidRDefault="005C03B8" w:rsidP="000F539B">
            <w:pPr>
              <w:jc w:val="both"/>
              <w:rPr>
                <w:rFonts w:ascii="Times New Roman" w:hAnsi="Times New Roman"/>
                <w:b/>
                <w:bCs/>
                <w:sz w:val="24"/>
                <w:szCs w:val="24"/>
                <w:lang w:eastAsia="en-US"/>
              </w:rPr>
            </w:pPr>
            <w:r w:rsidRPr="00347D4F">
              <w:rPr>
                <w:rFonts w:ascii="Times New Roman" w:hAnsi="Times New Roman"/>
                <w:b/>
                <w:bCs/>
                <w:sz w:val="24"/>
                <w:szCs w:val="24"/>
                <w:lang w:eastAsia="en-US"/>
              </w:rPr>
              <w:t>Kopā</w:t>
            </w:r>
          </w:p>
        </w:tc>
        <w:tc>
          <w:tcPr>
            <w:tcW w:w="3207" w:type="dxa"/>
          </w:tcPr>
          <w:p w:rsidR="005C03B8" w:rsidRPr="00347D4F" w:rsidRDefault="005C03B8" w:rsidP="000F539B">
            <w:pPr>
              <w:jc w:val="both"/>
              <w:rPr>
                <w:rFonts w:ascii="Times New Roman" w:hAnsi="Times New Roman"/>
                <w:b/>
                <w:bCs/>
                <w:sz w:val="24"/>
                <w:szCs w:val="24"/>
                <w:lang w:eastAsia="en-US"/>
              </w:rPr>
            </w:pPr>
            <w:r w:rsidRPr="00347D4F">
              <w:rPr>
                <w:rFonts w:ascii="Times New Roman" w:hAnsi="Times New Roman"/>
                <w:b/>
                <w:bCs/>
                <w:sz w:val="24"/>
                <w:szCs w:val="24"/>
                <w:lang w:eastAsia="en-US"/>
              </w:rPr>
              <w:t>165</w:t>
            </w:r>
          </w:p>
        </w:tc>
        <w:tc>
          <w:tcPr>
            <w:tcW w:w="3207" w:type="dxa"/>
          </w:tcPr>
          <w:p w:rsidR="005C03B8" w:rsidRPr="00347D4F" w:rsidRDefault="005C03B8" w:rsidP="000F539B">
            <w:pPr>
              <w:jc w:val="both"/>
              <w:rPr>
                <w:rFonts w:ascii="Times New Roman" w:hAnsi="Times New Roman"/>
                <w:b/>
                <w:bCs/>
                <w:sz w:val="24"/>
                <w:szCs w:val="24"/>
                <w:lang w:eastAsia="en-US"/>
              </w:rPr>
            </w:pPr>
            <w:r w:rsidRPr="00347D4F">
              <w:rPr>
                <w:rFonts w:ascii="Times New Roman" w:hAnsi="Times New Roman"/>
                <w:b/>
                <w:bCs/>
                <w:sz w:val="24"/>
                <w:szCs w:val="24"/>
                <w:lang w:eastAsia="en-US"/>
              </w:rPr>
              <w:t>2</w:t>
            </w:r>
          </w:p>
        </w:tc>
      </w:tr>
    </w:tbl>
    <w:p w:rsidR="005C03B8" w:rsidRPr="00347D4F" w:rsidRDefault="005C03B8" w:rsidP="000F539B">
      <w:pPr>
        <w:spacing w:after="0" w:line="240" w:lineRule="auto"/>
        <w:ind w:firstLine="720"/>
        <w:jc w:val="both"/>
        <w:rPr>
          <w:rFonts w:ascii="Times New Roman" w:hAnsi="Times New Roman"/>
          <w:sz w:val="24"/>
          <w:szCs w:val="24"/>
          <w:lang w:eastAsia="en-US"/>
        </w:rPr>
      </w:pPr>
    </w:p>
    <w:p w:rsidR="004934CE" w:rsidRPr="00347D4F" w:rsidRDefault="00B4354F"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 xml:space="preserve">Tiesnešu profesionālās darbības negatīvs novērtējums bija saistīts ar to, ka tiesneši sistemātiski pieļauj vienas un tās pašas kļūdas, neapmeklē mācības un neceļ kvalifikāciju. </w:t>
      </w:r>
    </w:p>
    <w:p w:rsidR="005C03B8" w:rsidRPr="00347D4F" w:rsidRDefault="00DE5F84"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Viens tiesnesis</w:t>
      </w:r>
      <w:r w:rsidR="005C03B8" w:rsidRPr="00347D4F">
        <w:rPr>
          <w:rFonts w:ascii="Times New Roman" w:hAnsi="Times New Roman"/>
          <w:sz w:val="24"/>
          <w:szCs w:val="24"/>
          <w:lang w:eastAsia="en-US"/>
        </w:rPr>
        <w:t xml:space="preserve">, </w:t>
      </w:r>
      <w:r w:rsidRPr="00347D4F">
        <w:rPr>
          <w:rFonts w:ascii="Times New Roman" w:hAnsi="Times New Roman"/>
          <w:sz w:val="24"/>
          <w:szCs w:val="24"/>
          <w:lang w:eastAsia="en-US"/>
        </w:rPr>
        <w:t xml:space="preserve">kura </w:t>
      </w:r>
      <w:r w:rsidR="005C03B8" w:rsidRPr="00347D4F">
        <w:rPr>
          <w:rFonts w:ascii="Times New Roman" w:hAnsi="Times New Roman"/>
          <w:sz w:val="24"/>
          <w:szCs w:val="24"/>
          <w:lang w:eastAsia="en-US"/>
        </w:rPr>
        <w:t xml:space="preserve">profesionālo darbību TKK novērtēja negatīvi, ir </w:t>
      </w:r>
      <w:r w:rsidRPr="00347D4F">
        <w:rPr>
          <w:rFonts w:ascii="Times New Roman" w:hAnsi="Times New Roman"/>
          <w:sz w:val="24"/>
          <w:szCs w:val="24"/>
          <w:lang w:eastAsia="en-US"/>
        </w:rPr>
        <w:t xml:space="preserve">pārsūdzējis </w:t>
      </w:r>
      <w:r w:rsidR="005C03B8" w:rsidRPr="00347D4F">
        <w:rPr>
          <w:rFonts w:ascii="Times New Roman" w:hAnsi="Times New Roman"/>
          <w:sz w:val="24"/>
          <w:szCs w:val="24"/>
          <w:lang w:eastAsia="en-US"/>
        </w:rPr>
        <w:t xml:space="preserve">TKK lēmumu (atzinumu) Disciplinārtiesā. Disciplinārtiesa pēc tiesneša sūdzības, kura profesionālā darbība tika novērtēta negatīvi, ir atcēlusi TKK lēmumu un nodevusi materiālus atkārtotai izskatīšanai TKK. </w:t>
      </w:r>
      <w:r w:rsidRPr="00347D4F">
        <w:rPr>
          <w:rFonts w:ascii="Times New Roman" w:hAnsi="Times New Roman"/>
          <w:sz w:val="24"/>
          <w:szCs w:val="24"/>
          <w:lang w:eastAsia="en-US"/>
        </w:rPr>
        <w:t xml:space="preserve">Plānots, ka atkārtota profesionālās darbības novērtēšana minētajam tiesnesim notiks 2014.gada </w:t>
      </w:r>
      <w:r w:rsidR="003F68D4" w:rsidRPr="00347D4F">
        <w:rPr>
          <w:rFonts w:ascii="Times New Roman" w:hAnsi="Times New Roman"/>
          <w:sz w:val="24"/>
          <w:szCs w:val="24"/>
          <w:lang w:eastAsia="en-US"/>
        </w:rPr>
        <w:t>aprīlī</w:t>
      </w:r>
      <w:r w:rsidRPr="00347D4F">
        <w:rPr>
          <w:rFonts w:ascii="Times New Roman" w:hAnsi="Times New Roman"/>
          <w:sz w:val="24"/>
          <w:szCs w:val="24"/>
          <w:lang w:eastAsia="en-US"/>
        </w:rPr>
        <w:t>.</w:t>
      </w:r>
    </w:p>
    <w:p w:rsidR="004934CE" w:rsidRPr="00347D4F" w:rsidRDefault="00DE5F84"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 xml:space="preserve">Ņemot vērā Disciplinārtiesas lēmumu, attiecībā uz otru tiesnesi, kas saņēmis negatīvu novērtējumu TKK locekļu balsojumā, TKK ir sagatavojusi un nosūtījusi </w:t>
      </w:r>
      <w:r w:rsidR="004934CE" w:rsidRPr="00347D4F">
        <w:rPr>
          <w:rFonts w:ascii="Times New Roman" w:hAnsi="Times New Roman"/>
          <w:sz w:val="24"/>
          <w:szCs w:val="24"/>
          <w:lang w:eastAsia="en-US"/>
        </w:rPr>
        <w:t xml:space="preserve">tiesnesim </w:t>
      </w:r>
      <w:r w:rsidRPr="00347D4F">
        <w:rPr>
          <w:rFonts w:ascii="Times New Roman" w:hAnsi="Times New Roman"/>
          <w:sz w:val="24"/>
          <w:szCs w:val="24"/>
          <w:lang w:eastAsia="en-US"/>
        </w:rPr>
        <w:t>motivētu lēmumu par negatīva atzinuma sniegšanu.</w:t>
      </w:r>
    </w:p>
    <w:p w:rsidR="00C570E7" w:rsidRPr="00347D4F" w:rsidRDefault="00C570E7" w:rsidP="000F539B">
      <w:pPr>
        <w:spacing w:after="0" w:line="240" w:lineRule="auto"/>
        <w:ind w:firstLine="720"/>
        <w:jc w:val="both"/>
        <w:rPr>
          <w:rFonts w:ascii="Times New Roman" w:hAnsi="Times New Roman"/>
          <w:sz w:val="24"/>
          <w:szCs w:val="24"/>
        </w:rPr>
      </w:pPr>
      <w:r w:rsidRPr="00347D4F">
        <w:rPr>
          <w:rFonts w:ascii="Times New Roman" w:hAnsi="Times New Roman"/>
          <w:sz w:val="24"/>
          <w:szCs w:val="24"/>
        </w:rPr>
        <w:t>Attiecībā uz ECT pieņemto nelabvēlīgo spriedumu pret Latviju analīzi tiesneša profesionālās darbības novērtēšanas procesā, informējam, ka saskaņā ar Ārlietu ministrijas 2012.gada informatīvajā ziņojumā „Par Eiropas Cilvēktiesību tiesas izskatīšanas procesā esošajām lietām pret Latviju, kurās iesniedzēju sūdzību pamatā ir bijušas nacionālo tiesu darbības nepilnības”</w:t>
      </w:r>
      <w:r w:rsidRPr="00347D4F">
        <w:rPr>
          <w:rStyle w:val="Vresatsauce"/>
          <w:rFonts w:ascii="Times New Roman" w:hAnsi="Times New Roman"/>
          <w:sz w:val="24"/>
          <w:szCs w:val="24"/>
        </w:rPr>
        <w:footnoteReference w:id="2"/>
      </w:r>
      <w:r w:rsidRPr="00347D4F">
        <w:rPr>
          <w:rFonts w:ascii="Times New Roman" w:hAnsi="Times New Roman"/>
          <w:sz w:val="24"/>
          <w:szCs w:val="24"/>
        </w:rPr>
        <w:t xml:space="preserve"> un papildus sniegtās informācijas par Eiropas Cilvēktiesību tiesas pret Latviju </w:t>
      </w:r>
      <w:r w:rsidRPr="00347D4F">
        <w:rPr>
          <w:rFonts w:ascii="Times New Roman" w:hAnsi="Times New Roman"/>
          <w:sz w:val="24"/>
          <w:szCs w:val="24"/>
        </w:rPr>
        <w:lastRenderedPageBreak/>
        <w:t xml:space="preserve">pieņemtajiem spriedumiem, kuros konstatēts Eiropas Cilvēka tiesību un pamatbrīvību aizsardzības konvencijas pārkāpums, laika periodā no 2009.gada līdz 2014.gadam kopumā ir bijuši 10 pret Latviju nelabvēlīgi Eiropas Cilvēktiesību tiesas spriedumi, kuros konstatēti tiesas procesa pārkāpumi: </w:t>
      </w:r>
    </w:p>
    <w:p w:rsidR="00C570E7" w:rsidRPr="00347D4F" w:rsidRDefault="00C570E7" w:rsidP="000F539B">
      <w:pPr>
        <w:pStyle w:val="Sarakstarindkopa"/>
        <w:numPr>
          <w:ilvl w:val="0"/>
          <w:numId w:val="2"/>
        </w:numPr>
        <w:spacing w:after="0" w:line="240" w:lineRule="auto"/>
        <w:ind w:left="0" w:firstLine="720"/>
        <w:jc w:val="both"/>
        <w:rPr>
          <w:rFonts w:ascii="Times New Roman" w:hAnsi="Times New Roman"/>
          <w:i/>
          <w:sz w:val="24"/>
          <w:szCs w:val="24"/>
        </w:rPr>
      </w:pPr>
      <w:proofErr w:type="spellStart"/>
      <w:r w:rsidRPr="00347D4F">
        <w:rPr>
          <w:rFonts w:ascii="Times New Roman" w:hAnsi="Times New Roman"/>
          <w:i/>
          <w:iCs/>
          <w:sz w:val="24"/>
          <w:szCs w:val="24"/>
        </w:rPr>
        <w:t>Pacula</w:t>
      </w:r>
      <w:proofErr w:type="spellEnd"/>
      <w:r w:rsidRPr="00347D4F">
        <w:rPr>
          <w:rFonts w:ascii="Times New Roman" w:hAnsi="Times New Roman"/>
          <w:i/>
          <w:iCs/>
          <w:sz w:val="24"/>
          <w:szCs w:val="24"/>
        </w:rPr>
        <w:t xml:space="preserve"> pret Latviju</w:t>
      </w:r>
      <w:r w:rsidRPr="00347D4F">
        <w:rPr>
          <w:rFonts w:ascii="Times New Roman" w:hAnsi="Times New Roman"/>
          <w:i/>
          <w:sz w:val="24"/>
          <w:szCs w:val="24"/>
        </w:rPr>
        <w:t xml:space="preserve"> (15.09.2009)</w:t>
      </w:r>
    </w:p>
    <w:p w:rsidR="00C570E7" w:rsidRPr="00347D4F" w:rsidRDefault="00C570E7" w:rsidP="000F539B">
      <w:pPr>
        <w:spacing w:after="0" w:line="240" w:lineRule="auto"/>
        <w:ind w:firstLine="720"/>
        <w:jc w:val="both"/>
        <w:rPr>
          <w:rFonts w:ascii="Times New Roman" w:hAnsi="Times New Roman"/>
          <w:sz w:val="24"/>
          <w:szCs w:val="24"/>
        </w:rPr>
      </w:pPr>
      <w:r w:rsidRPr="00347D4F">
        <w:rPr>
          <w:rFonts w:ascii="Times New Roman" w:hAnsi="Times New Roman"/>
          <w:sz w:val="24"/>
          <w:szCs w:val="24"/>
        </w:rPr>
        <w:t xml:space="preserve">Iesniedzējs un viņa </w:t>
      </w:r>
      <w:proofErr w:type="spellStart"/>
      <w:r w:rsidRPr="00347D4F">
        <w:rPr>
          <w:rFonts w:ascii="Times New Roman" w:hAnsi="Times New Roman"/>
          <w:sz w:val="24"/>
          <w:szCs w:val="24"/>
        </w:rPr>
        <w:t>līdzapsūdzētais</w:t>
      </w:r>
      <w:proofErr w:type="spellEnd"/>
      <w:r w:rsidRPr="00347D4F">
        <w:rPr>
          <w:rFonts w:ascii="Times New Roman" w:hAnsi="Times New Roman"/>
          <w:sz w:val="24"/>
          <w:szCs w:val="24"/>
        </w:rPr>
        <w:t xml:space="preserve"> tika notiesāti par laupīšanām, vienā no kurām tika pielietota vardarbība pret B. Uzreiz pēc iesniedzēja aizturēšanas un sākotnējās nopratināšanas, policija veica iesniedzēja un cietušās B. konfrontāciju. Tā bija vienīgā reize, kad iesniedzējam bija iespēja nopratināt B. Iztiesāšanā lieciniece B. neieradās uz tiesas sēdēm veselības stāvokļa dēļ. Neskatoties uz to, ka iesniedzējs un viņa aizstāvis to lūdza, pirmās un apelācijas instances tiesas aprobežojās ar viņas liecību nolasīšanu.</w:t>
      </w:r>
    </w:p>
    <w:p w:rsidR="00C570E7" w:rsidRPr="00347D4F" w:rsidRDefault="00C570E7" w:rsidP="000F539B">
      <w:pPr>
        <w:pStyle w:val="Sarakstarindkopa"/>
        <w:numPr>
          <w:ilvl w:val="0"/>
          <w:numId w:val="2"/>
        </w:numPr>
        <w:spacing w:after="0" w:line="240" w:lineRule="auto"/>
        <w:ind w:left="0" w:firstLine="720"/>
        <w:jc w:val="both"/>
        <w:rPr>
          <w:rFonts w:ascii="Times New Roman" w:hAnsi="Times New Roman"/>
          <w:sz w:val="24"/>
          <w:szCs w:val="24"/>
        </w:rPr>
      </w:pPr>
      <w:proofErr w:type="spellStart"/>
      <w:r w:rsidRPr="00347D4F">
        <w:rPr>
          <w:rFonts w:ascii="Times New Roman" w:hAnsi="Times New Roman"/>
          <w:i/>
          <w:iCs/>
          <w:sz w:val="24"/>
          <w:szCs w:val="24"/>
        </w:rPr>
        <w:t>Beire</w:t>
      </w:r>
      <w:proofErr w:type="spellEnd"/>
      <w:r w:rsidRPr="00347D4F">
        <w:rPr>
          <w:rFonts w:ascii="Times New Roman" w:hAnsi="Times New Roman"/>
          <w:i/>
          <w:iCs/>
          <w:sz w:val="24"/>
          <w:szCs w:val="24"/>
        </w:rPr>
        <w:t xml:space="preserve"> pret Latviju</w:t>
      </w:r>
      <w:r w:rsidRPr="00347D4F">
        <w:rPr>
          <w:rFonts w:ascii="Times New Roman" w:hAnsi="Times New Roman"/>
          <w:sz w:val="24"/>
          <w:szCs w:val="24"/>
        </w:rPr>
        <w:t xml:space="preserve"> (29.11.2011)</w:t>
      </w:r>
    </w:p>
    <w:p w:rsidR="00C570E7" w:rsidRPr="00347D4F" w:rsidRDefault="00C570E7" w:rsidP="000F539B">
      <w:pPr>
        <w:spacing w:after="0" w:line="240" w:lineRule="auto"/>
        <w:ind w:firstLine="720"/>
        <w:jc w:val="both"/>
        <w:rPr>
          <w:rFonts w:ascii="Times New Roman" w:hAnsi="Times New Roman"/>
          <w:sz w:val="24"/>
          <w:szCs w:val="24"/>
        </w:rPr>
      </w:pPr>
      <w:r w:rsidRPr="00347D4F">
        <w:rPr>
          <w:rFonts w:ascii="Times New Roman" w:hAnsi="Times New Roman"/>
          <w:sz w:val="24"/>
          <w:szCs w:val="24"/>
        </w:rPr>
        <w:t>Iesniedzējai netika paziņots par to, kad notiks tiesas sēde, kurā tika lemts par medicīniska rakstura piespiedu līdzekļu piemērošanu, turklāt tiesas lēmumā nepareizi norādīts, ka iesniedzēja atteikusies labprātīgi pakļauties stacionārai psihiatriskajai ekspertīzei, lai gan lēmumu par šādu ekspertīzi iesniedzēja saņēma tikai pēc tam, kad jau bija piespiedu kārtā ievietota psihiatriskajā slimnīcā.</w:t>
      </w:r>
    </w:p>
    <w:p w:rsidR="00C570E7" w:rsidRPr="00347D4F" w:rsidRDefault="00C570E7" w:rsidP="000F539B">
      <w:pPr>
        <w:pStyle w:val="Sarakstarindkopa"/>
        <w:numPr>
          <w:ilvl w:val="0"/>
          <w:numId w:val="2"/>
        </w:numPr>
        <w:spacing w:after="0" w:line="240" w:lineRule="auto"/>
        <w:ind w:left="0" w:firstLine="720"/>
        <w:jc w:val="both"/>
        <w:rPr>
          <w:rFonts w:ascii="Times New Roman" w:hAnsi="Times New Roman"/>
          <w:sz w:val="24"/>
          <w:szCs w:val="24"/>
        </w:rPr>
      </w:pPr>
      <w:proofErr w:type="spellStart"/>
      <w:r w:rsidRPr="00347D4F">
        <w:rPr>
          <w:rFonts w:ascii="Times New Roman" w:hAnsi="Times New Roman"/>
          <w:i/>
          <w:iCs/>
          <w:sz w:val="24"/>
          <w:szCs w:val="24"/>
        </w:rPr>
        <w:t>Sorokins</w:t>
      </w:r>
      <w:proofErr w:type="spellEnd"/>
      <w:r w:rsidRPr="00347D4F">
        <w:rPr>
          <w:rFonts w:ascii="Times New Roman" w:hAnsi="Times New Roman"/>
          <w:i/>
          <w:iCs/>
          <w:sz w:val="24"/>
          <w:szCs w:val="24"/>
        </w:rPr>
        <w:t xml:space="preserve"> un </w:t>
      </w:r>
      <w:proofErr w:type="spellStart"/>
      <w:r w:rsidRPr="00347D4F">
        <w:rPr>
          <w:rFonts w:ascii="Times New Roman" w:hAnsi="Times New Roman"/>
          <w:i/>
          <w:iCs/>
          <w:sz w:val="24"/>
          <w:szCs w:val="24"/>
        </w:rPr>
        <w:t>Sorokina</w:t>
      </w:r>
      <w:proofErr w:type="spellEnd"/>
      <w:r w:rsidRPr="00347D4F">
        <w:rPr>
          <w:rFonts w:ascii="Times New Roman" w:hAnsi="Times New Roman"/>
          <w:i/>
          <w:iCs/>
          <w:sz w:val="24"/>
          <w:szCs w:val="24"/>
        </w:rPr>
        <w:t xml:space="preserve"> pret Latviju</w:t>
      </w:r>
      <w:r w:rsidRPr="00347D4F">
        <w:rPr>
          <w:rFonts w:ascii="Times New Roman" w:hAnsi="Times New Roman"/>
          <w:sz w:val="24"/>
          <w:szCs w:val="24"/>
        </w:rPr>
        <w:t xml:space="preserve"> (28.05.2013)</w:t>
      </w:r>
    </w:p>
    <w:p w:rsidR="00C570E7" w:rsidRPr="00347D4F" w:rsidRDefault="00C570E7" w:rsidP="000F539B">
      <w:pPr>
        <w:pStyle w:val="Sarakstarindkopa"/>
        <w:spacing w:after="0" w:line="240" w:lineRule="auto"/>
        <w:ind w:left="0" w:firstLine="720"/>
        <w:jc w:val="both"/>
        <w:rPr>
          <w:rFonts w:ascii="Times New Roman" w:hAnsi="Times New Roman"/>
          <w:sz w:val="24"/>
          <w:szCs w:val="24"/>
        </w:rPr>
      </w:pPr>
      <w:r w:rsidRPr="00347D4F">
        <w:rPr>
          <w:rFonts w:ascii="Times New Roman" w:hAnsi="Times New Roman"/>
          <w:sz w:val="24"/>
          <w:szCs w:val="24"/>
        </w:rPr>
        <w:t>Par pirmās instances spriedumu tiek iesniegta apelācija, tiesa pēc izskatīšanas nosūta lietu papildizmeklēšanai. Par šo lēmumu prokuratūra iesniedz protestu, tiesa to apmierina un nodod lietu izskatīšanai atpakaļ pirmajā instancē, taču ar norādi, ”ka lēmums ir pārsūdzams”, kaut gan saskaņā ar tajā laikā spēkā esošo Kriminālprocesa kodeksu prokurora protesta izskatīšanas lēmums nav pārsūdzams. Tā rezultātā aptuveni trīs mēneši tiek patērēti, lai lietu nosūtītu Augstākajai tiesai, Augstākā tiesa to izskatītu, secinātu, ka likums neparedz šāda veida lēmumu pārsūdzēšanu un nodotu lietu atpakaļ pirmajā instancē. Eiropas Cilvēktiesību tiesas spriedumā šis ir viens no iemesliem, kādēļ tās ieskatā tiesvedība bija ieilgusi valsts iestāžu dēļ, kā rezultātā veidojas Eiropas Cilvēka tiesību un pamatbrīvību aizsardzības konvencijas 6.panta pārkāpums.</w:t>
      </w:r>
    </w:p>
    <w:p w:rsidR="00C570E7" w:rsidRPr="00347D4F" w:rsidRDefault="00C570E7" w:rsidP="000F539B">
      <w:pPr>
        <w:pStyle w:val="Sarakstarindkopa"/>
        <w:numPr>
          <w:ilvl w:val="0"/>
          <w:numId w:val="2"/>
        </w:numPr>
        <w:spacing w:after="0" w:line="240" w:lineRule="auto"/>
        <w:ind w:left="0" w:firstLine="720"/>
        <w:jc w:val="both"/>
        <w:rPr>
          <w:rFonts w:ascii="Times New Roman" w:hAnsi="Times New Roman"/>
          <w:sz w:val="24"/>
          <w:szCs w:val="24"/>
        </w:rPr>
      </w:pPr>
      <w:proofErr w:type="spellStart"/>
      <w:r w:rsidRPr="00347D4F">
        <w:rPr>
          <w:rFonts w:ascii="Times New Roman" w:hAnsi="Times New Roman"/>
          <w:i/>
          <w:iCs/>
          <w:sz w:val="24"/>
          <w:szCs w:val="24"/>
        </w:rPr>
        <w:t>Raudevs</w:t>
      </w:r>
      <w:proofErr w:type="spellEnd"/>
      <w:r w:rsidRPr="00347D4F">
        <w:rPr>
          <w:rFonts w:ascii="Times New Roman" w:hAnsi="Times New Roman"/>
          <w:i/>
          <w:iCs/>
          <w:sz w:val="24"/>
          <w:szCs w:val="24"/>
        </w:rPr>
        <w:t xml:space="preserve"> pret Latviju</w:t>
      </w:r>
      <w:r w:rsidRPr="00347D4F">
        <w:rPr>
          <w:rFonts w:ascii="Times New Roman" w:hAnsi="Times New Roman"/>
          <w:sz w:val="24"/>
          <w:szCs w:val="24"/>
        </w:rPr>
        <w:t xml:space="preserve"> (17.12.2013)</w:t>
      </w:r>
    </w:p>
    <w:p w:rsidR="00C570E7" w:rsidRPr="00347D4F" w:rsidRDefault="00C570E7" w:rsidP="000F539B">
      <w:pPr>
        <w:spacing w:after="0" w:line="240" w:lineRule="auto"/>
        <w:ind w:firstLine="720"/>
        <w:jc w:val="both"/>
        <w:rPr>
          <w:rFonts w:ascii="Times New Roman" w:hAnsi="Times New Roman"/>
          <w:sz w:val="24"/>
          <w:szCs w:val="24"/>
        </w:rPr>
      </w:pPr>
      <w:r w:rsidRPr="00347D4F">
        <w:rPr>
          <w:rFonts w:ascii="Times New Roman" w:hAnsi="Times New Roman"/>
          <w:sz w:val="24"/>
          <w:szCs w:val="24"/>
        </w:rPr>
        <w:t>Iesniedzējs sūdzējās par to, ka viņa ievietošana psihiatriskajā slimnīcā bija prettiesiska. Eiropas Cilvēktiesību tiesa piekrita divu iemeslu dēļ:</w:t>
      </w:r>
    </w:p>
    <w:p w:rsidR="00C570E7" w:rsidRPr="00347D4F" w:rsidRDefault="00C570E7" w:rsidP="000F539B">
      <w:pPr>
        <w:spacing w:after="0" w:line="240" w:lineRule="auto"/>
        <w:ind w:firstLine="720"/>
        <w:jc w:val="both"/>
        <w:rPr>
          <w:rFonts w:ascii="Times New Roman" w:hAnsi="Times New Roman"/>
          <w:sz w:val="24"/>
          <w:szCs w:val="24"/>
        </w:rPr>
      </w:pPr>
      <w:r w:rsidRPr="00347D4F">
        <w:rPr>
          <w:rFonts w:ascii="Times New Roman" w:hAnsi="Times New Roman"/>
          <w:sz w:val="24"/>
          <w:szCs w:val="24"/>
        </w:rPr>
        <w:t>-      pirmkārt, tiesas lēmums par medicīniska rakstura piespiedu līdzekļa piemērošanu tika pieņemts vairāk nekā gadu pēc tam, kad iesniedzējam tika veikta psihiatriskā ekspertīze, nepārliecinoties, ka starplaikā iesniedzēja veselības stāvoklis nav mainījies;</w:t>
      </w:r>
    </w:p>
    <w:p w:rsidR="00C570E7" w:rsidRPr="00347D4F" w:rsidRDefault="00C570E7" w:rsidP="000F539B">
      <w:pPr>
        <w:spacing w:after="0" w:line="240" w:lineRule="auto"/>
        <w:ind w:firstLine="720"/>
        <w:jc w:val="both"/>
        <w:rPr>
          <w:rFonts w:ascii="Times New Roman" w:hAnsi="Times New Roman"/>
          <w:sz w:val="24"/>
          <w:szCs w:val="24"/>
        </w:rPr>
      </w:pPr>
      <w:r w:rsidRPr="00347D4F">
        <w:rPr>
          <w:rFonts w:ascii="Times New Roman" w:hAnsi="Times New Roman"/>
          <w:sz w:val="24"/>
          <w:szCs w:val="24"/>
        </w:rPr>
        <w:t>-      otrkārt, rīkojums par augšminētā lēmuma izpildi tika pieņemts vēl vairāk nekā gadu pēc šī lēmuma pieņemšanas, atkal nepārliecinoties par iesniedzēja veselības stāvokli, turklāt neņemot vērā, ka starplaikā ir zaudējis spēku Krimināllikuma pants, kas bija tiesiskais pamats medicīniska rakstura piespiedu līdzekļa piemērošanai.</w:t>
      </w:r>
    </w:p>
    <w:p w:rsidR="00C570E7" w:rsidRPr="00347D4F" w:rsidRDefault="00C570E7" w:rsidP="000F539B">
      <w:pPr>
        <w:spacing w:after="0" w:line="240" w:lineRule="auto"/>
        <w:ind w:firstLine="720"/>
        <w:jc w:val="both"/>
        <w:rPr>
          <w:rFonts w:ascii="Times New Roman" w:hAnsi="Times New Roman"/>
          <w:sz w:val="24"/>
          <w:szCs w:val="24"/>
        </w:rPr>
      </w:pPr>
      <w:r w:rsidRPr="00347D4F">
        <w:rPr>
          <w:rFonts w:ascii="Times New Roman" w:hAnsi="Times New Roman"/>
          <w:sz w:val="24"/>
          <w:szCs w:val="24"/>
        </w:rPr>
        <w:t xml:space="preserve">5. </w:t>
      </w:r>
      <w:proofErr w:type="spellStart"/>
      <w:r w:rsidRPr="00347D4F">
        <w:rPr>
          <w:rFonts w:ascii="Times New Roman" w:hAnsi="Times New Roman"/>
          <w:i/>
          <w:iCs/>
          <w:sz w:val="24"/>
          <w:szCs w:val="24"/>
        </w:rPr>
        <w:t>Mitkus</w:t>
      </w:r>
      <w:proofErr w:type="spellEnd"/>
      <w:r w:rsidRPr="00347D4F">
        <w:rPr>
          <w:rFonts w:ascii="Times New Roman" w:hAnsi="Times New Roman"/>
          <w:i/>
          <w:iCs/>
          <w:sz w:val="24"/>
          <w:szCs w:val="24"/>
        </w:rPr>
        <w:t xml:space="preserve"> pret Latviju</w:t>
      </w:r>
      <w:r w:rsidRPr="00347D4F">
        <w:rPr>
          <w:rFonts w:ascii="Times New Roman" w:hAnsi="Times New Roman"/>
          <w:sz w:val="24"/>
          <w:szCs w:val="24"/>
        </w:rPr>
        <w:t xml:space="preserve"> (02.10.2012)</w:t>
      </w:r>
    </w:p>
    <w:p w:rsidR="00C570E7" w:rsidRPr="00347D4F" w:rsidRDefault="00C570E7" w:rsidP="000F539B">
      <w:pPr>
        <w:spacing w:after="0" w:line="240" w:lineRule="auto"/>
        <w:ind w:firstLine="720"/>
        <w:jc w:val="both"/>
        <w:rPr>
          <w:rFonts w:ascii="Times New Roman" w:hAnsi="Times New Roman"/>
          <w:sz w:val="24"/>
          <w:szCs w:val="24"/>
        </w:rPr>
      </w:pPr>
      <w:r w:rsidRPr="00347D4F">
        <w:rPr>
          <w:rFonts w:ascii="Times New Roman" w:hAnsi="Times New Roman"/>
          <w:sz w:val="24"/>
          <w:szCs w:val="24"/>
        </w:rPr>
        <w:t xml:space="preserve">Augstākās tiesas Civillietu tiesu palāta, saskaņā ar Civilprocesa likuma 54.pantu bija paziņojusi iesniedzējam par viņa civillietu izskatīšanas datumiem apelācijas instancē. Iesniedzējs tajā laikā atradās ieslodzījumā Jelgavas cietumā, tādēļ viņa tiesību uz piedalīšanos tiesas sēdē, ko paredzēja Civilprocesa likuma 74.pants, īstenošana bija atkarīga no tiesas lēmuma par iesniedzēja konvojēšanu uz tiesas sēdi. Šajā lietā šāds lēmums netika pieņemts, neskatoties uz to, ka tiesas bija informētas par faktu, ka iesniedzējs atradās ieslodzījumā un bija vairakkārt izteicis nepārprotamu vēlmi piedalīties tiesas sēdē. Eiropas Cilvēktiesību tiesas ieskatā nacionālo tiesu rīcības rezultātā iesniedzējs tika nostādīts ievērojami sliktākā pozīcijā salīdzinājumā ar otru pusi, kas nonākt pretrunā Konvencijas 6.panta 1.punktā ietvertajām garantijām. Īpaši jāuzsver Eiropas </w:t>
      </w:r>
      <w:r w:rsidRPr="00347D4F">
        <w:rPr>
          <w:rFonts w:ascii="Times New Roman" w:hAnsi="Times New Roman"/>
          <w:sz w:val="24"/>
          <w:szCs w:val="24"/>
        </w:rPr>
        <w:lastRenderedPageBreak/>
        <w:t>Cilvēktiesību tiesas norāde, ka tās secinājumi šajā lietā varētu būt citādi, ja tiesa laicīgi būtu paziņojusi iesniedzējam par neiespējamību viņu konvojēt uz tiesas sēdi, tādējādi dodot viņam laiku un iespēju nozīmēt sev pārstāvi dalībai tiesas sēdē.</w:t>
      </w:r>
    </w:p>
    <w:p w:rsidR="00C570E7" w:rsidRPr="00347D4F" w:rsidRDefault="00C570E7" w:rsidP="000F539B">
      <w:pPr>
        <w:pStyle w:val="Sarakstarindkopa"/>
        <w:numPr>
          <w:ilvl w:val="0"/>
          <w:numId w:val="5"/>
        </w:numPr>
        <w:spacing w:after="0" w:line="240" w:lineRule="auto"/>
        <w:ind w:left="0" w:firstLine="720"/>
        <w:jc w:val="both"/>
        <w:rPr>
          <w:rFonts w:ascii="Times New Roman" w:hAnsi="Times New Roman"/>
          <w:sz w:val="24"/>
          <w:szCs w:val="24"/>
        </w:rPr>
      </w:pPr>
      <w:r w:rsidRPr="00347D4F">
        <w:rPr>
          <w:rFonts w:ascii="Times New Roman" w:hAnsi="Times New Roman"/>
          <w:i/>
          <w:iCs/>
          <w:sz w:val="24"/>
          <w:szCs w:val="24"/>
        </w:rPr>
        <w:t>Baltiņš pret Latviju</w:t>
      </w:r>
      <w:r w:rsidRPr="00347D4F">
        <w:rPr>
          <w:rFonts w:ascii="Times New Roman" w:hAnsi="Times New Roman"/>
          <w:sz w:val="24"/>
          <w:szCs w:val="24"/>
        </w:rPr>
        <w:t xml:space="preserve"> (08.01.2013)</w:t>
      </w:r>
    </w:p>
    <w:p w:rsidR="00C570E7" w:rsidRPr="00347D4F" w:rsidRDefault="00C570E7" w:rsidP="000F539B">
      <w:pPr>
        <w:spacing w:after="0" w:line="240" w:lineRule="auto"/>
        <w:ind w:firstLine="720"/>
        <w:jc w:val="both"/>
        <w:rPr>
          <w:rFonts w:ascii="Times New Roman" w:hAnsi="Times New Roman"/>
          <w:sz w:val="24"/>
          <w:szCs w:val="24"/>
        </w:rPr>
      </w:pPr>
      <w:r w:rsidRPr="00347D4F">
        <w:rPr>
          <w:rFonts w:ascii="Times New Roman" w:hAnsi="Times New Roman"/>
          <w:sz w:val="24"/>
          <w:szCs w:val="24"/>
        </w:rPr>
        <w:t>Lietas pamatā ir sūdzība par to, ka krimināllietas iztiesāšanas laikā tiesa pēc būtības neskatīja sūdzību par operatīvās darbības norisi un nevērtēja, vai operatīvais eksperiments nav pārvērties par policijas provokāciju. Eiropas Cilvēktiesību tiesa spriedumā norādīja, ka tiesībsargājošo iestāžu rīcība radīja pamatotas šaubas par provokācijas robežu iespējamu pārkāpšanu, tādēļ Latvijas tiesām, vēlāk iztiesājot krimināllietu, bija jāvērtē, vai šādas operatīvās darbības rezultātā iegūtie pierādījumi ir pieļaujami, un ka tiesas nevar aprobežoties tikai ar to informāciju, ko iesniegusi apsūdzība. Eiropas Cilvēktiesību tiesa arī norādīja, ka nacionālajām tiesībām bija iespējams iepazīties ar klasificētajiem operatīvo lietu materiāliem, taču no krimināllietas nevar secināt, ka tiesas būtu mēģinājušas to darīt.</w:t>
      </w:r>
    </w:p>
    <w:p w:rsidR="00C570E7" w:rsidRPr="00347D4F" w:rsidRDefault="00C570E7" w:rsidP="000F539B">
      <w:pPr>
        <w:pStyle w:val="Sarakstarindkopa"/>
        <w:numPr>
          <w:ilvl w:val="0"/>
          <w:numId w:val="5"/>
        </w:numPr>
        <w:spacing w:after="0" w:line="240" w:lineRule="auto"/>
        <w:ind w:left="0" w:firstLine="720"/>
        <w:jc w:val="both"/>
        <w:rPr>
          <w:rFonts w:ascii="Times New Roman" w:hAnsi="Times New Roman"/>
          <w:sz w:val="24"/>
          <w:szCs w:val="24"/>
        </w:rPr>
      </w:pPr>
      <w:r w:rsidRPr="00347D4F">
        <w:rPr>
          <w:rFonts w:ascii="Times New Roman" w:hAnsi="Times New Roman"/>
          <w:i/>
          <w:iCs/>
          <w:sz w:val="24"/>
          <w:szCs w:val="24"/>
        </w:rPr>
        <w:t>Nagla pret Latviju</w:t>
      </w:r>
      <w:r w:rsidRPr="00347D4F">
        <w:rPr>
          <w:rFonts w:ascii="Times New Roman" w:hAnsi="Times New Roman"/>
          <w:sz w:val="24"/>
          <w:szCs w:val="24"/>
        </w:rPr>
        <w:t xml:space="preserve"> (16.07.2013)</w:t>
      </w:r>
    </w:p>
    <w:p w:rsidR="00C570E7" w:rsidRPr="00347D4F" w:rsidRDefault="00C570E7" w:rsidP="000F539B">
      <w:pPr>
        <w:spacing w:after="0" w:line="240" w:lineRule="auto"/>
        <w:ind w:firstLine="720"/>
        <w:jc w:val="both"/>
        <w:rPr>
          <w:rFonts w:ascii="Times New Roman" w:hAnsi="Times New Roman"/>
          <w:sz w:val="24"/>
          <w:szCs w:val="24"/>
        </w:rPr>
      </w:pPr>
      <w:r w:rsidRPr="00347D4F">
        <w:rPr>
          <w:rFonts w:ascii="Times New Roman" w:hAnsi="Times New Roman"/>
          <w:sz w:val="24"/>
          <w:szCs w:val="24"/>
        </w:rPr>
        <w:t>Šajā lietā Eiropas Cilvēktiesību tiesa vērtē, vai kratīšana žurnālista dzīvesvietā atbilst žurnālista tiesībām uz vārda brīvību un tiesībām aizsargāt savu informācijas avotu Eiropas Cilvēka tiesību un pamatbrīvību aizsardzības konvencijas 10.panta izpratnē. Eiropas Cilvēktiesību tiesa konstatēja divas problēmas, kuru kopums veido Eiropas Cilvēka tiesību un pamatbrīvību aizsardzības konvencijas 10.panta pārkāpumu. Pirmkārt, Eiropas Cilvēktiesību tiesa nebija pārliecināta, ka pastāvēja „neatliekams gadījums” Kriminālprocesa 180.panta trešās daļas izpratnē, kas ļautu piemērot procedūru, proti, kratīšanu veikt tikai ar procesa virzītāja lēmumu, nevis izmeklēšanas vai tiesneša lēmumu. Tādēļ sniegto kratīšanas pamatojumu Eiropas Cilvēktiesību neuzskatīja par pietiekamu, lai pierādītu „neatliekamu sabiedrības vajadzību” Eiropas Cilvēka tiesību un pamatbrīvību aizsardzības konvencijas 10.panta izpratnē. Otrkārt, Eiropas Cilvēktiesību tiesas ieskatā jau pēc kratīšanas notikusī tiesas kontrole nepienācīgi izvērtēja to, vai ir sasniegts līdzsvars starp, no vienas puses, sabiedrības interesēm nodrošināt pierādījumus krimināllietā un žurnālista tiesībām uz vārda brīvību no otras puses.</w:t>
      </w:r>
    </w:p>
    <w:p w:rsidR="00C570E7" w:rsidRPr="00347D4F" w:rsidRDefault="00C570E7" w:rsidP="000F539B">
      <w:pPr>
        <w:pStyle w:val="Sarakstarindkopa"/>
        <w:numPr>
          <w:ilvl w:val="0"/>
          <w:numId w:val="5"/>
        </w:numPr>
        <w:spacing w:after="0" w:line="240" w:lineRule="auto"/>
        <w:ind w:left="0" w:firstLine="720"/>
        <w:jc w:val="both"/>
        <w:rPr>
          <w:rFonts w:ascii="Times New Roman" w:hAnsi="Times New Roman"/>
          <w:sz w:val="24"/>
          <w:szCs w:val="24"/>
        </w:rPr>
      </w:pPr>
      <w:r w:rsidRPr="00347D4F">
        <w:rPr>
          <w:rFonts w:ascii="Times New Roman" w:hAnsi="Times New Roman"/>
          <w:i/>
          <w:iCs/>
          <w:sz w:val="24"/>
          <w:szCs w:val="24"/>
        </w:rPr>
        <w:t>X pret Latviju</w:t>
      </w:r>
      <w:r w:rsidRPr="00347D4F">
        <w:rPr>
          <w:rFonts w:ascii="Times New Roman" w:hAnsi="Times New Roman"/>
          <w:sz w:val="24"/>
          <w:szCs w:val="24"/>
        </w:rPr>
        <w:t xml:space="preserve"> (26.11.2013)</w:t>
      </w:r>
    </w:p>
    <w:p w:rsidR="00C570E7" w:rsidRPr="00347D4F" w:rsidRDefault="00C570E7" w:rsidP="000F539B">
      <w:pPr>
        <w:spacing w:after="0" w:line="240" w:lineRule="auto"/>
        <w:ind w:firstLine="720"/>
        <w:jc w:val="both"/>
        <w:rPr>
          <w:rFonts w:ascii="Times New Roman" w:hAnsi="Times New Roman"/>
          <w:sz w:val="24"/>
          <w:szCs w:val="24"/>
        </w:rPr>
      </w:pPr>
      <w:r w:rsidRPr="00347D4F">
        <w:rPr>
          <w:rFonts w:ascii="Times New Roman" w:hAnsi="Times New Roman"/>
          <w:sz w:val="24"/>
          <w:szCs w:val="24"/>
        </w:rPr>
        <w:t>Eiropas Cilvēktiesību tiesa atzina, ka Latvijas tiesas, kuras saskaņā ar 1980.gada 25.oktobra Hāgas Konvenciju par starptautiskās bērnu nolaupīšanas civiltiesiskajiem aspektiem lēma par iesniedzējas bērna atgriešanu tēvam Austrālijā, nebija pienācīgi izvērtējušas iesniedzējas apgalvojumu, ka bērna atgriešana radīs nopietnu risku bērna labklājībai.</w:t>
      </w:r>
    </w:p>
    <w:p w:rsidR="00C570E7" w:rsidRPr="00347D4F" w:rsidRDefault="00C570E7" w:rsidP="000F539B">
      <w:pPr>
        <w:pStyle w:val="Sarakstarindkopa"/>
        <w:numPr>
          <w:ilvl w:val="0"/>
          <w:numId w:val="5"/>
        </w:numPr>
        <w:spacing w:after="0" w:line="240" w:lineRule="auto"/>
        <w:ind w:left="0" w:firstLine="720"/>
        <w:jc w:val="both"/>
        <w:rPr>
          <w:rFonts w:ascii="Times New Roman" w:hAnsi="Times New Roman"/>
          <w:sz w:val="24"/>
          <w:szCs w:val="24"/>
        </w:rPr>
      </w:pPr>
      <w:r w:rsidRPr="00347D4F">
        <w:rPr>
          <w:rFonts w:ascii="Times New Roman" w:hAnsi="Times New Roman"/>
          <w:i/>
          <w:iCs/>
          <w:sz w:val="24"/>
          <w:szCs w:val="24"/>
        </w:rPr>
        <w:t>Veiss pret Latviju</w:t>
      </w:r>
      <w:r w:rsidRPr="00347D4F">
        <w:rPr>
          <w:rFonts w:ascii="Times New Roman" w:hAnsi="Times New Roman"/>
          <w:sz w:val="24"/>
          <w:szCs w:val="24"/>
        </w:rPr>
        <w:t xml:space="preserve"> (28.01.2014)</w:t>
      </w:r>
    </w:p>
    <w:p w:rsidR="00C570E7" w:rsidRPr="00347D4F" w:rsidRDefault="00C570E7" w:rsidP="000F539B">
      <w:pPr>
        <w:spacing w:after="0" w:line="240" w:lineRule="auto"/>
        <w:ind w:firstLine="720"/>
        <w:jc w:val="both"/>
        <w:rPr>
          <w:rFonts w:ascii="Times New Roman" w:hAnsi="Times New Roman"/>
          <w:sz w:val="24"/>
          <w:szCs w:val="24"/>
        </w:rPr>
      </w:pPr>
      <w:r w:rsidRPr="00347D4F">
        <w:rPr>
          <w:rFonts w:ascii="Times New Roman" w:hAnsi="Times New Roman"/>
          <w:sz w:val="24"/>
          <w:szCs w:val="24"/>
        </w:rPr>
        <w:t>Eiropas Cilvēktiesību tiesa atzina, ka gandrīz 6 gadus ilga tiesvedība paternitātes atzīšanas lietā ir nesamērīga, kā dēļ ir noticis Eiropas Cilvēka tiesību un pamatbrīvību aizsardzības konvencijas 6.panta 1.punkta pārkāpums)</w:t>
      </w:r>
    </w:p>
    <w:p w:rsidR="00C570E7" w:rsidRPr="00347D4F" w:rsidRDefault="00C570E7" w:rsidP="000F539B">
      <w:pPr>
        <w:pStyle w:val="Sarakstarindkopa"/>
        <w:numPr>
          <w:ilvl w:val="0"/>
          <w:numId w:val="5"/>
        </w:numPr>
        <w:spacing w:after="0" w:line="240" w:lineRule="auto"/>
        <w:ind w:left="0" w:firstLine="720"/>
        <w:jc w:val="both"/>
        <w:rPr>
          <w:rFonts w:ascii="Times New Roman" w:hAnsi="Times New Roman"/>
          <w:sz w:val="24"/>
          <w:szCs w:val="24"/>
        </w:rPr>
      </w:pPr>
      <w:r w:rsidRPr="00347D4F">
        <w:rPr>
          <w:rFonts w:ascii="Times New Roman" w:hAnsi="Times New Roman"/>
          <w:i/>
          <w:iCs/>
          <w:sz w:val="24"/>
          <w:szCs w:val="24"/>
        </w:rPr>
        <w:t>Cēsnieks pret Latviju</w:t>
      </w:r>
      <w:r w:rsidRPr="00347D4F">
        <w:rPr>
          <w:rFonts w:ascii="Times New Roman" w:hAnsi="Times New Roman"/>
          <w:sz w:val="24"/>
          <w:szCs w:val="24"/>
        </w:rPr>
        <w:t xml:space="preserve"> (11.02.2014)</w:t>
      </w:r>
    </w:p>
    <w:p w:rsidR="00C570E7" w:rsidRPr="00347D4F" w:rsidRDefault="00C570E7" w:rsidP="000F539B">
      <w:pPr>
        <w:spacing w:after="0" w:line="240" w:lineRule="auto"/>
        <w:ind w:firstLine="720"/>
        <w:jc w:val="both"/>
        <w:rPr>
          <w:rFonts w:ascii="Times New Roman" w:hAnsi="Times New Roman"/>
          <w:sz w:val="24"/>
          <w:szCs w:val="24"/>
        </w:rPr>
      </w:pPr>
      <w:r w:rsidRPr="00347D4F">
        <w:rPr>
          <w:rFonts w:ascii="Times New Roman" w:hAnsi="Times New Roman"/>
          <w:sz w:val="24"/>
          <w:szCs w:val="24"/>
        </w:rPr>
        <w:t>Lietā vērtēta pierādījumu (iegūti vardarbīgā ceļā) kriminālprocesā pieļaujamības vērtēšana apelācijas un kasācijas tiesu instancēs, kā dēļ radies Eiropas Cilvēka tiesību un pamatbrīvību aizsardzības konvencijas 6.panta 1.punkta pārkāpums.</w:t>
      </w:r>
    </w:p>
    <w:p w:rsidR="00EA752A" w:rsidRPr="00347D4F" w:rsidRDefault="00EA752A" w:rsidP="000F539B">
      <w:pPr>
        <w:spacing w:after="0" w:line="240" w:lineRule="auto"/>
        <w:ind w:firstLine="720"/>
        <w:jc w:val="both"/>
        <w:rPr>
          <w:rFonts w:ascii="Times New Roman" w:hAnsi="Times New Roman"/>
          <w:sz w:val="24"/>
          <w:szCs w:val="24"/>
          <w:lang w:eastAsia="en-US"/>
        </w:rPr>
      </w:pPr>
    </w:p>
    <w:p w:rsidR="002E6690" w:rsidRPr="00347D4F" w:rsidRDefault="00134EDE" w:rsidP="000F539B">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Attiecībā uz ECT pieņemto spriedumu ietekmi uz tiesneša profesionālās darbības novērtēšanas rezultātiem norādāms, ka</w:t>
      </w:r>
      <w:r w:rsidR="002E6690" w:rsidRPr="00347D4F">
        <w:rPr>
          <w:rFonts w:ascii="Times New Roman" w:hAnsi="Times New Roman"/>
          <w:sz w:val="24"/>
          <w:szCs w:val="24"/>
          <w:lang w:eastAsia="en-US"/>
        </w:rPr>
        <w:t>, vērtējot</w:t>
      </w:r>
      <w:r w:rsidR="00C540F3" w:rsidRPr="00347D4F">
        <w:rPr>
          <w:rFonts w:ascii="Times New Roman" w:hAnsi="Times New Roman"/>
          <w:sz w:val="24"/>
          <w:szCs w:val="24"/>
          <w:lang w:eastAsia="en-US"/>
        </w:rPr>
        <w:t xml:space="preserve"> ikviena</w:t>
      </w:r>
      <w:r w:rsidR="002E6690" w:rsidRPr="00347D4F">
        <w:rPr>
          <w:rFonts w:ascii="Times New Roman" w:hAnsi="Times New Roman"/>
          <w:sz w:val="24"/>
          <w:szCs w:val="24"/>
          <w:lang w:eastAsia="en-US"/>
        </w:rPr>
        <w:t xml:space="preserve"> tiesneša profesionālo darbību, tiek pievērsta uzmanība, vai tiesnesis savā profesionālajā darbībā nav pieļāvis tādu rīcību, kas ECT judikatūrā ir atzīta par pārkāpumu, </w:t>
      </w:r>
      <w:r w:rsidR="00C540F3" w:rsidRPr="00347D4F">
        <w:rPr>
          <w:rFonts w:ascii="Times New Roman" w:hAnsi="Times New Roman"/>
          <w:sz w:val="24"/>
          <w:szCs w:val="24"/>
          <w:lang w:eastAsia="en-US"/>
        </w:rPr>
        <w:t>it īpaši lietu nepamatotu</w:t>
      </w:r>
      <w:r w:rsidR="002E6690" w:rsidRPr="00347D4F">
        <w:rPr>
          <w:rFonts w:ascii="Times New Roman" w:hAnsi="Times New Roman"/>
          <w:sz w:val="24"/>
          <w:szCs w:val="24"/>
          <w:lang w:eastAsia="en-US"/>
        </w:rPr>
        <w:t xml:space="preserve"> novilcināšanu. Izlases kārtībā tiek analizēti</w:t>
      </w:r>
      <w:r w:rsidR="00C540F3" w:rsidRPr="00347D4F">
        <w:rPr>
          <w:rFonts w:ascii="Times New Roman" w:hAnsi="Times New Roman"/>
          <w:sz w:val="24"/>
          <w:szCs w:val="24"/>
          <w:lang w:eastAsia="en-US"/>
        </w:rPr>
        <w:t xml:space="preserve"> arī</w:t>
      </w:r>
      <w:r w:rsidR="002E6690" w:rsidRPr="00347D4F">
        <w:rPr>
          <w:rFonts w:ascii="Times New Roman" w:hAnsi="Times New Roman"/>
          <w:sz w:val="24"/>
          <w:szCs w:val="24"/>
          <w:lang w:eastAsia="en-US"/>
        </w:rPr>
        <w:t xml:space="preserve"> tiesneša gatavotie nolēmumi, proti – vai tie ir pietiekami argument</w:t>
      </w:r>
      <w:r w:rsidR="00C540F3" w:rsidRPr="00347D4F">
        <w:rPr>
          <w:rFonts w:ascii="Times New Roman" w:hAnsi="Times New Roman"/>
          <w:sz w:val="24"/>
          <w:szCs w:val="24"/>
          <w:lang w:eastAsia="en-US"/>
        </w:rPr>
        <w:t xml:space="preserve">ēti, </w:t>
      </w:r>
      <w:proofErr w:type="spellStart"/>
      <w:r w:rsidR="00C540F3" w:rsidRPr="00347D4F">
        <w:rPr>
          <w:rFonts w:ascii="Times New Roman" w:hAnsi="Times New Roman"/>
          <w:sz w:val="24"/>
          <w:szCs w:val="24"/>
          <w:lang w:eastAsia="en-US"/>
        </w:rPr>
        <w:t>u.c</w:t>
      </w:r>
      <w:proofErr w:type="spellEnd"/>
      <w:r w:rsidR="00C540F3" w:rsidRPr="00347D4F">
        <w:rPr>
          <w:rFonts w:ascii="Times New Roman" w:hAnsi="Times New Roman"/>
          <w:sz w:val="24"/>
          <w:szCs w:val="24"/>
          <w:lang w:eastAsia="en-US"/>
        </w:rPr>
        <w:t xml:space="preserve">. Būtiska nozīme tiek piešķirta tiesneša aktivitātei attiecībā uz kvalifikācijas pilnveidi. Kā liecina līdzšinējā </w:t>
      </w:r>
      <w:r w:rsidR="00C540F3" w:rsidRPr="00347D4F">
        <w:rPr>
          <w:rFonts w:ascii="Times New Roman" w:hAnsi="Times New Roman"/>
          <w:sz w:val="24"/>
          <w:szCs w:val="24"/>
          <w:lang w:eastAsia="en-US"/>
        </w:rPr>
        <w:lastRenderedPageBreak/>
        <w:t>TKK prakse, fakts, ka tiesnesis ilgstoši nav apmeklējis nevienu no mācību semināriem, kopā ar citiem apstākļiem, piemēram, atcelto nolēmumu īpatsvaru, var būt par iemeslu negatīvam profesionālās darbības vērtējumam.</w:t>
      </w:r>
    </w:p>
    <w:p w:rsidR="00673EF5" w:rsidRPr="00347D4F" w:rsidRDefault="00673EF5" w:rsidP="000F539B">
      <w:pPr>
        <w:spacing w:after="0" w:line="240" w:lineRule="auto"/>
        <w:ind w:firstLine="720"/>
        <w:jc w:val="both"/>
        <w:rPr>
          <w:rFonts w:ascii="Times New Roman" w:eastAsia="Calibri" w:hAnsi="Times New Roman"/>
          <w:sz w:val="24"/>
          <w:szCs w:val="24"/>
          <w:lang w:eastAsia="en-US"/>
        </w:rPr>
      </w:pPr>
      <w:r w:rsidRPr="00347D4F">
        <w:rPr>
          <w:rFonts w:ascii="Times New Roman" w:hAnsi="Times New Roman"/>
          <w:sz w:val="24"/>
          <w:szCs w:val="24"/>
        </w:rPr>
        <w:t xml:space="preserve">Ņemot vērā minēto, </w:t>
      </w:r>
      <w:r w:rsidRPr="00347D4F">
        <w:rPr>
          <w:rFonts w:ascii="Times New Roman" w:eastAsia="Calibri" w:hAnsi="Times New Roman"/>
          <w:sz w:val="24"/>
          <w:szCs w:val="24"/>
          <w:lang w:eastAsia="en-US"/>
        </w:rPr>
        <w:t xml:space="preserve">2013.gadā kopumā sekmīgi tikusi uzsākta pirmreizējā tiesnešu profesionālās darbības novērtēšana. </w:t>
      </w:r>
    </w:p>
    <w:p w:rsidR="000C4CBD" w:rsidRPr="00347D4F" w:rsidRDefault="000C4CBD" w:rsidP="000C4CBD">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 xml:space="preserve">Apkopojot tiesneša profesionālās darbības novērtēšanas procesa pirmā gada pieredzi, secināms, ka pilnveidojama informācijas ieguves procedūra, paredzot, ka TKK rīcībā nonāk iespējami plašāka informācija par tiesneša iepriekšējā periodā veikto profesionālo darbību. Tādejādi, lai nodrošinātu vispusīgākas informācijas pieejamību TKK par tiesneša profesionālo darbību, </w:t>
      </w:r>
      <w:proofErr w:type="spellStart"/>
      <w:r w:rsidRPr="00347D4F">
        <w:rPr>
          <w:rFonts w:ascii="Times New Roman" w:hAnsi="Times New Roman"/>
          <w:sz w:val="24"/>
          <w:szCs w:val="24"/>
          <w:lang w:eastAsia="en-US"/>
        </w:rPr>
        <w:t>t.sk</w:t>
      </w:r>
      <w:proofErr w:type="spellEnd"/>
      <w:r w:rsidRPr="00347D4F">
        <w:rPr>
          <w:rFonts w:ascii="Times New Roman" w:hAnsi="Times New Roman"/>
          <w:sz w:val="24"/>
          <w:szCs w:val="24"/>
          <w:lang w:eastAsia="en-US"/>
        </w:rPr>
        <w:t>., par vai tiesnesis savā profesionālajā darbībā nav pieļāvis tādu rīcību, kas ECT judikatūrā ir atzīta par pārkāpumu, Tieslietu ministrija ir uzsākusi sadarbību ar Ministru kabineta pārstāvja starptautiskajās cilvēktiesību institūcijās biroju, kurš sniegtu tā rīcībā esošo informāciju, kas saistīta ar tiesas rīcības vai procesa vērtējumu ECT spriedumos.</w:t>
      </w:r>
    </w:p>
    <w:p w:rsidR="000C4CBD" w:rsidRPr="00347D4F" w:rsidRDefault="00620350" w:rsidP="000C4CBD">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Minētās sadarbības uzsākšanai un īstenošanai nav nepieciešami papildu grozījumi ne ārējos, ne iekšējos normatīvajos aktos. Pamatojoties uz TA lūgumu, </w:t>
      </w:r>
      <w:r w:rsidRPr="00347D4F">
        <w:rPr>
          <w:rFonts w:ascii="Times New Roman" w:hAnsi="Times New Roman"/>
          <w:sz w:val="24"/>
          <w:szCs w:val="24"/>
          <w:lang w:eastAsia="en-US"/>
        </w:rPr>
        <w:t>Ministru kabineta pārstāvja cilvēktiesību institūcijās biroj</w:t>
      </w:r>
      <w:r>
        <w:rPr>
          <w:rFonts w:ascii="Times New Roman" w:hAnsi="Times New Roman"/>
          <w:sz w:val="24"/>
          <w:szCs w:val="24"/>
          <w:lang w:eastAsia="en-US"/>
        </w:rPr>
        <w:t xml:space="preserve">a sniegtā informācija, </w:t>
      </w:r>
      <w:r w:rsidR="000C4CBD" w:rsidRPr="00347D4F">
        <w:rPr>
          <w:rFonts w:ascii="Times New Roman" w:hAnsi="Times New Roman"/>
          <w:sz w:val="24"/>
          <w:szCs w:val="24"/>
          <w:lang w:eastAsia="en-US"/>
        </w:rPr>
        <w:t xml:space="preserve">saskaņā ar TKK reglamentu </w:t>
      </w:r>
      <w:r>
        <w:rPr>
          <w:rFonts w:ascii="Times New Roman" w:hAnsi="Times New Roman"/>
          <w:sz w:val="24"/>
          <w:szCs w:val="24"/>
          <w:lang w:eastAsia="en-US"/>
        </w:rPr>
        <w:t>tiks</w:t>
      </w:r>
      <w:r w:rsidRPr="00347D4F">
        <w:rPr>
          <w:rFonts w:ascii="Times New Roman" w:hAnsi="Times New Roman"/>
          <w:sz w:val="24"/>
          <w:szCs w:val="24"/>
          <w:lang w:eastAsia="en-US"/>
        </w:rPr>
        <w:t xml:space="preserve"> </w:t>
      </w:r>
      <w:r w:rsidR="000C4CBD" w:rsidRPr="00347D4F">
        <w:rPr>
          <w:rFonts w:ascii="Times New Roman" w:hAnsi="Times New Roman"/>
          <w:sz w:val="24"/>
          <w:szCs w:val="24"/>
          <w:lang w:eastAsia="en-US"/>
        </w:rPr>
        <w:t>iekļaut</w:t>
      </w:r>
      <w:r>
        <w:rPr>
          <w:rFonts w:ascii="Times New Roman" w:hAnsi="Times New Roman"/>
          <w:sz w:val="24"/>
          <w:szCs w:val="24"/>
          <w:lang w:eastAsia="en-US"/>
        </w:rPr>
        <w:t>a</w:t>
      </w:r>
      <w:r w:rsidR="000C4CBD" w:rsidRPr="00347D4F">
        <w:rPr>
          <w:rFonts w:ascii="Times New Roman" w:hAnsi="Times New Roman"/>
          <w:sz w:val="24"/>
          <w:szCs w:val="24"/>
          <w:lang w:eastAsia="en-US"/>
        </w:rPr>
        <w:t xml:space="preserve"> TA </w:t>
      </w:r>
      <w:r>
        <w:rPr>
          <w:rFonts w:ascii="Times New Roman" w:hAnsi="Times New Roman"/>
          <w:sz w:val="24"/>
          <w:szCs w:val="24"/>
          <w:lang w:eastAsia="en-US"/>
        </w:rPr>
        <w:t xml:space="preserve">sagatavotajā </w:t>
      </w:r>
      <w:r w:rsidR="000C4CBD" w:rsidRPr="00347D4F">
        <w:rPr>
          <w:rFonts w:ascii="Times New Roman" w:hAnsi="Times New Roman"/>
          <w:sz w:val="24"/>
          <w:szCs w:val="24"/>
          <w:lang w:eastAsia="en-US"/>
        </w:rPr>
        <w:t>uzziņā</w:t>
      </w:r>
      <w:r>
        <w:rPr>
          <w:rFonts w:ascii="Times New Roman" w:hAnsi="Times New Roman"/>
          <w:sz w:val="24"/>
          <w:szCs w:val="24"/>
          <w:lang w:eastAsia="en-US"/>
        </w:rPr>
        <w:t xml:space="preserve"> un iesniegta</w:t>
      </w:r>
      <w:r w:rsidRPr="00347D4F">
        <w:rPr>
          <w:rFonts w:ascii="Times New Roman" w:hAnsi="Times New Roman"/>
          <w:sz w:val="24"/>
          <w:szCs w:val="24"/>
          <w:lang w:eastAsia="en-US"/>
        </w:rPr>
        <w:t xml:space="preserve"> </w:t>
      </w:r>
      <w:r w:rsidR="000C4CBD" w:rsidRPr="00347D4F">
        <w:rPr>
          <w:rFonts w:ascii="Times New Roman" w:hAnsi="Times New Roman"/>
          <w:sz w:val="24"/>
          <w:szCs w:val="24"/>
          <w:lang w:eastAsia="en-US"/>
        </w:rPr>
        <w:t xml:space="preserve">TKK. </w:t>
      </w:r>
      <w:r>
        <w:rPr>
          <w:rFonts w:ascii="Times New Roman" w:hAnsi="Times New Roman"/>
          <w:sz w:val="24"/>
          <w:szCs w:val="24"/>
          <w:lang w:eastAsia="en-US"/>
        </w:rPr>
        <w:t>Līdzīgā kārtībā šobrīd jau tiek praktizēts, ka par tiem tiesnešiem, kas vienlaikus ir arī tiesu priekšsēdētāji, TA atsauksmi lūdz sniegt TM. Sniegtais viedoklis tiek iek</w:t>
      </w:r>
      <w:r w:rsidR="007E09F5">
        <w:rPr>
          <w:rFonts w:ascii="Times New Roman" w:hAnsi="Times New Roman"/>
          <w:sz w:val="24"/>
          <w:szCs w:val="24"/>
          <w:lang w:eastAsia="en-US"/>
        </w:rPr>
        <w:t>ļa</w:t>
      </w:r>
      <w:r>
        <w:rPr>
          <w:rFonts w:ascii="Times New Roman" w:hAnsi="Times New Roman"/>
          <w:sz w:val="24"/>
          <w:szCs w:val="24"/>
          <w:lang w:eastAsia="en-US"/>
        </w:rPr>
        <w:t>uts TA sagatavotajā uzziņā un pievienots novērtēšanas lietas materiāliem, kas tiek iesniegt TKK.</w:t>
      </w:r>
    </w:p>
    <w:p w:rsidR="005C03B8" w:rsidRPr="00347D4F" w:rsidRDefault="005C03B8" w:rsidP="00E0202D">
      <w:pPr>
        <w:spacing w:after="0" w:line="240" w:lineRule="auto"/>
        <w:ind w:firstLine="720"/>
        <w:jc w:val="both"/>
        <w:rPr>
          <w:rFonts w:ascii="Times New Roman" w:hAnsi="Times New Roman"/>
          <w:sz w:val="24"/>
          <w:szCs w:val="24"/>
          <w:lang w:eastAsia="en-US"/>
        </w:rPr>
      </w:pPr>
    </w:p>
    <w:p w:rsidR="005C03B8" w:rsidRPr="00347D4F" w:rsidRDefault="005C03B8" w:rsidP="00840FD3">
      <w:pPr>
        <w:spacing w:after="0" w:line="240" w:lineRule="auto"/>
        <w:ind w:firstLine="720"/>
        <w:jc w:val="both"/>
        <w:rPr>
          <w:rFonts w:ascii="Times New Roman" w:hAnsi="Times New Roman"/>
          <w:sz w:val="24"/>
          <w:szCs w:val="24"/>
          <w:lang w:eastAsia="en-US"/>
        </w:rPr>
      </w:pPr>
      <w:r w:rsidRPr="00347D4F">
        <w:rPr>
          <w:rFonts w:ascii="Times New Roman" w:hAnsi="Times New Roman"/>
          <w:sz w:val="24"/>
          <w:szCs w:val="24"/>
          <w:lang w:eastAsia="en-US"/>
        </w:rPr>
        <w:t>Tieslietu ministr</w:t>
      </w:r>
      <w:r w:rsidR="000C37EB">
        <w:rPr>
          <w:rFonts w:ascii="Times New Roman" w:hAnsi="Times New Roman"/>
          <w:sz w:val="24"/>
          <w:szCs w:val="24"/>
          <w:lang w:eastAsia="en-US"/>
        </w:rPr>
        <w:t>e</w:t>
      </w:r>
      <w:r w:rsidR="00840FD3">
        <w:rPr>
          <w:rFonts w:ascii="Times New Roman" w:hAnsi="Times New Roman"/>
          <w:sz w:val="24"/>
          <w:szCs w:val="24"/>
          <w:lang w:eastAsia="en-US"/>
        </w:rPr>
        <w:tab/>
      </w:r>
      <w:r w:rsidR="00840FD3">
        <w:rPr>
          <w:rFonts w:ascii="Times New Roman" w:hAnsi="Times New Roman"/>
          <w:sz w:val="24"/>
          <w:szCs w:val="24"/>
          <w:lang w:eastAsia="en-US"/>
        </w:rPr>
        <w:tab/>
      </w:r>
      <w:r w:rsidRPr="00347D4F">
        <w:rPr>
          <w:rFonts w:ascii="Times New Roman" w:hAnsi="Times New Roman"/>
          <w:sz w:val="24"/>
          <w:szCs w:val="24"/>
          <w:lang w:eastAsia="en-US"/>
        </w:rPr>
        <w:tab/>
      </w:r>
      <w:r w:rsidRPr="00347D4F">
        <w:rPr>
          <w:rFonts w:ascii="Times New Roman" w:hAnsi="Times New Roman"/>
          <w:sz w:val="24"/>
          <w:szCs w:val="24"/>
          <w:lang w:eastAsia="en-US"/>
        </w:rPr>
        <w:tab/>
      </w:r>
      <w:r w:rsidRPr="00347D4F">
        <w:rPr>
          <w:rFonts w:ascii="Times New Roman" w:hAnsi="Times New Roman"/>
          <w:sz w:val="24"/>
          <w:szCs w:val="24"/>
          <w:lang w:eastAsia="en-US"/>
        </w:rPr>
        <w:tab/>
      </w:r>
      <w:r w:rsidRPr="00347D4F">
        <w:rPr>
          <w:rFonts w:ascii="Times New Roman" w:hAnsi="Times New Roman"/>
          <w:sz w:val="24"/>
          <w:szCs w:val="24"/>
          <w:lang w:eastAsia="en-US"/>
        </w:rPr>
        <w:tab/>
      </w:r>
      <w:r w:rsidR="00CD4C1C">
        <w:rPr>
          <w:rFonts w:ascii="Times New Roman" w:hAnsi="Times New Roman"/>
          <w:sz w:val="24"/>
          <w:szCs w:val="24"/>
          <w:lang w:eastAsia="en-US"/>
        </w:rPr>
        <w:tab/>
      </w:r>
      <w:r w:rsidR="00CD4C1C">
        <w:rPr>
          <w:rFonts w:ascii="Times New Roman" w:hAnsi="Times New Roman"/>
          <w:sz w:val="24"/>
          <w:szCs w:val="24"/>
          <w:lang w:eastAsia="en-US"/>
        </w:rPr>
        <w:tab/>
      </w:r>
      <w:r w:rsidR="000C37EB">
        <w:rPr>
          <w:rFonts w:ascii="Times New Roman" w:hAnsi="Times New Roman"/>
          <w:sz w:val="24"/>
          <w:szCs w:val="24"/>
          <w:lang w:eastAsia="en-US"/>
        </w:rPr>
        <w:t>B.Broka</w:t>
      </w:r>
    </w:p>
    <w:p w:rsidR="005C03B8" w:rsidRPr="00347D4F" w:rsidRDefault="005C03B8" w:rsidP="000F539B">
      <w:pPr>
        <w:autoSpaceDE w:val="0"/>
        <w:autoSpaceDN w:val="0"/>
        <w:adjustRightInd w:val="0"/>
        <w:spacing w:after="0" w:line="240" w:lineRule="auto"/>
        <w:ind w:firstLine="720"/>
        <w:jc w:val="both"/>
        <w:rPr>
          <w:rFonts w:ascii="Times New Roman" w:hAnsi="Times New Roman"/>
          <w:iCs/>
          <w:sz w:val="24"/>
          <w:szCs w:val="24"/>
          <w:lang w:eastAsia="en-US"/>
        </w:rPr>
      </w:pPr>
    </w:p>
    <w:p w:rsidR="005C03B8" w:rsidRPr="00347D4F" w:rsidRDefault="005C03B8" w:rsidP="000F539B">
      <w:pPr>
        <w:spacing w:after="0" w:line="240" w:lineRule="auto"/>
        <w:ind w:firstLine="720"/>
        <w:jc w:val="both"/>
        <w:rPr>
          <w:rFonts w:ascii="Times New Roman" w:hAnsi="Times New Roman"/>
          <w:sz w:val="24"/>
          <w:szCs w:val="24"/>
          <w:lang w:eastAsia="en-US"/>
        </w:rPr>
      </w:pPr>
    </w:p>
    <w:p w:rsidR="005C03B8" w:rsidRPr="00347D4F" w:rsidRDefault="005C03B8" w:rsidP="000F539B">
      <w:pPr>
        <w:spacing w:after="0" w:line="240" w:lineRule="auto"/>
        <w:ind w:firstLine="720"/>
        <w:jc w:val="both"/>
        <w:rPr>
          <w:rFonts w:ascii="Times New Roman" w:hAnsi="Times New Roman"/>
          <w:sz w:val="24"/>
          <w:szCs w:val="24"/>
          <w:lang w:eastAsia="en-US"/>
        </w:rPr>
      </w:pPr>
    </w:p>
    <w:p w:rsidR="005C03B8" w:rsidRPr="00347D4F" w:rsidRDefault="005C03B8" w:rsidP="000F539B">
      <w:pPr>
        <w:spacing w:after="0" w:line="240" w:lineRule="auto"/>
        <w:ind w:firstLine="720"/>
        <w:jc w:val="both"/>
        <w:rPr>
          <w:rFonts w:ascii="Times New Roman" w:hAnsi="Times New Roman"/>
          <w:sz w:val="24"/>
          <w:szCs w:val="24"/>
          <w:lang w:eastAsia="en-US"/>
        </w:rPr>
      </w:pPr>
    </w:p>
    <w:p w:rsidR="005C03B8" w:rsidRPr="00347D4F" w:rsidRDefault="005C03B8" w:rsidP="000F539B">
      <w:pPr>
        <w:spacing w:after="0" w:line="240" w:lineRule="auto"/>
        <w:ind w:firstLine="720"/>
        <w:jc w:val="both"/>
        <w:rPr>
          <w:rFonts w:ascii="Times New Roman" w:hAnsi="Times New Roman"/>
          <w:sz w:val="24"/>
          <w:szCs w:val="24"/>
          <w:lang w:eastAsia="en-US"/>
        </w:rPr>
      </w:pPr>
    </w:p>
    <w:p w:rsidR="005C03B8" w:rsidRPr="00347D4F" w:rsidRDefault="000C37EB" w:rsidP="000F539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10</w:t>
      </w:r>
      <w:r w:rsidR="00CD4C1C">
        <w:rPr>
          <w:rFonts w:ascii="Times New Roman" w:hAnsi="Times New Roman"/>
          <w:sz w:val="20"/>
          <w:szCs w:val="20"/>
          <w:lang w:eastAsia="en-US"/>
        </w:rPr>
        <w:t>.04</w:t>
      </w:r>
      <w:r w:rsidR="005C03B8" w:rsidRPr="00347D4F">
        <w:rPr>
          <w:rFonts w:ascii="Times New Roman" w:hAnsi="Times New Roman"/>
          <w:sz w:val="20"/>
          <w:szCs w:val="20"/>
          <w:lang w:eastAsia="en-US"/>
        </w:rPr>
        <w:t xml:space="preserve">.2014. </w:t>
      </w:r>
      <w:r>
        <w:rPr>
          <w:rFonts w:ascii="Times New Roman" w:hAnsi="Times New Roman"/>
          <w:sz w:val="20"/>
          <w:szCs w:val="20"/>
          <w:lang w:eastAsia="en-US"/>
        </w:rPr>
        <w:t>15:22</w:t>
      </w:r>
    </w:p>
    <w:p w:rsidR="005C03B8" w:rsidRPr="00347D4F" w:rsidRDefault="00E55E32" w:rsidP="000F539B">
      <w:pPr>
        <w:spacing w:after="0" w:line="240" w:lineRule="auto"/>
        <w:jc w:val="both"/>
        <w:rPr>
          <w:rFonts w:ascii="Times New Roman" w:hAnsi="Times New Roman"/>
          <w:sz w:val="20"/>
          <w:szCs w:val="20"/>
          <w:lang w:eastAsia="en-US"/>
        </w:rPr>
      </w:pPr>
      <w:r w:rsidRPr="00347D4F">
        <w:rPr>
          <w:rFonts w:ascii="Times New Roman" w:hAnsi="Times New Roman"/>
          <w:sz w:val="20"/>
          <w:szCs w:val="20"/>
          <w:lang w:eastAsia="en-US"/>
        </w:rPr>
        <w:t>3</w:t>
      </w:r>
      <w:r w:rsidR="000F539B" w:rsidRPr="00347D4F">
        <w:rPr>
          <w:rFonts w:ascii="Times New Roman" w:hAnsi="Times New Roman"/>
          <w:sz w:val="20"/>
          <w:szCs w:val="20"/>
          <w:lang w:eastAsia="en-US"/>
        </w:rPr>
        <w:t>1</w:t>
      </w:r>
      <w:r w:rsidR="00840FD3">
        <w:rPr>
          <w:rFonts w:ascii="Times New Roman" w:hAnsi="Times New Roman"/>
          <w:sz w:val="20"/>
          <w:szCs w:val="20"/>
          <w:lang w:eastAsia="en-US"/>
        </w:rPr>
        <w:t>7</w:t>
      </w:r>
      <w:r w:rsidR="000C37EB">
        <w:rPr>
          <w:rFonts w:ascii="Times New Roman" w:hAnsi="Times New Roman"/>
          <w:sz w:val="20"/>
          <w:szCs w:val="20"/>
          <w:lang w:eastAsia="en-US"/>
        </w:rPr>
        <w:t>7</w:t>
      </w:r>
    </w:p>
    <w:p w:rsidR="005C03B8" w:rsidRPr="00347D4F" w:rsidRDefault="005C03B8" w:rsidP="000F539B">
      <w:pPr>
        <w:spacing w:after="0" w:line="240" w:lineRule="auto"/>
        <w:jc w:val="both"/>
        <w:rPr>
          <w:rFonts w:ascii="Times New Roman" w:hAnsi="Times New Roman"/>
          <w:sz w:val="20"/>
          <w:szCs w:val="20"/>
          <w:lang w:eastAsia="en-US"/>
        </w:rPr>
      </w:pPr>
      <w:r w:rsidRPr="00347D4F">
        <w:rPr>
          <w:rFonts w:ascii="Times New Roman" w:hAnsi="Times New Roman"/>
          <w:sz w:val="20"/>
          <w:szCs w:val="20"/>
          <w:lang w:eastAsia="en-US"/>
        </w:rPr>
        <w:t>L.France</w:t>
      </w:r>
    </w:p>
    <w:p w:rsidR="005C03B8" w:rsidRPr="00347D4F" w:rsidRDefault="005C03B8" w:rsidP="000F539B">
      <w:pPr>
        <w:spacing w:after="0" w:line="240" w:lineRule="auto"/>
        <w:jc w:val="both"/>
        <w:rPr>
          <w:rFonts w:ascii="Times New Roman" w:hAnsi="Times New Roman"/>
          <w:sz w:val="20"/>
          <w:szCs w:val="20"/>
        </w:rPr>
      </w:pPr>
      <w:r w:rsidRPr="00347D4F">
        <w:rPr>
          <w:rFonts w:ascii="Times New Roman" w:hAnsi="Times New Roman"/>
          <w:sz w:val="20"/>
          <w:szCs w:val="20"/>
          <w:lang w:eastAsia="en-US"/>
        </w:rPr>
        <w:t xml:space="preserve">67036828, </w:t>
      </w:r>
      <w:hyperlink r:id="rId9" w:history="1">
        <w:r w:rsidRPr="00347D4F">
          <w:rPr>
            <w:rStyle w:val="Hipersaite"/>
            <w:rFonts w:ascii="Times New Roman" w:hAnsi="Times New Roman"/>
            <w:color w:val="auto"/>
            <w:sz w:val="20"/>
            <w:szCs w:val="20"/>
            <w:lang w:eastAsia="en-US"/>
          </w:rPr>
          <w:t>Laura.France@tm.gov.lv</w:t>
        </w:r>
      </w:hyperlink>
    </w:p>
    <w:p w:rsidR="004200D8" w:rsidRPr="00347D4F" w:rsidRDefault="000C37EB" w:rsidP="000F539B">
      <w:pPr>
        <w:spacing w:after="0" w:line="240" w:lineRule="auto"/>
        <w:ind w:firstLine="720"/>
        <w:jc w:val="both"/>
        <w:rPr>
          <w:rFonts w:ascii="Times New Roman" w:hAnsi="Times New Roman"/>
          <w:sz w:val="24"/>
          <w:szCs w:val="24"/>
        </w:rPr>
      </w:pPr>
      <w:bookmarkStart w:id="1" w:name="_GoBack"/>
      <w:bookmarkEnd w:id="1"/>
    </w:p>
    <w:sectPr w:rsidR="004200D8" w:rsidRPr="00347D4F" w:rsidSect="00D96EDE">
      <w:headerReference w:type="default" r:id="rId10"/>
      <w:footerReference w:type="default" r:id="rId11"/>
      <w:footerReference w:type="first" r:id="rId12"/>
      <w:pgSz w:w="12240" w:h="15840"/>
      <w:pgMar w:top="1418" w:right="1134"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6E" w:rsidRDefault="0024146E" w:rsidP="005C03B8">
      <w:pPr>
        <w:spacing w:after="0" w:line="240" w:lineRule="auto"/>
      </w:pPr>
      <w:r>
        <w:separator/>
      </w:r>
    </w:p>
  </w:endnote>
  <w:endnote w:type="continuationSeparator" w:id="0">
    <w:p w:rsidR="0024146E" w:rsidRDefault="0024146E" w:rsidP="005C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1E" w:rsidRPr="00784E8F" w:rsidRDefault="00D82DF3" w:rsidP="00784E8F">
    <w:pPr>
      <w:spacing w:before="120" w:after="0" w:line="240" w:lineRule="auto"/>
      <w:jc w:val="both"/>
      <w:rPr>
        <w:rFonts w:ascii="Times New Roman" w:hAnsi="Times New Roman"/>
        <w:sz w:val="20"/>
        <w:szCs w:val="20"/>
      </w:rPr>
    </w:pPr>
    <w:r>
      <w:rPr>
        <w:rFonts w:ascii="Times New Roman" w:hAnsi="Times New Roman"/>
        <w:sz w:val="20"/>
        <w:szCs w:val="20"/>
      </w:rPr>
      <w:t>TMZino_</w:t>
    </w:r>
    <w:r w:rsidR="000C37EB">
      <w:rPr>
        <w:rFonts w:ascii="Times New Roman" w:hAnsi="Times New Roman"/>
        <w:sz w:val="20"/>
        <w:szCs w:val="20"/>
      </w:rPr>
      <w:t>10</w:t>
    </w:r>
    <w:r w:rsidR="00CD4C1C">
      <w:rPr>
        <w:rFonts w:ascii="Times New Roman" w:hAnsi="Times New Roman"/>
        <w:sz w:val="20"/>
        <w:szCs w:val="20"/>
      </w:rPr>
      <w:t>04</w:t>
    </w:r>
    <w:r>
      <w:rPr>
        <w:rFonts w:ascii="Times New Roman" w:hAnsi="Times New Roman"/>
        <w:sz w:val="20"/>
        <w:szCs w:val="20"/>
      </w:rPr>
      <w:t>14_TKK1gads</w:t>
    </w:r>
    <w:r w:rsidRPr="006046DF">
      <w:rPr>
        <w:rFonts w:ascii="Times New Roman" w:hAnsi="Times New Roman"/>
        <w:sz w:val="20"/>
        <w:szCs w:val="20"/>
      </w:rPr>
      <w:t>; Informatīvais ziņojums par tiesnešu profesionālās darbības novērtēšanas sistēmas pirmo darbības gadu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1E" w:rsidRPr="00784E8F" w:rsidRDefault="00D82DF3" w:rsidP="00784E8F">
    <w:pPr>
      <w:spacing w:before="120" w:after="0" w:line="240" w:lineRule="auto"/>
      <w:jc w:val="both"/>
      <w:rPr>
        <w:rFonts w:ascii="Times New Roman" w:hAnsi="Times New Roman"/>
        <w:sz w:val="20"/>
        <w:szCs w:val="20"/>
      </w:rPr>
    </w:pPr>
    <w:r>
      <w:rPr>
        <w:rFonts w:ascii="Times New Roman" w:hAnsi="Times New Roman"/>
        <w:sz w:val="20"/>
        <w:szCs w:val="20"/>
      </w:rPr>
      <w:t>TMZino_</w:t>
    </w:r>
    <w:r w:rsidR="000C37EB">
      <w:rPr>
        <w:rFonts w:ascii="Times New Roman" w:hAnsi="Times New Roman"/>
        <w:sz w:val="20"/>
        <w:szCs w:val="20"/>
      </w:rPr>
      <w:t>10</w:t>
    </w:r>
    <w:r w:rsidR="00CD4C1C">
      <w:rPr>
        <w:rFonts w:ascii="Times New Roman" w:hAnsi="Times New Roman"/>
        <w:sz w:val="20"/>
        <w:szCs w:val="20"/>
      </w:rPr>
      <w:t>04</w:t>
    </w:r>
    <w:r>
      <w:rPr>
        <w:rFonts w:ascii="Times New Roman" w:hAnsi="Times New Roman"/>
        <w:sz w:val="20"/>
        <w:szCs w:val="20"/>
      </w:rPr>
      <w:t>14_TKK1gads</w:t>
    </w:r>
    <w:r w:rsidRPr="006046DF">
      <w:rPr>
        <w:rFonts w:ascii="Times New Roman" w:hAnsi="Times New Roman"/>
        <w:sz w:val="20"/>
        <w:szCs w:val="20"/>
      </w:rPr>
      <w:t>; Informatīvais ziņojums par tiesnešu profesionālās darbības novērtēšanas sistēmas pirmo darbības gadu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6E" w:rsidRDefault="0024146E" w:rsidP="005C03B8">
      <w:pPr>
        <w:spacing w:after="0" w:line="240" w:lineRule="auto"/>
      </w:pPr>
      <w:r>
        <w:separator/>
      </w:r>
    </w:p>
  </w:footnote>
  <w:footnote w:type="continuationSeparator" w:id="0">
    <w:p w:rsidR="0024146E" w:rsidRDefault="0024146E" w:rsidP="005C03B8">
      <w:pPr>
        <w:spacing w:after="0" w:line="240" w:lineRule="auto"/>
      </w:pPr>
      <w:r>
        <w:continuationSeparator/>
      </w:r>
    </w:p>
  </w:footnote>
  <w:footnote w:id="1">
    <w:p w:rsidR="005C03B8" w:rsidRPr="00276082" w:rsidRDefault="005C03B8" w:rsidP="005C03B8">
      <w:pPr>
        <w:pStyle w:val="Vresteksts"/>
        <w:rPr>
          <w:rFonts w:ascii="Times New Roman" w:hAnsi="Times New Roman"/>
        </w:rPr>
      </w:pPr>
      <w:r w:rsidRPr="00276082">
        <w:rPr>
          <w:rStyle w:val="Vresatsauce"/>
          <w:rFonts w:ascii="Times New Roman" w:hAnsi="Times New Roman"/>
        </w:rPr>
        <w:footnoteRef/>
      </w:r>
      <w:r w:rsidRPr="00276082">
        <w:rPr>
          <w:rFonts w:ascii="Times New Roman" w:hAnsi="Times New Roman"/>
        </w:rPr>
        <w:t xml:space="preserve"> Dati saskaņā ar Tiesu administrācijas sniegto informāciju un Augstākās tiesas mājas lapā pieejamo informāciju par kopējo tiesnešu skaitu uz 2013.gada decembri</w:t>
      </w:r>
    </w:p>
  </w:footnote>
  <w:footnote w:id="2">
    <w:p w:rsidR="00C570E7" w:rsidRPr="00276082" w:rsidRDefault="00C570E7" w:rsidP="00C570E7">
      <w:pPr>
        <w:pStyle w:val="Vresteksts"/>
        <w:rPr>
          <w:rFonts w:ascii="Times New Roman" w:hAnsi="Times New Roman"/>
        </w:rPr>
      </w:pPr>
      <w:r w:rsidRPr="00276082">
        <w:rPr>
          <w:rStyle w:val="Vresatsauce"/>
          <w:rFonts w:ascii="Times New Roman" w:hAnsi="Times New Roman"/>
        </w:rPr>
        <w:footnoteRef/>
      </w:r>
      <w:hyperlink r:id="rId1" w:history="1">
        <w:r w:rsidRPr="00654B64">
          <w:rPr>
            <w:rStyle w:val="Hipersaite"/>
            <w:rFonts w:ascii="Times New Roman" w:hAnsi="Times New Roman"/>
          </w:rPr>
          <w:t>http://www.google.lv/url?sa=t&amp;rct=j&amp;q=&amp;esrc=s&amp;frm=1&amp;source=web&amp;cd=3&amp;ved=0CDsQFjAC&amp;url=http%3A%2F%2Fwww.mk.gov.lv%2Fdoc%2F2005%2FAMzino_29022012_nac%2520tiesu%2520nep.515.doc&amp;ei=Q3YgU4WsKYjV4wTr3YCYDQ&amp;usg=AFQjCNFoV1NWpZ11HZi7ShquOUVCBwHUIQ&amp;sig2=QtRfUjSAQEFtf4pk-sThlA&amp;bvm=bv.62788935,d.bGE</w:t>
        </w:r>
      </w:hyperlink>
      <w:r>
        <w:rPr>
          <w:rFonts w:ascii="Times New Roman" w:hAnsi="Times New Roman"/>
        </w:rPr>
        <w:t xml:space="preserve"> (skatīts 11.03.2014.)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1E" w:rsidRPr="009006FC" w:rsidRDefault="00D82DF3">
    <w:pPr>
      <w:pStyle w:val="Galvene"/>
      <w:jc w:val="center"/>
      <w:rPr>
        <w:rFonts w:ascii="Times New Roman" w:hAnsi="Times New Roman"/>
        <w:sz w:val="24"/>
        <w:szCs w:val="24"/>
      </w:rPr>
    </w:pPr>
    <w:r w:rsidRPr="009006FC">
      <w:rPr>
        <w:rFonts w:ascii="Times New Roman" w:hAnsi="Times New Roman"/>
        <w:sz w:val="24"/>
        <w:szCs w:val="24"/>
      </w:rPr>
      <w:fldChar w:fldCharType="begin"/>
    </w:r>
    <w:r w:rsidRPr="009006FC">
      <w:rPr>
        <w:rFonts w:ascii="Times New Roman" w:hAnsi="Times New Roman"/>
        <w:sz w:val="24"/>
        <w:szCs w:val="24"/>
      </w:rPr>
      <w:instrText xml:space="preserve"> PAGE   \* MERGEFORMAT </w:instrText>
    </w:r>
    <w:r w:rsidRPr="009006FC">
      <w:rPr>
        <w:rFonts w:ascii="Times New Roman" w:hAnsi="Times New Roman"/>
        <w:sz w:val="24"/>
        <w:szCs w:val="24"/>
      </w:rPr>
      <w:fldChar w:fldCharType="separate"/>
    </w:r>
    <w:r w:rsidR="000C37EB">
      <w:rPr>
        <w:rFonts w:ascii="Times New Roman" w:hAnsi="Times New Roman"/>
        <w:noProof/>
        <w:sz w:val="24"/>
        <w:szCs w:val="24"/>
      </w:rPr>
      <w:t>8</w:t>
    </w:r>
    <w:r w:rsidRPr="009006FC">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A77"/>
    <w:multiLevelType w:val="hybridMultilevel"/>
    <w:tmpl w:val="BA76C5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90C37AA"/>
    <w:multiLevelType w:val="hybridMultilevel"/>
    <w:tmpl w:val="4906D410"/>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2">
    <w:nsid w:val="502720C0"/>
    <w:multiLevelType w:val="hybridMultilevel"/>
    <w:tmpl w:val="B8869448"/>
    <w:lvl w:ilvl="0" w:tplc="CD3E61F6">
      <w:start w:val="6"/>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FC00A60"/>
    <w:multiLevelType w:val="hybridMultilevel"/>
    <w:tmpl w:val="4D2E49B2"/>
    <w:lvl w:ilvl="0" w:tplc="D11E1A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68E31526"/>
    <w:multiLevelType w:val="hybridMultilevel"/>
    <w:tmpl w:val="C2688EA8"/>
    <w:lvl w:ilvl="0" w:tplc="67861D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B8"/>
    <w:rsid w:val="000278B6"/>
    <w:rsid w:val="000B492A"/>
    <w:rsid w:val="000C37EB"/>
    <w:rsid w:val="000C4214"/>
    <w:rsid w:val="000C4CBD"/>
    <w:rsid w:val="000F539B"/>
    <w:rsid w:val="00120B68"/>
    <w:rsid w:val="00134EDE"/>
    <w:rsid w:val="001713A5"/>
    <w:rsid w:val="00214327"/>
    <w:rsid w:val="00225608"/>
    <w:rsid w:val="002275B4"/>
    <w:rsid w:val="0024146E"/>
    <w:rsid w:val="002434A1"/>
    <w:rsid w:val="00275E0D"/>
    <w:rsid w:val="00276082"/>
    <w:rsid w:val="00280EF6"/>
    <w:rsid w:val="002E6690"/>
    <w:rsid w:val="00300E0B"/>
    <w:rsid w:val="00332040"/>
    <w:rsid w:val="00347D4F"/>
    <w:rsid w:val="003F610D"/>
    <w:rsid w:val="003F68D4"/>
    <w:rsid w:val="004162BC"/>
    <w:rsid w:val="004934CE"/>
    <w:rsid w:val="004B3EA1"/>
    <w:rsid w:val="004C211F"/>
    <w:rsid w:val="00500C94"/>
    <w:rsid w:val="005B4ADE"/>
    <w:rsid w:val="005C03B8"/>
    <w:rsid w:val="005C2D34"/>
    <w:rsid w:val="005F7F44"/>
    <w:rsid w:val="0061666D"/>
    <w:rsid w:val="00620350"/>
    <w:rsid w:val="0062231A"/>
    <w:rsid w:val="00625276"/>
    <w:rsid w:val="00630678"/>
    <w:rsid w:val="00673EF5"/>
    <w:rsid w:val="006B7B7D"/>
    <w:rsid w:val="00713FAA"/>
    <w:rsid w:val="007D2975"/>
    <w:rsid w:val="007E09F5"/>
    <w:rsid w:val="008300A4"/>
    <w:rsid w:val="00840FD3"/>
    <w:rsid w:val="008B0D44"/>
    <w:rsid w:val="008C5937"/>
    <w:rsid w:val="008F287F"/>
    <w:rsid w:val="00920AB8"/>
    <w:rsid w:val="00961CA6"/>
    <w:rsid w:val="00981229"/>
    <w:rsid w:val="00983C1D"/>
    <w:rsid w:val="009A74FB"/>
    <w:rsid w:val="009E7682"/>
    <w:rsid w:val="00A14785"/>
    <w:rsid w:val="00A1795D"/>
    <w:rsid w:val="00A27EDC"/>
    <w:rsid w:val="00A73C22"/>
    <w:rsid w:val="00A76124"/>
    <w:rsid w:val="00A94FE1"/>
    <w:rsid w:val="00AA3A1F"/>
    <w:rsid w:val="00B309A9"/>
    <w:rsid w:val="00B417E4"/>
    <w:rsid w:val="00B4354F"/>
    <w:rsid w:val="00BF2B7A"/>
    <w:rsid w:val="00BF5702"/>
    <w:rsid w:val="00C34C9C"/>
    <w:rsid w:val="00C540F3"/>
    <w:rsid w:val="00C570E7"/>
    <w:rsid w:val="00C9273F"/>
    <w:rsid w:val="00CD4C1C"/>
    <w:rsid w:val="00CF3A9E"/>
    <w:rsid w:val="00D82DF3"/>
    <w:rsid w:val="00D96CD6"/>
    <w:rsid w:val="00DB0E91"/>
    <w:rsid w:val="00DE5F84"/>
    <w:rsid w:val="00E0202D"/>
    <w:rsid w:val="00E55E32"/>
    <w:rsid w:val="00EA752A"/>
    <w:rsid w:val="00F1506C"/>
    <w:rsid w:val="00FC31F6"/>
    <w:rsid w:val="00FC598D"/>
    <w:rsid w:val="00FE10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C03B8"/>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5C03B8"/>
    <w:rPr>
      <w:rFonts w:cs="Times New Roman"/>
      <w:color w:val="0000FF"/>
      <w:u w:val="single"/>
    </w:rPr>
  </w:style>
  <w:style w:type="character" w:styleId="Komentraatsauce">
    <w:name w:val="annotation reference"/>
    <w:uiPriority w:val="99"/>
    <w:semiHidden/>
    <w:unhideWhenUsed/>
    <w:rsid w:val="005C03B8"/>
    <w:rPr>
      <w:rFonts w:cs="Times New Roman"/>
      <w:sz w:val="16"/>
      <w:szCs w:val="16"/>
    </w:rPr>
  </w:style>
  <w:style w:type="paragraph" w:styleId="Komentrateksts">
    <w:name w:val="annotation text"/>
    <w:basedOn w:val="Parasts"/>
    <w:link w:val="KomentratekstsRakstz"/>
    <w:uiPriority w:val="99"/>
    <w:unhideWhenUsed/>
    <w:rsid w:val="005C03B8"/>
    <w:rPr>
      <w:sz w:val="20"/>
      <w:szCs w:val="20"/>
      <w:lang w:val="x-none" w:eastAsia="x-none"/>
    </w:rPr>
  </w:style>
  <w:style w:type="character" w:customStyle="1" w:styleId="KomentratekstsRakstz">
    <w:name w:val="Komentāra teksts Rakstz."/>
    <w:basedOn w:val="Noklusjumarindkopasfonts"/>
    <w:link w:val="Komentrateksts"/>
    <w:uiPriority w:val="99"/>
    <w:rsid w:val="005C03B8"/>
    <w:rPr>
      <w:rFonts w:ascii="Calibri" w:eastAsia="Times New Roman" w:hAnsi="Calibri" w:cs="Times New Roman"/>
      <w:sz w:val="20"/>
      <w:szCs w:val="20"/>
      <w:lang w:val="x-none" w:eastAsia="x-none"/>
    </w:rPr>
  </w:style>
  <w:style w:type="paragraph" w:styleId="Galvene">
    <w:name w:val="header"/>
    <w:basedOn w:val="Parasts"/>
    <w:link w:val="GalveneRakstz"/>
    <w:uiPriority w:val="99"/>
    <w:unhideWhenUsed/>
    <w:rsid w:val="005C03B8"/>
    <w:pPr>
      <w:tabs>
        <w:tab w:val="center" w:pos="4153"/>
        <w:tab w:val="right" w:pos="8306"/>
      </w:tabs>
    </w:pPr>
    <w:rPr>
      <w:sz w:val="20"/>
      <w:szCs w:val="20"/>
      <w:lang w:val="x-none" w:eastAsia="x-none"/>
    </w:rPr>
  </w:style>
  <w:style w:type="character" w:customStyle="1" w:styleId="GalveneRakstz">
    <w:name w:val="Galvene Rakstz."/>
    <w:basedOn w:val="Noklusjumarindkopasfonts"/>
    <w:link w:val="Galvene"/>
    <w:uiPriority w:val="99"/>
    <w:rsid w:val="005C03B8"/>
    <w:rPr>
      <w:rFonts w:ascii="Calibri" w:eastAsia="Times New Roman" w:hAnsi="Calibri" w:cs="Times New Roman"/>
      <w:sz w:val="20"/>
      <w:szCs w:val="20"/>
      <w:lang w:val="x-none" w:eastAsia="x-none"/>
    </w:rPr>
  </w:style>
  <w:style w:type="table" w:styleId="Reatabula">
    <w:name w:val="Table Grid"/>
    <w:basedOn w:val="Parastatabula"/>
    <w:uiPriority w:val="59"/>
    <w:rsid w:val="005C0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link w:val="VrestekstsRakstz"/>
    <w:uiPriority w:val="99"/>
    <w:semiHidden/>
    <w:unhideWhenUsed/>
    <w:rsid w:val="005C03B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C03B8"/>
    <w:rPr>
      <w:rFonts w:ascii="Calibri" w:eastAsia="Times New Roman" w:hAnsi="Calibri" w:cs="Times New Roman"/>
      <w:sz w:val="20"/>
      <w:szCs w:val="20"/>
      <w:lang w:eastAsia="lv-LV"/>
    </w:rPr>
  </w:style>
  <w:style w:type="character" w:styleId="Vresatsauce">
    <w:name w:val="footnote reference"/>
    <w:basedOn w:val="Noklusjumarindkopasfonts"/>
    <w:uiPriority w:val="99"/>
    <w:semiHidden/>
    <w:unhideWhenUsed/>
    <w:rsid w:val="005C03B8"/>
    <w:rPr>
      <w:vertAlign w:val="superscript"/>
    </w:rPr>
  </w:style>
  <w:style w:type="paragraph" w:styleId="Balonteksts">
    <w:name w:val="Balloon Text"/>
    <w:basedOn w:val="Parasts"/>
    <w:link w:val="BalontekstsRakstz"/>
    <w:uiPriority w:val="99"/>
    <w:semiHidden/>
    <w:unhideWhenUsed/>
    <w:rsid w:val="005C03B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C03B8"/>
    <w:rPr>
      <w:rFonts w:ascii="Tahoma" w:eastAsia="Times New Roman" w:hAnsi="Tahoma" w:cs="Tahoma"/>
      <w:sz w:val="16"/>
      <w:szCs w:val="16"/>
      <w:lang w:eastAsia="lv-LV"/>
    </w:rPr>
  </w:style>
  <w:style w:type="paragraph" w:styleId="Kjene">
    <w:name w:val="footer"/>
    <w:basedOn w:val="Parasts"/>
    <w:link w:val="KjeneRakstz"/>
    <w:uiPriority w:val="99"/>
    <w:unhideWhenUsed/>
    <w:rsid w:val="005B4AD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B4ADE"/>
    <w:rPr>
      <w:rFonts w:ascii="Calibri" w:eastAsia="Times New Roman" w:hAnsi="Calibri" w:cs="Times New Roman"/>
      <w:lang w:eastAsia="lv-LV"/>
    </w:rPr>
  </w:style>
  <w:style w:type="paragraph" w:styleId="Sarakstarindkopa">
    <w:name w:val="List Paragraph"/>
    <w:basedOn w:val="Parasts"/>
    <w:uiPriority w:val="34"/>
    <w:qFormat/>
    <w:rsid w:val="00630678"/>
    <w:pPr>
      <w:ind w:left="720"/>
      <w:contextualSpacing/>
    </w:pPr>
  </w:style>
  <w:style w:type="character" w:styleId="Izmantotahipersaite">
    <w:name w:val="FollowedHyperlink"/>
    <w:basedOn w:val="Noklusjumarindkopasfonts"/>
    <w:uiPriority w:val="99"/>
    <w:semiHidden/>
    <w:unhideWhenUsed/>
    <w:rsid w:val="008B0D44"/>
    <w:rPr>
      <w:color w:val="800080" w:themeColor="followedHyperlink"/>
      <w:u w:val="single"/>
    </w:rPr>
  </w:style>
  <w:style w:type="paragraph" w:styleId="Komentratma">
    <w:name w:val="annotation subject"/>
    <w:basedOn w:val="Komentrateksts"/>
    <w:next w:val="Komentrateksts"/>
    <w:link w:val="KomentratmaRakstz"/>
    <w:uiPriority w:val="99"/>
    <w:semiHidden/>
    <w:unhideWhenUsed/>
    <w:rsid w:val="00BF2B7A"/>
    <w:pPr>
      <w:spacing w:line="240" w:lineRule="auto"/>
    </w:pPr>
    <w:rPr>
      <w:b/>
      <w:bCs/>
      <w:lang w:val="lv-LV" w:eastAsia="lv-LV"/>
    </w:rPr>
  </w:style>
  <w:style w:type="character" w:customStyle="1" w:styleId="KomentratmaRakstz">
    <w:name w:val="Komentāra tēma Rakstz."/>
    <w:basedOn w:val="KomentratekstsRakstz"/>
    <w:link w:val="Komentratma"/>
    <w:uiPriority w:val="99"/>
    <w:semiHidden/>
    <w:rsid w:val="00BF2B7A"/>
    <w:rPr>
      <w:rFonts w:ascii="Calibri" w:eastAsia="Times New Roman" w:hAnsi="Calibri" w:cs="Times New Roman"/>
      <w:b/>
      <w:bCs/>
      <w:sz w:val="20"/>
      <w:szCs w:val="20"/>
      <w:lang w:val="x-none" w:eastAsia="lv-LV"/>
    </w:rPr>
  </w:style>
  <w:style w:type="paragraph" w:styleId="Prskatjums">
    <w:name w:val="Revision"/>
    <w:hidden/>
    <w:uiPriority w:val="99"/>
    <w:semiHidden/>
    <w:rsid w:val="00280EF6"/>
    <w:pPr>
      <w:spacing w:after="0" w:line="240" w:lineRule="auto"/>
    </w:pPr>
    <w:rPr>
      <w:rFonts w:ascii="Calibri" w:eastAsia="Times New Roman" w:hAnsi="Calibri" w:cs="Times New Roman"/>
      <w:lang w:eastAsia="lv-LV"/>
    </w:rPr>
  </w:style>
  <w:style w:type="paragraph" w:styleId="Vienkrsteksts">
    <w:name w:val="Plain Text"/>
    <w:basedOn w:val="Parasts"/>
    <w:link w:val="VienkrstekstsRakstz"/>
    <w:uiPriority w:val="99"/>
    <w:semiHidden/>
    <w:unhideWhenUsed/>
    <w:rsid w:val="003F68D4"/>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semiHidden/>
    <w:rsid w:val="003F68D4"/>
    <w:rPr>
      <w:rFonts w:ascii="Consolas" w:eastAsia="Times New Roman" w:hAnsi="Consolas" w:cs="Times New Roman"/>
      <w:sz w:val="21"/>
      <w:szCs w:val="21"/>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C03B8"/>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5C03B8"/>
    <w:rPr>
      <w:rFonts w:cs="Times New Roman"/>
      <w:color w:val="0000FF"/>
      <w:u w:val="single"/>
    </w:rPr>
  </w:style>
  <w:style w:type="character" w:styleId="Komentraatsauce">
    <w:name w:val="annotation reference"/>
    <w:uiPriority w:val="99"/>
    <w:semiHidden/>
    <w:unhideWhenUsed/>
    <w:rsid w:val="005C03B8"/>
    <w:rPr>
      <w:rFonts w:cs="Times New Roman"/>
      <w:sz w:val="16"/>
      <w:szCs w:val="16"/>
    </w:rPr>
  </w:style>
  <w:style w:type="paragraph" w:styleId="Komentrateksts">
    <w:name w:val="annotation text"/>
    <w:basedOn w:val="Parasts"/>
    <w:link w:val="KomentratekstsRakstz"/>
    <w:uiPriority w:val="99"/>
    <w:unhideWhenUsed/>
    <w:rsid w:val="005C03B8"/>
    <w:rPr>
      <w:sz w:val="20"/>
      <w:szCs w:val="20"/>
      <w:lang w:val="x-none" w:eastAsia="x-none"/>
    </w:rPr>
  </w:style>
  <w:style w:type="character" w:customStyle="1" w:styleId="KomentratekstsRakstz">
    <w:name w:val="Komentāra teksts Rakstz."/>
    <w:basedOn w:val="Noklusjumarindkopasfonts"/>
    <w:link w:val="Komentrateksts"/>
    <w:uiPriority w:val="99"/>
    <w:rsid w:val="005C03B8"/>
    <w:rPr>
      <w:rFonts w:ascii="Calibri" w:eastAsia="Times New Roman" w:hAnsi="Calibri" w:cs="Times New Roman"/>
      <w:sz w:val="20"/>
      <w:szCs w:val="20"/>
      <w:lang w:val="x-none" w:eastAsia="x-none"/>
    </w:rPr>
  </w:style>
  <w:style w:type="paragraph" w:styleId="Galvene">
    <w:name w:val="header"/>
    <w:basedOn w:val="Parasts"/>
    <w:link w:val="GalveneRakstz"/>
    <w:uiPriority w:val="99"/>
    <w:unhideWhenUsed/>
    <w:rsid w:val="005C03B8"/>
    <w:pPr>
      <w:tabs>
        <w:tab w:val="center" w:pos="4153"/>
        <w:tab w:val="right" w:pos="8306"/>
      </w:tabs>
    </w:pPr>
    <w:rPr>
      <w:sz w:val="20"/>
      <w:szCs w:val="20"/>
      <w:lang w:val="x-none" w:eastAsia="x-none"/>
    </w:rPr>
  </w:style>
  <w:style w:type="character" w:customStyle="1" w:styleId="GalveneRakstz">
    <w:name w:val="Galvene Rakstz."/>
    <w:basedOn w:val="Noklusjumarindkopasfonts"/>
    <w:link w:val="Galvene"/>
    <w:uiPriority w:val="99"/>
    <w:rsid w:val="005C03B8"/>
    <w:rPr>
      <w:rFonts w:ascii="Calibri" w:eastAsia="Times New Roman" w:hAnsi="Calibri" w:cs="Times New Roman"/>
      <w:sz w:val="20"/>
      <w:szCs w:val="20"/>
      <w:lang w:val="x-none" w:eastAsia="x-none"/>
    </w:rPr>
  </w:style>
  <w:style w:type="table" w:styleId="Reatabula">
    <w:name w:val="Table Grid"/>
    <w:basedOn w:val="Parastatabula"/>
    <w:uiPriority w:val="59"/>
    <w:rsid w:val="005C0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link w:val="VrestekstsRakstz"/>
    <w:uiPriority w:val="99"/>
    <w:semiHidden/>
    <w:unhideWhenUsed/>
    <w:rsid w:val="005C03B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C03B8"/>
    <w:rPr>
      <w:rFonts w:ascii="Calibri" w:eastAsia="Times New Roman" w:hAnsi="Calibri" w:cs="Times New Roman"/>
      <w:sz w:val="20"/>
      <w:szCs w:val="20"/>
      <w:lang w:eastAsia="lv-LV"/>
    </w:rPr>
  </w:style>
  <w:style w:type="character" w:styleId="Vresatsauce">
    <w:name w:val="footnote reference"/>
    <w:basedOn w:val="Noklusjumarindkopasfonts"/>
    <w:uiPriority w:val="99"/>
    <w:semiHidden/>
    <w:unhideWhenUsed/>
    <w:rsid w:val="005C03B8"/>
    <w:rPr>
      <w:vertAlign w:val="superscript"/>
    </w:rPr>
  </w:style>
  <w:style w:type="paragraph" w:styleId="Balonteksts">
    <w:name w:val="Balloon Text"/>
    <w:basedOn w:val="Parasts"/>
    <w:link w:val="BalontekstsRakstz"/>
    <w:uiPriority w:val="99"/>
    <w:semiHidden/>
    <w:unhideWhenUsed/>
    <w:rsid w:val="005C03B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C03B8"/>
    <w:rPr>
      <w:rFonts w:ascii="Tahoma" w:eastAsia="Times New Roman" w:hAnsi="Tahoma" w:cs="Tahoma"/>
      <w:sz w:val="16"/>
      <w:szCs w:val="16"/>
      <w:lang w:eastAsia="lv-LV"/>
    </w:rPr>
  </w:style>
  <w:style w:type="paragraph" w:styleId="Kjene">
    <w:name w:val="footer"/>
    <w:basedOn w:val="Parasts"/>
    <w:link w:val="KjeneRakstz"/>
    <w:uiPriority w:val="99"/>
    <w:unhideWhenUsed/>
    <w:rsid w:val="005B4AD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B4ADE"/>
    <w:rPr>
      <w:rFonts w:ascii="Calibri" w:eastAsia="Times New Roman" w:hAnsi="Calibri" w:cs="Times New Roman"/>
      <w:lang w:eastAsia="lv-LV"/>
    </w:rPr>
  </w:style>
  <w:style w:type="paragraph" w:styleId="Sarakstarindkopa">
    <w:name w:val="List Paragraph"/>
    <w:basedOn w:val="Parasts"/>
    <w:uiPriority w:val="34"/>
    <w:qFormat/>
    <w:rsid w:val="00630678"/>
    <w:pPr>
      <w:ind w:left="720"/>
      <w:contextualSpacing/>
    </w:pPr>
  </w:style>
  <w:style w:type="character" w:styleId="Izmantotahipersaite">
    <w:name w:val="FollowedHyperlink"/>
    <w:basedOn w:val="Noklusjumarindkopasfonts"/>
    <w:uiPriority w:val="99"/>
    <w:semiHidden/>
    <w:unhideWhenUsed/>
    <w:rsid w:val="008B0D44"/>
    <w:rPr>
      <w:color w:val="800080" w:themeColor="followedHyperlink"/>
      <w:u w:val="single"/>
    </w:rPr>
  </w:style>
  <w:style w:type="paragraph" w:styleId="Komentratma">
    <w:name w:val="annotation subject"/>
    <w:basedOn w:val="Komentrateksts"/>
    <w:next w:val="Komentrateksts"/>
    <w:link w:val="KomentratmaRakstz"/>
    <w:uiPriority w:val="99"/>
    <w:semiHidden/>
    <w:unhideWhenUsed/>
    <w:rsid w:val="00BF2B7A"/>
    <w:pPr>
      <w:spacing w:line="240" w:lineRule="auto"/>
    </w:pPr>
    <w:rPr>
      <w:b/>
      <w:bCs/>
      <w:lang w:val="lv-LV" w:eastAsia="lv-LV"/>
    </w:rPr>
  </w:style>
  <w:style w:type="character" w:customStyle="1" w:styleId="KomentratmaRakstz">
    <w:name w:val="Komentāra tēma Rakstz."/>
    <w:basedOn w:val="KomentratekstsRakstz"/>
    <w:link w:val="Komentratma"/>
    <w:uiPriority w:val="99"/>
    <w:semiHidden/>
    <w:rsid w:val="00BF2B7A"/>
    <w:rPr>
      <w:rFonts w:ascii="Calibri" w:eastAsia="Times New Roman" w:hAnsi="Calibri" w:cs="Times New Roman"/>
      <w:b/>
      <w:bCs/>
      <w:sz w:val="20"/>
      <w:szCs w:val="20"/>
      <w:lang w:val="x-none" w:eastAsia="lv-LV"/>
    </w:rPr>
  </w:style>
  <w:style w:type="paragraph" w:styleId="Prskatjums">
    <w:name w:val="Revision"/>
    <w:hidden/>
    <w:uiPriority w:val="99"/>
    <w:semiHidden/>
    <w:rsid w:val="00280EF6"/>
    <w:pPr>
      <w:spacing w:after="0" w:line="240" w:lineRule="auto"/>
    </w:pPr>
    <w:rPr>
      <w:rFonts w:ascii="Calibri" w:eastAsia="Times New Roman" w:hAnsi="Calibri" w:cs="Times New Roman"/>
      <w:lang w:eastAsia="lv-LV"/>
    </w:rPr>
  </w:style>
  <w:style w:type="paragraph" w:styleId="Vienkrsteksts">
    <w:name w:val="Plain Text"/>
    <w:basedOn w:val="Parasts"/>
    <w:link w:val="VienkrstekstsRakstz"/>
    <w:uiPriority w:val="99"/>
    <w:semiHidden/>
    <w:unhideWhenUsed/>
    <w:rsid w:val="003F68D4"/>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semiHidden/>
    <w:rsid w:val="003F68D4"/>
    <w:rPr>
      <w:rFonts w:ascii="Consolas" w:eastAsia="Times New Roman" w:hAnsi="Consolas" w:cs="Times New Roman"/>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2179">
      <w:bodyDiv w:val="1"/>
      <w:marLeft w:val="0"/>
      <w:marRight w:val="0"/>
      <w:marTop w:val="0"/>
      <w:marBottom w:val="0"/>
      <w:divBdr>
        <w:top w:val="none" w:sz="0" w:space="0" w:color="auto"/>
        <w:left w:val="none" w:sz="0" w:space="0" w:color="auto"/>
        <w:bottom w:val="none" w:sz="0" w:space="0" w:color="auto"/>
        <w:right w:val="none" w:sz="0" w:space="0" w:color="auto"/>
      </w:divBdr>
    </w:div>
    <w:div w:id="472602974">
      <w:bodyDiv w:val="1"/>
      <w:marLeft w:val="0"/>
      <w:marRight w:val="0"/>
      <w:marTop w:val="0"/>
      <w:marBottom w:val="0"/>
      <w:divBdr>
        <w:top w:val="none" w:sz="0" w:space="0" w:color="auto"/>
        <w:left w:val="none" w:sz="0" w:space="0" w:color="auto"/>
        <w:bottom w:val="none" w:sz="0" w:space="0" w:color="auto"/>
        <w:right w:val="none" w:sz="0" w:space="0" w:color="auto"/>
      </w:divBdr>
    </w:div>
    <w:div w:id="1062218234">
      <w:bodyDiv w:val="1"/>
      <w:marLeft w:val="0"/>
      <w:marRight w:val="0"/>
      <w:marTop w:val="0"/>
      <w:marBottom w:val="0"/>
      <w:divBdr>
        <w:top w:val="none" w:sz="0" w:space="0" w:color="auto"/>
        <w:left w:val="none" w:sz="0" w:space="0" w:color="auto"/>
        <w:bottom w:val="none" w:sz="0" w:space="0" w:color="auto"/>
        <w:right w:val="none" w:sz="0" w:space="0" w:color="auto"/>
      </w:divBdr>
    </w:div>
    <w:div w:id="1093554383">
      <w:bodyDiv w:val="1"/>
      <w:marLeft w:val="0"/>
      <w:marRight w:val="0"/>
      <w:marTop w:val="0"/>
      <w:marBottom w:val="0"/>
      <w:divBdr>
        <w:top w:val="none" w:sz="0" w:space="0" w:color="auto"/>
        <w:left w:val="none" w:sz="0" w:space="0" w:color="auto"/>
        <w:bottom w:val="none" w:sz="0" w:space="0" w:color="auto"/>
        <w:right w:val="none" w:sz="0" w:space="0" w:color="auto"/>
      </w:divBdr>
    </w:div>
    <w:div w:id="1561478484">
      <w:bodyDiv w:val="1"/>
      <w:marLeft w:val="0"/>
      <w:marRight w:val="0"/>
      <w:marTop w:val="0"/>
      <w:marBottom w:val="0"/>
      <w:divBdr>
        <w:top w:val="none" w:sz="0" w:space="0" w:color="auto"/>
        <w:left w:val="none" w:sz="0" w:space="0" w:color="auto"/>
        <w:bottom w:val="none" w:sz="0" w:space="0" w:color="auto"/>
        <w:right w:val="none" w:sz="0" w:space="0" w:color="auto"/>
      </w:divBdr>
    </w:div>
    <w:div w:id="188050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ura.France@t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lv/url?sa=t&amp;rct=j&amp;q=&amp;esrc=s&amp;frm=1&amp;source=web&amp;cd=3&amp;ved=0CDsQFjAC&amp;url=http%3A%2F%2Fwww.mk.gov.lv%2Fdoc%2F2005%2FAMzino_29022012_nac%2520tiesu%2520nep.515.doc&amp;ei=Q3YgU4WsKYjV4wTr3YCYDQ&amp;usg=AFQjCNFoV1NWpZ11HZi7ShquOUVCBwHUIQ&amp;sig2=QtRfUjSAQEFtf4pk-sThlA&amp;bvm=bv.62788935,d.bGE"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59C1E-D9FC-4F4B-BDCA-D420869C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16537</Words>
  <Characters>9427</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25913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France</dc:creator>
  <cp:lastModifiedBy>Laura France</cp:lastModifiedBy>
  <cp:revision>2</cp:revision>
  <cp:lastPrinted>2014-03-13T11:59:00Z</cp:lastPrinted>
  <dcterms:created xsi:type="dcterms:W3CDTF">2014-04-10T12:22:00Z</dcterms:created>
  <dcterms:modified xsi:type="dcterms:W3CDTF">2014-04-10T12:22:00Z</dcterms:modified>
</cp:coreProperties>
</file>