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ED" w:rsidRPr="00AB7E22" w:rsidRDefault="00C84EB0" w:rsidP="00D270ED">
      <w:pPr>
        <w:tabs>
          <w:tab w:val="left" w:pos="567"/>
          <w:tab w:val="left" w:pos="4820"/>
          <w:tab w:val="left" w:pos="9071"/>
        </w:tabs>
        <w:ind w:right="-1"/>
        <w:jc w:val="center"/>
        <w:rPr>
          <w:b/>
          <w:lang w:val="lv-LV"/>
        </w:rPr>
      </w:pPr>
      <w:r w:rsidRPr="00AB7E22">
        <w:rPr>
          <w:b/>
          <w:lang w:val="lv-LV"/>
        </w:rPr>
        <w:t>Informatīvais ziņojums</w:t>
      </w:r>
      <w:r w:rsidR="00D270ED" w:rsidRPr="00AB7E22">
        <w:rPr>
          <w:b/>
          <w:lang w:val="lv-LV"/>
        </w:rPr>
        <w:t xml:space="preserve"> </w:t>
      </w:r>
    </w:p>
    <w:p w:rsidR="00D270ED" w:rsidRPr="00AB7E22" w:rsidRDefault="009958C5" w:rsidP="00D270ED">
      <w:pPr>
        <w:tabs>
          <w:tab w:val="left" w:pos="567"/>
          <w:tab w:val="left" w:pos="4820"/>
          <w:tab w:val="left" w:pos="9071"/>
        </w:tabs>
        <w:ind w:right="-1"/>
        <w:jc w:val="center"/>
        <w:rPr>
          <w:b/>
          <w:lang w:val="lv-LV"/>
        </w:rPr>
      </w:pPr>
      <w:r w:rsidRPr="00AB7E22">
        <w:rPr>
          <w:b/>
          <w:lang w:val="lv-LV"/>
        </w:rPr>
        <w:t>par gadījumiem, kad konstatēti pārkāpumi sūdzību par iespējamu vardarbību,</w:t>
      </w:r>
      <w:r w:rsidR="009C4242" w:rsidRPr="00AB7E22">
        <w:rPr>
          <w:b/>
          <w:lang w:val="lv-LV"/>
        </w:rPr>
        <w:t xml:space="preserve"> </w:t>
      </w:r>
    </w:p>
    <w:p w:rsidR="00E57299" w:rsidRPr="00AB7E22" w:rsidRDefault="009958C5" w:rsidP="00D270ED">
      <w:pPr>
        <w:tabs>
          <w:tab w:val="left" w:pos="567"/>
          <w:tab w:val="left" w:pos="4820"/>
          <w:tab w:val="left" w:pos="9071"/>
        </w:tabs>
        <w:ind w:right="-1"/>
        <w:jc w:val="center"/>
        <w:rPr>
          <w:b/>
          <w:lang w:val="lv-LV"/>
        </w:rPr>
      </w:pPr>
      <w:r w:rsidRPr="00AB7E22">
        <w:rPr>
          <w:b/>
          <w:lang w:val="lv-LV"/>
        </w:rPr>
        <w:t>ko izdarījušas valsts amatpersonas, pildot dienesta pienākumus, efektīvā izmeklēšanā</w:t>
      </w:r>
    </w:p>
    <w:p w:rsidR="00417172" w:rsidRPr="00AB7E22" w:rsidRDefault="00417172" w:rsidP="004A1C87">
      <w:pPr>
        <w:pStyle w:val="Pamattekstsaratkpi"/>
        <w:tabs>
          <w:tab w:val="left" w:pos="567"/>
        </w:tabs>
        <w:spacing w:after="0"/>
        <w:ind w:left="0" w:right="-1"/>
        <w:jc w:val="both"/>
        <w:rPr>
          <w:b/>
        </w:rPr>
      </w:pPr>
    </w:p>
    <w:p w:rsidR="0084226E" w:rsidRPr="00AB7E22" w:rsidRDefault="0084226E" w:rsidP="004A1C87">
      <w:pPr>
        <w:pStyle w:val="Pamattekstsaratkpi"/>
        <w:tabs>
          <w:tab w:val="left" w:pos="567"/>
        </w:tabs>
        <w:spacing w:after="0"/>
        <w:ind w:left="0" w:right="-1"/>
        <w:jc w:val="both"/>
      </w:pPr>
    </w:p>
    <w:p w:rsidR="00FA5DE0" w:rsidRPr="00AB7E22" w:rsidRDefault="00FA5DE0" w:rsidP="004A1C87">
      <w:pPr>
        <w:pStyle w:val="Pamattekstsaratkpi"/>
        <w:tabs>
          <w:tab w:val="left" w:pos="567"/>
        </w:tabs>
        <w:spacing w:after="0"/>
        <w:ind w:left="0" w:right="-1"/>
        <w:jc w:val="both"/>
      </w:pPr>
      <w:r w:rsidRPr="00AB7E22">
        <w:tab/>
        <w:t xml:space="preserve">Ar Ministru kabineta </w:t>
      </w:r>
      <w:proofErr w:type="gramStart"/>
      <w:r w:rsidRPr="00AB7E22">
        <w:t>2013.gada</w:t>
      </w:r>
      <w:proofErr w:type="gramEnd"/>
      <w:r w:rsidRPr="00AB7E22">
        <w:t xml:space="preserve"> 6.augusta sēdes protokola Nr.42 100.§ </w:t>
      </w:r>
      <w:r w:rsidR="005C6486" w:rsidRPr="00AB7E22">
        <w:rPr>
          <w:i/>
        </w:rPr>
        <w:t>„Par Eiropas Cilvēktiesību tiesas spriedumu lietā „</w:t>
      </w:r>
      <w:proofErr w:type="spellStart"/>
      <w:r w:rsidR="005C6486" w:rsidRPr="00AB7E22">
        <w:rPr>
          <w:i/>
        </w:rPr>
        <w:t>Grimailovs</w:t>
      </w:r>
      <w:proofErr w:type="spellEnd"/>
      <w:r w:rsidR="005C6486" w:rsidRPr="00AB7E22">
        <w:rPr>
          <w:i/>
        </w:rPr>
        <w:t xml:space="preserve"> pret Latviju”” </w:t>
      </w:r>
      <w:r w:rsidRPr="00AB7E22">
        <w:t xml:space="preserve">5.punktu Tieslietu ministrijai </w:t>
      </w:r>
      <w:r w:rsidR="003970FB" w:rsidRPr="00AB7E22">
        <w:t xml:space="preserve">(turpmāk – TM) </w:t>
      </w:r>
      <w:r w:rsidR="009B5BD2" w:rsidRPr="00AB7E22">
        <w:t xml:space="preserve">ir </w:t>
      </w:r>
      <w:r w:rsidRPr="00AB7E22">
        <w:t xml:space="preserve">dots uzdevums kopīgi ar Iekšlietu ministriju </w:t>
      </w:r>
      <w:r w:rsidR="003970FB" w:rsidRPr="00AB7E22">
        <w:t xml:space="preserve">(turpmāk – IeM) </w:t>
      </w:r>
      <w:r w:rsidRPr="00AB7E22">
        <w:t>un Ārlietu ministriju</w:t>
      </w:r>
      <w:r w:rsidR="003970FB" w:rsidRPr="00AB7E22">
        <w:t xml:space="preserve"> (turpmāk – ĀM)</w:t>
      </w:r>
      <w:r w:rsidRPr="00AB7E22">
        <w:t xml:space="preserve"> sagatavot pārskatu par gadījumiem, kad konstatēti pārkāpumi sūdzību par iespējamu vardarbību efektīvā izmeklēšanā,</w:t>
      </w:r>
      <w:r w:rsidR="00B76261" w:rsidRPr="00AB7E22">
        <w:t xml:space="preserve"> kā arī</w:t>
      </w:r>
      <w:r w:rsidRPr="00AB7E22">
        <w:t xml:space="preserve"> sagatavot priekšlikumus šādu sistēmisku pārkāpumu novēršanai, un tieslietu ministram iesniegt jautājumu izskatīšanai Ministru kabineta sēdē.</w:t>
      </w:r>
    </w:p>
    <w:p w:rsidR="0067403C" w:rsidRPr="00AB7E22" w:rsidRDefault="00082B66" w:rsidP="00E17D78">
      <w:pPr>
        <w:pStyle w:val="Pamattekstsaratkpi"/>
        <w:tabs>
          <w:tab w:val="left" w:pos="567"/>
        </w:tabs>
        <w:spacing w:after="0"/>
        <w:ind w:left="0" w:right="-1"/>
        <w:jc w:val="both"/>
      </w:pPr>
      <w:r w:rsidRPr="00AB7E22">
        <w:tab/>
      </w:r>
      <w:r w:rsidR="00855E98" w:rsidRPr="00AB7E22">
        <w:t xml:space="preserve">Izpildot doto uzdevumu, </w:t>
      </w:r>
      <w:r w:rsidR="007B5E78" w:rsidRPr="00AB7E22">
        <w:t>TM</w:t>
      </w:r>
      <w:r w:rsidR="004C6116" w:rsidRPr="00AB7E22">
        <w:t xml:space="preserve"> lūdza</w:t>
      </w:r>
      <w:r w:rsidR="00855E98" w:rsidRPr="00AB7E22">
        <w:t xml:space="preserve"> </w:t>
      </w:r>
      <w:r w:rsidR="007B5E78" w:rsidRPr="00AB7E22">
        <w:t>IeM</w:t>
      </w:r>
      <w:r w:rsidR="00855E98" w:rsidRPr="00AB7E22">
        <w:t xml:space="preserve">, </w:t>
      </w:r>
      <w:r w:rsidR="007B5E78" w:rsidRPr="00AB7E22">
        <w:t>ĀM</w:t>
      </w:r>
      <w:r w:rsidR="005928F3" w:rsidRPr="00AB7E22">
        <w:t xml:space="preserve"> </w:t>
      </w:r>
      <w:r w:rsidR="00855E98" w:rsidRPr="00AB7E22">
        <w:t xml:space="preserve">un Ģenerālprokuratūru </w:t>
      </w:r>
      <w:r w:rsidR="005928F3" w:rsidRPr="00AB7E22">
        <w:t>(turpmāk – ĢP)</w:t>
      </w:r>
      <w:r w:rsidR="004C6116" w:rsidRPr="00AB7E22">
        <w:t xml:space="preserve"> sniegt informāciju par gadījumiem, kad saņemtas sūdzības par iespējamu vardarbību no valsts amatpersonu puses</w:t>
      </w:r>
      <w:r w:rsidR="007B5E78" w:rsidRPr="00AB7E22">
        <w:t xml:space="preserve">, kā arī sniegt konkrētus priekšlikumus šādu sistemātisku pārkāpumu </w:t>
      </w:r>
      <w:r w:rsidR="00DF485B" w:rsidRPr="00AB7E22">
        <w:t>novēršanai</w:t>
      </w:r>
      <w:r w:rsidR="004C6116" w:rsidRPr="00AB7E22">
        <w:t>.</w:t>
      </w:r>
    </w:p>
    <w:p w:rsidR="00062335" w:rsidRPr="00AB7E22" w:rsidRDefault="00062335" w:rsidP="00E17D78">
      <w:pPr>
        <w:pStyle w:val="Pamattekstsaratkpi"/>
        <w:tabs>
          <w:tab w:val="left" w:pos="567"/>
        </w:tabs>
        <w:spacing w:after="0"/>
        <w:ind w:left="0" w:right="-1"/>
        <w:jc w:val="both"/>
        <w:rPr>
          <w:b/>
        </w:rPr>
      </w:pPr>
    </w:p>
    <w:p w:rsidR="00AC692E" w:rsidRPr="00AB7E22" w:rsidRDefault="008C29EA" w:rsidP="00A76175">
      <w:pPr>
        <w:pStyle w:val="Pamattekstsaratkpi"/>
        <w:numPr>
          <w:ilvl w:val="0"/>
          <w:numId w:val="3"/>
        </w:numPr>
        <w:tabs>
          <w:tab w:val="left" w:pos="567"/>
        </w:tabs>
        <w:spacing w:after="0"/>
        <w:ind w:right="-1"/>
        <w:jc w:val="center"/>
        <w:rPr>
          <w:b/>
        </w:rPr>
      </w:pPr>
      <w:r w:rsidRPr="00AB7E22">
        <w:rPr>
          <w:b/>
        </w:rPr>
        <w:t xml:space="preserve">Pašreizējās situācijas problemātika </w:t>
      </w:r>
    </w:p>
    <w:p w:rsidR="00A76175" w:rsidRPr="00AB7E22" w:rsidRDefault="00A76175" w:rsidP="00A76175">
      <w:pPr>
        <w:pStyle w:val="Pamattekstsaratkpi"/>
        <w:tabs>
          <w:tab w:val="left" w:pos="567"/>
        </w:tabs>
        <w:spacing w:after="0"/>
        <w:ind w:left="1080" w:right="-1"/>
        <w:jc w:val="center"/>
        <w:rPr>
          <w:b/>
        </w:rPr>
      </w:pPr>
    </w:p>
    <w:p w:rsidR="00A76175" w:rsidRPr="00AB7E22" w:rsidRDefault="00A76175" w:rsidP="00A76175">
      <w:pPr>
        <w:ind w:firstLine="720"/>
        <w:jc w:val="both"/>
        <w:rPr>
          <w:lang w:val="lv-LV"/>
        </w:rPr>
      </w:pPr>
      <w:r w:rsidRPr="00AB7E22">
        <w:rPr>
          <w:lang w:val="lv-LV"/>
        </w:rPr>
        <w:t xml:space="preserve">[1.1.] </w:t>
      </w:r>
      <w:r w:rsidRPr="00AB7E22">
        <w:rPr>
          <w:b/>
          <w:lang w:val="lv-LV"/>
        </w:rPr>
        <w:t>IeM sniedza informāciju</w:t>
      </w:r>
      <w:r w:rsidRPr="00AB7E22">
        <w:rPr>
          <w:lang w:val="lv-LV"/>
        </w:rPr>
        <w:t xml:space="preserve">, ka personas sūdzības par aizturēšanas brīdī pret viņu pielietoto vardarbību, tiek </w:t>
      </w:r>
      <w:proofErr w:type="gramStart"/>
      <w:r w:rsidRPr="00AB7E22">
        <w:rPr>
          <w:lang w:val="lv-LV"/>
        </w:rPr>
        <w:t>izmeklētas vispusīgi, rūpīgi un efektīvi, uz vietas</w:t>
      </w:r>
      <w:proofErr w:type="gramEnd"/>
      <w:r w:rsidRPr="00AB7E22">
        <w:rPr>
          <w:lang w:val="lv-LV"/>
        </w:rPr>
        <w:t xml:space="preserve"> noskaidrojot informāciju un faktus, nopratinot lieciniekus, pārbaudot medicīnas datus, meklējot pietiekoši ticamus pierādījumus par personai radīto traumu apstākļiem un cēloņiem, lai noskaidrotu, vai ir noticis </w:t>
      </w:r>
      <w:r w:rsidR="00E17D78" w:rsidRPr="00AB7E22">
        <w:rPr>
          <w:lang w:val="lv-LV"/>
        </w:rPr>
        <w:t>Eiropas Cilvēka tiesību un pamatbrīvību aizsardzības konvencijā (turpmāk – Konvencija)</w:t>
      </w:r>
      <w:r w:rsidRPr="00AB7E22">
        <w:rPr>
          <w:lang w:val="lv-LV"/>
        </w:rPr>
        <w:t xml:space="preserve">, Satversmē un citos normatīvajos aktos garantēto tiesību un brīvību pārkāpums. Izmeklēšanas laikā tiek veikti pasākumi, kas vērsti uz ātrāku miesas bojājumu cēloņa noskaidrošanu un vainīgo identificēšanu (liecības un citu pierādījumu pārbaude, tiesu medicīnisko ekspertīžu nozīmēšana </w:t>
      </w:r>
      <w:proofErr w:type="spellStart"/>
      <w:r w:rsidRPr="00AB7E22">
        <w:rPr>
          <w:lang w:val="lv-LV"/>
        </w:rPr>
        <w:t>u.c</w:t>
      </w:r>
      <w:proofErr w:type="spellEnd"/>
      <w:r w:rsidRPr="00AB7E22">
        <w:rPr>
          <w:lang w:val="lv-LV"/>
        </w:rPr>
        <w:t>.).</w:t>
      </w:r>
    </w:p>
    <w:p w:rsidR="00A76175" w:rsidRPr="00AB7E22" w:rsidRDefault="00A76175" w:rsidP="00A76175">
      <w:pPr>
        <w:ind w:firstLine="720"/>
        <w:jc w:val="both"/>
        <w:rPr>
          <w:lang w:val="lv-LV"/>
        </w:rPr>
      </w:pPr>
      <w:r w:rsidRPr="00AB7E22">
        <w:rPr>
          <w:lang w:val="lv-LV"/>
        </w:rPr>
        <w:t>Saskaņā ar Prokuratūras likuma</w:t>
      </w:r>
      <w:r w:rsidR="003940CB" w:rsidRPr="00AB7E22">
        <w:rPr>
          <w:lang w:val="lv-LV"/>
        </w:rPr>
        <w:t xml:space="preserve"> (turpmāk – PL)</w:t>
      </w:r>
      <w:r w:rsidR="007C002B" w:rsidRPr="00AB7E22">
        <w:rPr>
          <w:lang w:val="lv-LV"/>
        </w:rPr>
        <w:t xml:space="preserve"> </w:t>
      </w:r>
      <w:proofErr w:type="gramStart"/>
      <w:r w:rsidR="007C002B" w:rsidRPr="00AB7E22">
        <w:rPr>
          <w:lang w:val="lv-LV"/>
        </w:rPr>
        <w:t>2.panta</w:t>
      </w:r>
      <w:proofErr w:type="gramEnd"/>
      <w:r w:rsidR="007C002B" w:rsidRPr="00AB7E22">
        <w:rPr>
          <w:lang w:val="lv-LV"/>
        </w:rPr>
        <w:t xml:space="preserve"> 1.punktu </w:t>
      </w:r>
      <w:r w:rsidRPr="00AB7E22">
        <w:rPr>
          <w:lang w:val="lv-LV"/>
        </w:rPr>
        <w:t xml:space="preserve">prokuratūra uzrauga </w:t>
      </w:r>
      <w:r w:rsidR="00634AC4" w:rsidRPr="00AB7E22">
        <w:rPr>
          <w:lang w:val="lv-LV"/>
        </w:rPr>
        <w:t>pirmstiesas</w:t>
      </w:r>
      <w:r w:rsidRPr="00AB7E22">
        <w:rPr>
          <w:lang w:val="lv-LV"/>
        </w:rPr>
        <w:t xml:space="preserve"> izmeklēšanas un operatīvās darbības atbilstību likumiem. Ja persona nav a</w:t>
      </w:r>
      <w:r w:rsidR="00634AC4" w:rsidRPr="00AB7E22">
        <w:rPr>
          <w:lang w:val="lv-LV"/>
        </w:rPr>
        <w:t>pmierināta ar Valsts policijas (turpmāk – VP) a</w:t>
      </w:r>
      <w:r w:rsidRPr="00AB7E22">
        <w:rPr>
          <w:lang w:val="lv-LV"/>
        </w:rPr>
        <w:t xml:space="preserve">matpersonas (procesa virzītāja/izmeklētāja </w:t>
      </w:r>
      <w:proofErr w:type="spellStart"/>
      <w:r w:rsidRPr="00AB7E22">
        <w:rPr>
          <w:lang w:val="lv-LV"/>
        </w:rPr>
        <w:t>u.c</w:t>
      </w:r>
      <w:proofErr w:type="spellEnd"/>
      <w:r w:rsidRPr="00AB7E22">
        <w:rPr>
          <w:lang w:val="lv-LV"/>
        </w:rPr>
        <w:t xml:space="preserve">.) pieņemto lēmumu, </w:t>
      </w:r>
      <w:r w:rsidR="00634AC4" w:rsidRPr="00AB7E22">
        <w:rPr>
          <w:lang w:val="lv-LV"/>
        </w:rPr>
        <w:t xml:space="preserve">tai </w:t>
      </w:r>
      <w:r w:rsidRPr="00AB7E22">
        <w:rPr>
          <w:lang w:val="lv-LV"/>
        </w:rPr>
        <w:t xml:space="preserve">ir tiesības pārsūdzēt to Kriminālprocesa likumā </w:t>
      </w:r>
      <w:r w:rsidR="003940CB" w:rsidRPr="00AB7E22">
        <w:rPr>
          <w:lang w:val="lv-LV"/>
        </w:rPr>
        <w:t xml:space="preserve">(turpmāk – KPL) </w:t>
      </w:r>
      <w:r w:rsidRPr="00AB7E22">
        <w:rPr>
          <w:lang w:val="lv-LV"/>
        </w:rPr>
        <w:t>noteiktajā kārtībā prokuratūrā, kas izvērtē pieņemtā lēmuma tiesiskumu un pamatotību.</w:t>
      </w:r>
    </w:p>
    <w:p w:rsidR="00A76175" w:rsidRPr="00AB7E22" w:rsidRDefault="003940CB" w:rsidP="00A76175">
      <w:pPr>
        <w:ind w:firstLine="720"/>
        <w:jc w:val="both"/>
        <w:rPr>
          <w:lang w:val="lv-LV"/>
        </w:rPr>
      </w:pPr>
      <w:r w:rsidRPr="00AB7E22">
        <w:rPr>
          <w:lang w:val="lv-LV"/>
        </w:rPr>
        <w:t>IeM</w:t>
      </w:r>
      <w:r w:rsidR="00A76175" w:rsidRPr="00AB7E22">
        <w:rPr>
          <w:lang w:val="lv-LV"/>
        </w:rPr>
        <w:t xml:space="preserve"> kā augstākā iestāde ir saskārusies ar personu pausto neapmierinātību ar Valsts policijas Iekšējās drošības biroja darbu</w:t>
      </w:r>
      <w:r w:rsidR="00634AC4" w:rsidRPr="00AB7E22">
        <w:rPr>
          <w:lang w:val="lv-LV"/>
        </w:rPr>
        <w:t xml:space="preserve"> (turpmāk – VP IDB)</w:t>
      </w:r>
      <w:r w:rsidR="00A76175" w:rsidRPr="00AB7E22">
        <w:rPr>
          <w:lang w:val="lv-LV"/>
        </w:rPr>
        <w:t>, tai skaitā, izskatot sūdzības par iespējamu vardarbību.</w:t>
      </w:r>
    </w:p>
    <w:p w:rsidR="00A76175" w:rsidRPr="00AB7E22" w:rsidRDefault="00A76175" w:rsidP="00A76175">
      <w:pPr>
        <w:ind w:firstLine="720"/>
        <w:jc w:val="both"/>
        <w:rPr>
          <w:lang w:val="lv-LV"/>
        </w:rPr>
      </w:pPr>
      <w:r w:rsidRPr="00AB7E22">
        <w:rPr>
          <w:lang w:val="lv-LV"/>
        </w:rPr>
        <w:t xml:space="preserve">Jautājums par sūdzību par iespējamu vardarbību izmeklēšanas kvalitāti ir aktualizējies arī līdz ar Eiropas Cilvēktiesību tiesas </w:t>
      </w:r>
      <w:r w:rsidR="00634AC4" w:rsidRPr="00AB7E22">
        <w:rPr>
          <w:lang w:val="lv-LV"/>
        </w:rPr>
        <w:t xml:space="preserve">(turpmāk – ECT) </w:t>
      </w:r>
      <w:r w:rsidRPr="00AB7E22">
        <w:rPr>
          <w:lang w:val="lv-LV"/>
        </w:rPr>
        <w:t xml:space="preserve">spriedumiem pret Latviju, kuros </w:t>
      </w:r>
      <w:r w:rsidR="00E94DD0" w:rsidRPr="00AB7E22">
        <w:rPr>
          <w:lang w:val="lv-LV"/>
        </w:rPr>
        <w:t>ECT</w:t>
      </w:r>
      <w:r w:rsidRPr="00AB7E22">
        <w:rPr>
          <w:lang w:val="lv-LV"/>
        </w:rPr>
        <w:t xml:space="preserve"> norādījusi uz ar vardarbības</w:t>
      </w:r>
      <w:r w:rsidR="00634AC4" w:rsidRPr="00AB7E22">
        <w:rPr>
          <w:lang w:val="lv-LV"/>
        </w:rPr>
        <w:t xml:space="preserve"> pielietošanu saistītu gadījumu</w:t>
      </w:r>
      <w:r w:rsidRPr="00AB7E22">
        <w:rPr>
          <w:lang w:val="lv-LV"/>
        </w:rPr>
        <w:t xml:space="preserve"> neefektīvu izmeklēšanu.</w:t>
      </w:r>
    </w:p>
    <w:p w:rsidR="00A76175" w:rsidRPr="00AB7E22" w:rsidRDefault="00A76175" w:rsidP="00A76175">
      <w:pPr>
        <w:ind w:firstLine="720"/>
        <w:jc w:val="both"/>
        <w:rPr>
          <w:lang w:val="lv-LV"/>
        </w:rPr>
      </w:pPr>
      <w:r w:rsidRPr="00AB7E22">
        <w:rPr>
          <w:lang w:val="lv-LV"/>
        </w:rPr>
        <w:t>Apzinoties problēmas aktualitāti, kā arī izpildo</w:t>
      </w:r>
      <w:r w:rsidR="007C002B" w:rsidRPr="00AB7E22">
        <w:rPr>
          <w:lang w:val="lv-LV"/>
        </w:rPr>
        <w:t xml:space="preserve">t </w:t>
      </w:r>
      <w:r w:rsidR="007C002B" w:rsidRPr="00AB7E22">
        <w:rPr>
          <w:lang w:val="lv-LV" w:eastAsia="lv-LV"/>
        </w:rPr>
        <w:t xml:space="preserve">Ministru kabineta </w:t>
      </w:r>
      <w:proofErr w:type="gramStart"/>
      <w:r w:rsidR="007C002B" w:rsidRPr="00AB7E22">
        <w:rPr>
          <w:lang w:val="lv-LV" w:eastAsia="lv-LV"/>
        </w:rPr>
        <w:t>2012.gada</w:t>
      </w:r>
      <w:proofErr w:type="gramEnd"/>
      <w:r w:rsidR="007C002B" w:rsidRPr="00AB7E22">
        <w:rPr>
          <w:lang w:val="lv-LV" w:eastAsia="lv-LV"/>
        </w:rPr>
        <w:t xml:space="preserve"> 10.janvāra sēdes protokola Nr.2 45.§ </w:t>
      </w:r>
      <w:r w:rsidRPr="00AB7E22">
        <w:rPr>
          <w:lang w:val="lv-LV"/>
        </w:rPr>
        <w:t>5.punktā</w:t>
      </w:r>
      <w:r w:rsidR="007C002B" w:rsidRPr="00AB7E22">
        <w:rPr>
          <w:lang w:val="lv-LV"/>
        </w:rPr>
        <w:t xml:space="preserve"> </w:t>
      </w:r>
      <w:r w:rsidRPr="00AB7E22">
        <w:rPr>
          <w:lang w:val="lv-LV"/>
        </w:rPr>
        <w:t xml:space="preserve">noteikto uzdevumu sagatavot un iesniegt izskatīšanai Ministru kabinetā tiesību aktu projektus par grozījumiem normatīvajā regulējumā, kā arī priekšlikumus nepieciešamajam finansējumam, lai atdalītu </w:t>
      </w:r>
      <w:r w:rsidR="00634AC4" w:rsidRPr="00AB7E22">
        <w:rPr>
          <w:lang w:val="lv-LV"/>
        </w:rPr>
        <w:t>VP IDB</w:t>
      </w:r>
      <w:r w:rsidRPr="00AB7E22">
        <w:rPr>
          <w:lang w:val="lv-LV"/>
        </w:rPr>
        <w:t xml:space="preserve"> no </w:t>
      </w:r>
      <w:r w:rsidR="00634AC4" w:rsidRPr="00AB7E22">
        <w:rPr>
          <w:lang w:val="lv-LV"/>
        </w:rPr>
        <w:t>VP</w:t>
      </w:r>
      <w:r w:rsidRPr="00AB7E22">
        <w:rPr>
          <w:lang w:val="lv-LV"/>
        </w:rPr>
        <w:t xml:space="preserve">, nododot to iekšlietu ministra pārraudzībā, </w:t>
      </w:r>
      <w:r w:rsidR="00634AC4" w:rsidRPr="00AB7E22">
        <w:rPr>
          <w:lang w:val="lv-LV"/>
        </w:rPr>
        <w:t>IeM</w:t>
      </w:r>
      <w:r w:rsidRPr="00AB7E22">
        <w:rPr>
          <w:lang w:val="lv-LV"/>
        </w:rPr>
        <w:t xml:space="preserve"> ar 2012.gada 6.marta rīkojumu tika izveidota darba grupa.</w:t>
      </w:r>
    </w:p>
    <w:p w:rsidR="00634AC4" w:rsidRPr="00AB7E22" w:rsidRDefault="00634AC4" w:rsidP="00634AC4">
      <w:pPr>
        <w:tabs>
          <w:tab w:val="left" w:pos="567"/>
        </w:tabs>
        <w:ind w:right="-1" w:firstLine="567"/>
        <w:jc w:val="both"/>
        <w:rPr>
          <w:lang w:val="lv-LV"/>
        </w:rPr>
      </w:pPr>
      <w:r w:rsidRPr="00AB7E22">
        <w:rPr>
          <w:lang w:val="lv-LV"/>
        </w:rPr>
        <w:t xml:space="preserve">Darba grupā tika secināts, ka viens no efektīvas izmeklēšanas kritērijiem ir „izmeklēšanas neatkarības” kritērijs. Ievērojot minēto, lai nodrošinātu izmeklēšanas neatkarību, darba grupā tika lemts par neatkarīgas institūcijas izveidi, kas izmeklētu ne tikai iekšlietu sistēmas darbinieku, bet arī Ostu policijas (turpmāk – OP), Pašvaldības policijas (turpmāk – PP) un Ieslodzījuma vietu pārvaldes (turpmāk – </w:t>
      </w:r>
      <w:proofErr w:type="spellStart"/>
      <w:r w:rsidRPr="00AB7E22">
        <w:rPr>
          <w:lang w:val="lv-LV"/>
        </w:rPr>
        <w:t>IeVP</w:t>
      </w:r>
      <w:proofErr w:type="spellEnd"/>
      <w:r w:rsidRPr="00AB7E22">
        <w:rPr>
          <w:lang w:val="lv-LV"/>
        </w:rPr>
        <w:t xml:space="preserve">) darbinieku izdarītos pārkāpumus, pildot dienesta pienākumus, kas saistīti ar vardarbību. Neatkarīgas institūcijas </w:t>
      </w:r>
      <w:r w:rsidRPr="00AB7E22">
        <w:rPr>
          <w:lang w:val="lv-LV"/>
        </w:rPr>
        <w:lastRenderedPageBreak/>
        <w:t xml:space="preserve">izveidošana ļautu nodrošināt izmeklēšanas objektivitāti, savlaicīgumu un kliedētu šaubas par izmeklēšanu veicošo amatpersonu ietekmējamību. </w:t>
      </w:r>
    </w:p>
    <w:p w:rsidR="00A76175" w:rsidRPr="00AB7E22" w:rsidRDefault="00A76175" w:rsidP="00A76175">
      <w:pPr>
        <w:ind w:firstLine="720"/>
        <w:jc w:val="both"/>
        <w:rPr>
          <w:lang w:val="lv-LV"/>
        </w:rPr>
      </w:pPr>
      <w:r w:rsidRPr="00AB7E22">
        <w:rPr>
          <w:lang w:val="lv-LV"/>
        </w:rPr>
        <w:t xml:space="preserve">Rezultātā, ir izstrādāta koncepcija par Valsts policijas Iekšējās drošības biroja pārveidošanas par iekšlietu ministra pārraudzībā esošu institūciju risinājumiem. Minētās koncepcijas projekts tika skatīts Ministru kabineta </w:t>
      </w:r>
      <w:proofErr w:type="gramStart"/>
      <w:r w:rsidR="00B07C84" w:rsidRPr="00AB7E22">
        <w:rPr>
          <w:lang w:val="lv-LV"/>
        </w:rPr>
        <w:t>2013.gada</w:t>
      </w:r>
      <w:proofErr w:type="gramEnd"/>
      <w:r w:rsidR="00B07C84" w:rsidRPr="00AB7E22">
        <w:rPr>
          <w:lang w:val="lv-LV"/>
        </w:rPr>
        <w:t xml:space="preserve"> 30.jūlija sēdē (prot.</w:t>
      </w:r>
      <w:r w:rsidRPr="00AB7E22">
        <w:rPr>
          <w:lang w:val="lv-LV"/>
        </w:rPr>
        <w:t xml:space="preserve">Nr.41, 104.§). </w:t>
      </w:r>
    </w:p>
    <w:p w:rsidR="00A76175" w:rsidRPr="00AB7E22" w:rsidRDefault="00A76175" w:rsidP="00A76175">
      <w:pPr>
        <w:ind w:firstLine="720"/>
        <w:jc w:val="both"/>
        <w:rPr>
          <w:lang w:val="lv-LV"/>
        </w:rPr>
      </w:pPr>
      <w:r w:rsidRPr="00AB7E22">
        <w:rPr>
          <w:lang w:val="lv-LV"/>
        </w:rPr>
        <w:t xml:space="preserve">Ņemot vērā, ka koncepcijas projektā atbalstāmais risinājuma variants saistīts ar nepieciešamību piešķirt papildu valsts budžeta līdzekļus, Ministru kabineta </w:t>
      </w:r>
      <w:proofErr w:type="gramStart"/>
      <w:r w:rsidRPr="00AB7E22">
        <w:rPr>
          <w:lang w:val="lv-LV"/>
        </w:rPr>
        <w:t>2013.gada</w:t>
      </w:r>
      <w:proofErr w:type="gramEnd"/>
      <w:r w:rsidRPr="00AB7E22">
        <w:rPr>
          <w:lang w:val="lv-LV"/>
        </w:rPr>
        <w:t xml:space="preserve"> 30.jūlija sēdē</w:t>
      </w:r>
      <w:r w:rsidR="00B07C84" w:rsidRPr="00AB7E22">
        <w:rPr>
          <w:lang w:val="lv-LV"/>
        </w:rPr>
        <w:t xml:space="preserve"> (prot.</w:t>
      </w:r>
      <w:r w:rsidR="00AF5C7C" w:rsidRPr="00AB7E22">
        <w:rPr>
          <w:lang w:val="lv-LV"/>
        </w:rPr>
        <w:t xml:space="preserve">Nr.41, </w:t>
      </w:r>
      <w:r w:rsidR="00B07C84" w:rsidRPr="00AB7E22">
        <w:rPr>
          <w:lang w:val="lv-LV"/>
        </w:rPr>
        <w:t xml:space="preserve">104.§) </w:t>
      </w:r>
      <w:r w:rsidRPr="00AB7E22">
        <w:rPr>
          <w:lang w:val="lv-LV"/>
        </w:rPr>
        <w:t xml:space="preserve">tika nolemts jautājumu par </w:t>
      </w:r>
      <w:r w:rsidR="00062335" w:rsidRPr="00AB7E22">
        <w:rPr>
          <w:lang w:val="lv-LV"/>
        </w:rPr>
        <w:t>IeM</w:t>
      </w:r>
      <w:r w:rsidR="00062335" w:rsidRPr="00AB7E22" w:rsidDel="00062335">
        <w:rPr>
          <w:lang w:val="lv-LV"/>
        </w:rPr>
        <w:t xml:space="preserve"> </w:t>
      </w:r>
      <w:r w:rsidRPr="00AB7E22">
        <w:rPr>
          <w:lang w:val="lv-LV"/>
        </w:rPr>
        <w:t xml:space="preserve">nepieciešamo papildu finansējumu, lai nodrošinātu Iekšējās drošības biroja darbību, izskatīt likumprojekta „Par valsts budžetu 2014., 2015., un 2016.gadam” un likumprojekta „Par valsts budžetu 2014.gadam” sagatavošanas procesā, kopā ar visu ministriju un citu centrālo valsts iestāžu jauno politikas iniciatīvu pieprasījumiem. </w:t>
      </w:r>
    </w:p>
    <w:p w:rsidR="001A6FBD" w:rsidRPr="00AB7E22" w:rsidRDefault="007814F0" w:rsidP="002037A1">
      <w:pPr>
        <w:pStyle w:val="Pamattekstsaratkpi"/>
        <w:tabs>
          <w:tab w:val="left" w:pos="567"/>
        </w:tabs>
        <w:spacing w:after="0"/>
        <w:ind w:left="0" w:right="-1"/>
        <w:jc w:val="both"/>
      </w:pPr>
      <w:r w:rsidRPr="00AB7E22">
        <w:tab/>
        <w:t>Izskatot likumprojektu</w:t>
      </w:r>
      <w:r w:rsidR="002037A1" w:rsidRPr="00AB7E22">
        <w:t xml:space="preserve"> „Par vidēja termiņa budžeta ietvaru 2014., 2015. un 2016. gadam”</w:t>
      </w:r>
      <w:r w:rsidRPr="00AB7E22">
        <w:t xml:space="preserve">, Ministru kabinets nolēma piešķirt </w:t>
      </w:r>
      <w:r w:rsidR="00062335" w:rsidRPr="00AB7E22">
        <w:t>IeM</w:t>
      </w:r>
      <w:r w:rsidR="00062335" w:rsidRPr="00AB7E22" w:rsidDel="00062335">
        <w:t xml:space="preserve"> </w:t>
      </w:r>
      <w:r w:rsidRPr="00AB7E22">
        <w:t xml:space="preserve">finansējumu Iekšējās drošības biroja darbības uzsākšanai. Atbilstoši likumam „Par vidēja termiņa budžeta ietvaru 2014., 2015. un 2016. gadam” finansējums Iekšlietu ministrijai Iekšējās drošības biroja darbības uzsākšanai ir paredzēts, sākot ar </w:t>
      </w:r>
      <w:proofErr w:type="gramStart"/>
      <w:r w:rsidRPr="00AB7E22">
        <w:t>2015.gada</w:t>
      </w:r>
      <w:proofErr w:type="gramEnd"/>
      <w:r w:rsidRPr="00AB7E22">
        <w:t xml:space="preserve"> 1.decembri.</w:t>
      </w:r>
      <w:r w:rsidR="002037A1" w:rsidRPr="00AB7E22">
        <w:t xml:space="preserve"> </w:t>
      </w:r>
      <w:r w:rsidR="00062335" w:rsidRPr="00AB7E22">
        <w:t>IeM</w:t>
      </w:r>
      <w:r w:rsidR="00062335" w:rsidRPr="00AB7E22" w:rsidDel="00062335">
        <w:t xml:space="preserve"> </w:t>
      </w:r>
      <w:r w:rsidR="002037A1" w:rsidRPr="00AB7E22">
        <w:t xml:space="preserve">Iekšējās drošības biroja darbības nodrošināšanai likumā „Par vidēja termiņa budžeta ietvaru 2014., 2015. un </w:t>
      </w:r>
      <w:proofErr w:type="gramStart"/>
      <w:r w:rsidR="002037A1" w:rsidRPr="00AB7E22">
        <w:t>2016.gadam</w:t>
      </w:r>
      <w:proofErr w:type="gramEnd"/>
      <w:r w:rsidR="002037A1" w:rsidRPr="00AB7E22">
        <w:t>” paredzēts finansējums šādā apmērā</w:t>
      </w:r>
      <w:r w:rsidR="001A6FBD" w:rsidRPr="00AB7E22">
        <w:t>:</w:t>
      </w:r>
    </w:p>
    <w:p w:rsidR="001A6FBD" w:rsidRPr="00AB7E22" w:rsidRDefault="002037A1" w:rsidP="001A6FBD">
      <w:pPr>
        <w:pStyle w:val="Pamattekstsaratkpi"/>
        <w:numPr>
          <w:ilvl w:val="0"/>
          <w:numId w:val="9"/>
        </w:numPr>
        <w:tabs>
          <w:tab w:val="left" w:pos="567"/>
        </w:tabs>
        <w:spacing w:after="0"/>
        <w:ind w:right="-1"/>
        <w:jc w:val="both"/>
      </w:pPr>
      <w:proofErr w:type="gramStart"/>
      <w:r w:rsidRPr="00AB7E22">
        <w:t>2015.gadam</w:t>
      </w:r>
      <w:proofErr w:type="gramEnd"/>
      <w:r w:rsidRPr="00AB7E22">
        <w:t xml:space="preserve"> 1 490 666 </w:t>
      </w:r>
      <w:proofErr w:type="spellStart"/>
      <w:r w:rsidRPr="00AB7E22">
        <w:rPr>
          <w:i/>
          <w:iCs/>
        </w:rPr>
        <w:t>euro</w:t>
      </w:r>
      <w:proofErr w:type="spellEnd"/>
      <w:r w:rsidR="001A6FBD" w:rsidRPr="00AB7E22">
        <w:t>;</w:t>
      </w:r>
    </w:p>
    <w:p w:rsidR="001A6FBD" w:rsidRPr="00AB7E22" w:rsidRDefault="002037A1" w:rsidP="001A6FBD">
      <w:pPr>
        <w:pStyle w:val="Pamattekstsaratkpi"/>
        <w:numPr>
          <w:ilvl w:val="0"/>
          <w:numId w:val="9"/>
        </w:numPr>
        <w:tabs>
          <w:tab w:val="left" w:pos="567"/>
        </w:tabs>
        <w:spacing w:after="0"/>
        <w:ind w:right="-1"/>
        <w:jc w:val="both"/>
      </w:pPr>
      <w:proofErr w:type="gramStart"/>
      <w:r w:rsidRPr="00AB7E22">
        <w:t>2016.gadam</w:t>
      </w:r>
      <w:proofErr w:type="gramEnd"/>
      <w:r w:rsidRPr="00AB7E22">
        <w:t xml:space="preserve"> un turpmāk – 4 026 115 </w:t>
      </w:r>
      <w:proofErr w:type="spellStart"/>
      <w:r w:rsidRPr="00AB7E22">
        <w:rPr>
          <w:i/>
          <w:iCs/>
        </w:rPr>
        <w:t>euro</w:t>
      </w:r>
      <w:proofErr w:type="spellEnd"/>
      <w:r w:rsidRPr="00AB7E22">
        <w:t xml:space="preserve">. </w:t>
      </w:r>
    </w:p>
    <w:p w:rsidR="002037A1" w:rsidRPr="00AB7E22" w:rsidRDefault="002037A1" w:rsidP="001A6FBD">
      <w:pPr>
        <w:pStyle w:val="Pamattekstsaratkpi"/>
        <w:tabs>
          <w:tab w:val="left" w:pos="567"/>
        </w:tabs>
        <w:spacing w:after="0"/>
        <w:ind w:left="0" w:right="-1"/>
        <w:jc w:val="both"/>
      </w:pPr>
      <w:r w:rsidRPr="00AB7E22">
        <w:t xml:space="preserve">Tai skaitā jaunajai politikas iniciatīvai „Iekšējās drošības biroja izveidošana” likumā „Par vidēja termiņa budžeta ietvaru 2014., 2015. un </w:t>
      </w:r>
      <w:proofErr w:type="gramStart"/>
      <w:r w:rsidRPr="00AB7E22">
        <w:t>2016.gadam</w:t>
      </w:r>
      <w:proofErr w:type="gramEnd"/>
      <w:r w:rsidRPr="00AB7E22">
        <w:t>” paredzēts papildu finansējum</w:t>
      </w:r>
      <w:r w:rsidR="001A6FBD" w:rsidRPr="00AB7E22">
        <w:t>s</w:t>
      </w:r>
      <w:r w:rsidRPr="00AB7E22">
        <w:t xml:space="preserve"> 2015.gadam 1 422 872 </w:t>
      </w:r>
      <w:proofErr w:type="spellStart"/>
      <w:r w:rsidRPr="00AB7E22">
        <w:rPr>
          <w:i/>
          <w:iCs/>
        </w:rPr>
        <w:t>euro</w:t>
      </w:r>
      <w:proofErr w:type="spellEnd"/>
      <w:r w:rsidRPr="00AB7E22">
        <w:t xml:space="preserve"> apmērā un 2016.gadā – 3 612 341 </w:t>
      </w:r>
      <w:proofErr w:type="spellStart"/>
      <w:r w:rsidRPr="00AB7E22">
        <w:rPr>
          <w:i/>
          <w:iCs/>
        </w:rPr>
        <w:t>euro</w:t>
      </w:r>
      <w:proofErr w:type="spellEnd"/>
      <w:r w:rsidRPr="00AB7E22">
        <w:t xml:space="preserve"> apmērā.</w:t>
      </w:r>
    </w:p>
    <w:p w:rsidR="009764E5" w:rsidRPr="00AB7E22" w:rsidRDefault="00C36AA6" w:rsidP="00095927">
      <w:pPr>
        <w:pStyle w:val="Pamattekstsaratkpi"/>
        <w:tabs>
          <w:tab w:val="left" w:pos="567"/>
        </w:tabs>
        <w:spacing w:after="0"/>
        <w:ind w:left="0" w:right="-1"/>
        <w:jc w:val="both"/>
        <w:rPr>
          <w:rStyle w:val="spelle"/>
        </w:rPr>
      </w:pPr>
      <w:r w:rsidRPr="00AB7E22">
        <w:tab/>
      </w:r>
      <w:r w:rsidR="008B05A1" w:rsidRPr="00AB7E22">
        <w:t>Tāpat</w:t>
      </w:r>
      <w:r w:rsidR="000179AB" w:rsidRPr="00AB7E22">
        <w:t xml:space="preserve"> IeM </w:t>
      </w:r>
      <w:r w:rsidR="008B05A1" w:rsidRPr="00AB7E22">
        <w:t>vērsa uzmanību uz</w:t>
      </w:r>
      <w:r w:rsidR="000179AB" w:rsidRPr="00AB7E22">
        <w:t xml:space="preserve"> </w:t>
      </w:r>
      <w:r w:rsidRPr="00AB7E22">
        <w:t xml:space="preserve">nepieciešamību </w:t>
      </w:r>
      <w:r w:rsidR="000179AB" w:rsidRPr="00AB7E22">
        <w:t xml:space="preserve">turpināt </w:t>
      </w:r>
      <w:r w:rsidRPr="00AB7E22">
        <w:t xml:space="preserve">organizēt </w:t>
      </w:r>
      <w:r w:rsidRPr="00AB7E22">
        <w:rPr>
          <w:rStyle w:val="spelle"/>
        </w:rPr>
        <w:t>dažāda līmeņa V</w:t>
      </w:r>
      <w:r w:rsidR="00A37ACE" w:rsidRPr="00AB7E22">
        <w:rPr>
          <w:rStyle w:val="spelle"/>
        </w:rPr>
        <w:t>P</w:t>
      </w:r>
      <w:r w:rsidRPr="00AB7E22">
        <w:rPr>
          <w:rStyle w:val="spelle"/>
        </w:rPr>
        <w:t xml:space="preserve"> un pašvaldības policijas darbinieku apmācības par noziedzīgiem nodarījumiem valsts institūciju dienestā,</w:t>
      </w:r>
      <w:r w:rsidR="000179AB" w:rsidRPr="00AB7E22">
        <w:rPr>
          <w:rStyle w:val="spelle"/>
        </w:rPr>
        <w:t xml:space="preserve"> un</w:t>
      </w:r>
      <w:r w:rsidRPr="00AB7E22">
        <w:rPr>
          <w:rStyle w:val="spelle"/>
        </w:rPr>
        <w:t xml:space="preserve"> norād</w:t>
      </w:r>
      <w:r w:rsidR="00A37ACE" w:rsidRPr="00AB7E22">
        <w:rPr>
          <w:rStyle w:val="spelle"/>
        </w:rPr>
        <w:t xml:space="preserve">īja sekojošo: </w:t>
      </w:r>
    </w:p>
    <w:p w:rsidR="009764E5" w:rsidRPr="00AB7E22" w:rsidRDefault="00095927" w:rsidP="009764E5">
      <w:pPr>
        <w:pStyle w:val="Pamattekstsaratkpi"/>
        <w:numPr>
          <w:ilvl w:val="0"/>
          <w:numId w:val="5"/>
        </w:numPr>
        <w:tabs>
          <w:tab w:val="left" w:pos="567"/>
        </w:tabs>
        <w:spacing w:after="0"/>
        <w:ind w:left="567" w:right="-1" w:hanging="283"/>
        <w:jc w:val="both"/>
      </w:pPr>
      <w:r w:rsidRPr="00AB7E22">
        <w:rPr>
          <w:rStyle w:val="spelle"/>
        </w:rPr>
        <w:t>d</w:t>
      </w:r>
      <w:r w:rsidR="00C36AA6" w:rsidRPr="00AB7E22">
        <w:t xml:space="preserve">iplomus par pirmā līmeņa profesionālās augstākās izglītības programmas „Policijas darbs”, kurā cita starpā ir ietverti </w:t>
      </w:r>
      <w:proofErr w:type="spellStart"/>
      <w:r w:rsidR="00C36AA6" w:rsidRPr="00AB7E22">
        <w:t>problēmjautājumi</w:t>
      </w:r>
      <w:proofErr w:type="spellEnd"/>
      <w:r w:rsidR="00C36AA6" w:rsidRPr="00AB7E22">
        <w:t xml:space="preserve"> par noziedzīgu nodarījumu valsts institūciju dienestā kvalifikāciju un izmeklēšanu, apguvi </w:t>
      </w:r>
      <w:proofErr w:type="gramStart"/>
      <w:r w:rsidR="00C36AA6" w:rsidRPr="00AB7E22">
        <w:t>2</w:t>
      </w:r>
      <w:r w:rsidR="009764E5" w:rsidRPr="00AB7E22">
        <w:t>013.gadā</w:t>
      </w:r>
      <w:proofErr w:type="gramEnd"/>
      <w:r w:rsidR="009764E5" w:rsidRPr="00AB7E22">
        <w:t xml:space="preserve"> saņēma 71 absolvents;</w:t>
      </w:r>
    </w:p>
    <w:p w:rsidR="009764E5" w:rsidRPr="00AB7E22" w:rsidRDefault="00C36AA6" w:rsidP="009764E5">
      <w:pPr>
        <w:pStyle w:val="Pamattekstsaratkpi"/>
        <w:numPr>
          <w:ilvl w:val="0"/>
          <w:numId w:val="5"/>
        </w:numPr>
        <w:tabs>
          <w:tab w:val="left" w:pos="567"/>
        </w:tabs>
        <w:spacing w:after="0"/>
        <w:ind w:left="567" w:right="-1" w:hanging="283"/>
        <w:jc w:val="both"/>
      </w:pPr>
      <w:r w:rsidRPr="00AB7E22">
        <w:t xml:space="preserve">kvalifikācijas apliecības par arodizglītības programmas „Policijas darbs” apguvi saņēma 159 izglītojamie. Apliecības par profesionālās pilnveides izglītības programmas „Policijas darba pamati” 960 stundu apjomā, kuras mērķauditorija ir </w:t>
      </w:r>
      <w:r w:rsidR="00095927" w:rsidRPr="00AB7E22">
        <w:t>VP</w:t>
      </w:r>
      <w:r w:rsidRPr="00AB7E22">
        <w:t xml:space="preserve"> amatpersonas ar augstāko izglītību, un, kurā ir iekļauti jautājumi saistībā ar noziedzīgu nodarījumu valsts institūciju dienestā izmeklēšanu, apguvi saņēma 89 klausītāji.</w:t>
      </w:r>
      <w:r w:rsidR="00095927" w:rsidRPr="00AB7E22">
        <w:t xml:space="preserve"> </w:t>
      </w:r>
    </w:p>
    <w:p w:rsidR="00C36AA6" w:rsidRPr="00AB7E22" w:rsidRDefault="00DC672F" w:rsidP="009764E5">
      <w:pPr>
        <w:pStyle w:val="Pamattekstsaratkpi"/>
        <w:tabs>
          <w:tab w:val="left" w:pos="0"/>
        </w:tabs>
        <w:spacing w:after="0"/>
        <w:ind w:left="0" w:right="-1"/>
        <w:jc w:val="both"/>
      </w:pPr>
      <w:proofErr w:type="gramStart"/>
      <w:r w:rsidRPr="00AB7E22">
        <w:t>2013.</w:t>
      </w:r>
      <w:r w:rsidR="00C36AA6" w:rsidRPr="00AB7E22">
        <w:t>gadā</w:t>
      </w:r>
      <w:proofErr w:type="gramEnd"/>
      <w:r w:rsidR="00C36AA6" w:rsidRPr="00AB7E22">
        <w:t xml:space="preserve"> ir uzsāktas īstenot šādas </w:t>
      </w:r>
      <w:r w:rsidR="00095927" w:rsidRPr="00AB7E22">
        <w:t>VP</w:t>
      </w:r>
      <w:r w:rsidR="00C36AA6" w:rsidRPr="00AB7E22">
        <w:t xml:space="preserve"> koledžas profesionālas pilnveides izglītības programmas: </w:t>
      </w:r>
      <w:r w:rsidR="00062335" w:rsidRPr="00AB7E22">
        <w:t>„</w:t>
      </w:r>
      <w:r w:rsidR="00C36AA6" w:rsidRPr="00AB7E22">
        <w:t>Cilvēktiesību ievērošana policijas darbā</w:t>
      </w:r>
      <w:r w:rsidR="00062335" w:rsidRPr="00AB7E22">
        <w:t>”</w:t>
      </w:r>
      <w:r w:rsidR="00C36AA6" w:rsidRPr="00AB7E22">
        <w:t xml:space="preserve"> un </w:t>
      </w:r>
      <w:r w:rsidR="00062335" w:rsidRPr="00AB7E22">
        <w:t>„</w:t>
      </w:r>
      <w:r w:rsidR="00C36AA6" w:rsidRPr="00AB7E22">
        <w:t>Policijas amatpersonu atbildība par tiesību pārkāpumiem, pildot dienesta pienākumus sabiedriskās kārtības nodrošināšanā, personu aizturēšanā un konvojēšanā”. 2014. gadā Valsts policijas amatpersonu apmācība šajās izglītības programmās turpinās.</w:t>
      </w:r>
    </w:p>
    <w:p w:rsidR="00095927" w:rsidRPr="00AB7E22" w:rsidRDefault="00095927" w:rsidP="00095927">
      <w:pPr>
        <w:jc w:val="both"/>
        <w:rPr>
          <w:lang w:val="lv-LV"/>
        </w:rPr>
      </w:pPr>
      <w:r w:rsidRPr="00AB7E22">
        <w:rPr>
          <w:lang w:val="lv-LV"/>
        </w:rPr>
        <w:tab/>
        <w:t xml:space="preserve">Institucionālās sadarbības ietvaros VP un VP koledža ir piedāvājusi veikt apmācību par cilvēktiesību ievērošanu un noziedzīgiem nodarījumiem valsts institūciju dienestā arī pašvaldību policiju amatpersonām, tomēr līdz šim pašvaldību policijas iniciatīvu šajā jautājumā nav izrādījušas. Līdz šim VP koledžā veikta tikai atsevišķu Rīgas reģiona un Latgales reģiona pašvaldību policiju amatpersonu apmācība bērnu tiesību aizsardzības jautājumos. </w:t>
      </w:r>
    </w:p>
    <w:p w:rsidR="009C21C3" w:rsidRPr="00AB7E22" w:rsidRDefault="009C21C3" w:rsidP="009C21C3">
      <w:pPr>
        <w:pStyle w:val="Sarakstarindkopa"/>
        <w:ind w:left="0"/>
        <w:jc w:val="both"/>
        <w:rPr>
          <w:rFonts w:ascii="Times New Roman" w:hAnsi="Times New Roman"/>
          <w:sz w:val="24"/>
          <w:szCs w:val="24"/>
        </w:rPr>
      </w:pPr>
      <w:r w:rsidRPr="00AB7E22">
        <w:rPr>
          <w:rFonts w:ascii="Times New Roman" w:hAnsi="Times New Roman"/>
          <w:sz w:val="24"/>
          <w:szCs w:val="24"/>
        </w:rPr>
        <w:tab/>
      </w:r>
      <w:r w:rsidR="000179AB" w:rsidRPr="00AB7E22">
        <w:rPr>
          <w:rFonts w:ascii="Times New Roman" w:hAnsi="Times New Roman"/>
          <w:sz w:val="24"/>
          <w:szCs w:val="24"/>
        </w:rPr>
        <w:t>Papildus iepriekš minētajam IeM norādīja, ka VP</w:t>
      </w:r>
      <w:r w:rsidRPr="00AB7E22">
        <w:rPr>
          <w:rFonts w:ascii="Times New Roman" w:hAnsi="Times New Roman"/>
          <w:sz w:val="24"/>
          <w:szCs w:val="24"/>
        </w:rPr>
        <w:t xml:space="preserve"> ir</w:t>
      </w:r>
      <w:proofErr w:type="gramStart"/>
      <w:r w:rsidRPr="00AB7E22">
        <w:rPr>
          <w:rFonts w:ascii="Times New Roman" w:hAnsi="Times New Roman"/>
          <w:sz w:val="24"/>
          <w:szCs w:val="24"/>
        </w:rPr>
        <w:t xml:space="preserve"> ņēmusi vērā</w:t>
      </w:r>
      <w:proofErr w:type="gramEnd"/>
      <w:r w:rsidRPr="00AB7E22">
        <w:rPr>
          <w:rFonts w:ascii="Times New Roman" w:hAnsi="Times New Roman"/>
          <w:sz w:val="24"/>
          <w:szCs w:val="24"/>
        </w:rPr>
        <w:t xml:space="preserve"> ĢP norādījumus</w:t>
      </w:r>
      <w:r w:rsidR="00062335" w:rsidRPr="00AB7E22">
        <w:rPr>
          <w:rFonts w:ascii="Times New Roman" w:hAnsi="Times New Roman"/>
          <w:sz w:val="24"/>
          <w:szCs w:val="24"/>
        </w:rPr>
        <w:t>,</w:t>
      </w:r>
      <w:r w:rsidRPr="00AB7E22">
        <w:rPr>
          <w:rFonts w:ascii="Times New Roman" w:hAnsi="Times New Roman"/>
          <w:sz w:val="24"/>
          <w:szCs w:val="24"/>
        </w:rPr>
        <w:t xml:space="preserve"> izdarot secinājumus</w:t>
      </w:r>
      <w:r w:rsidR="00B16F3B" w:rsidRPr="00AB7E22">
        <w:rPr>
          <w:rFonts w:ascii="Times New Roman" w:hAnsi="Times New Roman"/>
          <w:sz w:val="24"/>
          <w:szCs w:val="24"/>
        </w:rPr>
        <w:t>,</w:t>
      </w:r>
      <w:r w:rsidRPr="00AB7E22">
        <w:rPr>
          <w:rFonts w:ascii="Times New Roman" w:hAnsi="Times New Roman"/>
          <w:sz w:val="24"/>
          <w:szCs w:val="24"/>
        </w:rPr>
        <w:t xml:space="preserve"> neatsaukties tikai uz dienesta pārbaudes laikā konstatētajiem apstākļiem. Līdz ar to VP </w:t>
      </w:r>
      <w:proofErr w:type="spellStart"/>
      <w:r w:rsidRPr="00AB7E22">
        <w:rPr>
          <w:rFonts w:ascii="Times New Roman" w:hAnsi="Times New Roman"/>
          <w:sz w:val="24"/>
          <w:szCs w:val="24"/>
        </w:rPr>
        <w:t>resoriskās</w:t>
      </w:r>
      <w:proofErr w:type="spellEnd"/>
      <w:r w:rsidRPr="00AB7E22">
        <w:rPr>
          <w:rFonts w:ascii="Times New Roman" w:hAnsi="Times New Roman"/>
          <w:sz w:val="24"/>
          <w:szCs w:val="24"/>
        </w:rPr>
        <w:t xml:space="preserve"> pārbaudes materiāli, kuros izmeklētājs nav veicis kādas citas </w:t>
      </w:r>
      <w:r w:rsidRPr="00AB7E22">
        <w:rPr>
          <w:rFonts w:ascii="Times New Roman" w:hAnsi="Times New Roman"/>
          <w:sz w:val="24"/>
          <w:szCs w:val="24"/>
        </w:rPr>
        <w:lastRenderedPageBreak/>
        <w:t>darbības, tiek atcelti un sūtīti papildus pārbaudes veikšanai, neatkarīgi no tā, vai persona, kuras intereses ar policijas darbinieka rīcību tika aizskartas, lēmumu ir pārsūdzējusi. Par šo apstākli sanāksmēs ir informēti VP IDB Pirmstiesas izmeklēšanas nodaļas vecākie inspektori. Aktuālās problēmas, kā arī plašu rezonansi guvušie pārkāpumi tiek analizēti arī VP vadošo amatpersonu sanāksmēs, tādējādi norādot uz galvenajiem trūkumiem amatpersonu izdarīto likumpārkāpumu izmeklēšanā.</w:t>
      </w:r>
    </w:p>
    <w:p w:rsidR="008B05A1" w:rsidRPr="00AB7E22" w:rsidRDefault="008B05A1" w:rsidP="008B05A1">
      <w:pPr>
        <w:jc w:val="both"/>
        <w:rPr>
          <w:lang w:val="lv-LV"/>
        </w:rPr>
      </w:pPr>
      <w:r w:rsidRPr="00AB7E22">
        <w:rPr>
          <w:lang w:val="lv-LV"/>
        </w:rPr>
        <w:tab/>
      </w:r>
      <w:r w:rsidR="00730751" w:rsidRPr="00AB7E22">
        <w:rPr>
          <w:lang w:val="lv-LV"/>
        </w:rPr>
        <w:t>Ņemot vērā gadījum</w:t>
      </w:r>
      <w:r w:rsidR="00177A99" w:rsidRPr="00AB7E22">
        <w:rPr>
          <w:lang w:val="lv-LV"/>
        </w:rPr>
        <w:t>u</w:t>
      </w:r>
      <w:r w:rsidR="00062335" w:rsidRPr="00AB7E22">
        <w:rPr>
          <w:lang w:val="lv-LV"/>
        </w:rPr>
        <w:t>s</w:t>
      </w:r>
      <w:r w:rsidR="00177A99" w:rsidRPr="00AB7E22">
        <w:rPr>
          <w:lang w:val="lv-LV"/>
        </w:rPr>
        <w:t>, kas saistīti ar iespējamu vardarbību, ko izdarījušas valsts amatpersonas, pildot dienesta pienākumus</w:t>
      </w:r>
      <w:r w:rsidR="00730751" w:rsidRPr="00AB7E22">
        <w:rPr>
          <w:lang w:val="lv-LV"/>
        </w:rPr>
        <w:t xml:space="preserve">, </w:t>
      </w:r>
      <w:proofErr w:type="spellStart"/>
      <w:r w:rsidR="00177A99" w:rsidRPr="00AB7E22">
        <w:rPr>
          <w:lang w:val="lv-LV"/>
        </w:rPr>
        <w:t>sensativitāti</w:t>
      </w:r>
      <w:proofErr w:type="spellEnd"/>
      <w:r w:rsidR="00177A99" w:rsidRPr="00AB7E22">
        <w:rPr>
          <w:lang w:val="lv-LV"/>
        </w:rPr>
        <w:t xml:space="preserve"> un pārmetumiem par to </w:t>
      </w:r>
      <w:r w:rsidR="00DC3AB1" w:rsidRPr="00AB7E22">
        <w:rPr>
          <w:lang w:val="lv-LV"/>
        </w:rPr>
        <w:t>izmeklēšanas objektivitāti</w:t>
      </w:r>
      <w:r w:rsidR="00177A99" w:rsidRPr="00AB7E22">
        <w:rPr>
          <w:lang w:val="lv-LV"/>
        </w:rPr>
        <w:t xml:space="preserve">, IeM norādīja, ka šobrīd </w:t>
      </w:r>
      <w:r w:rsidRPr="00AB7E22">
        <w:rPr>
          <w:lang w:val="lv-LV"/>
        </w:rPr>
        <w:t xml:space="preserve">lielākajā daļā </w:t>
      </w:r>
      <w:r w:rsidR="00730751" w:rsidRPr="00AB7E22">
        <w:rPr>
          <w:lang w:val="lv-LV"/>
        </w:rPr>
        <w:t xml:space="preserve">VP </w:t>
      </w:r>
      <w:r w:rsidRPr="00AB7E22">
        <w:rPr>
          <w:lang w:val="lv-LV"/>
        </w:rPr>
        <w:t xml:space="preserve">struktūrvienību telpās ir izvietotas videonovērošanas sistēmas, tomēr daļā struktūrvienību tās ir izvietotas operatīvās vadības struktūrvienības telpās, bet daudzos iecirkņos šīs iekārtas darbojas ar tehniskām problēmām. Attiecībā uz </w:t>
      </w:r>
      <w:r w:rsidR="00177A99" w:rsidRPr="00AB7E22">
        <w:rPr>
          <w:lang w:val="lv-LV"/>
        </w:rPr>
        <w:t>VP</w:t>
      </w:r>
      <w:r w:rsidRPr="00AB7E22">
        <w:rPr>
          <w:lang w:val="lv-LV"/>
        </w:rPr>
        <w:t xml:space="preserve"> autotransporta aprīkošanu ar videonovērošanas kamerām, kopš </w:t>
      </w:r>
      <w:proofErr w:type="gramStart"/>
      <w:r w:rsidRPr="00AB7E22">
        <w:rPr>
          <w:lang w:val="lv-LV"/>
        </w:rPr>
        <w:t>2011.gada</w:t>
      </w:r>
      <w:proofErr w:type="gramEnd"/>
      <w:r w:rsidRPr="00AB7E22">
        <w:rPr>
          <w:lang w:val="lv-LV"/>
        </w:rPr>
        <w:t xml:space="preserve"> 12 nomas transportlīdzekļi </w:t>
      </w:r>
      <w:proofErr w:type="spellStart"/>
      <w:r w:rsidRPr="00AB7E22">
        <w:rPr>
          <w:lang w:val="lv-LV"/>
        </w:rPr>
        <w:t>Renault</w:t>
      </w:r>
      <w:proofErr w:type="spellEnd"/>
      <w:r w:rsidRPr="00AB7E22">
        <w:rPr>
          <w:lang w:val="lv-LV"/>
        </w:rPr>
        <w:t xml:space="preserve"> </w:t>
      </w:r>
      <w:proofErr w:type="spellStart"/>
      <w:r w:rsidRPr="00AB7E22">
        <w:rPr>
          <w:lang w:val="lv-LV"/>
        </w:rPr>
        <w:t>Master</w:t>
      </w:r>
      <w:proofErr w:type="spellEnd"/>
      <w:r w:rsidRPr="00AB7E22">
        <w:rPr>
          <w:lang w:val="lv-LV"/>
        </w:rPr>
        <w:t xml:space="preserve"> </w:t>
      </w:r>
      <w:r w:rsidR="002D0C4C" w:rsidRPr="00AB7E22">
        <w:rPr>
          <w:lang w:val="lv-LV"/>
        </w:rPr>
        <w:t>ir</w:t>
      </w:r>
      <w:r w:rsidRPr="00AB7E22">
        <w:rPr>
          <w:lang w:val="lv-LV"/>
        </w:rPr>
        <w:t xml:space="preserve"> aprīkoti ar priekšējā skata videokamerām, 81 nomas transportlīdzeklis </w:t>
      </w:r>
      <w:proofErr w:type="spellStart"/>
      <w:r w:rsidRPr="00AB7E22">
        <w:rPr>
          <w:lang w:val="lv-LV"/>
        </w:rPr>
        <w:t>Renault</w:t>
      </w:r>
      <w:proofErr w:type="spellEnd"/>
      <w:r w:rsidRPr="00AB7E22">
        <w:rPr>
          <w:lang w:val="lv-LV"/>
        </w:rPr>
        <w:t xml:space="preserve"> </w:t>
      </w:r>
      <w:proofErr w:type="spellStart"/>
      <w:r w:rsidRPr="00AB7E22">
        <w:rPr>
          <w:lang w:val="lv-LV"/>
        </w:rPr>
        <w:t>Laguna</w:t>
      </w:r>
      <w:proofErr w:type="spellEnd"/>
      <w:r w:rsidRPr="00AB7E22">
        <w:rPr>
          <w:lang w:val="lv-LV"/>
        </w:rPr>
        <w:t xml:space="preserve"> </w:t>
      </w:r>
      <w:r w:rsidR="002D0C4C" w:rsidRPr="00AB7E22">
        <w:rPr>
          <w:lang w:val="lv-LV"/>
        </w:rPr>
        <w:t>ir</w:t>
      </w:r>
      <w:r w:rsidRPr="00AB7E22">
        <w:rPr>
          <w:lang w:val="lv-LV"/>
        </w:rPr>
        <w:t xml:space="preserve"> aprīkots ar priekšējā un aizmugurējā skata videokamerām, kā arī desmit </w:t>
      </w:r>
      <w:r w:rsidR="00177A99" w:rsidRPr="00AB7E22">
        <w:rPr>
          <w:lang w:val="lv-LV"/>
        </w:rPr>
        <w:t>VP</w:t>
      </w:r>
      <w:r w:rsidRPr="00AB7E22">
        <w:rPr>
          <w:lang w:val="lv-LV"/>
        </w:rPr>
        <w:t xml:space="preserve"> īpašumā esošiem transportlīdzekļiem Volvo S60 novecojušās ana</w:t>
      </w:r>
      <w:r w:rsidR="002D0C4C" w:rsidRPr="00AB7E22">
        <w:rPr>
          <w:lang w:val="lv-LV"/>
        </w:rPr>
        <w:t>logās videoieraksta sistēmas</w:t>
      </w:r>
      <w:r w:rsidRPr="00AB7E22">
        <w:rPr>
          <w:lang w:val="lv-LV"/>
        </w:rPr>
        <w:t xml:space="preserve"> aizstātas ar ciparu ieraksta sistēmām. </w:t>
      </w:r>
    </w:p>
    <w:p w:rsidR="008B05A1" w:rsidRPr="00AB7E22" w:rsidRDefault="008B05A1" w:rsidP="008B05A1">
      <w:pPr>
        <w:jc w:val="both"/>
        <w:rPr>
          <w:lang w:val="lv-LV"/>
        </w:rPr>
      </w:pPr>
      <w:r w:rsidRPr="00AB7E22">
        <w:rPr>
          <w:lang w:val="lv-LV"/>
        </w:rPr>
        <w:tab/>
        <w:t xml:space="preserve">Videonovērošana VP struktūrvienībās tiek īstenota, vadoties pēc Ministru kabineta </w:t>
      </w:r>
      <w:proofErr w:type="gramStart"/>
      <w:r w:rsidRPr="00AB7E22">
        <w:rPr>
          <w:lang w:val="lv-LV"/>
        </w:rPr>
        <w:t>2009.gada</w:t>
      </w:r>
      <w:proofErr w:type="gramEnd"/>
      <w:r w:rsidRPr="00AB7E22">
        <w:rPr>
          <w:lang w:val="lv-LV"/>
        </w:rPr>
        <w:t xml:space="preserve"> 16.aprīļa noteikumiem Nr.305 „Kārtība, kādā veicama publiskas vietas novērošana, izmantojot tehniskos līdzekļus, kā arī novērošanā iegūto datu glabāšana un publiskošana”</w:t>
      </w:r>
      <w:r w:rsidR="002F093D" w:rsidRPr="00AB7E22">
        <w:rPr>
          <w:lang w:val="lv-LV"/>
        </w:rPr>
        <w:t xml:space="preserve"> (turpmāk – MK noteikumi Nr.305)</w:t>
      </w:r>
      <w:r w:rsidRPr="00AB7E22">
        <w:rPr>
          <w:lang w:val="lv-LV"/>
        </w:rPr>
        <w:t xml:space="preserve">. Šie noteikumi nosaka, ka publiskas vietas pastāvīgā novērošanā iegūtos datus, kas satur notikumu, un publiskas vietas īslaicīgā novērošanā iegūtos datus glabā piecus gadus. </w:t>
      </w:r>
      <w:r w:rsidR="001B1A2F" w:rsidRPr="00AB7E22">
        <w:rPr>
          <w:lang w:val="lv-LV"/>
        </w:rPr>
        <w:t>Savukārt</w:t>
      </w:r>
      <w:r w:rsidRPr="00AB7E22">
        <w:rPr>
          <w:lang w:val="lv-LV"/>
        </w:rPr>
        <w:t xml:space="preserve"> publiskas vietas pastāvīgā novērošanā iegūtie dati jāglabā vienu mēnesi. </w:t>
      </w:r>
    </w:p>
    <w:p w:rsidR="008B05A1" w:rsidRPr="00AB7E22" w:rsidRDefault="008B05A1" w:rsidP="008B05A1">
      <w:pPr>
        <w:jc w:val="both"/>
        <w:rPr>
          <w:lang w:val="lv-LV"/>
        </w:rPr>
      </w:pPr>
      <w:r w:rsidRPr="00AB7E22">
        <w:rPr>
          <w:lang w:val="lv-LV"/>
        </w:rPr>
        <w:tab/>
        <w:t xml:space="preserve">Videoiekārtu izmantošana dienesta transportlīdzekļos ir noteikta ar </w:t>
      </w:r>
      <w:r w:rsidR="00E91CF8" w:rsidRPr="00AB7E22">
        <w:rPr>
          <w:lang w:val="lv-LV"/>
        </w:rPr>
        <w:t>VP</w:t>
      </w:r>
      <w:r w:rsidRPr="00AB7E22">
        <w:rPr>
          <w:lang w:val="lv-LV"/>
        </w:rPr>
        <w:t xml:space="preserve"> </w:t>
      </w:r>
      <w:proofErr w:type="gramStart"/>
      <w:r w:rsidRPr="00AB7E22">
        <w:rPr>
          <w:lang w:val="lv-LV"/>
        </w:rPr>
        <w:t>2010.gada</w:t>
      </w:r>
      <w:proofErr w:type="gramEnd"/>
      <w:r w:rsidRPr="00AB7E22">
        <w:rPr>
          <w:lang w:val="lv-LV"/>
        </w:rPr>
        <w:t xml:space="preserve"> 22.februāra iekšējiem noteikumiem Nr.5 </w:t>
      </w:r>
      <w:r w:rsidR="00E06AD2" w:rsidRPr="00AB7E22">
        <w:rPr>
          <w:lang w:val="lv-LV"/>
        </w:rPr>
        <w:t>„</w:t>
      </w:r>
      <w:r w:rsidRPr="00AB7E22">
        <w:rPr>
          <w:lang w:val="lv-LV"/>
        </w:rPr>
        <w:t>Dienesta pienākumu izpildes organizācija un kontrole sabiedriskās kārtības nodrošināšanas un satiksmes uzraudzības jomā</w:t>
      </w:r>
      <w:r w:rsidR="00E06AD2" w:rsidRPr="00AB7E22">
        <w:rPr>
          <w:lang w:val="lv-LV"/>
        </w:rPr>
        <w:t>”</w:t>
      </w:r>
      <w:r w:rsidRPr="00AB7E22">
        <w:rPr>
          <w:lang w:val="lv-LV"/>
        </w:rPr>
        <w:t>. Iekšējie noteikumi paredz, ka ar videosistēmu ierakstīto informāciju glabā divus mēnešus, bet, ja saskaņā ar Latvijas Administratīvo pārkāpumu kodeksā noteikto, persona, par kuru pieņemts lēmums administratīvā pārkāpuma lietā, ir pārsūdzējusi šo lēmumu – līdz galīgā nolēmuma spēkā stāšanās dienai.</w:t>
      </w:r>
    </w:p>
    <w:p w:rsidR="008B05A1" w:rsidRPr="00AB7E22" w:rsidRDefault="008B05A1" w:rsidP="008B05A1">
      <w:pPr>
        <w:jc w:val="both"/>
        <w:rPr>
          <w:lang w:val="lv-LV"/>
        </w:rPr>
      </w:pPr>
      <w:r w:rsidRPr="00AB7E22">
        <w:rPr>
          <w:lang w:val="lv-LV"/>
        </w:rPr>
        <w:tab/>
        <w:t xml:space="preserve">Tomēr </w:t>
      </w:r>
      <w:r w:rsidR="002D0C4C" w:rsidRPr="00AB7E22">
        <w:rPr>
          <w:lang w:val="lv-LV"/>
        </w:rPr>
        <w:t>IeM atzīmēja</w:t>
      </w:r>
      <w:r w:rsidRPr="00AB7E22">
        <w:rPr>
          <w:lang w:val="lv-LV"/>
        </w:rPr>
        <w:t>, ka VP rīcībā esošās videonovērošanas sistēmas ir iegādātas un uzstādītas dažādos laikos, tādēļ to tehniskās iespējas ne vienmēr ļauj nodrošināt ieraksta uzkrāšanu par ilgstošu laika periodu (kā to nosaka tiesību akti), ir atšķirīgi sistēmu darbības formāti, kā arī nodrošināmā attēla kvalitāte. Minētie iemesli atsevišķos gadījumos ir iemesls tam, ka notikuma esamībai vai pārkāpuma fiksēšanai būtiska informācija netiek uzkrāta, vai ir nederīga kā pierādījums.</w:t>
      </w:r>
    </w:p>
    <w:p w:rsidR="00C36AA6" w:rsidRPr="00AB7E22" w:rsidRDefault="00C36AA6" w:rsidP="00C54F08">
      <w:pPr>
        <w:pStyle w:val="Pamattekstsaratkpi"/>
        <w:tabs>
          <w:tab w:val="left" w:pos="567"/>
        </w:tabs>
        <w:spacing w:after="0"/>
        <w:ind w:left="0" w:right="-1"/>
        <w:jc w:val="both"/>
      </w:pPr>
    </w:p>
    <w:p w:rsidR="00AC692E" w:rsidRPr="00AB7E22" w:rsidRDefault="00AC692E" w:rsidP="004A1C87">
      <w:pPr>
        <w:pStyle w:val="Pamatteksts"/>
        <w:tabs>
          <w:tab w:val="left" w:pos="567"/>
        </w:tabs>
        <w:spacing w:after="0"/>
        <w:ind w:right="-1" w:firstLine="580"/>
        <w:jc w:val="both"/>
        <w:rPr>
          <w:lang w:val="lv-LV"/>
        </w:rPr>
      </w:pPr>
      <w:r w:rsidRPr="00AB7E22">
        <w:rPr>
          <w:lang w:val="lv-LV"/>
        </w:rPr>
        <w:t>[</w:t>
      </w:r>
      <w:r w:rsidR="00364916" w:rsidRPr="00AB7E22">
        <w:rPr>
          <w:lang w:val="lv-LV"/>
        </w:rPr>
        <w:t>1.</w:t>
      </w:r>
      <w:r w:rsidR="001562BE" w:rsidRPr="00AB7E22">
        <w:rPr>
          <w:lang w:val="lv-LV"/>
        </w:rPr>
        <w:t>2</w:t>
      </w:r>
      <w:r w:rsidRPr="00AB7E22">
        <w:rPr>
          <w:lang w:val="lv-LV"/>
        </w:rPr>
        <w:t xml:space="preserve">.] </w:t>
      </w:r>
      <w:r w:rsidRPr="00AB7E22">
        <w:rPr>
          <w:b/>
          <w:lang w:val="lv-LV"/>
        </w:rPr>
        <w:t>ĀM</w:t>
      </w:r>
      <w:r w:rsidRPr="00AB7E22">
        <w:rPr>
          <w:lang w:val="lv-LV"/>
        </w:rPr>
        <w:t xml:space="preserve"> </w:t>
      </w:r>
      <w:r w:rsidRPr="00AB7E22">
        <w:rPr>
          <w:b/>
          <w:lang w:val="lv-LV"/>
        </w:rPr>
        <w:t>sniedza apkopotu informāciju</w:t>
      </w:r>
      <w:r w:rsidRPr="00AB7E22">
        <w:rPr>
          <w:lang w:val="lv-LV"/>
        </w:rPr>
        <w:t xml:space="preserve"> par </w:t>
      </w:r>
      <w:r w:rsidR="00634AC4" w:rsidRPr="00AB7E22">
        <w:rPr>
          <w:lang w:val="lv-LV"/>
        </w:rPr>
        <w:t>ECT</w:t>
      </w:r>
      <w:r w:rsidR="0091501B" w:rsidRPr="00AB7E22">
        <w:rPr>
          <w:lang w:val="lv-LV"/>
        </w:rPr>
        <w:t xml:space="preserve"> </w:t>
      </w:r>
      <w:r w:rsidRPr="00AB7E22">
        <w:rPr>
          <w:lang w:val="lv-LV"/>
        </w:rPr>
        <w:t xml:space="preserve">spriedumiem lietās no Latvijas, kur personas ir sūdzējušās par iespējamu valsts amatpersonu vardarbību un par šādu sūdzību izmeklēšanas efektivitātes trūkumu, un kur ECT ir konstatējusi Konvencijas </w:t>
      </w:r>
      <w:proofErr w:type="gramStart"/>
      <w:r w:rsidRPr="00AB7E22">
        <w:rPr>
          <w:lang w:val="lv-LV"/>
        </w:rPr>
        <w:t>3.panta</w:t>
      </w:r>
      <w:proofErr w:type="gramEnd"/>
      <w:r w:rsidRPr="00AB7E22">
        <w:rPr>
          <w:lang w:val="lv-LV"/>
        </w:rPr>
        <w:t xml:space="preserve"> (</w:t>
      </w:r>
      <w:r w:rsidRPr="00AB7E22">
        <w:rPr>
          <w:i/>
          <w:lang w:val="lv-LV"/>
        </w:rPr>
        <w:t>spīdzināšanas aizliegums</w:t>
      </w:r>
      <w:r w:rsidRPr="00AB7E22">
        <w:rPr>
          <w:lang w:val="lv-LV"/>
        </w:rPr>
        <w:t>) pārkāpumu.</w:t>
      </w:r>
    </w:p>
    <w:p w:rsidR="00AC692E" w:rsidRPr="00AB7E22" w:rsidRDefault="00AC692E" w:rsidP="004A1C87">
      <w:pPr>
        <w:tabs>
          <w:tab w:val="left" w:pos="567"/>
        </w:tabs>
        <w:ind w:right="-1"/>
        <w:jc w:val="both"/>
        <w:rPr>
          <w:lang w:val="lv-LV"/>
        </w:rPr>
      </w:pPr>
      <w:r w:rsidRPr="00AB7E22">
        <w:rPr>
          <w:lang w:val="lv-LV"/>
        </w:rPr>
        <w:tab/>
        <w:t xml:space="preserve">Saskaņā ar ECT iedibināto praksi </w:t>
      </w:r>
      <w:r w:rsidR="000E3A15" w:rsidRPr="00AB7E22">
        <w:rPr>
          <w:lang w:val="lv-LV"/>
        </w:rPr>
        <w:t>Konvencijas</w:t>
      </w:r>
      <w:r w:rsidR="00E17D78" w:rsidRPr="00AB7E22">
        <w:rPr>
          <w:lang w:val="lv-LV"/>
        </w:rPr>
        <w:t xml:space="preserve"> </w:t>
      </w:r>
      <w:proofErr w:type="gramStart"/>
      <w:r w:rsidRPr="00AB7E22">
        <w:rPr>
          <w:lang w:val="lv-LV"/>
        </w:rPr>
        <w:t>3.panta</w:t>
      </w:r>
      <w:proofErr w:type="gramEnd"/>
      <w:r w:rsidRPr="00AB7E22">
        <w:rPr>
          <w:lang w:val="lv-LV"/>
        </w:rPr>
        <w:t xml:space="preserve"> procesuālais aspekts uzliek valstij </w:t>
      </w:r>
      <w:r w:rsidRPr="00AB7E22">
        <w:rPr>
          <w:bCs/>
          <w:lang w:val="lv-LV"/>
        </w:rPr>
        <w:t xml:space="preserve">pienākumu veikt vispusīgu, rūpīgu un efektīvu izmeklēšanu, nodrošinot pierādījums, </w:t>
      </w:r>
      <w:r w:rsidRPr="00AB7E22">
        <w:rPr>
          <w:lang w:val="lv-LV"/>
        </w:rPr>
        <w:t>uz vietas</w:t>
      </w:r>
      <w:r w:rsidRPr="00AB7E22">
        <w:rPr>
          <w:bCs/>
          <w:lang w:val="lv-LV"/>
        </w:rPr>
        <w:t xml:space="preserve"> noskaidrojot</w:t>
      </w:r>
      <w:r w:rsidRPr="00AB7E22">
        <w:rPr>
          <w:lang w:val="lv-LV"/>
        </w:rPr>
        <w:t xml:space="preserve"> informāciju un faktus, nopratinot lieciniekus, pārbaudot medicīnas datus. Izmeklēšanas efektivitāte nav atkarīga no tās rezultāta, tomēr tai jābūt neatkarīgai – par izmeklēšanu atbildīgajai amatpersona jābūt institucionāli, hierarhiski un praktiski nesaistītai ar incidentā iesaistītajām personām, kā arī spējīgai identificēt un sodīt vainīgos.</w:t>
      </w:r>
      <w:r w:rsidRPr="00AB7E22">
        <w:rPr>
          <w:rStyle w:val="Vresatsauce"/>
          <w:lang w:val="lv-LV"/>
        </w:rPr>
        <w:footnoteReference w:id="1"/>
      </w:r>
    </w:p>
    <w:p w:rsidR="00AC692E" w:rsidRPr="00AB7E22" w:rsidRDefault="00AC692E" w:rsidP="004A1C87">
      <w:pPr>
        <w:tabs>
          <w:tab w:val="left" w:pos="567"/>
        </w:tabs>
        <w:ind w:right="-1"/>
        <w:jc w:val="both"/>
        <w:rPr>
          <w:lang w:val="lv-LV"/>
        </w:rPr>
      </w:pPr>
      <w:r w:rsidRPr="00AB7E22">
        <w:rPr>
          <w:lang w:val="lv-LV"/>
        </w:rPr>
        <w:tab/>
        <w:t xml:space="preserve">Kopš </w:t>
      </w:r>
      <w:proofErr w:type="gramStart"/>
      <w:r w:rsidRPr="00AB7E22">
        <w:rPr>
          <w:lang w:val="lv-LV"/>
        </w:rPr>
        <w:t>2012.gada</w:t>
      </w:r>
      <w:proofErr w:type="gramEnd"/>
      <w:r w:rsidRPr="00AB7E22">
        <w:rPr>
          <w:lang w:val="lv-LV"/>
        </w:rPr>
        <w:t xml:space="preserve"> 1.janvāra ir būtiski pieaudzis to Latvijas lietu skaits, kur ECT ir konstatējusi Konvencijas 3.panta procesuālā aspekta pārkāpumu, kritizējot kompetento valsts </w:t>
      </w:r>
      <w:r w:rsidRPr="00AB7E22">
        <w:rPr>
          <w:lang w:val="lv-LV"/>
        </w:rPr>
        <w:lastRenderedPageBreak/>
        <w:t>iestāžu īstenotās izmeklēšanas neatkarības un efektivitātes trūkumu, īpaši pievēršoties policijas un prokuratūras iestāžu veiktās izmeklēšanas kvalitātei un efektivitātei</w:t>
      </w:r>
      <w:r w:rsidR="00876898" w:rsidRPr="00AB7E22">
        <w:rPr>
          <w:lang w:val="lv-LV"/>
        </w:rPr>
        <w:t xml:space="preserve">. </w:t>
      </w:r>
      <w:r w:rsidRPr="00AB7E22">
        <w:rPr>
          <w:lang w:val="lv-LV"/>
        </w:rPr>
        <w:t>Konstatēto pārkāpumu skaits un raksturs acīmredzami norāda, ka neatkarīgas un efektīvas izmeklēšanas trūkumus ir uzskatāms par sistemātisku problēmu.</w:t>
      </w:r>
      <w:r w:rsidR="00876898" w:rsidRPr="00AB7E22">
        <w:rPr>
          <w:lang w:val="lv-LV"/>
        </w:rPr>
        <w:t xml:space="preserve"> No vairākiem spriedumiem izriet, ka </w:t>
      </w:r>
      <w:r w:rsidR="00E17D78" w:rsidRPr="00AB7E22">
        <w:rPr>
          <w:lang w:val="lv-LV"/>
        </w:rPr>
        <w:t xml:space="preserve">VP un </w:t>
      </w:r>
      <w:proofErr w:type="spellStart"/>
      <w:r w:rsidR="00E17D78" w:rsidRPr="00AB7E22">
        <w:rPr>
          <w:lang w:val="lv-LV"/>
        </w:rPr>
        <w:t>IeVP</w:t>
      </w:r>
      <w:proofErr w:type="spellEnd"/>
      <w:r w:rsidRPr="00AB7E22">
        <w:rPr>
          <w:lang w:val="lv-LV"/>
        </w:rPr>
        <w:t xml:space="preserve"> pastāvošajam mehānismam trūkst institucionālās neatkarības un efektivitātes. </w:t>
      </w:r>
    </w:p>
    <w:p w:rsidR="00AC692E" w:rsidRPr="00AB7E22" w:rsidRDefault="00AC692E" w:rsidP="004A1C87">
      <w:pPr>
        <w:tabs>
          <w:tab w:val="left" w:pos="567"/>
        </w:tabs>
        <w:ind w:right="-1"/>
        <w:jc w:val="both"/>
        <w:rPr>
          <w:lang w:val="lv-LV" w:eastAsia="lv-LV"/>
        </w:rPr>
      </w:pPr>
      <w:r w:rsidRPr="00AB7E22">
        <w:rPr>
          <w:lang w:val="lv-LV"/>
        </w:rPr>
        <w:tab/>
        <w:t xml:space="preserve">Lietā </w:t>
      </w:r>
      <w:r w:rsidRPr="00AB7E22">
        <w:rPr>
          <w:i/>
          <w:lang w:val="lv-LV"/>
        </w:rPr>
        <w:t xml:space="preserve">J.L. pret Latviju </w:t>
      </w:r>
      <w:r w:rsidRPr="00AB7E22">
        <w:rPr>
          <w:lang w:val="lv-LV" w:eastAsia="lv-LV"/>
        </w:rPr>
        <w:t xml:space="preserve">ECT kritizēja ieslodzījuma vietu sistēmas ietvaros veiktās izmeklēšanas neatkarības un efektivitātes trūkumu. Lai gan teorētiski </w:t>
      </w:r>
      <w:proofErr w:type="spellStart"/>
      <w:r w:rsidRPr="00AB7E22">
        <w:rPr>
          <w:lang w:val="lv-LV" w:eastAsia="lv-LV"/>
        </w:rPr>
        <w:t>IeVP</w:t>
      </w:r>
      <w:proofErr w:type="spellEnd"/>
      <w:r w:rsidRPr="00AB7E22">
        <w:rPr>
          <w:lang w:val="lv-LV" w:eastAsia="lv-LV"/>
        </w:rPr>
        <w:t xml:space="preserve"> Drošības daļas un cietumu kompetences jomas sūdzību par iespējamo vardarbību izmeklēšanā tika nodalītas, praksē izmeklēšanu veica tā pati brīvības atņemšanas iestāde, par kuras rīcību bija iesniegta sūdzība.</w:t>
      </w:r>
      <w:r w:rsidRPr="00AB7E22">
        <w:rPr>
          <w:lang w:val="lv-LV"/>
        </w:rPr>
        <w:t xml:space="preserve"> </w:t>
      </w:r>
      <w:r w:rsidRPr="00AB7E22">
        <w:rPr>
          <w:lang w:val="lv-LV" w:eastAsia="lv-LV"/>
        </w:rPr>
        <w:t xml:space="preserve">Šajā sakarā ECT īpaši uzsvēra </w:t>
      </w:r>
      <w:r w:rsidRPr="00AB7E22">
        <w:rPr>
          <w:bCs/>
          <w:lang w:val="lv-LV"/>
        </w:rPr>
        <w:t>Eiropas Komitejas spīdzināšanas un necilvēcīgas vai pazemojošas apiešanās vai sodu novēršanai</w:t>
      </w:r>
      <w:r w:rsidRPr="00AB7E22">
        <w:rPr>
          <w:lang w:val="lv-LV" w:eastAsia="lv-LV"/>
        </w:rPr>
        <w:t xml:space="preserve"> (turpmāk – Komiteja) ziņojumos par tās vizītēm Latvijā ietvertos secinājumus, kritizējot veidu, kādā tika izmeklētas sūdzības par vardarbību ieslodzīto vidū, rekomendējot, ka </w:t>
      </w:r>
      <w:r w:rsidRPr="00AB7E22">
        <w:rPr>
          <w:u w:val="single"/>
          <w:lang w:val="lv-LV" w:eastAsia="lv-LV"/>
        </w:rPr>
        <w:t>izmeklēšanu šādos gadījumos būtu jāveic no attiecīgās brīvības atņemšanas vietas un, ieteicams, ieslodzījuma vietu sistēmas kopumā, neatkarīgai institūcijai, proti, prokuratūrai, nevis brīvības atņemšanas vietu Drošības daļām</w:t>
      </w:r>
      <w:r w:rsidRPr="00AB7E22">
        <w:rPr>
          <w:lang w:val="lv-LV" w:eastAsia="lv-LV"/>
        </w:rPr>
        <w:t>.</w:t>
      </w:r>
      <w:r w:rsidRPr="00AB7E22">
        <w:rPr>
          <w:rStyle w:val="Vresatsauce"/>
          <w:lang w:val="lv-LV" w:eastAsia="lv-LV"/>
        </w:rPr>
        <w:footnoteReference w:id="2"/>
      </w:r>
      <w:r w:rsidRPr="00AB7E22">
        <w:rPr>
          <w:lang w:val="lv-LV" w:eastAsia="lv-LV"/>
        </w:rPr>
        <w:t xml:space="preserve"> </w:t>
      </w:r>
      <w:r w:rsidR="00F35988" w:rsidRPr="00AB7E22">
        <w:rPr>
          <w:lang w:val="lv-LV" w:eastAsia="lv-LV"/>
        </w:rPr>
        <w:t>Līdzīgi ieteikumi atrodami arī jaunākajos Komitejas ziņojumos.</w:t>
      </w:r>
    </w:p>
    <w:p w:rsidR="00651FC5" w:rsidRPr="00AB7E22" w:rsidRDefault="00651FC5" w:rsidP="004A1C87">
      <w:pPr>
        <w:tabs>
          <w:tab w:val="left" w:pos="567"/>
        </w:tabs>
        <w:ind w:right="-1"/>
        <w:jc w:val="both"/>
        <w:rPr>
          <w:lang w:val="lv-LV"/>
        </w:rPr>
      </w:pPr>
      <w:r w:rsidRPr="00AB7E22">
        <w:rPr>
          <w:lang w:val="lv-LV"/>
        </w:rPr>
        <w:tab/>
      </w:r>
      <w:r w:rsidR="001347FB" w:rsidRPr="00AB7E22">
        <w:rPr>
          <w:lang w:val="lv-LV"/>
        </w:rPr>
        <w:t>Savukārt</w:t>
      </w:r>
      <w:r w:rsidRPr="00AB7E22">
        <w:rPr>
          <w:lang w:val="lv-LV"/>
        </w:rPr>
        <w:t xml:space="preserve"> lietās </w:t>
      </w:r>
      <w:proofErr w:type="spellStart"/>
      <w:r w:rsidRPr="00AB7E22">
        <w:rPr>
          <w:i/>
          <w:lang w:val="lv-LV"/>
        </w:rPr>
        <w:t>J.Dmitrijevs</w:t>
      </w:r>
      <w:proofErr w:type="spellEnd"/>
      <w:r w:rsidRPr="00AB7E22">
        <w:rPr>
          <w:i/>
          <w:lang w:val="lv-LV"/>
        </w:rPr>
        <w:t xml:space="preserve"> pret Latviju</w:t>
      </w:r>
      <w:r w:rsidRPr="00AB7E22">
        <w:rPr>
          <w:lang w:val="lv-LV"/>
        </w:rPr>
        <w:t xml:space="preserve"> un </w:t>
      </w:r>
      <w:proofErr w:type="spellStart"/>
      <w:r w:rsidRPr="00AB7E22">
        <w:rPr>
          <w:i/>
          <w:lang w:val="lv-LV"/>
        </w:rPr>
        <w:t>Timofejevi</w:t>
      </w:r>
      <w:proofErr w:type="spellEnd"/>
      <w:r w:rsidRPr="00AB7E22">
        <w:rPr>
          <w:i/>
          <w:lang w:val="lv-LV"/>
        </w:rPr>
        <w:t xml:space="preserve"> pret Latviju</w:t>
      </w:r>
      <w:r w:rsidRPr="00AB7E22">
        <w:rPr>
          <w:lang w:val="lv-LV"/>
        </w:rPr>
        <w:t xml:space="preserve"> ECT kritizēja novēlotas tiesu medicīniskās ekspertīzes veikšanu, kā arī uzskatīja, ka uzraugošie prokurori neveica pietiekami aktīvas darbības, lai iegūtu citus pierādījumus, kuriem varēja būt nozīmīga loma pārbaudē. </w:t>
      </w:r>
      <w:r w:rsidR="001347FB" w:rsidRPr="00AB7E22">
        <w:rPr>
          <w:lang w:val="lv-LV"/>
        </w:rPr>
        <w:t>Savukārt</w:t>
      </w:r>
      <w:r w:rsidRPr="00AB7E22">
        <w:rPr>
          <w:lang w:val="lv-LV"/>
        </w:rPr>
        <w:t xml:space="preserve"> lietā </w:t>
      </w:r>
      <w:proofErr w:type="spellStart"/>
      <w:r w:rsidRPr="00AB7E22">
        <w:rPr>
          <w:i/>
          <w:lang w:val="lv-LV"/>
        </w:rPr>
        <w:t>Vovruško</w:t>
      </w:r>
      <w:proofErr w:type="spellEnd"/>
      <w:r w:rsidRPr="00AB7E22">
        <w:rPr>
          <w:i/>
          <w:lang w:val="lv-LV"/>
        </w:rPr>
        <w:t xml:space="preserve"> pret Latviju</w:t>
      </w:r>
      <w:r w:rsidRPr="00AB7E22">
        <w:rPr>
          <w:lang w:val="lv-LV"/>
        </w:rPr>
        <w:t xml:space="preserve"> ECT atsaucās uz saviem secinājumiem lietā </w:t>
      </w:r>
      <w:r w:rsidRPr="00AB7E22">
        <w:rPr>
          <w:i/>
          <w:lang w:val="lv-LV"/>
        </w:rPr>
        <w:t>J.L. pret Latviju</w:t>
      </w:r>
      <w:r w:rsidRPr="00AB7E22">
        <w:rPr>
          <w:lang w:val="lv-LV"/>
        </w:rPr>
        <w:t xml:space="preserve"> un kritizēja nacionālo iestāžu piekopto praksi notikumu brīdī slikti dokumentēt miesas bojājumus, kas vēlāk liedz pietiekami pārliecinoši noteikt, vai fiksētie miesas bojājumi patiešām radušies policijas darbinieku rīcības rezultātā.</w:t>
      </w:r>
    </w:p>
    <w:p w:rsidR="00AC692E" w:rsidRPr="00AB7E22" w:rsidRDefault="00AC692E" w:rsidP="004A1C87">
      <w:pPr>
        <w:tabs>
          <w:tab w:val="left" w:pos="567"/>
        </w:tabs>
        <w:ind w:right="-1"/>
        <w:jc w:val="both"/>
        <w:rPr>
          <w:lang w:val="lv-LV"/>
        </w:rPr>
      </w:pPr>
      <w:r w:rsidRPr="00AB7E22">
        <w:rPr>
          <w:lang w:val="lv-LV"/>
        </w:rPr>
        <w:tab/>
      </w:r>
      <w:r w:rsidR="00651FC5" w:rsidRPr="00AB7E22">
        <w:rPr>
          <w:lang w:val="lv-LV"/>
        </w:rPr>
        <w:t>Kā norāda ĀM, un tas izriet arī no ECT prakses, tad p</w:t>
      </w:r>
      <w:r w:rsidRPr="00AB7E22">
        <w:rPr>
          <w:lang w:val="lv-LV"/>
        </w:rPr>
        <w:t>atlaban vienīgais indivīdam pieejamais efektīvais tiesību aizsardzības mehānisms sūdzībām par iespējamo valsts amatpersonu iespējamo vardarbību ir sūdzība prokuratūrai. Līdz šim ECT prokuratūras iestādēs pieejamo sūdzības izskatīšanas mehānismu pašu par sevi nav atzinusi par neefektīvu tiesību aizsardzības līdzekli, tomēr spriedumos pret Latviju ECT arvien vairāk kritizē prokuratūras iestāžu darbu sūdzību par iespējamiem valsts amatpersonu likumpārkāpumiem izmeklēšanā. Ja kādā no spriedumiem tas tiks izdarīts, Latvijas valdības rīcībā vairs nebūs argumentu, lai pamatotu, ka nacionālā līmenī pastāv efektīvs tiesību aizsardzības mehānisms, kas</w:t>
      </w:r>
      <w:r w:rsidR="004A7638" w:rsidRPr="00AB7E22">
        <w:rPr>
          <w:lang w:val="lv-LV"/>
        </w:rPr>
        <w:t>,</w:t>
      </w:r>
      <w:r w:rsidRPr="00AB7E22">
        <w:rPr>
          <w:lang w:val="lv-LV"/>
        </w:rPr>
        <w:t xml:space="preserve"> savukārt</w:t>
      </w:r>
      <w:r w:rsidR="004A7638" w:rsidRPr="00AB7E22">
        <w:rPr>
          <w:lang w:val="lv-LV"/>
        </w:rPr>
        <w:t>,</w:t>
      </w:r>
      <w:r w:rsidRPr="00AB7E22">
        <w:rPr>
          <w:lang w:val="lv-LV"/>
        </w:rPr>
        <w:t xml:space="preserve"> var novest pie Konvencijas </w:t>
      </w:r>
      <w:proofErr w:type="gramStart"/>
      <w:r w:rsidRPr="00AB7E22">
        <w:rPr>
          <w:lang w:val="lv-LV"/>
        </w:rPr>
        <w:t>13.panta</w:t>
      </w:r>
      <w:proofErr w:type="gramEnd"/>
      <w:r w:rsidRPr="00AB7E22">
        <w:rPr>
          <w:lang w:val="lv-LV"/>
        </w:rPr>
        <w:t xml:space="preserve"> (tiesības uz efektīvu aizsardzības nodrošinājumu) pārkāpuma konstatēšanas visās šāda veida lietās. Ievērojot minēto, </w:t>
      </w:r>
      <w:r w:rsidRPr="00AB7E22">
        <w:rPr>
          <w:u w:val="single"/>
          <w:lang w:val="lv-LV"/>
        </w:rPr>
        <w:t>ir ļoti svarīgi nodrošināt prokuratūras iestādēs pieejamo sūdzību izskatīšanas mehānismu efektivitāti</w:t>
      </w:r>
      <w:r w:rsidRPr="00AB7E22">
        <w:rPr>
          <w:lang w:val="lv-LV"/>
        </w:rPr>
        <w:t xml:space="preserve">, īstenojot </w:t>
      </w:r>
      <w:r w:rsidR="003940CB" w:rsidRPr="00AB7E22">
        <w:rPr>
          <w:lang w:val="lv-LV"/>
        </w:rPr>
        <w:t>PL</w:t>
      </w:r>
      <w:r w:rsidRPr="00AB7E22">
        <w:rPr>
          <w:lang w:val="lv-LV"/>
        </w:rPr>
        <w:t xml:space="preserve"> piešķirtās pilnvaras.</w:t>
      </w:r>
    </w:p>
    <w:p w:rsidR="00AC692E" w:rsidRPr="00AB7E22" w:rsidRDefault="00AC692E" w:rsidP="004A1C87">
      <w:pPr>
        <w:tabs>
          <w:tab w:val="left" w:pos="567"/>
        </w:tabs>
        <w:ind w:right="-1"/>
        <w:jc w:val="both"/>
        <w:rPr>
          <w:lang w:val="lv-LV"/>
        </w:rPr>
      </w:pPr>
      <w:r w:rsidRPr="00AB7E22">
        <w:rPr>
          <w:lang w:val="lv-LV"/>
        </w:rPr>
        <w:tab/>
        <w:t xml:space="preserve">Spriedumā lietā </w:t>
      </w:r>
      <w:proofErr w:type="spellStart"/>
      <w:r w:rsidRPr="00AB7E22">
        <w:rPr>
          <w:i/>
          <w:lang w:val="lv-LV"/>
        </w:rPr>
        <w:t>Sorokins</w:t>
      </w:r>
      <w:proofErr w:type="spellEnd"/>
      <w:r w:rsidRPr="00AB7E22">
        <w:rPr>
          <w:i/>
          <w:lang w:val="lv-LV"/>
        </w:rPr>
        <w:t xml:space="preserve"> un </w:t>
      </w:r>
      <w:proofErr w:type="spellStart"/>
      <w:r w:rsidRPr="00AB7E22">
        <w:rPr>
          <w:i/>
          <w:lang w:val="lv-LV"/>
        </w:rPr>
        <w:t>Sorokina</w:t>
      </w:r>
      <w:proofErr w:type="spellEnd"/>
      <w:r w:rsidRPr="00AB7E22">
        <w:rPr>
          <w:i/>
          <w:lang w:val="lv-LV"/>
        </w:rPr>
        <w:t xml:space="preserve"> pret Latviju </w:t>
      </w:r>
      <w:r w:rsidRPr="00AB7E22">
        <w:rPr>
          <w:lang w:val="lv-LV"/>
        </w:rPr>
        <w:t xml:space="preserve">ECT secināja, ka normatīvajos aktos nav noteikts konkrēts termiņš, kurā personas var vērst prokurora uzmanību uz iespējamu likumpārkāpumu, jo īpaši – nav noteikts termiņš pārsūdzībai amatā augstākam prokuroram. Tādējādi veidojas situācija, ka personas var iesniegt sūdzības un pārsūdzēt pieņemtos lēmumus neierobežotos termiņos. Šādos gadījumos valsts iestādēm ir praktiski neiespējami nodrošināt savlaicīgu un efektīvu izmeklēšanu, jo, laikam ritot, notikumu detaļas tiek aizmirstas, miesas bojājumi pazūd, kā arī dokumenti, kuri fiksējuši notikumu izskatīšanu, tiek iznīcināti atbilstoši reglamentētajiem arhīvu glabāšanas termiņiem. Tā rezultātā nereti veidojas situācija, kad personas par likumpārkāpumu sūdzas tad, kad prokuratūrā un citās iesaistītajās institūcijās (piemēram, </w:t>
      </w:r>
      <w:proofErr w:type="spellStart"/>
      <w:r w:rsidR="00E94DD0" w:rsidRPr="00AB7E22">
        <w:rPr>
          <w:lang w:val="lv-LV"/>
        </w:rPr>
        <w:t>IeVP</w:t>
      </w:r>
      <w:proofErr w:type="spellEnd"/>
      <w:r w:rsidRPr="00AB7E22">
        <w:rPr>
          <w:lang w:val="lv-LV"/>
        </w:rPr>
        <w:t>, policijas iecirknī) daļa no dokumentiem ir jau iznīcināti. Taču jebkādu termiņu noteikšana sūdzību iesniegšanai prokuratūrā negatīvi ietekmētu personas tiesības.</w:t>
      </w:r>
    </w:p>
    <w:p w:rsidR="00A75392" w:rsidRPr="00AB7E22" w:rsidRDefault="00A75392" w:rsidP="00A75392">
      <w:pPr>
        <w:pStyle w:val="Pamattekstsaratkpi"/>
        <w:tabs>
          <w:tab w:val="left" w:pos="567"/>
        </w:tabs>
        <w:spacing w:after="0"/>
        <w:ind w:left="0" w:right="-1"/>
        <w:jc w:val="both"/>
      </w:pPr>
      <w:r w:rsidRPr="00AB7E22">
        <w:lastRenderedPageBreak/>
        <w:tab/>
        <w:t xml:space="preserve">Atzinīgi vērtējot IeM izstrādāto koncepcijas projektu, tomēr secināts, ka, lai nodrošinātu izmeklēšanas neatkarību, ir </w:t>
      </w:r>
      <w:r w:rsidRPr="00AB7E22">
        <w:rPr>
          <w:u w:val="single"/>
        </w:rPr>
        <w:t>nepieciešams pēc iespējas ātrāk reformēt pastāvošo sistēmu</w:t>
      </w:r>
      <w:r w:rsidRPr="00AB7E22">
        <w:t xml:space="preserve"> un paredzēt regulējumu, kas vardarbīgus nodarījumus, kurus izdarījušas valsts amatpersonas, pildot dienesta pienākumus, izmeklē neatkarīga iestāde – IDB.</w:t>
      </w:r>
      <w:r w:rsidR="00010E12" w:rsidRPr="00AB7E22">
        <w:t xml:space="preserve"> Papildus ĀM vērsa uzmanību uz to, ir nepieciešams risināt jautājumu par sūdzību par vardarbību starp ieslodzītajiem neatkarīgas izmeklēšanas </w:t>
      </w:r>
      <w:r w:rsidR="00630883" w:rsidRPr="00AB7E22">
        <w:t xml:space="preserve">nodrošināšanu, apsverot iespēju </w:t>
      </w:r>
      <w:r w:rsidR="00010E12" w:rsidRPr="00AB7E22">
        <w:t>noziedzīgo nodarījumu, kas saistīti ar vardarbību ieslodzīto vidū, izmeklēšanu nodot Valsts policijas vai prokuratūras iestāžu kompetencē.</w:t>
      </w:r>
    </w:p>
    <w:p w:rsidR="00634AC4" w:rsidRPr="00AB7E22" w:rsidRDefault="00634AC4" w:rsidP="004A1C87">
      <w:pPr>
        <w:tabs>
          <w:tab w:val="left" w:pos="567"/>
        </w:tabs>
        <w:ind w:right="-1"/>
        <w:jc w:val="both"/>
        <w:rPr>
          <w:lang w:val="lv-LV"/>
        </w:rPr>
      </w:pPr>
    </w:p>
    <w:p w:rsidR="00495F5A" w:rsidRPr="00AB7E22" w:rsidRDefault="00495F5A" w:rsidP="00495F5A">
      <w:pPr>
        <w:pStyle w:val="Pamatteksts"/>
        <w:tabs>
          <w:tab w:val="left" w:pos="567"/>
        </w:tabs>
        <w:spacing w:after="0"/>
        <w:ind w:right="-1" w:firstLine="580"/>
        <w:jc w:val="both"/>
        <w:rPr>
          <w:lang w:val="lv-LV"/>
        </w:rPr>
      </w:pPr>
      <w:r w:rsidRPr="00AB7E22">
        <w:rPr>
          <w:lang w:val="lv-LV"/>
        </w:rPr>
        <w:t>[</w:t>
      </w:r>
      <w:r w:rsidR="00364916" w:rsidRPr="00AB7E22">
        <w:rPr>
          <w:lang w:val="lv-LV"/>
        </w:rPr>
        <w:t>1.</w:t>
      </w:r>
      <w:r w:rsidR="001562BE" w:rsidRPr="00AB7E22">
        <w:rPr>
          <w:lang w:val="lv-LV"/>
        </w:rPr>
        <w:t>3</w:t>
      </w:r>
      <w:r w:rsidRPr="00AB7E22">
        <w:rPr>
          <w:lang w:val="lv-LV"/>
        </w:rPr>
        <w:t xml:space="preserve">.] </w:t>
      </w:r>
      <w:r w:rsidR="00D35B86" w:rsidRPr="00AB7E22">
        <w:rPr>
          <w:b/>
          <w:lang w:val="lv-LV"/>
        </w:rPr>
        <w:t xml:space="preserve">ĢP </w:t>
      </w:r>
      <w:r w:rsidR="00A76175" w:rsidRPr="00AB7E22">
        <w:rPr>
          <w:b/>
          <w:lang w:val="lv-LV"/>
        </w:rPr>
        <w:t>sniedza informāciju</w:t>
      </w:r>
      <w:r w:rsidR="00A76175" w:rsidRPr="00AB7E22">
        <w:rPr>
          <w:lang w:val="lv-LV"/>
        </w:rPr>
        <w:t>, k</w:t>
      </w:r>
      <w:r w:rsidR="00F06EFB" w:rsidRPr="00AB7E22">
        <w:rPr>
          <w:lang w:val="lv-LV"/>
        </w:rPr>
        <w:t xml:space="preserve">a </w:t>
      </w:r>
      <w:r w:rsidRPr="00AB7E22">
        <w:rPr>
          <w:lang w:val="lv-LV"/>
        </w:rPr>
        <w:t xml:space="preserve">attiecībā uz VP IDB veikto izmeklēšanu objektivitātes nodrošināšanu </w:t>
      </w:r>
      <w:r w:rsidR="00F06EFB" w:rsidRPr="00AB7E22">
        <w:rPr>
          <w:lang w:val="lv-LV"/>
        </w:rPr>
        <w:t xml:space="preserve">kā būtiska problēma </w:t>
      </w:r>
      <w:r w:rsidRPr="00AB7E22">
        <w:rPr>
          <w:lang w:val="lv-LV"/>
        </w:rPr>
        <w:t xml:space="preserve">konstatēts tas, ka vairumā materiālos par atteikšanos uzsākt kriminālprocesu VP IDB amatpersonas izmanto un savos lēmumos, </w:t>
      </w:r>
      <w:r w:rsidR="000C533E" w:rsidRPr="00AB7E22">
        <w:rPr>
          <w:lang w:val="lv-LV"/>
        </w:rPr>
        <w:t>izdarot secinājumus, atsaucas uz</w:t>
      </w:r>
      <w:r w:rsidRPr="00AB7E22">
        <w:rPr>
          <w:lang w:val="lv-LV"/>
        </w:rPr>
        <w:t xml:space="preserve"> lokālo VP struktūrvienību amatpersonu veiktajām dienesta pārbaudēm un tajās konstatēto. Šāda situācija un darba metodika mazina veiktās pārbaudes objektivitāti, tāpēc struktūrvienības amatpersonām, kas izlemj sūdzības par iespējamu valsts amatpersonas vardarbību, būtu </w:t>
      </w:r>
      <w:r w:rsidRPr="00AB7E22">
        <w:rPr>
          <w:b/>
          <w:lang w:val="lv-LV"/>
        </w:rPr>
        <w:t>jāveic neatkarīga pārbaude par sūdzībā norādīto.</w:t>
      </w:r>
      <w:r w:rsidRPr="00AB7E22">
        <w:rPr>
          <w:lang w:val="lv-LV"/>
        </w:rPr>
        <w:t xml:space="preserve"> Neatkarīga izmeklēšana </w:t>
      </w:r>
      <w:r w:rsidRPr="00AB7E22">
        <w:rPr>
          <w:b/>
          <w:lang w:val="lv-LV"/>
        </w:rPr>
        <w:t xml:space="preserve">novērstu formālu sūdzību izskatīšanu </w:t>
      </w:r>
      <w:r w:rsidRPr="00AB7E22">
        <w:rPr>
          <w:lang w:val="lv-LV"/>
        </w:rPr>
        <w:t xml:space="preserve">un </w:t>
      </w:r>
      <w:r w:rsidRPr="00AB7E22">
        <w:rPr>
          <w:b/>
          <w:lang w:val="lv-LV"/>
        </w:rPr>
        <w:t>palielinātu izmeklēšanas rezultātu objektivitāti</w:t>
      </w:r>
      <w:r w:rsidRPr="00AB7E22">
        <w:rPr>
          <w:lang w:val="lv-LV"/>
        </w:rPr>
        <w:t xml:space="preserve">, jo sūdzības izskatītājam būtu tieši jāpārbauda sūdzībās norādītie fakti. </w:t>
      </w:r>
    </w:p>
    <w:p w:rsidR="00BD7241" w:rsidRPr="00AB7E22" w:rsidRDefault="00BD7241" w:rsidP="00BD7241">
      <w:pPr>
        <w:pStyle w:val="Pamatteksts"/>
        <w:tabs>
          <w:tab w:val="left" w:pos="567"/>
        </w:tabs>
        <w:spacing w:after="0"/>
        <w:ind w:right="-1" w:firstLine="580"/>
        <w:jc w:val="both"/>
        <w:rPr>
          <w:lang w:val="lv-LV"/>
        </w:rPr>
      </w:pPr>
      <w:r w:rsidRPr="00AB7E22">
        <w:rPr>
          <w:lang w:val="lv-LV"/>
        </w:rPr>
        <w:t>Lai mazinātu pārkāpumus sūdzību izlemšanā un palielinātu sūdzību izskatīšanas objektivitāti</w:t>
      </w:r>
      <w:r w:rsidR="00634AC4" w:rsidRPr="00AB7E22">
        <w:rPr>
          <w:lang w:val="lv-LV"/>
        </w:rPr>
        <w:t>,</w:t>
      </w:r>
      <w:r w:rsidRPr="00AB7E22">
        <w:rPr>
          <w:lang w:val="lv-LV"/>
        </w:rPr>
        <w:t xml:space="preserve"> ĢP uzskata, ka valsts iestādei, kura veic sūdzību par VP un </w:t>
      </w:r>
      <w:proofErr w:type="spellStart"/>
      <w:r w:rsidRPr="00AB7E22">
        <w:rPr>
          <w:lang w:val="lv-LV"/>
        </w:rPr>
        <w:t>IeVP</w:t>
      </w:r>
      <w:proofErr w:type="spellEnd"/>
      <w:r w:rsidRPr="00AB7E22">
        <w:rPr>
          <w:lang w:val="lv-LV"/>
        </w:rPr>
        <w:t xml:space="preserve"> amatpersonu rīcību, tajā skaitā arī par iespējamo vardarbību, pārbaudi, ir jāatrodas ārpus VP un </w:t>
      </w:r>
      <w:proofErr w:type="spellStart"/>
      <w:r w:rsidRPr="00AB7E22">
        <w:rPr>
          <w:lang w:val="lv-LV"/>
        </w:rPr>
        <w:t>IeVP</w:t>
      </w:r>
      <w:proofErr w:type="spellEnd"/>
      <w:r w:rsidRPr="00AB7E22">
        <w:rPr>
          <w:lang w:val="lv-LV"/>
        </w:rPr>
        <w:t xml:space="preserve"> pakļautības. Vienlaikus ĢP norāda uz nepieciešamību veikt pasākumus, kuru rezultātā arī prokuratūras struktūrvienībās tiktu uzlabota sūdzību par valsts amatpersonu iespējami veiktu vardarbību izskatīšanas kvalitāte nolūkā nodrošināt maksimāli objektīvu sūdzību izvērtēšanu un uz pārbaudītiem apstākļiem balstītu motivētu lēmumu pieņemšanu. </w:t>
      </w:r>
    </w:p>
    <w:p w:rsidR="00BD7241" w:rsidRPr="00AB7E22" w:rsidRDefault="00BD7241" w:rsidP="00BD7241">
      <w:pPr>
        <w:pStyle w:val="Pamatteksts"/>
        <w:tabs>
          <w:tab w:val="left" w:pos="567"/>
        </w:tabs>
        <w:spacing w:after="0"/>
        <w:ind w:right="-1" w:firstLine="580"/>
        <w:jc w:val="both"/>
        <w:rPr>
          <w:lang w:val="lv-LV"/>
        </w:rPr>
      </w:pPr>
      <w:r w:rsidRPr="00AB7E22">
        <w:rPr>
          <w:lang w:val="lv-LV"/>
        </w:rPr>
        <w:t xml:space="preserve">Lai veicinātu izmeklēšanas objektivitāti, ir jānodrošina, lai VP un </w:t>
      </w:r>
      <w:proofErr w:type="spellStart"/>
      <w:r w:rsidRPr="00AB7E22">
        <w:rPr>
          <w:lang w:val="lv-LV"/>
        </w:rPr>
        <w:t>IeVP</w:t>
      </w:r>
      <w:proofErr w:type="spellEnd"/>
      <w:r w:rsidRPr="00AB7E22">
        <w:rPr>
          <w:lang w:val="lv-LV"/>
        </w:rPr>
        <w:t xml:space="preserve"> uzņemtie videoieraksti no dienesta transportlīdzekļiem, dienesta telpām, kur veiktas jebkādas darbības ar personām, tiek saglabāti noteiktu, pēc iespējas ilgāku laika periodu, nevis kā tas bieži tiek konstatēts, tiek iznīcināti, vēlāk apgrūtinot objektīvu sūdzību izmeklēšanu. </w:t>
      </w:r>
    </w:p>
    <w:p w:rsidR="00BD7241" w:rsidRPr="00AB7E22" w:rsidRDefault="00634AC4" w:rsidP="00BD7241">
      <w:pPr>
        <w:pStyle w:val="Pamatteksts"/>
        <w:tabs>
          <w:tab w:val="left" w:pos="567"/>
        </w:tabs>
        <w:spacing w:after="0"/>
        <w:ind w:right="-1" w:firstLine="580"/>
        <w:jc w:val="both"/>
        <w:rPr>
          <w:lang w:val="lv-LV"/>
        </w:rPr>
      </w:pPr>
      <w:r w:rsidRPr="00AB7E22">
        <w:rPr>
          <w:lang w:val="lv-LV"/>
        </w:rPr>
        <w:t>Vienlaikus ir</w:t>
      </w:r>
      <w:r w:rsidR="00BD7241" w:rsidRPr="00AB7E22">
        <w:rPr>
          <w:lang w:val="lv-LV"/>
        </w:rPr>
        <w:t xml:space="preserve"> nepieciešams veikt praktiska rakstura pasākumus izmeklēšanas kvalitātes uzlabošanai</w:t>
      </w:r>
      <w:r w:rsidRPr="00AB7E22">
        <w:rPr>
          <w:lang w:val="lv-LV"/>
        </w:rPr>
        <w:t xml:space="preserve">, </w:t>
      </w:r>
      <w:r w:rsidR="00BD7241" w:rsidRPr="00AB7E22">
        <w:rPr>
          <w:lang w:val="lv-LV"/>
        </w:rPr>
        <w:t>nodrošin</w:t>
      </w:r>
      <w:r w:rsidRPr="00AB7E22">
        <w:rPr>
          <w:lang w:val="lv-LV"/>
        </w:rPr>
        <w:t xml:space="preserve">ot </w:t>
      </w:r>
      <w:r w:rsidR="00BD7241" w:rsidRPr="00AB7E22">
        <w:rPr>
          <w:lang w:val="lv-LV"/>
        </w:rPr>
        <w:t>cietušo personu un liecinieku liecību atbilstoš</w:t>
      </w:r>
      <w:r w:rsidR="000C533E" w:rsidRPr="00AB7E22">
        <w:rPr>
          <w:lang w:val="lv-LV"/>
        </w:rPr>
        <w:t xml:space="preserve">u </w:t>
      </w:r>
      <w:r w:rsidR="00BD7241" w:rsidRPr="00AB7E22">
        <w:rPr>
          <w:lang w:val="lv-LV"/>
        </w:rPr>
        <w:t>(savlaicīg</w:t>
      </w:r>
      <w:r w:rsidR="000C533E" w:rsidRPr="00AB7E22">
        <w:rPr>
          <w:lang w:val="lv-LV"/>
        </w:rPr>
        <w:t>u</w:t>
      </w:r>
      <w:r w:rsidR="00BD7241" w:rsidRPr="00AB7E22">
        <w:rPr>
          <w:lang w:val="lv-LV"/>
        </w:rPr>
        <w:t>) iegūšan</w:t>
      </w:r>
      <w:r w:rsidR="000C533E" w:rsidRPr="00AB7E22">
        <w:rPr>
          <w:lang w:val="lv-LV"/>
        </w:rPr>
        <w:t>u</w:t>
      </w:r>
      <w:r w:rsidR="00BD7241" w:rsidRPr="00AB7E22">
        <w:rPr>
          <w:lang w:val="lv-LV"/>
        </w:rPr>
        <w:t xml:space="preserve"> un fiksēšanu, miesas bojājumu fiksēšana</w:t>
      </w:r>
      <w:r w:rsidR="000C533E" w:rsidRPr="00AB7E22">
        <w:rPr>
          <w:lang w:val="lv-LV"/>
        </w:rPr>
        <w:t>s</w:t>
      </w:r>
      <w:r w:rsidR="00BD7241" w:rsidRPr="00AB7E22">
        <w:rPr>
          <w:lang w:val="lv-LV"/>
        </w:rPr>
        <w:t xml:space="preserve"> veidu un kvalitātes uzlabošan</w:t>
      </w:r>
      <w:r w:rsidR="000C533E" w:rsidRPr="00AB7E22">
        <w:rPr>
          <w:lang w:val="lv-LV"/>
        </w:rPr>
        <w:t>u</w:t>
      </w:r>
      <w:r w:rsidR="00BD7241" w:rsidRPr="00AB7E22">
        <w:rPr>
          <w:lang w:val="lv-LV"/>
        </w:rPr>
        <w:t>, nodrošinot ieslodzīto personu medicīnas dokumentācijas pienācīgu, vispusīgu un savla</w:t>
      </w:r>
      <w:r w:rsidR="00E65069" w:rsidRPr="00AB7E22">
        <w:rPr>
          <w:lang w:val="lv-LV"/>
        </w:rPr>
        <w:t xml:space="preserve">icīgu aizpildīšanu. </w:t>
      </w:r>
      <w:r w:rsidRPr="00AB7E22">
        <w:rPr>
          <w:lang w:val="lv-LV"/>
        </w:rPr>
        <w:t>Tāpat</w:t>
      </w:r>
      <w:r w:rsidR="00E65069" w:rsidRPr="00AB7E22">
        <w:rPr>
          <w:lang w:val="lv-LV"/>
        </w:rPr>
        <w:t xml:space="preserve"> nepieciešams nodrošināt </w:t>
      </w:r>
      <w:r w:rsidR="00BD7241" w:rsidRPr="00AB7E22">
        <w:rPr>
          <w:lang w:val="lv-LV"/>
        </w:rPr>
        <w:t xml:space="preserve">ieslodzīto personu sūdzību (tajā skaitā mutvārdu) par vardarbības faktu adekvātu reģistrēšanu, neatkarīgi no tā, vai sūdzība ir pieteikta ieslodzījuma vietā, prokuratūrā, policijā vai tiesā, kā arī atbildīgo iestāžu sadarbību sūdzību izmeklēšanā. </w:t>
      </w:r>
    </w:p>
    <w:p w:rsidR="00A75392" w:rsidRPr="00AB7E22" w:rsidRDefault="003E4C13" w:rsidP="00E17D78">
      <w:pPr>
        <w:pStyle w:val="Pamatteksts"/>
        <w:tabs>
          <w:tab w:val="left" w:pos="567"/>
        </w:tabs>
        <w:spacing w:after="0"/>
        <w:ind w:right="-1" w:firstLine="580"/>
        <w:jc w:val="both"/>
        <w:rPr>
          <w:lang w:val="lv-LV"/>
        </w:rPr>
      </w:pPr>
      <w:r w:rsidRPr="00AB7E22">
        <w:rPr>
          <w:lang w:val="lv-LV"/>
        </w:rPr>
        <w:t>ĢP norāda, ka i</w:t>
      </w:r>
      <w:r w:rsidR="00BD7241" w:rsidRPr="00AB7E22">
        <w:rPr>
          <w:lang w:val="lv-LV"/>
        </w:rPr>
        <w:t>r veicami visi iespējamie pasākumi, lai novērstu situācijas, kad valsts amatpersonas, kuras iesaistītas dažādos ar sūdzības iesniedzēju un/vai sūdzības būtībā saistītos notikumos, savus pienākumus veic pavirši, vai pārkāpumus pieļauj kvalifikācijas trūkuma dēļ.</w:t>
      </w:r>
      <w:r w:rsidR="006F40EA" w:rsidRPr="00AB7E22">
        <w:rPr>
          <w:lang w:val="lv-LV"/>
        </w:rPr>
        <w:t xml:space="preserve"> </w:t>
      </w:r>
      <w:r w:rsidR="00BD7241" w:rsidRPr="00AB7E22">
        <w:rPr>
          <w:lang w:val="lv-LV"/>
        </w:rPr>
        <w:t xml:space="preserve">Ir nepieciešams paaugstināt gan valsts iestāžu darbinieku, kuri lemj par sūdzības par iespējamo valsts amatpersonu vardarbību, gan VP un </w:t>
      </w:r>
      <w:proofErr w:type="spellStart"/>
      <w:r w:rsidR="00BD7241" w:rsidRPr="00AB7E22">
        <w:rPr>
          <w:lang w:val="lv-LV"/>
        </w:rPr>
        <w:t>IeVP</w:t>
      </w:r>
      <w:proofErr w:type="spellEnd"/>
      <w:r w:rsidR="00BD7241" w:rsidRPr="00AB7E22">
        <w:rPr>
          <w:lang w:val="lv-LV"/>
        </w:rPr>
        <w:t xml:space="preserve"> amatpersonu kvalifikācija jautājumos, kuri cita starpā saistīti ar cilvēktiesībām un to ievērošanu tiesību aizsardzības un soda izciešanas iestādēs. Vienlaikus, kā viens no ilgtermiņa risinājumiem saskatāma nepieciešamība steidzami risināt lielo kadru mainības un personāla pienācīgas motivācijas nepietiekamības jautājumus gan VP, gan </w:t>
      </w:r>
      <w:proofErr w:type="spellStart"/>
      <w:r w:rsidR="00BD7241" w:rsidRPr="00AB7E22">
        <w:rPr>
          <w:lang w:val="lv-LV"/>
        </w:rPr>
        <w:t>IeVP</w:t>
      </w:r>
      <w:proofErr w:type="spellEnd"/>
      <w:r w:rsidR="00BD7241" w:rsidRPr="00AB7E22">
        <w:rPr>
          <w:lang w:val="lv-LV"/>
        </w:rPr>
        <w:t xml:space="preserve">, jo tas rada pieredzējušu un kvalificētu darbinieku, speciālistu trūkumu zemākajā, vidējā un augstākajā komandējošajā sastāvā šajās iestādēs. </w:t>
      </w:r>
    </w:p>
    <w:p w:rsidR="009B06B7" w:rsidRPr="00AB7E22" w:rsidRDefault="009B06B7" w:rsidP="00634AC4">
      <w:pPr>
        <w:pStyle w:val="Pamattekstsaratkpi"/>
        <w:tabs>
          <w:tab w:val="left" w:pos="567"/>
        </w:tabs>
        <w:spacing w:after="0"/>
        <w:ind w:left="0" w:right="-1"/>
        <w:jc w:val="both"/>
      </w:pPr>
    </w:p>
    <w:p w:rsidR="00364931" w:rsidRPr="00AB7E22" w:rsidRDefault="00A844DB" w:rsidP="008C2660">
      <w:pPr>
        <w:ind w:firstLine="720"/>
        <w:jc w:val="both"/>
        <w:rPr>
          <w:lang w:val="lv-LV"/>
        </w:rPr>
      </w:pPr>
      <w:r w:rsidRPr="00AB7E22">
        <w:rPr>
          <w:lang w:val="lv-LV"/>
        </w:rPr>
        <w:t xml:space="preserve">[1.4.] </w:t>
      </w:r>
      <w:proofErr w:type="spellStart"/>
      <w:r w:rsidR="00E6032E" w:rsidRPr="00AB7E22">
        <w:rPr>
          <w:b/>
          <w:lang w:val="lv-LV"/>
        </w:rPr>
        <w:t>IeVP</w:t>
      </w:r>
      <w:proofErr w:type="spellEnd"/>
      <w:r w:rsidRPr="00AB7E22">
        <w:rPr>
          <w:lang w:val="lv-LV"/>
        </w:rPr>
        <w:t xml:space="preserve"> </w:t>
      </w:r>
      <w:r w:rsidRPr="00AB7E22">
        <w:rPr>
          <w:b/>
          <w:lang w:val="lv-LV"/>
        </w:rPr>
        <w:t>informēja</w:t>
      </w:r>
      <w:r w:rsidRPr="00AB7E22">
        <w:rPr>
          <w:lang w:val="lv-LV"/>
        </w:rPr>
        <w:t xml:space="preserve">, ka Komiteja savos ziņojumos Latvijai </w:t>
      </w:r>
      <w:proofErr w:type="spellStart"/>
      <w:r w:rsidRPr="00AB7E22">
        <w:rPr>
          <w:lang w:val="lv-LV"/>
        </w:rPr>
        <w:t>vairākkārt</w:t>
      </w:r>
      <w:proofErr w:type="spellEnd"/>
      <w:r w:rsidRPr="00AB7E22">
        <w:rPr>
          <w:lang w:val="lv-LV"/>
        </w:rPr>
        <w:t xml:space="preserve"> ir norādījusi uz to, ka </w:t>
      </w:r>
      <w:proofErr w:type="spellStart"/>
      <w:r w:rsidRPr="00AB7E22">
        <w:rPr>
          <w:lang w:val="lv-LV"/>
        </w:rPr>
        <w:t>IeVP</w:t>
      </w:r>
      <w:proofErr w:type="spellEnd"/>
      <w:r w:rsidRPr="00AB7E22">
        <w:rPr>
          <w:lang w:val="lv-LV"/>
        </w:rPr>
        <w:t xml:space="preserve"> amatpersonu un darbinieku izdarīto noziedzīgo nodarījumu izmeklēšana ir </w:t>
      </w:r>
      <w:r w:rsidRPr="00AB7E22">
        <w:rPr>
          <w:lang w:val="lv-LV"/>
        </w:rPr>
        <w:lastRenderedPageBreak/>
        <w:t xml:space="preserve">jānodod no ieslodzījuma vietu sistēmas neatkarīgai iestādei. </w:t>
      </w:r>
      <w:r w:rsidR="00F35988" w:rsidRPr="00AB7E22">
        <w:rPr>
          <w:lang w:val="lv-LV"/>
        </w:rPr>
        <w:t xml:space="preserve">Komiteja </w:t>
      </w:r>
      <w:r w:rsidRPr="00AB7E22">
        <w:rPr>
          <w:lang w:val="lv-LV"/>
        </w:rPr>
        <w:t xml:space="preserve">savā ziņojumā par vizīti Latvijā laika posmā no </w:t>
      </w:r>
      <w:proofErr w:type="gramStart"/>
      <w:r w:rsidRPr="00AB7E22">
        <w:rPr>
          <w:lang w:val="lv-LV"/>
        </w:rPr>
        <w:t>2007.gada</w:t>
      </w:r>
      <w:proofErr w:type="gramEnd"/>
      <w:r w:rsidRPr="00AB7E22">
        <w:rPr>
          <w:lang w:val="lv-LV"/>
        </w:rPr>
        <w:t xml:space="preserve"> 27.novembra līdz 7.decembrim aicināja Latvijas iestādes nekavējoties veikt pasākumus visā ieslodzījuma vietu sistēmā, lai nodrošinātu, ka ieslodzījuma vietu drošības nodaļu darbinieki neizmeklē noziedzīgos nodarījumus, ko ieslodzītie ir izdarījuši ārpus ieslodzījuma vietas, un nepieņem ieslodzīto liecības attiecībā uz šādiem nodarījumiem. Tāpat </w:t>
      </w:r>
      <w:r w:rsidR="00F35988" w:rsidRPr="00AB7E22">
        <w:rPr>
          <w:lang w:val="lv-LV"/>
        </w:rPr>
        <w:t xml:space="preserve">Komiteja </w:t>
      </w:r>
      <w:r w:rsidRPr="00AB7E22">
        <w:rPr>
          <w:lang w:val="lv-LV"/>
        </w:rPr>
        <w:t xml:space="preserve">rekomendēja, ka ieslodzījuma vietu izmeklēšanas nodaļu darbinieki neveic kriminālizmeklēšanu saistībā ar sūdzībām par darbinieku īstenotu sliktu izturēšanos. </w:t>
      </w:r>
      <w:r w:rsidR="00F35988" w:rsidRPr="00AB7E22">
        <w:rPr>
          <w:lang w:val="lv-LV"/>
        </w:rPr>
        <w:t xml:space="preserve">Komiteja </w:t>
      </w:r>
      <w:r w:rsidRPr="00AB7E22">
        <w:rPr>
          <w:lang w:val="lv-LV"/>
        </w:rPr>
        <w:t>norādīja, ka šādi gadījumi būtu jāizmeklē institūcijai, kura ir neatkarīga no attiecīgās ieslodzījuma vietas</w:t>
      </w:r>
      <w:r w:rsidR="00C0286B" w:rsidRPr="00AB7E22">
        <w:rPr>
          <w:lang w:val="lv-LV"/>
        </w:rPr>
        <w:t>,</w:t>
      </w:r>
      <w:r w:rsidRPr="00AB7E22">
        <w:rPr>
          <w:lang w:val="lv-LV"/>
        </w:rPr>
        <w:t xml:space="preserve"> un, ja iespējams, arī no visas ieslodzījuma vietu sistēmas. Uz to pašu </w:t>
      </w:r>
      <w:r w:rsidR="00F35988" w:rsidRPr="00AB7E22">
        <w:rPr>
          <w:lang w:val="lv-LV"/>
        </w:rPr>
        <w:t xml:space="preserve">Komiteja </w:t>
      </w:r>
      <w:r w:rsidRPr="00AB7E22">
        <w:rPr>
          <w:lang w:val="lv-LV"/>
        </w:rPr>
        <w:t xml:space="preserve">norādīja savos ziņojumos par vizīti Latvijā no </w:t>
      </w:r>
      <w:proofErr w:type="gramStart"/>
      <w:r w:rsidRPr="00AB7E22">
        <w:rPr>
          <w:lang w:val="lv-LV"/>
        </w:rPr>
        <w:t>2009.gada</w:t>
      </w:r>
      <w:proofErr w:type="gramEnd"/>
      <w:r w:rsidRPr="00AB7E22">
        <w:rPr>
          <w:lang w:val="lv-LV"/>
        </w:rPr>
        <w:t xml:space="preserve"> 3. līdz 8.decembrim un no 2011.gada 5. līdz 15.septembrim. </w:t>
      </w:r>
      <w:r w:rsidR="00364931" w:rsidRPr="00AB7E22">
        <w:rPr>
          <w:lang w:val="lv-LV"/>
        </w:rPr>
        <w:t xml:space="preserve">Savukārt, ziņojumā par vizīti Latvijā laika posmā no </w:t>
      </w:r>
      <w:proofErr w:type="gramStart"/>
      <w:r w:rsidR="00364931" w:rsidRPr="00AB7E22">
        <w:rPr>
          <w:lang w:val="lv-LV"/>
        </w:rPr>
        <w:t>2004.gada</w:t>
      </w:r>
      <w:proofErr w:type="gramEnd"/>
      <w:r w:rsidR="00364931" w:rsidRPr="00AB7E22">
        <w:rPr>
          <w:lang w:val="lv-LV"/>
        </w:rPr>
        <w:t xml:space="preserve"> 5. līdz 12.maijam </w:t>
      </w:r>
      <w:r w:rsidR="00F35988" w:rsidRPr="00AB7E22">
        <w:rPr>
          <w:lang w:val="lv-LV"/>
        </w:rPr>
        <w:t xml:space="preserve">Komiteja </w:t>
      </w:r>
      <w:r w:rsidR="00364931" w:rsidRPr="00AB7E22">
        <w:rPr>
          <w:lang w:val="lv-LV"/>
        </w:rPr>
        <w:t xml:space="preserve">norādīja uz vardarbības ieslodzīto vidū izmeklēšanas nepilnībām un pieprasīja, lai Latvijas varas iestādes izstrādātu stratēģiju, kā risināt ar vardarbību ieslodzīto vidū saistītās problēmas apmeklētajās iestādēs (un attiecīgā gadījumā arī citās Latvijas ieslodzījuma vietās). Uz minētajiem </w:t>
      </w:r>
      <w:r w:rsidR="00F35988" w:rsidRPr="00AB7E22">
        <w:rPr>
          <w:lang w:val="lv-LV"/>
        </w:rPr>
        <w:t xml:space="preserve">Komitejas </w:t>
      </w:r>
      <w:r w:rsidR="00364931" w:rsidRPr="00AB7E22">
        <w:rPr>
          <w:lang w:val="lv-LV"/>
        </w:rPr>
        <w:t xml:space="preserve">secinājumiem balstījās arī ECT </w:t>
      </w:r>
      <w:proofErr w:type="gramStart"/>
      <w:r w:rsidR="00364931" w:rsidRPr="00AB7E22">
        <w:rPr>
          <w:lang w:val="lv-LV"/>
        </w:rPr>
        <w:t>2012.gada</w:t>
      </w:r>
      <w:proofErr w:type="gramEnd"/>
      <w:r w:rsidR="00364931" w:rsidRPr="00AB7E22">
        <w:rPr>
          <w:lang w:val="lv-LV"/>
        </w:rPr>
        <w:t xml:space="preserve"> 17.aprīļa spriedumā lietā „J.L. pret Latviju”, norādot, ka vardarbību ieslodzīto vidū izmeklēšana būtu jāveic no attiecīgās ieslodzījuma vietas, un, ieteicamas, ieslodzījuma vietu sistēmas kopumā, neatkarīgai institūcijai. </w:t>
      </w:r>
    </w:p>
    <w:p w:rsidR="00A844DB" w:rsidRPr="00AB7E22" w:rsidRDefault="00A844DB" w:rsidP="008C2660">
      <w:pPr>
        <w:ind w:firstLine="720"/>
        <w:jc w:val="both"/>
        <w:rPr>
          <w:lang w:val="lv-LV"/>
        </w:rPr>
      </w:pPr>
      <w:r w:rsidRPr="00AB7E22">
        <w:rPr>
          <w:lang w:val="lv-LV"/>
        </w:rPr>
        <w:t xml:space="preserve">Ņemot vērā to, ka uz </w:t>
      </w:r>
      <w:proofErr w:type="spellStart"/>
      <w:r w:rsidRPr="00AB7E22">
        <w:rPr>
          <w:lang w:val="lv-LV"/>
        </w:rPr>
        <w:t>IeVP</w:t>
      </w:r>
      <w:proofErr w:type="spellEnd"/>
      <w:r w:rsidRPr="00AB7E22">
        <w:rPr>
          <w:lang w:val="lv-LV"/>
        </w:rPr>
        <w:t xml:space="preserve"> amatpersonu izdarīto noziedzīgo nodarījumu izmeklēšanas nepilnībām </w:t>
      </w:r>
      <w:proofErr w:type="spellStart"/>
      <w:r w:rsidRPr="00AB7E22">
        <w:rPr>
          <w:lang w:val="lv-LV"/>
        </w:rPr>
        <w:t>vairākkārt</w:t>
      </w:r>
      <w:proofErr w:type="spellEnd"/>
      <w:r w:rsidRPr="00AB7E22">
        <w:rPr>
          <w:lang w:val="lv-LV"/>
        </w:rPr>
        <w:t xml:space="preserve"> ir norādījusi </w:t>
      </w:r>
      <w:r w:rsidR="00F35988" w:rsidRPr="00AB7E22">
        <w:rPr>
          <w:lang w:val="lv-LV"/>
        </w:rPr>
        <w:t>Komiteja</w:t>
      </w:r>
      <w:r w:rsidR="00FB7B22" w:rsidRPr="00AB7E22">
        <w:rPr>
          <w:lang w:val="lv-LV"/>
        </w:rPr>
        <w:t>,</w:t>
      </w:r>
      <w:r w:rsidRPr="00AB7E22">
        <w:rPr>
          <w:lang w:val="lv-LV"/>
        </w:rPr>
        <w:t xml:space="preserve"> jautājumu par minēto noziedzīgo nodarījumu izmeklēšanas efektivitātes uzlabošanu ir nepieciešams atrisināt, lai novērstu Latvijai nelabvēlīgu ECT spriedumu pieņemšanu saistībā ar minēto noziegumu izmeklēšanas neefektivitāti. Turklāt jāņem vērā, ka </w:t>
      </w:r>
      <w:r w:rsidRPr="00AB7E22">
        <w:rPr>
          <w:lang w:val="lv-LV" w:eastAsia="lv-LV"/>
        </w:rPr>
        <w:t xml:space="preserve">Eiropas konvencijas par spīdzināšanas un necilvēcīgas vai pazemojošas rīcības vai soda novēršanu </w:t>
      </w:r>
      <w:proofErr w:type="gramStart"/>
      <w:r w:rsidRPr="00AB7E22">
        <w:rPr>
          <w:lang w:val="lv-LV" w:eastAsia="lv-LV"/>
        </w:rPr>
        <w:t>10.panta</w:t>
      </w:r>
      <w:proofErr w:type="gramEnd"/>
      <w:r w:rsidRPr="00AB7E22">
        <w:rPr>
          <w:lang w:val="lv-LV" w:eastAsia="lv-LV"/>
        </w:rPr>
        <w:t xml:space="preserve"> 2.punkts noteic, ka, ja puse nesadarbojas vai atsakās uzlabot situāciju saskaņā ar </w:t>
      </w:r>
      <w:r w:rsidR="00F35988" w:rsidRPr="00AB7E22">
        <w:rPr>
          <w:lang w:val="lv-LV"/>
        </w:rPr>
        <w:t xml:space="preserve">Komitejas </w:t>
      </w:r>
      <w:r w:rsidRPr="00AB7E22">
        <w:rPr>
          <w:lang w:val="lv-LV" w:eastAsia="lv-LV"/>
        </w:rPr>
        <w:t xml:space="preserve">rekomendācijām, </w:t>
      </w:r>
      <w:r w:rsidR="00F35988" w:rsidRPr="00AB7E22">
        <w:rPr>
          <w:lang w:val="lv-LV"/>
        </w:rPr>
        <w:t>Komiteja</w:t>
      </w:r>
      <w:r w:rsidRPr="00AB7E22">
        <w:rPr>
          <w:lang w:val="lv-LV" w:eastAsia="lv-LV"/>
        </w:rPr>
        <w:t>, pēc Puses viedokļa uzklausīšanas, ir tiesības ar tās locekļu divu trešdaļu balsu vairākumu savus konstatējumus attiecīgajā jautājumā paziņot publiski.</w:t>
      </w:r>
    </w:p>
    <w:p w:rsidR="002E2254" w:rsidRPr="00AB7E22" w:rsidRDefault="002E2254" w:rsidP="002E2254">
      <w:pPr>
        <w:pStyle w:val="Galvene"/>
        <w:tabs>
          <w:tab w:val="clear" w:pos="4153"/>
          <w:tab w:val="center" w:pos="709"/>
        </w:tabs>
        <w:jc w:val="both"/>
        <w:rPr>
          <w:lang w:val="lv-LV"/>
        </w:rPr>
      </w:pPr>
      <w:r w:rsidRPr="00AB7E22">
        <w:rPr>
          <w:lang w:val="lv-LV"/>
        </w:rPr>
        <w:tab/>
      </w:r>
      <w:r w:rsidR="001B0E03" w:rsidRPr="00AB7E22">
        <w:rPr>
          <w:lang w:val="lv-LV"/>
        </w:rPr>
        <w:tab/>
        <w:t xml:space="preserve">Papildus minētajam </w:t>
      </w:r>
      <w:proofErr w:type="spellStart"/>
      <w:r w:rsidR="001B0E03" w:rsidRPr="00AB7E22">
        <w:rPr>
          <w:lang w:val="lv-LV"/>
        </w:rPr>
        <w:t>IeVP</w:t>
      </w:r>
      <w:proofErr w:type="spellEnd"/>
      <w:r w:rsidR="001B0E03" w:rsidRPr="00AB7E22">
        <w:rPr>
          <w:lang w:val="lv-LV"/>
        </w:rPr>
        <w:t xml:space="preserve"> vērsa uzmanību uz to</w:t>
      </w:r>
      <w:r w:rsidRPr="00AB7E22">
        <w:rPr>
          <w:lang w:val="lv-LV"/>
        </w:rPr>
        <w:t xml:space="preserve">, ka atšķirībā no </w:t>
      </w:r>
      <w:r w:rsidR="001B0E03" w:rsidRPr="00AB7E22">
        <w:rPr>
          <w:lang w:val="lv-LV"/>
        </w:rPr>
        <w:t>VP, k</w:t>
      </w:r>
      <w:r w:rsidR="00E6032E" w:rsidRPr="00AB7E22">
        <w:rPr>
          <w:lang w:val="lv-LV"/>
        </w:rPr>
        <w:t>as vadās no</w:t>
      </w:r>
      <w:r w:rsidR="001B0E03" w:rsidRPr="00AB7E22">
        <w:rPr>
          <w:lang w:val="lv-LV"/>
        </w:rPr>
        <w:t xml:space="preserve"> </w:t>
      </w:r>
      <w:r w:rsidR="00E6032E" w:rsidRPr="00AB7E22">
        <w:rPr>
          <w:lang w:val="lv-LV"/>
        </w:rPr>
        <w:t>MK</w:t>
      </w:r>
      <w:r w:rsidR="001B0E03" w:rsidRPr="00AB7E22">
        <w:rPr>
          <w:lang w:val="lv-LV"/>
        </w:rPr>
        <w:t xml:space="preserve"> noteikumos Nr.305 noteik</w:t>
      </w:r>
      <w:r w:rsidR="00E6032E" w:rsidRPr="00AB7E22">
        <w:rPr>
          <w:lang w:val="lv-LV"/>
        </w:rPr>
        <w:t>tā,</w:t>
      </w:r>
      <w:r w:rsidRPr="00AB7E22">
        <w:rPr>
          <w:lang w:val="lv-LV"/>
        </w:rPr>
        <w:t xml:space="preserve"> </w:t>
      </w:r>
      <w:proofErr w:type="spellStart"/>
      <w:r w:rsidRPr="00AB7E22">
        <w:rPr>
          <w:lang w:val="lv-LV"/>
        </w:rPr>
        <w:t>IeVP</w:t>
      </w:r>
      <w:proofErr w:type="spellEnd"/>
      <w:r w:rsidRPr="00AB7E22">
        <w:rPr>
          <w:lang w:val="lv-LV"/>
        </w:rPr>
        <w:t xml:space="preserve"> ārējos normatīvajos aktos nav noteikts apjoms, kādā var veikt videonovērošanu ieslodzījuma vietās</w:t>
      </w:r>
      <w:r w:rsidR="00E6032E" w:rsidRPr="00AB7E22">
        <w:rPr>
          <w:lang w:val="lv-LV"/>
        </w:rPr>
        <w:t xml:space="preserve">. Līdz ar to </w:t>
      </w:r>
      <w:proofErr w:type="spellStart"/>
      <w:r w:rsidR="00E6032E" w:rsidRPr="00AB7E22">
        <w:rPr>
          <w:lang w:val="lv-LV"/>
        </w:rPr>
        <w:t>IeVP</w:t>
      </w:r>
      <w:proofErr w:type="spellEnd"/>
      <w:r w:rsidR="00E6032E" w:rsidRPr="00AB7E22">
        <w:rPr>
          <w:lang w:val="lv-LV"/>
        </w:rPr>
        <w:t xml:space="preserve">, </w:t>
      </w:r>
      <w:r w:rsidRPr="00AB7E22">
        <w:rPr>
          <w:lang w:val="lv-LV"/>
        </w:rPr>
        <w:t xml:space="preserve">pamatojoties uz Datu valsts inspekcijas rekomendāciju „Datu apstrāde videonovērošanas jomā”, ieslodzītajiem un ieslodzījuma vietas apmeklētājiem redzamās vietās (piemēram – pie ieejas kontroles caurlaides punktā, transporta kontroles caurlaides punktā, dzīvojamo korpusu koridori, pastaigu laukumi, satikšanās telpa </w:t>
      </w:r>
      <w:proofErr w:type="spellStart"/>
      <w:r w:rsidRPr="00AB7E22">
        <w:rPr>
          <w:lang w:val="lv-LV"/>
        </w:rPr>
        <w:t>u.c</w:t>
      </w:r>
      <w:proofErr w:type="spellEnd"/>
      <w:r w:rsidRPr="00AB7E22">
        <w:rPr>
          <w:lang w:val="lv-LV"/>
        </w:rPr>
        <w:t>.) atbilstoši ieslodzījuma vietām nosūtītajam paraugam izvieto paziņojumus par videonovērošanas veikšanu.</w:t>
      </w:r>
    </w:p>
    <w:p w:rsidR="002E2254" w:rsidRPr="00AB7E22" w:rsidRDefault="00E6032E" w:rsidP="002E2254">
      <w:pPr>
        <w:ind w:firstLine="720"/>
        <w:jc w:val="both"/>
        <w:rPr>
          <w:lang w:val="lv-LV"/>
        </w:rPr>
      </w:pPr>
      <w:r w:rsidRPr="00AB7E22">
        <w:rPr>
          <w:lang w:val="lv-LV"/>
        </w:rPr>
        <w:t>Attiecībā</w:t>
      </w:r>
      <w:r w:rsidR="002E2254" w:rsidRPr="00AB7E22">
        <w:rPr>
          <w:lang w:val="lv-LV"/>
        </w:rPr>
        <w:t xml:space="preserve"> uz videonovērošanas ieraksta glabāšanu, </w:t>
      </w:r>
      <w:proofErr w:type="spellStart"/>
      <w:r w:rsidR="002E2254" w:rsidRPr="00AB7E22">
        <w:rPr>
          <w:lang w:val="lv-LV"/>
        </w:rPr>
        <w:t>IeVP</w:t>
      </w:r>
      <w:proofErr w:type="spellEnd"/>
      <w:r w:rsidR="002E2254" w:rsidRPr="00AB7E22">
        <w:rPr>
          <w:lang w:val="lv-LV"/>
        </w:rPr>
        <w:t xml:space="preserve"> informē, ka ieraksti tiek glabāti datora vai servera cietajā diskā līdz brīdim, kamēr tas ir pilns. Pēc tam videoieraksts tiek rakstīts pa virsu jau esošajiem ierakstiem. Prakse rāda, ka vienā cietumā ieraksts glabājas ilgāk, citā mazāk, proti, tas ir atkarīgs no cietā diska apjoma. To projektu ietvaros, kuros tika piešķirti finanšu līdzekļi, tika uzstādīti lielāka apjoma datora cietie diski un tāpēc arī informāciju ir iespējams saglabāt nedaudz ilgāk. Ierakstītā informācija šobrīd tiek glabāta apmēram </w:t>
      </w:r>
      <w:proofErr w:type="gramStart"/>
      <w:r w:rsidR="002E2254" w:rsidRPr="00AB7E22">
        <w:rPr>
          <w:lang w:val="lv-LV"/>
        </w:rPr>
        <w:t>2</w:t>
      </w:r>
      <w:r w:rsidRPr="00AB7E22">
        <w:rPr>
          <w:lang w:val="lv-LV"/>
        </w:rPr>
        <w:t xml:space="preserve"> –</w:t>
      </w:r>
      <w:r w:rsidR="002E2254" w:rsidRPr="00AB7E22">
        <w:rPr>
          <w:lang w:val="lv-LV"/>
        </w:rPr>
        <w:t>3</w:t>
      </w:r>
      <w:proofErr w:type="gramEnd"/>
      <w:r w:rsidR="002E2254" w:rsidRPr="00AB7E22">
        <w:rPr>
          <w:lang w:val="lv-LV"/>
        </w:rPr>
        <w:t xml:space="preserve"> nedēļas.</w:t>
      </w:r>
    </w:p>
    <w:p w:rsidR="002E2254" w:rsidRPr="00AB7E22" w:rsidRDefault="002E2254" w:rsidP="00A844DB">
      <w:pPr>
        <w:ind w:firstLine="720"/>
        <w:jc w:val="both"/>
        <w:rPr>
          <w:lang w:val="lv-LV"/>
        </w:rPr>
      </w:pPr>
    </w:p>
    <w:p w:rsidR="00AC692E" w:rsidRPr="00AB7E22" w:rsidRDefault="006F74E1" w:rsidP="00A75392">
      <w:pPr>
        <w:pStyle w:val="Pamattekstsaratkpi"/>
        <w:numPr>
          <w:ilvl w:val="0"/>
          <w:numId w:val="3"/>
        </w:numPr>
        <w:tabs>
          <w:tab w:val="left" w:pos="567"/>
        </w:tabs>
        <w:spacing w:after="0"/>
        <w:ind w:right="-1"/>
        <w:jc w:val="center"/>
        <w:rPr>
          <w:b/>
        </w:rPr>
      </w:pPr>
      <w:r w:rsidRPr="00AB7E22">
        <w:rPr>
          <w:b/>
        </w:rPr>
        <w:t>Pārskats par sūdzībām par iespējamu valsts amatpersonu vardarbību</w:t>
      </w:r>
    </w:p>
    <w:p w:rsidR="006F74E1" w:rsidRPr="00AB7E22" w:rsidRDefault="006F74E1" w:rsidP="004A1C87">
      <w:pPr>
        <w:pStyle w:val="Pamattekstsaratkpi"/>
        <w:tabs>
          <w:tab w:val="left" w:pos="567"/>
        </w:tabs>
        <w:spacing w:after="0"/>
        <w:ind w:left="0" w:right="-1"/>
        <w:jc w:val="center"/>
        <w:rPr>
          <w:b/>
        </w:rPr>
      </w:pPr>
    </w:p>
    <w:p w:rsidR="004C6116" w:rsidRPr="00AB7E22" w:rsidRDefault="00975F8F" w:rsidP="004A1C87">
      <w:pPr>
        <w:tabs>
          <w:tab w:val="left" w:pos="567"/>
        </w:tabs>
        <w:ind w:right="-1" w:firstLine="720"/>
        <w:jc w:val="both"/>
        <w:rPr>
          <w:lang w:val="lv-LV"/>
        </w:rPr>
      </w:pPr>
      <w:r w:rsidRPr="00AB7E22">
        <w:rPr>
          <w:lang w:val="lv-LV"/>
        </w:rPr>
        <w:t>[</w:t>
      </w:r>
      <w:r w:rsidR="00BC0533" w:rsidRPr="00AB7E22">
        <w:rPr>
          <w:lang w:val="lv-LV"/>
        </w:rPr>
        <w:t>2</w:t>
      </w:r>
      <w:r w:rsidRPr="00AB7E22">
        <w:rPr>
          <w:lang w:val="lv-LV"/>
        </w:rPr>
        <w:t>.]</w:t>
      </w:r>
      <w:r w:rsidR="00AC692E" w:rsidRPr="00AB7E22">
        <w:rPr>
          <w:lang w:val="lv-LV"/>
        </w:rPr>
        <w:t xml:space="preserve"> IeM informēja</w:t>
      </w:r>
      <w:r w:rsidR="0060156F" w:rsidRPr="00AB7E22">
        <w:rPr>
          <w:lang w:val="lv-LV"/>
        </w:rPr>
        <w:t>, ka</w:t>
      </w:r>
      <w:r w:rsidR="00AC692E" w:rsidRPr="00AB7E22">
        <w:rPr>
          <w:lang w:val="lv-LV"/>
        </w:rPr>
        <w:t xml:space="preserve"> a</w:t>
      </w:r>
      <w:r w:rsidR="004C6116" w:rsidRPr="00AB7E22">
        <w:rPr>
          <w:lang w:val="lv-LV"/>
        </w:rPr>
        <w:t xml:space="preserve">tbilstoši esošajam normatīvajam regulējumam </w:t>
      </w:r>
      <w:r w:rsidRPr="00AB7E22">
        <w:rPr>
          <w:lang w:val="lv-LV"/>
        </w:rPr>
        <w:t>IeM</w:t>
      </w:r>
      <w:r w:rsidR="004C6116" w:rsidRPr="00AB7E22">
        <w:rPr>
          <w:lang w:val="lv-LV"/>
        </w:rPr>
        <w:t xml:space="preserve"> pārraudzībā esošajās iestādēs iesniegumus par iespējamu vardarbību izskata speciāli izveidotā</w:t>
      </w:r>
      <w:r w:rsidRPr="00AB7E22">
        <w:rPr>
          <w:lang w:val="lv-LV"/>
        </w:rPr>
        <w:t xml:space="preserve">s struktūrvienības. </w:t>
      </w:r>
      <w:r w:rsidR="004C6116" w:rsidRPr="00AB7E22">
        <w:rPr>
          <w:lang w:val="lv-LV"/>
        </w:rPr>
        <w:t xml:space="preserve">Saskaņā ar </w:t>
      </w:r>
      <w:r w:rsidRPr="00AB7E22">
        <w:rPr>
          <w:lang w:val="lv-LV"/>
        </w:rPr>
        <w:t xml:space="preserve">VP IDB </w:t>
      </w:r>
      <w:proofErr w:type="gramStart"/>
      <w:r w:rsidRPr="00AB7E22">
        <w:rPr>
          <w:lang w:val="lv-LV"/>
        </w:rPr>
        <w:t>2011.gada</w:t>
      </w:r>
      <w:proofErr w:type="gramEnd"/>
      <w:r w:rsidRPr="00AB7E22">
        <w:rPr>
          <w:lang w:val="lv-LV"/>
        </w:rPr>
        <w:t xml:space="preserve"> 24.oktobra reglamenta Nr.18 13.punktā noteikto VP</w:t>
      </w:r>
      <w:r w:rsidR="004C6116" w:rsidRPr="00AB7E22">
        <w:rPr>
          <w:lang w:val="lv-LV"/>
        </w:rPr>
        <w:t xml:space="preserve"> </w:t>
      </w:r>
      <w:r w:rsidRPr="00AB7E22">
        <w:rPr>
          <w:lang w:val="lv-LV"/>
        </w:rPr>
        <w:t>IDB</w:t>
      </w:r>
      <w:r w:rsidR="004C6116" w:rsidRPr="00AB7E22">
        <w:rPr>
          <w:lang w:val="lv-LV"/>
        </w:rPr>
        <w:t xml:space="preserve"> izskata juridisko un fizisko personu iesniegumus un sūdzības, kā arī veic pārbaudes par policijas darbinieku iespējamiem pārkāpumiem.</w:t>
      </w:r>
      <w:r w:rsidRPr="00AB7E22">
        <w:rPr>
          <w:lang w:val="lv-LV"/>
        </w:rPr>
        <w:t xml:space="preserve"> </w:t>
      </w:r>
      <w:r w:rsidR="004C6116" w:rsidRPr="00AB7E22">
        <w:rPr>
          <w:lang w:val="lv-LV"/>
        </w:rPr>
        <w:t xml:space="preserve">Valsts </w:t>
      </w:r>
      <w:r w:rsidR="00E06AD2" w:rsidRPr="00AB7E22">
        <w:rPr>
          <w:lang w:val="lv-LV"/>
        </w:rPr>
        <w:t>r</w:t>
      </w:r>
      <w:r w:rsidR="004C6116" w:rsidRPr="00AB7E22">
        <w:rPr>
          <w:lang w:val="lv-LV"/>
        </w:rPr>
        <w:t xml:space="preserve">obežsardzes </w:t>
      </w:r>
      <w:proofErr w:type="gramStart"/>
      <w:r w:rsidR="004C6116" w:rsidRPr="00AB7E22">
        <w:rPr>
          <w:lang w:val="lv-LV"/>
        </w:rPr>
        <w:t>2008.g</w:t>
      </w:r>
      <w:r w:rsidR="004D1E2D" w:rsidRPr="00AB7E22">
        <w:rPr>
          <w:lang w:val="lv-LV"/>
        </w:rPr>
        <w:t>ada</w:t>
      </w:r>
      <w:proofErr w:type="gramEnd"/>
      <w:r w:rsidR="004D1E2D" w:rsidRPr="00AB7E22">
        <w:rPr>
          <w:lang w:val="lv-LV"/>
        </w:rPr>
        <w:t xml:space="preserve"> 21.aprīļa reglamenta Nr.12 </w:t>
      </w:r>
      <w:r w:rsidR="004C6116" w:rsidRPr="00AB7E22">
        <w:rPr>
          <w:lang w:val="lv-LV"/>
        </w:rPr>
        <w:t>32.1.apakšpunkts nosaka, ka disc</w:t>
      </w:r>
      <w:r w:rsidRPr="00AB7E22">
        <w:rPr>
          <w:lang w:val="lv-LV"/>
        </w:rPr>
        <w:t xml:space="preserve">iplinārās uzraudzības </w:t>
      </w:r>
      <w:r w:rsidRPr="00AB7E22">
        <w:rPr>
          <w:lang w:val="lv-LV"/>
        </w:rPr>
        <w:lastRenderedPageBreak/>
        <w:t>pasākumus Valsts robežsardzē</w:t>
      </w:r>
      <w:r w:rsidR="004C6116" w:rsidRPr="00AB7E22">
        <w:rPr>
          <w:lang w:val="lv-LV"/>
        </w:rPr>
        <w:t xml:space="preserve"> organizē un ve</w:t>
      </w:r>
      <w:r w:rsidR="004D1E2D" w:rsidRPr="00AB7E22">
        <w:rPr>
          <w:lang w:val="lv-LV"/>
        </w:rPr>
        <w:t>ic</w:t>
      </w:r>
      <w:r w:rsidR="004C6116" w:rsidRPr="00AB7E22">
        <w:rPr>
          <w:lang w:val="lv-LV"/>
        </w:rPr>
        <w:t xml:space="preserve"> inspekcijas </w:t>
      </w:r>
      <w:r w:rsidR="008C29EA" w:rsidRPr="00AB7E22">
        <w:rPr>
          <w:lang w:val="lv-LV"/>
        </w:rPr>
        <w:t xml:space="preserve">un slepenības režīma dienests. </w:t>
      </w:r>
      <w:r w:rsidR="004C6116" w:rsidRPr="00AB7E22">
        <w:rPr>
          <w:lang w:val="lv-LV"/>
        </w:rPr>
        <w:t xml:space="preserve">Ievērojot minēto, </w:t>
      </w:r>
      <w:r w:rsidRPr="00AB7E22">
        <w:rPr>
          <w:lang w:val="lv-LV"/>
        </w:rPr>
        <w:t>IeM</w:t>
      </w:r>
      <w:r w:rsidR="004C6116" w:rsidRPr="00AB7E22">
        <w:rPr>
          <w:lang w:val="lv-LV"/>
        </w:rPr>
        <w:t xml:space="preserve"> pie</w:t>
      </w:r>
      <w:r w:rsidRPr="00AB7E22">
        <w:rPr>
          <w:lang w:val="lv-LV"/>
        </w:rPr>
        <w:t xml:space="preserve">prasīja informāciju no iestādēm, kuras </w:t>
      </w:r>
      <w:r w:rsidR="001408EE" w:rsidRPr="00AB7E22">
        <w:rPr>
          <w:lang w:val="lv-LV"/>
        </w:rPr>
        <w:t xml:space="preserve">sniedza šādu </w:t>
      </w:r>
      <w:r w:rsidRPr="00AB7E22">
        <w:rPr>
          <w:lang w:val="lv-LV"/>
        </w:rPr>
        <w:t>inform</w:t>
      </w:r>
      <w:r w:rsidR="001408EE" w:rsidRPr="00AB7E22">
        <w:rPr>
          <w:lang w:val="lv-LV"/>
        </w:rPr>
        <w:t>āciju:</w:t>
      </w:r>
    </w:p>
    <w:p w:rsidR="004C6116" w:rsidRPr="00AB7E22" w:rsidRDefault="00975F8F" w:rsidP="004A1C87">
      <w:pPr>
        <w:tabs>
          <w:tab w:val="left" w:pos="567"/>
        </w:tabs>
        <w:ind w:right="-1" w:firstLine="720"/>
        <w:jc w:val="both"/>
        <w:rPr>
          <w:lang w:val="lv-LV"/>
        </w:rPr>
      </w:pPr>
      <w:r w:rsidRPr="00AB7E22">
        <w:rPr>
          <w:lang w:val="lv-LV"/>
        </w:rPr>
        <w:t>[</w:t>
      </w:r>
      <w:r w:rsidR="00BC0533" w:rsidRPr="00AB7E22">
        <w:rPr>
          <w:lang w:val="lv-LV"/>
        </w:rPr>
        <w:t>2.1</w:t>
      </w:r>
      <w:r w:rsidRPr="00AB7E22">
        <w:rPr>
          <w:lang w:val="lv-LV"/>
        </w:rPr>
        <w:t>.]</w:t>
      </w:r>
      <w:r w:rsidR="004C6116" w:rsidRPr="00AB7E22">
        <w:rPr>
          <w:lang w:val="lv-LV"/>
        </w:rPr>
        <w:t xml:space="preserve"> </w:t>
      </w:r>
      <w:r w:rsidR="004C6116" w:rsidRPr="00AB7E22">
        <w:rPr>
          <w:b/>
          <w:u w:val="single"/>
          <w:lang w:val="lv-LV"/>
        </w:rPr>
        <w:t>Valsts robežsardze</w:t>
      </w:r>
      <w:r w:rsidRPr="00AB7E22">
        <w:rPr>
          <w:b/>
          <w:u w:val="single"/>
          <w:lang w:val="lv-LV"/>
        </w:rPr>
        <w:t xml:space="preserve"> (turpmāk – VR)</w:t>
      </w:r>
      <w:r w:rsidRPr="00AB7E22">
        <w:rPr>
          <w:lang w:val="lv-LV"/>
        </w:rPr>
        <w:t xml:space="preserve"> </w:t>
      </w:r>
      <w:r w:rsidR="004C6116" w:rsidRPr="00AB7E22">
        <w:rPr>
          <w:lang w:val="lv-LV"/>
        </w:rPr>
        <w:t xml:space="preserve">norādīja, ka </w:t>
      </w:r>
      <w:r w:rsidRPr="00AB7E22">
        <w:rPr>
          <w:lang w:val="lv-LV"/>
        </w:rPr>
        <w:t>VR</w:t>
      </w:r>
      <w:r w:rsidR="004C6116" w:rsidRPr="00AB7E22">
        <w:rPr>
          <w:lang w:val="lv-LV"/>
        </w:rPr>
        <w:t xml:space="preserve"> nav konstatēti pārkāpumi sūdzību par iespējamu vardarbību izmeklēšanā.</w:t>
      </w:r>
      <w:r w:rsidRPr="00AB7E22">
        <w:rPr>
          <w:lang w:val="lv-LV"/>
        </w:rPr>
        <w:t xml:space="preserve"> </w:t>
      </w:r>
      <w:r w:rsidR="004C6116" w:rsidRPr="00AB7E22">
        <w:rPr>
          <w:lang w:val="lv-LV"/>
        </w:rPr>
        <w:t xml:space="preserve">Sūdzības par iespējamu vardarbību no </w:t>
      </w:r>
      <w:r w:rsidRPr="00AB7E22">
        <w:rPr>
          <w:lang w:val="lv-LV"/>
        </w:rPr>
        <w:t>VR d</w:t>
      </w:r>
      <w:r w:rsidR="004C6116" w:rsidRPr="00AB7E22">
        <w:rPr>
          <w:lang w:val="lv-LV"/>
        </w:rPr>
        <w:t xml:space="preserve">arbinieku puses tika izskatītas objektīvi, vispusīgi un saskaņā ar normatīvajiem aktiem. Kopš </w:t>
      </w:r>
      <w:r w:rsidRPr="00AB7E22">
        <w:rPr>
          <w:lang w:val="lv-LV"/>
        </w:rPr>
        <w:t>VR</w:t>
      </w:r>
      <w:r w:rsidR="004C6116" w:rsidRPr="00AB7E22">
        <w:rPr>
          <w:lang w:val="lv-LV"/>
        </w:rPr>
        <w:t xml:space="preserve"> ir deleģēta funkcija izmeklēt noziedzīgus nodarījumus valsts institūciju dienestā, ir konstatēti tikai trīs šādi gadījumi. Visos gadījumos informācija par vardarbības pielietošanu izmeklēšanas gaitā neapstiprinājās. Sūdzības par šo faktu neobjektīvu un neefektīvu izmeklēšanu netika saņemtas. </w:t>
      </w:r>
    </w:p>
    <w:p w:rsidR="004C6116" w:rsidRPr="00AB7E22" w:rsidRDefault="00975F8F" w:rsidP="004A1C87">
      <w:pPr>
        <w:tabs>
          <w:tab w:val="left" w:pos="567"/>
        </w:tabs>
        <w:ind w:right="-1" w:firstLine="720"/>
        <w:jc w:val="both"/>
        <w:rPr>
          <w:lang w:val="lv-LV"/>
        </w:rPr>
      </w:pPr>
      <w:r w:rsidRPr="00AB7E22">
        <w:rPr>
          <w:lang w:val="lv-LV"/>
        </w:rPr>
        <w:t>[</w:t>
      </w:r>
      <w:r w:rsidR="00BC0533" w:rsidRPr="00AB7E22">
        <w:rPr>
          <w:lang w:val="lv-LV"/>
        </w:rPr>
        <w:t>2.2</w:t>
      </w:r>
      <w:r w:rsidRPr="00AB7E22">
        <w:rPr>
          <w:lang w:val="lv-LV"/>
        </w:rPr>
        <w:t xml:space="preserve">.] </w:t>
      </w:r>
      <w:r w:rsidRPr="00AB7E22">
        <w:rPr>
          <w:b/>
          <w:u w:val="single"/>
          <w:lang w:val="lv-LV"/>
        </w:rPr>
        <w:t>VP</w:t>
      </w:r>
      <w:r w:rsidRPr="00AB7E22">
        <w:rPr>
          <w:lang w:val="lv-LV"/>
        </w:rPr>
        <w:t xml:space="preserve"> norādīja, ka</w:t>
      </w:r>
      <w:r w:rsidR="004C6116" w:rsidRPr="00AB7E22">
        <w:rPr>
          <w:lang w:val="lv-LV"/>
        </w:rPr>
        <w:t xml:space="preserve"> V</w:t>
      </w:r>
      <w:r w:rsidRPr="00AB7E22">
        <w:rPr>
          <w:lang w:val="lv-LV"/>
        </w:rPr>
        <w:t xml:space="preserve">P IDB </w:t>
      </w:r>
      <w:r w:rsidR="004C6116" w:rsidRPr="00AB7E22">
        <w:rPr>
          <w:lang w:val="lv-LV"/>
        </w:rPr>
        <w:t xml:space="preserve">apkopo ziņas par </w:t>
      </w:r>
      <w:r w:rsidRPr="00AB7E22">
        <w:rPr>
          <w:lang w:val="lv-LV"/>
        </w:rPr>
        <w:t>VP</w:t>
      </w:r>
      <w:r w:rsidR="004C6116" w:rsidRPr="00AB7E22">
        <w:rPr>
          <w:lang w:val="lv-LV"/>
        </w:rPr>
        <w:t xml:space="preserve"> struktūrvienībās saņemtajām sūdzībām, iesniegumiem, paziņojumiem par iespējamiem vardarbības gadījumiem no </w:t>
      </w:r>
      <w:r w:rsidRPr="00AB7E22">
        <w:rPr>
          <w:lang w:val="lv-LV"/>
        </w:rPr>
        <w:t>VP</w:t>
      </w:r>
      <w:r w:rsidR="004C6116" w:rsidRPr="00AB7E22">
        <w:rPr>
          <w:lang w:val="lv-LV"/>
        </w:rPr>
        <w:t xml:space="preserve"> d</w:t>
      </w:r>
      <w:r w:rsidR="00620222" w:rsidRPr="00AB7E22">
        <w:rPr>
          <w:lang w:val="lv-LV"/>
        </w:rPr>
        <w:t xml:space="preserve">arbinieku puses, bet atsevišķa </w:t>
      </w:r>
      <w:r w:rsidR="004C6116" w:rsidRPr="00AB7E22">
        <w:rPr>
          <w:lang w:val="lv-LV"/>
        </w:rPr>
        <w:t>uzskaite par p</w:t>
      </w:r>
      <w:r w:rsidR="00620222" w:rsidRPr="00AB7E22">
        <w:rPr>
          <w:lang w:val="lv-LV"/>
        </w:rPr>
        <w:t>ārkāpumiem vardarbības gadījumu</w:t>
      </w:r>
      <w:r w:rsidR="004C6116" w:rsidRPr="00AB7E22">
        <w:rPr>
          <w:lang w:val="lv-LV"/>
        </w:rPr>
        <w:t xml:space="preserve"> izmeklēšanas gaitā netiek veikta.</w:t>
      </w:r>
    </w:p>
    <w:p w:rsidR="004C6116" w:rsidRPr="00AB7E22" w:rsidRDefault="004C6116" w:rsidP="004A1C87">
      <w:pPr>
        <w:tabs>
          <w:tab w:val="left" w:pos="567"/>
        </w:tabs>
        <w:ind w:right="-1"/>
        <w:jc w:val="both"/>
        <w:rPr>
          <w:lang w:val="lv-LV"/>
        </w:rPr>
      </w:pPr>
      <w:r w:rsidRPr="00AB7E22">
        <w:rPr>
          <w:lang w:val="lv-LV"/>
        </w:rPr>
        <w:tab/>
      </w:r>
      <w:r w:rsidR="00BC0533" w:rsidRPr="00AB7E22">
        <w:rPr>
          <w:lang w:val="lv-LV"/>
        </w:rPr>
        <w:t>[</w:t>
      </w:r>
      <w:r w:rsidR="004B713D" w:rsidRPr="00AB7E22">
        <w:rPr>
          <w:lang w:val="lv-LV"/>
        </w:rPr>
        <w:t>2.</w:t>
      </w:r>
      <w:r w:rsidR="00BC0533" w:rsidRPr="00AB7E22">
        <w:rPr>
          <w:lang w:val="lv-LV"/>
        </w:rPr>
        <w:t>2</w:t>
      </w:r>
      <w:r w:rsidR="004B713D" w:rsidRPr="00AB7E22">
        <w:rPr>
          <w:lang w:val="lv-LV"/>
        </w:rPr>
        <w:t>.</w:t>
      </w:r>
      <w:r w:rsidR="00BC0533" w:rsidRPr="00AB7E22">
        <w:rPr>
          <w:lang w:val="lv-LV"/>
        </w:rPr>
        <w:t>1.</w:t>
      </w:r>
      <w:r w:rsidR="004B713D" w:rsidRPr="00AB7E22">
        <w:rPr>
          <w:lang w:val="lv-LV"/>
        </w:rPr>
        <w:t xml:space="preserve">] </w:t>
      </w:r>
      <w:proofErr w:type="gramStart"/>
      <w:r w:rsidRPr="00AB7E22">
        <w:rPr>
          <w:b/>
          <w:lang w:val="lv-LV"/>
        </w:rPr>
        <w:t>2013.gada</w:t>
      </w:r>
      <w:proofErr w:type="gramEnd"/>
      <w:r w:rsidRPr="00AB7E22">
        <w:rPr>
          <w:b/>
          <w:lang w:val="lv-LV"/>
        </w:rPr>
        <w:t xml:space="preserve"> pirmajā pusgadā</w:t>
      </w:r>
      <w:r w:rsidRPr="00AB7E22">
        <w:rPr>
          <w:lang w:val="lv-LV"/>
        </w:rPr>
        <w:t xml:space="preserve"> </w:t>
      </w:r>
      <w:r w:rsidR="00620222" w:rsidRPr="00AB7E22">
        <w:rPr>
          <w:lang w:val="lv-LV"/>
        </w:rPr>
        <w:t>VP</w:t>
      </w:r>
      <w:r w:rsidRPr="00AB7E22">
        <w:rPr>
          <w:lang w:val="lv-LV"/>
        </w:rPr>
        <w:t xml:space="preserve"> saņēma 149 sūdzības par iespējamu vardarbības pielietošanu no </w:t>
      </w:r>
      <w:r w:rsidR="00620222" w:rsidRPr="00AB7E22">
        <w:rPr>
          <w:lang w:val="lv-LV"/>
        </w:rPr>
        <w:t>VP</w:t>
      </w:r>
      <w:r w:rsidRPr="00AB7E22">
        <w:rPr>
          <w:lang w:val="lv-LV"/>
        </w:rPr>
        <w:t xml:space="preserve"> darbinieku puses. Saņemtajos iesniegumos (sūdzībās) galvenokārt norādīts uz </w:t>
      </w:r>
      <w:r w:rsidR="00620222" w:rsidRPr="00AB7E22">
        <w:rPr>
          <w:lang w:val="lv-LV"/>
        </w:rPr>
        <w:t>VP</w:t>
      </w:r>
      <w:r w:rsidRPr="00AB7E22">
        <w:rPr>
          <w:lang w:val="lv-LV"/>
        </w:rPr>
        <w:t xml:space="preserve"> darbinieku dienesta pilnvaru pārsniegšanu, tai skaitā, pielietojot vardarbību, aizturēšanas un konvojēšanas laikā, kā arī īslaicīgās aizturēšanas vietās.</w:t>
      </w:r>
      <w:r w:rsidRPr="00AB7E22">
        <w:rPr>
          <w:lang w:val="lv-LV"/>
        </w:rPr>
        <w:tab/>
      </w:r>
    </w:p>
    <w:p w:rsidR="004C6116" w:rsidRPr="00AB7E22" w:rsidRDefault="004B713D" w:rsidP="004D1E2D">
      <w:pPr>
        <w:tabs>
          <w:tab w:val="left" w:pos="567"/>
        </w:tabs>
        <w:ind w:right="-1" w:firstLine="567"/>
        <w:jc w:val="both"/>
        <w:rPr>
          <w:lang w:val="lv-LV"/>
        </w:rPr>
      </w:pPr>
      <w:r w:rsidRPr="00AB7E22">
        <w:rPr>
          <w:lang w:val="lv-LV"/>
        </w:rPr>
        <w:t>[</w:t>
      </w:r>
      <w:r w:rsidR="00BC0533" w:rsidRPr="00AB7E22">
        <w:rPr>
          <w:lang w:val="lv-LV"/>
        </w:rPr>
        <w:t xml:space="preserve">2.2.2.] </w:t>
      </w:r>
      <w:r w:rsidR="00620222" w:rsidRPr="00AB7E22">
        <w:rPr>
          <w:lang w:val="lv-LV"/>
        </w:rPr>
        <w:t>VP IDB</w:t>
      </w:r>
      <w:r w:rsidR="004C6116" w:rsidRPr="00AB7E22">
        <w:rPr>
          <w:lang w:val="lv-LV"/>
        </w:rPr>
        <w:t xml:space="preserve"> 81 gadījumā pieņēma lēmumu par atteikšanos uzsākt kriminālprocesu, pamatojoties uz </w:t>
      </w:r>
      <w:r w:rsidR="003940CB" w:rsidRPr="00AB7E22">
        <w:rPr>
          <w:lang w:val="lv-LV"/>
        </w:rPr>
        <w:t>KPL</w:t>
      </w:r>
      <w:r w:rsidRPr="00AB7E22">
        <w:rPr>
          <w:lang w:val="lv-LV"/>
        </w:rPr>
        <w:t xml:space="preserve"> </w:t>
      </w:r>
      <w:r w:rsidR="004C6116" w:rsidRPr="00AB7E22">
        <w:rPr>
          <w:lang w:val="lv-LV"/>
        </w:rPr>
        <w:t>377.panta 1.punktu vai 2.punktu. Ir uzs</w:t>
      </w:r>
      <w:r w:rsidRPr="00AB7E22">
        <w:rPr>
          <w:lang w:val="lv-LV"/>
        </w:rPr>
        <w:t>ākti 15</w:t>
      </w:r>
      <w:r w:rsidR="004C6116" w:rsidRPr="00AB7E22">
        <w:rPr>
          <w:lang w:val="lv-LV"/>
        </w:rPr>
        <w:t xml:space="preserve"> kriminālprocesi</w:t>
      </w:r>
      <w:r w:rsidRPr="00AB7E22">
        <w:rPr>
          <w:lang w:val="lv-LV"/>
        </w:rPr>
        <w:t xml:space="preserve"> </w:t>
      </w:r>
      <w:r w:rsidR="00E06AD2" w:rsidRPr="00AB7E22">
        <w:rPr>
          <w:lang w:val="lv-LV"/>
        </w:rPr>
        <w:t>–</w:t>
      </w:r>
      <w:r w:rsidRPr="00AB7E22">
        <w:rPr>
          <w:lang w:val="lv-LV"/>
        </w:rPr>
        <w:t xml:space="preserve"> 7</w:t>
      </w:r>
      <w:r w:rsidR="004C6116" w:rsidRPr="00AB7E22">
        <w:rPr>
          <w:lang w:val="lv-LV"/>
        </w:rPr>
        <w:t xml:space="preserve"> pēc Krimināllikuma </w:t>
      </w:r>
      <w:r w:rsidRPr="00AB7E22">
        <w:rPr>
          <w:lang w:val="lv-LV"/>
        </w:rPr>
        <w:t xml:space="preserve">(turpmāk – KL) </w:t>
      </w:r>
      <w:r w:rsidR="004C6116" w:rsidRPr="00AB7E22">
        <w:rPr>
          <w:lang w:val="lv-LV"/>
        </w:rPr>
        <w:t xml:space="preserve">317.panta otrajā daļā paredzētā noziedzīga nodarījuma sastāva pazīmēm, </w:t>
      </w:r>
      <w:r w:rsidRPr="00AB7E22">
        <w:rPr>
          <w:lang w:val="lv-LV"/>
        </w:rPr>
        <w:t>1</w:t>
      </w:r>
      <w:r w:rsidR="004C6116" w:rsidRPr="00AB7E22">
        <w:rPr>
          <w:lang w:val="lv-LV"/>
        </w:rPr>
        <w:t xml:space="preserve"> pēc </w:t>
      </w:r>
      <w:r w:rsidRPr="00AB7E22">
        <w:rPr>
          <w:lang w:val="lv-LV"/>
        </w:rPr>
        <w:t>KL</w:t>
      </w:r>
      <w:r w:rsidR="004C6116" w:rsidRPr="00AB7E22">
        <w:rPr>
          <w:lang w:val="lv-LV"/>
        </w:rPr>
        <w:t xml:space="preserve"> 130.panta otrajā daļā paredzētā noziedzīga nodarījuma sastāva pazīm</w:t>
      </w:r>
      <w:r w:rsidRPr="00AB7E22">
        <w:rPr>
          <w:lang w:val="lv-LV"/>
        </w:rPr>
        <w:t xml:space="preserve">ēm, 3 </w:t>
      </w:r>
      <w:r w:rsidR="004C6116" w:rsidRPr="00AB7E22">
        <w:rPr>
          <w:lang w:val="lv-LV"/>
        </w:rPr>
        <w:t xml:space="preserve">kriminālprocesi pēc </w:t>
      </w:r>
      <w:r w:rsidRPr="00AB7E22">
        <w:rPr>
          <w:lang w:val="lv-LV"/>
        </w:rPr>
        <w:t>KL</w:t>
      </w:r>
      <w:r w:rsidR="004C6116" w:rsidRPr="00AB7E22">
        <w:rPr>
          <w:lang w:val="lv-LV"/>
        </w:rPr>
        <w:t xml:space="preserve"> 125.panta pirmajā un trešajā daļā paredzētā noziedzīga nodarījuma sastāva pazīmēm,</w:t>
      </w:r>
      <w:r w:rsidRPr="00AB7E22">
        <w:rPr>
          <w:lang w:val="lv-LV"/>
        </w:rPr>
        <w:t xml:space="preserve"> 1 </w:t>
      </w:r>
      <w:r w:rsidR="004C6116" w:rsidRPr="00AB7E22">
        <w:rPr>
          <w:lang w:val="lv-LV"/>
        </w:rPr>
        <w:t xml:space="preserve">kriminālprocess pēc </w:t>
      </w:r>
      <w:r w:rsidRPr="00AB7E22">
        <w:rPr>
          <w:lang w:val="lv-LV"/>
        </w:rPr>
        <w:t>KL</w:t>
      </w:r>
      <w:r w:rsidR="004C6116" w:rsidRPr="00AB7E22">
        <w:rPr>
          <w:lang w:val="lv-LV"/>
        </w:rPr>
        <w:t xml:space="preserve"> 13.nodaļas, </w:t>
      </w:r>
      <w:r w:rsidRPr="00AB7E22">
        <w:rPr>
          <w:lang w:val="lv-LV"/>
        </w:rPr>
        <w:t>1</w:t>
      </w:r>
      <w:r w:rsidR="004C6116" w:rsidRPr="00AB7E22">
        <w:rPr>
          <w:lang w:val="lv-LV"/>
        </w:rPr>
        <w:t xml:space="preserve"> kriminālprocess pēc K</w:t>
      </w:r>
      <w:r w:rsidRPr="00AB7E22">
        <w:rPr>
          <w:lang w:val="lv-LV"/>
        </w:rPr>
        <w:t>L</w:t>
      </w:r>
      <w:r w:rsidR="004C6116" w:rsidRPr="00AB7E22">
        <w:rPr>
          <w:lang w:val="lv-LV"/>
        </w:rPr>
        <w:t xml:space="preserve"> 231.panta otrajā daļā paredzētā nozied</w:t>
      </w:r>
      <w:r w:rsidRPr="00AB7E22">
        <w:rPr>
          <w:lang w:val="lv-LV"/>
        </w:rPr>
        <w:t>zīga nodarījuma sastāva pazīmēm</w:t>
      </w:r>
      <w:r w:rsidR="004C6116" w:rsidRPr="00AB7E22">
        <w:rPr>
          <w:lang w:val="lv-LV"/>
        </w:rPr>
        <w:t xml:space="preserve"> un </w:t>
      </w:r>
      <w:r w:rsidRPr="00AB7E22">
        <w:rPr>
          <w:lang w:val="lv-LV"/>
        </w:rPr>
        <w:t>1</w:t>
      </w:r>
      <w:r w:rsidR="004C6116" w:rsidRPr="00AB7E22">
        <w:rPr>
          <w:lang w:val="lv-LV"/>
        </w:rPr>
        <w:t xml:space="preserve"> kriminālprocess pēc K</w:t>
      </w:r>
      <w:r w:rsidRPr="00AB7E22">
        <w:rPr>
          <w:lang w:val="lv-LV"/>
        </w:rPr>
        <w:t xml:space="preserve">L </w:t>
      </w:r>
      <w:r w:rsidR="004C6116" w:rsidRPr="00AB7E22">
        <w:rPr>
          <w:lang w:val="lv-LV"/>
        </w:rPr>
        <w:t xml:space="preserve">176.panta ceturtajā daļā paredzētā noziedzīga nodarījuma sastāva pazīmēm. </w:t>
      </w:r>
      <w:r w:rsidRPr="00AB7E22">
        <w:rPr>
          <w:lang w:val="lv-LV"/>
        </w:rPr>
        <w:t>Kopumā 3</w:t>
      </w:r>
      <w:r w:rsidR="004C6116" w:rsidRPr="00AB7E22">
        <w:rPr>
          <w:lang w:val="lv-LV"/>
        </w:rPr>
        <w:t xml:space="preserve"> no minētajiem kriminālprocesiem ir izbeigti un </w:t>
      </w:r>
      <w:r w:rsidRPr="00AB7E22">
        <w:rPr>
          <w:lang w:val="lv-LV"/>
        </w:rPr>
        <w:t>1</w:t>
      </w:r>
      <w:r w:rsidR="004C6116" w:rsidRPr="00AB7E22">
        <w:rPr>
          <w:lang w:val="lv-LV"/>
        </w:rPr>
        <w:t xml:space="preserve"> nosūtīts kriminālvajāšanas uzsākšanai.</w:t>
      </w:r>
    </w:p>
    <w:p w:rsidR="004C6116" w:rsidRPr="00AB7E22" w:rsidRDefault="005F3D77" w:rsidP="004D1E2D">
      <w:pPr>
        <w:tabs>
          <w:tab w:val="left" w:pos="567"/>
        </w:tabs>
        <w:ind w:right="-1" w:firstLine="567"/>
        <w:jc w:val="both"/>
        <w:rPr>
          <w:lang w:val="lv-LV"/>
        </w:rPr>
      </w:pPr>
      <w:r w:rsidRPr="00AB7E22">
        <w:rPr>
          <w:lang w:val="lv-LV"/>
        </w:rPr>
        <w:t>[</w:t>
      </w:r>
      <w:r w:rsidR="00BC0533" w:rsidRPr="00AB7E22">
        <w:rPr>
          <w:lang w:val="lv-LV"/>
        </w:rPr>
        <w:t>2.2.3</w:t>
      </w:r>
      <w:r w:rsidRPr="00AB7E22">
        <w:rPr>
          <w:lang w:val="lv-LV"/>
        </w:rPr>
        <w:t xml:space="preserve">.] </w:t>
      </w:r>
      <w:proofErr w:type="gramStart"/>
      <w:r w:rsidR="004C6116" w:rsidRPr="00AB7E22">
        <w:rPr>
          <w:b/>
          <w:lang w:val="lv-LV"/>
        </w:rPr>
        <w:t>2012.gadā</w:t>
      </w:r>
      <w:proofErr w:type="gramEnd"/>
      <w:r w:rsidR="004C6116" w:rsidRPr="00AB7E22">
        <w:rPr>
          <w:lang w:val="lv-LV"/>
        </w:rPr>
        <w:t xml:space="preserve"> no </w:t>
      </w:r>
      <w:r w:rsidR="003A17CF" w:rsidRPr="00AB7E22">
        <w:rPr>
          <w:lang w:val="lv-LV"/>
        </w:rPr>
        <w:t>44 uzsāktajiem kriminālprocesiem</w:t>
      </w:r>
      <w:r w:rsidR="004C6116" w:rsidRPr="00AB7E22">
        <w:rPr>
          <w:lang w:val="lv-LV"/>
        </w:rPr>
        <w:t xml:space="preserve"> </w:t>
      </w:r>
      <w:r w:rsidR="003A17CF" w:rsidRPr="00AB7E22">
        <w:rPr>
          <w:lang w:val="lv-LV"/>
        </w:rPr>
        <w:t xml:space="preserve">6 </w:t>
      </w:r>
      <w:r w:rsidR="004C6116" w:rsidRPr="00AB7E22">
        <w:rPr>
          <w:lang w:val="lv-LV"/>
        </w:rPr>
        <w:t xml:space="preserve">kriminālprocesi nosūtīti kriminālvajāšanas uzsākšanai, </w:t>
      </w:r>
      <w:r w:rsidR="003A17CF" w:rsidRPr="00AB7E22">
        <w:rPr>
          <w:lang w:val="lv-LV"/>
        </w:rPr>
        <w:t>27</w:t>
      </w:r>
      <w:r w:rsidR="004C6116" w:rsidRPr="00AB7E22">
        <w:rPr>
          <w:lang w:val="lv-LV"/>
        </w:rPr>
        <w:t xml:space="preserve"> izbeigti (</w:t>
      </w:r>
      <w:r w:rsidR="003A17CF" w:rsidRPr="00AB7E22">
        <w:rPr>
          <w:lang w:val="lv-LV"/>
        </w:rPr>
        <w:t xml:space="preserve">2 </w:t>
      </w:r>
      <w:r w:rsidR="004C6116" w:rsidRPr="00AB7E22">
        <w:rPr>
          <w:lang w:val="lv-LV"/>
        </w:rPr>
        <w:t xml:space="preserve">no tiem atjaunoti), </w:t>
      </w:r>
      <w:r w:rsidR="003A17CF" w:rsidRPr="00AB7E22">
        <w:rPr>
          <w:lang w:val="lv-LV"/>
        </w:rPr>
        <w:t>5</w:t>
      </w:r>
      <w:r w:rsidR="004C6116" w:rsidRPr="00AB7E22">
        <w:rPr>
          <w:lang w:val="lv-LV"/>
        </w:rPr>
        <w:t xml:space="preserve"> kriminālprocesi izbeigti daļā pret </w:t>
      </w:r>
      <w:r w:rsidR="003A17CF" w:rsidRPr="00AB7E22">
        <w:rPr>
          <w:lang w:val="lv-LV"/>
        </w:rPr>
        <w:t>VP</w:t>
      </w:r>
      <w:r w:rsidR="004C6116" w:rsidRPr="00AB7E22">
        <w:rPr>
          <w:lang w:val="lv-LV"/>
        </w:rPr>
        <w:t xml:space="preserve"> darbiniekiem, </w:t>
      </w:r>
      <w:r w:rsidR="003A17CF" w:rsidRPr="00AB7E22">
        <w:rPr>
          <w:lang w:val="lv-LV"/>
        </w:rPr>
        <w:t>8</w:t>
      </w:r>
      <w:r w:rsidR="00067D2C" w:rsidRPr="00AB7E22">
        <w:rPr>
          <w:lang w:val="lv-LV"/>
        </w:rPr>
        <w:t xml:space="preserve"> kriminālprocesos </w:t>
      </w:r>
      <w:r w:rsidR="004C6116" w:rsidRPr="00AB7E22">
        <w:rPr>
          <w:lang w:val="lv-LV"/>
        </w:rPr>
        <w:t>turpinās izmeklēšana.</w:t>
      </w:r>
    </w:p>
    <w:p w:rsidR="004C6116" w:rsidRPr="00AB7E22" w:rsidRDefault="005F3D77" w:rsidP="004D1E2D">
      <w:pPr>
        <w:tabs>
          <w:tab w:val="left" w:pos="567"/>
        </w:tabs>
        <w:ind w:right="-1" w:firstLine="567"/>
        <w:jc w:val="both"/>
        <w:rPr>
          <w:lang w:val="lv-LV"/>
        </w:rPr>
      </w:pPr>
      <w:r w:rsidRPr="00AB7E22">
        <w:rPr>
          <w:lang w:val="lv-LV"/>
        </w:rPr>
        <w:t>[</w:t>
      </w:r>
      <w:r w:rsidR="00BC0533" w:rsidRPr="00AB7E22">
        <w:rPr>
          <w:lang w:val="lv-LV"/>
        </w:rPr>
        <w:t>2.2.4</w:t>
      </w:r>
      <w:r w:rsidRPr="00AB7E22">
        <w:rPr>
          <w:lang w:val="lv-LV"/>
        </w:rPr>
        <w:t xml:space="preserve">.] </w:t>
      </w:r>
      <w:proofErr w:type="gramStart"/>
      <w:r w:rsidR="004C6116" w:rsidRPr="00AB7E22">
        <w:rPr>
          <w:b/>
          <w:lang w:val="lv-LV"/>
        </w:rPr>
        <w:t>2013.gada</w:t>
      </w:r>
      <w:proofErr w:type="gramEnd"/>
      <w:r w:rsidR="004C6116" w:rsidRPr="00AB7E22">
        <w:rPr>
          <w:b/>
          <w:lang w:val="lv-LV"/>
        </w:rPr>
        <w:t xml:space="preserve"> pirmajā pusgadā</w:t>
      </w:r>
      <w:r w:rsidR="004C6116" w:rsidRPr="00AB7E22">
        <w:rPr>
          <w:lang w:val="lv-LV"/>
        </w:rPr>
        <w:t xml:space="preserve"> ir ierosinātas </w:t>
      </w:r>
      <w:r w:rsidR="003A17CF" w:rsidRPr="00AB7E22">
        <w:rPr>
          <w:lang w:val="lv-LV"/>
        </w:rPr>
        <w:t>2</w:t>
      </w:r>
      <w:r w:rsidR="004C6116" w:rsidRPr="00AB7E22">
        <w:rPr>
          <w:lang w:val="lv-LV"/>
        </w:rPr>
        <w:t xml:space="preserve"> disciplinārlietas saistībā ar vardarbības pielietošanu no Valsts policijas darbinieku puses.</w:t>
      </w:r>
      <w:r w:rsidR="00CE201E" w:rsidRPr="00AB7E22">
        <w:rPr>
          <w:lang w:val="lv-LV"/>
        </w:rPr>
        <w:t xml:space="preserve"> </w:t>
      </w:r>
      <w:r w:rsidR="004C6116" w:rsidRPr="00AB7E22">
        <w:rPr>
          <w:lang w:val="lv-LV"/>
        </w:rPr>
        <w:t xml:space="preserve">Iepriekš minēto disciplinārlietu, kā arī </w:t>
      </w:r>
      <w:proofErr w:type="gramStart"/>
      <w:r w:rsidR="004C6116" w:rsidRPr="00AB7E22">
        <w:rPr>
          <w:lang w:val="lv-LV"/>
        </w:rPr>
        <w:t>2012.gada</w:t>
      </w:r>
      <w:proofErr w:type="gramEnd"/>
      <w:r w:rsidR="004C6116" w:rsidRPr="00AB7E22">
        <w:rPr>
          <w:lang w:val="lv-LV"/>
        </w:rPr>
        <w:t xml:space="preserve"> nogalē </w:t>
      </w:r>
      <w:r w:rsidR="003A17CF" w:rsidRPr="00AB7E22">
        <w:rPr>
          <w:lang w:val="lv-LV"/>
        </w:rPr>
        <w:t>3</w:t>
      </w:r>
      <w:r w:rsidR="004C6116" w:rsidRPr="00AB7E22">
        <w:rPr>
          <w:lang w:val="lv-LV"/>
        </w:rPr>
        <w:t xml:space="preserve"> uzsākto disciplinārlietu izmeklēšanas rezultātā, </w:t>
      </w:r>
      <w:r w:rsidR="00067D2C" w:rsidRPr="00AB7E22">
        <w:rPr>
          <w:lang w:val="lv-LV"/>
        </w:rPr>
        <w:t xml:space="preserve">2013.gada </w:t>
      </w:r>
      <w:r w:rsidR="004C6116" w:rsidRPr="00AB7E22">
        <w:rPr>
          <w:lang w:val="lv-LV"/>
        </w:rPr>
        <w:t xml:space="preserve">pirmajā pusgadā </w:t>
      </w:r>
      <w:r w:rsidR="003A17CF" w:rsidRPr="00AB7E22">
        <w:rPr>
          <w:lang w:val="lv-LV"/>
        </w:rPr>
        <w:t>5 VP</w:t>
      </w:r>
      <w:r w:rsidR="004C6116" w:rsidRPr="00AB7E22">
        <w:rPr>
          <w:lang w:val="lv-LV"/>
        </w:rPr>
        <w:t xml:space="preserve"> darbinieki saukti pie disciplināratbildības, piemērojot disciplinārsodus: </w:t>
      </w:r>
      <w:r w:rsidR="003A17CF" w:rsidRPr="00AB7E22">
        <w:rPr>
          <w:lang w:val="lv-LV"/>
        </w:rPr>
        <w:t>2</w:t>
      </w:r>
      <w:r w:rsidR="004C6116" w:rsidRPr="00AB7E22">
        <w:rPr>
          <w:lang w:val="lv-LV"/>
        </w:rPr>
        <w:t xml:space="preserve"> gadījumos</w:t>
      </w:r>
      <w:r w:rsidR="00067D2C" w:rsidRPr="00AB7E22">
        <w:rPr>
          <w:lang w:val="lv-LV"/>
        </w:rPr>
        <w:t xml:space="preserve"> </w:t>
      </w:r>
      <w:r w:rsidR="00E06AD2" w:rsidRPr="00AB7E22">
        <w:rPr>
          <w:lang w:val="lv-LV"/>
        </w:rPr>
        <w:t>–</w:t>
      </w:r>
      <w:r w:rsidR="00067D2C" w:rsidRPr="00AB7E22">
        <w:rPr>
          <w:lang w:val="lv-LV"/>
        </w:rPr>
        <w:t xml:space="preserve"> </w:t>
      </w:r>
      <w:r w:rsidR="004C6116" w:rsidRPr="00AB7E22">
        <w:rPr>
          <w:lang w:val="lv-LV"/>
        </w:rPr>
        <w:t xml:space="preserve">piezīme, </w:t>
      </w:r>
      <w:r w:rsidR="003A17CF" w:rsidRPr="00AB7E22">
        <w:rPr>
          <w:lang w:val="lv-LV"/>
        </w:rPr>
        <w:t>2</w:t>
      </w:r>
      <w:r w:rsidR="004C6116" w:rsidRPr="00AB7E22">
        <w:rPr>
          <w:lang w:val="lv-LV"/>
        </w:rPr>
        <w:t xml:space="preserve"> gadījumos</w:t>
      </w:r>
      <w:r w:rsidR="00067D2C" w:rsidRPr="00AB7E22">
        <w:rPr>
          <w:lang w:val="lv-LV"/>
        </w:rPr>
        <w:t xml:space="preserve"> </w:t>
      </w:r>
      <w:r w:rsidR="00E06AD2" w:rsidRPr="00AB7E22">
        <w:rPr>
          <w:lang w:val="lv-LV"/>
        </w:rPr>
        <w:t>–</w:t>
      </w:r>
      <w:r w:rsidR="00067D2C" w:rsidRPr="00AB7E22">
        <w:rPr>
          <w:lang w:val="lv-LV"/>
        </w:rPr>
        <w:t xml:space="preserve"> </w:t>
      </w:r>
      <w:r w:rsidR="004C6116" w:rsidRPr="00AB7E22">
        <w:rPr>
          <w:lang w:val="lv-LV"/>
        </w:rPr>
        <w:t xml:space="preserve">rājiens, </w:t>
      </w:r>
      <w:r w:rsidR="003A17CF" w:rsidRPr="00AB7E22">
        <w:rPr>
          <w:lang w:val="lv-LV"/>
        </w:rPr>
        <w:t>1</w:t>
      </w:r>
      <w:r w:rsidR="004C6116" w:rsidRPr="00AB7E22">
        <w:rPr>
          <w:lang w:val="lv-LV"/>
        </w:rPr>
        <w:t xml:space="preserve"> gadījumā</w:t>
      </w:r>
      <w:r w:rsidR="00067D2C" w:rsidRPr="00AB7E22">
        <w:rPr>
          <w:lang w:val="lv-LV"/>
        </w:rPr>
        <w:t xml:space="preserve"> </w:t>
      </w:r>
      <w:r w:rsidR="00E06AD2" w:rsidRPr="00AB7E22">
        <w:rPr>
          <w:lang w:val="lv-LV"/>
        </w:rPr>
        <w:t>–</w:t>
      </w:r>
      <w:r w:rsidR="00067D2C" w:rsidRPr="00AB7E22">
        <w:rPr>
          <w:lang w:val="lv-LV"/>
        </w:rPr>
        <w:t xml:space="preserve"> </w:t>
      </w:r>
      <w:r w:rsidR="004C6116" w:rsidRPr="00AB7E22">
        <w:rPr>
          <w:lang w:val="lv-LV"/>
        </w:rPr>
        <w:t xml:space="preserve">pazemināšana amatā. </w:t>
      </w:r>
    </w:p>
    <w:p w:rsidR="004C6116" w:rsidRPr="00AB7E22" w:rsidRDefault="005F3D77" w:rsidP="004D1E2D">
      <w:pPr>
        <w:tabs>
          <w:tab w:val="left" w:pos="567"/>
        </w:tabs>
        <w:ind w:right="-1" w:firstLine="567"/>
        <w:jc w:val="both"/>
        <w:rPr>
          <w:lang w:val="lv-LV"/>
        </w:rPr>
      </w:pPr>
      <w:r w:rsidRPr="00AB7E22">
        <w:rPr>
          <w:lang w:val="lv-LV"/>
        </w:rPr>
        <w:t>[</w:t>
      </w:r>
      <w:r w:rsidR="00BC0533" w:rsidRPr="00AB7E22">
        <w:rPr>
          <w:lang w:val="lv-LV"/>
        </w:rPr>
        <w:t>2.2.5</w:t>
      </w:r>
      <w:r w:rsidRPr="00AB7E22">
        <w:rPr>
          <w:lang w:val="lv-LV"/>
        </w:rPr>
        <w:t xml:space="preserve">.] </w:t>
      </w:r>
      <w:proofErr w:type="gramStart"/>
      <w:r w:rsidR="004C6116" w:rsidRPr="00AB7E22">
        <w:rPr>
          <w:b/>
          <w:lang w:val="lv-LV"/>
        </w:rPr>
        <w:t>2013.gada</w:t>
      </w:r>
      <w:proofErr w:type="gramEnd"/>
      <w:r w:rsidR="004C6116" w:rsidRPr="00AB7E22">
        <w:rPr>
          <w:b/>
          <w:lang w:val="lv-LV"/>
        </w:rPr>
        <w:t xml:space="preserve"> pirmajā pusgadā</w:t>
      </w:r>
      <w:r w:rsidR="004C6116" w:rsidRPr="00AB7E22">
        <w:rPr>
          <w:lang w:val="lv-LV"/>
        </w:rPr>
        <w:t xml:space="preserve"> ir stājušies spēkā </w:t>
      </w:r>
      <w:r w:rsidR="00067D2C" w:rsidRPr="00AB7E22">
        <w:rPr>
          <w:lang w:val="lv-LV"/>
        </w:rPr>
        <w:t>2</w:t>
      </w:r>
      <w:r w:rsidR="004C6116" w:rsidRPr="00AB7E22">
        <w:rPr>
          <w:lang w:val="lv-LV"/>
        </w:rPr>
        <w:t xml:space="preserve"> tiesas spriedumi saistībā ar vardarbības pielietošanu no </w:t>
      </w:r>
      <w:r w:rsidR="00067D2C" w:rsidRPr="00AB7E22">
        <w:rPr>
          <w:lang w:val="lv-LV"/>
        </w:rPr>
        <w:t>VP</w:t>
      </w:r>
      <w:r w:rsidR="004C6116" w:rsidRPr="00AB7E22">
        <w:rPr>
          <w:lang w:val="lv-LV"/>
        </w:rPr>
        <w:t xml:space="preserve"> darbinieku puses.</w:t>
      </w:r>
      <w:r w:rsidR="00CE201E" w:rsidRPr="00AB7E22">
        <w:rPr>
          <w:lang w:val="lv-LV"/>
        </w:rPr>
        <w:t xml:space="preserve"> </w:t>
      </w:r>
      <w:r w:rsidR="004C6116" w:rsidRPr="00AB7E22">
        <w:rPr>
          <w:lang w:val="lv-LV"/>
        </w:rPr>
        <w:t>Viens tiesas spriedums</w:t>
      </w:r>
      <w:r w:rsidR="00067D2C" w:rsidRPr="00AB7E22">
        <w:rPr>
          <w:lang w:val="lv-LV"/>
        </w:rPr>
        <w:t xml:space="preserve"> </w:t>
      </w:r>
      <w:r w:rsidR="00E06AD2" w:rsidRPr="00AB7E22">
        <w:t>–</w:t>
      </w:r>
      <w:r w:rsidR="00067D2C" w:rsidRPr="00AB7E22">
        <w:rPr>
          <w:lang w:val="lv-LV"/>
        </w:rPr>
        <w:t xml:space="preserve"> </w:t>
      </w:r>
      <w:proofErr w:type="gramStart"/>
      <w:r w:rsidR="004C6116" w:rsidRPr="00AB7E22">
        <w:rPr>
          <w:lang w:val="lv-LV"/>
        </w:rPr>
        <w:t>2010.gadā</w:t>
      </w:r>
      <w:proofErr w:type="gramEnd"/>
      <w:r w:rsidR="004C6116" w:rsidRPr="00AB7E22">
        <w:rPr>
          <w:lang w:val="lv-LV"/>
        </w:rPr>
        <w:t xml:space="preserve"> ierosinātajā kriminālprocesā pēc K</w:t>
      </w:r>
      <w:r w:rsidR="00067D2C" w:rsidRPr="00AB7E22">
        <w:rPr>
          <w:lang w:val="lv-LV"/>
        </w:rPr>
        <w:t xml:space="preserve">L </w:t>
      </w:r>
      <w:r w:rsidR="004C6116" w:rsidRPr="00AB7E22">
        <w:rPr>
          <w:lang w:val="lv-LV"/>
        </w:rPr>
        <w:t xml:space="preserve">317.panta otrās daļas. Notiesātas </w:t>
      </w:r>
      <w:r w:rsidR="00067D2C" w:rsidRPr="00AB7E22">
        <w:rPr>
          <w:lang w:val="lv-LV"/>
        </w:rPr>
        <w:t>3</w:t>
      </w:r>
      <w:r w:rsidR="004C6116" w:rsidRPr="00AB7E22">
        <w:rPr>
          <w:lang w:val="lv-LV"/>
        </w:rPr>
        <w:t xml:space="preserve"> personas, piespriests piespiedu darbs 200</w:t>
      </w:r>
      <w:r w:rsidR="00067D2C" w:rsidRPr="00AB7E22">
        <w:rPr>
          <w:lang w:val="lv-LV"/>
        </w:rPr>
        <w:t xml:space="preserve"> </w:t>
      </w:r>
      <w:r w:rsidR="00E06AD2" w:rsidRPr="00AB7E22">
        <w:rPr>
          <w:lang w:val="lv-LV"/>
        </w:rPr>
        <w:t>–</w:t>
      </w:r>
      <w:r w:rsidR="00067D2C" w:rsidRPr="00AB7E22">
        <w:rPr>
          <w:lang w:val="lv-LV"/>
        </w:rPr>
        <w:t xml:space="preserve"> 250 stundas. </w:t>
      </w:r>
      <w:r w:rsidR="004C6116" w:rsidRPr="00AB7E22">
        <w:rPr>
          <w:lang w:val="lv-LV"/>
        </w:rPr>
        <w:t xml:space="preserve">Otrs tiesas spriedums – </w:t>
      </w:r>
      <w:proofErr w:type="gramStart"/>
      <w:r w:rsidR="004C6116" w:rsidRPr="00AB7E22">
        <w:rPr>
          <w:lang w:val="lv-LV"/>
        </w:rPr>
        <w:t>2013.gadā</w:t>
      </w:r>
      <w:proofErr w:type="gramEnd"/>
      <w:r w:rsidR="004C6116" w:rsidRPr="00AB7E22">
        <w:rPr>
          <w:lang w:val="lv-LV"/>
        </w:rPr>
        <w:t xml:space="preserve"> ierosinātajā kriminālprocesā pēc K</w:t>
      </w:r>
      <w:r w:rsidR="00067D2C" w:rsidRPr="00AB7E22">
        <w:rPr>
          <w:lang w:val="lv-LV"/>
        </w:rPr>
        <w:t xml:space="preserve">L 176.panta ceturtās daļas. </w:t>
      </w:r>
      <w:r w:rsidR="004C6116" w:rsidRPr="00AB7E22">
        <w:rPr>
          <w:lang w:val="lv-LV"/>
        </w:rPr>
        <w:t xml:space="preserve">Notiesāta </w:t>
      </w:r>
      <w:r w:rsidR="00067D2C" w:rsidRPr="00AB7E22">
        <w:rPr>
          <w:lang w:val="lv-LV"/>
        </w:rPr>
        <w:t>1</w:t>
      </w:r>
      <w:r w:rsidR="004C6116" w:rsidRPr="00AB7E22">
        <w:rPr>
          <w:lang w:val="lv-LV"/>
        </w:rPr>
        <w:t xml:space="preserve"> persona ar brīvības atņemšanu uz 2 gadiem, nosacīti.</w:t>
      </w:r>
    </w:p>
    <w:p w:rsidR="00C964E4" w:rsidRPr="00AB7E22" w:rsidRDefault="00C964E4" w:rsidP="004D1E2D">
      <w:pPr>
        <w:tabs>
          <w:tab w:val="left" w:pos="567"/>
        </w:tabs>
        <w:ind w:right="-1" w:firstLine="567"/>
        <w:jc w:val="both"/>
        <w:rPr>
          <w:lang w:val="lv-LV"/>
        </w:rPr>
      </w:pPr>
      <w:r w:rsidRPr="00AB7E22">
        <w:rPr>
          <w:lang w:val="lv-LV"/>
        </w:rPr>
        <w:t>[</w:t>
      </w:r>
      <w:r w:rsidR="00BC0533" w:rsidRPr="00AB7E22">
        <w:rPr>
          <w:lang w:val="lv-LV"/>
        </w:rPr>
        <w:t>2.3.]</w:t>
      </w:r>
      <w:r w:rsidR="002C45A6" w:rsidRPr="00AB7E22">
        <w:rPr>
          <w:lang w:val="lv-LV"/>
        </w:rPr>
        <w:t xml:space="preserve"> Attiecībā uz sūdzību par iespējamu vardarbību efektīvu izmeklēšanu</w:t>
      </w:r>
      <w:r w:rsidRPr="00AB7E22">
        <w:rPr>
          <w:lang w:val="lv-LV"/>
        </w:rPr>
        <w:t xml:space="preserve"> </w:t>
      </w:r>
      <w:r w:rsidR="00AD3DCF" w:rsidRPr="00AB7E22">
        <w:rPr>
          <w:lang w:val="lv-LV"/>
        </w:rPr>
        <w:t>IeM norādīja, ka p</w:t>
      </w:r>
      <w:r w:rsidRPr="00AB7E22">
        <w:rPr>
          <w:lang w:val="lv-LV"/>
        </w:rPr>
        <w:t>ersonas sūdzības par aizturēšanas brīdī pret viņu pielietoto vardarbību, tiek izmeklētas vispusīgi, rūpīgi un</w:t>
      </w:r>
      <w:proofErr w:type="gramStart"/>
      <w:r w:rsidRPr="00AB7E22">
        <w:rPr>
          <w:lang w:val="lv-LV"/>
        </w:rPr>
        <w:t xml:space="preserve"> efektīvi, uz vietas noskaidrojot</w:t>
      </w:r>
      <w:proofErr w:type="gramEnd"/>
      <w:r w:rsidRPr="00AB7E22">
        <w:rPr>
          <w:lang w:val="lv-LV"/>
        </w:rPr>
        <w:t xml:space="preserve"> informāciju un faktus, nopratinot lieciniekus, pārbaudot medicīnas datus, meklējot pietiekoši ticamus pierādījumus par personai radīto traumu apstākļiem un cēloņiem, lai noskaidrotu, vai ir noticis </w:t>
      </w:r>
      <w:r w:rsidR="000E3A15" w:rsidRPr="00AB7E22">
        <w:rPr>
          <w:lang w:val="lv-LV"/>
        </w:rPr>
        <w:t>Konvencijā</w:t>
      </w:r>
      <w:r w:rsidRPr="00AB7E22">
        <w:rPr>
          <w:lang w:val="lv-LV"/>
        </w:rPr>
        <w:t xml:space="preserve">, Satversmē un citos normatīvajos aktos garantēto tiesību un brīvību pārkāpums. Izmeklēšanas laikā tiek veikti pasākumi, kas vērsti uz ātrāku miesas bojājumu cēloņa noskaidrošanu un vainīgo identificēšanu (liecības un citu pierādījumu pārbaude, tiesu medicīnisko ekspertīžu nozīmēšana </w:t>
      </w:r>
      <w:proofErr w:type="spellStart"/>
      <w:r w:rsidRPr="00AB7E22">
        <w:rPr>
          <w:lang w:val="lv-LV"/>
        </w:rPr>
        <w:t>u.c</w:t>
      </w:r>
      <w:proofErr w:type="spellEnd"/>
      <w:r w:rsidRPr="00AB7E22">
        <w:rPr>
          <w:lang w:val="lv-LV"/>
        </w:rPr>
        <w:t>.).</w:t>
      </w:r>
    </w:p>
    <w:p w:rsidR="00C964E4" w:rsidRPr="00AB7E22" w:rsidRDefault="00AD3DCF" w:rsidP="004D1E2D">
      <w:pPr>
        <w:tabs>
          <w:tab w:val="left" w:pos="567"/>
        </w:tabs>
        <w:ind w:right="-1" w:firstLine="567"/>
        <w:jc w:val="both"/>
        <w:rPr>
          <w:lang w:val="lv-LV"/>
        </w:rPr>
      </w:pPr>
      <w:r w:rsidRPr="00AB7E22">
        <w:rPr>
          <w:lang w:val="lv-LV"/>
        </w:rPr>
        <w:lastRenderedPageBreak/>
        <w:t>[</w:t>
      </w:r>
      <w:r w:rsidR="00C34441" w:rsidRPr="00AB7E22">
        <w:rPr>
          <w:lang w:val="lv-LV"/>
        </w:rPr>
        <w:t>2.4</w:t>
      </w:r>
      <w:r w:rsidRPr="00AB7E22">
        <w:rPr>
          <w:lang w:val="lv-LV"/>
        </w:rPr>
        <w:t xml:space="preserve">.] </w:t>
      </w:r>
      <w:r w:rsidR="00C964E4" w:rsidRPr="00AB7E22">
        <w:rPr>
          <w:lang w:val="lv-LV"/>
        </w:rPr>
        <w:t xml:space="preserve">Saskaņā ar </w:t>
      </w:r>
      <w:r w:rsidR="003940CB" w:rsidRPr="00AB7E22">
        <w:rPr>
          <w:lang w:val="lv-LV"/>
        </w:rPr>
        <w:t>PL</w:t>
      </w:r>
      <w:r w:rsidR="00C964E4" w:rsidRPr="00AB7E22">
        <w:rPr>
          <w:lang w:val="lv-LV"/>
        </w:rPr>
        <w:t xml:space="preserve"> </w:t>
      </w:r>
      <w:proofErr w:type="gramStart"/>
      <w:r w:rsidR="00C964E4" w:rsidRPr="00AB7E22">
        <w:rPr>
          <w:lang w:val="lv-LV"/>
        </w:rPr>
        <w:t>2.panta</w:t>
      </w:r>
      <w:proofErr w:type="gramEnd"/>
      <w:r w:rsidR="00C964E4" w:rsidRPr="00AB7E22">
        <w:rPr>
          <w:lang w:val="lv-LV"/>
        </w:rPr>
        <w:t xml:space="preserve"> 1.punktu prokuratūra uzrauga pirmstiesas izmeklēšanas un operatīvās darbības atbilstību likumiem. Ja persona nav </w:t>
      </w:r>
      <w:proofErr w:type="gramStart"/>
      <w:r w:rsidR="00C964E4" w:rsidRPr="00AB7E22">
        <w:rPr>
          <w:lang w:val="lv-LV"/>
        </w:rPr>
        <w:t xml:space="preserve">apmierināta ar </w:t>
      </w:r>
      <w:r w:rsidR="002C45A6" w:rsidRPr="00AB7E22">
        <w:rPr>
          <w:lang w:val="lv-LV"/>
        </w:rPr>
        <w:t>VP</w:t>
      </w:r>
      <w:r w:rsidR="00C964E4" w:rsidRPr="00AB7E22">
        <w:rPr>
          <w:lang w:val="lv-LV"/>
        </w:rPr>
        <w:t xml:space="preserve"> amatpersonas</w:t>
      </w:r>
      <w:proofErr w:type="gramEnd"/>
      <w:r w:rsidR="00C964E4" w:rsidRPr="00AB7E22">
        <w:rPr>
          <w:lang w:val="lv-LV"/>
        </w:rPr>
        <w:t xml:space="preserve"> (procesa virzītāja/izmeklētāja </w:t>
      </w:r>
      <w:proofErr w:type="spellStart"/>
      <w:r w:rsidR="00C964E4" w:rsidRPr="00AB7E22">
        <w:rPr>
          <w:lang w:val="lv-LV"/>
        </w:rPr>
        <w:t>u.c</w:t>
      </w:r>
      <w:proofErr w:type="spellEnd"/>
      <w:r w:rsidR="00C964E4" w:rsidRPr="00AB7E22">
        <w:rPr>
          <w:lang w:val="lv-LV"/>
        </w:rPr>
        <w:t xml:space="preserve">.) pieņemto lēmumu, viņai ir tiesības pārsūdzēt to </w:t>
      </w:r>
      <w:r w:rsidR="002C45A6" w:rsidRPr="00AB7E22">
        <w:rPr>
          <w:lang w:val="lv-LV"/>
        </w:rPr>
        <w:t>KPL</w:t>
      </w:r>
      <w:r w:rsidR="00C964E4" w:rsidRPr="00AB7E22">
        <w:rPr>
          <w:lang w:val="lv-LV"/>
        </w:rPr>
        <w:t xml:space="preserve"> noteiktajā kārtībā prokuratūrā, kas izvērtē pieņemtā lēmuma tiesiskumu un pamatotību.</w:t>
      </w:r>
    </w:p>
    <w:p w:rsidR="006F74E1" w:rsidRPr="00AB7E22" w:rsidRDefault="006F74E1" w:rsidP="004D1E2D">
      <w:pPr>
        <w:pStyle w:val="Pamattekstsaratkpi"/>
        <w:tabs>
          <w:tab w:val="left" w:pos="567"/>
        </w:tabs>
        <w:spacing w:after="0"/>
        <w:ind w:left="0" w:right="-1" w:firstLine="567"/>
        <w:jc w:val="both"/>
        <w:rPr>
          <w:u w:val="single"/>
        </w:rPr>
      </w:pPr>
      <w:r w:rsidRPr="00AB7E22">
        <w:t>[</w:t>
      </w:r>
      <w:r w:rsidR="00C34441" w:rsidRPr="00AB7E22">
        <w:t>2.5</w:t>
      </w:r>
      <w:r w:rsidRPr="00AB7E22">
        <w:t>.]</w:t>
      </w:r>
      <w:r w:rsidRPr="00AB7E22">
        <w:rPr>
          <w:u w:val="single"/>
        </w:rPr>
        <w:t xml:space="preserve"> </w:t>
      </w:r>
      <w:r w:rsidRPr="00AB7E22">
        <w:rPr>
          <w:b/>
          <w:u w:val="single"/>
        </w:rPr>
        <w:t xml:space="preserve">ĢP </w:t>
      </w:r>
      <w:r w:rsidRPr="00AB7E22">
        <w:rPr>
          <w:u w:val="single"/>
        </w:rPr>
        <w:t xml:space="preserve">attiecībā uz pieprasījumu par nepieciešamību sagatavot pārskatu par gadījumiem par sūdzībām par iespējamu vardarbību un to efektīvu izmeklēšanu, norādīja </w:t>
      </w:r>
      <w:r w:rsidR="002E4B0E" w:rsidRPr="00AB7E22">
        <w:rPr>
          <w:u w:val="single"/>
        </w:rPr>
        <w:t xml:space="preserve">šādu informāciju: </w:t>
      </w:r>
    </w:p>
    <w:p w:rsidR="006F74E1" w:rsidRPr="00AB7E22" w:rsidRDefault="00C34441" w:rsidP="004D1E2D">
      <w:pPr>
        <w:pStyle w:val="Pamattekstsaratkpi"/>
        <w:tabs>
          <w:tab w:val="left" w:pos="567"/>
        </w:tabs>
        <w:spacing w:after="0"/>
        <w:ind w:left="0" w:right="-1" w:firstLine="567"/>
        <w:jc w:val="both"/>
        <w:rPr>
          <w:u w:val="single"/>
        </w:rPr>
      </w:pPr>
      <w:r w:rsidRPr="00AB7E22">
        <w:t>[2.5.1</w:t>
      </w:r>
      <w:r w:rsidR="006F74E1" w:rsidRPr="00AB7E22">
        <w:t xml:space="preserve">.] Apkopojot informāciju, noskaidrots, ka </w:t>
      </w:r>
      <w:r w:rsidR="006F74E1" w:rsidRPr="00AB7E22">
        <w:rPr>
          <w:b/>
        </w:rPr>
        <w:t>Rīgas tiesas apgabalā</w:t>
      </w:r>
      <w:r w:rsidR="006F74E1" w:rsidRPr="00AB7E22">
        <w:t xml:space="preserve"> ietilpstošajās prokuratūras struktūrvienībās laika posmā no </w:t>
      </w:r>
      <w:proofErr w:type="gramStart"/>
      <w:r w:rsidR="006F74E1" w:rsidRPr="00AB7E22">
        <w:t>2011.gada</w:t>
      </w:r>
      <w:proofErr w:type="gramEnd"/>
      <w:r w:rsidR="006F74E1" w:rsidRPr="00AB7E22">
        <w:t xml:space="preserve"> līdz 2013.gada 1.jūlijam pēc būtības izskatītas 6 sūdzības – 3 no saņemtajām sūdzībām skatītas kriminālprocesa ietvaros, bet 3 sūdzības bijušas par lēmumiem, ar kuriem atteikts uzsākt kriminālprocesu par iespējamu valsts amatpersonu vardarbību. Pārbaudot sūdzības, prokurori konstatējuši, ka 5 no tām ir nepamatotas, bet 1 gadījumā sūdzība atzīta par pamatotu un atcelts lēmums, ar kuru atteikts uzsākt kriminālprocesu. </w:t>
      </w:r>
    </w:p>
    <w:p w:rsidR="006F74E1" w:rsidRPr="00AB7E22" w:rsidRDefault="006F74E1" w:rsidP="004D1E2D">
      <w:pPr>
        <w:pStyle w:val="Pamatteksts"/>
        <w:tabs>
          <w:tab w:val="left" w:pos="567"/>
        </w:tabs>
        <w:spacing w:after="0"/>
        <w:ind w:right="-1" w:firstLine="567"/>
        <w:jc w:val="both"/>
        <w:rPr>
          <w:lang w:val="lv-LV"/>
        </w:rPr>
      </w:pPr>
      <w:r w:rsidRPr="00AB7E22">
        <w:rPr>
          <w:lang w:val="lv-LV"/>
        </w:rPr>
        <w:t>[</w:t>
      </w:r>
      <w:r w:rsidR="00C34441" w:rsidRPr="00AB7E22">
        <w:rPr>
          <w:lang w:val="lv-LV"/>
        </w:rPr>
        <w:t>2.5.2.</w:t>
      </w:r>
      <w:r w:rsidRPr="00AB7E22">
        <w:rPr>
          <w:lang w:val="lv-LV"/>
        </w:rPr>
        <w:t xml:space="preserve">] </w:t>
      </w:r>
      <w:r w:rsidRPr="00AB7E22">
        <w:rPr>
          <w:b/>
          <w:lang w:val="lv-LV"/>
        </w:rPr>
        <w:t xml:space="preserve">Zemgales tiesas apgabalā </w:t>
      </w:r>
      <w:r w:rsidRPr="00AB7E22">
        <w:rPr>
          <w:lang w:val="lv-LV"/>
        </w:rPr>
        <w:t xml:space="preserve">ietilpstošajās prokuratūras struktūrvienībās laika posmā no </w:t>
      </w:r>
      <w:proofErr w:type="gramStart"/>
      <w:r w:rsidRPr="00AB7E22">
        <w:rPr>
          <w:lang w:val="lv-LV"/>
        </w:rPr>
        <w:t>2011.gada</w:t>
      </w:r>
      <w:proofErr w:type="gramEnd"/>
      <w:r w:rsidRPr="00AB7E22">
        <w:rPr>
          <w:lang w:val="lv-LV"/>
        </w:rPr>
        <w:t xml:space="preserve"> līdz 2013.gada 1.jūlijam pēc būtības izskatītas 4 sūdzības – 3 no saņemtajām sūdzībām skatītas kriminālprocesa ietvaros, bet 1 sūdzības bijušas par lēmumiem, ar kuriem atteikts uzsākt kriminālprocesu par iespējamu valsts amatpersonu vardarbību. Pārbaudot sūdzības, prokurori konstatējuši, ka 3 kriminālprocesos iesniegtās sūdzības ir pamatotas, bet sūdzība par lēmumu, ar kuru atteikts uzsākt kriminālprocesu, atzīta par nepamatotu. </w:t>
      </w:r>
    </w:p>
    <w:p w:rsidR="006F74E1" w:rsidRPr="00AB7E22" w:rsidRDefault="00C34441" w:rsidP="004D1E2D">
      <w:pPr>
        <w:pStyle w:val="Pamatteksts"/>
        <w:tabs>
          <w:tab w:val="left" w:pos="567"/>
        </w:tabs>
        <w:spacing w:after="0"/>
        <w:ind w:right="-1" w:firstLine="567"/>
        <w:jc w:val="both"/>
        <w:rPr>
          <w:lang w:val="lv-LV"/>
        </w:rPr>
      </w:pPr>
      <w:r w:rsidRPr="00AB7E22">
        <w:rPr>
          <w:lang w:val="lv-LV"/>
        </w:rPr>
        <w:t>[2.5.3</w:t>
      </w:r>
      <w:r w:rsidR="006F74E1" w:rsidRPr="00AB7E22">
        <w:rPr>
          <w:lang w:val="lv-LV"/>
        </w:rPr>
        <w:t xml:space="preserve">.] </w:t>
      </w:r>
      <w:r w:rsidR="006F74E1" w:rsidRPr="00AB7E22">
        <w:rPr>
          <w:b/>
          <w:lang w:val="lv-LV"/>
        </w:rPr>
        <w:t xml:space="preserve">Vidzemes tiesas apgabalā </w:t>
      </w:r>
      <w:r w:rsidR="006F74E1" w:rsidRPr="00AB7E22">
        <w:rPr>
          <w:lang w:val="lv-LV"/>
        </w:rPr>
        <w:t xml:space="preserve">ietilpstošajās prokuratūras struktūrvienībās laika posmā no </w:t>
      </w:r>
      <w:proofErr w:type="gramStart"/>
      <w:r w:rsidR="006F74E1" w:rsidRPr="00AB7E22">
        <w:rPr>
          <w:lang w:val="lv-LV"/>
        </w:rPr>
        <w:t>2011.gada</w:t>
      </w:r>
      <w:proofErr w:type="gramEnd"/>
      <w:r w:rsidR="006F74E1" w:rsidRPr="00AB7E22">
        <w:rPr>
          <w:lang w:val="lv-LV"/>
        </w:rPr>
        <w:t xml:space="preserve"> līdz 2013.gada 1.jūlijam pēc būtības izskatītas 11 sūdzības – 4 no saņemtajām sūdzībām skatītas kriminālprocesa ietvaros, bet 7 sūdzības bijušas par lēmumiem, ar kuriem atteikts uzsākt kriminālprocesu par iespējamu valsts amatpersonu vardarbību. Apkopojot informāciju, secināts, ka 3 gadījumos, izskatot sūdzības par lēmumiem, ar kuriem atteikts uzsākt kriminālprocesus, prokurori, atceļot minētos lēmumus, uzsākuši kriminālprocesus, bet 1 gadījumā saistībā ar konstatētajiem pārkāpumiem sūdzības izskatīšanā, prokurors pielietojis prokurora reaģēšanas līdzekli. </w:t>
      </w:r>
    </w:p>
    <w:p w:rsidR="006F74E1" w:rsidRPr="00AB7E22" w:rsidRDefault="00C34441" w:rsidP="004D1E2D">
      <w:pPr>
        <w:pStyle w:val="Pamatteksts"/>
        <w:tabs>
          <w:tab w:val="left" w:pos="567"/>
        </w:tabs>
        <w:spacing w:after="0"/>
        <w:ind w:right="-1" w:firstLine="567"/>
        <w:jc w:val="both"/>
        <w:rPr>
          <w:lang w:val="lv-LV"/>
        </w:rPr>
      </w:pPr>
      <w:r w:rsidRPr="00AB7E22">
        <w:rPr>
          <w:lang w:val="lv-LV"/>
        </w:rPr>
        <w:t>[2.5.4</w:t>
      </w:r>
      <w:r w:rsidR="006F74E1" w:rsidRPr="00AB7E22">
        <w:rPr>
          <w:lang w:val="lv-LV"/>
        </w:rPr>
        <w:t xml:space="preserve">.] </w:t>
      </w:r>
      <w:r w:rsidR="006F74E1" w:rsidRPr="00AB7E22">
        <w:rPr>
          <w:b/>
          <w:lang w:val="lv-LV"/>
        </w:rPr>
        <w:t xml:space="preserve">Kurzemes tiesas apgabalā </w:t>
      </w:r>
      <w:r w:rsidR="006F74E1" w:rsidRPr="00AB7E22">
        <w:rPr>
          <w:lang w:val="lv-LV"/>
        </w:rPr>
        <w:t xml:space="preserve">ietilpstošajās prokuratūras struktūrvienībās laika posmā no </w:t>
      </w:r>
      <w:proofErr w:type="gramStart"/>
      <w:r w:rsidR="006F74E1" w:rsidRPr="00AB7E22">
        <w:rPr>
          <w:lang w:val="lv-LV"/>
        </w:rPr>
        <w:t>2011.gada</w:t>
      </w:r>
      <w:proofErr w:type="gramEnd"/>
      <w:r w:rsidR="006F74E1" w:rsidRPr="00AB7E22">
        <w:rPr>
          <w:lang w:val="lv-LV"/>
        </w:rPr>
        <w:t xml:space="preserve"> līdz 2013.gada 1.jūlijam pēc būtības izskatītas 3 sūdzības. Pārbaudes gaitā visas sūdzības prokurori atzinuši par nepamatotām. </w:t>
      </w:r>
    </w:p>
    <w:p w:rsidR="006F74E1" w:rsidRPr="00AB7E22" w:rsidRDefault="006F74E1" w:rsidP="004D1E2D">
      <w:pPr>
        <w:pStyle w:val="Pamatteksts"/>
        <w:tabs>
          <w:tab w:val="left" w:pos="567"/>
        </w:tabs>
        <w:spacing w:after="0"/>
        <w:ind w:right="-1" w:firstLine="567"/>
        <w:jc w:val="both"/>
        <w:rPr>
          <w:lang w:val="lv-LV"/>
        </w:rPr>
      </w:pPr>
      <w:r w:rsidRPr="00AB7E22">
        <w:rPr>
          <w:lang w:val="lv-LV"/>
        </w:rPr>
        <w:t>[</w:t>
      </w:r>
      <w:r w:rsidR="00C34441" w:rsidRPr="00AB7E22">
        <w:rPr>
          <w:lang w:val="lv-LV"/>
        </w:rPr>
        <w:t>2.5.5.]</w:t>
      </w:r>
      <w:r w:rsidRPr="00AB7E22">
        <w:rPr>
          <w:lang w:val="lv-LV"/>
        </w:rPr>
        <w:t xml:space="preserve"> </w:t>
      </w:r>
      <w:r w:rsidRPr="00AB7E22">
        <w:rPr>
          <w:b/>
          <w:lang w:val="lv-LV"/>
        </w:rPr>
        <w:t xml:space="preserve">Latgales tiesas apgabalā </w:t>
      </w:r>
      <w:r w:rsidRPr="00AB7E22">
        <w:rPr>
          <w:lang w:val="lv-LV"/>
        </w:rPr>
        <w:t xml:space="preserve">ietilpstošajās prokuratūras struktūrvienībās laika posmā no </w:t>
      </w:r>
      <w:proofErr w:type="gramStart"/>
      <w:r w:rsidRPr="00AB7E22">
        <w:rPr>
          <w:lang w:val="lv-LV"/>
        </w:rPr>
        <w:t>2011.gada</w:t>
      </w:r>
      <w:proofErr w:type="gramEnd"/>
      <w:r w:rsidRPr="00AB7E22">
        <w:rPr>
          <w:lang w:val="lv-LV"/>
        </w:rPr>
        <w:t xml:space="preserve"> līdz 2013.gada 1.jūlijam pēc būtības izskatītas 4 sūdzības. Visas sūdzības bijušas par lēmumiem, ar kuriem atteikts uzsākt kriminālprocesu par iespējamu valsts amatpersonu vardarbību. Izskatot minētās sūdzības par lēmumiem, ar kuriem atteikts uzsākt kriminālprocesu, 2 gadījumos prokurori šos lēmumus atcēla. </w:t>
      </w:r>
    </w:p>
    <w:p w:rsidR="006F74E1" w:rsidRPr="00AB7E22" w:rsidRDefault="006F74E1" w:rsidP="004D1E2D">
      <w:pPr>
        <w:pStyle w:val="Pamatteksts"/>
        <w:tabs>
          <w:tab w:val="left" w:pos="567"/>
        </w:tabs>
        <w:spacing w:after="0"/>
        <w:ind w:right="-1" w:firstLine="567"/>
        <w:jc w:val="both"/>
        <w:rPr>
          <w:lang w:val="lv-LV"/>
        </w:rPr>
      </w:pPr>
      <w:r w:rsidRPr="00AB7E22">
        <w:rPr>
          <w:lang w:val="lv-LV"/>
        </w:rPr>
        <w:t>[</w:t>
      </w:r>
      <w:r w:rsidR="00C34441" w:rsidRPr="00AB7E22">
        <w:rPr>
          <w:lang w:val="lv-LV"/>
        </w:rPr>
        <w:t>2.5.6.]</w:t>
      </w:r>
      <w:r w:rsidRPr="00AB7E22">
        <w:rPr>
          <w:lang w:val="lv-LV"/>
        </w:rPr>
        <w:t xml:space="preserve"> </w:t>
      </w:r>
      <w:r w:rsidRPr="00AB7E22">
        <w:rPr>
          <w:b/>
          <w:lang w:val="lv-LV"/>
        </w:rPr>
        <w:t xml:space="preserve">Specializētajā vairāku nozaru prokuratūrā </w:t>
      </w:r>
      <w:r w:rsidRPr="00AB7E22">
        <w:rPr>
          <w:lang w:val="lv-LV"/>
        </w:rPr>
        <w:t xml:space="preserve">laika posmā no </w:t>
      </w:r>
      <w:proofErr w:type="gramStart"/>
      <w:r w:rsidRPr="00AB7E22">
        <w:rPr>
          <w:lang w:val="lv-LV"/>
        </w:rPr>
        <w:t>2011.gada</w:t>
      </w:r>
      <w:proofErr w:type="gramEnd"/>
      <w:r w:rsidRPr="00AB7E22">
        <w:rPr>
          <w:lang w:val="lv-LV"/>
        </w:rPr>
        <w:t xml:space="preserve"> līdz 2013.gada 1.jūlijam pēc būtības izskatītas 6 sūdzības. Visas sūdzības bija par lēmumiem, ar kuriem atteikts uzsākt kriminālprocesu par iespējamu valsts amatpersonu vardarbību. Minētajos gadījumos, izskatot sūdzības par lēmumiem, ar kuriem atteikts uzsākt kriminālprocesu, prokurori tos atcēla. </w:t>
      </w:r>
    </w:p>
    <w:p w:rsidR="002E05C8" w:rsidRPr="00AB7E22" w:rsidRDefault="006F74E1" w:rsidP="00E17D78">
      <w:pPr>
        <w:pStyle w:val="Pamatteksts"/>
        <w:tabs>
          <w:tab w:val="left" w:pos="567"/>
        </w:tabs>
        <w:spacing w:after="0"/>
        <w:ind w:right="-1" w:firstLine="567"/>
        <w:jc w:val="both"/>
        <w:rPr>
          <w:lang w:val="lv-LV"/>
        </w:rPr>
      </w:pPr>
      <w:r w:rsidRPr="00AB7E22">
        <w:rPr>
          <w:lang w:val="lv-LV"/>
        </w:rPr>
        <w:t>[</w:t>
      </w:r>
      <w:r w:rsidR="001E6921" w:rsidRPr="00AB7E22">
        <w:rPr>
          <w:lang w:val="lv-LV"/>
        </w:rPr>
        <w:t>2.5.7.]</w:t>
      </w:r>
      <w:r w:rsidRPr="00AB7E22">
        <w:rPr>
          <w:lang w:val="lv-LV"/>
        </w:rPr>
        <w:t xml:space="preserve"> </w:t>
      </w:r>
      <w:r w:rsidRPr="00AB7E22">
        <w:rPr>
          <w:b/>
          <w:lang w:val="lv-LV"/>
        </w:rPr>
        <w:t>ĢP Krimināltiesiskā departamenta Pirmstiesas izmeklēšanas uzraudzības nodaļā,</w:t>
      </w:r>
      <w:r w:rsidRPr="00AB7E22">
        <w:rPr>
          <w:lang w:val="lv-LV"/>
        </w:rPr>
        <w:t xml:space="preserve"> kuras prokurori veic uzraudzību pār VP IDB pieņemtajiem lēmumiem, ar kuriem atteikts uzsākt kriminālprocesu, likumību un pamatotību, laika posmā no </w:t>
      </w:r>
      <w:proofErr w:type="gramStart"/>
      <w:r w:rsidRPr="00AB7E22">
        <w:rPr>
          <w:lang w:val="lv-LV"/>
        </w:rPr>
        <w:t>2011.gada</w:t>
      </w:r>
      <w:proofErr w:type="gramEnd"/>
      <w:r w:rsidRPr="00AB7E22">
        <w:rPr>
          <w:lang w:val="lv-LV"/>
        </w:rPr>
        <w:t xml:space="preserve"> līdz 2013.gada 1.jūlijam pēc būtības izskatītas 10 sūdzības. Lai gan atsevišķos materiālos par atteikšanos uzsākt kriminālprocesu, nolēmumi atcelti nolūkā veikt papildus pārbaudes par daļēji vai nepilnīgi noskaidrotiem faktiem, kopumā visas 10 sūdzības gala rezultātā atzītas par nepamatotām. </w:t>
      </w:r>
    </w:p>
    <w:p w:rsidR="007B581B" w:rsidRPr="00AB7E22" w:rsidRDefault="00C51B73" w:rsidP="007B581B">
      <w:pPr>
        <w:pStyle w:val="Pamatteksts"/>
        <w:tabs>
          <w:tab w:val="left" w:pos="567"/>
        </w:tabs>
        <w:spacing w:after="0"/>
        <w:ind w:right="-1" w:firstLine="567"/>
        <w:jc w:val="both"/>
        <w:rPr>
          <w:u w:val="single"/>
          <w:lang w:val="lv-LV"/>
        </w:rPr>
      </w:pPr>
      <w:r w:rsidRPr="00AB7E22">
        <w:rPr>
          <w:lang w:val="lv-LV"/>
        </w:rPr>
        <w:t>[2.6.]</w:t>
      </w:r>
      <w:r w:rsidR="004B2F80" w:rsidRPr="00AB7E22">
        <w:rPr>
          <w:lang w:val="lv-LV"/>
        </w:rPr>
        <w:t xml:space="preserve"> </w:t>
      </w:r>
      <w:proofErr w:type="spellStart"/>
      <w:r w:rsidR="004B2F80" w:rsidRPr="00AB7E22">
        <w:rPr>
          <w:b/>
          <w:u w:val="single"/>
          <w:lang w:val="lv-LV"/>
        </w:rPr>
        <w:t>IeVP</w:t>
      </w:r>
      <w:proofErr w:type="spellEnd"/>
      <w:r w:rsidR="004B2F80" w:rsidRPr="00AB7E22">
        <w:rPr>
          <w:b/>
          <w:u w:val="single"/>
          <w:lang w:val="lv-LV"/>
        </w:rPr>
        <w:t xml:space="preserve"> informēja, ka </w:t>
      </w:r>
      <w:proofErr w:type="spellStart"/>
      <w:r w:rsidR="004B2F80" w:rsidRPr="00AB7E22">
        <w:rPr>
          <w:u w:val="single"/>
          <w:lang w:val="lv-LV"/>
        </w:rPr>
        <w:t>IeVP</w:t>
      </w:r>
      <w:proofErr w:type="spellEnd"/>
      <w:r w:rsidR="004B2F80" w:rsidRPr="00AB7E22">
        <w:rPr>
          <w:u w:val="single"/>
          <w:lang w:val="lv-LV"/>
        </w:rPr>
        <w:t xml:space="preserve"> un tās struktūrvienībās vidēji tiek uzsākti un pieņemti lietvedībā no 360 līdz 390 kriminālprocesiem.</w:t>
      </w:r>
    </w:p>
    <w:p w:rsidR="007B581B" w:rsidRPr="00AB7E22" w:rsidRDefault="007B581B" w:rsidP="007B581B">
      <w:pPr>
        <w:pStyle w:val="Pamatteksts"/>
        <w:tabs>
          <w:tab w:val="left" w:pos="567"/>
        </w:tabs>
        <w:spacing w:after="0"/>
        <w:ind w:right="-1" w:firstLine="567"/>
        <w:jc w:val="both"/>
        <w:rPr>
          <w:lang w:val="lv-LV"/>
        </w:rPr>
      </w:pPr>
      <w:r w:rsidRPr="00AB7E22">
        <w:rPr>
          <w:lang w:val="lv-LV"/>
        </w:rPr>
        <w:lastRenderedPageBreak/>
        <w:t xml:space="preserve">[2.6.1.] </w:t>
      </w:r>
      <w:r w:rsidR="004B2F80" w:rsidRPr="00AB7E22">
        <w:rPr>
          <w:lang w:val="lv-LV"/>
        </w:rPr>
        <w:t xml:space="preserve">Kriminālprocesu skaits, kas ir uzsākti </w:t>
      </w:r>
      <w:r w:rsidRPr="00AB7E22">
        <w:rPr>
          <w:lang w:val="lv-LV"/>
        </w:rPr>
        <w:t>saskaņā ar</w:t>
      </w:r>
      <w:r w:rsidR="004B2F80" w:rsidRPr="00AB7E22">
        <w:rPr>
          <w:lang w:val="lv-LV"/>
        </w:rPr>
        <w:t xml:space="preserve"> </w:t>
      </w:r>
      <w:r w:rsidR="004B2F80" w:rsidRPr="00AB7E22">
        <w:rPr>
          <w:b/>
          <w:lang w:val="lv-LV"/>
        </w:rPr>
        <w:t>Krimināllikuma</w:t>
      </w:r>
      <w:r w:rsidR="00C00476" w:rsidRPr="00AB7E22">
        <w:rPr>
          <w:lang w:val="lv-LV"/>
        </w:rPr>
        <w:t xml:space="preserve"> (turpmāk – KL) </w:t>
      </w:r>
      <w:r w:rsidR="004B2F80" w:rsidRPr="00AB7E22">
        <w:rPr>
          <w:b/>
          <w:lang w:val="lv-LV"/>
        </w:rPr>
        <w:t>XXIV</w:t>
      </w:r>
      <w:r w:rsidR="004B2F80" w:rsidRPr="00AB7E22">
        <w:rPr>
          <w:lang w:val="lv-LV"/>
        </w:rPr>
        <w:t xml:space="preserve"> nodaļā paredzēto noziedzīgo nodarījumu pazīmēm (</w:t>
      </w:r>
      <w:r w:rsidR="004B2F80" w:rsidRPr="00AB7E22">
        <w:rPr>
          <w:b/>
          <w:i/>
          <w:lang w:val="lv-LV"/>
        </w:rPr>
        <w:t>noziedzīgi nodarījumi valsts institūciju dienestā</w:t>
      </w:r>
      <w:r w:rsidR="004B2F80" w:rsidRPr="00AB7E22">
        <w:rPr>
          <w:lang w:val="lv-LV"/>
        </w:rPr>
        <w:t>):</w:t>
      </w:r>
    </w:p>
    <w:p w:rsidR="004B2F80" w:rsidRPr="00AB7E22" w:rsidRDefault="004B2F80" w:rsidP="007B581B">
      <w:pPr>
        <w:pStyle w:val="Sarakstarindkopa"/>
        <w:numPr>
          <w:ilvl w:val="0"/>
          <w:numId w:val="6"/>
        </w:numPr>
        <w:jc w:val="both"/>
        <w:rPr>
          <w:rFonts w:ascii="Times New Roman" w:hAnsi="Times New Roman"/>
          <w:sz w:val="24"/>
          <w:szCs w:val="24"/>
        </w:rPr>
      </w:pPr>
      <w:proofErr w:type="gramStart"/>
      <w:r w:rsidRPr="00AB7E22">
        <w:rPr>
          <w:rFonts w:ascii="Times New Roman" w:hAnsi="Times New Roman"/>
          <w:b/>
          <w:sz w:val="24"/>
          <w:szCs w:val="24"/>
        </w:rPr>
        <w:t>2010.gadā</w:t>
      </w:r>
      <w:proofErr w:type="gramEnd"/>
      <w:r w:rsidRPr="00AB7E22">
        <w:rPr>
          <w:rFonts w:ascii="Times New Roman" w:hAnsi="Times New Roman"/>
          <w:sz w:val="24"/>
          <w:szCs w:val="24"/>
        </w:rPr>
        <w:t xml:space="preserve"> </w:t>
      </w:r>
      <w:r w:rsidR="00C00476" w:rsidRPr="00AB7E22">
        <w:rPr>
          <w:rFonts w:ascii="Times New Roman" w:hAnsi="Times New Roman"/>
          <w:sz w:val="24"/>
          <w:szCs w:val="24"/>
        </w:rPr>
        <w:t>–</w:t>
      </w:r>
      <w:r w:rsidRPr="00AB7E22">
        <w:rPr>
          <w:rFonts w:ascii="Times New Roman" w:hAnsi="Times New Roman"/>
          <w:sz w:val="24"/>
          <w:szCs w:val="24"/>
        </w:rPr>
        <w:t xml:space="preserve"> 5 kriminālprocesi, nekonstatējot noziedzīga nodarījuma faktu vai sastāvu tie izbeigti.</w:t>
      </w:r>
    </w:p>
    <w:p w:rsidR="004B2F80" w:rsidRPr="00AB7E22" w:rsidRDefault="004B2F80" w:rsidP="007B581B">
      <w:pPr>
        <w:pStyle w:val="Sarakstarindkopa"/>
        <w:numPr>
          <w:ilvl w:val="0"/>
          <w:numId w:val="6"/>
        </w:numPr>
        <w:jc w:val="both"/>
        <w:rPr>
          <w:rFonts w:ascii="Times New Roman" w:hAnsi="Times New Roman"/>
          <w:sz w:val="24"/>
          <w:szCs w:val="24"/>
        </w:rPr>
      </w:pPr>
      <w:proofErr w:type="gramStart"/>
      <w:r w:rsidRPr="00AB7E22">
        <w:rPr>
          <w:rFonts w:ascii="Times New Roman" w:hAnsi="Times New Roman"/>
          <w:b/>
          <w:sz w:val="24"/>
          <w:szCs w:val="24"/>
        </w:rPr>
        <w:t>2011.gadā</w:t>
      </w:r>
      <w:proofErr w:type="gramEnd"/>
      <w:r w:rsidRPr="00AB7E22">
        <w:rPr>
          <w:rFonts w:ascii="Times New Roman" w:hAnsi="Times New Roman"/>
          <w:sz w:val="24"/>
          <w:szCs w:val="24"/>
        </w:rPr>
        <w:t xml:space="preserve"> </w:t>
      </w:r>
      <w:r w:rsidR="00C00476" w:rsidRPr="00AB7E22">
        <w:rPr>
          <w:rFonts w:ascii="Times New Roman" w:hAnsi="Times New Roman"/>
          <w:sz w:val="24"/>
          <w:szCs w:val="24"/>
        </w:rPr>
        <w:t>–</w:t>
      </w:r>
      <w:r w:rsidRPr="00AB7E22">
        <w:rPr>
          <w:rFonts w:ascii="Times New Roman" w:hAnsi="Times New Roman"/>
          <w:sz w:val="24"/>
          <w:szCs w:val="24"/>
        </w:rPr>
        <w:t xml:space="preserve"> 7 kriminālprocesi, nekonstatējot noziedzīga nodarījuma faktu vai sastāvu tie izbeigti.</w:t>
      </w:r>
    </w:p>
    <w:p w:rsidR="004B2F80" w:rsidRPr="00AB7E22" w:rsidRDefault="004B2F80" w:rsidP="007B581B">
      <w:pPr>
        <w:pStyle w:val="Sarakstarindkopa"/>
        <w:numPr>
          <w:ilvl w:val="0"/>
          <w:numId w:val="6"/>
        </w:numPr>
        <w:jc w:val="both"/>
        <w:rPr>
          <w:rFonts w:ascii="Times New Roman" w:hAnsi="Times New Roman"/>
          <w:sz w:val="24"/>
          <w:szCs w:val="24"/>
        </w:rPr>
      </w:pPr>
      <w:proofErr w:type="gramStart"/>
      <w:r w:rsidRPr="00AB7E22">
        <w:rPr>
          <w:rFonts w:ascii="Times New Roman" w:hAnsi="Times New Roman"/>
          <w:b/>
          <w:sz w:val="24"/>
          <w:szCs w:val="24"/>
        </w:rPr>
        <w:t>2012.gadā</w:t>
      </w:r>
      <w:proofErr w:type="gramEnd"/>
      <w:r w:rsidRPr="00AB7E22">
        <w:rPr>
          <w:rFonts w:ascii="Times New Roman" w:hAnsi="Times New Roman"/>
          <w:sz w:val="24"/>
          <w:szCs w:val="24"/>
        </w:rPr>
        <w:t xml:space="preserve"> </w:t>
      </w:r>
      <w:r w:rsidR="00C00476" w:rsidRPr="00AB7E22">
        <w:rPr>
          <w:rFonts w:ascii="Times New Roman" w:hAnsi="Times New Roman"/>
          <w:sz w:val="24"/>
          <w:szCs w:val="24"/>
        </w:rPr>
        <w:t>–</w:t>
      </w:r>
      <w:r w:rsidRPr="00AB7E22">
        <w:rPr>
          <w:rFonts w:ascii="Times New Roman" w:hAnsi="Times New Roman"/>
          <w:sz w:val="24"/>
          <w:szCs w:val="24"/>
        </w:rPr>
        <w:t xml:space="preserve"> 12 kriminālprocesi, no kuriem 11 izbeigti, viens nodots kriminālvajāšanai.</w:t>
      </w:r>
    </w:p>
    <w:p w:rsidR="007B581B" w:rsidRPr="00AB7E22" w:rsidRDefault="00C00476" w:rsidP="007B581B">
      <w:pPr>
        <w:pStyle w:val="Sarakstarindkopa"/>
        <w:numPr>
          <w:ilvl w:val="0"/>
          <w:numId w:val="6"/>
        </w:numPr>
        <w:jc w:val="both"/>
        <w:rPr>
          <w:rFonts w:ascii="Times New Roman" w:hAnsi="Times New Roman"/>
          <w:sz w:val="24"/>
          <w:szCs w:val="24"/>
        </w:rPr>
      </w:pPr>
      <w:proofErr w:type="gramStart"/>
      <w:r w:rsidRPr="00AB7E22">
        <w:rPr>
          <w:rFonts w:ascii="Times New Roman" w:hAnsi="Times New Roman"/>
          <w:b/>
          <w:sz w:val="24"/>
          <w:szCs w:val="24"/>
        </w:rPr>
        <w:t>2013.gadā</w:t>
      </w:r>
      <w:proofErr w:type="gramEnd"/>
      <w:r w:rsidRPr="00AB7E22">
        <w:rPr>
          <w:rFonts w:ascii="Times New Roman" w:hAnsi="Times New Roman"/>
          <w:sz w:val="24"/>
          <w:szCs w:val="24"/>
        </w:rPr>
        <w:t xml:space="preserve"> – </w:t>
      </w:r>
      <w:r w:rsidR="004B2F80" w:rsidRPr="00AB7E22">
        <w:rPr>
          <w:rFonts w:ascii="Times New Roman" w:hAnsi="Times New Roman"/>
          <w:sz w:val="24"/>
          <w:szCs w:val="24"/>
        </w:rPr>
        <w:t>3 kriminālprocesi, līdz šim atrodas lietvedībā.</w:t>
      </w:r>
    </w:p>
    <w:p w:rsidR="004B2F80" w:rsidRPr="00AB7E22" w:rsidRDefault="007B581B" w:rsidP="007B581B">
      <w:pPr>
        <w:pStyle w:val="Sarakstarindkopa"/>
        <w:tabs>
          <w:tab w:val="left" w:pos="567"/>
        </w:tabs>
        <w:ind w:left="0"/>
        <w:jc w:val="both"/>
        <w:rPr>
          <w:rFonts w:ascii="Times New Roman" w:hAnsi="Times New Roman"/>
          <w:sz w:val="24"/>
          <w:szCs w:val="24"/>
        </w:rPr>
      </w:pPr>
      <w:r w:rsidRPr="00AB7E22">
        <w:rPr>
          <w:rFonts w:ascii="Times New Roman" w:hAnsi="Times New Roman"/>
          <w:sz w:val="24"/>
          <w:szCs w:val="24"/>
        </w:rPr>
        <w:tab/>
        <w:t xml:space="preserve">[2.6.2.] </w:t>
      </w:r>
      <w:r w:rsidR="004B2F80" w:rsidRPr="00AB7E22">
        <w:rPr>
          <w:rFonts w:ascii="Times New Roman" w:hAnsi="Times New Roman"/>
          <w:sz w:val="24"/>
          <w:szCs w:val="24"/>
        </w:rPr>
        <w:t xml:space="preserve">Kriminālprocesi, kas uzsākti </w:t>
      </w:r>
      <w:r w:rsidRPr="00AB7E22">
        <w:rPr>
          <w:rFonts w:ascii="Times New Roman" w:hAnsi="Times New Roman"/>
          <w:sz w:val="24"/>
          <w:szCs w:val="24"/>
        </w:rPr>
        <w:t>saskaņā ar</w:t>
      </w:r>
      <w:r w:rsidR="004B2F80" w:rsidRPr="00AB7E22">
        <w:rPr>
          <w:rFonts w:ascii="Times New Roman" w:hAnsi="Times New Roman"/>
          <w:sz w:val="24"/>
          <w:szCs w:val="24"/>
        </w:rPr>
        <w:t xml:space="preserve"> </w:t>
      </w:r>
      <w:r w:rsidR="004B2F80" w:rsidRPr="00AB7E22">
        <w:rPr>
          <w:rFonts w:ascii="Times New Roman" w:hAnsi="Times New Roman"/>
          <w:b/>
          <w:sz w:val="24"/>
          <w:szCs w:val="24"/>
        </w:rPr>
        <w:t>K</w:t>
      </w:r>
      <w:r w:rsidRPr="00AB7E22">
        <w:rPr>
          <w:rFonts w:ascii="Times New Roman" w:hAnsi="Times New Roman"/>
          <w:b/>
          <w:sz w:val="24"/>
          <w:szCs w:val="24"/>
        </w:rPr>
        <w:t xml:space="preserve">L </w:t>
      </w:r>
      <w:r w:rsidR="004B2F80" w:rsidRPr="00AB7E22">
        <w:rPr>
          <w:rFonts w:ascii="Times New Roman" w:hAnsi="Times New Roman"/>
          <w:b/>
          <w:sz w:val="24"/>
          <w:szCs w:val="24"/>
        </w:rPr>
        <w:t>309.pantā</w:t>
      </w:r>
      <w:r w:rsidR="00D965D1" w:rsidRPr="00AB7E22">
        <w:rPr>
          <w:rFonts w:ascii="Times New Roman" w:hAnsi="Times New Roman"/>
          <w:b/>
          <w:sz w:val="24"/>
          <w:szCs w:val="24"/>
        </w:rPr>
        <w:t xml:space="preserve"> </w:t>
      </w:r>
      <w:r w:rsidR="00D965D1" w:rsidRPr="00AB7E22">
        <w:rPr>
          <w:rFonts w:ascii="Times New Roman" w:hAnsi="Times New Roman"/>
          <w:b/>
          <w:i/>
          <w:sz w:val="24"/>
          <w:szCs w:val="24"/>
        </w:rPr>
        <w:t>(</w:t>
      </w:r>
      <w:r w:rsidR="00D965D1" w:rsidRPr="00AB7E22">
        <w:rPr>
          <w:rFonts w:ascii="Times New Roman" w:hAnsi="Times New Roman"/>
          <w:b/>
          <w:bCs/>
          <w:i/>
          <w:sz w:val="24"/>
          <w:szCs w:val="24"/>
        </w:rPr>
        <w:t>Nelikumīga vielu un priekšmetu nodošana personām un saņemšana no personām, kuras ievietotas īslaicīgās aizturēšanas un ieslodzījuma vietās)</w:t>
      </w:r>
      <w:r w:rsidR="004B2F80" w:rsidRPr="00AB7E22">
        <w:rPr>
          <w:rFonts w:ascii="Times New Roman" w:hAnsi="Times New Roman"/>
          <w:sz w:val="24"/>
          <w:szCs w:val="24"/>
        </w:rPr>
        <w:t xml:space="preserve"> paredzētā noziedzīgā nodarījuma pazīmēm:</w:t>
      </w:r>
    </w:p>
    <w:p w:rsidR="004B2F80" w:rsidRPr="00AB7E22" w:rsidRDefault="004B2F80" w:rsidP="007B581B">
      <w:pPr>
        <w:pStyle w:val="Sarakstarindkopa"/>
        <w:numPr>
          <w:ilvl w:val="0"/>
          <w:numId w:val="6"/>
        </w:numPr>
        <w:jc w:val="both"/>
        <w:rPr>
          <w:rFonts w:ascii="Times New Roman" w:hAnsi="Times New Roman"/>
          <w:sz w:val="24"/>
          <w:szCs w:val="24"/>
        </w:rPr>
      </w:pPr>
      <w:proofErr w:type="gramStart"/>
      <w:r w:rsidRPr="00AB7E22">
        <w:rPr>
          <w:rFonts w:ascii="Times New Roman" w:hAnsi="Times New Roman"/>
          <w:b/>
          <w:sz w:val="24"/>
          <w:szCs w:val="24"/>
        </w:rPr>
        <w:t>2010.gadā</w:t>
      </w:r>
      <w:proofErr w:type="gramEnd"/>
      <w:r w:rsidRPr="00AB7E22">
        <w:rPr>
          <w:rFonts w:ascii="Times New Roman" w:hAnsi="Times New Roman"/>
          <w:sz w:val="24"/>
          <w:szCs w:val="24"/>
        </w:rPr>
        <w:t xml:space="preserve"> </w:t>
      </w:r>
      <w:r w:rsidR="00C00476" w:rsidRPr="00AB7E22">
        <w:rPr>
          <w:rFonts w:ascii="Times New Roman" w:hAnsi="Times New Roman"/>
          <w:sz w:val="24"/>
          <w:szCs w:val="24"/>
        </w:rPr>
        <w:t>–</w:t>
      </w:r>
      <w:r w:rsidRPr="00AB7E22">
        <w:rPr>
          <w:rFonts w:ascii="Times New Roman" w:hAnsi="Times New Roman"/>
          <w:sz w:val="24"/>
          <w:szCs w:val="24"/>
        </w:rPr>
        <w:t xml:space="preserve"> 9 kriminālprocesi, visi nodoti kriminālvajāšanai,</w:t>
      </w:r>
    </w:p>
    <w:p w:rsidR="004B2F80" w:rsidRPr="00AB7E22" w:rsidRDefault="004B2F80" w:rsidP="007B581B">
      <w:pPr>
        <w:pStyle w:val="Sarakstarindkopa"/>
        <w:numPr>
          <w:ilvl w:val="0"/>
          <w:numId w:val="6"/>
        </w:numPr>
        <w:jc w:val="both"/>
        <w:rPr>
          <w:rFonts w:ascii="Times New Roman" w:hAnsi="Times New Roman"/>
          <w:sz w:val="24"/>
          <w:szCs w:val="24"/>
        </w:rPr>
      </w:pPr>
      <w:proofErr w:type="gramStart"/>
      <w:r w:rsidRPr="00AB7E22">
        <w:rPr>
          <w:rFonts w:ascii="Times New Roman" w:hAnsi="Times New Roman"/>
          <w:b/>
          <w:sz w:val="24"/>
          <w:szCs w:val="24"/>
        </w:rPr>
        <w:t>2011.gadā</w:t>
      </w:r>
      <w:proofErr w:type="gramEnd"/>
      <w:r w:rsidRPr="00AB7E22">
        <w:rPr>
          <w:rFonts w:ascii="Times New Roman" w:hAnsi="Times New Roman"/>
          <w:sz w:val="24"/>
          <w:szCs w:val="24"/>
        </w:rPr>
        <w:t xml:space="preserve"> </w:t>
      </w:r>
      <w:r w:rsidR="00C00476" w:rsidRPr="00AB7E22">
        <w:rPr>
          <w:rFonts w:ascii="Times New Roman" w:hAnsi="Times New Roman"/>
          <w:sz w:val="24"/>
          <w:szCs w:val="24"/>
        </w:rPr>
        <w:t>–</w:t>
      </w:r>
      <w:r w:rsidRPr="00AB7E22">
        <w:rPr>
          <w:rFonts w:ascii="Times New Roman" w:hAnsi="Times New Roman"/>
          <w:sz w:val="24"/>
          <w:szCs w:val="24"/>
        </w:rPr>
        <w:t xml:space="preserve"> 7 kriminālprocesi, visi nodoti kriminālvajāšanai,</w:t>
      </w:r>
    </w:p>
    <w:p w:rsidR="004B2F80" w:rsidRPr="00AB7E22" w:rsidRDefault="004B2F80" w:rsidP="007B581B">
      <w:pPr>
        <w:pStyle w:val="Sarakstarindkopa"/>
        <w:numPr>
          <w:ilvl w:val="0"/>
          <w:numId w:val="6"/>
        </w:numPr>
        <w:jc w:val="both"/>
        <w:rPr>
          <w:rFonts w:ascii="Times New Roman" w:hAnsi="Times New Roman"/>
          <w:sz w:val="24"/>
          <w:szCs w:val="24"/>
        </w:rPr>
      </w:pPr>
      <w:proofErr w:type="gramStart"/>
      <w:r w:rsidRPr="00AB7E22">
        <w:rPr>
          <w:rFonts w:ascii="Times New Roman" w:hAnsi="Times New Roman"/>
          <w:b/>
          <w:sz w:val="24"/>
          <w:szCs w:val="24"/>
        </w:rPr>
        <w:t>2012.gadā</w:t>
      </w:r>
      <w:proofErr w:type="gramEnd"/>
      <w:r w:rsidRPr="00AB7E22">
        <w:rPr>
          <w:rFonts w:ascii="Times New Roman" w:hAnsi="Times New Roman"/>
          <w:sz w:val="24"/>
          <w:szCs w:val="24"/>
        </w:rPr>
        <w:t xml:space="preserve"> </w:t>
      </w:r>
      <w:r w:rsidR="00C00476" w:rsidRPr="00AB7E22">
        <w:rPr>
          <w:rFonts w:ascii="Times New Roman" w:hAnsi="Times New Roman"/>
          <w:sz w:val="24"/>
          <w:szCs w:val="24"/>
        </w:rPr>
        <w:t>–</w:t>
      </w:r>
      <w:r w:rsidRPr="00AB7E22">
        <w:rPr>
          <w:rFonts w:ascii="Times New Roman" w:hAnsi="Times New Roman"/>
          <w:sz w:val="24"/>
          <w:szCs w:val="24"/>
        </w:rPr>
        <w:t xml:space="preserve"> 7 kriminālprocesi, 6 nodoti kriminālvajāšanai, viens ar uzraugošā prokurora piekrišanu izbeigts pēc nereabilitējošiem apstākļiem.</w:t>
      </w:r>
    </w:p>
    <w:p w:rsidR="004B2F80" w:rsidRPr="00AB7E22" w:rsidRDefault="004B2F80" w:rsidP="007B581B">
      <w:pPr>
        <w:pStyle w:val="Sarakstarindkopa"/>
        <w:numPr>
          <w:ilvl w:val="0"/>
          <w:numId w:val="6"/>
        </w:numPr>
        <w:jc w:val="both"/>
        <w:rPr>
          <w:rFonts w:ascii="Times New Roman" w:hAnsi="Times New Roman"/>
          <w:sz w:val="24"/>
          <w:szCs w:val="24"/>
        </w:rPr>
      </w:pPr>
      <w:proofErr w:type="gramStart"/>
      <w:r w:rsidRPr="00AB7E22">
        <w:rPr>
          <w:rFonts w:ascii="Times New Roman" w:hAnsi="Times New Roman"/>
          <w:b/>
          <w:sz w:val="24"/>
          <w:szCs w:val="24"/>
        </w:rPr>
        <w:t>2013.gadā</w:t>
      </w:r>
      <w:proofErr w:type="gramEnd"/>
      <w:r w:rsidRPr="00AB7E22">
        <w:rPr>
          <w:rFonts w:ascii="Times New Roman" w:hAnsi="Times New Roman"/>
          <w:sz w:val="24"/>
          <w:szCs w:val="24"/>
        </w:rPr>
        <w:t xml:space="preserve"> </w:t>
      </w:r>
      <w:r w:rsidR="00C00476" w:rsidRPr="00AB7E22">
        <w:rPr>
          <w:rFonts w:ascii="Times New Roman" w:hAnsi="Times New Roman"/>
          <w:sz w:val="24"/>
          <w:szCs w:val="24"/>
        </w:rPr>
        <w:t>–</w:t>
      </w:r>
      <w:r w:rsidRPr="00AB7E22">
        <w:rPr>
          <w:rFonts w:ascii="Times New Roman" w:hAnsi="Times New Roman"/>
          <w:sz w:val="24"/>
          <w:szCs w:val="24"/>
        </w:rPr>
        <w:t xml:space="preserve"> 5 kriminālprocesi, 4 nodoti kriminālvajāšanai, vienā turpinās pirmstiesas izmeklēšana.</w:t>
      </w:r>
    </w:p>
    <w:p w:rsidR="0084226E" w:rsidRPr="00AB7E22" w:rsidRDefault="0084226E" w:rsidP="004B2F80">
      <w:pPr>
        <w:ind w:firstLine="720"/>
        <w:jc w:val="both"/>
        <w:rPr>
          <w:lang w:val="lv-LV"/>
        </w:rPr>
      </w:pPr>
    </w:p>
    <w:p w:rsidR="004B2F80" w:rsidRPr="00AB7E22" w:rsidRDefault="009A3085" w:rsidP="00E45AC5">
      <w:pPr>
        <w:ind w:firstLine="567"/>
        <w:jc w:val="both"/>
        <w:rPr>
          <w:lang w:val="lv-LV"/>
        </w:rPr>
      </w:pPr>
      <w:r w:rsidRPr="00AB7E22">
        <w:rPr>
          <w:lang w:val="lv-LV"/>
        </w:rPr>
        <w:t xml:space="preserve">[2.6.3.] </w:t>
      </w:r>
      <w:r w:rsidR="004B2F80" w:rsidRPr="00AB7E22">
        <w:rPr>
          <w:lang w:val="lv-LV"/>
        </w:rPr>
        <w:t>Tāpat nodots kriminālvajāšanai kriminālprocess pēc K</w:t>
      </w:r>
      <w:r w:rsidR="00E0459E" w:rsidRPr="00AB7E22">
        <w:rPr>
          <w:lang w:val="lv-LV"/>
        </w:rPr>
        <w:t xml:space="preserve">L </w:t>
      </w:r>
      <w:r w:rsidR="004B2F80" w:rsidRPr="00AB7E22">
        <w:rPr>
          <w:lang w:val="lv-LV"/>
        </w:rPr>
        <w:t>275.panta pirmajā daļā paredzēt</w:t>
      </w:r>
      <w:r w:rsidR="0031454D" w:rsidRPr="00AB7E22">
        <w:rPr>
          <w:lang w:val="lv-LV"/>
        </w:rPr>
        <w:t>ā noziedzīgā nodarījuma pazīmēm;</w:t>
      </w:r>
      <w:r w:rsidR="004B2F80" w:rsidRPr="00AB7E22">
        <w:rPr>
          <w:lang w:val="lv-LV"/>
        </w:rPr>
        <w:t xml:space="preserve"> kriminālprocess, kurā saistībā ar ieslodzītās personas vardarbīgu nāvi, par aizdomās turētām personām K</w:t>
      </w:r>
      <w:r w:rsidR="00E0459E" w:rsidRPr="00AB7E22">
        <w:rPr>
          <w:lang w:val="lv-LV"/>
        </w:rPr>
        <w:t xml:space="preserve">L </w:t>
      </w:r>
      <w:r w:rsidR="004B2F80" w:rsidRPr="00AB7E22">
        <w:rPr>
          <w:lang w:val="lv-LV"/>
        </w:rPr>
        <w:t>317.panta trešajā daļā, 125.panta trešajā daļā paredzēto noziedzīgo nodarījumu izdarīšanu atzītas divas amatpersonas un par K</w:t>
      </w:r>
      <w:r w:rsidR="00E0459E" w:rsidRPr="00AB7E22">
        <w:rPr>
          <w:lang w:val="lv-LV"/>
        </w:rPr>
        <w:t xml:space="preserve">L </w:t>
      </w:r>
      <w:r w:rsidR="004B2F80" w:rsidRPr="00AB7E22">
        <w:rPr>
          <w:lang w:val="lv-LV"/>
        </w:rPr>
        <w:t xml:space="preserve">315.pantā paredzētā noziedzīgā nodarījuma izdarīšanu atzīta viena amatpersona. Pēc nepieciešamo ekspertu atzinumu saņemšanas </w:t>
      </w:r>
      <w:r w:rsidR="0031454D" w:rsidRPr="00AB7E22">
        <w:rPr>
          <w:lang w:val="lv-LV"/>
        </w:rPr>
        <w:t xml:space="preserve">kriminālvajāšanai </w:t>
      </w:r>
      <w:r w:rsidR="004B2F80" w:rsidRPr="00AB7E22">
        <w:rPr>
          <w:lang w:val="lv-LV"/>
        </w:rPr>
        <w:t>tiks nodots kriminālprocess, kurā par K</w:t>
      </w:r>
      <w:r w:rsidR="00E0459E" w:rsidRPr="00AB7E22">
        <w:rPr>
          <w:lang w:val="lv-LV"/>
        </w:rPr>
        <w:t>L</w:t>
      </w:r>
      <w:r w:rsidR="004B2F80" w:rsidRPr="00AB7E22">
        <w:rPr>
          <w:lang w:val="lv-LV"/>
        </w:rPr>
        <w:t xml:space="preserve"> 318.panta otrajā daļā un 309.panta pirmajā daļā paredzēto noziedzīgo nodarījumu izdarīšanu </w:t>
      </w:r>
      <w:r w:rsidRPr="00AB7E22">
        <w:rPr>
          <w:lang w:val="lv-LV"/>
        </w:rPr>
        <w:t xml:space="preserve">par aizdomās turēto </w:t>
      </w:r>
      <w:r w:rsidR="004B2F80" w:rsidRPr="00AB7E22">
        <w:rPr>
          <w:lang w:val="lv-LV"/>
        </w:rPr>
        <w:t xml:space="preserve">atzīta viena amatpersona. </w:t>
      </w:r>
    </w:p>
    <w:p w:rsidR="009A3085" w:rsidRPr="00AB7E22" w:rsidRDefault="009A3085" w:rsidP="00E45AC5">
      <w:pPr>
        <w:ind w:firstLine="567"/>
        <w:jc w:val="both"/>
        <w:rPr>
          <w:lang w:val="lv-LV"/>
        </w:rPr>
      </w:pPr>
      <w:r w:rsidRPr="00AB7E22">
        <w:rPr>
          <w:lang w:val="lv-LV"/>
        </w:rPr>
        <w:t xml:space="preserve">[2.6.4.] </w:t>
      </w:r>
      <w:r w:rsidR="007D3237" w:rsidRPr="00AB7E22">
        <w:rPr>
          <w:lang w:val="lv-LV"/>
        </w:rPr>
        <w:t xml:space="preserve">Attiecībā uz noziedzīgiem nodarījumiem, kas saistīti ar miesas bojājumu nodarīšanu, </w:t>
      </w:r>
      <w:proofErr w:type="spellStart"/>
      <w:r w:rsidRPr="00AB7E22">
        <w:rPr>
          <w:lang w:val="lv-LV"/>
        </w:rPr>
        <w:t>IeVP</w:t>
      </w:r>
      <w:proofErr w:type="spellEnd"/>
      <w:r w:rsidRPr="00AB7E22">
        <w:rPr>
          <w:lang w:val="lv-LV"/>
        </w:rPr>
        <w:t xml:space="preserve"> norādīja, ka:</w:t>
      </w:r>
    </w:p>
    <w:p w:rsidR="009A3085" w:rsidRPr="00AB7E22" w:rsidRDefault="004B2F80" w:rsidP="00126AE0">
      <w:pPr>
        <w:pStyle w:val="Sarakstarindkopa"/>
        <w:numPr>
          <w:ilvl w:val="0"/>
          <w:numId w:val="7"/>
        </w:numPr>
        <w:ind w:left="709"/>
        <w:jc w:val="both"/>
        <w:rPr>
          <w:rFonts w:ascii="Times New Roman" w:hAnsi="Times New Roman"/>
          <w:sz w:val="24"/>
          <w:szCs w:val="24"/>
        </w:rPr>
      </w:pPr>
      <w:proofErr w:type="gramStart"/>
      <w:r w:rsidRPr="00AB7E22">
        <w:rPr>
          <w:rFonts w:ascii="Times New Roman" w:hAnsi="Times New Roman"/>
          <w:b/>
          <w:sz w:val="24"/>
          <w:szCs w:val="24"/>
        </w:rPr>
        <w:t>2010.gadā</w:t>
      </w:r>
      <w:proofErr w:type="gramEnd"/>
      <w:r w:rsidRPr="00AB7E22">
        <w:rPr>
          <w:rFonts w:ascii="Times New Roman" w:hAnsi="Times New Roman"/>
          <w:sz w:val="24"/>
          <w:szCs w:val="24"/>
        </w:rPr>
        <w:t xml:space="preserve"> par ieslodzītām personām konstatētiem miesas bojājumiem uzsākti 29 kriminālprocesi (vardarbība starp ieslodzītajiem </w:t>
      </w:r>
      <w:r w:rsidR="00126AE0" w:rsidRPr="00AB7E22">
        <w:rPr>
          <w:rFonts w:ascii="Times New Roman" w:hAnsi="Times New Roman"/>
          <w:sz w:val="24"/>
          <w:szCs w:val="24"/>
        </w:rPr>
        <w:t>–</w:t>
      </w:r>
      <w:r w:rsidRPr="00AB7E22">
        <w:rPr>
          <w:rFonts w:ascii="Times New Roman" w:hAnsi="Times New Roman"/>
          <w:sz w:val="24"/>
          <w:szCs w:val="24"/>
        </w:rPr>
        <w:t xml:space="preserve"> 17 kriminālprocesi); </w:t>
      </w:r>
    </w:p>
    <w:p w:rsidR="009A3085" w:rsidRPr="00AB7E22" w:rsidRDefault="004B2F80" w:rsidP="00126AE0">
      <w:pPr>
        <w:pStyle w:val="Sarakstarindkopa"/>
        <w:numPr>
          <w:ilvl w:val="0"/>
          <w:numId w:val="7"/>
        </w:numPr>
        <w:ind w:left="709"/>
        <w:jc w:val="both"/>
        <w:rPr>
          <w:rFonts w:ascii="Times New Roman" w:hAnsi="Times New Roman"/>
          <w:sz w:val="24"/>
          <w:szCs w:val="24"/>
        </w:rPr>
      </w:pPr>
      <w:proofErr w:type="gramStart"/>
      <w:r w:rsidRPr="00AB7E22">
        <w:rPr>
          <w:rFonts w:ascii="Times New Roman" w:hAnsi="Times New Roman"/>
          <w:b/>
          <w:sz w:val="24"/>
          <w:szCs w:val="24"/>
        </w:rPr>
        <w:t>2011.gad</w:t>
      </w:r>
      <w:r w:rsidR="009A3085" w:rsidRPr="00AB7E22">
        <w:rPr>
          <w:rFonts w:ascii="Times New Roman" w:hAnsi="Times New Roman"/>
          <w:b/>
          <w:sz w:val="24"/>
          <w:szCs w:val="24"/>
        </w:rPr>
        <w:t>ā</w:t>
      </w:r>
      <w:proofErr w:type="gramEnd"/>
      <w:r w:rsidRPr="00AB7E22">
        <w:rPr>
          <w:rFonts w:ascii="Times New Roman" w:hAnsi="Times New Roman"/>
          <w:sz w:val="24"/>
          <w:szCs w:val="24"/>
        </w:rPr>
        <w:t xml:space="preserve"> uzsākti 66 kriminālprocesi (vardarbība starp ieslod</w:t>
      </w:r>
      <w:r w:rsidR="009A3085" w:rsidRPr="00AB7E22">
        <w:rPr>
          <w:rFonts w:ascii="Times New Roman" w:hAnsi="Times New Roman"/>
          <w:sz w:val="24"/>
          <w:szCs w:val="24"/>
        </w:rPr>
        <w:t xml:space="preserve">zītajiem </w:t>
      </w:r>
      <w:r w:rsidR="00126AE0" w:rsidRPr="00AB7E22">
        <w:rPr>
          <w:rFonts w:ascii="Times New Roman" w:hAnsi="Times New Roman"/>
          <w:sz w:val="24"/>
          <w:szCs w:val="24"/>
        </w:rPr>
        <w:t>–</w:t>
      </w:r>
      <w:r w:rsidR="009A3085" w:rsidRPr="00AB7E22">
        <w:rPr>
          <w:rFonts w:ascii="Times New Roman" w:hAnsi="Times New Roman"/>
          <w:sz w:val="24"/>
          <w:szCs w:val="24"/>
        </w:rPr>
        <w:t xml:space="preserve"> 29 kriminālprocesi);</w:t>
      </w:r>
    </w:p>
    <w:p w:rsidR="009A3085" w:rsidRPr="00AB7E22" w:rsidRDefault="004B2F80" w:rsidP="00126AE0">
      <w:pPr>
        <w:pStyle w:val="Sarakstarindkopa"/>
        <w:numPr>
          <w:ilvl w:val="0"/>
          <w:numId w:val="7"/>
        </w:numPr>
        <w:ind w:left="709"/>
        <w:jc w:val="both"/>
        <w:rPr>
          <w:rFonts w:ascii="Times New Roman" w:hAnsi="Times New Roman"/>
          <w:sz w:val="24"/>
          <w:szCs w:val="24"/>
        </w:rPr>
      </w:pPr>
      <w:proofErr w:type="gramStart"/>
      <w:r w:rsidRPr="00AB7E22">
        <w:rPr>
          <w:rFonts w:ascii="Times New Roman" w:hAnsi="Times New Roman"/>
          <w:b/>
          <w:sz w:val="24"/>
          <w:szCs w:val="24"/>
        </w:rPr>
        <w:t>2012.gadā</w:t>
      </w:r>
      <w:proofErr w:type="gramEnd"/>
      <w:r w:rsidRPr="00AB7E22">
        <w:rPr>
          <w:rFonts w:ascii="Times New Roman" w:hAnsi="Times New Roman"/>
          <w:sz w:val="24"/>
          <w:szCs w:val="24"/>
        </w:rPr>
        <w:t xml:space="preserve"> uzsākti 84 kriminālprocesi (vardarbība starp ieslod</w:t>
      </w:r>
      <w:r w:rsidR="00126AE0" w:rsidRPr="00AB7E22">
        <w:rPr>
          <w:rFonts w:ascii="Times New Roman" w:hAnsi="Times New Roman"/>
          <w:sz w:val="24"/>
          <w:szCs w:val="24"/>
        </w:rPr>
        <w:t xml:space="preserve">zītajiem – </w:t>
      </w:r>
      <w:r w:rsidR="009A3085" w:rsidRPr="00AB7E22">
        <w:rPr>
          <w:rFonts w:ascii="Times New Roman" w:hAnsi="Times New Roman"/>
          <w:sz w:val="24"/>
          <w:szCs w:val="24"/>
        </w:rPr>
        <w:t>24 kriminālprocesi);</w:t>
      </w:r>
    </w:p>
    <w:p w:rsidR="004B2F80" w:rsidRPr="00AB7E22" w:rsidRDefault="004B2F80" w:rsidP="00126AE0">
      <w:pPr>
        <w:pStyle w:val="Sarakstarindkopa"/>
        <w:numPr>
          <w:ilvl w:val="0"/>
          <w:numId w:val="7"/>
        </w:numPr>
        <w:ind w:left="709"/>
        <w:jc w:val="both"/>
        <w:rPr>
          <w:rFonts w:ascii="Times New Roman" w:hAnsi="Times New Roman"/>
          <w:sz w:val="24"/>
          <w:szCs w:val="24"/>
        </w:rPr>
      </w:pPr>
      <w:proofErr w:type="gramStart"/>
      <w:r w:rsidRPr="00AB7E22">
        <w:rPr>
          <w:rFonts w:ascii="Times New Roman" w:hAnsi="Times New Roman"/>
          <w:b/>
          <w:sz w:val="24"/>
          <w:szCs w:val="24"/>
        </w:rPr>
        <w:t>2013.gadā</w:t>
      </w:r>
      <w:proofErr w:type="gramEnd"/>
      <w:r w:rsidRPr="00AB7E22">
        <w:rPr>
          <w:rFonts w:ascii="Times New Roman" w:hAnsi="Times New Roman"/>
          <w:sz w:val="24"/>
          <w:szCs w:val="24"/>
        </w:rPr>
        <w:t xml:space="preserve"> uzsākti 67 kriminālprocesi (vardarbība starp ieslodzītajiem </w:t>
      </w:r>
      <w:r w:rsidR="00126AE0" w:rsidRPr="00AB7E22">
        <w:rPr>
          <w:rFonts w:ascii="Times New Roman" w:hAnsi="Times New Roman"/>
          <w:sz w:val="24"/>
          <w:szCs w:val="24"/>
        </w:rPr>
        <w:t>–</w:t>
      </w:r>
      <w:r w:rsidRPr="00AB7E22">
        <w:rPr>
          <w:rFonts w:ascii="Times New Roman" w:hAnsi="Times New Roman"/>
          <w:sz w:val="24"/>
          <w:szCs w:val="24"/>
        </w:rPr>
        <w:t xml:space="preserve"> 21 kriminālprocess).</w:t>
      </w:r>
    </w:p>
    <w:p w:rsidR="0078627B" w:rsidRPr="00AB7E22" w:rsidRDefault="0078627B" w:rsidP="004A1C87">
      <w:pPr>
        <w:tabs>
          <w:tab w:val="left" w:pos="567"/>
        </w:tabs>
        <w:ind w:right="-1" w:firstLine="720"/>
        <w:jc w:val="center"/>
        <w:rPr>
          <w:b/>
          <w:lang w:val="lv-LV"/>
        </w:rPr>
      </w:pPr>
    </w:p>
    <w:p w:rsidR="00980F93" w:rsidRPr="00AB7E22" w:rsidRDefault="00980F93" w:rsidP="004A1C87">
      <w:pPr>
        <w:tabs>
          <w:tab w:val="left" w:pos="567"/>
        </w:tabs>
        <w:ind w:right="-1" w:firstLine="720"/>
        <w:jc w:val="center"/>
        <w:rPr>
          <w:b/>
          <w:lang w:val="lv-LV"/>
        </w:rPr>
      </w:pPr>
      <w:r w:rsidRPr="00AB7E22">
        <w:rPr>
          <w:b/>
          <w:lang w:val="lv-LV"/>
        </w:rPr>
        <w:t xml:space="preserve">III. Priekšlikumi sūdzību par iespējamu valsts amatpersonu vardarbību </w:t>
      </w:r>
    </w:p>
    <w:p w:rsidR="00E428E1" w:rsidRPr="00AB7E22" w:rsidRDefault="00980F93" w:rsidP="004A1C87">
      <w:pPr>
        <w:tabs>
          <w:tab w:val="left" w:pos="567"/>
        </w:tabs>
        <w:ind w:right="-1" w:firstLine="720"/>
        <w:jc w:val="center"/>
        <w:rPr>
          <w:b/>
          <w:lang w:val="lv-LV"/>
        </w:rPr>
      </w:pPr>
      <w:r w:rsidRPr="00AB7E22">
        <w:rPr>
          <w:b/>
          <w:lang w:val="lv-LV"/>
        </w:rPr>
        <w:t>efektīvas izmeklēšanas uzlabošanai</w:t>
      </w:r>
    </w:p>
    <w:p w:rsidR="0065671F" w:rsidRPr="00AB7E22" w:rsidRDefault="0065671F" w:rsidP="004A1C87">
      <w:pPr>
        <w:tabs>
          <w:tab w:val="left" w:pos="567"/>
        </w:tabs>
        <w:ind w:right="-1" w:firstLine="720"/>
        <w:jc w:val="center"/>
        <w:rPr>
          <w:b/>
          <w:lang w:val="lv-LV"/>
        </w:rPr>
      </w:pPr>
    </w:p>
    <w:p w:rsidR="00941A50" w:rsidRPr="00AB7E22" w:rsidRDefault="00282891" w:rsidP="00941A50">
      <w:pPr>
        <w:tabs>
          <w:tab w:val="left" w:pos="567"/>
        </w:tabs>
        <w:ind w:right="-1" w:firstLine="720"/>
        <w:jc w:val="both"/>
        <w:rPr>
          <w:rStyle w:val="spelle"/>
          <w:lang w:val="lv-LV"/>
        </w:rPr>
      </w:pPr>
      <w:r w:rsidRPr="00AB7E22">
        <w:rPr>
          <w:lang w:val="lv-LV"/>
        </w:rPr>
        <w:t>[3</w:t>
      </w:r>
      <w:r w:rsidR="00941A50" w:rsidRPr="00AB7E22">
        <w:rPr>
          <w:lang w:val="lv-LV"/>
        </w:rPr>
        <w:t>.1.</w:t>
      </w:r>
      <w:r w:rsidRPr="00AB7E22">
        <w:rPr>
          <w:lang w:val="lv-LV"/>
        </w:rPr>
        <w:t xml:space="preserve">] </w:t>
      </w:r>
      <w:r w:rsidR="00941A50" w:rsidRPr="00AB7E22">
        <w:rPr>
          <w:lang w:val="lv-LV"/>
        </w:rPr>
        <w:t xml:space="preserve">IeM nepieciešams turpināt darbu, lai izstrādātā koncepcija </w:t>
      </w:r>
      <w:r w:rsidR="00941A50" w:rsidRPr="00AB7E22">
        <w:rPr>
          <w:i/>
          <w:lang w:val="lv-LV"/>
        </w:rPr>
        <w:t xml:space="preserve">„Par Valsts policijas Iekšējā drošības biroja pārveidošanas par iekšlietu ministra pārraudzībā esošu institūciju risinājumiem” </w:t>
      </w:r>
      <w:r w:rsidR="00941A50" w:rsidRPr="00AB7E22">
        <w:rPr>
          <w:lang w:val="lv-LV"/>
        </w:rPr>
        <w:t xml:space="preserve">un </w:t>
      </w:r>
      <w:r w:rsidR="003701A9" w:rsidRPr="00AB7E22">
        <w:rPr>
          <w:lang w:val="lv-LV"/>
        </w:rPr>
        <w:t>tās</w:t>
      </w:r>
      <w:r w:rsidR="00941A50" w:rsidRPr="00AB7E22">
        <w:rPr>
          <w:lang w:val="lv-LV"/>
        </w:rPr>
        <w:t xml:space="preserve"> </w:t>
      </w:r>
      <w:r w:rsidR="003701A9" w:rsidRPr="00AB7E22">
        <w:rPr>
          <w:lang w:val="lv-LV"/>
        </w:rPr>
        <w:t xml:space="preserve">1.2.apakšvariants, kas paredz </w:t>
      </w:r>
      <w:r w:rsidR="00C37030" w:rsidRPr="00AB7E22">
        <w:rPr>
          <w:lang w:val="lv-LV"/>
        </w:rPr>
        <w:t>IDB pārveidošanu par iekšlietu ministra pārraudzībā esošu institūciju</w:t>
      </w:r>
      <w:r w:rsidR="003701A9" w:rsidRPr="00AB7E22">
        <w:rPr>
          <w:lang w:val="lv-LV"/>
        </w:rPr>
        <w:t>, nodrošinot to ar īrētām telpām,</w:t>
      </w:r>
      <w:r w:rsidR="00C37030" w:rsidRPr="00AB7E22">
        <w:rPr>
          <w:lang w:val="lv-LV"/>
        </w:rPr>
        <w:t xml:space="preserve"> </w:t>
      </w:r>
      <w:r w:rsidR="00941A50" w:rsidRPr="00AB7E22">
        <w:rPr>
          <w:lang w:val="lv-LV"/>
        </w:rPr>
        <w:t>tiktu īstenots</w:t>
      </w:r>
      <w:r w:rsidR="00502499" w:rsidRPr="00AB7E22">
        <w:rPr>
          <w:lang w:val="lv-LV"/>
        </w:rPr>
        <w:t xml:space="preserve"> un ar </w:t>
      </w:r>
      <w:proofErr w:type="gramStart"/>
      <w:r w:rsidR="00502499" w:rsidRPr="00AB7E22">
        <w:rPr>
          <w:lang w:val="lv-LV"/>
        </w:rPr>
        <w:t>2015.gada</w:t>
      </w:r>
      <w:proofErr w:type="gramEnd"/>
      <w:r w:rsidR="00502499" w:rsidRPr="00AB7E22">
        <w:rPr>
          <w:lang w:val="lv-LV"/>
        </w:rPr>
        <w:t xml:space="preserve"> 1.decembri uzsāktu darbu, </w:t>
      </w:r>
      <w:r w:rsidR="00823065" w:rsidRPr="00AB7E22">
        <w:rPr>
          <w:lang w:val="lv-LV"/>
        </w:rPr>
        <w:t>ņemot vērā ar likum</w:t>
      </w:r>
      <w:r w:rsidR="009D466D" w:rsidRPr="00AB7E22">
        <w:rPr>
          <w:lang w:val="lv-LV"/>
        </w:rPr>
        <w:t>a</w:t>
      </w:r>
      <w:r w:rsidR="006759E0" w:rsidRPr="00AB7E22">
        <w:rPr>
          <w:lang w:val="lv-LV"/>
        </w:rPr>
        <w:t xml:space="preserve"> „Par vidēja termiņa budžeta ietvaru 2014., 2015. un 2016. gadam”</w:t>
      </w:r>
      <w:r w:rsidR="00823065" w:rsidRPr="00AB7E22">
        <w:rPr>
          <w:lang w:val="lv-LV"/>
        </w:rPr>
        <w:t xml:space="preserve"> piešķirto finansējumu.</w:t>
      </w:r>
    </w:p>
    <w:p w:rsidR="00941A50" w:rsidRPr="00AB7E22" w:rsidRDefault="00374D3D" w:rsidP="004A1C87">
      <w:pPr>
        <w:tabs>
          <w:tab w:val="left" w:pos="567"/>
        </w:tabs>
        <w:ind w:right="-1" w:firstLine="720"/>
        <w:jc w:val="both"/>
        <w:rPr>
          <w:lang w:val="lv-LV"/>
        </w:rPr>
      </w:pPr>
      <w:r w:rsidRPr="00AB7E22">
        <w:rPr>
          <w:lang w:val="lv-LV"/>
        </w:rPr>
        <w:t>[3.</w:t>
      </w:r>
      <w:r w:rsidR="00C159F9" w:rsidRPr="00AB7E22">
        <w:rPr>
          <w:lang w:val="lv-LV"/>
        </w:rPr>
        <w:t>2</w:t>
      </w:r>
      <w:r w:rsidRPr="00AB7E22">
        <w:rPr>
          <w:lang w:val="lv-LV"/>
        </w:rPr>
        <w:t>.]</w:t>
      </w:r>
      <w:r w:rsidR="00293354" w:rsidRPr="00AB7E22">
        <w:rPr>
          <w:lang w:val="lv-LV"/>
        </w:rPr>
        <w:t xml:space="preserve"> </w:t>
      </w:r>
      <w:r w:rsidR="0059211E" w:rsidRPr="00AB7E22">
        <w:rPr>
          <w:lang w:val="lv-LV"/>
        </w:rPr>
        <w:t>L</w:t>
      </w:r>
      <w:r w:rsidR="00620A58" w:rsidRPr="00AB7E22">
        <w:rPr>
          <w:lang w:val="lv-LV"/>
        </w:rPr>
        <w:t>ai</w:t>
      </w:r>
      <w:r w:rsidR="007A5ED3" w:rsidRPr="00AB7E22">
        <w:rPr>
          <w:lang w:val="lv-LV"/>
        </w:rPr>
        <w:t xml:space="preserve"> novērs</w:t>
      </w:r>
      <w:r w:rsidR="00897F76" w:rsidRPr="00AB7E22">
        <w:rPr>
          <w:lang w:val="lv-LV"/>
        </w:rPr>
        <w:t>t</w:t>
      </w:r>
      <w:r w:rsidR="007A5ED3" w:rsidRPr="00AB7E22">
        <w:rPr>
          <w:lang w:val="lv-LV"/>
        </w:rPr>
        <w:t>u formālu sūdzību izskatīšanu un</w:t>
      </w:r>
      <w:r w:rsidR="00620A58" w:rsidRPr="00AB7E22">
        <w:rPr>
          <w:lang w:val="lv-LV"/>
        </w:rPr>
        <w:t xml:space="preserve"> nodrošinātu IDB amatpersonu veikto izmeklēšanu objektivit</w:t>
      </w:r>
      <w:r w:rsidR="007A5ED3" w:rsidRPr="00AB7E22">
        <w:rPr>
          <w:lang w:val="lv-LV"/>
        </w:rPr>
        <w:t xml:space="preserve">āti, </w:t>
      </w:r>
      <w:r w:rsidR="005D2B4B" w:rsidRPr="00AB7E22">
        <w:rPr>
          <w:lang w:val="lv-LV"/>
        </w:rPr>
        <w:t>IeM</w:t>
      </w:r>
      <w:r w:rsidR="00897F76" w:rsidRPr="00AB7E22">
        <w:rPr>
          <w:lang w:val="lv-LV"/>
        </w:rPr>
        <w:t xml:space="preserve"> </w:t>
      </w:r>
      <w:r w:rsidR="00091ED5" w:rsidRPr="00AB7E22">
        <w:rPr>
          <w:lang w:val="lv-LV"/>
        </w:rPr>
        <w:t xml:space="preserve">līdz IDB pārveidošanai par iekšlietu ministra </w:t>
      </w:r>
      <w:r w:rsidR="00091ED5" w:rsidRPr="00AB7E22">
        <w:rPr>
          <w:lang w:val="lv-LV"/>
        </w:rPr>
        <w:lastRenderedPageBreak/>
        <w:t xml:space="preserve">pārraudzībā esošu institūciju, </w:t>
      </w:r>
      <w:r w:rsidR="00620A58" w:rsidRPr="00AB7E22">
        <w:rPr>
          <w:lang w:val="lv-LV"/>
        </w:rPr>
        <w:t xml:space="preserve">būtu jāveic nepieciešamie pasākumi, lai </w:t>
      </w:r>
      <w:r w:rsidR="00091ED5" w:rsidRPr="00AB7E22">
        <w:rPr>
          <w:lang w:val="lv-LV"/>
        </w:rPr>
        <w:t>nodrošinātu</w:t>
      </w:r>
      <w:r w:rsidR="00620A58" w:rsidRPr="00AB7E22">
        <w:rPr>
          <w:lang w:val="lv-LV"/>
        </w:rPr>
        <w:t>, ka IDB amatpersonas veic neatkarīgu un objektīvu pārbaudi par sūdzībās norādītajiem apstāk</w:t>
      </w:r>
      <w:r w:rsidR="007A5ED3" w:rsidRPr="00AB7E22">
        <w:rPr>
          <w:lang w:val="lv-LV"/>
        </w:rPr>
        <w:t xml:space="preserve">ļiem </w:t>
      </w:r>
      <w:proofErr w:type="gramStart"/>
      <w:r w:rsidR="007A5ED3" w:rsidRPr="00AB7E22">
        <w:rPr>
          <w:lang w:val="lv-LV"/>
        </w:rPr>
        <w:t>un,</w:t>
      </w:r>
      <w:proofErr w:type="gramEnd"/>
      <w:r w:rsidR="007A5ED3" w:rsidRPr="00AB7E22">
        <w:rPr>
          <w:lang w:val="lv-LV"/>
        </w:rPr>
        <w:t xml:space="preserve"> ka </w:t>
      </w:r>
      <w:r w:rsidR="00620A58" w:rsidRPr="00AB7E22">
        <w:rPr>
          <w:lang w:val="lv-LV"/>
        </w:rPr>
        <w:t xml:space="preserve">IDB amatpersonas savos lēmumos, izdarot secinājumus, </w:t>
      </w:r>
      <w:r w:rsidR="007A5ED3" w:rsidRPr="00AB7E22">
        <w:rPr>
          <w:lang w:val="lv-LV"/>
        </w:rPr>
        <w:t xml:space="preserve">nedrīkst </w:t>
      </w:r>
      <w:r w:rsidR="00620A58" w:rsidRPr="00AB7E22">
        <w:rPr>
          <w:lang w:val="lv-LV"/>
        </w:rPr>
        <w:t>atsau</w:t>
      </w:r>
      <w:r w:rsidR="007A5ED3" w:rsidRPr="00AB7E22">
        <w:rPr>
          <w:lang w:val="lv-LV"/>
        </w:rPr>
        <w:t xml:space="preserve">kties tikai </w:t>
      </w:r>
      <w:r w:rsidR="00620A58" w:rsidRPr="00AB7E22">
        <w:rPr>
          <w:lang w:val="lv-LV"/>
        </w:rPr>
        <w:t xml:space="preserve">uz lokālo VP struktūrvienību amatpersonu veiktajām dienesta pārbaudēm un tajās konstatēto. </w:t>
      </w:r>
    </w:p>
    <w:p w:rsidR="00A36658" w:rsidRPr="00AB7E22" w:rsidRDefault="00C159F9" w:rsidP="00A36658">
      <w:pPr>
        <w:tabs>
          <w:tab w:val="left" w:pos="567"/>
        </w:tabs>
        <w:ind w:right="-1" w:firstLine="720"/>
        <w:jc w:val="both"/>
        <w:rPr>
          <w:rStyle w:val="spelle"/>
          <w:lang w:val="lv-LV"/>
        </w:rPr>
      </w:pPr>
      <w:r w:rsidRPr="00AB7E22">
        <w:rPr>
          <w:rStyle w:val="spelle"/>
          <w:lang w:val="lv-LV"/>
        </w:rPr>
        <w:t>[3.3</w:t>
      </w:r>
      <w:r w:rsidR="00897F76" w:rsidRPr="00AB7E22">
        <w:rPr>
          <w:rStyle w:val="spelle"/>
          <w:lang w:val="lv-LV"/>
        </w:rPr>
        <w:t>.] Būtu nepieciešams aicināt ĢP veikt pasākumus</w:t>
      </w:r>
      <w:r w:rsidR="004345BB" w:rsidRPr="00AB7E22">
        <w:rPr>
          <w:rStyle w:val="spelle"/>
          <w:lang w:val="lv-LV"/>
        </w:rPr>
        <w:t xml:space="preserve"> </w:t>
      </w:r>
      <w:r w:rsidR="004345BB" w:rsidRPr="00AB7E22">
        <w:rPr>
          <w:bCs/>
          <w:lang w:val="lv-LV"/>
        </w:rPr>
        <w:t>(</w:t>
      </w:r>
      <w:r w:rsidR="004345BB" w:rsidRPr="00AB7E22">
        <w:rPr>
          <w:bCs/>
          <w:i/>
          <w:lang w:val="lv-LV"/>
        </w:rPr>
        <w:t xml:space="preserve">piemēram, laika posmā no </w:t>
      </w:r>
      <w:proofErr w:type="gramStart"/>
      <w:r w:rsidR="004345BB" w:rsidRPr="00AB7E22">
        <w:rPr>
          <w:bCs/>
          <w:i/>
          <w:lang w:val="lv-LV"/>
        </w:rPr>
        <w:t>2014.gada</w:t>
      </w:r>
      <w:proofErr w:type="gramEnd"/>
      <w:r w:rsidR="004345BB" w:rsidRPr="00AB7E22">
        <w:rPr>
          <w:bCs/>
          <w:i/>
          <w:lang w:val="lv-LV"/>
        </w:rPr>
        <w:t xml:space="preserve"> 1.janvāra līdz 2017.gada 1.janvārim, izvērtējot katra prokurora profesionālo darbību, izanalizēt prokurora funkciju izpildes kvalitāti, tai skaitā izskatot personu iesniegumus un sūdzības, un  nepieciešamības gadījumā veikt atsevišķu ieteikumu izstrādi konstatēto pārkāpumu novēršanai</w:t>
      </w:r>
      <w:r w:rsidR="004345BB" w:rsidRPr="00AB7E22">
        <w:rPr>
          <w:bCs/>
          <w:lang w:val="lv-LV"/>
        </w:rPr>
        <w:t>)</w:t>
      </w:r>
      <w:r w:rsidR="00897F76" w:rsidRPr="00AB7E22">
        <w:rPr>
          <w:rStyle w:val="spelle"/>
          <w:lang w:val="lv-LV"/>
        </w:rPr>
        <w:t xml:space="preserve">, kuru rezultātā arī prokuratūras struktūrvienībās tiktu uzlabota sūdzību par valsts amatpersonu iespējami veiktu vardarbību izskatīšanas un uzraudzības kvalitāte nolūkā nodrošināt maksimāli objektīvu sūdzību izvērtēšanu un uz pārbaudītiem apstākļiem balstītu motivētu lēmumu pieņemšanu. </w:t>
      </w:r>
    </w:p>
    <w:p w:rsidR="00EF5A7D" w:rsidRPr="00AB7E22" w:rsidRDefault="00EF5A7D" w:rsidP="00EF5A7D">
      <w:pPr>
        <w:pStyle w:val="tv213"/>
        <w:tabs>
          <w:tab w:val="left" w:pos="0"/>
          <w:tab w:val="left" w:pos="709"/>
        </w:tabs>
        <w:spacing w:before="0" w:beforeAutospacing="0" w:after="0" w:afterAutospacing="0"/>
        <w:ind w:firstLine="33"/>
        <w:jc w:val="both"/>
      </w:pPr>
      <w:r w:rsidRPr="00AB7E22">
        <w:tab/>
      </w:r>
      <w:r w:rsidR="00C159F9" w:rsidRPr="00AB7E22">
        <w:t>[3.4</w:t>
      </w:r>
      <w:r w:rsidRPr="00AB7E22">
        <w:t>.] IeM un TM būtu nepieciešams izvērtēt spēkā esošo normatīvo regulējumu un izstrādāt nepieciešamos grozījumus, lai nodrošinātu, ka VP</w:t>
      </w:r>
      <w:proofErr w:type="gramStart"/>
      <w:r w:rsidRPr="00AB7E22">
        <w:t xml:space="preserve"> un</w:t>
      </w:r>
      <w:proofErr w:type="gramEnd"/>
      <w:r w:rsidRPr="00AB7E22">
        <w:t xml:space="preserve"> </w:t>
      </w:r>
      <w:proofErr w:type="spellStart"/>
      <w:r w:rsidRPr="00AB7E22">
        <w:t>IeVP</w:t>
      </w:r>
      <w:proofErr w:type="spellEnd"/>
      <w:r w:rsidRPr="00AB7E22">
        <w:t xml:space="preserve"> uzņemtie videoieraksti no dienesta transportlīdzekļiem un dienesta telpām, kur tiek veiktas jebkādas darbības ar personām, tiek saglabāti tik ilgu laika periodu, lai nodrošinātu objektīvu sūdzību izmeklēšanu.</w:t>
      </w:r>
    </w:p>
    <w:p w:rsidR="00A36658" w:rsidRPr="00AB7E22" w:rsidRDefault="00C159F9" w:rsidP="00EF5A7D">
      <w:pPr>
        <w:tabs>
          <w:tab w:val="left" w:pos="567"/>
        </w:tabs>
        <w:ind w:right="-1" w:firstLine="720"/>
        <w:jc w:val="both"/>
        <w:rPr>
          <w:lang w:val="lv-LV"/>
        </w:rPr>
      </w:pPr>
      <w:r w:rsidRPr="00AB7E22">
        <w:rPr>
          <w:lang w:val="lv-LV"/>
        </w:rPr>
        <w:t>[3.5</w:t>
      </w:r>
      <w:r w:rsidR="00A23307" w:rsidRPr="00AB7E22">
        <w:rPr>
          <w:lang w:val="lv-LV"/>
        </w:rPr>
        <w:t>.]</w:t>
      </w:r>
      <w:r w:rsidR="0059211E" w:rsidRPr="00AB7E22">
        <w:rPr>
          <w:lang w:val="lv-LV"/>
        </w:rPr>
        <w:t xml:space="preserve"> </w:t>
      </w:r>
      <w:r w:rsidR="000E3094" w:rsidRPr="00AB7E22">
        <w:rPr>
          <w:lang w:val="lv-LV"/>
        </w:rPr>
        <w:t>IeM</w:t>
      </w:r>
      <w:r w:rsidR="004D0CFA" w:rsidRPr="00AB7E22">
        <w:rPr>
          <w:lang w:val="lv-LV"/>
        </w:rPr>
        <w:t xml:space="preserve">, </w:t>
      </w:r>
      <w:r w:rsidR="00021B91" w:rsidRPr="00AB7E22">
        <w:rPr>
          <w:lang w:val="lv-LV"/>
        </w:rPr>
        <w:t xml:space="preserve">sadarbojoties </w:t>
      </w:r>
      <w:r w:rsidR="00C96A91" w:rsidRPr="00AB7E22">
        <w:rPr>
          <w:lang w:val="lv-LV"/>
        </w:rPr>
        <w:t>ar kompetentajām iestādēm</w:t>
      </w:r>
      <w:r w:rsidR="00D16B0F" w:rsidRPr="00AB7E22">
        <w:rPr>
          <w:lang w:val="lv-LV"/>
        </w:rPr>
        <w:t xml:space="preserve">, </w:t>
      </w:r>
      <w:r w:rsidR="000E3094" w:rsidRPr="00AB7E22">
        <w:rPr>
          <w:lang w:val="lv-LV"/>
        </w:rPr>
        <w:t xml:space="preserve">nepieciešams </w:t>
      </w:r>
      <w:r w:rsidR="00A36658" w:rsidRPr="00AB7E22">
        <w:rPr>
          <w:lang w:val="lv-LV"/>
        </w:rPr>
        <w:t>turpināt regulāri izglītot VP amatpersonas par jautājumiem, kas saistīti ar precīzu un kvalitatīvu miesas bojājumu dokumentāciju aizturēšanas protokolos, un šo jautājumu nozīmi IDB amatpersonu veikto izmeklēšanu un ECT spriedumu kontekstā.</w:t>
      </w:r>
    </w:p>
    <w:p w:rsidR="00A36658" w:rsidRPr="00AB7E22" w:rsidRDefault="00C159F9" w:rsidP="00A36658">
      <w:pPr>
        <w:tabs>
          <w:tab w:val="left" w:pos="567"/>
        </w:tabs>
        <w:ind w:right="-1" w:firstLine="720"/>
        <w:jc w:val="both"/>
        <w:rPr>
          <w:lang w:val="lv-LV"/>
        </w:rPr>
      </w:pPr>
      <w:r w:rsidRPr="00AB7E22">
        <w:rPr>
          <w:lang w:val="lv-LV"/>
        </w:rPr>
        <w:t>[3.6</w:t>
      </w:r>
      <w:r w:rsidR="00A36658" w:rsidRPr="00AB7E22">
        <w:rPr>
          <w:lang w:val="lv-LV"/>
        </w:rPr>
        <w:t>.] TM</w:t>
      </w:r>
      <w:r w:rsidR="00C96A91" w:rsidRPr="00AB7E22">
        <w:rPr>
          <w:lang w:val="lv-LV"/>
        </w:rPr>
        <w:t>, sadarbojoties ar kompetentajām iestādēm</w:t>
      </w:r>
      <w:r w:rsidR="00A36658" w:rsidRPr="00AB7E22">
        <w:rPr>
          <w:lang w:val="lv-LV"/>
        </w:rPr>
        <w:t xml:space="preserve">, būtu nepieciešams sagatavot informāciju </w:t>
      </w:r>
      <w:proofErr w:type="spellStart"/>
      <w:r w:rsidR="00A36658" w:rsidRPr="00AB7E22">
        <w:rPr>
          <w:lang w:val="lv-LV"/>
        </w:rPr>
        <w:t>IeVP</w:t>
      </w:r>
      <w:proofErr w:type="spellEnd"/>
      <w:r w:rsidR="00A36658" w:rsidRPr="00AB7E22">
        <w:rPr>
          <w:lang w:val="lv-LV"/>
        </w:rPr>
        <w:t xml:space="preserve"> amatpersonām par pienācīgu, vispusīgu un savlaicīgu ieslodzīto personu medicīnas dokumentācijas aizpildīšanas nozīmi IDB amatpersonu veikto izmeklēšanu un ECT spriedumu kontekstā. </w:t>
      </w:r>
    </w:p>
    <w:p w:rsidR="00C76706" w:rsidRPr="00AB7E22" w:rsidRDefault="00C432C1" w:rsidP="00A36658">
      <w:pPr>
        <w:tabs>
          <w:tab w:val="left" w:pos="567"/>
        </w:tabs>
        <w:ind w:right="-1" w:firstLine="720"/>
        <w:jc w:val="both"/>
        <w:rPr>
          <w:lang w:val="lv-LV"/>
        </w:rPr>
      </w:pPr>
      <w:r w:rsidRPr="00AB7E22">
        <w:rPr>
          <w:lang w:val="lv-LV"/>
        </w:rPr>
        <w:tab/>
      </w:r>
    </w:p>
    <w:p w:rsidR="00D16E0A" w:rsidRPr="00AB7E22" w:rsidRDefault="00D16E0A" w:rsidP="00005452">
      <w:pPr>
        <w:tabs>
          <w:tab w:val="left" w:pos="567"/>
        </w:tabs>
        <w:ind w:right="-1"/>
        <w:jc w:val="both"/>
        <w:rPr>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730"/>
      </w:tblGrid>
      <w:tr w:rsidR="00E06AD2" w:rsidRPr="00AB7E22" w:rsidTr="00900385">
        <w:tc>
          <w:tcPr>
            <w:tcW w:w="4643" w:type="dxa"/>
          </w:tcPr>
          <w:p w:rsidR="00417172" w:rsidRPr="00AB7E22" w:rsidRDefault="003A17C7" w:rsidP="004A1C87">
            <w:pPr>
              <w:pStyle w:val="Pamattekstsaratkpi"/>
              <w:tabs>
                <w:tab w:val="left" w:pos="567"/>
              </w:tabs>
              <w:spacing w:after="0"/>
              <w:ind w:left="0" w:right="-1"/>
              <w:jc w:val="both"/>
            </w:pPr>
            <w:r w:rsidRPr="00AB7E22">
              <w:t>Tieslietu ministre</w:t>
            </w:r>
          </w:p>
        </w:tc>
        <w:tc>
          <w:tcPr>
            <w:tcW w:w="4821" w:type="dxa"/>
          </w:tcPr>
          <w:p w:rsidR="00417172" w:rsidRPr="00AB7E22" w:rsidRDefault="003A17C7" w:rsidP="003A17C7">
            <w:pPr>
              <w:pStyle w:val="Pamattekstsaratkpi"/>
              <w:tabs>
                <w:tab w:val="left" w:pos="567"/>
              </w:tabs>
              <w:spacing w:after="0"/>
              <w:ind w:left="0" w:right="-1"/>
              <w:jc w:val="right"/>
            </w:pPr>
            <w:proofErr w:type="spellStart"/>
            <w:r w:rsidRPr="00AB7E22">
              <w:t>B.Broka</w:t>
            </w:r>
            <w:proofErr w:type="spellEnd"/>
          </w:p>
        </w:tc>
      </w:tr>
    </w:tbl>
    <w:p w:rsidR="00627A35" w:rsidRPr="00AB7E22" w:rsidRDefault="00627A35" w:rsidP="004A1C87">
      <w:pPr>
        <w:pStyle w:val="Pamattekstsaratkpi"/>
        <w:tabs>
          <w:tab w:val="left" w:pos="567"/>
        </w:tabs>
        <w:spacing w:after="0"/>
        <w:ind w:left="0" w:right="-1"/>
        <w:jc w:val="both"/>
      </w:pPr>
    </w:p>
    <w:p w:rsidR="00D16E0A" w:rsidRPr="00AB7E22" w:rsidRDefault="00D16E0A" w:rsidP="004A1C87">
      <w:pPr>
        <w:pStyle w:val="Pamattekstsaratkpi"/>
        <w:tabs>
          <w:tab w:val="left" w:pos="567"/>
        </w:tabs>
        <w:spacing w:after="0"/>
        <w:ind w:left="0" w:right="-1"/>
        <w:jc w:val="both"/>
      </w:pPr>
    </w:p>
    <w:p w:rsidR="00D16E0A" w:rsidRPr="00AB7E22" w:rsidRDefault="00D16E0A" w:rsidP="004A1C87">
      <w:pPr>
        <w:pStyle w:val="Pamattekstsaratkpi"/>
        <w:tabs>
          <w:tab w:val="left" w:pos="567"/>
        </w:tabs>
        <w:spacing w:after="0"/>
        <w:ind w:left="0" w:right="-1"/>
        <w:jc w:val="both"/>
      </w:pPr>
    </w:p>
    <w:p w:rsidR="00D16E0A" w:rsidRPr="00AB7E22" w:rsidRDefault="00D16E0A" w:rsidP="004A1C87">
      <w:pPr>
        <w:pStyle w:val="Pamattekstsaratkpi"/>
        <w:tabs>
          <w:tab w:val="left" w:pos="567"/>
        </w:tabs>
        <w:spacing w:after="0"/>
        <w:ind w:left="0" w:right="-1"/>
        <w:jc w:val="both"/>
      </w:pPr>
      <w:bookmarkStart w:id="0" w:name="_GoBack"/>
      <w:bookmarkEnd w:id="0"/>
    </w:p>
    <w:p w:rsidR="00C76706" w:rsidRPr="00AB7E22" w:rsidRDefault="00C76706" w:rsidP="004A1C87">
      <w:pPr>
        <w:pStyle w:val="Pamattekstsaratkpi"/>
        <w:tabs>
          <w:tab w:val="left" w:pos="567"/>
        </w:tabs>
        <w:spacing w:after="0"/>
        <w:ind w:left="0" w:right="-1"/>
        <w:jc w:val="both"/>
      </w:pPr>
    </w:p>
    <w:p w:rsidR="00627A35" w:rsidRPr="00AB7E22" w:rsidRDefault="008823D1" w:rsidP="004A1C87">
      <w:pPr>
        <w:pStyle w:val="Pamattekstsaratkpi"/>
        <w:tabs>
          <w:tab w:val="left" w:pos="567"/>
        </w:tabs>
        <w:spacing w:after="0"/>
        <w:ind w:left="0" w:right="-1"/>
        <w:jc w:val="both"/>
        <w:rPr>
          <w:sz w:val="20"/>
          <w:szCs w:val="20"/>
        </w:rPr>
      </w:pPr>
      <w:r w:rsidRPr="00AB7E22">
        <w:rPr>
          <w:sz w:val="20"/>
          <w:szCs w:val="20"/>
        </w:rPr>
        <w:t>10.05.</w:t>
      </w:r>
      <w:r w:rsidR="003A17C7" w:rsidRPr="00AB7E22">
        <w:rPr>
          <w:sz w:val="20"/>
          <w:szCs w:val="20"/>
        </w:rPr>
        <w:t xml:space="preserve">2014. </w:t>
      </w:r>
      <w:r w:rsidRPr="00AB7E22">
        <w:rPr>
          <w:sz w:val="20"/>
          <w:szCs w:val="20"/>
        </w:rPr>
        <w:t>1</w:t>
      </w:r>
      <w:r w:rsidR="00AB7E22">
        <w:rPr>
          <w:sz w:val="20"/>
          <w:szCs w:val="20"/>
        </w:rPr>
        <w:t>5</w:t>
      </w:r>
      <w:r w:rsidRPr="00AB7E22">
        <w:rPr>
          <w:sz w:val="20"/>
          <w:szCs w:val="20"/>
        </w:rPr>
        <w:t>:</w:t>
      </w:r>
      <w:r w:rsidR="00AB7E22">
        <w:rPr>
          <w:sz w:val="20"/>
          <w:szCs w:val="20"/>
        </w:rPr>
        <w:t>19</w:t>
      </w:r>
    </w:p>
    <w:p w:rsidR="00C76706" w:rsidRPr="00AB7E22" w:rsidRDefault="004F5712" w:rsidP="004A1C87">
      <w:pPr>
        <w:pStyle w:val="Pamattekstsaratkpi"/>
        <w:tabs>
          <w:tab w:val="left" w:pos="567"/>
        </w:tabs>
        <w:spacing w:after="0"/>
        <w:ind w:left="0" w:right="-1"/>
        <w:jc w:val="both"/>
        <w:rPr>
          <w:sz w:val="20"/>
          <w:szCs w:val="20"/>
        </w:rPr>
      </w:pPr>
      <w:r w:rsidRPr="00AB7E22">
        <w:rPr>
          <w:sz w:val="20"/>
          <w:szCs w:val="20"/>
        </w:rPr>
        <w:t>45</w:t>
      </w:r>
      <w:r w:rsidR="00E06AD2" w:rsidRPr="00AB7E22">
        <w:rPr>
          <w:sz w:val="20"/>
          <w:szCs w:val="20"/>
        </w:rPr>
        <w:t>19</w:t>
      </w:r>
    </w:p>
    <w:p w:rsidR="00C76706" w:rsidRPr="00AB7E22" w:rsidRDefault="00C76706" w:rsidP="004A1C87">
      <w:pPr>
        <w:pStyle w:val="Pamattekstsaratkpi"/>
        <w:tabs>
          <w:tab w:val="left" w:pos="567"/>
        </w:tabs>
        <w:spacing w:after="0"/>
        <w:ind w:left="0" w:right="-1"/>
        <w:jc w:val="both"/>
        <w:rPr>
          <w:sz w:val="20"/>
          <w:szCs w:val="20"/>
        </w:rPr>
      </w:pPr>
      <w:r w:rsidRPr="00AB7E22">
        <w:rPr>
          <w:sz w:val="20"/>
          <w:szCs w:val="20"/>
        </w:rPr>
        <w:t>E.Feldmane</w:t>
      </w:r>
    </w:p>
    <w:p w:rsidR="00C76706" w:rsidRPr="00AB7E22" w:rsidRDefault="00C76706" w:rsidP="004A1C87">
      <w:pPr>
        <w:pStyle w:val="Pamattekstsaratkpi"/>
        <w:tabs>
          <w:tab w:val="left" w:pos="567"/>
        </w:tabs>
        <w:spacing w:after="0"/>
        <w:ind w:left="0" w:right="-1"/>
        <w:jc w:val="both"/>
        <w:rPr>
          <w:sz w:val="20"/>
          <w:szCs w:val="20"/>
        </w:rPr>
      </w:pPr>
      <w:r w:rsidRPr="00AB7E22">
        <w:rPr>
          <w:sz w:val="20"/>
          <w:szCs w:val="20"/>
        </w:rPr>
        <w:t xml:space="preserve">67046102, </w:t>
      </w:r>
      <w:hyperlink r:id="rId9" w:history="1">
        <w:r w:rsidRPr="00AB7E22">
          <w:rPr>
            <w:rStyle w:val="Hipersaite"/>
            <w:sz w:val="20"/>
            <w:szCs w:val="20"/>
          </w:rPr>
          <w:t>Elina.Feldmane@tm.gov.lv</w:t>
        </w:r>
      </w:hyperlink>
    </w:p>
    <w:p w:rsidR="004C6116" w:rsidRPr="00AB7E22" w:rsidRDefault="004C6116" w:rsidP="004A1C87">
      <w:pPr>
        <w:pStyle w:val="Pamattekstsaratkpi"/>
        <w:tabs>
          <w:tab w:val="left" w:pos="567"/>
          <w:tab w:val="left" w:pos="6804"/>
        </w:tabs>
        <w:spacing w:after="0"/>
        <w:ind w:left="0" w:right="-1"/>
        <w:jc w:val="both"/>
        <w:rPr>
          <w:sz w:val="20"/>
          <w:szCs w:val="20"/>
        </w:rPr>
      </w:pPr>
    </w:p>
    <w:sectPr w:rsidR="004C6116" w:rsidRPr="00AB7E22" w:rsidSect="00E45AC5">
      <w:headerReference w:type="even" r:id="rId10"/>
      <w:headerReference w:type="default" r:id="rId11"/>
      <w:footerReference w:type="default" r:id="rId12"/>
      <w:footerReference w:type="first" r:id="rId13"/>
      <w:pgSz w:w="11906" w:h="16838"/>
      <w:pgMar w:top="1418" w:right="1134"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58F" w:rsidRDefault="00B1258F" w:rsidP="00090344">
      <w:r>
        <w:separator/>
      </w:r>
    </w:p>
  </w:endnote>
  <w:endnote w:type="continuationSeparator" w:id="0">
    <w:p w:rsidR="00B1258F" w:rsidRDefault="00B1258F" w:rsidP="0009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84" w:rsidRPr="005E7163" w:rsidRDefault="00062335" w:rsidP="00E45AC5">
    <w:pPr>
      <w:tabs>
        <w:tab w:val="left" w:pos="567"/>
        <w:tab w:val="left" w:pos="4820"/>
        <w:tab w:val="left" w:pos="9071"/>
      </w:tabs>
      <w:ind w:right="-1"/>
      <w:jc w:val="both"/>
      <w:rPr>
        <w:sz w:val="20"/>
        <w:szCs w:val="20"/>
        <w:lang w:val="lv-LV"/>
      </w:rPr>
    </w:pPr>
    <w:r w:rsidRPr="00062335">
      <w:rPr>
        <w:sz w:val="20"/>
        <w:szCs w:val="20"/>
        <w:lang w:val="lv-LV"/>
      </w:rPr>
      <w:t xml:space="preserve">TMZino_100514_VSS-2106; Informatīvais ziņojums </w:t>
    </w:r>
    <w:r w:rsidRPr="008A293E">
      <w:rPr>
        <w:sz w:val="20"/>
        <w:szCs w:val="20"/>
        <w:lang w:val="lv-LV"/>
      </w:rPr>
      <w:t>par gadījumiem, kad konstatēti pārkāpumi sūdzību par iespējamu vardarbību, ko izdarījušas valsts amatpersonas, pildot dienesta pienākumus, efektīvā izmeklēšanā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35" w:rsidRPr="00E45AC5" w:rsidRDefault="003A17C7" w:rsidP="00E45AC5">
    <w:pPr>
      <w:tabs>
        <w:tab w:val="left" w:pos="567"/>
        <w:tab w:val="left" w:pos="4820"/>
        <w:tab w:val="left" w:pos="9071"/>
      </w:tabs>
      <w:ind w:right="-1"/>
      <w:jc w:val="both"/>
      <w:rPr>
        <w:b/>
        <w:sz w:val="20"/>
        <w:szCs w:val="20"/>
        <w:lang w:val="lv-LV"/>
      </w:rPr>
    </w:pPr>
    <w:r w:rsidRPr="00062335">
      <w:rPr>
        <w:sz w:val="20"/>
        <w:szCs w:val="20"/>
        <w:lang w:val="lv-LV"/>
      </w:rPr>
      <w:t>TMZino_</w:t>
    </w:r>
    <w:r w:rsidR="008823D1" w:rsidRPr="00062335">
      <w:rPr>
        <w:sz w:val="20"/>
        <w:szCs w:val="20"/>
        <w:lang w:val="lv-LV"/>
      </w:rPr>
      <w:t>1005</w:t>
    </w:r>
    <w:r w:rsidRPr="00062335">
      <w:rPr>
        <w:sz w:val="20"/>
        <w:szCs w:val="20"/>
        <w:lang w:val="lv-LV"/>
      </w:rPr>
      <w:t xml:space="preserve">14_VSS-2106; Informatīvais ziņojums </w:t>
    </w:r>
    <w:r w:rsidR="00062335" w:rsidRPr="00E45AC5">
      <w:rPr>
        <w:sz w:val="20"/>
        <w:szCs w:val="20"/>
        <w:lang w:val="lv-LV"/>
      </w:rPr>
      <w:t>par gadījumiem, kad konstatēti pārkāpumi sūdzību par iespējamu vardarbību, ko izdarījušas valsts amatpersonas, pildot dienesta pienākumus, efektīvā izmeklēšanā</w:t>
    </w:r>
  </w:p>
  <w:p w:rsidR="00B14084" w:rsidRPr="00005452" w:rsidRDefault="00B14084" w:rsidP="00062335">
    <w:pPr>
      <w:tabs>
        <w:tab w:val="left" w:pos="9071"/>
      </w:tabs>
      <w:ind w:right="-1"/>
      <w:jc w:val="both"/>
      <w:rPr>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58F" w:rsidRDefault="00B1258F" w:rsidP="00090344">
      <w:r>
        <w:separator/>
      </w:r>
    </w:p>
  </w:footnote>
  <w:footnote w:type="continuationSeparator" w:id="0">
    <w:p w:rsidR="00B1258F" w:rsidRDefault="00B1258F" w:rsidP="00090344">
      <w:r>
        <w:continuationSeparator/>
      </w:r>
    </w:p>
  </w:footnote>
  <w:footnote w:id="1">
    <w:p w:rsidR="00AC692E" w:rsidRPr="00B134B1" w:rsidRDefault="00AC692E" w:rsidP="00AC692E">
      <w:pPr>
        <w:pStyle w:val="Vresteksts"/>
        <w:jc w:val="both"/>
        <w:rPr>
          <w:lang w:val="lv-LV"/>
        </w:rPr>
      </w:pPr>
      <w:r>
        <w:rPr>
          <w:rStyle w:val="Vresatsauce"/>
        </w:rPr>
        <w:footnoteRef/>
      </w:r>
      <w:r>
        <w:t xml:space="preserve"> </w:t>
      </w:r>
      <w:r>
        <w:rPr>
          <w:lang w:val="lv-LV"/>
        </w:rPr>
        <w:t xml:space="preserve">Tiesas </w:t>
      </w:r>
      <w:proofErr w:type="gramStart"/>
      <w:r>
        <w:rPr>
          <w:lang w:val="lv-LV"/>
        </w:rPr>
        <w:t>2006.gada</w:t>
      </w:r>
      <w:proofErr w:type="gramEnd"/>
      <w:r>
        <w:rPr>
          <w:lang w:val="lv-LV"/>
        </w:rPr>
        <w:t xml:space="preserve"> 26.janvāra spriedums lietā </w:t>
      </w:r>
      <w:proofErr w:type="spellStart"/>
      <w:r>
        <w:rPr>
          <w:i/>
          <w:lang w:val="lv-LV"/>
        </w:rPr>
        <w:t>Mikheyev</w:t>
      </w:r>
      <w:proofErr w:type="spellEnd"/>
      <w:r>
        <w:rPr>
          <w:i/>
          <w:lang w:val="lv-LV"/>
        </w:rPr>
        <w:t xml:space="preserve"> pret Krieviju </w:t>
      </w:r>
      <w:r>
        <w:rPr>
          <w:lang w:val="lv-LV"/>
        </w:rPr>
        <w:t>(iesniegums Nr.77617/01).</w:t>
      </w:r>
    </w:p>
  </w:footnote>
  <w:footnote w:id="2">
    <w:p w:rsidR="00AC692E" w:rsidRPr="00493E6C" w:rsidRDefault="00AC692E" w:rsidP="00AC692E">
      <w:pPr>
        <w:pStyle w:val="Vresteksts"/>
        <w:jc w:val="both"/>
        <w:rPr>
          <w:lang w:val="lv-LV" w:eastAsia="lv-LV"/>
        </w:rPr>
      </w:pPr>
      <w:r>
        <w:rPr>
          <w:rStyle w:val="Vresatsauce"/>
        </w:rPr>
        <w:footnoteRef/>
      </w:r>
      <w:r w:rsidRPr="00493E6C">
        <w:rPr>
          <w:lang w:val="lv-LV"/>
        </w:rPr>
        <w:t xml:space="preserve"> </w:t>
      </w:r>
      <w:r w:rsidRPr="003B6492">
        <w:rPr>
          <w:bCs/>
          <w:lang w:val="lv-LV"/>
        </w:rPr>
        <w:t>Eiropas Komiteja</w:t>
      </w:r>
      <w:r>
        <w:rPr>
          <w:bCs/>
          <w:lang w:val="lv-LV"/>
        </w:rPr>
        <w:t>s</w:t>
      </w:r>
      <w:r w:rsidRPr="003B6492">
        <w:rPr>
          <w:bCs/>
          <w:lang w:val="lv-LV"/>
        </w:rPr>
        <w:t xml:space="preserve"> spīdzināšanas un necilvēcīgas vai pazemojošas apiešanās vai sodu novēršanai </w:t>
      </w:r>
      <w:r w:rsidRPr="003B6492">
        <w:rPr>
          <w:lang w:val="lv-LV" w:eastAsia="lv-LV"/>
        </w:rPr>
        <w:t>secinājum</w:t>
      </w:r>
      <w:r>
        <w:rPr>
          <w:lang w:val="lv-LV" w:eastAsia="lv-LV"/>
        </w:rPr>
        <w:t>u</w:t>
      </w:r>
      <w:r w:rsidRPr="003B6492">
        <w:rPr>
          <w:lang w:val="lv-LV" w:eastAsia="lv-LV"/>
        </w:rPr>
        <w:t xml:space="preserve"> par vizīti Latvijā laika posmā no </w:t>
      </w:r>
      <w:proofErr w:type="gramStart"/>
      <w:r w:rsidRPr="003B6492">
        <w:rPr>
          <w:lang w:val="lv-LV" w:eastAsia="lv-LV"/>
        </w:rPr>
        <w:t>2004.gada</w:t>
      </w:r>
      <w:proofErr w:type="gramEnd"/>
      <w:r w:rsidRPr="003B6492">
        <w:rPr>
          <w:lang w:val="lv-LV" w:eastAsia="lv-LV"/>
        </w:rPr>
        <w:t xml:space="preserve"> 5. līdz 12.maijam</w:t>
      </w:r>
      <w:r>
        <w:rPr>
          <w:lang w:val="lv-LV" w:eastAsia="lv-LV"/>
        </w:rPr>
        <w:t xml:space="preserve"> </w:t>
      </w:r>
      <w:r>
        <w:rPr>
          <w:lang w:val="lv-LV"/>
        </w:rPr>
        <w:t>46.-50</w:t>
      </w:r>
      <w:r>
        <w:rPr>
          <w:lang w:val="lv-LV" w:eastAsia="lv-LV"/>
        </w:rPr>
        <w:t xml:space="preserve">.rindkopa. Pieejams: </w:t>
      </w:r>
      <w:hyperlink r:id="rId1" w:anchor="_Toc92769379" w:history="1">
        <w:r w:rsidRPr="00E06AD2">
          <w:rPr>
            <w:rStyle w:val="Hipersaite"/>
            <w:color w:val="auto"/>
            <w:u w:val="none"/>
            <w:lang w:val="lv-LV"/>
          </w:rPr>
          <w:t>http://www.cpt.coe.int/documents/lva/2008-15-inf-eng.htm#_Toc92769379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084" w:rsidRPr="00041C45" w:rsidRDefault="00B14084" w:rsidP="00B14084">
    <w:pPr>
      <w:pStyle w:val="Galvene"/>
      <w:jc w:val="center"/>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45175"/>
      <w:docPartObj>
        <w:docPartGallery w:val="Page Numbers (Top of Page)"/>
        <w:docPartUnique/>
      </w:docPartObj>
    </w:sdtPr>
    <w:sdtEndPr/>
    <w:sdtContent>
      <w:p w:rsidR="00B14084" w:rsidRDefault="00B14084">
        <w:pPr>
          <w:pStyle w:val="Galvene"/>
          <w:jc w:val="center"/>
        </w:pPr>
        <w:r>
          <w:fldChar w:fldCharType="begin"/>
        </w:r>
        <w:r>
          <w:instrText xml:space="preserve"> PAGE   \* MERGEFORMAT </w:instrText>
        </w:r>
        <w:r>
          <w:fldChar w:fldCharType="separate"/>
        </w:r>
        <w:r w:rsidR="00AB7E22">
          <w:rPr>
            <w:noProof/>
          </w:rPr>
          <w:t>10</w:t>
        </w:r>
        <w:r>
          <w:rPr>
            <w:noProof/>
          </w:rPr>
          <w:fldChar w:fldCharType="end"/>
        </w:r>
      </w:p>
    </w:sdtContent>
  </w:sdt>
  <w:p w:rsidR="00B14084" w:rsidRDefault="00B1408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A7D"/>
    <w:multiLevelType w:val="hybridMultilevel"/>
    <w:tmpl w:val="9A12162A"/>
    <w:lvl w:ilvl="0" w:tplc="DEE0B17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86239F6"/>
    <w:multiLevelType w:val="multilevel"/>
    <w:tmpl w:val="ACA0F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1714EDD"/>
    <w:multiLevelType w:val="hybridMultilevel"/>
    <w:tmpl w:val="8748727E"/>
    <w:lvl w:ilvl="0" w:tplc="EE24907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3">
    <w:nsid w:val="52C227A4"/>
    <w:multiLevelType w:val="hybridMultilevel"/>
    <w:tmpl w:val="EAD48F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7180A30"/>
    <w:multiLevelType w:val="hybridMultilevel"/>
    <w:tmpl w:val="0B18FABE"/>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5">
    <w:nsid w:val="5BBA37D5"/>
    <w:multiLevelType w:val="hybridMultilevel"/>
    <w:tmpl w:val="D08E665E"/>
    <w:lvl w:ilvl="0" w:tplc="8CA4DBD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3BA676F"/>
    <w:multiLevelType w:val="hybridMultilevel"/>
    <w:tmpl w:val="5082248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7E9915E4"/>
    <w:multiLevelType w:val="hybridMultilevel"/>
    <w:tmpl w:val="F1B42B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7"/>
  </w:num>
  <w:num w:numId="6">
    <w:abstractNumId w:val="3"/>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03"/>
    <w:rsid w:val="0000067C"/>
    <w:rsid w:val="00005452"/>
    <w:rsid w:val="00010E12"/>
    <w:rsid w:val="00017486"/>
    <w:rsid w:val="000179AB"/>
    <w:rsid w:val="00021B91"/>
    <w:rsid w:val="00022741"/>
    <w:rsid w:val="00025F0D"/>
    <w:rsid w:val="00031A41"/>
    <w:rsid w:val="00041858"/>
    <w:rsid w:val="000531AC"/>
    <w:rsid w:val="00061D98"/>
    <w:rsid w:val="00062335"/>
    <w:rsid w:val="00067D2C"/>
    <w:rsid w:val="00070506"/>
    <w:rsid w:val="000752C5"/>
    <w:rsid w:val="00082B66"/>
    <w:rsid w:val="00084C8B"/>
    <w:rsid w:val="00090344"/>
    <w:rsid w:val="000916E4"/>
    <w:rsid w:val="00091ED5"/>
    <w:rsid w:val="00094615"/>
    <w:rsid w:val="00095927"/>
    <w:rsid w:val="000B17E1"/>
    <w:rsid w:val="000C533E"/>
    <w:rsid w:val="000E3094"/>
    <w:rsid w:val="000E3A15"/>
    <w:rsid w:val="00121FA5"/>
    <w:rsid w:val="0012535E"/>
    <w:rsid w:val="001254FE"/>
    <w:rsid w:val="001260EA"/>
    <w:rsid w:val="00126AE0"/>
    <w:rsid w:val="00127BD8"/>
    <w:rsid w:val="001347FB"/>
    <w:rsid w:val="001408EE"/>
    <w:rsid w:val="001423D0"/>
    <w:rsid w:val="00143468"/>
    <w:rsid w:val="001562BE"/>
    <w:rsid w:val="001702C9"/>
    <w:rsid w:val="00177A99"/>
    <w:rsid w:val="0018235B"/>
    <w:rsid w:val="00186783"/>
    <w:rsid w:val="001940FF"/>
    <w:rsid w:val="00194249"/>
    <w:rsid w:val="001A28F6"/>
    <w:rsid w:val="001A6FBD"/>
    <w:rsid w:val="001B0E03"/>
    <w:rsid w:val="001B1A2F"/>
    <w:rsid w:val="001C472C"/>
    <w:rsid w:val="001C6736"/>
    <w:rsid w:val="001D1138"/>
    <w:rsid w:val="001D7C34"/>
    <w:rsid w:val="001E3D40"/>
    <w:rsid w:val="001E6472"/>
    <w:rsid w:val="001E6921"/>
    <w:rsid w:val="001F3818"/>
    <w:rsid w:val="002037A1"/>
    <w:rsid w:val="00211C6B"/>
    <w:rsid w:val="002120B1"/>
    <w:rsid w:val="00214942"/>
    <w:rsid w:val="0021571D"/>
    <w:rsid w:val="00223528"/>
    <w:rsid w:val="00227850"/>
    <w:rsid w:val="00243147"/>
    <w:rsid w:val="0024346D"/>
    <w:rsid w:val="0026787B"/>
    <w:rsid w:val="0027017F"/>
    <w:rsid w:val="00272DBD"/>
    <w:rsid w:val="00282891"/>
    <w:rsid w:val="00286272"/>
    <w:rsid w:val="00292F70"/>
    <w:rsid w:val="00293354"/>
    <w:rsid w:val="002B11EE"/>
    <w:rsid w:val="002C45A6"/>
    <w:rsid w:val="002C6FD3"/>
    <w:rsid w:val="002C7823"/>
    <w:rsid w:val="002C79B4"/>
    <w:rsid w:val="002D0C4C"/>
    <w:rsid w:val="002D4BD3"/>
    <w:rsid w:val="002D4C17"/>
    <w:rsid w:val="002E05C8"/>
    <w:rsid w:val="002E2254"/>
    <w:rsid w:val="002E4B0E"/>
    <w:rsid w:val="002F093D"/>
    <w:rsid w:val="002F6CBD"/>
    <w:rsid w:val="0030035A"/>
    <w:rsid w:val="0031454D"/>
    <w:rsid w:val="00316265"/>
    <w:rsid w:val="00317A52"/>
    <w:rsid w:val="003222D8"/>
    <w:rsid w:val="0032748D"/>
    <w:rsid w:val="00331CD3"/>
    <w:rsid w:val="00332B1B"/>
    <w:rsid w:val="0033771C"/>
    <w:rsid w:val="0034099B"/>
    <w:rsid w:val="00346D8F"/>
    <w:rsid w:val="003511F9"/>
    <w:rsid w:val="0035285F"/>
    <w:rsid w:val="00354D54"/>
    <w:rsid w:val="003635F8"/>
    <w:rsid w:val="00364916"/>
    <w:rsid w:val="00364931"/>
    <w:rsid w:val="00364F29"/>
    <w:rsid w:val="00365C8D"/>
    <w:rsid w:val="003701A9"/>
    <w:rsid w:val="00372ED2"/>
    <w:rsid w:val="00373F4A"/>
    <w:rsid w:val="003748B3"/>
    <w:rsid w:val="00374D3D"/>
    <w:rsid w:val="00375ABD"/>
    <w:rsid w:val="0038423B"/>
    <w:rsid w:val="0038643F"/>
    <w:rsid w:val="003940CB"/>
    <w:rsid w:val="003970FB"/>
    <w:rsid w:val="003A0EB5"/>
    <w:rsid w:val="003A17C7"/>
    <w:rsid w:val="003A17CF"/>
    <w:rsid w:val="003B63A7"/>
    <w:rsid w:val="003B773D"/>
    <w:rsid w:val="003C2A80"/>
    <w:rsid w:val="003C3D73"/>
    <w:rsid w:val="003E1695"/>
    <w:rsid w:val="003E4C13"/>
    <w:rsid w:val="0040014D"/>
    <w:rsid w:val="0041539B"/>
    <w:rsid w:val="00417172"/>
    <w:rsid w:val="004251A6"/>
    <w:rsid w:val="004318F1"/>
    <w:rsid w:val="004345BB"/>
    <w:rsid w:val="00446824"/>
    <w:rsid w:val="00452A7B"/>
    <w:rsid w:val="00453562"/>
    <w:rsid w:val="00454B50"/>
    <w:rsid w:val="00465EA0"/>
    <w:rsid w:val="00482541"/>
    <w:rsid w:val="00487DB5"/>
    <w:rsid w:val="00495F5A"/>
    <w:rsid w:val="004A0283"/>
    <w:rsid w:val="004A1C87"/>
    <w:rsid w:val="004A28EA"/>
    <w:rsid w:val="004A6E6D"/>
    <w:rsid w:val="004A7638"/>
    <w:rsid w:val="004B0307"/>
    <w:rsid w:val="004B2F80"/>
    <w:rsid w:val="004B4A6E"/>
    <w:rsid w:val="004B713D"/>
    <w:rsid w:val="004B75DF"/>
    <w:rsid w:val="004C4DF8"/>
    <w:rsid w:val="004C6116"/>
    <w:rsid w:val="004D0CFA"/>
    <w:rsid w:val="004D1E2D"/>
    <w:rsid w:val="004E532E"/>
    <w:rsid w:val="004F5712"/>
    <w:rsid w:val="004F7F8C"/>
    <w:rsid w:val="00502499"/>
    <w:rsid w:val="00514B31"/>
    <w:rsid w:val="005215BA"/>
    <w:rsid w:val="00524F21"/>
    <w:rsid w:val="00525047"/>
    <w:rsid w:val="00526A07"/>
    <w:rsid w:val="00526C64"/>
    <w:rsid w:val="00537544"/>
    <w:rsid w:val="0054378D"/>
    <w:rsid w:val="0054499A"/>
    <w:rsid w:val="0055080A"/>
    <w:rsid w:val="00553ADB"/>
    <w:rsid w:val="0055792B"/>
    <w:rsid w:val="00561E36"/>
    <w:rsid w:val="00563929"/>
    <w:rsid w:val="00571C3E"/>
    <w:rsid w:val="00574241"/>
    <w:rsid w:val="00577582"/>
    <w:rsid w:val="00582F5A"/>
    <w:rsid w:val="0059211E"/>
    <w:rsid w:val="005928F3"/>
    <w:rsid w:val="00597C7E"/>
    <w:rsid w:val="005A502F"/>
    <w:rsid w:val="005A7A03"/>
    <w:rsid w:val="005B1B10"/>
    <w:rsid w:val="005C0F1F"/>
    <w:rsid w:val="005C6486"/>
    <w:rsid w:val="005D0D6D"/>
    <w:rsid w:val="005D2B4B"/>
    <w:rsid w:val="005E570D"/>
    <w:rsid w:val="005E6EB3"/>
    <w:rsid w:val="005E7163"/>
    <w:rsid w:val="005F2F5D"/>
    <w:rsid w:val="005F3619"/>
    <w:rsid w:val="005F3D77"/>
    <w:rsid w:val="0060156F"/>
    <w:rsid w:val="00606B63"/>
    <w:rsid w:val="00606CA0"/>
    <w:rsid w:val="00612D7D"/>
    <w:rsid w:val="00616B8C"/>
    <w:rsid w:val="00616F53"/>
    <w:rsid w:val="00620222"/>
    <w:rsid w:val="00620A58"/>
    <w:rsid w:val="00621211"/>
    <w:rsid w:val="00627A35"/>
    <w:rsid w:val="00630883"/>
    <w:rsid w:val="00634AC4"/>
    <w:rsid w:val="00641C7A"/>
    <w:rsid w:val="006519E7"/>
    <w:rsid w:val="00651FC5"/>
    <w:rsid w:val="0065664B"/>
    <w:rsid w:val="0065671F"/>
    <w:rsid w:val="00666FCC"/>
    <w:rsid w:val="0067217A"/>
    <w:rsid w:val="0067403C"/>
    <w:rsid w:val="006759E0"/>
    <w:rsid w:val="006767E7"/>
    <w:rsid w:val="00676EA3"/>
    <w:rsid w:val="00687483"/>
    <w:rsid w:val="006A123C"/>
    <w:rsid w:val="006C3868"/>
    <w:rsid w:val="006D0399"/>
    <w:rsid w:val="006D2DB7"/>
    <w:rsid w:val="006F40EA"/>
    <w:rsid w:val="006F4455"/>
    <w:rsid w:val="006F5787"/>
    <w:rsid w:val="006F74E1"/>
    <w:rsid w:val="0072097E"/>
    <w:rsid w:val="00720A09"/>
    <w:rsid w:val="007238B1"/>
    <w:rsid w:val="0072446E"/>
    <w:rsid w:val="00724841"/>
    <w:rsid w:val="00726569"/>
    <w:rsid w:val="00730751"/>
    <w:rsid w:val="007614B6"/>
    <w:rsid w:val="0076605C"/>
    <w:rsid w:val="00781482"/>
    <w:rsid w:val="007814F0"/>
    <w:rsid w:val="007827C5"/>
    <w:rsid w:val="007856EA"/>
    <w:rsid w:val="0078627B"/>
    <w:rsid w:val="007864AE"/>
    <w:rsid w:val="007A5D0D"/>
    <w:rsid w:val="007A5ED3"/>
    <w:rsid w:val="007B581B"/>
    <w:rsid w:val="007B5E78"/>
    <w:rsid w:val="007C002B"/>
    <w:rsid w:val="007C6546"/>
    <w:rsid w:val="007C749F"/>
    <w:rsid w:val="007D3237"/>
    <w:rsid w:val="00810D74"/>
    <w:rsid w:val="00812856"/>
    <w:rsid w:val="00823065"/>
    <w:rsid w:val="00825FD5"/>
    <w:rsid w:val="00841415"/>
    <w:rsid w:val="0084226E"/>
    <w:rsid w:val="00843CF8"/>
    <w:rsid w:val="00855E98"/>
    <w:rsid w:val="00876898"/>
    <w:rsid w:val="008773B7"/>
    <w:rsid w:val="008823D1"/>
    <w:rsid w:val="00886140"/>
    <w:rsid w:val="00897F76"/>
    <w:rsid w:val="008A5BA8"/>
    <w:rsid w:val="008A6AC0"/>
    <w:rsid w:val="008B05A1"/>
    <w:rsid w:val="008B2A02"/>
    <w:rsid w:val="008B4CE2"/>
    <w:rsid w:val="008B7147"/>
    <w:rsid w:val="008C2660"/>
    <w:rsid w:val="008C29EA"/>
    <w:rsid w:val="008D2FEF"/>
    <w:rsid w:val="008E06CC"/>
    <w:rsid w:val="008F11C8"/>
    <w:rsid w:val="008F25B4"/>
    <w:rsid w:val="008F6DB7"/>
    <w:rsid w:val="00900385"/>
    <w:rsid w:val="00900A50"/>
    <w:rsid w:val="0091501B"/>
    <w:rsid w:val="00925284"/>
    <w:rsid w:val="00941A50"/>
    <w:rsid w:val="00950D4B"/>
    <w:rsid w:val="00961907"/>
    <w:rsid w:val="00975F8F"/>
    <w:rsid w:val="009764E5"/>
    <w:rsid w:val="009769B1"/>
    <w:rsid w:val="009778C1"/>
    <w:rsid w:val="00980F93"/>
    <w:rsid w:val="0098420B"/>
    <w:rsid w:val="00984612"/>
    <w:rsid w:val="0098482B"/>
    <w:rsid w:val="009909FF"/>
    <w:rsid w:val="00994F9D"/>
    <w:rsid w:val="009958C5"/>
    <w:rsid w:val="009A3085"/>
    <w:rsid w:val="009B06B7"/>
    <w:rsid w:val="009B49EF"/>
    <w:rsid w:val="009B5BD2"/>
    <w:rsid w:val="009C21C3"/>
    <w:rsid w:val="009C4242"/>
    <w:rsid w:val="009D466D"/>
    <w:rsid w:val="009E7E62"/>
    <w:rsid w:val="009F7071"/>
    <w:rsid w:val="00A02BC2"/>
    <w:rsid w:val="00A1215C"/>
    <w:rsid w:val="00A210C7"/>
    <w:rsid w:val="00A23307"/>
    <w:rsid w:val="00A36658"/>
    <w:rsid w:val="00A37ACE"/>
    <w:rsid w:val="00A41218"/>
    <w:rsid w:val="00A476F1"/>
    <w:rsid w:val="00A74896"/>
    <w:rsid w:val="00A75392"/>
    <w:rsid w:val="00A76175"/>
    <w:rsid w:val="00A7618A"/>
    <w:rsid w:val="00A83220"/>
    <w:rsid w:val="00A844DB"/>
    <w:rsid w:val="00A94710"/>
    <w:rsid w:val="00A96786"/>
    <w:rsid w:val="00A97A5C"/>
    <w:rsid w:val="00AA185C"/>
    <w:rsid w:val="00AB0D6B"/>
    <w:rsid w:val="00AB115E"/>
    <w:rsid w:val="00AB7E22"/>
    <w:rsid w:val="00AC692E"/>
    <w:rsid w:val="00AD086E"/>
    <w:rsid w:val="00AD16FC"/>
    <w:rsid w:val="00AD3DCF"/>
    <w:rsid w:val="00AD4509"/>
    <w:rsid w:val="00AF5C7C"/>
    <w:rsid w:val="00AF76E1"/>
    <w:rsid w:val="00B03684"/>
    <w:rsid w:val="00B03DCD"/>
    <w:rsid w:val="00B05BCF"/>
    <w:rsid w:val="00B07C84"/>
    <w:rsid w:val="00B1258F"/>
    <w:rsid w:val="00B14084"/>
    <w:rsid w:val="00B16F3B"/>
    <w:rsid w:val="00B35350"/>
    <w:rsid w:val="00B442FD"/>
    <w:rsid w:val="00B46F17"/>
    <w:rsid w:val="00B543E0"/>
    <w:rsid w:val="00B54DB4"/>
    <w:rsid w:val="00B630EB"/>
    <w:rsid w:val="00B67C82"/>
    <w:rsid w:val="00B741E3"/>
    <w:rsid w:val="00B76261"/>
    <w:rsid w:val="00B8070C"/>
    <w:rsid w:val="00B812B5"/>
    <w:rsid w:val="00B82B3D"/>
    <w:rsid w:val="00B87504"/>
    <w:rsid w:val="00B91B1C"/>
    <w:rsid w:val="00BC0533"/>
    <w:rsid w:val="00BD236F"/>
    <w:rsid w:val="00BD7241"/>
    <w:rsid w:val="00BE24AF"/>
    <w:rsid w:val="00BE7DC2"/>
    <w:rsid w:val="00C00476"/>
    <w:rsid w:val="00C0286B"/>
    <w:rsid w:val="00C03D20"/>
    <w:rsid w:val="00C0618A"/>
    <w:rsid w:val="00C159F9"/>
    <w:rsid w:val="00C34441"/>
    <w:rsid w:val="00C36AA6"/>
    <w:rsid w:val="00C37030"/>
    <w:rsid w:val="00C41618"/>
    <w:rsid w:val="00C432C1"/>
    <w:rsid w:val="00C4662F"/>
    <w:rsid w:val="00C478AF"/>
    <w:rsid w:val="00C51B73"/>
    <w:rsid w:val="00C54F08"/>
    <w:rsid w:val="00C6695C"/>
    <w:rsid w:val="00C76706"/>
    <w:rsid w:val="00C84EB0"/>
    <w:rsid w:val="00C964E4"/>
    <w:rsid w:val="00C96A91"/>
    <w:rsid w:val="00C96D90"/>
    <w:rsid w:val="00CE201E"/>
    <w:rsid w:val="00CE5C67"/>
    <w:rsid w:val="00CF252C"/>
    <w:rsid w:val="00CF4218"/>
    <w:rsid w:val="00D03ED4"/>
    <w:rsid w:val="00D16B0F"/>
    <w:rsid w:val="00D16E0A"/>
    <w:rsid w:val="00D2316B"/>
    <w:rsid w:val="00D258FA"/>
    <w:rsid w:val="00D25FDB"/>
    <w:rsid w:val="00D270ED"/>
    <w:rsid w:val="00D317D7"/>
    <w:rsid w:val="00D35B86"/>
    <w:rsid w:val="00D4489E"/>
    <w:rsid w:val="00D64BF7"/>
    <w:rsid w:val="00D80BD4"/>
    <w:rsid w:val="00D815AD"/>
    <w:rsid w:val="00D82194"/>
    <w:rsid w:val="00D83612"/>
    <w:rsid w:val="00D94C62"/>
    <w:rsid w:val="00D965D1"/>
    <w:rsid w:val="00D96D48"/>
    <w:rsid w:val="00DB1C53"/>
    <w:rsid w:val="00DB357E"/>
    <w:rsid w:val="00DB7C97"/>
    <w:rsid w:val="00DC3AB1"/>
    <w:rsid w:val="00DC672F"/>
    <w:rsid w:val="00DE39D2"/>
    <w:rsid w:val="00DF485B"/>
    <w:rsid w:val="00E0459E"/>
    <w:rsid w:val="00E06AD2"/>
    <w:rsid w:val="00E135C9"/>
    <w:rsid w:val="00E157E0"/>
    <w:rsid w:val="00E17D78"/>
    <w:rsid w:val="00E234EC"/>
    <w:rsid w:val="00E27561"/>
    <w:rsid w:val="00E428E1"/>
    <w:rsid w:val="00E45AC5"/>
    <w:rsid w:val="00E53F18"/>
    <w:rsid w:val="00E562A9"/>
    <w:rsid w:val="00E5655D"/>
    <w:rsid w:val="00E57299"/>
    <w:rsid w:val="00E6032E"/>
    <w:rsid w:val="00E61B42"/>
    <w:rsid w:val="00E65069"/>
    <w:rsid w:val="00E736EA"/>
    <w:rsid w:val="00E83F21"/>
    <w:rsid w:val="00E9080A"/>
    <w:rsid w:val="00E91CF8"/>
    <w:rsid w:val="00E93799"/>
    <w:rsid w:val="00E94DD0"/>
    <w:rsid w:val="00E95952"/>
    <w:rsid w:val="00EB1539"/>
    <w:rsid w:val="00EB2A3C"/>
    <w:rsid w:val="00EC29E5"/>
    <w:rsid w:val="00EC67AD"/>
    <w:rsid w:val="00EC76FF"/>
    <w:rsid w:val="00ED061A"/>
    <w:rsid w:val="00ED27BF"/>
    <w:rsid w:val="00EE20C1"/>
    <w:rsid w:val="00EE6C61"/>
    <w:rsid w:val="00EE7D03"/>
    <w:rsid w:val="00EF29CD"/>
    <w:rsid w:val="00EF5006"/>
    <w:rsid w:val="00EF5A7D"/>
    <w:rsid w:val="00F06EFB"/>
    <w:rsid w:val="00F11304"/>
    <w:rsid w:val="00F118C8"/>
    <w:rsid w:val="00F15AAA"/>
    <w:rsid w:val="00F164D8"/>
    <w:rsid w:val="00F2344E"/>
    <w:rsid w:val="00F35988"/>
    <w:rsid w:val="00F5470E"/>
    <w:rsid w:val="00F5559C"/>
    <w:rsid w:val="00F8584D"/>
    <w:rsid w:val="00F85EC3"/>
    <w:rsid w:val="00F924E6"/>
    <w:rsid w:val="00F93987"/>
    <w:rsid w:val="00F94DC0"/>
    <w:rsid w:val="00FA5DE0"/>
    <w:rsid w:val="00FA607C"/>
    <w:rsid w:val="00FB7B22"/>
    <w:rsid w:val="00FC3C2F"/>
    <w:rsid w:val="00FD791B"/>
    <w:rsid w:val="00FD79E6"/>
    <w:rsid w:val="00FE2BB0"/>
    <w:rsid w:val="00FF64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E7D03"/>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EE7D03"/>
    <w:pPr>
      <w:keepNext/>
      <w:jc w:val="right"/>
      <w:outlineLvl w:val="0"/>
    </w:pPr>
    <w:rPr>
      <w:b/>
      <w:sz w:val="28"/>
      <w:szCs w:val="20"/>
      <w:lang w:val="lv-LV"/>
    </w:rPr>
  </w:style>
  <w:style w:type="paragraph" w:styleId="Virsraksts2">
    <w:name w:val="heading 2"/>
    <w:basedOn w:val="Parasts"/>
    <w:next w:val="Parasts"/>
    <w:link w:val="Virsraksts2Rakstz"/>
    <w:qFormat/>
    <w:rsid w:val="00EE7D03"/>
    <w:pPr>
      <w:keepNext/>
      <w:outlineLvl w:val="1"/>
    </w:pPr>
    <w:rPr>
      <w:i/>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E7D03"/>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rsid w:val="00EE7D03"/>
    <w:rPr>
      <w:rFonts w:ascii="Times New Roman" w:eastAsia="Times New Roman" w:hAnsi="Times New Roman" w:cs="Times New Roman"/>
      <w:i/>
      <w:sz w:val="24"/>
      <w:szCs w:val="20"/>
    </w:rPr>
  </w:style>
  <w:style w:type="paragraph" w:styleId="Galvene">
    <w:name w:val="header"/>
    <w:basedOn w:val="Parasts"/>
    <w:link w:val="GalveneRakstz"/>
    <w:uiPriority w:val="99"/>
    <w:rsid w:val="00EE7D03"/>
    <w:pPr>
      <w:tabs>
        <w:tab w:val="center" w:pos="4153"/>
        <w:tab w:val="right" w:pos="8306"/>
      </w:tabs>
    </w:pPr>
  </w:style>
  <w:style w:type="character" w:customStyle="1" w:styleId="GalveneRakstz">
    <w:name w:val="Galvene Rakstz."/>
    <w:basedOn w:val="Noklusjumarindkopasfonts"/>
    <w:link w:val="Galvene"/>
    <w:uiPriority w:val="99"/>
    <w:rsid w:val="00EE7D03"/>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EE7D03"/>
    <w:pPr>
      <w:spacing w:after="120"/>
      <w:ind w:left="283"/>
    </w:pPr>
    <w:rPr>
      <w:lang w:val="lv-LV" w:eastAsia="lv-LV"/>
    </w:rPr>
  </w:style>
  <w:style w:type="character" w:customStyle="1" w:styleId="PamattekstsaratkpiRakstz">
    <w:name w:val="Pamatteksts ar atkāpi Rakstz."/>
    <w:basedOn w:val="Noklusjumarindkopasfonts"/>
    <w:link w:val="Pamattekstsaratkpi"/>
    <w:rsid w:val="00EE7D03"/>
    <w:rPr>
      <w:rFonts w:ascii="Times New Roman" w:eastAsia="Times New Roman" w:hAnsi="Times New Roman" w:cs="Times New Roman"/>
      <w:sz w:val="24"/>
      <w:szCs w:val="24"/>
      <w:lang w:eastAsia="lv-LV"/>
    </w:rPr>
  </w:style>
  <w:style w:type="paragraph" w:styleId="Beiguvresteksts">
    <w:name w:val="endnote text"/>
    <w:basedOn w:val="Parasts"/>
    <w:link w:val="BeiguvrestekstsRakstz"/>
    <w:uiPriority w:val="99"/>
    <w:semiHidden/>
    <w:unhideWhenUsed/>
    <w:rsid w:val="002F6CBD"/>
    <w:rPr>
      <w:sz w:val="20"/>
      <w:szCs w:val="20"/>
    </w:rPr>
  </w:style>
  <w:style w:type="character" w:customStyle="1" w:styleId="BeiguvrestekstsRakstz">
    <w:name w:val="Beigu vēres teksts Rakstz."/>
    <w:basedOn w:val="Noklusjumarindkopasfonts"/>
    <w:link w:val="Beiguvresteksts"/>
    <w:uiPriority w:val="99"/>
    <w:semiHidden/>
    <w:rsid w:val="002F6CBD"/>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2F6CBD"/>
    <w:rPr>
      <w:vertAlign w:val="superscript"/>
    </w:rPr>
  </w:style>
  <w:style w:type="character" w:styleId="Hipersaite">
    <w:name w:val="Hyperlink"/>
    <w:basedOn w:val="Noklusjumarindkopasfonts"/>
    <w:rsid w:val="00E57299"/>
    <w:rPr>
      <w:color w:val="0000FF"/>
      <w:u w:val="single"/>
    </w:rPr>
  </w:style>
  <w:style w:type="paragraph" w:styleId="Kjene">
    <w:name w:val="footer"/>
    <w:basedOn w:val="Parasts"/>
    <w:link w:val="KjeneRakstz"/>
    <w:uiPriority w:val="99"/>
    <w:unhideWhenUsed/>
    <w:rsid w:val="00FD79E6"/>
    <w:pPr>
      <w:tabs>
        <w:tab w:val="center" w:pos="4153"/>
        <w:tab w:val="right" w:pos="8306"/>
      </w:tabs>
    </w:pPr>
  </w:style>
  <w:style w:type="character" w:customStyle="1" w:styleId="KjeneRakstz">
    <w:name w:val="Kājene Rakstz."/>
    <w:basedOn w:val="Noklusjumarindkopasfonts"/>
    <w:link w:val="Kjene"/>
    <w:uiPriority w:val="99"/>
    <w:rsid w:val="00FD79E6"/>
    <w:rPr>
      <w:rFonts w:ascii="Times New Roman" w:eastAsia="Times New Roman" w:hAnsi="Times New Roman" w:cs="Times New Roman"/>
      <w:sz w:val="24"/>
      <w:szCs w:val="24"/>
      <w:lang w:val="en-GB"/>
    </w:rPr>
  </w:style>
  <w:style w:type="table" w:styleId="Reatabula">
    <w:name w:val="Table Grid"/>
    <w:basedOn w:val="Parastatabula"/>
    <w:uiPriority w:val="59"/>
    <w:rsid w:val="00D23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ienkrsteksts">
    <w:name w:val="Plain Text"/>
    <w:basedOn w:val="Parasts"/>
    <w:link w:val="VienkrstekstsRakstz"/>
    <w:uiPriority w:val="99"/>
    <w:unhideWhenUsed/>
    <w:rsid w:val="00D2316B"/>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D2316B"/>
    <w:rPr>
      <w:rFonts w:ascii="Calibri" w:hAnsi="Calibri"/>
      <w:szCs w:val="21"/>
    </w:rPr>
  </w:style>
  <w:style w:type="paragraph" w:styleId="Sarakstarindkopa">
    <w:name w:val="List Paragraph"/>
    <w:basedOn w:val="Parasts"/>
    <w:uiPriority w:val="34"/>
    <w:qFormat/>
    <w:rsid w:val="00606CA0"/>
    <w:pPr>
      <w:ind w:left="720"/>
    </w:pPr>
    <w:rPr>
      <w:rFonts w:ascii="Calibri" w:eastAsiaTheme="minorHAnsi" w:hAnsi="Calibri"/>
      <w:sz w:val="22"/>
      <w:szCs w:val="22"/>
      <w:lang w:val="lv-LV"/>
    </w:rPr>
  </w:style>
  <w:style w:type="character" w:customStyle="1" w:styleId="spelle">
    <w:name w:val="spelle"/>
    <w:basedOn w:val="Noklusjumarindkopasfonts"/>
    <w:rsid w:val="00417172"/>
  </w:style>
  <w:style w:type="paragraph" w:styleId="Pamatteksts">
    <w:name w:val="Body Text"/>
    <w:basedOn w:val="Parasts"/>
    <w:link w:val="PamattekstsRakstz"/>
    <w:uiPriority w:val="99"/>
    <w:unhideWhenUsed/>
    <w:rsid w:val="0012535E"/>
    <w:pPr>
      <w:spacing w:after="120"/>
    </w:pPr>
  </w:style>
  <w:style w:type="character" w:customStyle="1" w:styleId="PamattekstsRakstz">
    <w:name w:val="Pamatteksts Rakstz."/>
    <w:basedOn w:val="Noklusjumarindkopasfonts"/>
    <w:link w:val="Pamatteksts"/>
    <w:uiPriority w:val="99"/>
    <w:rsid w:val="0012535E"/>
    <w:rPr>
      <w:rFonts w:ascii="Times New Roman" w:eastAsia="Times New Roman" w:hAnsi="Times New Roman" w:cs="Times New Roman"/>
      <w:sz w:val="24"/>
      <w:szCs w:val="24"/>
      <w:lang w:val="en-GB"/>
    </w:rPr>
  </w:style>
  <w:style w:type="paragraph" w:styleId="Vresteksts">
    <w:name w:val="footnote text"/>
    <w:basedOn w:val="Parasts"/>
    <w:link w:val="VrestekstsRakstz"/>
    <w:unhideWhenUsed/>
    <w:rsid w:val="00143468"/>
    <w:rPr>
      <w:sz w:val="20"/>
      <w:szCs w:val="20"/>
    </w:rPr>
  </w:style>
  <w:style w:type="character" w:customStyle="1" w:styleId="VrestekstsRakstz">
    <w:name w:val="Vēres teksts Rakstz."/>
    <w:basedOn w:val="Noklusjumarindkopasfonts"/>
    <w:link w:val="Vresteksts"/>
    <w:rsid w:val="00143468"/>
    <w:rPr>
      <w:rFonts w:ascii="Times New Roman" w:eastAsia="Times New Roman" w:hAnsi="Times New Roman" w:cs="Times New Roman"/>
      <w:sz w:val="20"/>
      <w:szCs w:val="20"/>
      <w:lang w:val="en-GB"/>
    </w:rPr>
  </w:style>
  <w:style w:type="character" w:styleId="Vresatsauce">
    <w:name w:val="footnote reference"/>
    <w:unhideWhenUsed/>
    <w:rsid w:val="00143468"/>
    <w:rPr>
      <w:vertAlign w:val="superscript"/>
    </w:rPr>
  </w:style>
  <w:style w:type="paragraph" w:styleId="Balonteksts">
    <w:name w:val="Balloon Text"/>
    <w:basedOn w:val="Parasts"/>
    <w:link w:val="BalontekstsRakstz"/>
    <w:uiPriority w:val="99"/>
    <w:semiHidden/>
    <w:unhideWhenUsed/>
    <w:rsid w:val="00E94DD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94DD0"/>
    <w:rPr>
      <w:rFonts w:ascii="Tahoma" w:eastAsia="Times New Roman" w:hAnsi="Tahoma" w:cs="Tahoma"/>
      <w:sz w:val="16"/>
      <w:szCs w:val="16"/>
      <w:lang w:val="en-GB"/>
    </w:rPr>
  </w:style>
  <w:style w:type="character" w:styleId="Komentraatsauce">
    <w:name w:val="annotation reference"/>
    <w:basedOn w:val="Noklusjumarindkopasfonts"/>
    <w:uiPriority w:val="99"/>
    <w:semiHidden/>
    <w:unhideWhenUsed/>
    <w:rsid w:val="00E94DD0"/>
    <w:rPr>
      <w:sz w:val="16"/>
      <w:szCs w:val="16"/>
    </w:rPr>
  </w:style>
  <w:style w:type="paragraph" w:styleId="Komentrateksts">
    <w:name w:val="annotation text"/>
    <w:basedOn w:val="Parasts"/>
    <w:link w:val="KomentratekstsRakstz"/>
    <w:uiPriority w:val="99"/>
    <w:semiHidden/>
    <w:unhideWhenUsed/>
    <w:rsid w:val="00E94DD0"/>
    <w:rPr>
      <w:sz w:val="20"/>
      <w:szCs w:val="20"/>
    </w:rPr>
  </w:style>
  <w:style w:type="character" w:customStyle="1" w:styleId="KomentratekstsRakstz">
    <w:name w:val="Komentāra teksts Rakstz."/>
    <w:basedOn w:val="Noklusjumarindkopasfonts"/>
    <w:link w:val="Komentrateksts"/>
    <w:uiPriority w:val="99"/>
    <w:semiHidden/>
    <w:rsid w:val="00E94DD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E94DD0"/>
    <w:rPr>
      <w:b/>
      <w:bCs/>
    </w:rPr>
  </w:style>
  <w:style w:type="character" w:customStyle="1" w:styleId="KomentratmaRakstz">
    <w:name w:val="Komentāra tēma Rakstz."/>
    <w:basedOn w:val="KomentratekstsRakstz"/>
    <w:link w:val="Komentratma"/>
    <w:uiPriority w:val="99"/>
    <w:semiHidden/>
    <w:rsid w:val="00E94DD0"/>
    <w:rPr>
      <w:rFonts w:ascii="Times New Roman" w:eastAsia="Times New Roman" w:hAnsi="Times New Roman" w:cs="Times New Roman"/>
      <w:b/>
      <w:bCs/>
      <w:sz w:val="20"/>
      <w:szCs w:val="20"/>
      <w:lang w:val="en-GB"/>
    </w:rPr>
  </w:style>
  <w:style w:type="paragraph" w:styleId="Prskatjums">
    <w:name w:val="Revision"/>
    <w:hidden/>
    <w:uiPriority w:val="99"/>
    <w:semiHidden/>
    <w:rsid w:val="00E17D78"/>
    <w:pPr>
      <w:spacing w:after="0" w:line="240" w:lineRule="auto"/>
    </w:pPr>
    <w:rPr>
      <w:rFonts w:ascii="Times New Roman" w:eastAsia="Times New Roman" w:hAnsi="Times New Roman" w:cs="Times New Roman"/>
      <w:sz w:val="24"/>
      <w:szCs w:val="24"/>
      <w:lang w:val="en-GB"/>
    </w:rPr>
  </w:style>
  <w:style w:type="paragraph" w:customStyle="1" w:styleId="tv213">
    <w:name w:val="tv213"/>
    <w:basedOn w:val="Parasts"/>
    <w:rsid w:val="00EF5A7D"/>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E7D03"/>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EE7D03"/>
    <w:pPr>
      <w:keepNext/>
      <w:jc w:val="right"/>
      <w:outlineLvl w:val="0"/>
    </w:pPr>
    <w:rPr>
      <w:b/>
      <w:sz w:val="28"/>
      <w:szCs w:val="20"/>
      <w:lang w:val="lv-LV"/>
    </w:rPr>
  </w:style>
  <w:style w:type="paragraph" w:styleId="Virsraksts2">
    <w:name w:val="heading 2"/>
    <w:basedOn w:val="Parasts"/>
    <w:next w:val="Parasts"/>
    <w:link w:val="Virsraksts2Rakstz"/>
    <w:qFormat/>
    <w:rsid w:val="00EE7D03"/>
    <w:pPr>
      <w:keepNext/>
      <w:outlineLvl w:val="1"/>
    </w:pPr>
    <w:rPr>
      <w:i/>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E7D03"/>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rsid w:val="00EE7D03"/>
    <w:rPr>
      <w:rFonts w:ascii="Times New Roman" w:eastAsia="Times New Roman" w:hAnsi="Times New Roman" w:cs="Times New Roman"/>
      <w:i/>
      <w:sz w:val="24"/>
      <w:szCs w:val="20"/>
    </w:rPr>
  </w:style>
  <w:style w:type="paragraph" w:styleId="Galvene">
    <w:name w:val="header"/>
    <w:basedOn w:val="Parasts"/>
    <w:link w:val="GalveneRakstz"/>
    <w:uiPriority w:val="99"/>
    <w:rsid w:val="00EE7D03"/>
    <w:pPr>
      <w:tabs>
        <w:tab w:val="center" w:pos="4153"/>
        <w:tab w:val="right" w:pos="8306"/>
      </w:tabs>
    </w:pPr>
  </w:style>
  <w:style w:type="character" w:customStyle="1" w:styleId="GalveneRakstz">
    <w:name w:val="Galvene Rakstz."/>
    <w:basedOn w:val="Noklusjumarindkopasfonts"/>
    <w:link w:val="Galvene"/>
    <w:uiPriority w:val="99"/>
    <w:rsid w:val="00EE7D03"/>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rsid w:val="00EE7D03"/>
    <w:pPr>
      <w:spacing w:after="120"/>
      <w:ind w:left="283"/>
    </w:pPr>
    <w:rPr>
      <w:lang w:val="lv-LV" w:eastAsia="lv-LV"/>
    </w:rPr>
  </w:style>
  <w:style w:type="character" w:customStyle="1" w:styleId="PamattekstsaratkpiRakstz">
    <w:name w:val="Pamatteksts ar atkāpi Rakstz."/>
    <w:basedOn w:val="Noklusjumarindkopasfonts"/>
    <w:link w:val="Pamattekstsaratkpi"/>
    <w:rsid w:val="00EE7D03"/>
    <w:rPr>
      <w:rFonts w:ascii="Times New Roman" w:eastAsia="Times New Roman" w:hAnsi="Times New Roman" w:cs="Times New Roman"/>
      <w:sz w:val="24"/>
      <w:szCs w:val="24"/>
      <w:lang w:eastAsia="lv-LV"/>
    </w:rPr>
  </w:style>
  <w:style w:type="paragraph" w:styleId="Beiguvresteksts">
    <w:name w:val="endnote text"/>
    <w:basedOn w:val="Parasts"/>
    <w:link w:val="BeiguvrestekstsRakstz"/>
    <w:uiPriority w:val="99"/>
    <w:semiHidden/>
    <w:unhideWhenUsed/>
    <w:rsid w:val="002F6CBD"/>
    <w:rPr>
      <w:sz w:val="20"/>
      <w:szCs w:val="20"/>
    </w:rPr>
  </w:style>
  <w:style w:type="character" w:customStyle="1" w:styleId="BeiguvrestekstsRakstz">
    <w:name w:val="Beigu vēres teksts Rakstz."/>
    <w:basedOn w:val="Noklusjumarindkopasfonts"/>
    <w:link w:val="Beiguvresteksts"/>
    <w:uiPriority w:val="99"/>
    <w:semiHidden/>
    <w:rsid w:val="002F6CBD"/>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2F6CBD"/>
    <w:rPr>
      <w:vertAlign w:val="superscript"/>
    </w:rPr>
  </w:style>
  <w:style w:type="character" w:styleId="Hipersaite">
    <w:name w:val="Hyperlink"/>
    <w:basedOn w:val="Noklusjumarindkopasfonts"/>
    <w:rsid w:val="00E57299"/>
    <w:rPr>
      <w:color w:val="0000FF"/>
      <w:u w:val="single"/>
    </w:rPr>
  </w:style>
  <w:style w:type="paragraph" w:styleId="Kjene">
    <w:name w:val="footer"/>
    <w:basedOn w:val="Parasts"/>
    <w:link w:val="KjeneRakstz"/>
    <w:uiPriority w:val="99"/>
    <w:unhideWhenUsed/>
    <w:rsid w:val="00FD79E6"/>
    <w:pPr>
      <w:tabs>
        <w:tab w:val="center" w:pos="4153"/>
        <w:tab w:val="right" w:pos="8306"/>
      </w:tabs>
    </w:pPr>
  </w:style>
  <w:style w:type="character" w:customStyle="1" w:styleId="KjeneRakstz">
    <w:name w:val="Kājene Rakstz."/>
    <w:basedOn w:val="Noklusjumarindkopasfonts"/>
    <w:link w:val="Kjene"/>
    <w:uiPriority w:val="99"/>
    <w:rsid w:val="00FD79E6"/>
    <w:rPr>
      <w:rFonts w:ascii="Times New Roman" w:eastAsia="Times New Roman" w:hAnsi="Times New Roman" w:cs="Times New Roman"/>
      <w:sz w:val="24"/>
      <w:szCs w:val="24"/>
      <w:lang w:val="en-GB"/>
    </w:rPr>
  </w:style>
  <w:style w:type="table" w:styleId="Reatabula">
    <w:name w:val="Table Grid"/>
    <w:basedOn w:val="Parastatabula"/>
    <w:uiPriority w:val="59"/>
    <w:rsid w:val="00D23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ienkrsteksts">
    <w:name w:val="Plain Text"/>
    <w:basedOn w:val="Parasts"/>
    <w:link w:val="VienkrstekstsRakstz"/>
    <w:uiPriority w:val="99"/>
    <w:unhideWhenUsed/>
    <w:rsid w:val="00D2316B"/>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D2316B"/>
    <w:rPr>
      <w:rFonts w:ascii="Calibri" w:hAnsi="Calibri"/>
      <w:szCs w:val="21"/>
    </w:rPr>
  </w:style>
  <w:style w:type="paragraph" w:styleId="Sarakstarindkopa">
    <w:name w:val="List Paragraph"/>
    <w:basedOn w:val="Parasts"/>
    <w:uiPriority w:val="34"/>
    <w:qFormat/>
    <w:rsid w:val="00606CA0"/>
    <w:pPr>
      <w:ind w:left="720"/>
    </w:pPr>
    <w:rPr>
      <w:rFonts w:ascii="Calibri" w:eastAsiaTheme="minorHAnsi" w:hAnsi="Calibri"/>
      <w:sz w:val="22"/>
      <w:szCs w:val="22"/>
      <w:lang w:val="lv-LV"/>
    </w:rPr>
  </w:style>
  <w:style w:type="character" w:customStyle="1" w:styleId="spelle">
    <w:name w:val="spelle"/>
    <w:basedOn w:val="Noklusjumarindkopasfonts"/>
    <w:rsid w:val="00417172"/>
  </w:style>
  <w:style w:type="paragraph" w:styleId="Pamatteksts">
    <w:name w:val="Body Text"/>
    <w:basedOn w:val="Parasts"/>
    <w:link w:val="PamattekstsRakstz"/>
    <w:uiPriority w:val="99"/>
    <w:unhideWhenUsed/>
    <w:rsid w:val="0012535E"/>
    <w:pPr>
      <w:spacing w:after="120"/>
    </w:pPr>
  </w:style>
  <w:style w:type="character" w:customStyle="1" w:styleId="PamattekstsRakstz">
    <w:name w:val="Pamatteksts Rakstz."/>
    <w:basedOn w:val="Noklusjumarindkopasfonts"/>
    <w:link w:val="Pamatteksts"/>
    <w:uiPriority w:val="99"/>
    <w:rsid w:val="0012535E"/>
    <w:rPr>
      <w:rFonts w:ascii="Times New Roman" w:eastAsia="Times New Roman" w:hAnsi="Times New Roman" w:cs="Times New Roman"/>
      <w:sz w:val="24"/>
      <w:szCs w:val="24"/>
      <w:lang w:val="en-GB"/>
    </w:rPr>
  </w:style>
  <w:style w:type="paragraph" w:styleId="Vresteksts">
    <w:name w:val="footnote text"/>
    <w:basedOn w:val="Parasts"/>
    <w:link w:val="VrestekstsRakstz"/>
    <w:unhideWhenUsed/>
    <w:rsid w:val="00143468"/>
    <w:rPr>
      <w:sz w:val="20"/>
      <w:szCs w:val="20"/>
    </w:rPr>
  </w:style>
  <w:style w:type="character" w:customStyle="1" w:styleId="VrestekstsRakstz">
    <w:name w:val="Vēres teksts Rakstz."/>
    <w:basedOn w:val="Noklusjumarindkopasfonts"/>
    <w:link w:val="Vresteksts"/>
    <w:rsid w:val="00143468"/>
    <w:rPr>
      <w:rFonts w:ascii="Times New Roman" w:eastAsia="Times New Roman" w:hAnsi="Times New Roman" w:cs="Times New Roman"/>
      <w:sz w:val="20"/>
      <w:szCs w:val="20"/>
      <w:lang w:val="en-GB"/>
    </w:rPr>
  </w:style>
  <w:style w:type="character" w:styleId="Vresatsauce">
    <w:name w:val="footnote reference"/>
    <w:unhideWhenUsed/>
    <w:rsid w:val="00143468"/>
    <w:rPr>
      <w:vertAlign w:val="superscript"/>
    </w:rPr>
  </w:style>
  <w:style w:type="paragraph" w:styleId="Balonteksts">
    <w:name w:val="Balloon Text"/>
    <w:basedOn w:val="Parasts"/>
    <w:link w:val="BalontekstsRakstz"/>
    <w:uiPriority w:val="99"/>
    <w:semiHidden/>
    <w:unhideWhenUsed/>
    <w:rsid w:val="00E94DD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94DD0"/>
    <w:rPr>
      <w:rFonts w:ascii="Tahoma" w:eastAsia="Times New Roman" w:hAnsi="Tahoma" w:cs="Tahoma"/>
      <w:sz w:val="16"/>
      <w:szCs w:val="16"/>
      <w:lang w:val="en-GB"/>
    </w:rPr>
  </w:style>
  <w:style w:type="character" w:styleId="Komentraatsauce">
    <w:name w:val="annotation reference"/>
    <w:basedOn w:val="Noklusjumarindkopasfonts"/>
    <w:uiPriority w:val="99"/>
    <w:semiHidden/>
    <w:unhideWhenUsed/>
    <w:rsid w:val="00E94DD0"/>
    <w:rPr>
      <w:sz w:val="16"/>
      <w:szCs w:val="16"/>
    </w:rPr>
  </w:style>
  <w:style w:type="paragraph" w:styleId="Komentrateksts">
    <w:name w:val="annotation text"/>
    <w:basedOn w:val="Parasts"/>
    <w:link w:val="KomentratekstsRakstz"/>
    <w:uiPriority w:val="99"/>
    <w:semiHidden/>
    <w:unhideWhenUsed/>
    <w:rsid w:val="00E94DD0"/>
    <w:rPr>
      <w:sz w:val="20"/>
      <w:szCs w:val="20"/>
    </w:rPr>
  </w:style>
  <w:style w:type="character" w:customStyle="1" w:styleId="KomentratekstsRakstz">
    <w:name w:val="Komentāra teksts Rakstz."/>
    <w:basedOn w:val="Noklusjumarindkopasfonts"/>
    <w:link w:val="Komentrateksts"/>
    <w:uiPriority w:val="99"/>
    <w:semiHidden/>
    <w:rsid w:val="00E94DD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E94DD0"/>
    <w:rPr>
      <w:b/>
      <w:bCs/>
    </w:rPr>
  </w:style>
  <w:style w:type="character" w:customStyle="1" w:styleId="KomentratmaRakstz">
    <w:name w:val="Komentāra tēma Rakstz."/>
    <w:basedOn w:val="KomentratekstsRakstz"/>
    <w:link w:val="Komentratma"/>
    <w:uiPriority w:val="99"/>
    <w:semiHidden/>
    <w:rsid w:val="00E94DD0"/>
    <w:rPr>
      <w:rFonts w:ascii="Times New Roman" w:eastAsia="Times New Roman" w:hAnsi="Times New Roman" w:cs="Times New Roman"/>
      <w:b/>
      <w:bCs/>
      <w:sz w:val="20"/>
      <w:szCs w:val="20"/>
      <w:lang w:val="en-GB"/>
    </w:rPr>
  </w:style>
  <w:style w:type="paragraph" w:styleId="Prskatjums">
    <w:name w:val="Revision"/>
    <w:hidden/>
    <w:uiPriority w:val="99"/>
    <w:semiHidden/>
    <w:rsid w:val="00E17D78"/>
    <w:pPr>
      <w:spacing w:after="0" w:line="240" w:lineRule="auto"/>
    </w:pPr>
    <w:rPr>
      <w:rFonts w:ascii="Times New Roman" w:eastAsia="Times New Roman" w:hAnsi="Times New Roman" w:cs="Times New Roman"/>
      <w:sz w:val="24"/>
      <w:szCs w:val="24"/>
      <w:lang w:val="en-GB"/>
    </w:rPr>
  </w:style>
  <w:style w:type="paragraph" w:customStyle="1" w:styleId="tv213">
    <w:name w:val="tv213"/>
    <w:basedOn w:val="Parasts"/>
    <w:rsid w:val="00EF5A7D"/>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6767">
      <w:bodyDiv w:val="1"/>
      <w:marLeft w:val="0"/>
      <w:marRight w:val="0"/>
      <w:marTop w:val="0"/>
      <w:marBottom w:val="0"/>
      <w:divBdr>
        <w:top w:val="none" w:sz="0" w:space="0" w:color="auto"/>
        <w:left w:val="none" w:sz="0" w:space="0" w:color="auto"/>
        <w:bottom w:val="none" w:sz="0" w:space="0" w:color="auto"/>
        <w:right w:val="none" w:sz="0" w:space="0" w:color="auto"/>
      </w:divBdr>
    </w:div>
    <w:div w:id="142552679">
      <w:bodyDiv w:val="1"/>
      <w:marLeft w:val="0"/>
      <w:marRight w:val="0"/>
      <w:marTop w:val="0"/>
      <w:marBottom w:val="0"/>
      <w:divBdr>
        <w:top w:val="none" w:sz="0" w:space="0" w:color="auto"/>
        <w:left w:val="none" w:sz="0" w:space="0" w:color="auto"/>
        <w:bottom w:val="none" w:sz="0" w:space="0" w:color="auto"/>
        <w:right w:val="none" w:sz="0" w:space="0" w:color="auto"/>
      </w:divBdr>
    </w:div>
    <w:div w:id="510144744">
      <w:bodyDiv w:val="1"/>
      <w:marLeft w:val="0"/>
      <w:marRight w:val="0"/>
      <w:marTop w:val="0"/>
      <w:marBottom w:val="0"/>
      <w:divBdr>
        <w:top w:val="none" w:sz="0" w:space="0" w:color="auto"/>
        <w:left w:val="none" w:sz="0" w:space="0" w:color="auto"/>
        <w:bottom w:val="none" w:sz="0" w:space="0" w:color="auto"/>
        <w:right w:val="none" w:sz="0" w:space="0" w:color="auto"/>
      </w:divBdr>
    </w:div>
    <w:div w:id="559098143">
      <w:bodyDiv w:val="1"/>
      <w:marLeft w:val="0"/>
      <w:marRight w:val="0"/>
      <w:marTop w:val="0"/>
      <w:marBottom w:val="0"/>
      <w:divBdr>
        <w:top w:val="none" w:sz="0" w:space="0" w:color="auto"/>
        <w:left w:val="none" w:sz="0" w:space="0" w:color="auto"/>
        <w:bottom w:val="none" w:sz="0" w:space="0" w:color="auto"/>
        <w:right w:val="none" w:sz="0" w:space="0" w:color="auto"/>
      </w:divBdr>
    </w:div>
    <w:div w:id="650407898">
      <w:bodyDiv w:val="1"/>
      <w:marLeft w:val="0"/>
      <w:marRight w:val="0"/>
      <w:marTop w:val="0"/>
      <w:marBottom w:val="0"/>
      <w:divBdr>
        <w:top w:val="none" w:sz="0" w:space="0" w:color="auto"/>
        <w:left w:val="none" w:sz="0" w:space="0" w:color="auto"/>
        <w:bottom w:val="none" w:sz="0" w:space="0" w:color="auto"/>
        <w:right w:val="none" w:sz="0" w:space="0" w:color="auto"/>
      </w:divBdr>
    </w:div>
    <w:div w:id="971253792">
      <w:bodyDiv w:val="1"/>
      <w:marLeft w:val="0"/>
      <w:marRight w:val="0"/>
      <w:marTop w:val="0"/>
      <w:marBottom w:val="0"/>
      <w:divBdr>
        <w:top w:val="none" w:sz="0" w:space="0" w:color="auto"/>
        <w:left w:val="none" w:sz="0" w:space="0" w:color="auto"/>
        <w:bottom w:val="none" w:sz="0" w:space="0" w:color="auto"/>
        <w:right w:val="none" w:sz="0" w:space="0" w:color="auto"/>
      </w:divBdr>
    </w:div>
    <w:div w:id="986976376">
      <w:bodyDiv w:val="1"/>
      <w:marLeft w:val="0"/>
      <w:marRight w:val="0"/>
      <w:marTop w:val="0"/>
      <w:marBottom w:val="0"/>
      <w:divBdr>
        <w:top w:val="none" w:sz="0" w:space="0" w:color="auto"/>
        <w:left w:val="none" w:sz="0" w:space="0" w:color="auto"/>
        <w:bottom w:val="none" w:sz="0" w:space="0" w:color="auto"/>
        <w:right w:val="none" w:sz="0" w:space="0" w:color="auto"/>
      </w:divBdr>
    </w:div>
    <w:div w:id="1038819362">
      <w:bodyDiv w:val="1"/>
      <w:marLeft w:val="0"/>
      <w:marRight w:val="0"/>
      <w:marTop w:val="0"/>
      <w:marBottom w:val="0"/>
      <w:divBdr>
        <w:top w:val="none" w:sz="0" w:space="0" w:color="auto"/>
        <w:left w:val="none" w:sz="0" w:space="0" w:color="auto"/>
        <w:bottom w:val="none" w:sz="0" w:space="0" w:color="auto"/>
        <w:right w:val="none" w:sz="0" w:space="0" w:color="auto"/>
      </w:divBdr>
    </w:div>
    <w:div w:id="1231500477">
      <w:bodyDiv w:val="1"/>
      <w:marLeft w:val="0"/>
      <w:marRight w:val="0"/>
      <w:marTop w:val="0"/>
      <w:marBottom w:val="0"/>
      <w:divBdr>
        <w:top w:val="none" w:sz="0" w:space="0" w:color="auto"/>
        <w:left w:val="none" w:sz="0" w:space="0" w:color="auto"/>
        <w:bottom w:val="none" w:sz="0" w:space="0" w:color="auto"/>
        <w:right w:val="none" w:sz="0" w:space="0" w:color="auto"/>
      </w:divBdr>
    </w:div>
    <w:div w:id="1395354286">
      <w:bodyDiv w:val="1"/>
      <w:marLeft w:val="0"/>
      <w:marRight w:val="0"/>
      <w:marTop w:val="0"/>
      <w:marBottom w:val="0"/>
      <w:divBdr>
        <w:top w:val="none" w:sz="0" w:space="0" w:color="auto"/>
        <w:left w:val="none" w:sz="0" w:space="0" w:color="auto"/>
        <w:bottom w:val="none" w:sz="0" w:space="0" w:color="auto"/>
        <w:right w:val="none" w:sz="0" w:space="0" w:color="auto"/>
      </w:divBdr>
    </w:div>
    <w:div w:id="1736857786">
      <w:bodyDiv w:val="1"/>
      <w:marLeft w:val="0"/>
      <w:marRight w:val="0"/>
      <w:marTop w:val="0"/>
      <w:marBottom w:val="0"/>
      <w:divBdr>
        <w:top w:val="none" w:sz="0" w:space="0" w:color="auto"/>
        <w:left w:val="none" w:sz="0" w:space="0" w:color="auto"/>
        <w:bottom w:val="none" w:sz="0" w:space="0" w:color="auto"/>
        <w:right w:val="none" w:sz="0" w:space="0" w:color="auto"/>
      </w:divBdr>
    </w:div>
    <w:div w:id="21003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na.Feldmane@t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pt.coe.int/documents/lva/2008-15-inf-eng.htm"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52B6C-3F0D-457C-B0BA-4E98A6B6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23573</Words>
  <Characters>13438</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Informatīvais ziņojums par gadījumiem, kad konstatēti pārkāpumi sūdzību par iespējamu vardarbību, ko izdarījušas valsts amatpersonas, pildot dienesta pienākumus, efektīvā izmeklēšanā</vt:lpstr>
    </vt:vector>
  </TitlesOfParts>
  <Company>Tieslietu Ministrija</Company>
  <LinksUpToDate>false</LinksUpToDate>
  <CharactersWithSpaces>36938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gadījumiem, kad konstatēti pārkāpumi sūdzību par iespējamu vardarbību, ko izdarījušas valsts amatpersonas, pildot dienesta pienākumus, efektīvā izmeklēšanā</dc:title>
  <dc:creator>Elīna Feldmane</dc:creator>
  <dc:description>Elina.Feldmane@tm.gov.lv
67046102</dc:description>
  <cp:lastModifiedBy>Erika Inkina</cp:lastModifiedBy>
  <cp:revision>3</cp:revision>
  <cp:lastPrinted>2014-03-03T12:05:00Z</cp:lastPrinted>
  <dcterms:created xsi:type="dcterms:W3CDTF">2014-05-10T12:18:00Z</dcterms:created>
  <dcterms:modified xsi:type="dcterms:W3CDTF">2014-05-10T12:19:00Z</dcterms:modified>
</cp:coreProperties>
</file>