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12" w:rsidRDefault="00C61512" w:rsidP="00C61512">
      <w:pPr>
        <w:spacing w:after="0" w:line="240" w:lineRule="auto"/>
        <w:jc w:val="center"/>
        <w:rPr>
          <w:rFonts w:ascii="Times New Roman" w:hAnsi="Times New Roman"/>
          <w:b/>
          <w:sz w:val="24"/>
          <w:szCs w:val="24"/>
        </w:rPr>
      </w:pPr>
      <w:r w:rsidRPr="00C61512">
        <w:rPr>
          <w:rFonts w:ascii="Times New Roman" w:hAnsi="Times New Roman"/>
          <w:b/>
          <w:sz w:val="24"/>
          <w:szCs w:val="24"/>
        </w:rPr>
        <w:t xml:space="preserve">Informatīvai ziņojums </w:t>
      </w:r>
    </w:p>
    <w:p w:rsidR="00C61512" w:rsidRDefault="00C61512" w:rsidP="00C61512">
      <w:pPr>
        <w:spacing w:after="0" w:line="240" w:lineRule="auto"/>
        <w:jc w:val="center"/>
        <w:rPr>
          <w:rFonts w:ascii="Times New Roman" w:hAnsi="Times New Roman"/>
          <w:b/>
          <w:sz w:val="24"/>
          <w:szCs w:val="24"/>
        </w:rPr>
      </w:pPr>
      <w:r w:rsidRPr="00C61512">
        <w:rPr>
          <w:rFonts w:ascii="Times New Roman" w:hAnsi="Times New Roman"/>
          <w:b/>
          <w:sz w:val="24"/>
          <w:szCs w:val="24"/>
        </w:rPr>
        <w:t>par Tieslietu ministrijas darba grupas Kriminālprocesa likuma grozījumu izstrādei izdarītajiem secinājumiem, izvērtējot Eiropas Cilvēktiesību tiesas spriedum</w:t>
      </w:r>
      <w:r>
        <w:rPr>
          <w:rFonts w:ascii="Times New Roman" w:hAnsi="Times New Roman"/>
          <w:b/>
          <w:sz w:val="24"/>
          <w:szCs w:val="24"/>
        </w:rPr>
        <w:t>u lietā</w:t>
      </w:r>
      <w:r w:rsidRPr="00C61512">
        <w:rPr>
          <w:rFonts w:ascii="Times New Roman" w:hAnsi="Times New Roman"/>
          <w:b/>
          <w:sz w:val="24"/>
          <w:szCs w:val="24"/>
        </w:rPr>
        <w:t xml:space="preserve"> „Baltiņš pret Latviju”</w:t>
      </w:r>
      <w:r>
        <w:rPr>
          <w:rFonts w:ascii="Times New Roman" w:hAnsi="Times New Roman"/>
          <w:b/>
          <w:sz w:val="24"/>
          <w:szCs w:val="24"/>
        </w:rPr>
        <w:t xml:space="preserve"> un </w:t>
      </w:r>
      <w:r w:rsidRPr="00C61512">
        <w:rPr>
          <w:rFonts w:ascii="Times New Roman" w:hAnsi="Times New Roman"/>
          <w:b/>
          <w:sz w:val="24"/>
          <w:szCs w:val="24"/>
        </w:rPr>
        <w:t>spēkā esošo normatīvo regulējumu, kas nosaka tiesas kā kriminālprocesa virzītāja kompetenci, pārbaudot un izvērtējot operatīvās darbības pasākumu rezultātā iegūtos pierādījumus</w:t>
      </w:r>
    </w:p>
    <w:p w:rsidR="00C61512" w:rsidRDefault="00C61512" w:rsidP="00C61512">
      <w:pPr>
        <w:spacing w:after="0" w:line="240" w:lineRule="auto"/>
        <w:ind w:firstLine="720"/>
        <w:jc w:val="both"/>
        <w:rPr>
          <w:rFonts w:ascii="Times New Roman" w:hAnsi="Times New Roman"/>
          <w:b/>
          <w:sz w:val="24"/>
          <w:szCs w:val="24"/>
        </w:rPr>
      </w:pPr>
    </w:p>
    <w:p w:rsidR="00556D57" w:rsidRDefault="00556D57" w:rsidP="00C61512">
      <w:pPr>
        <w:spacing w:after="0" w:line="240" w:lineRule="auto"/>
        <w:ind w:firstLine="720"/>
        <w:jc w:val="both"/>
        <w:rPr>
          <w:rFonts w:ascii="Times New Roman" w:hAnsi="Times New Roman"/>
          <w:b/>
          <w:sz w:val="24"/>
          <w:szCs w:val="24"/>
        </w:rPr>
      </w:pPr>
    </w:p>
    <w:p w:rsidR="00556D57" w:rsidRDefault="00556D57" w:rsidP="00556D57">
      <w:pPr>
        <w:spacing w:after="0" w:line="240" w:lineRule="auto"/>
        <w:ind w:firstLine="720"/>
        <w:jc w:val="both"/>
        <w:rPr>
          <w:rFonts w:ascii="Times New Roman" w:hAnsi="Times New Roman"/>
          <w:color w:val="000000"/>
          <w:sz w:val="24"/>
          <w:szCs w:val="17"/>
        </w:rPr>
      </w:pPr>
      <w:r>
        <w:rPr>
          <w:rFonts w:ascii="Times New Roman" w:hAnsi="Times New Roman"/>
          <w:sz w:val="24"/>
          <w:szCs w:val="24"/>
        </w:rPr>
        <w:t>A</w:t>
      </w:r>
      <w:r w:rsidRPr="007927ED">
        <w:rPr>
          <w:rFonts w:ascii="Times New Roman" w:hAnsi="Times New Roman"/>
          <w:sz w:val="24"/>
          <w:szCs w:val="24"/>
        </w:rPr>
        <w:t>r Ministru kabineta 2013.gada 2.aprīļa</w:t>
      </w:r>
      <w:r>
        <w:rPr>
          <w:rFonts w:ascii="Times New Roman" w:hAnsi="Times New Roman"/>
          <w:sz w:val="24"/>
          <w:szCs w:val="24"/>
        </w:rPr>
        <w:t xml:space="preserve"> sēdes</w:t>
      </w:r>
      <w:r w:rsidRPr="007927ED">
        <w:rPr>
          <w:rFonts w:ascii="Times New Roman" w:hAnsi="Times New Roman"/>
          <w:sz w:val="24"/>
          <w:szCs w:val="24"/>
        </w:rPr>
        <w:t xml:space="preserve"> protokola Nr.17 57.§</w:t>
      </w:r>
      <w:r>
        <w:rPr>
          <w:rFonts w:ascii="Times New Roman" w:hAnsi="Times New Roman"/>
          <w:sz w:val="24"/>
          <w:szCs w:val="24"/>
        </w:rPr>
        <w:t xml:space="preserve"> (turpmāk – MK sēdes protokols) </w:t>
      </w:r>
      <w:proofErr w:type="gramStart"/>
      <w:r>
        <w:rPr>
          <w:rFonts w:ascii="Times New Roman" w:hAnsi="Times New Roman"/>
          <w:sz w:val="24"/>
          <w:szCs w:val="24"/>
        </w:rPr>
        <w:t>4.punktu</w:t>
      </w:r>
      <w:r w:rsidRPr="007927ED">
        <w:rPr>
          <w:rFonts w:ascii="Times New Roman" w:hAnsi="Times New Roman"/>
          <w:sz w:val="24"/>
          <w:szCs w:val="24"/>
        </w:rPr>
        <w:t xml:space="preserve"> </w:t>
      </w:r>
      <w:r w:rsidRPr="002952CE">
        <w:rPr>
          <w:rFonts w:ascii="Times New Roman" w:hAnsi="Times New Roman"/>
          <w:color w:val="000000"/>
          <w:sz w:val="24"/>
          <w:szCs w:val="17"/>
        </w:rPr>
        <w:t>Tieslietu ministrijas Pastāvīgajai darba grupai Kriminālprocesa likuma grozījumu izstrādei</w:t>
      </w:r>
      <w:proofErr w:type="gramEnd"/>
      <w:r>
        <w:rPr>
          <w:rFonts w:ascii="Times New Roman" w:hAnsi="Times New Roman"/>
          <w:color w:val="000000"/>
          <w:sz w:val="24"/>
          <w:szCs w:val="17"/>
        </w:rPr>
        <w:t xml:space="preserve"> (turpmāk – KPL darba grupa)</w:t>
      </w:r>
      <w:r w:rsidRPr="002952CE">
        <w:rPr>
          <w:rFonts w:ascii="Times New Roman" w:hAnsi="Times New Roman"/>
          <w:color w:val="000000"/>
          <w:sz w:val="24"/>
          <w:szCs w:val="17"/>
        </w:rPr>
        <w:t>, pieaicinot Ministru kabineta pārstāvja starptautiskajās cilvēktiesību institūcijās biroju</w:t>
      </w:r>
      <w:r>
        <w:rPr>
          <w:rFonts w:ascii="Times New Roman" w:hAnsi="Times New Roman"/>
          <w:color w:val="000000"/>
          <w:sz w:val="24"/>
          <w:szCs w:val="17"/>
        </w:rPr>
        <w:t xml:space="preserve"> </w:t>
      </w:r>
      <w:r w:rsidRPr="007927ED">
        <w:rPr>
          <w:rFonts w:ascii="Times New Roman" w:hAnsi="Times New Roman"/>
          <w:sz w:val="24"/>
          <w:szCs w:val="24"/>
        </w:rPr>
        <w:t>(turpmāk – MKPSCTI birojs)</w:t>
      </w:r>
      <w:r w:rsidRPr="002952CE">
        <w:rPr>
          <w:rFonts w:ascii="Times New Roman" w:hAnsi="Times New Roman"/>
          <w:color w:val="000000"/>
          <w:sz w:val="24"/>
          <w:szCs w:val="17"/>
        </w:rPr>
        <w:t xml:space="preserve">, </w:t>
      </w:r>
      <w:r>
        <w:rPr>
          <w:rFonts w:ascii="Times New Roman" w:hAnsi="Times New Roman"/>
          <w:color w:val="000000"/>
          <w:sz w:val="24"/>
          <w:szCs w:val="17"/>
        </w:rPr>
        <w:t xml:space="preserve">tika uzdots </w:t>
      </w:r>
      <w:r w:rsidRPr="002952CE">
        <w:rPr>
          <w:rFonts w:ascii="Times New Roman" w:hAnsi="Times New Roman"/>
          <w:color w:val="000000"/>
          <w:sz w:val="24"/>
          <w:szCs w:val="17"/>
        </w:rPr>
        <w:t>sagatavot vērtējumu par spēkā esošo normatīvo regulējumu, kas nosaka tiesas kā kriminālprocesa virzītāja kompetenci, pārbaudot un izvērtējot operatīvās darbības pasākumu rezultātā iegūtos pierādījumus. Tieslietu ministram</w:t>
      </w:r>
      <w:r>
        <w:rPr>
          <w:rFonts w:ascii="Times New Roman" w:hAnsi="Times New Roman"/>
          <w:color w:val="000000"/>
          <w:sz w:val="24"/>
          <w:szCs w:val="17"/>
        </w:rPr>
        <w:t xml:space="preserve"> uzdots</w:t>
      </w:r>
      <w:r w:rsidRPr="002952CE">
        <w:rPr>
          <w:rFonts w:ascii="Times New Roman" w:hAnsi="Times New Roman"/>
          <w:color w:val="000000"/>
          <w:sz w:val="24"/>
          <w:szCs w:val="17"/>
        </w:rPr>
        <w:t xml:space="preserve"> iesniegt izskatīšanai Ministru kabinetā informatīvo ziņojumu par </w:t>
      </w:r>
      <w:r>
        <w:rPr>
          <w:rFonts w:ascii="Times New Roman" w:hAnsi="Times New Roman"/>
          <w:color w:val="000000"/>
          <w:sz w:val="24"/>
          <w:szCs w:val="17"/>
        </w:rPr>
        <w:t>KPL darba grupas</w:t>
      </w:r>
      <w:r w:rsidRPr="002952CE">
        <w:rPr>
          <w:rFonts w:ascii="Times New Roman" w:hAnsi="Times New Roman"/>
          <w:color w:val="000000"/>
          <w:sz w:val="24"/>
          <w:szCs w:val="17"/>
        </w:rPr>
        <w:t xml:space="preserve"> secinājumiem.</w:t>
      </w:r>
    </w:p>
    <w:p w:rsidR="00556D57" w:rsidRPr="007927ED" w:rsidRDefault="00556D57" w:rsidP="00556D57">
      <w:pPr>
        <w:spacing w:after="0" w:line="240" w:lineRule="auto"/>
        <w:ind w:firstLine="720"/>
        <w:jc w:val="both"/>
        <w:rPr>
          <w:rFonts w:ascii="Times New Roman" w:hAnsi="Times New Roman"/>
          <w:sz w:val="24"/>
          <w:szCs w:val="24"/>
        </w:rPr>
      </w:pPr>
      <w:r w:rsidRPr="007927ED">
        <w:rPr>
          <w:rFonts w:ascii="Times New Roman" w:hAnsi="Times New Roman"/>
          <w:sz w:val="24"/>
          <w:szCs w:val="24"/>
        </w:rPr>
        <w:t xml:space="preserve">Minētais uzdevums saistīts ar </w:t>
      </w:r>
      <w:r>
        <w:rPr>
          <w:rFonts w:ascii="Times New Roman" w:hAnsi="Times New Roman"/>
          <w:sz w:val="24"/>
          <w:szCs w:val="24"/>
        </w:rPr>
        <w:t xml:space="preserve">Eiropas Cilvēktiesību tiesas (turpmāk – </w:t>
      </w:r>
      <w:r w:rsidRPr="007927ED">
        <w:rPr>
          <w:rFonts w:ascii="Times New Roman" w:hAnsi="Times New Roman"/>
          <w:sz w:val="24"/>
          <w:szCs w:val="24"/>
        </w:rPr>
        <w:t>ECT</w:t>
      </w:r>
      <w:r>
        <w:rPr>
          <w:rFonts w:ascii="Times New Roman" w:hAnsi="Times New Roman"/>
          <w:sz w:val="24"/>
          <w:szCs w:val="24"/>
        </w:rPr>
        <w:t>)</w:t>
      </w:r>
      <w:r w:rsidRPr="007927ED">
        <w:rPr>
          <w:rFonts w:ascii="Times New Roman" w:hAnsi="Times New Roman"/>
          <w:sz w:val="24"/>
          <w:szCs w:val="24"/>
        </w:rPr>
        <w:t xml:space="preserve"> spriedumu lietā „Baltiņš pret Latviju”, kurā vienbalsīgi tika atzīts, ka ir noticis Eiropas Cilvēka tiesību un pamatbrīvību aizsardzības konvencijas (turpmāk – Konvencija) 6.panta 1.punkta (</w:t>
      </w:r>
      <w:r w:rsidRPr="00383571">
        <w:rPr>
          <w:rFonts w:ascii="Times New Roman" w:hAnsi="Times New Roman"/>
          <w:i/>
          <w:sz w:val="24"/>
          <w:szCs w:val="24"/>
        </w:rPr>
        <w:t>tiesības uz taisnīgu tiesu</w:t>
      </w:r>
      <w:r w:rsidRPr="007927ED">
        <w:rPr>
          <w:rFonts w:ascii="Times New Roman" w:hAnsi="Times New Roman"/>
          <w:sz w:val="24"/>
          <w:szCs w:val="24"/>
        </w:rPr>
        <w:t>) pārkāpums. ECT konstatēja, ka pret iesniedzēju ierosinātā kriminālprocesa iztiesāšanas laikā Latvijas tiesas nebija pienācīgā kārtā pārbaudījušas viņa sūdzības par iespējamo provokāciju no tiesībsargājošo iestāžu puses. Atsaucoties uz Konvencijas 6.panta 1.punktu, savā 2007.gada 12.jūnija pieteikumā Tiesai iesniedzējs sūdzējās, ka operatīvā eksperimenta rezultātā viņš bija kļuvis par tiesībsargājošo iestāžu provokācijas upuri un ka kriminālprocesa iztiesāšanas laikā nav tikušas nodrošinātas viņa tiesības uz taisnīgu tiesu, jo nacionālās tiesas nebija pienācīgā kārtā izvērtējušas to pierādījumu pieļaujamību, uz kuru pamata viņš tika notiesāts. ECT savā spriedumā norādīja, ka, lai gan nacionālajām tiesām bija iespējams iepazīties ar slepenajiem operatīvo lietu materiāliem, no kriminālprocesa materiāliem nevar secināt, ka tiesas būtu mēģinājušas to darīt. Tiesa uzsvēra, ka izvērtējot sūdzības par iespējamu provokācijas gadījumu, tiesām ir jābalstās uz pārbaudītiem materiāliem, nevis tikai tiem, kurus ir iesniegusi apsūdzības puse.</w:t>
      </w:r>
    </w:p>
    <w:p w:rsidR="00556D57" w:rsidRPr="007927ED" w:rsidRDefault="00556D57" w:rsidP="00556D57">
      <w:pPr>
        <w:spacing w:after="0" w:line="240" w:lineRule="auto"/>
        <w:ind w:firstLine="720"/>
        <w:jc w:val="both"/>
        <w:rPr>
          <w:rFonts w:ascii="Times New Roman" w:hAnsi="Times New Roman"/>
          <w:sz w:val="24"/>
          <w:szCs w:val="24"/>
        </w:rPr>
      </w:pPr>
      <w:r>
        <w:rPr>
          <w:rFonts w:ascii="Times New Roman" w:hAnsi="Times New Roman"/>
          <w:sz w:val="24"/>
          <w:szCs w:val="24"/>
        </w:rPr>
        <w:t>Lai izpildītu uzdevumu, KPL darba grupā</w:t>
      </w:r>
      <w:r w:rsidRPr="007927ED">
        <w:rPr>
          <w:rFonts w:ascii="Times New Roman" w:hAnsi="Times New Roman"/>
          <w:sz w:val="24"/>
          <w:szCs w:val="24"/>
        </w:rPr>
        <w:t xml:space="preserve"> jautājums tika izskatīts </w:t>
      </w:r>
      <w:r>
        <w:rPr>
          <w:rFonts w:ascii="Times New Roman" w:hAnsi="Times New Roman"/>
          <w:sz w:val="24"/>
          <w:szCs w:val="24"/>
        </w:rPr>
        <w:t>2013.</w:t>
      </w:r>
      <w:r w:rsidRPr="007927ED">
        <w:rPr>
          <w:rFonts w:ascii="Times New Roman" w:hAnsi="Times New Roman"/>
          <w:sz w:val="24"/>
          <w:szCs w:val="24"/>
        </w:rPr>
        <w:t xml:space="preserve">gada 12.septembra, 19.septembra un 10.oktobra sēdēs. Darba grupā tika pieaicināts </w:t>
      </w:r>
      <w:r>
        <w:rPr>
          <w:rFonts w:ascii="Times New Roman" w:hAnsi="Times New Roman"/>
          <w:sz w:val="24"/>
          <w:szCs w:val="24"/>
        </w:rPr>
        <w:t>MKPSCTI biroja</w:t>
      </w:r>
      <w:r w:rsidRPr="007927ED">
        <w:rPr>
          <w:rFonts w:ascii="Times New Roman" w:hAnsi="Times New Roman"/>
          <w:sz w:val="24"/>
          <w:szCs w:val="24"/>
        </w:rPr>
        <w:t xml:space="preserve"> pārstāvis, kā arī Rīgas rajona tiesas priekšsēdētāja un Zemgales apgabaltiesas priekšsēdētāja. </w:t>
      </w:r>
    </w:p>
    <w:p w:rsidR="00556D57" w:rsidRPr="007927ED" w:rsidRDefault="00556D57" w:rsidP="00556D57">
      <w:pPr>
        <w:spacing w:after="0" w:line="240" w:lineRule="auto"/>
        <w:ind w:firstLine="720"/>
        <w:jc w:val="both"/>
        <w:rPr>
          <w:rFonts w:ascii="Times New Roman" w:hAnsi="Times New Roman"/>
          <w:sz w:val="24"/>
          <w:szCs w:val="24"/>
        </w:rPr>
      </w:pPr>
      <w:r w:rsidRPr="007927ED">
        <w:rPr>
          <w:rFonts w:ascii="Times New Roman" w:hAnsi="Times New Roman"/>
          <w:sz w:val="24"/>
          <w:szCs w:val="24"/>
        </w:rPr>
        <w:t xml:space="preserve">Diskusiju rezultātā </w:t>
      </w:r>
      <w:r>
        <w:rPr>
          <w:rFonts w:ascii="Times New Roman" w:hAnsi="Times New Roman"/>
          <w:sz w:val="24"/>
          <w:szCs w:val="24"/>
        </w:rPr>
        <w:t>darba grupa secināja, ka</w:t>
      </w:r>
      <w:r w:rsidRPr="007927ED">
        <w:rPr>
          <w:rFonts w:ascii="Times New Roman" w:hAnsi="Times New Roman"/>
          <w:sz w:val="24"/>
          <w:szCs w:val="24"/>
        </w:rPr>
        <w:t xml:space="preserve"> </w:t>
      </w:r>
      <w:r>
        <w:rPr>
          <w:rFonts w:ascii="Times New Roman" w:hAnsi="Times New Roman"/>
          <w:sz w:val="24"/>
          <w:szCs w:val="24"/>
        </w:rPr>
        <w:t xml:space="preserve">Kriminālprocesa likumā (turpmāk –KPL) </w:t>
      </w:r>
      <w:r w:rsidRPr="007927ED">
        <w:rPr>
          <w:rFonts w:ascii="Times New Roman" w:hAnsi="Times New Roman"/>
          <w:sz w:val="24"/>
          <w:szCs w:val="24"/>
        </w:rPr>
        <w:t>nav paredzēts skaidrs regulējums tam, vai un kā tiesa kā procesa virzītājs, var iepazīties ar operatīvās darbības materiāliem, ja krimināllietā kā pierādījumi tiek izmantotas operatīvās darbības pasākumos iegūtās ziņas par faktiem un procesa dalībnieki apšauba šo ziņu kā pierādījumu pieļaujamību.</w:t>
      </w:r>
    </w:p>
    <w:p w:rsidR="00556D57" w:rsidRPr="007927ED" w:rsidRDefault="00556D57" w:rsidP="00556D57">
      <w:pPr>
        <w:spacing w:after="0" w:line="240" w:lineRule="auto"/>
        <w:ind w:firstLine="720"/>
        <w:jc w:val="both"/>
        <w:rPr>
          <w:rFonts w:ascii="Times New Roman" w:hAnsi="Times New Roman"/>
          <w:sz w:val="24"/>
          <w:szCs w:val="24"/>
        </w:rPr>
      </w:pPr>
      <w:r w:rsidRPr="007927ED">
        <w:rPr>
          <w:rFonts w:ascii="Times New Roman" w:hAnsi="Times New Roman"/>
          <w:sz w:val="24"/>
          <w:szCs w:val="24"/>
        </w:rPr>
        <w:t xml:space="preserve">Šobrīd spēkā esošā Operatīvās darbības likuma (turpmāk – ODL) 24.panta ceturtā daļa paredz, ka, „veicot operatīvo darbību krimināllietā, ar visu operatīvās darbības procesā iegūto informāciju šajā lietā jāiepazīstina kriminālprocesa virzītājs.” No minētā secināms, ka tiesai kā procesa virzītājam pastāv pamats pieprasīt operatīvās darbības lietas materiālus, ja procesa dalībnieki norāda uz iespējamiem pārkāpumiem vai apšauba pierādījumu pieļaujamību. Tomēr KPL 2.pants ODL nav paredzējis kā vienu no kriminālprocesa tiesību avotiem, tāpēc secināms, ka, lai tiesai būtu iespējams veikt attiecīgo operatīvās darbības materiālu pārbaudi, ir nepieciešams paredzēt šīs kārtības procesuālo regulējumu, to nosakot KPL. </w:t>
      </w:r>
    </w:p>
    <w:p w:rsidR="00556D57" w:rsidRPr="007927ED" w:rsidRDefault="00556D57" w:rsidP="00556D5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Darba grupa, izvērtējot normatīvo regulējumu, diskusiju rezultātā izstrādāja grozījumus, kas</w:t>
      </w:r>
      <w:r w:rsidRPr="007927ED">
        <w:rPr>
          <w:rFonts w:ascii="Times New Roman" w:hAnsi="Times New Roman"/>
          <w:sz w:val="24"/>
          <w:szCs w:val="24"/>
        </w:rPr>
        <w:t xml:space="preserve"> paredz papildināt KPL 500.pantu ar ceturto daļu, lai noteiktu, ka, saņemot motivētu prokurora, cietušā, apsūdzētā vai viņa aizstāvja lūgumu, tiesa var iepazīties ar operatīvās darbības materiāliem, kas nav pievienoti krimināllietai un kas attiecas uz pierādīšanas priekšmetu. Būtiski norādīt, ka šādas tiesības iepazīties ar operatīvās darbības materiāliem tiek paredzētas tikai tiesai. Minētais pamatojams ar to, ka saskaņā ar ODL 24.panta pirmo daļu operatīvās darbības pasākumu gaitā iegūtā informācija ir klasificējama kā ierobežotas pieejamības informācija vai valsts noslēpuma objekts, bet atbilstoši ODL 8.panta trešajai daļai operatīvās darbības pasākumu organizācija, metodika un taktika ir valsts noslēpums. Ņemot vērā, ka operatīvās darbības lietas materiāli var saturēt arī tādu informāciju, kas var atklāt, piemēram, operatīvās darbības subjekta amatpersonas identitāti, nav pieļaujams, ka šāda informācija </w:t>
      </w:r>
      <w:r>
        <w:rPr>
          <w:rFonts w:ascii="Times New Roman" w:hAnsi="Times New Roman"/>
          <w:sz w:val="24"/>
          <w:szCs w:val="24"/>
        </w:rPr>
        <w:t>kļūst</w:t>
      </w:r>
      <w:r w:rsidRPr="007927ED">
        <w:rPr>
          <w:rFonts w:ascii="Times New Roman" w:hAnsi="Times New Roman"/>
          <w:sz w:val="24"/>
          <w:szCs w:val="24"/>
        </w:rPr>
        <w:t xml:space="preserve"> pieejama arī lietas dalībniekiem, tai skaitā apsūdzētajam. </w:t>
      </w:r>
    </w:p>
    <w:p w:rsidR="00556D57" w:rsidRPr="007927ED" w:rsidRDefault="00556D57" w:rsidP="00556D57">
      <w:pPr>
        <w:spacing w:after="0" w:line="240" w:lineRule="auto"/>
        <w:ind w:firstLine="720"/>
        <w:jc w:val="both"/>
        <w:rPr>
          <w:rFonts w:ascii="Times New Roman" w:hAnsi="Times New Roman"/>
          <w:sz w:val="24"/>
          <w:szCs w:val="24"/>
        </w:rPr>
      </w:pPr>
      <w:r w:rsidRPr="007927ED">
        <w:rPr>
          <w:rFonts w:ascii="Times New Roman" w:hAnsi="Times New Roman"/>
          <w:sz w:val="24"/>
          <w:szCs w:val="24"/>
        </w:rPr>
        <w:t>Ņemot vērā to, ka</w:t>
      </w:r>
      <w:r>
        <w:rPr>
          <w:rFonts w:ascii="Times New Roman" w:hAnsi="Times New Roman"/>
          <w:sz w:val="24"/>
          <w:szCs w:val="24"/>
        </w:rPr>
        <w:t>,</w:t>
      </w:r>
      <w:r w:rsidRPr="007927ED">
        <w:rPr>
          <w:rFonts w:ascii="Times New Roman" w:hAnsi="Times New Roman"/>
          <w:sz w:val="24"/>
          <w:szCs w:val="24"/>
        </w:rPr>
        <w:t xml:space="preserve"> tiesai, iepazīstoties ar operatīvās darbības lietas materiāliem, netiek iegūti jauni pierādījumi, bet pārbaudīta lietā esošo pierādījumu ticamība, </w:t>
      </w:r>
      <w:proofErr w:type="spellStart"/>
      <w:r w:rsidRPr="007927ED">
        <w:rPr>
          <w:rFonts w:ascii="Times New Roman" w:hAnsi="Times New Roman"/>
          <w:sz w:val="24"/>
          <w:szCs w:val="24"/>
        </w:rPr>
        <w:t>attiecināmība</w:t>
      </w:r>
      <w:proofErr w:type="spellEnd"/>
      <w:r w:rsidRPr="007927ED">
        <w:rPr>
          <w:rFonts w:ascii="Times New Roman" w:hAnsi="Times New Roman"/>
          <w:sz w:val="24"/>
          <w:szCs w:val="24"/>
        </w:rPr>
        <w:t xml:space="preserve"> un pieļaujamība, kā arī to, ka šie materiāli ir valsts noslēpuma objekts, pēc iepazīšanās ar operatīvās darbības materiāliem, tiesa krimināllietas materiālos un nolēmumā norāda, ka šie operatīvās darbības materiāli ir tikuši izvērtēti. Minētais regulējums atbilst šobrīd spēkā esošajam KPL regulējumam, kas ietverts KPL 320.panta 5.</w:t>
      </w:r>
      <w:r w:rsidRPr="007927ED">
        <w:rPr>
          <w:rFonts w:ascii="Times New Roman" w:hAnsi="Times New Roman"/>
          <w:sz w:val="24"/>
          <w:szCs w:val="24"/>
          <w:vertAlign w:val="superscript"/>
        </w:rPr>
        <w:t>1</w:t>
      </w:r>
      <w:r w:rsidRPr="007927ED">
        <w:rPr>
          <w:rFonts w:ascii="Times New Roman" w:hAnsi="Times New Roman"/>
          <w:sz w:val="24"/>
          <w:szCs w:val="24"/>
        </w:rPr>
        <w:t xml:space="preserve"> daļā un nosaka, ka nolēmumā netiek ietverta informācija, kas ir valsts noslēpuma objekts, bet, ja šāda informācija tiek izmantota kā pierādījums, tad nolēmumā norāda, ka šī informācija ir izvērtēta. </w:t>
      </w:r>
    </w:p>
    <w:p w:rsidR="00556D57" w:rsidRPr="007927ED" w:rsidRDefault="00556D57" w:rsidP="00556D57">
      <w:pPr>
        <w:spacing w:after="0" w:line="240" w:lineRule="auto"/>
        <w:ind w:firstLine="720"/>
        <w:jc w:val="both"/>
        <w:rPr>
          <w:rFonts w:ascii="Times New Roman" w:hAnsi="Times New Roman"/>
          <w:sz w:val="24"/>
          <w:szCs w:val="24"/>
        </w:rPr>
      </w:pPr>
      <w:r w:rsidRPr="007927ED">
        <w:rPr>
          <w:rFonts w:ascii="Times New Roman" w:hAnsi="Times New Roman"/>
          <w:sz w:val="24"/>
          <w:szCs w:val="24"/>
        </w:rPr>
        <w:t xml:space="preserve">Ar minētajiem grozījumiem tiek radīts procesuāls regulējums, lai tiesa pēc motivēta procesa dalībnieku lūguma saņemšanas varētu iepazīties ar tiem operatīvās lietas materiāliem, kas nav pievienoti krimināllietai un kas attiecas uz pierādīšanas priekšmetu. Lai arī Augstākās tiesas Senāta Krimināllietu departaments savā 2006.gada 27.aprīļa spriedumā lietā </w:t>
      </w:r>
      <w:proofErr w:type="spellStart"/>
      <w:r>
        <w:rPr>
          <w:rFonts w:ascii="Times New Roman" w:hAnsi="Times New Roman"/>
          <w:sz w:val="24"/>
          <w:szCs w:val="24"/>
        </w:rPr>
        <w:t>Nr.SKK-</w:t>
      </w:r>
      <w:r w:rsidRPr="007927ED">
        <w:rPr>
          <w:rFonts w:ascii="Times New Roman" w:hAnsi="Times New Roman"/>
          <w:sz w:val="24"/>
          <w:szCs w:val="24"/>
        </w:rPr>
        <w:t>238</w:t>
      </w:r>
      <w:proofErr w:type="spellEnd"/>
      <w:r w:rsidRPr="007927ED">
        <w:rPr>
          <w:rFonts w:ascii="Times New Roman" w:hAnsi="Times New Roman"/>
          <w:sz w:val="24"/>
          <w:szCs w:val="24"/>
        </w:rPr>
        <w:t xml:space="preserve">/06 ir secinājis, ka „ar operatīvās lietas materiāliem tiesai nav jāiepazīstas, jo šādu kārtību neparedz Kriminālprocesa likums un šādai proceduārai nekādā gadījumā nebūtu pierādījumu nozīme lietā”, </w:t>
      </w:r>
      <w:r>
        <w:rPr>
          <w:rFonts w:ascii="Times New Roman" w:hAnsi="Times New Roman"/>
          <w:sz w:val="24"/>
          <w:szCs w:val="24"/>
        </w:rPr>
        <w:t xml:space="preserve">KPL </w:t>
      </w:r>
      <w:r w:rsidRPr="007927ED">
        <w:rPr>
          <w:rFonts w:ascii="Times New Roman" w:hAnsi="Times New Roman"/>
          <w:sz w:val="24"/>
          <w:szCs w:val="24"/>
        </w:rPr>
        <w:t xml:space="preserve">darba grupā, konsultējoties ar MKPSCTI biroja pārstāvjiem, tika secināts, ka skaidra regulējuma neesamība var </w:t>
      </w:r>
      <w:proofErr w:type="spellStart"/>
      <w:r w:rsidRPr="007927ED">
        <w:rPr>
          <w:rFonts w:ascii="Times New Roman" w:hAnsi="Times New Roman"/>
          <w:sz w:val="24"/>
          <w:szCs w:val="24"/>
        </w:rPr>
        <w:t>rezultēties</w:t>
      </w:r>
      <w:proofErr w:type="spellEnd"/>
      <w:r w:rsidRPr="007927ED">
        <w:rPr>
          <w:rFonts w:ascii="Times New Roman" w:hAnsi="Times New Roman"/>
          <w:sz w:val="24"/>
          <w:szCs w:val="24"/>
        </w:rPr>
        <w:t xml:space="preserve"> arī turpmākos Konvencijas pārkāpumos un radīt negatīvas sekas Latvijai, ja atkārtoti tiks konstatēti līdzīgi pārkāpumi kā lietā „Baltiņš pret Latviju”. </w:t>
      </w:r>
    </w:p>
    <w:p w:rsidR="00383571" w:rsidRDefault="00556D57" w:rsidP="00556D57">
      <w:pPr>
        <w:pStyle w:val="Pamatteksts"/>
        <w:spacing w:after="0"/>
        <w:jc w:val="both"/>
        <w:rPr>
          <w:lang w:val="lv-LV"/>
        </w:rPr>
      </w:pPr>
      <w:r>
        <w:tab/>
      </w:r>
      <w:r>
        <w:rPr>
          <w:lang w:val="lv-LV"/>
        </w:rPr>
        <w:t>Ievērojot minēto, KPL darba grupa ir sagatavojusi grozījumu</w:t>
      </w:r>
      <w:r>
        <w:t>, kas paredz KPL 500.pantu papildināt ar ceturto daļu šādā redakcijā</w:t>
      </w:r>
      <w:r>
        <w:rPr>
          <w:lang w:val="lv-LV"/>
        </w:rPr>
        <w:t>: „</w:t>
      </w:r>
      <w:r w:rsidRPr="00FD1C59">
        <w:rPr>
          <w:rFonts w:cs="Times New Roman"/>
          <w:i/>
          <w:noProof/>
          <w:lang w:val="lv-LV"/>
        </w:rPr>
        <w:t>(4) Ja krimināllietā kā pierādījumu izmanto operatīvās darbības pasākumos iegūtās ziņas, tikai tiesa pēc prokurora, cietušā, apsūdzētā vai viņa aizstāvja motivēta lūguma var iepazīties ar operatīvās darbības materiāliem, kas nav pievienoti krimināllietai un kas attiecas uz pierādīšanas priekšmetu, lietas materiālos un nolēmumā norādot, ka šie materiāli ir tikuši izvērtēti.”</w:t>
      </w:r>
      <w:r>
        <w:rPr>
          <w:rFonts w:cs="Times New Roman"/>
          <w:noProof/>
          <w:lang w:val="lv-LV"/>
        </w:rPr>
        <w:t>.</w:t>
      </w:r>
      <w:r>
        <w:t xml:space="preserve"> </w:t>
      </w:r>
      <w:r>
        <w:rPr>
          <w:lang w:val="lv-LV"/>
        </w:rPr>
        <w:tab/>
      </w:r>
    </w:p>
    <w:p w:rsidR="00556D57" w:rsidRDefault="00383571" w:rsidP="00556D57">
      <w:pPr>
        <w:pStyle w:val="Pamatteksts"/>
        <w:spacing w:after="0"/>
        <w:jc w:val="both"/>
        <w:rPr>
          <w:lang w:val="lv-LV"/>
        </w:rPr>
      </w:pPr>
      <w:r>
        <w:rPr>
          <w:lang w:val="lv-LV"/>
        </w:rPr>
        <w:tab/>
      </w:r>
      <w:r w:rsidR="00556D57">
        <w:rPr>
          <w:lang w:val="lv-LV"/>
        </w:rPr>
        <w:t xml:space="preserve">Sagatavotais grozījums </w:t>
      </w:r>
      <w:r w:rsidR="00556D57">
        <w:t>kā priekšlikum</w:t>
      </w:r>
      <w:r w:rsidR="00556D57">
        <w:rPr>
          <w:lang w:val="lv-LV"/>
        </w:rPr>
        <w:t>s</w:t>
      </w:r>
      <w:r w:rsidR="00556D57">
        <w:t xml:space="preserve"> ir </w:t>
      </w:r>
      <w:proofErr w:type="gramStart"/>
      <w:r w:rsidR="00556D57">
        <w:t>i</w:t>
      </w:r>
      <w:r w:rsidR="00556D57">
        <w:rPr>
          <w:lang w:val="lv-LV"/>
        </w:rPr>
        <w:t xml:space="preserve">esniegts </w:t>
      </w:r>
      <w:r w:rsidR="00556D57">
        <w:t>Saeim</w:t>
      </w:r>
      <w:r w:rsidR="00556D57">
        <w:rPr>
          <w:lang w:val="lv-LV"/>
        </w:rPr>
        <w:t>as Juridiskajā komisijā</w:t>
      </w:r>
      <w:r w:rsidR="00556D57">
        <w:t xml:space="preserve"> pie likumprojekta „Grozījumi Kriminālprocesa likumā”</w:t>
      </w:r>
      <w:proofErr w:type="gramEnd"/>
      <w:r w:rsidR="00556D57">
        <w:t xml:space="preserve"> (Saeimas reģ.Nr.745/Lp11). </w:t>
      </w:r>
      <w:r w:rsidR="00556D57">
        <w:rPr>
          <w:lang w:val="lv-LV"/>
        </w:rPr>
        <w:tab/>
      </w:r>
    </w:p>
    <w:p w:rsidR="003E5613" w:rsidRDefault="003E5613" w:rsidP="00556D57">
      <w:pPr>
        <w:pStyle w:val="Pamatteksts"/>
        <w:spacing w:after="0"/>
        <w:jc w:val="both"/>
        <w:rPr>
          <w:lang w:val="lv-LV"/>
        </w:rPr>
      </w:pPr>
    </w:p>
    <w:p w:rsidR="003E5613" w:rsidRDefault="003E5613" w:rsidP="00556D57">
      <w:pPr>
        <w:pStyle w:val="Pamatteksts"/>
        <w:spacing w:after="0"/>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3E5613" w:rsidTr="003E5613">
        <w:tc>
          <w:tcPr>
            <w:tcW w:w="4785" w:type="dxa"/>
          </w:tcPr>
          <w:p w:rsidR="003E5613" w:rsidRDefault="003E5613" w:rsidP="00556D57">
            <w:pPr>
              <w:pStyle w:val="Pamatteksts"/>
              <w:spacing w:after="0"/>
              <w:jc w:val="both"/>
              <w:rPr>
                <w:lang w:val="lv-LV"/>
              </w:rPr>
            </w:pPr>
            <w:r>
              <w:rPr>
                <w:lang w:val="lv-LV"/>
              </w:rPr>
              <w:t>Tieslietu ministre</w:t>
            </w:r>
          </w:p>
        </w:tc>
        <w:tc>
          <w:tcPr>
            <w:tcW w:w="4785" w:type="dxa"/>
          </w:tcPr>
          <w:p w:rsidR="003E5613" w:rsidRDefault="003E5613" w:rsidP="003E5613">
            <w:pPr>
              <w:pStyle w:val="Pamatteksts"/>
              <w:spacing w:after="0"/>
              <w:jc w:val="right"/>
              <w:rPr>
                <w:lang w:val="lv-LV"/>
              </w:rPr>
            </w:pPr>
            <w:proofErr w:type="spellStart"/>
            <w:r>
              <w:rPr>
                <w:lang w:val="lv-LV"/>
              </w:rPr>
              <w:t>B.Broka</w:t>
            </w:r>
            <w:proofErr w:type="spellEnd"/>
          </w:p>
        </w:tc>
      </w:tr>
    </w:tbl>
    <w:p w:rsidR="003E5613" w:rsidRDefault="003E5613" w:rsidP="00556D57">
      <w:pPr>
        <w:pStyle w:val="Pamatteksts"/>
        <w:spacing w:after="0"/>
        <w:jc w:val="both"/>
        <w:rPr>
          <w:lang w:val="lv-LV"/>
        </w:rPr>
      </w:pPr>
    </w:p>
    <w:p w:rsidR="008E36AE" w:rsidRDefault="008E36AE" w:rsidP="008E36AE">
      <w:pPr>
        <w:pStyle w:val="Pamattekstsaratkpi"/>
        <w:tabs>
          <w:tab w:val="left" w:pos="567"/>
        </w:tabs>
        <w:spacing w:after="0"/>
        <w:ind w:left="0" w:right="-1"/>
        <w:jc w:val="both"/>
      </w:pPr>
    </w:p>
    <w:p w:rsidR="008E36AE" w:rsidRPr="00D16E0A" w:rsidRDefault="008E36AE" w:rsidP="008E36AE">
      <w:pPr>
        <w:pStyle w:val="Pamattekstsaratkpi"/>
        <w:tabs>
          <w:tab w:val="left" w:pos="567"/>
        </w:tabs>
        <w:spacing w:after="0"/>
        <w:ind w:left="0" w:right="-1"/>
        <w:jc w:val="both"/>
        <w:rPr>
          <w:sz w:val="20"/>
        </w:rPr>
      </w:pPr>
      <w:r>
        <w:rPr>
          <w:sz w:val="20"/>
        </w:rPr>
        <w:t xml:space="preserve">25.02.2014. </w:t>
      </w:r>
      <w:r w:rsidR="00B07BE1">
        <w:rPr>
          <w:sz w:val="20"/>
        </w:rPr>
        <w:t>16:16</w:t>
      </w:r>
    </w:p>
    <w:p w:rsidR="008E36AE" w:rsidRPr="00D16E0A" w:rsidRDefault="008E36AE" w:rsidP="008E36AE">
      <w:pPr>
        <w:pStyle w:val="Pamattekstsaratkpi"/>
        <w:tabs>
          <w:tab w:val="left" w:pos="567"/>
        </w:tabs>
        <w:spacing w:after="0"/>
        <w:ind w:left="0" w:right="-1"/>
        <w:jc w:val="both"/>
        <w:rPr>
          <w:sz w:val="20"/>
        </w:rPr>
      </w:pPr>
      <w:r>
        <w:rPr>
          <w:sz w:val="20"/>
        </w:rPr>
        <w:t>888</w:t>
      </w:r>
    </w:p>
    <w:p w:rsidR="008E36AE" w:rsidRPr="00D16E0A" w:rsidRDefault="008E36AE" w:rsidP="008E36AE">
      <w:pPr>
        <w:pStyle w:val="Pamattekstsaratkpi"/>
        <w:tabs>
          <w:tab w:val="left" w:pos="567"/>
        </w:tabs>
        <w:spacing w:after="0"/>
        <w:ind w:left="0" w:right="-1"/>
        <w:jc w:val="both"/>
        <w:rPr>
          <w:sz w:val="20"/>
        </w:rPr>
      </w:pPr>
      <w:r w:rsidRPr="00D16E0A">
        <w:rPr>
          <w:sz w:val="20"/>
        </w:rPr>
        <w:t>E.Feldmane</w:t>
      </w:r>
    </w:p>
    <w:p w:rsidR="003E5613" w:rsidRDefault="008E36AE" w:rsidP="00556D57">
      <w:pPr>
        <w:pStyle w:val="Pamatteksts"/>
        <w:spacing w:after="0"/>
        <w:jc w:val="both"/>
        <w:rPr>
          <w:lang w:val="lv-LV"/>
        </w:rPr>
      </w:pPr>
      <w:r w:rsidRPr="00D16E0A">
        <w:rPr>
          <w:sz w:val="20"/>
        </w:rPr>
        <w:t xml:space="preserve">67046102, </w:t>
      </w:r>
      <w:hyperlink r:id="rId8" w:history="1">
        <w:r w:rsidRPr="00D16E0A">
          <w:rPr>
            <w:rStyle w:val="Hipersaite"/>
            <w:rFonts w:eastAsia="Calibri"/>
            <w:sz w:val="20"/>
          </w:rPr>
          <w:t>Elina.Feldmane@tm.gov.lv</w:t>
        </w:r>
      </w:hyperlink>
      <w:bookmarkStart w:id="0" w:name="_GoBack"/>
      <w:bookmarkEnd w:id="0"/>
    </w:p>
    <w:sectPr w:rsidR="003E5613" w:rsidSect="002A280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AE" w:rsidRDefault="008E36AE" w:rsidP="008E36AE">
      <w:pPr>
        <w:spacing w:after="0" w:line="240" w:lineRule="auto"/>
      </w:pPr>
      <w:r>
        <w:separator/>
      </w:r>
    </w:p>
  </w:endnote>
  <w:endnote w:type="continuationSeparator" w:id="0">
    <w:p w:rsidR="008E36AE" w:rsidRDefault="008E36AE" w:rsidP="008E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AE" w:rsidRDefault="008E36AE" w:rsidP="008E36AE">
    <w:pPr>
      <w:spacing w:after="0" w:line="240" w:lineRule="auto"/>
      <w:jc w:val="both"/>
      <w:rPr>
        <w:rFonts w:ascii="Times New Roman" w:hAnsi="Times New Roman"/>
        <w:sz w:val="20"/>
        <w:szCs w:val="20"/>
      </w:rPr>
    </w:pPr>
  </w:p>
  <w:p w:rsidR="008E36AE" w:rsidRPr="008E36AE" w:rsidRDefault="008E36AE" w:rsidP="008E36AE">
    <w:pPr>
      <w:spacing w:after="0" w:line="240" w:lineRule="auto"/>
      <w:jc w:val="both"/>
      <w:rPr>
        <w:rFonts w:ascii="Times New Roman" w:hAnsi="Times New Roman"/>
        <w:sz w:val="20"/>
        <w:szCs w:val="20"/>
      </w:rPr>
    </w:pPr>
    <w:r w:rsidRPr="008E36AE">
      <w:rPr>
        <w:rFonts w:ascii="Times New Roman" w:hAnsi="Times New Roman"/>
        <w:sz w:val="20"/>
        <w:szCs w:val="20"/>
      </w:rPr>
      <w:t>TMZino_250214_Baltins; Informatīvai ziņojums par Tieslietu ministrijas darba grupas Kriminālprocesa likuma grozījumu izstrādei izdarītajiem secinājumiem, izvērtējot Eiropas Cilvēktiesību tiesas spriedumu lietā „Baltiņš pret Latviju” un spēkā esošo normatīvo regulējumu, kas nosaka tiesas kā kriminālprocesa virzītāja kompetenci, pārbaudot un izvērtējot operatīvās darbības pasākumu rezultātā iegūtos pierādījumus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C1" w:rsidRPr="002A280C" w:rsidRDefault="00C635C1" w:rsidP="002A280C">
    <w:pPr>
      <w:pStyle w:val="Kjene"/>
      <w:jc w:val="both"/>
      <w:rPr>
        <w:rFonts w:ascii="Times New Roman" w:hAnsi="Times New Roman"/>
        <w:sz w:val="20"/>
        <w:szCs w:val="20"/>
      </w:rPr>
    </w:pPr>
    <w:r w:rsidRPr="002A280C">
      <w:rPr>
        <w:rFonts w:ascii="Times New Roman" w:hAnsi="Times New Roman"/>
        <w:sz w:val="20"/>
        <w:szCs w:val="20"/>
      </w:rPr>
      <w:t>TMZino_250214_Baltins; Informatīvai ziņojums par Tieslietu ministrijas darba grupas Kriminālprocesa likuma grozījumu izstrādei izdarītajiem secinājumiem, izvērtējot Eiropas Cilvēktiesību tiesas spriedumu lietā „Baltiņš pret Latviju” un spēkā esošo normatīvo regulējumu, kas nosaka tiesas kā kriminālprocesa virzītāja kompetenci, pārbaudot un izvērtējot operatīvās darbības pasākumu rezultātā iegūtos pierādījumus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AE" w:rsidRDefault="008E36AE" w:rsidP="008E36AE">
      <w:pPr>
        <w:spacing w:after="0" w:line="240" w:lineRule="auto"/>
      </w:pPr>
      <w:r>
        <w:separator/>
      </w:r>
    </w:p>
  </w:footnote>
  <w:footnote w:type="continuationSeparator" w:id="0">
    <w:p w:rsidR="008E36AE" w:rsidRDefault="008E36AE" w:rsidP="008E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87449"/>
      <w:docPartObj>
        <w:docPartGallery w:val="Page Numbers (Top of Page)"/>
        <w:docPartUnique/>
      </w:docPartObj>
    </w:sdtPr>
    <w:sdtEndPr>
      <w:rPr>
        <w:rFonts w:ascii="Times New Roman" w:hAnsi="Times New Roman"/>
        <w:sz w:val="24"/>
      </w:rPr>
    </w:sdtEndPr>
    <w:sdtContent>
      <w:p w:rsidR="00C635C1" w:rsidRPr="002A280C" w:rsidRDefault="00C635C1">
        <w:pPr>
          <w:pStyle w:val="Galvene"/>
          <w:jc w:val="center"/>
          <w:rPr>
            <w:rFonts w:ascii="Times New Roman" w:hAnsi="Times New Roman"/>
            <w:sz w:val="24"/>
          </w:rPr>
        </w:pPr>
        <w:r w:rsidRPr="002A280C">
          <w:rPr>
            <w:rFonts w:ascii="Times New Roman" w:hAnsi="Times New Roman"/>
            <w:sz w:val="24"/>
          </w:rPr>
          <w:fldChar w:fldCharType="begin"/>
        </w:r>
        <w:r w:rsidRPr="002A280C">
          <w:rPr>
            <w:rFonts w:ascii="Times New Roman" w:hAnsi="Times New Roman"/>
            <w:sz w:val="24"/>
          </w:rPr>
          <w:instrText>PAGE   \* MERGEFORMAT</w:instrText>
        </w:r>
        <w:r w:rsidRPr="002A280C">
          <w:rPr>
            <w:rFonts w:ascii="Times New Roman" w:hAnsi="Times New Roman"/>
            <w:sz w:val="24"/>
          </w:rPr>
          <w:fldChar w:fldCharType="separate"/>
        </w:r>
        <w:r w:rsidR="00DE50C8">
          <w:rPr>
            <w:rFonts w:ascii="Times New Roman" w:hAnsi="Times New Roman"/>
            <w:noProof/>
            <w:sz w:val="24"/>
          </w:rPr>
          <w:t>2</w:t>
        </w:r>
        <w:r w:rsidRPr="002A280C">
          <w:rPr>
            <w:rFonts w:ascii="Times New Roman" w:hAnsi="Times New Roman"/>
            <w:sz w:val="24"/>
          </w:rPr>
          <w:fldChar w:fldCharType="end"/>
        </w:r>
      </w:p>
    </w:sdtContent>
  </w:sdt>
  <w:p w:rsidR="00C635C1" w:rsidRDefault="00C635C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12"/>
    <w:rsid w:val="002A280C"/>
    <w:rsid w:val="00383571"/>
    <w:rsid w:val="003E5613"/>
    <w:rsid w:val="00556D57"/>
    <w:rsid w:val="008A02B8"/>
    <w:rsid w:val="008E36AE"/>
    <w:rsid w:val="00A670B3"/>
    <w:rsid w:val="00AD545F"/>
    <w:rsid w:val="00B07BE1"/>
    <w:rsid w:val="00C61512"/>
    <w:rsid w:val="00C635C1"/>
    <w:rsid w:val="00DE5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6151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556D57"/>
    <w:pPr>
      <w:widowControl w:val="0"/>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PamattekstsRakstz">
    <w:name w:val="Pamatteksts Rakstz."/>
    <w:basedOn w:val="Noklusjumarindkopasfonts"/>
    <w:link w:val="Pamatteksts"/>
    <w:uiPriority w:val="99"/>
    <w:rsid w:val="00556D57"/>
    <w:rPr>
      <w:rFonts w:ascii="Times New Roman" w:eastAsia="SimSun" w:hAnsi="Times New Roman" w:cs="Mangal"/>
      <w:kern w:val="1"/>
      <w:sz w:val="24"/>
      <w:szCs w:val="24"/>
      <w:lang w:val="x-none" w:eastAsia="hi-IN" w:bidi="hi-IN"/>
    </w:rPr>
  </w:style>
  <w:style w:type="table" w:styleId="Reatabula">
    <w:name w:val="Table Grid"/>
    <w:basedOn w:val="Parastatabula"/>
    <w:uiPriority w:val="59"/>
    <w:rsid w:val="003E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s"/>
    <w:link w:val="PamattekstsaratkpiRakstz"/>
    <w:rsid w:val="008E36AE"/>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8E36AE"/>
    <w:rPr>
      <w:rFonts w:ascii="Times New Roman" w:eastAsia="Times New Roman" w:hAnsi="Times New Roman" w:cs="Times New Roman"/>
      <w:sz w:val="24"/>
      <w:szCs w:val="24"/>
      <w:lang w:eastAsia="lv-LV"/>
    </w:rPr>
  </w:style>
  <w:style w:type="character" w:styleId="Hipersaite">
    <w:name w:val="Hyperlink"/>
    <w:basedOn w:val="Noklusjumarindkopasfonts"/>
    <w:rsid w:val="008E36AE"/>
    <w:rPr>
      <w:color w:val="0000FF"/>
      <w:u w:val="single"/>
    </w:rPr>
  </w:style>
  <w:style w:type="paragraph" w:styleId="Galvene">
    <w:name w:val="header"/>
    <w:basedOn w:val="Parasts"/>
    <w:link w:val="GalveneRakstz"/>
    <w:uiPriority w:val="99"/>
    <w:unhideWhenUsed/>
    <w:rsid w:val="008E36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36AE"/>
    <w:rPr>
      <w:rFonts w:ascii="Calibri" w:eastAsia="Calibri" w:hAnsi="Calibri" w:cs="Times New Roman"/>
    </w:rPr>
  </w:style>
  <w:style w:type="paragraph" w:styleId="Kjene">
    <w:name w:val="footer"/>
    <w:basedOn w:val="Parasts"/>
    <w:link w:val="KjeneRakstz"/>
    <w:uiPriority w:val="99"/>
    <w:unhideWhenUsed/>
    <w:rsid w:val="008E36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36AE"/>
    <w:rPr>
      <w:rFonts w:ascii="Calibri" w:eastAsia="Calibri" w:hAnsi="Calibri" w:cs="Times New Roman"/>
    </w:rPr>
  </w:style>
  <w:style w:type="paragraph" w:styleId="Balonteksts">
    <w:name w:val="Balloon Text"/>
    <w:basedOn w:val="Parasts"/>
    <w:link w:val="BalontekstsRakstz"/>
    <w:uiPriority w:val="99"/>
    <w:semiHidden/>
    <w:unhideWhenUsed/>
    <w:rsid w:val="00C635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35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6151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556D57"/>
    <w:pPr>
      <w:widowControl w:val="0"/>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PamattekstsRakstz">
    <w:name w:val="Pamatteksts Rakstz."/>
    <w:basedOn w:val="Noklusjumarindkopasfonts"/>
    <w:link w:val="Pamatteksts"/>
    <w:uiPriority w:val="99"/>
    <w:rsid w:val="00556D57"/>
    <w:rPr>
      <w:rFonts w:ascii="Times New Roman" w:eastAsia="SimSun" w:hAnsi="Times New Roman" w:cs="Mangal"/>
      <w:kern w:val="1"/>
      <w:sz w:val="24"/>
      <w:szCs w:val="24"/>
      <w:lang w:val="x-none" w:eastAsia="hi-IN" w:bidi="hi-IN"/>
    </w:rPr>
  </w:style>
  <w:style w:type="table" w:styleId="Reatabula">
    <w:name w:val="Table Grid"/>
    <w:basedOn w:val="Parastatabula"/>
    <w:uiPriority w:val="59"/>
    <w:rsid w:val="003E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s"/>
    <w:link w:val="PamattekstsaratkpiRakstz"/>
    <w:rsid w:val="008E36AE"/>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8E36AE"/>
    <w:rPr>
      <w:rFonts w:ascii="Times New Roman" w:eastAsia="Times New Roman" w:hAnsi="Times New Roman" w:cs="Times New Roman"/>
      <w:sz w:val="24"/>
      <w:szCs w:val="24"/>
      <w:lang w:eastAsia="lv-LV"/>
    </w:rPr>
  </w:style>
  <w:style w:type="character" w:styleId="Hipersaite">
    <w:name w:val="Hyperlink"/>
    <w:basedOn w:val="Noklusjumarindkopasfonts"/>
    <w:rsid w:val="008E36AE"/>
    <w:rPr>
      <w:color w:val="0000FF"/>
      <w:u w:val="single"/>
    </w:rPr>
  </w:style>
  <w:style w:type="paragraph" w:styleId="Galvene">
    <w:name w:val="header"/>
    <w:basedOn w:val="Parasts"/>
    <w:link w:val="GalveneRakstz"/>
    <w:uiPriority w:val="99"/>
    <w:unhideWhenUsed/>
    <w:rsid w:val="008E36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36AE"/>
    <w:rPr>
      <w:rFonts w:ascii="Calibri" w:eastAsia="Calibri" w:hAnsi="Calibri" w:cs="Times New Roman"/>
    </w:rPr>
  </w:style>
  <w:style w:type="paragraph" w:styleId="Kjene">
    <w:name w:val="footer"/>
    <w:basedOn w:val="Parasts"/>
    <w:link w:val="KjeneRakstz"/>
    <w:uiPriority w:val="99"/>
    <w:unhideWhenUsed/>
    <w:rsid w:val="008E36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36AE"/>
    <w:rPr>
      <w:rFonts w:ascii="Calibri" w:eastAsia="Calibri" w:hAnsi="Calibri" w:cs="Times New Roman"/>
    </w:rPr>
  </w:style>
  <w:style w:type="paragraph" w:styleId="Balonteksts">
    <w:name w:val="Balloon Text"/>
    <w:basedOn w:val="Parasts"/>
    <w:link w:val="BalontekstsRakstz"/>
    <w:uiPriority w:val="99"/>
    <w:semiHidden/>
    <w:unhideWhenUsed/>
    <w:rsid w:val="00C635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35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Feldmane@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6A9F-F096-4734-B44C-345E45D3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4606</Words>
  <Characters>2626</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Informatīvai ziņojums par Tieslietu ministrijas darba grupas Kriminālprocesa likuma grozījumu izstrādei izdarītajiem secinājumiem, izvērtējot Eiropas Cilvēktiesību tiesas spriedumu lietā „Baltiņš pret Latviju” un spēkā esošo normatīvo regulējumu, kas nosa</vt:lpstr>
    </vt:vector>
  </TitlesOfParts>
  <Company>Tieslietu ministrija</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 ziņojums par Tieslietu ministrijas darba grupas Kriminālprocesa likuma grozījumu izstrādei izdarītajiem secinājumiem, izvērtējot Eiropas Cilvēktiesību tiesas spriedumu lietā „Baltiņš pret Latviju” un spēkā esošo normatīvo regulējumu, kas nosaka tiesas kā kriminālprocesa virzītāja kompetenci, pārbaudot un izvērtējot operatīvās darbības pasākumu rezultātā iegūtos pierādījumus</dc:title>
  <dc:subject>Informatīvais ziņojums</dc:subject>
  <dc:creator>Elina Feldmane</dc:creator>
  <dc:description>67046102, Elina.Feldmane@tm.gov.lv</dc:description>
  <cp:lastModifiedBy>Elina Feldmane</cp:lastModifiedBy>
  <cp:revision>3</cp:revision>
  <cp:lastPrinted>2014-02-25T14:12:00Z</cp:lastPrinted>
  <dcterms:created xsi:type="dcterms:W3CDTF">2014-02-25T14:37:00Z</dcterms:created>
  <dcterms:modified xsi:type="dcterms:W3CDTF">2014-02-25T14:40:00Z</dcterms:modified>
</cp:coreProperties>
</file>