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B9" w:rsidRPr="00EA528E" w:rsidRDefault="007D5DB9" w:rsidP="007D5DB9">
      <w:pPr>
        <w:jc w:val="right"/>
        <w:rPr>
          <w:rFonts w:cs="Times New Roman"/>
          <w:sz w:val="24"/>
          <w:szCs w:val="24"/>
        </w:rPr>
      </w:pPr>
      <w:bookmarkStart w:id="0" w:name="_GoBack"/>
      <w:bookmarkEnd w:id="0"/>
      <w:r w:rsidRPr="00EA528E">
        <w:rPr>
          <w:rFonts w:cs="Times New Roman"/>
          <w:sz w:val="24"/>
          <w:szCs w:val="24"/>
        </w:rPr>
        <w:t>Projekts</w:t>
      </w:r>
    </w:p>
    <w:p w:rsidR="007D5DB9" w:rsidRPr="00EA528E" w:rsidRDefault="007D5DB9" w:rsidP="007D5DB9">
      <w:pPr>
        <w:jc w:val="right"/>
        <w:rPr>
          <w:rFonts w:cs="Times New Roman"/>
          <w:sz w:val="24"/>
          <w:szCs w:val="24"/>
        </w:rPr>
      </w:pPr>
    </w:p>
    <w:p w:rsidR="001A6E3B" w:rsidRDefault="001A6E3B" w:rsidP="00D40D51">
      <w:pPr>
        <w:jc w:val="center"/>
        <w:rPr>
          <w:rFonts w:cs="Times New Roman"/>
          <w:b/>
          <w:sz w:val="24"/>
          <w:szCs w:val="24"/>
        </w:rPr>
      </w:pPr>
    </w:p>
    <w:p w:rsidR="00232DAE" w:rsidRPr="00EA528E" w:rsidRDefault="00D40D51" w:rsidP="00D40D51">
      <w:pPr>
        <w:jc w:val="center"/>
        <w:rPr>
          <w:rFonts w:cs="Times New Roman"/>
          <w:b/>
          <w:sz w:val="24"/>
          <w:szCs w:val="24"/>
        </w:rPr>
      </w:pPr>
      <w:r w:rsidRPr="00EA528E">
        <w:rPr>
          <w:rFonts w:cs="Times New Roman"/>
          <w:b/>
          <w:sz w:val="24"/>
          <w:szCs w:val="24"/>
        </w:rPr>
        <w:t>Informatīvais ziņojums</w:t>
      </w:r>
    </w:p>
    <w:p w:rsidR="00EA528E" w:rsidRDefault="00D40D51" w:rsidP="00D40D51">
      <w:pPr>
        <w:jc w:val="center"/>
        <w:rPr>
          <w:rFonts w:cs="Times New Roman"/>
          <w:b/>
          <w:sz w:val="24"/>
          <w:szCs w:val="24"/>
        </w:rPr>
      </w:pPr>
      <w:r w:rsidRPr="00EA528E">
        <w:rPr>
          <w:rFonts w:cs="Times New Roman"/>
          <w:b/>
          <w:sz w:val="24"/>
          <w:szCs w:val="24"/>
        </w:rPr>
        <w:t xml:space="preserve"> par </w:t>
      </w:r>
      <w:r w:rsidR="00730BEA" w:rsidRPr="00EA528E">
        <w:rPr>
          <w:rFonts w:cs="Times New Roman"/>
          <w:b/>
          <w:sz w:val="24"/>
          <w:szCs w:val="24"/>
        </w:rPr>
        <w:t xml:space="preserve">apropriācijas pārdali starp budžeta izdevumu kodiem atbilstoši ekonomiskajām kategorijām </w:t>
      </w:r>
      <w:r w:rsidR="00380C72" w:rsidRPr="00EA528E">
        <w:rPr>
          <w:rFonts w:cs="Times New Roman"/>
          <w:b/>
          <w:sz w:val="24"/>
          <w:szCs w:val="24"/>
        </w:rPr>
        <w:t>Tieslietu</w:t>
      </w:r>
      <w:r w:rsidRPr="00EA528E">
        <w:rPr>
          <w:rFonts w:cs="Times New Roman"/>
          <w:b/>
          <w:sz w:val="24"/>
          <w:szCs w:val="24"/>
        </w:rPr>
        <w:t xml:space="preserve"> ministrijas budžeta </w:t>
      </w:r>
      <w:r w:rsidR="00380C72" w:rsidRPr="00EA528E">
        <w:rPr>
          <w:rFonts w:cs="Times New Roman"/>
          <w:b/>
          <w:sz w:val="24"/>
          <w:szCs w:val="24"/>
        </w:rPr>
        <w:t>apakšprogrammas</w:t>
      </w:r>
      <w:r w:rsidRPr="00EA528E">
        <w:rPr>
          <w:rFonts w:cs="Times New Roman"/>
          <w:b/>
          <w:sz w:val="24"/>
          <w:szCs w:val="24"/>
        </w:rPr>
        <w:t xml:space="preserve"> </w:t>
      </w:r>
    </w:p>
    <w:p w:rsidR="00D40D51" w:rsidRDefault="00380C72" w:rsidP="00D40D51">
      <w:pPr>
        <w:jc w:val="center"/>
        <w:rPr>
          <w:rFonts w:cs="Times New Roman"/>
          <w:b/>
          <w:sz w:val="24"/>
          <w:szCs w:val="24"/>
        </w:rPr>
      </w:pPr>
      <w:r w:rsidRPr="00EA528E">
        <w:rPr>
          <w:rFonts w:cs="Times New Roman"/>
          <w:b/>
          <w:sz w:val="24"/>
          <w:szCs w:val="24"/>
        </w:rPr>
        <w:t>03.02.</w:t>
      </w:r>
      <w:r w:rsidR="00D40D51" w:rsidRPr="00EA528E">
        <w:rPr>
          <w:rFonts w:cs="Times New Roman"/>
          <w:b/>
          <w:sz w:val="24"/>
          <w:szCs w:val="24"/>
        </w:rPr>
        <w:t xml:space="preserve">00 </w:t>
      </w:r>
      <w:r w:rsidRPr="00EA528E">
        <w:rPr>
          <w:rFonts w:cs="Times New Roman"/>
          <w:b/>
          <w:sz w:val="24"/>
          <w:szCs w:val="24"/>
        </w:rPr>
        <w:t>„Apgabaltiesas un rajona (pilsētas) tiesas”</w:t>
      </w:r>
      <w:r w:rsidR="00A51287" w:rsidRPr="00EA528E">
        <w:rPr>
          <w:rFonts w:cs="Times New Roman"/>
          <w:b/>
          <w:sz w:val="24"/>
          <w:szCs w:val="24"/>
        </w:rPr>
        <w:t xml:space="preserve"> </w:t>
      </w:r>
      <w:r w:rsidR="00D40D51" w:rsidRPr="00EA528E">
        <w:rPr>
          <w:rFonts w:cs="Times New Roman"/>
          <w:b/>
          <w:sz w:val="24"/>
          <w:szCs w:val="24"/>
        </w:rPr>
        <w:t xml:space="preserve">ietvaros </w:t>
      </w:r>
    </w:p>
    <w:p w:rsidR="00EA528E" w:rsidRPr="00EA528E" w:rsidRDefault="00EA528E" w:rsidP="00D40D51">
      <w:pPr>
        <w:jc w:val="center"/>
        <w:rPr>
          <w:rFonts w:cs="Times New Roman"/>
          <w:sz w:val="24"/>
          <w:szCs w:val="24"/>
        </w:rPr>
      </w:pPr>
    </w:p>
    <w:p w:rsidR="00D930B0" w:rsidRPr="00D930B0" w:rsidRDefault="00D930B0" w:rsidP="00D930B0">
      <w:pPr>
        <w:ind w:firstLine="387"/>
        <w:jc w:val="both"/>
        <w:rPr>
          <w:sz w:val="24"/>
          <w:szCs w:val="24"/>
        </w:rPr>
      </w:pPr>
      <w:r w:rsidRPr="00D930B0">
        <w:rPr>
          <w:sz w:val="24"/>
          <w:szCs w:val="24"/>
        </w:rPr>
        <w:t xml:space="preserve">Saskaņā ar Ministru </w:t>
      </w:r>
      <w:r w:rsidR="009F268A">
        <w:rPr>
          <w:sz w:val="24"/>
          <w:szCs w:val="24"/>
        </w:rPr>
        <w:t>k</w:t>
      </w:r>
      <w:r w:rsidR="009F268A" w:rsidRPr="00D930B0">
        <w:rPr>
          <w:sz w:val="24"/>
          <w:szCs w:val="24"/>
        </w:rPr>
        <w:t xml:space="preserve">abineta </w:t>
      </w:r>
      <w:r w:rsidRPr="00D930B0">
        <w:rPr>
          <w:sz w:val="24"/>
          <w:szCs w:val="24"/>
        </w:rPr>
        <w:t>2013.gada 13.augusta sēdes protokola</w:t>
      </w:r>
      <w:r>
        <w:rPr>
          <w:sz w:val="24"/>
          <w:szCs w:val="24"/>
        </w:rPr>
        <w:t xml:space="preserve"> </w:t>
      </w:r>
      <w:r w:rsidRPr="00D930B0">
        <w:rPr>
          <w:sz w:val="24"/>
          <w:szCs w:val="24"/>
        </w:rPr>
        <w:t xml:space="preserve"> Nr.44 171.§ tiesām ir apstiprinātas jaunās politikas iniciatīvas (turpmāk – JPI) 2014.gadam, tai skaitā, „Drošības nodrošināšana tiesās” un „Mutvārdu un procesuālo dokumentu tulkošana atbilstoši Kriminālprocesa likumam”. Likumā „Par valsts budžetu 2014.gadam” </w:t>
      </w:r>
      <w:r w:rsidR="009E6F79">
        <w:rPr>
          <w:sz w:val="24"/>
          <w:szCs w:val="24"/>
        </w:rPr>
        <w:t>Tieslietu ministrijas</w:t>
      </w:r>
      <w:r w:rsidRPr="00D930B0">
        <w:rPr>
          <w:sz w:val="24"/>
          <w:szCs w:val="24"/>
        </w:rPr>
        <w:t xml:space="preserve"> budžeta apakšprogrammā 03.02.00 „Apgabaltiesas un rajona (pilsētas) tiesas” ir piešķirts finansējums preču un pakalpojumu izdevumiem</w:t>
      </w:r>
      <w:r w:rsidR="007A357E">
        <w:rPr>
          <w:sz w:val="24"/>
          <w:szCs w:val="24"/>
        </w:rPr>
        <w:t xml:space="preserve"> –</w:t>
      </w:r>
      <w:r w:rsidRPr="00D930B0">
        <w:rPr>
          <w:sz w:val="24"/>
          <w:szCs w:val="24"/>
        </w:rPr>
        <w:t xml:space="preserve"> 738</w:t>
      </w:r>
      <w:r w:rsidR="009E6F79">
        <w:rPr>
          <w:sz w:val="24"/>
          <w:szCs w:val="24"/>
        </w:rPr>
        <w:t> </w:t>
      </w:r>
      <w:r w:rsidRPr="00D930B0">
        <w:rPr>
          <w:sz w:val="24"/>
          <w:szCs w:val="24"/>
        </w:rPr>
        <w:t>599</w:t>
      </w:r>
      <w:r w:rsidR="009E6F79">
        <w:rPr>
          <w:sz w:val="24"/>
          <w:szCs w:val="24"/>
        </w:rPr>
        <w:t xml:space="preserve"> </w:t>
      </w:r>
      <w:proofErr w:type="spellStart"/>
      <w:r w:rsidR="009E6F79" w:rsidRPr="009E6F79">
        <w:rPr>
          <w:i/>
          <w:sz w:val="24"/>
          <w:szCs w:val="24"/>
        </w:rPr>
        <w:t>euro</w:t>
      </w:r>
      <w:proofErr w:type="spellEnd"/>
      <w:r>
        <w:rPr>
          <w:sz w:val="24"/>
          <w:szCs w:val="24"/>
        </w:rPr>
        <w:t xml:space="preserve"> JPI </w:t>
      </w:r>
      <w:r w:rsidRPr="00D930B0">
        <w:rPr>
          <w:sz w:val="24"/>
          <w:szCs w:val="24"/>
        </w:rPr>
        <w:t>„Drošības nodrošināšana tiesās”, kas paredz visās tiesās nodrošināt fizisko apsardzi un 357</w:t>
      </w:r>
      <w:r w:rsidR="009E6F79">
        <w:rPr>
          <w:sz w:val="24"/>
          <w:szCs w:val="24"/>
        </w:rPr>
        <w:t> </w:t>
      </w:r>
      <w:r w:rsidRPr="00D930B0">
        <w:rPr>
          <w:sz w:val="24"/>
          <w:szCs w:val="24"/>
        </w:rPr>
        <w:t>366</w:t>
      </w:r>
      <w:r w:rsidR="009E6F79">
        <w:rPr>
          <w:sz w:val="24"/>
          <w:szCs w:val="24"/>
        </w:rPr>
        <w:t xml:space="preserve"> </w:t>
      </w:r>
      <w:r w:rsidR="009E6F79" w:rsidRPr="009E6F79">
        <w:rPr>
          <w:i/>
          <w:sz w:val="24"/>
          <w:szCs w:val="24"/>
        </w:rPr>
        <w:t>euro</w:t>
      </w:r>
      <w:r>
        <w:rPr>
          <w:sz w:val="24"/>
          <w:szCs w:val="24"/>
        </w:rPr>
        <w:t xml:space="preserve"> JPI „</w:t>
      </w:r>
      <w:r w:rsidRPr="00D930B0">
        <w:rPr>
          <w:sz w:val="24"/>
          <w:szCs w:val="24"/>
        </w:rPr>
        <w:t>Mutvārdu un procesuālo dokumentu tulkošana atbilstoši Kriminālprocesa likumam”, kas paredz personai, kurai ir tiesības uz aizstāvību, ja tā neprot valsts valodu, tikšanās laikā ar aizstāvi bez atlīdzības izmantot tulka palīdzību Ministru kabineta 2013.gada 19.novembra noteikumos Nr.1342 „Kārtība, kādā personai, kurai ir tiesības uz aizstāvību, tikšanās laikā ar aizstāvi tiek nodrošināta tulka palīdzība” noteiktajā kārtībā un aizdomās turētajam vai apsūdzētajam, kas neprot valsts valodu, lēmuma rakstveida tulkojuma izsniegšanu viņam saprotamā valodā.</w:t>
      </w:r>
    </w:p>
    <w:p w:rsidR="00D930B0" w:rsidRPr="00D930B0" w:rsidRDefault="00D930B0" w:rsidP="00F63B30">
      <w:pPr>
        <w:ind w:firstLine="387"/>
        <w:jc w:val="both"/>
        <w:rPr>
          <w:sz w:val="24"/>
          <w:szCs w:val="24"/>
        </w:rPr>
      </w:pPr>
      <w:r w:rsidRPr="00D930B0">
        <w:rPr>
          <w:sz w:val="24"/>
          <w:szCs w:val="24"/>
        </w:rPr>
        <w:t xml:space="preserve">Saistībā ar iepirkuma rezultātu apstrīdēšanu Iepirkumu uzraudzības birojā, iepirkuma procedūra par fiziskās apsardzes nodrošināšanu tiesās aizkavējās un līgums sagatavots parakstīšanai tikai š.g. aprīļa otrajā pusē, un līdz š.g. augustam notiek pakāpeniska objektu nodošana </w:t>
      </w:r>
      <w:r w:rsidR="007A357E">
        <w:rPr>
          <w:sz w:val="24"/>
          <w:szCs w:val="24"/>
        </w:rPr>
        <w:t>–</w:t>
      </w:r>
      <w:r w:rsidRPr="00D930B0">
        <w:rPr>
          <w:sz w:val="24"/>
          <w:szCs w:val="24"/>
        </w:rPr>
        <w:t xml:space="preserve"> pieņemšana fiziskajai apsardzei. Līdz ar to JPI „Drošības nodrošināšana tiesās” 2014.gadam piešķirtā apropriācija tiks apgūta ~ 60% apmērā un prognozējamais atlikums</w:t>
      </w:r>
      <w:r w:rsidR="00F63B30">
        <w:rPr>
          <w:sz w:val="24"/>
          <w:szCs w:val="24"/>
        </w:rPr>
        <w:t xml:space="preserve"> ir</w:t>
      </w:r>
      <w:r w:rsidRPr="00D930B0">
        <w:rPr>
          <w:sz w:val="24"/>
          <w:szCs w:val="24"/>
        </w:rPr>
        <w:t xml:space="preserve"> 298</w:t>
      </w:r>
      <w:r w:rsidR="009E6F79">
        <w:rPr>
          <w:sz w:val="24"/>
          <w:szCs w:val="24"/>
        </w:rPr>
        <w:t> </w:t>
      </w:r>
      <w:r w:rsidRPr="00D930B0">
        <w:rPr>
          <w:sz w:val="24"/>
          <w:szCs w:val="24"/>
        </w:rPr>
        <w:t>099</w:t>
      </w:r>
      <w:r w:rsidR="009E6F79">
        <w:rPr>
          <w:sz w:val="24"/>
          <w:szCs w:val="24"/>
        </w:rPr>
        <w:t xml:space="preserve"> </w:t>
      </w:r>
      <w:r w:rsidR="009E6F79" w:rsidRPr="009E6F79">
        <w:rPr>
          <w:i/>
          <w:sz w:val="24"/>
          <w:szCs w:val="24"/>
        </w:rPr>
        <w:t>euro</w:t>
      </w:r>
      <w:r w:rsidRPr="00D930B0">
        <w:rPr>
          <w:sz w:val="24"/>
          <w:szCs w:val="24"/>
        </w:rPr>
        <w:t>.</w:t>
      </w:r>
    </w:p>
    <w:p w:rsidR="00D930B0" w:rsidRPr="00D930B0" w:rsidRDefault="00807474" w:rsidP="00D930B0">
      <w:pPr>
        <w:ind w:firstLine="459"/>
        <w:jc w:val="both"/>
        <w:rPr>
          <w:sz w:val="24"/>
          <w:szCs w:val="24"/>
        </w:rPr>
      </w:pPr>
      <w:r>
        <w:rPr>
          <w:sz w:val="24"/>
          <w:szCs w:val="24"/>
        </w:rPr>
        <w:t>Sagatavojot aprēķinus par papildu nepieciešamo finansējumu g</w:t>
      </w:r>
      <w:r w:rsidR="00D930B0" w:rsidRPr="00D930B0">
        <w:rPr>
          <w:sz w:val="24"/>
          <w:szCs w:val="24"/>
        </w:rPr>
        <w:t>rozījumiem Kriminālprocesa likuma 11.pantā, kas paredz no valsts budžeta segt izdevumus par tulka pakalpojumiem personai tiekoties ar aizstāvi, tika prognozēts, ka gadā būs 3401 šāds gadījums (~ 30% no gadā pabeigtajām krimināllietām), bet faktiski 2014.gada 1.pusgadā tiesnesim, kā procesa virzītājam, nav iesniegts neviens personas vai viņas aizstāvja iesniegums par tulkojuma nodrošināšanu</w:t>
      </w:r>
      <w:r w:rsidR="00F63B30">
        <w:rPr>
          <w:sz w:val="24"/>
          <w:szCs w:val="24"/>
        </w:rPr>
        <w:t xml:space="preserve"> un izdevumi ir saistīti tikai ar </w:t>
      </w:r>
      <w:r w:rsidR="00F63B30" w:rsidRPr="00D930B0">
        <w:rPr>
          <w:sz w:val="24"/>
          <w:szCs w:val="24"/>
        </w:rPr>
        <w:t>lēmuma rakstveida tulkojuma izsniegšanu</w:t>
      </w:r>
      <w:r w:rsidR="00F63B30" w:rsidRPr="00F63B30">
        <w:rPr>
          <w:sz w:val="24"/>
          <w:szCs w:val="24"/>
        </w:rPr>
        <w:t xml:space="preserve"> </w:t>
      </w:r>
      <w:r w:rsidR="00F63B30" w:rsidRPr="00D930B0">
        <w:rPr>
          <w:sz w:val="24"/>
          <w:szCs w:val="24"/>
        </w:rPr>
        <w:t>aizdomās turētajam vai apsūdzētajam viņam saprotamā valodā</w:t>
      </w:r>
      <w:r>
        <w:rPr>
          <w:sz w:val="24"/>
          <w:szCs w:val="24"/>
        </w:rPr>
        <w:t>.</w:t>
      </w:r>
      <w:r w:rsidR="00D930B0" w:rsidRPr="00D930B0">
        <w:rPr>
          <w:sz w:val="24"/>
          <w:szCs w:val="24"/>
        </w:rPr>
        <w:t xml:space="preserve"> Līdz ar to paredzams, ka JPI „Mutvārdu un procesuālo dokumentu tulkošana atbilstoši Kriminālprocesa likumam” 2014.gadam piešķirtās apropriācijas atlikums būs 337</w:t>
      </w:r>
      <w:r w:rsidR="009E6F79">
        <w:rPr>
          <w:sz w:val="24"/>
          <w:szCs w:val="24"/>
        </w:rPr>
        <w:t> </w:t>
      </w:r>
      <w:r w:rsidR="00D930B0" w:rsidRPr="00D930B0">
        <w:rPr>
          <w:sz w:val="24"/>
          <w:szCs w:val="24"/>
        </w:rPr>
        <w:t>366</w:t>
      </w:r>
      <w:r w:rsidR="009E6F79">
        <w:rPr>
          <w:sz w:val="24"/>
          <w:szCs w:val="24"/>
        </w:rPr>
        <w:t xml:space="preserve"> </w:t>
      </w:r>
      <w:r w:rsidR="009E6F79" w:rsidRPr="009E6F79">
        <w:rPr>
          <w:i/>
          <w:sz w:val="24"/>
          <w:szCs w:val="24"/>
        </w:rPr>
        <w:t>euro</w:t>
      </w:r>
      <w:r w:rsidR="00D930B0" w:rsidRPr="00D930B0">
        <w:rPr>
          <w:sz w:val="24"/>
          <w:szCs w:val="24"/>
        </w:rPr>
        <w:t>.</w:t>
      </w:r>
    </w:p>
    <w:p w:rsidR="00504302" w:rsidRDefault="00D930B0" w:rsidP="00387569">
      <w:pPr>
        <w:ind w:firstLine="720"/>
        <w:jc w:val="both"/>
        <w:rPr>
          <w:sz w:val="24"/>
          <w:szCs w:val="24"/>
        </w:rPr>
      </w:pPr>
      <w:r w:rsidRPr="00D930B0">
        <w:rPr>
          <w:sz w:val="24"/>
          <w:szCs w:val="24"/>
        </w:rPr>
        <w:t>JPI paredzamo neapgūto finansējumu 635</w:t>
      </w:r>
      <w:r w:rsidR="009E6F79">
        <w:rPr>
          <w:sz w:val="24"/>
          <w:szCs w:val="24"/>
        </w:rPr>
        <w:t> </w:t>
      </w:r>
      <w:r w:rsidRPr="00D930B0">
        <w:rPr>
          <w:sz w:val="24"/>
          <w:szCs w:val="24"/>
        </w:rPr>
        <w:t>465</w:t>
      </w:r>
      <w:r w:rsidR="009E6F79">
        <w:rPr>
          <w:sz w:val="24"/>
          <w:szCs w:val="24"/>
        </w:rPr>
        <w:t xml:space="preserve"> </w:t>
      </w:r>
      <w:proofErr w:type="spellStart"/>
      <w:r w:rsidR="009E6F79" w:rsidRPr="009E6F79">
        <w:rPr>
          <w:i/>
          <w:sz w:val="24"/>
          <w:szCs w:val="24"/>
        </w:rPr>
        <w:t>euro</w:t>
      </w:r>
      <w:proofErr w:type="spellEnd"/>
      <w:r w:rsidRPr="00D930B0">
        <w:rPr>
          <w:sz w:val="24"/>
          <w:szCs w:val="24"/>
        </w:rPr>
        <w:t xml:space="preserve"> būtu nepieciešams novirzīt datortehnikas nomaiņai tiesās un zeme</w:t>
      </w:r>
      <w:r w:rsidR="003061C0">
        <w:rPr>
          <w:sz w:val="24"/>
          <w:szCs w:val="24"/>
        </w:rPr>
        <w:t>sgrāmatu nodaļās.</w:t>
      </w:r>
      <w:r w:rsidRPr="00D930B0">
        <w:rPr>
          <w:sz w:val="24"/>
          <w:szCs w:val="24"/>
        </w:rPr>
        <w:t xml:space="preserve"> Vecie datori (līdz 2008.gadam) atbalsta tikai </w:t>
      </w:r>
      <w:r w:rsidR="00A47CBB">
        <w:rPr>
          <w:sz w:val="24"/>
          <w:szCs w:val="24"/>
        </w:rPr>
        <w:t xml:space="preserve">„Windows </w:t>
      </w:r>
      <w:r w:rsidRPr="00D930B0">
        <w:rPr>
          <w:sz w:val="24"/>
          <w:szCs w:val="24"/>
        </w:rPr>
        <w:t>XP</w:t>
      </w:r>
      <w:r w:rsidR="00A47CBB">
        <w:rPr>
          <w:sz w:val="24"/>
          <w:szCs w:val="24"/>
        </w:rPr>
        <w:t>”</w:t>
      </w:r>
      <w:r w:rsidRPr="00D930B0">
        <w:rPr>
          <w:sz w:val="24"/>
          <w:szCs w:val="24"/>
        </w:rPr>
        <w:t xml:space="preserve"> operētājsistēmu un no ražotāju puses </w:t>
      </w:r>
      <w:r w:rsidR="00A47CBB">
        <w:rPr>
          <w:sz w:val="24"/>
          <w:szCs w:val="24"/>
        </w:rPr>
        <w:t>šai</w:t>
      </w:r>
      <w:r w:rsidRPr="00D930B0">
        <w:rPr>
          <w:sz w:val="24"/>
          <w:szCs w:val="24"/>
        </w:rPr>
        <w:t xml:space="preserve"> operētājsistēmai atbalsts vairs netiek sniegts</w:t>
      </w:r>
      <w:r w:rsidR="00A47CBB" w:rsidRPr="00A47CBB">
        <w:rPr>
          <w:sz w:val="24"/>
          <w:szCs w:val="24"/>
        </w:rPr>
        <w:t>.</w:t>
      </w:r>
      <w:r w:rsidR="00807474" w:rsidRPr="00A47CBB">
        <w:rPr>
          <w:sz w:val="24"/>
          <w:szCs w:val="24"/>
        </w:rPr>
        <w:t xml:space="preserve"> </w:t>
      </w:r>
      <w:r w:rsidR="00A47CBB" w:rsidRPr="00A47CBB">
        <w:rPr>
          <w:sz w:val="24"/>
          <w:szCs w:val="24"/>
        </w:rPr>
        <w:t>T</w:t>
      </w:r>
      <w:r w:rsidR="00807474" w:rsidRPr="00A47CBB">
        <w:rPr>
          <w:sz w:val="24"/>
          <w:szCs w:val="24"/>
        </w:rPr>
        <w:t>as rada drošības riskus, jo netiek piegādāti drošības un kļūdu „ielāpi”.</w:t>
      </w:r>
      <w:r w:rsidR="00807474" w:rsidRPr="00A47CBB">
        <w:t xml:space="preserve"> </w:t>
      </w:r>
      <w:r w:rsidR="00A47CBB" w:rsidRPr="00A47CBB">
        <w:rPr>
          <w:sz w:val="24"/>
          <w:szCs w:val="24"/>
        </w:rPr>
        <w:t>Tāpat e</w:t>
      </w:r>
      <w:r w:rsidR="00807474" w:rsidRPr="00A47CBB">
        <w:rPr>
          <w:sz w:val="24"/>
          <w:szCs w:val="24"/>
        </w:rPr>
        <w:t xml:space="preserve">sošā “Internet Explorer” pārlūkprogrammas versija nav savietojama ar  vairākiem interneta resursiem, kā rezultātā  rodas problēmas ar datu attēlošanu, kā arī ir novērota </w:t>
      </w:r>
      <w:proofErr w:type="spellStart"/>
      <w:r w:rsidR="00807474" w:rsidRPr="00A47CBB">
        <w:rPr>
          <w:sz w:val="24"/>
          <w:szCs w:val="24"/>
        </w:rPr>
        <w:t>lēndarbība</w:t>
      </w:r>
      <w:proofErr w:type="spellEnd"/>
      <w:r w:rsidR="00807474" w:rsidRPr="00A47CBB">
        <w:rPr>
          <w:sz w:val="24"/>
          <w:szCs w:val="24"/>
        </w:rPr>
        <w:t xml:space="preserve">, un nav iespējams uzstādīt jaunāko “Internet Explorer” versiju, </w:t>
      </w:r>
      <w:r w:rsidR="00A47CBB" w:rsidRPr="00A47CBB">
        <w:rPr>
          <w:sz w:val="24"/>
          <w:szCs w:val="24"/>
        </w:rPr>
        <w:t xml:space="preserve"> </w:t>
      </w:r>
      <w:r w:rsidR="00807474" w:rsidRPr="00A47CBB">
        <w:rPr>
          <w:sz w:val="24"/>
          <w:szCs w:val="24"/>
        </w:rPr>
        <w:t xml:space="preserve">jo tā </w:t>
      </w:r>
      <w:r w:rsidR="00A47CBB" w:rsidRPr="00A47CBB">
        <w:rPr>
          <w:sz w:val="24"/>
          <w:szCs w:val="24"/>
        </w:rPr>
        <w:t xml:space="preserve">vairs </w:t>
      </w:r>
      <w:r w:rsidR="00807474" w:rsidRPr="00A47CBB">
        <w:rPr>
          <w:sz w:val="24"/>
          <w:szCs w:val="24"/>
        </w:rPr>
        <w:t xml:space="preserve">netiek izstrādāta </w:t>
      </w:r>
      <w:r w:rsidR="00A47CBB" w:rsidRPr="00A47CBB">
        <w:rPr>
          <w:sz w:val="24"/>
          <w:szCs w:val="24"/>
        </w:rPr>
        <w:t>operētājsistēmai</w:t>
      </w:r>
      <w:r w:rsidR="00807474" w:rsidRPr="00A47CBB">
        <w:rPr>
          <w:sz w:val="24"/>
          <w:szCs w:val="24"/>
        </w:rPr>
        <w:t xml:space="preserve"> “Windows XP”.</w:t>
      </w:r>
      <w:r w:rsidRPr="00807474">
        <w:rPr>
          <w:sz w:val="24"/>
          <w:szCs w:val="24"/>
        </w:rPr>
        <w:t xml:space="preserve"> </w:t>
      </w:r>
      <w:r w:rsidRPr="00D930B0">
        <w:rPr>
          <w:sz w:val="24"/>
          <w:szCs w:val="24"/>
        </w:rPr>
        <w:t>Datori  ir morāli novecojuši un</w:t>
      </w:r>
      <w:r w:rsidR="007A357E">
        <w:rPr>
          <w:sz w:val="24"/>
          <w:szCs w:val="24"/>
        </w:rPr>
        <w:t>,</w:t>
      </w:r>
      <w:r w:rsidRPr="00D930B0">
        <w:rPr>
          <w:sz w:val="24"/>
          <w:szCs w:val="24"/>
        </w:rPr>
        <w:t xml:space="preserve"> ieviešot jaunās informācijas sistēmas, </w:t>
      </w:r>
      <w:r w:rsidR="00387569">
        <w:rPr>
          <w:sz w:val="24"/>
          <w:szCs w:val="24"/>
        </w:rPr>
        <w:t xml:space="preserve">sistēmu </w:t>
      </w:r>
      <w:r w:rsidRPr="003B3FF2">
        <w:rPr>
          <w:sz w:val="24"/>
          <w:szCs w:val="24"/>
        </w:rPr>
        <w:t>papildinājumus</w:t>
      </w:r>
      <w:r w:rsidR="00387569" w:rsidRPr="00387569">
        <w:rPr>
          <w:sz w:val="24"/>
          <w:szCs w:val="24"/>
        </w:rPr>
        <w:t>,</w:t>
      </w:r>
      <w:r w:rsidR="003B3FF2" w:rsidRPr="00387569">
        <w:rPr>
          <w:sz w:val="24"/>
          <w:szCs w:val="24"/>
        </w:rPr>
        <w:t xml:space="preserve"> kā arī ieviešot </w:t>
      </w:r>
      <w:r w:rsidR="00387569" w:rsidRPr="00387569">
        <w:rPr>
          <w:sz w:val="24"/>
          <w:szCs w:val="24"/>
        </w:rPr>
        <w:t>jaunu</w:t>
      </w:r>
      <w:r w:rsidR="003B3FF2" w:rsidRPr="00387569">
        <w:rPr>
          <w:sz w:val="24"/>
          <w:szCs w:val="24"/>
        </w:rPr>
        <w:t xml:space="preserve"> programmatūru, piemēram, tulkošanas risinājumu “TRADOS”, </w:t>
      </w:r>
      <w:r w:rsidR="00387569" w:rsidRPr="00387569">
        <w:rPr>
          <w:sz w:val="24"/>
          <w:szCs w:val="24"/>
        </w:rPr>
        <w:t>audio protokolu marķēšanas</w:t>
      </w:r>
      <w:r w:rsidR="00387569">
        <w:rPr>
          <w:sz w:val="24"/>
          <w:szCs w:val="24"/>
        </w:rPr>
        <w:t xml:space="preserve"> </w:t>
      </w:r>
      <w:r w:rsidR="00387569" w:rsidRPr="00387569">
        <w:rPr>
          <w:sz w:val="24"/>
          <w:szCs w:val="24"/>
        </w:rPr>
        <w:t>programmatūru,</w:t>
      </w:r>
      <w:r w:rsidR="003B3FF2" w:rsidRPr="00387569">
        <w:rPr>
          <w:sz w:val="24"/>
          <w:szCs w:val="24"/>
        </w:rPr>
        <w:t xml:space="preserve"> </w:t>
      </w:r>
      <w:r w:rsidR="00387569" w:rsidRPr="00387569">
        <w:rPr>
          <w:sz w:val="24"/>
          <w:szCs w:val="24"/>
        </w:rPr>
        <w:t>kuru</w:t>
      </w:r>
      <w:r w:rsidR="003B3FF2" w:rsidRPr="00387569">
        <w:rPr>
          <w:sz w:val="24"/>
          <w:szCs w:val="24"/>
        </w:rPr>
        <w:t xml:space="preserve"> darbība ir atkarīga no datora tehniskajiem parametriem</w:t>
      </w:r>
      <w:r w:rsidR="00725E31">
        <w:rPr>
          <w:sz w:val="24"/>
          <w:szCs w:val="24"/>
        </w:rPr>
        <w:t>,</w:t>
      </w:r>
      <w:r w:rsidR="00387569">
        <w:rPr>
          <w:sz w:val="24"/>
          <w:szCs w:val="24"/>
        </w:rPr>
        <w:t xml:space="preserve"> </w:t>
      </w:r>
      <w:r w:rsidRPr="00D930B0">
        <w:rPr>
          <w:sz w:val="24"/>
          <w:szCs w:val="24"/>
        </w:rPr>
        <w:t>veco datoru lēnā darbība kavē darbu izpildi. Tāpat saistībā ar e-pakalpojumu ieviešanu aptuveni 200 tiesas sēžu zāles jāaprīko ar datoru tiesnesim.</w:t>
      </w:r>
    </w:p>
    <w:p w:rsidR="00251F50" w:rsidRPr="00F87965" w:rsidRDefault="00E26956" w:rsidP="00387569">
      <w:pPr>
        <w:ind w:firstLine="720"/>
        <w:jc w:val="both"/>
        <w:rPr>
          <w:sz w:val="24"/>
          <w:szCs w:val="24"/>
        </w:rPr>
      </w:pPr>
      <w:r w:rsidRPr="00713CD7">
        <w:rPr>
          <w:sz w:val="24"/>
          <w:szCs w:val="24"/>
        </w:rPr>
        <w:t xml:space="preserve">Ievērojot minēto, </w:t>
      </w:r>
      <w:r w:rsidR="00251F50" w:rsidRPr="00713CD7">
        <w:rPr>
          <w:sz w:val="24"/>
          <w:szCs w:val="24"/>
        </w:rPr>
        <w:t xml:space="preserve">nepieciešams </w:t>
      </w:r>
      <w:r w:rsidRPr="00713CD7">
        <w:rPr>
          <w:sz w:val="24"/>
          <w:szCs w:val="24"/>
        </w:rPr>
        <w:t>nomainīt 450 līdz 2008.gadam iegādātos datorus tiesās, 100 vecos datorus zemesgrāmatu nodaļās</w:t>
      </w:r>
      <w:r w:rsidR="009F268A">
        <w:rPr>
          <w:sz w:val="24"/>
          <w:szCs w:val="24"/>
        </w:rPr>
        <w:t>, kā arī</w:t>
      </w:r>
      <w:r w:rsidRPr="00713CD7">
        <w:rPr>
          <w:sz w:val="24"/>
          <w:szCs w:val="24"/>
        </w:rPr>
        <w:t xml:space="preserve"> </w:t>
      </w:r>
      <w:r w:rsidR="009F268A" w:rsidRPr="00713CD7">
        <w:rPr>
          <w:sz w:val="24"/>
          <w:szCs w:val="24"/>
        </w:rPr>
        <w:t xml:space="preserve">iegādāties </w:t>
      </w:r>
      <w:r w:rsidRPr="00713CD7">
        <w:rPr>
          <w:sz w:val="24"/>
          <w:szCs w:val="24"/>
        </w:rPr>
        <w:t xml:space="preserve">200 jaunus datorus tiesnešiem ar audio iekārtām aprīkotajās tiesas sēžu zālēs. Kopā tiks iegādāti 750 jauni datori ar atbilstošu operētājsistēmu 635 465 </w:t>
      </w:r>
      <w:r w:rsidRPr="008514C0">
        <w:rPr>
          <w:i/>
          <w:sz w:val="24"/>
          <w:szCs w:val="24"/>
        </w:rPr>
        <w:t>euro</w:t>
      </w:r>
      <w:r w:rsidRPr="00713CD7">
        <w:rPr>
          <w:sz w:val="24"/>
          <w:szCs w:val="24"/>
        </w:rPr>
        <w:t xml:space="preserve"> vērtībā.</w:t>
      </w:r>
    </w:p>
    <w:p w:rsidR="00F44BD1" w:rsidRPr="00D930B0" w:rsidRDefault="00172F41" w:rsidP="0091053E">
      <w:pPr>
        <w:ind w:firstLine="720"/>
        <w:jc w:val="both"/>
        <w:rPr>
          <w:rFonts w:cs="Times New Roman"/>
          <w:sz w:val="24"/>
          <w:szCs w:val="24"/>
        </w:rPr>
      </w:pPr>
      <w:r>
        <w:rPr>
          <w:rFonts w:cs="Times New Roman"/>
          <w:sz w:val="24"/>
          <w:szCs w:val="24"/>
        </w:rPr>
        <w:lastRenderedPageBreak/>
        <w:t>Apropriācijas pārdale</w:t>
      </w:r>
      <w:r w:rsidR="00344AE6" w:rsidRPr="00D930B0">
        <w:rPr>
          <w:rFonts w:cs="Times New Roman"/>
          <w:sz w:val="24"/>
          <w:szCs w:val="24"/>
        </w:rPr>
        <w:t xml:space="preserve"> paredz veikt izmaiņas </w:t>
      </w:r>
      <w:r>
        <w:rPr>
          <w:rFonts w:cs="Times New Roman"/>
          <w:sz w:val="24"/>
          <w:szCs w:val="24"/>
        </w:rPr>
        <w:t>Tieslietu</w:t>
      </w:r>
      <w:r w:rsidR="00510D29" w:rsidRPr="00D930B0">
        <w:rPr>
          <w:rFonts w:cs="Times New Roman"/>
          <w:sz w:val="24"/>
          <w:szCs w:val="24"/>
        </w:rPr>
        <w:t xml:space="preserve"> ministrijas </w:t>
      </w:r>
      <w:r w:rsidR="00344AE6" w:rsidRPr="00D930B0">
        <w:rPr>
          <w:rFonts w:cs="Times New Roman"/>
          <w:sz w:val="24"/>
          <w:szCs w:val="24"/>
        </w:rPr>
        <w:t xml:space="preserve">budžeta </w:t>
      </w:r>
      <w:r>
        <w:rPr>
          <w:rFonts w:cs="Times New Roman"/>
          <w:sz w:val="24"/>
          <w:szCs w:val="24"/>
        </w:rPr>
        <w:t>apakš</w:t>
      </w:r>
      <w:r w:rsidR="00344AE6" w:rsidRPr="00D930B0">
        <w:rPr>
          <w:rFonts w:cs="Times New Roman"/>
          <w:sz w:val="24"/>
          <w:szCs w:val="24"/>
        </w:rPr>
        <w:t xml:space="preserve">programmā </w:t>
      </w:r>
      <w:r w:rsidRPr="00D930B0">
        <w:rPr>
          <w:sz w:val="24"/>
          <w:szCs w:val="24"/>
        </w:rPr>
        <w:t>03.02.00 „Apgabaltiesas un rajona (pilsētas) tiesas”</w:t>
      </w:r>
      <w:r w:rsidR="001961F8">
        <w:rPr>
          <w:sz w:val="24"/>
          <w:szCs w:val="24"/>
        </w:rPr>
        <w:t>,</w:t>
      </w:r>
      <w:r w:rsidRPr="00D930B0">
        <w:rPr>
          <w:sz w:val="24"/>
          <w:szCs w:val="24"/>
        </w:rPr>
        <w:t xml:space="preserve"> </w:t>
      </w:r>
      <w:r w:rsidR="00344AE6" w:rsidRPr="00D930B0">
        <w:rPr>
          <w:rFonts w:cs="Times New Roman"/>
          <w:sz w:val="24"/>
          <w:szCs w:val="24"/>
        </w:rPr>
        <w:t xml:space="preserve">nepalielinot gada kopējo izdevumu un ieņēmumu apjomu, un </w:t>
      </w:r>
      <w:r>
        <w:rPr>
          <w:rFonts w:cs="Times New Roman"/>
          <w:sz w:val="24"/>
          <w:szCs w:val="24"/>
        </w:rPr>
        <w:t xml:space="preserve">tā atspoguļota </w:t>
      </w:r>
      <w:r w:rsidR="00344AE6" w:rsidRPr="00D930B0">
        <w:rPr>
          <w:rFonts w:cs="Times New Roman"/>
          <w:sz w:val="24"/>
          <w:szCs w:val="24"/>
        </w:rPr>
        <w:t>tabulā</w:t>
      </w:r>
      <w:r w:rsidR="009F268A">
        <w:rPr>
          <w:rFonts w:cs="Times New Roman"/>
          <w:sz w:val="24"/>
          <w:szCs w:val="24"/>
        </w:rPr>
        <w:t>:</w:t>
      </w:r>
    </w:p>
    <w:p w:rsidR="00983691" w:rsidRPr="00D930B0" w:rsidRDefault="00983691" w:rsidP="00983691">
      <w:pPr>
        <w:jc w:val="center"/>
        <w:rPr>
          <w:rFonts w:eastAsia="Times New Roman" w:cs="Times New Roman"/>
          <w:i/>
          <w:sz w:val="24"/>
          <w:szCs w:val="24"/>
          <w:lang w:eastAsia="lv-LV"/>
        </w:rPr>
      </w:pPr>
      <w:r w:rsidRPr="00D930B0">
        <w:rPr>
          <w:rFonts w:eastAsia="Times New Roman" w:cs="Times New Roman"/>
          <w:i/>
          <w:sz w:val="24"/>
          <w:szCs w:val="24"/>
          <w:lang w:eastAsia="lv-LV"/>
        </w:rPr>
        <w:t xml:space="preserve"> </w:t>
      </w:r>
    </w:p>
    <w:tbl>
      <w:tblPr>
        <w:tblStyle w:val="TableGrid"/>
        <w:tblW w:w="0" w:type="auto"/>
        <w:tblLook w:val="04A0" w:firstRow="1" w:lastRow="0" w:firstColumn="1" w:lastColumn="0" w:noHBand="0" w:noVBand="1"/>
      </w:tblPr>
      <w:tblGrid>
        <w:gridCol w:w="3936"/>
        <w:gridCol w:w="1984"/>
        <w:gridCol w:w="1701"/>
        <w:gridCol w:w="2126"/>
      </w:tblGrid>
      <w:tr w:rsidR="00983691"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725E31" w:rsidRPr="0091053E" w:rsidRDefault="00725E31" w:rsidP="00725E31">
            <w:pPr>
              <w:tabs>
                <w:tab w:val="left" w:pos="4854"/>
              </w:tabs>
              <w:ind w:right="-249"/>
            </w:pPr>
          </w:p>
          <w:p w:rsidR="00983691" w:rsidRPr="0091053E" w:rsidRDefault="00725E31" w:rsidP="001961F8">
            <w:pPr>
              <w:tabs>
                <w:tab w:val="left" w:pos="4854"/>
              </w:tabs>
              <w:jc w:val="both"/>
            </w:pPr>
            <w:r w:rsidRPr="0091053E">
              <w:t>03.02.00 „Apgabaltiesas un rajona (pilsētas) tiesas”</w:t>
            </w:r>
          </w:p>
        </w:tc>
        <w:tc>
          <w:tcPr>
            <w:tcW w:w="1984" w:type="dxa"/>
            <w:tcBorders>
              <w:top w:val="single" w:sz="4" w:space="0" w:color="auto"/>
              <w:left w:val="single" w:sz="4" w:space="0" w:color="auto"/>
              <w:bottom w:val="single" w:sz="4" w:space="0" w:color="auto"/>
              <w:right w:val="single" w:sz="4" w:space="0" w:color="auto"/>
            </w:tcBorders>
            <w:hideMark/>
          </w:tcPr>
          <w:p w:rsidR="00983691" w:rsidRPr="0091053E" w:rsidRDefault="00983691" w:rsidP="00DD5A9D">
            <w:pPr>
              <w:jc w:val="center"/>
            </w:pPr>
            <w:r w:rsidRPr="0091053E">
              <w:t>Apstiprināts 2014.gada budžets</w:t>
            </w:r>
            <w:r w:rsidR="00DD5A9D" w:rsidRPr="0091053E">
              <w:t xml:space="preserve"> (ieskaitot FM 23.05.2014. rīkojumu Nr.248</w:t>
            </w:r>
            <w:r w:rsidR="00B82F63" w:rsidRPr="0091053E">
              <w:t xml:space="preserve"> un FM 21.07.2014. rīkojumu Nr.371</w:t>
            </w:r>
            <w:r w:rsidR="00DD5A9D" w:rsidRPr="0091053E">
              <w:t>)</w:t>
            </w:r>
            <w:r w:rsidR="009F268A">
              <w:t xml:space="preserve">, </w:t>
            </w:r>
            <w:r w:rsidR="009F268A" w:rsidRPr="008514C0">
              <w:rPr>
                <w:i/>
              </w:rPr>
              <w:t>euro</w:t>
            </w:r>
          </w:p>
        </w:tc>
        <w:tc>
          <w:tcPr>
            <w:tcW w:w="1701" w:type="dxa"/>
            <w:tcBorders>
              <w:top w:val="single" w:sz="4" w:space="0" w:color="auto"/>
              <w:left w:val="single" w:sz="4" w:space="0" w:color="auto"/>
              <w:bottom w:val="single" w:sz="4" w:space="0" w:color="auto"/>
              <w:right w:val="single" w:sz="4" w:space="0" w:color="auto"/>
            </w:tcBorders>
          </w:tcPr>
          <w:p w:rsidR="00983691" w:rsidRPr="0091053E" w:rsidRDefault="00983691" w:rsidP="00725E31">
            <w:pPr>
              <w:jc w:val="center"/>
            </w:pPr>
          </w:p>
          <w:p w:rsidR="00983691" w:rsidRPr="0091053E" w:rsidRDefault="00983691" w:rsidP="00725E31">
            <w:pPr>
              <w:jc w:val="center"/>
            </w:pPr>
            <w:r w:rsidRPr="0091053E">
              <w:t>Priekšlikumi izmaiņām</w:t>
            </w:r>
            <w:r w:rsidR="009F268A">
              <w:t>,</w:t>
            </w:r>
            <w:r w:rsidR="009F268A" w:rsidRPr="00262CE2">
              <w:rPr>
                <w:i/>
              </w:rPr>
              <w:t xml:space="preserve"> euro</w:t>
            </w:r>
          </w:p>
        </w:tc>
        <w:tc>
          <w:tcPr>
            <w:tcW w:w="2126" w:type="dxa"/>
            <w:tcBorders>
              <w:top w:val="single" w:sz="4" w:space="0" w:color="auto"/>
              <w:left w:val="single" w:sz="4" w:space="0" w:color="auto"/>
              <w:bottom w:val="single" w:sz="4" w:space="0" w:color="auto"/>
              <w:right w:val="single" w:sz="4" w:space="0" w:color="auto"/>
            </w:tcBorders>
            <w:hideMark/>
          </w:tcPr>
          <w:p w:rsidR="00983691" w:rsidRPr="0091053E" w:rsidRDefault="00983691" w:rsidP="00725E31">
            <w:pPr>
              <w:jc w:val="center"/>
            </w:pPr>
            <w:r w:rsidRPr="0091053E">
              <w:t>2014.gada budžets ar izmaiņām</w:t>
            </w:r>
            <w:r w:rsidR="009F268A">
              <w:t>,</w:t>
            </w:r>
            <w:r w:rsidR="009F268A" w:rsidRPr="00262CE2">
              <w:rPr>
                <w:i/>
              </w:rPr>
              <w:t xml:space="preserve"> euro</w:t>
            </w:r>
          </w:p>
        </w:tc>
      </w:tr>
      <w:tr w:rsidR="005C1209" w:rsidRPr="00D930B0" w:rsidTr="008514C0">
        <w:trPr>
          <w:trHeight w:val="295"/>
        </w:trPr>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b/>
                <w:bCs/>
                <w:sz w:val="24"/>
                <w:szCs w:val="24"/>
              </w:rPr>
              <w:t>Resursi izdevumu segšanai</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725E31">
            <w:pPr>
              <w:jc w:val="right"/>
              <w:rPr>
                <w:b/>
                <w:bCs/>
                <w:sz w:val="24"/>
                <w:szCs w:val="24"/>
              </w:rPr>
            </w:pPr>
            <w:r w:rsidRPr="00EF5EE7">
              <w:rPr>
                <w:b/>
                <w:bCs/>
                <w:sz w:val="24"/>
                <w:szCs w:val="24"/>
              </w:rPr>
              <w:t>46 481 867</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b/>
                <w:sz w:val="24"/>
                <w:szCs w:val="24"/>
              </w:rPr>
            </w:pPr>
            <w:r w:rsidRPr="00DD5A9D">
              <w:rPr>
                <w:b/>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B235AC">
            <w:pPr>
              <w:jc w:val="right"/>
              <w:rPr>
                <w:b/>
                <w:bCs/>
                <w:sz w:val="24"/>
                <w:szCs w:val="24"/>
              </w:rPr>
            </w:pPr>
            <w:r w:rsidRPr="00EF5EE7">
              <w:rPr>
                <w:b/>
                <w:bCs/>
                <w:sz w:val="24"/>
                <w:szCs w:val="24"/>
              </w:rPr>
              <w:t>46 481 867</w:t>
            </w:r>
          </w:p>
        </w:tc>
      </w:tr>
      <w:tr w:rsidR="005C1209" w:rsidRPr="00D930B0" w:rsidTr="008514C0">
        <w:trPr>
          <w:trHeight w:val="629"/>
        </w:trPr>
        <w:tc>
          <w:tcPr>
            <w:tcW w:w="3936" w:type="dxa"/>
            <w:tcBorders>
              <w:top w:val="single" w:sz="4" w:space="0" w:color="auto"/>
              <w:left w:val="single" w:sz="4" w:space="0" w:color="auto"/>
              <w:bottom w:val="single" w:sz="4" w:space="0" w:color="auto"/>
              <w:right w:val="single" w:sz="4" w:space="0" w:color="auto"/>
            </w:tcBorders>
          </w:tcPr>
          <w:p w:rsidR="005C1209" w:rsidRPr="00EF5EE7" w:rsidRDefault="005C1209" w:rsidP="00725E31">
            <w:pPr>
              <w:jc w:val="both"/>
              <w:rPr>
                <w:bCs/>
                <w:sz w:val="24"/>
                <w:szCs w:val="24"/>
              </w:rPr>
            </w:pPr>
            <w:r w:rsidRPr="00EF5EE7">
              <w:rPr>
                <w:bCs/>
                <w:sz w:val="24"/>
                <w:szCs w:val="24"/>
              </w:rPr>
              <w:t xml:space="preserve">Ieņēmumi no maksas pakalpojumiem un citi pašu ieņēmumi </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725E31">
            <w:pPr>
              <w:jc w:val="right"/>
              <w:rPr>
                <w:sz w:val="24"/>
                <w:szCs w:val="24"/>
              </w:rPr>
            </w:pPr>
            <w:r w:rsidRPr="00EF5EE7">
              <w:rPr>
                <w:sz w:val="24"/>
                <w:szCs w:val="24"/>
              </w:rPr>
              <w:t>750 565</w:t>
            </w:r>
          </w:p>
        </w:tc>
        <w:tc>
          <w:tcPr>
            <w:tcW w:w="1701" w:type="dxa"/>
            <w:tcBorders>
              <w:top w:val="single" w:sz="4" w:space="0" w:color="auto"/>
              <w:left w:val="single" w:sz="4" w:space="0" w:color="auto"/>
              <w:bottom w:val="single" w:sz="4" w:space="0" w:color="auto"/>
              <w:right w:val="single" w:sz="4" w:space="0" w:color="auto"/>
            </w:tcBorders>
          </w:tcPr>
          <w:p w:rsidR="005C1209" w:rsidRPr="00DD5A9D" w:rsidRDefault="005C1209" w:rsidP="00725E31">
            <w:pPr>
              <w:jc w:val="right"/>
              <w:rPr>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1209" w:rsidRPr="00EF5EE7" w:rsidRDefault="005C1209" w:rsidP="00B235AC">
            <w:pPr>
              <w:jc w:val="right"/>
              <w:rPr>
                <w:sz w:val="24"/>
                <w:szCs w:val="24"/>
              </w:rPr>
            </w:pPr>
            <w:r w:rsidRPr="00EF5EE7">
              <w:rPr>
                <w:sz w:val="24"/>
                <w:szCs w:val="24"/>
              </w:rPr>
              <w:t>750 565</w:t>
            </w:r>
          </w:p>
        </w:tc>
      </w:tr>
      <w:tr w:rsidR="005C1209" w:rsidRPr="00D930B0" w:rsidTr="008514C0">
        <w:trPr>
          <w:trHeight w:val="269"/>
        </w:trPr>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bCs/>
                <w:sz w:val="24"/>
                <w:szCs w:val="24"/>
              </w:rPr>
              <w:t>Dotācija no vispārējiem ieņēmumiem</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725E31">
            <w:pPr>
              <w:jc w:val="right"/>
              <w:rPr>
                <w:bCs/>
                <w:sz w:val="24"/>
                <w:szCs w:val="24"/>
              </w:rPr>
            </w:pPr>
            <w:r w:rsidRPr="00EF5EE7">
              <w:rPr>
                <w:bCs/>
                <w:sz w:val="24"/>
                <w:szCs w:val="24"/>
              </w:rPr>
              <w:t>45 731 302</w:t>
            </w:r>
          </w:p>
        </w:tc>
        <w:tc>
          <w:tcPr>
            <w:tcW w:w="1701" w:type="dxa"/>
            <w:tcBorders>
              <w:top w:val="single" w:sz="4" w:space="0" w:color="auto"/>
              <w:left w:val="single" w:sz="4" w:space="0" w:color="auto"/>
              <w:bottom w:val="single" w:sz="4" w:space="0" w:color="auto"/>
              <w:right w:val="single" w:sz="4" w:space="0" w:color="auto"/>
            </w:tcBorders>
          </w:tcPr>
          <w:p w:rsidR="005C1209" w:rsidRPr="00DD5A9D" w:rsidRDefault="005C1209" w:rsidP="00725E31">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B235AC">
            <w:pPr>
              <w:jc w:val="right"/>
              <w:rPr>
                <w:bCs/>
                <w:sz w:val="24"/>
                <w:szCs w:val="24"/>
              </w:rPr>
            </w:pPr>
            <w:r w:rsidRPr="00EF5EE7">
              <w:rPr>
                <w:bCs/>
                <w:sz w:val="24"/>
                <w:szCs w:val="24"/>
              </w:rPr>
              <w:t>45 731 302</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b/>
                <w:bCs/>
                <w:sz w:val="24"/>
                <w:szCs w:val="24"/>
              </w:rPr>
            </w:pPr>
            <w:r w:rsidRPr="00EF5EE7">
              <w:rPr>
                <w:b/>
                <w:bCs/>
                <w:sz w:val="24"/>
                <w:szCs w:val="24"/>
              </w:rPr>
              <w:t>Izdevumi – kopā</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725E31">
            <w:pPr>
              <w:jc w:val="right"/>
              <w:rPr>
                <w:b/>
                <w:bCs/>
                <w:sz w:val="24"/>
                <w:szCs w:val="24"/>
              </w:rPr>
            </w:pPr>
            <w:r w:rsidRPr="00EF5EE7">
              <w:rPr>
                <w:b/>
                <w:bCs/>
                <w:sz w:val="24"/>
                <w:szCs w:val="24"/>
              </w:rPr>
              <w:t>46 481 867</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b/>
                <w:sz w:val="24"/>
                <w:szCs w:val="24"/>
              </w:rPr>
            </w:pPr>
            <w:r w:rsidRPr="00DD5A9D">
              <w:rPr>
                <w:b/>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B235AC">
            <w:pPr>
              <w:jc w:val="right"/>
              <w:rPr>
                <w:b/>
                <w:bCs/>
                <w:sz w:val="24"/>
                <w:szCs w:val="24"/>
              </w:rPr>
            </w:pPr>
            <w:r w:rsidRPr="00EF5EE7">
              <w:rPr>
                <w:b/>
                <w:bCs/>
                <w:sz w:val="24"/>
                <w:szCs w:val="24"/>
              </w:rPr>
              <w:t>46 481 867</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bCs/>
                <w:sz w:val="24"/>
                <w:szCs w:val="24"/>
              </w:rPr>
            </w:pPr>
            <w:r w:rsidRPr="00EF5EE7">
              <w:rPr>
                <w:bCs/>
                <w:sz w:val="24"/>
                <w:szCs w:val="24"/>
              </w:rPr>
              <w:t>Uzturēšanas izdevumi</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B82F63">
            <w:pPr>
              <w:jc w:val="right"/>
              <w:rPr>
                <w:bCs/>
                <w:sz w:val="24"/>
                <w:szCs w:val="24"/>
              </w:rPr>
            </w:pPr>
            <w:r w:rsidRPr="00EF5EE7">
              <w:rPr>
                <w:bCs/>
                <w:sz w:val="24"/>
                <w:szCs w:val="24"/>
              </w:rPr>
              <w:t xml:space="preserve">45 </w:t>
            </w:r>
            <w:r w:rsidR="00B82F63">
              <w:rPr>
                <w:bCs/>
                <w:sz w:val="24"/>
                <w:szCs w:val="24"/>
              </w:rPr>
              <w:t>886</w:t>
            </w:r>
            <w:r w:rsidRPr="00EF5EE7">
              <w:rPr>
                <w:bCs/>
                <w:sz w:val="24"/>
                <w:szCs w:val="24"/>
              </w:rPr>
              <w:t> 201</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r>
              <w:rPr>
                <w:sz w:val="24"/>
                <w:szCs w:val="24"/>
              </w:rPr>
              <w:t>-635 465</w:t>
            </w:r>
          </w:p>
        </w:tc>
        <w:tc>
          <w:tcPr>
            <w:tcW w:w="2126" w:type="dxa"/>
            <w:tcBorders>
              <w:top w:val="single" w:sz="4" w:space="0" w:color="auto"/>
              <w:left w:val="single" w:sz="4" w:space="0" w:color="auto"/>
              <w:bottom w:val="single" w:sz="4" w:space="0" w:color="auto"/>
              <w:right w:val="single" w:sz="4" w:space="0" w:color="auto"/>
            </w:tcBorders>
          </w:tcPr>
          <w:p w:rsidR="005C1209" w:rsidRPr="00DD5A9D" w:rsidRDefault="005C1209" w:rsidP="00B82F63">
            <w:pPr>
              <w:jc w:val="right"/>
              <w:rPr>
                <w:sz w:val="24"/>
                <w:szCs w:val="24"/>
              </w:rPr>
            </w:pPr>
            <w:r>
              <w:rPr>
                <w:sz w:val="24"/>
                <w:szCs w:val="24"/>
              </w:rPr>
              <w:t>45 </w:t>
            </w:r>
            <w:r w:rsidR="00B82F63">
              <w:rPr>
                <w:sz w:val="24"/>
                <w:szCs w:val="24"/>
              </w:rPr>
              <w:t>250</w:t>
            </w:r>
            <w:r>
              <w:rPr>
                <w:sz w:val="24"/>
                <w:szCs w:val="24"/>
              </w:rPr>
              <w:t xml:space="preserve"> 736</w:t>
            </w:r>
          </w:p>
        </w:tc>
      </w:tr>
      <w:tr w:rsidR="005C1209" w:rsidRPr="00D930B0" w:rsidTr="008514C0">
        <w:trPr>
          <w:trHeight w:val="365"/>
        </w:trPr>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bCs/>
                <w:sz w:val="24"/>
                <w:szCs w:val="24"/>
              </w:rPr>
              <w:t>Kārtējie izdevumi</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B82F63">
            <w:pPr>
              <w:jc w:val="right"/>
              <w:rPr>
                <w:bCs/>
                <w:sz w:val="24"/>
                <w:szCs w:val="24"/>
              </w:rPr>
            </w:pPr>
            <w:r w:rsidRPr="00EF5EE7">
              <w:rPr>
                <w:bCs/>
                <w:sz w:val="24"/>
                <w:szCs w:val="24"/>
              </w:rPr>
              <w:t xml:space="preserve">45 </w:t>
            </w:r>
            <w:r w:rsidR="00B82F63">
              <w:rPr>
                <w:bCs/>
                <w:sz w:val="24"/>
                <w:szCs w:val="24"/>
              </w:rPr>
              <w:t>886</w:t>
            </w:r>
            <w:r w:rsidRPr="00EF5EE7">
              <w:rPr>
                <w:bCs/>
                <w:sz w:val="24"/>
                <w:szCs w:val="24"/>
              </w:rPr>
              <w:t> 201</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r>
              <w:rPr>
                <w:sz w:val="24"/>
                <w:szCs w:val="24"/>
              </w:rPr>
              <w:t>-635 465</w:t>
            </w:r>
          </w:p>
        </w:tc>
        <w:tc>
          <w:tcPr>
            <w:tcW w:w="2126" w:type="dxa"/>
            <w:tcBorders>
              <w:top w:val="single" w:sz="4" w:space="0" w:color="auto"/>
              <w:left w:val="single" w:sz="4" w:space="0" w:color="auto"/>
              <w:bottom w:val="single" w:sz="4" w:space="0" w:color="auto"/>
              <w:right w:val="single" w:sz="4" w:space="0" w:color="auto"/>
            </w:tcBorders>
          </w:tcPr>
          <w:p w:rsidR="005C1209" w:rsidRPr="00DD5A9D" w:rsidRDefault="005C1209" w:rsidP="00B82F63">
            <w:pPr>
              <w:jc w:val="right"/>
              <w:rPr>
                <w:sz w:val="24"/>
                <w:szCs w:val="24"/>
              </w:rPr>
            </w:pPr>
            <w:r>
              <w:rPr>
                <w:sz w:val="24"/>
                <w:szCs w:val="24"/>
              </w:rPr>
              <w:t>45 </w:t>
            </w:r>
            <w:r w:rsidR="00B82F63">
              <w:rPr>
                <w:sz w:val="24"/>
                <w:szCs w:val="24"/>
              </w:rPr>
              <w:t>250</w:t>
            </w:r>
            <w:r>
              <w:rPr>
                <w:sz w:val="24"/>
                <w:szCs w:val="24"/>
              </w:rPr>
              <w:t xml:space="preserve"> 736</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sz w:val="24"/>
                <w:szCs w:val="24"/>
              </w:rPr>
              <w:t>Atlīdzība</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EF5EE7">
            <w:pPr>
              <w:jc w:val="right"/>
              <w:rPr>
                <w:sz w:val="24"/>
                <w:szCs w:val="24"/>
              </w:rPr>
            </w:pPr>
            <w:r w:rsidRPr="00EF5EE7">
              <w:rPr>
                <w:sz w:val="24"/>
                <w:szCs w:val="24"/>
              </w:rPr>
              <w:t>31 663 918</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C1209" w:rsidRPr="00EF5EE7" w:rsidRDefault="005C1209" w:rsidP="00B235AC">
            <w:pPr>
              <w:jc w:val="right"/>
              <w:rPr>
                <w:sz w:val="24"/>
                <w:szCs w:val="24"/>
              </w:rPr>
            </w:pPr>
            <w:r w:rsidRPr="00EF5EE7">
              <w:rPr>
                <w:sz w:val="24"/>
                <w:szCs w:val="24"/>
              </w:rPr>
              <w:t>31 663 918</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sz w:val="24"/>
                <w:szCs w:val="24"/>
              </w:rPr>
              <w:t xml:space="preserve">        Atalgojums</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EF5EE7">
            <w:pPr>
              <w:jc w:val="right"/>
              <w:rPr>
                <w:sz w:val="24"/>
                <w:szCs w:val="24"/>
              </w:rPr>
            </w:pPr>
            <w:r w:rsidRPr="00EF5EE7">
              <w:rPr>
                <w:sz w:val="24"/>
                <w:szCs w:val="24"/>
              </w:rPr>
              <w:t>24 687 887</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B235AC">
            <w:pPr>
              <w:jc w:val="right"/>
              <w:rPr>
                <w:sz w:val="24"/>
                <w:szCs w:val="24"/>
              </w:rPr>
            </w:pPr>
            <w:r w:rsidRPr="00EF5EE7">
              <w:rPr>
                <w:sz w:val="24"/>
                <w:szCs w:val="24"/>
              </w:rPr>
              <w:t>24 687 887</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sz w:val="24"/>
                <w:szCs w:val="24"/>
              </w:rPr>
              <w:t>Preces un pakalpojumi</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B82F63">
            <w:pPr>
              <w:jc w:val="right"/>
              <w:rPr>
                <w:sz w:val="24"/>
                <w:szCs w:val="24"/>
              </w:rPr>
            </w:pPr>
            <w:r w:rsidRPr="00EF5EE7">
              <w:rPr>
                <w:sz w:val="24"/>
                <w:szCs w:val="24"/>
              </w:rPr>
              <w:t>14 2</w:t>
            </w:r>
            <w:r w:rsidR="00B82F63">
              <w:rPr>
                <w:sz w:val="24"/>
                <w:szCs w:val="24"/>
              </w:rPr>
              <w:t>2</w:t>
            </w:r>
            <w:r w:rsidRPr="00EF5EE7">
              <w:rPr>
                <w:sz w:val="24"/>
                <w:szCs w:val="24"/>
              </w:rPr>
              <w:t>2 283</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r>
              <w:rPr>
                <w:sz w:val="24"/>
                <w:szCs w:val="24"/>
              </w:rPr>
              <w:t>-635 465</w:t>
            </w:r>
          </w:p>
        </w:tc>
        <w:tc>
          <w:tcPr>
            <w:tcW w:w="2126" w:type="dxa"/>
            <w:tcBorders>
              <w:top w:val="single" w:sz="4" w:space="0" w:color="auto"/>
              <w:left w:val="single" w:sz="4" w:space="0" w:color="auto"/>
              <w:bottom w:val="single" w:sz="4" w:space="0" w:color="auto"/>
              <w:right w:val="single" w:sz="4" w:space="0" w:color="auto"/>
            </w:tcBorders>
          </w:tcPr>
          <w:p w:rsidR="005C1209" w:rsidRPr="00DD5A9D" w:rsidRDefault="005C1209" w:rsidP="00B82F63">
            <w:pPr>
              <w:jc w:val="right"/>
              <w:rPr>
                <w:sz w:val="24"/>
                <w:szCs w:val="24"/>
              </w:rPr>
            </w:pPr>
            <w:r>
              <w:rPr>
                <w:sz w:val="24"/>
                <w:szCs w:val="24"/>
              </w:rPr>
              <w:t>13 </w:t>
            </w:r>
            <w:r w:rsidR="00B82F63">
              <w:rPr>
                <w:sz w:val="24"/>
                <w:szCs w:val="24"/>
              </w:rPr>
              <w:t>586</w:t>
            </w:r>
            <w:r>
              <w:rPr>
                <w:sz w:val="24"/>
                <w:szCs w:val="24"/>
              </w:rPr>
              <w:t xml:space="preserve"> 818</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bCs/>
                <w:sz w:val="24"/>
                <w:szCs w:val="24"/>
              </w:rPr>
              <w:t>Kapitālie izdevumi</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B82F63">
            <w:pPr>
              <w:jc w:val="right"/>
              <w:rPr>
                <w:bCs/>
                <w:sz w:val="24"/>
                <w:szCs w:val="24"/>
              </w:rPr>
            </w:pPr>
            <w:r w:rsidRPr="00EF5EE7">
              <w:rPr>
                <w:bCs/>
                <w:sz w:val="24"/>
                <w:szCs w:val="24"/>
              </w:rPr>
              <w:t>5</w:t>
            </w:r>
            <w:r w:rsidR="00B82F63">
              <w:rPr>
                <w:bCs/>
                <w:sz w:val="24"/>
                <w:szCs w:val="24"/>
              </w:rPr>
              <w:t>9</w:t>
            </w:r>
            <w:r w:rsidRPr="00EF5EE7">
              <w:rPr>
                <w:bCs/>
                <w:sz w:val="24"/>
                <w:szCs w:val="24"/>
              </w:rPr>
              <w:t>5 666</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r>
              <w:rPr>
                <w:sz w:val="24"/>
                <w:szCs w:val="24"/>
              </w:rPr>
              <w:t>635 465</w:t>
            </w:r>
          </w:p>
        </w:tc>
        <w:tc>
          <w:tcPr>
            <w:tcW w:w="2126" w:type="dxa"/>
            <w:tcBorders>
              <w:top w:val="single" w:sz="4" w:space="0" w:color="auto"/>
              <w:left w:val="single" w:sz="4" w:space="0" w:color="auto"/>
              <w:bottom w:val="single" w:sz="4" w:space="0" w:color="auto"/>
              <w:right w:val="single" w:sz="4" w:space="0" w:color="auto"/>
            </w:tcBorders>
          </w:tcPr>
          <w:p w:rsidR="005C1209" w:rsidRPr="00DD5A9D" w:rsidRDefault="005C1209" w:rsidP="00B82F63">
            <w:pPr>
              <w:jc w:val="right"/>
              <w:rPr>
                <w:sz w:val="24"/>
                <w:szCs w:val="24"/>
              </w:rPr>
            </w:pPr>
            <w:r>
              <w:rPr>
                <w:sz w:val="24"/>
                <w:szCs w:val="24"/>
              </w:rPr>
              <w:t>1 </w:t>
            </w:r>
            <w:r w:rsidR="00B82F63">
              <w:rPr>
                <w:sz w:val="24"/>
                <w:szCs w:val="24"/>
              </w:rPr>
              <w:t>23</w:t>
            </w:r>
            <w:r>
              <w:rPr>
                <w:sz w:val="24"/>
                <w:szCs w:val="24"/>
              </w:rPr>
              <w:t>1 131</w:t>
            </w:r>
          </w:p>
        </w:tc>
      </w:tr>
      <w:tr w:rsidR="005C1209" w:rsidRPr="00D930B0" w:rsidTr="008514C0">
        <w:tc>
          <w:tcPr>
            <w:tcW w:w="3936" w:type="dxa"/>
            <w:tcBorders>
              <w:top w:val="single" w:sz="4" w:space="0" w:color="auto"/>
              <w:left w:val="single" w:sz="4" w:space="0" w:color="auto"/>
              <w:bottom w:val="single" w:sz="4" w:space="0" w:color="auto"/>
              <w:right w:val="single" w:sz="4" w:space="0" w:color="auto"/>
            </w:tcBorders>
            <w:hideMark/>
          </w:tcPr>
          <w:p w:rsidR="005C1209" w:rsidRPr="00EF5EE7" w:rsidRDefault="005C1209" w:rsidP="00725E31">
            <w:pPr>
              <w:jc w:val="both"/>
              <w:rPr>
                <w:sz w:val="24"/>
                <w:szCs w:val="24"/>
              </w:rPr>
            </w:pPr>
            <w:r w:rsidRPr="00EF5EE7">
              <w:rPr>
                <w:b/>
                <w:bCs/>
                <w:sz w:val="24"/>
                <w:szCs w:val="24"/>
              </w:rPr>
              <w:t xml:space="preserve">         </w:t>
            </w:r>
            <w:r w:rsidRPr="00EF5EE7">
              <w:rPr>
                <w:bCs/>
                <w:sz w:val="24"/>
                <w:szCs w:val="24"/>
              </w:rPr>
              <w:t>Pamatkapitāla veidošana</w:t>
            </w:r>
          </w:p>
        </w:tc>
        <w:tc>
          <w:tcPr>
            <w:tcW w:w="1984" w:type="dxa"/>
            <w:tcBorders>
              <w:top w:val="single" w:sz="4" w:space="0" w:color="auto"/>
              <w:left w:val="single" w:sz="4" w:space="0" w:color="auto"/>
              <w:bottom w:val="single" w:sz="4" w:space="0" w:color="auto"/>
              <w:right w:val="single" w:sz="4" w:space="0" w:color="auto"/>
            </w:tcBorders>
          </w:tcPr>
          <w:p w:rsidR="005C1209" w:rsidRPr="00EF5EE7" w:rsidRDefault="005C1209" w:rsidP="00B82F63">
            <w:pPr>
              <w:jc w:val="right"/>
              <w:rPr>
                <w:bCs/>
                <w:sz w:val="24"/>
                <w:szCs w:val="24"/>
              </w:rPr>
            </w:pPr>
            <w:r w:rsidRPr="00EF5EE7">
              <w:rPr>
                <w:bCs/>
                <w:sz w:val="24"/>
                <w:szCs w:val="24"/>
              </w:rPr>
              <w:t>5</w:t>
            </w:r>
            <w:r w:rsidR="00B82F63">
              <w:rPr>
                <w:bCs/>
                <w:sz w:val="24"/>
                <w:szCs w:val="24"/>
              </w:rPr>
              <w:t>9</w:t>
            </w:r>
            <w:r w:rsidRPr="00EF5EE7">
              <w:rPr>
                <w:bCs/>
                <w:sz w:val="24"/>
                <w:szCs w:val="24"/>
              </w:rPr>
              <w:t>5 666</w:t>
            </w:r>
          </w:p>
        </w:tc>
        <w:tc>
          <w:tcPr>
            <w:tcW w:w="1701" w:type="dxa"/>
            <w:tcBorders>
              <w:top w:val="single" w:sz="4" w:space="0" w:color="auto"/>
              <w:left w:val="single" w:sz="4" w:space="0" w:color="auto"/>
              <w:bottom w:val="single" w:sz="4" w:space="0" w:color="auto"/>
              <w:right w:val="single" w:sz="4" w:space="0" w:color="auto"/>
            </w:tcBorders>
            <w:hideMark/>
          </w:tcPr>
          <w:p w:rsidR="005C1209" w:rsidRPr="00DD5A9D" w:rsidRDefault="005C1209" w:rsidP="00725E31">
            <w:pPr>
              <w:jc w:val="right"/>
              <w:rPr>
                <w:sz w:val="24"/>
                <w:szCs w:val="24"/>
              </w:rPr>
            </w:pPr>
            <w:r>
              <w:rPr>
                <w:sz w:val="24"/>
                <w:szCs w:val="24"/>
              </w:rPr>
              <w:t>635 465</w:t>
            </w:r>
          </w:p>
        </w:tc>
        <w:tc>
          <w:tcPr>
            <w:tcW w:w="2126" w:type="dxa"/>
            <w:tcBorders>
              <w:top w:val="single" w:sz="4" w:space="0" w:color="auto"/>
              <w:left w:val="single" w:sz="4" w:space="0" w:color="auto"/>
              <w:bottom w:val="single" w:sz="4" w:space="0" w:color="auto"/>
              <w:right w:val="single" w:sz="4" w:space="0" w:color="auto"/>
            </w:tcBorders>
            <w:hideMark/>
          </w:tcPr>
          <w:p w:rsidR="005C1209" w:rsidRPr="00DD5A9D" w:rsidRDefault="005C1209" w:rsidP="00B82F63">
            <w:pPr>
              <w:jc w:val="right"/>
              <w:rPr>
                <w:sz w:val="24"/>
                <w:szCs w:val="24"/>
              </w:rPr>
            </w:pPr>
            <w:r>
              <w:rPr>
                <w:sz w:val="24"/>
                <w:szCs w:val="24"/>
              </w:rPr>
              <w:t>1 </w:t>
            </w:r>
            <w:r w:rsidR="00B82F63">
              <w:rPr>
                <w:sz w:val="24"/>
                <w:szCs w:val="24"/>
              </w:rPr>
              <w:t>23</w:t>
            </w:r>
            <w:r>
              <w:rPr>
                <w:sz w:val="24"/>
                <w:szCs w:val="24"/>
              </w:rPr>
              <w:t>1 131</w:t>
            </w:r>
          </w:p>
        </w:tc>
      </w:tr>
    </w:tbl>
    <w:p w:rsidR="002215A0" w:rsidRPr="00D930B0" w:rsidRDefault="002215A0" w:rsidP="00725E31">
      <w:pPr>
        <w:jc w:val="both"/>
        <w:rPr>
          <w:rFonts w:cs="Times New Roman"/>
          <w:sz w:val="24"/>
          <w:szCs w:val="24"/>
        </w:rPr>
      </w:pPr>
    </w:p>
    <w:p w:rsidR="002215A0" w:rsidRPr="00D930B0" w:rsidRDefault="002215A0" w:rsidP="005C1209">
      <w:pPr>
        <w:ind w:firstLine="459"/>
        <w:jc w:val="both"/>
        <w:rPr>
          <w:rFonts w:cs="Times New Roman"/>
          <w:color w:val="000000"/>
          <w:sz w:val="24"/>
          <w:szCs w:val="24"/>
        </w:rPr>
      </w:pPr>
      <w:r w:rsidRPr="00D930B0">
        <w:rPr>
          <w:rFonts w:cs="Times New Roman"/>
          <w:color w:val="000000"/>
          <w:sz w:val="24"/>
          <w:szCs w:val="24"/>
        </w:rPr>
        <w:t xml:space="preserve">Papildus norādām, ka </w:t>
      </w:r>
      <w:r w:rsidR="00172F41">
        <w:rPr>
          <w:rFonts w:cs="Times New Roman"/>
          <w:color w:val="000000"/>
          <w:sz w:val="24"/>
          <w:szCs w:val="24"/>
        </w:rPr>
        <w:t>apropriācijas pārdale neietekmē</w:t>
      </w:r>
      <w:r w:rsidRPr="00D930B0">
        <w:rPr>
          <w:rFonts w:cs="Times New Roman"/>
          <w:color w:val="000000"/>
          <w:sz w:val="24"/>
          <w:szCs w:val="24"/>
        </w:rPr>
        <w:t xml:space="preserve"> nākamajiem periodiem noteiktos maksimāli pieļaujamos izdevumu apjomus</w:t>
      </w:r>
      <w:r w:rsidR="00172F41">
        <w:rPr>
          <w:rFonts w:cs="Times New Roman"/>
          <w:color w:val="000000"/>
          <w:sz w:val="24"/>
          <w:szCs w:val="24"/>
        </w:rPr>
        <w:t>.</w:t>
      </w:r>
      <w:r w:rsidRPr="00D930B0">
        <w:rPr>
          <w:rFonts w:cs="Times New Roman"/>
          <w:color w:val="000000"/>
          <w:sz w:val="24"/>
          <w:szCs w:val="24"/>
        </w:rPr>
        <w:t xml:space="preserve"> </w:t>
      </w:r>
    </w:p>
    <w:p w:rsidR="005C1209" w:rsidRPr="00A47CBB" w:rsidRDefault="005C1209" w:rsidP="005C1209">
      <w:pPr>
        <w:ind w:firstLine="459"/>
        <w:jc w:val="both"/>
        <w:rPr>
          <w:sz w:val="24"/>
          <w:szCs w:val="24"/>
        </w:rPr>
      </w:pPr>
      <w:r w:rsidRPr="00EA528E">
        <w:rPr>
          <w:sz w:val="24"/>
          <w:szCs w:val="24"/>
        </w:rPr>
        <w:t xml:space="preserve">Likuma „Par valsts budžetu 2014.gadam” 32.panta 11.punktā noteikts, ka nav pieļaujama apropriācijas pārdale no prioritārajiem pasākumiem un </w:t>
      </w:r>
      <w:r>
        <w:rPr>
          <w:sz w:val="24"/>
          <w:szCs w:val="24"/>
        </w:rPr>
        <w:t>jaunajām politikas iniciatīvām</w:t>
      </w:r>
      <w:r w:rsidRPr="00EA528E">
        <w:rPr>
          <w:sz w:val="24"/>
          <w:szCs w:val="24"/>
        </w:rPr>
        <w:t xml:space="preserve"> piešķirtā finansējuma citiem mērķiem. Savukārt, </w:t>
      </w:r>
      <w:r>
        <w:rPr>
          <w:sz w:val="24"/>
          <w:szCs w:val="24"/>
        </w:rPr>
        <w:t>minētā</w:t>
      </w:r>
      <w:r w:rsidRPr="00EA528E">
        <w:rPr>
          <w:sz w:val="24"/>
          <w:szCs w:val="24"/>
        </w:rPr>
        <w:t xml:space="preserve"> likuma 33.panta 3.punktā ir noteikts</w:t>
      </w:r>
      <w:r>
        <w:rPr>
          <w:sz w:val="24"/>
          <w:szCs w:val="24"/>
        </w:rPr>
        <w:t xml:space="preserve">, ka 32.panta nosacījumi </w:t>
      </w:r>
      <w:r w:rsidRPr="00EA528E">
        <w:rPr>
          <w:sz w:val="24"/>
          <w:szCs w:val="24"/>
        </w:rPr>
        <w:t>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32.panta nosacījumus.</w:t>
      </w:r>
      <w:r>
        <w:rPr>
          <w:sz w:val="24"/>
          <w:szCs w:val="24"/>
        </w:rPr>
        <w:t xml:space="preserve"> Šādu apropriācijas pārdali atļauts veikt, ja Saeimas Budžeta un finanšu (nodokļu) komisija piecu darba dienu laikā no attiecīgās informācijas saņemšanas nav iebildusi pret apropriācijas pārdali.</w:t>
      </w:r>
    </w:p>
    <w:p w:rsidR="00BE3DDE" w:rsidRPr="00EA528E" w:rsidRDefault="005C1209" w:rsidP="000C4C89">
      <w:pPr>
        <w:ind w:firstLine="709"/>
        <w:jc w:val="both"/>
        <w:rPr>
          <w:rFonts w:cs="Times New Roman"/>
          <w:sz w:val="24"/>
          <w:szCs w:val="24"/>
        </w:rPr>
      </w:pPr>
      <w:r>
        <w:rPr>
          <w:rFonts w:cs="Times New Roman"/>
          <w:sz w:val="24"/>
          <w:szCs w:val="24"/>
        </w:rPr>
        <w:t>Ņemot vērā minēto, lūdzu Ministru kabinetu</w:t>
      </w:r>
      <w:r w:rsidR="002215A0" w:rsidRPr="00EA528E">
        <w:rPr>
          <w:rFonts w:cs="Times New Roman"/>
          <w:sz w:val="24"/>
          <w:szCs w:val="24"/>
        </w:rPr>
        <w:t xml:space="preserve"> atbalstīt iesniegto priekšlikumu par </w:t>
      </w:r>
      <w:r>
        <w:rPr>
          <w:rFonts w:cs="Times New Roman"/>
          <w:sz w:val="24"/>
          <w:szCs w:val="24"/>
        </w:rPr>
        <w:t>Tieslietu</w:t>
      </w:r>
      <w:r w:rsidR="002215A0" w:rsidRPr="00EA528E">
        <w:rPr>
          <w:rFonts w:cs="Times New Roman"/>
          <w:sz w:val="24"/>
          <w:szCs w:val="24"/>
        </w:rPr>
        <w:t xml:space="preserve"> ministrijas </w:t>
      </w:r>
      <w:r w:rsidR="009C32D1">
        <w:rPr>
          <w:rFonts w:cs="Times New Roman"/>
          <w:sz w:val="24"/>
          <w:szCs w:val="24"/>
        </w:rPr>
        <w:t xml:space="preserve">budžeta </w:t>
      </w:r>
      <w:r>
        <w:rPr>
          <w:rFonts w:cs="Times New Roman"/>
          <w:sz w:val="24"/>
          <w:szCs w:val="24"/>
        </w:rPr>
        <w:t>apakšp</w:t>
      </w:r>
      <w:r w:rsidR="002215A0" w:rsidRPr="00EA528E">
        <w:rPr>
          <w:rFonts w:cs="Times New Roman"/>
          <w:sz w:val="24"/>
          <w:szCs w:val="24"/>
        </w:rPr>
        <w:t xml:space="preserve">rogrammas </w:t>
      </w:r>
      <w:r w:rsidRPr="00D930B0">
        <w:rPr>
          <w:sz w:val="24"/>
          <w:szCs w:val="24"/>
        </w:rPr>
        <w:t xml:space="preserve">03.02.00 „Apgabaltiesas un rajona (pilsētas) tiesas” </w:t>
      </w:r>
      <w:r w:rsidR="002215A0" w:rsidRPr="00EA528E">
        <w:rPr>
          <w:rFonts w:cs="Times New Roman"/>
          <w:sz w:val="24"/>
          <w:szCs w:val="24"/>
        </w:rPr>
        <w:t>ietvaros apropriācijas pārdali starp budžeta izdevumu kodiem atbilstoši ekonomiskajām kategorijām.</w:t>
      </w:r>
    </w:p>
    <w:p w:rsidR="00346027" w:rsidRPr="00EA528E" w:rsidRDefault="00346027" w:rsidP="00BD58FE">
      <w:pPr>
        <w:jc w:val="both"/>
        <w:rPr>
          <w:rFonts w:cs="Times New Roman"/>
          <w:sz w:val="24"/>
          <w:szCs w:val="24"/>
        </w:rPr>
      </w:pPr>
    </w:p>
    <w:p w:rsidR="00BD58FE" w:rsidRPr="00EA528E" w:rsidRDefault="001A6E3B" w:rsidP="006F26B2">
      <w:pPr>
        <w:tabs>
          <w:tab w:val="left" w:pos="8505"/>
        </w:tabs>
        <w:jc w:val="both"/>
        <w:rPr>
          <w:rFonts w:cs="Times New Roman"/>
          <w:sz w:val="24"/>
          <w:szCs w:val="24"/>
        </w:rPr>
      </w:pPr>
      <w:r>
        <w:rPr>
          <w:rFonts w:cs="Times New Roman"/>
          <w:sz w:val="24"/>
          <w:szCs w:val="24"/>
        </w:rPr>
        <w:t xml:space="preserve">Tieslietu </w:t>
      </w:r>
      <w:r w:rsidR="006F26B2">
        <w:rPr>
          <w:rFonts w:cs="Times New Roman"/>
          <w:sz w:val="24"/>
          <w:szCs w:val="24"/>
        </w:rPr>
        <w:t xml:space="preserve">ministrs </w:t>
      </w:r>
      <w:r w:rsidR="006F26B2">
        <w:rPr>
          <w:rFonts w:cs="Times New Roman"/>
          <w:sz w:val="24"/>
          <w:szCs w:val="24"/>
        </w:rPr>
        <w:tab/>
        <w:t>G.Bērziņš</w:t>
      </w:r>
    </w:p>
    <w:p w:rsidR="00BD58FE" w:rsidRDefault="00BD58FE" w:rsidP="00BD58FE">
      <w:pPr>
        <w:jc w:val="both"/>
        <w:rPr>
          <w:rFonts w:cs="Times New Roman"/>
          <w:sz w:val="24"/>
          <w:szCs w:val="24"/>
        </w:rPr>
      </w:pPr>
    </w:p>
    <w:p w:rsidR="006D5BB2" w:rsidRPr="00B82F63" w:rsidRDefault="006D5BB2" w:rsidP="00BD58FE">
      <w:pPr>
        <w:jc w:val="both"/>
        <w:rPr>
          <w:rFonts w:cs="Times New Roman"/>
          <w:sz w:val="22"/>
        </w:rPr>
      </w:pPr>
    </w:p>
    <w:p w:rsidR="00BD58FE" w:rsidRPr="00EA528E" w:rsidRDefault="006D5BB2" w:rsidP="00BD58FE">
      <w:pPr>
        <w:jc w:val="both"/>
        <w:rPr>
          <w:rFonts w:cs="Times New Roman"/>
          <w:sz w:val="24"/>
          <w:szCs w:val="24"/>
        </w:rPr>
      </w:pPr>
      <w:r>
        <w:rPr>
          <w:rFonts w:cs="Times New Roman"/>
          <w:sz w:val="24"/>
          <w:szCs w:val="24"/>
        </w:rPr>
        <w:t>Iesniedzējs</w:t>
      </w:r>
      <w:r w:rsidR="00BD58FE" w:rsidRPr="00EA528E">
        <w:rPr>
          <w:rFonts w:cs="Times New Roman"/>
          <w:sz w:val="24"/>
          <w:szCs w:val="24"/>
        </w:rPr>
        <w:t>:</w:t>
      </w:r>
    </w:p>
    <w:p w:rsidR="001A6E3B" w:rsidRPr="00EA528E" w:rsidRDefault="00456DA9" w:rsidP="006F26B2">
      <w:pPr>
        <w:tabs>
          <w:tab w:val="left" w:pos="993"/>
          <w:tab w:val="left" w:pos="1418"/>
          <w:tab w:val="left" w:pos="8505"/>
        </w:tabs>
        <w:jc w:val="both"/>
        <w:rPr>
          <w:rFonts w:cs="Times New Roman"/>
          <w:sz w:val="24"/>
          <w:szCs w:val="24"/>
        </w:rPr>
      </w:pPr>
      <w:r>
        <w:rPr>
          <w:rFonts w:cs="Times New Roman"/>
          <w:sz w:val="24"/>
          <w:szCs w:val="24"/>
        </w:rPr>
        <w:t>Tieslietu ministr</w:t>
      </w:r>
      <w:r w:rsidR="006F26B2">
        <w:rPr>
          <w:rFonts w:cs="Times New Roman"/>
          <w:sz w:val="24"/>
          <w:szCs w:val="24"/>
        </w:rPr>
        <w:t xml:space="preserve">s </w:t>
      </w:r>
      <w:r w:rsidR="006F26B2">
        <w:rPr>
          <w:rFonts w:cs="Times New Roman"/>
          <w:sz w:val="24"/>
          <w:szCs w:val="24"/>
        </w:rPr>
        <w:tab/>
        <w:t>G.Bērziņš</w:t>
      </w:r>
    </w:p>
    <w:p w:rsidR="006C32A0" w:rsidRDefault="006C32A0" w:rsidP="00BD58FE">
      <w:pPr>
        <w:jc w:val="both"/>
        <w:rPr>
          <w:rFonts w:cs="Times New Roman"/>
          <w:sz w:val="22"/>
        </w:rPr>
      </w:pPr>
    </w:p>
    <w:p w:rsidR="00232DAE" w:rsidRPr="006D5BB2" w:rsidRDefault="006F26B2" w:rsidP="00BD58FE">
      <w:pPr>
        <w:jc w:val="both"/>
        <w:rPr>
          <w:rFonts w:cs="Times New Roman"/>
          <w:sz w:val="20"/>
          <w:szCs w:val="20"/>
        </w:rPr>
      </w:pPr>
      <w:r>
        <w:rPr>
          <w:rFonts w:cs="Times New Roman"/>
          <w:sz w:val="20"/>
          <w:szCs w:val="20"/>
        </w:rPr>
        <w:t>26</w:t>
      </w:r>
      <w:r w:rsidR="00B82F63" w:rsidRPr="006D5BB2">
        <w:rPr>
          <w:rFonts w:cs="Times New Roman"/>
          <w:sz w:val="20"/>
          <w:szCs w:val="20"/>
        </w:rPr>
        <w:t>.08</w:t>
      </w:r>
      <w:r w:rsidR="00BD58FE" w:rsidRPr="006D5BB2">
        <w:rPr>
          <w:rFonts w:cs="Times New Roman"/>
          <w:sz w:val="20"/>
          <w:szCs w:val="20"/>
        </w:rPr>
        <w:t>.2014.</w:t>
      </w:r>
      <w:r w:rsidR="00C476A1" w:rsidRPr="006D5BB2">
        <w:rPr>
          <w:rFonts w:cs="Times New Roman"/>
          <w:sz w:val="20"/>
          <w:szCs w:val="20"/>
        </w:rPr>
        <w:t xml:space="preserve"> </w:t>
      </w:r>
      <w:r>
        <w:rPr>
          <w:rFonts w:cs="Times New Roman"/>
          <w:sz w:val="20"/>
          <w:szCs w:val="20"/>
        </w:rPr>
        <w:t>16:40</w:t>
      </w:r>
    </w:p>
    <w:p w:rsidR="00F157DA" w:rsidRPr="006D5BB2" w:rsidRDefault="009F268A" w:rsidP="00BD58FE">
      <w:pPr>
        <w:jc w:val="both"/>
        <w:rPr>
          <w:rFonts w:cs="Times New Roman"/>
          <w:sz w:val="20"/>
          <w:szCs w:val="20"/>
        </w:rPr>
      </w:pPr>
      <w:r w:rsidRPr="006D5BB2">
        <w:rPr>
          <w:rFonts w:cs="Times New Roman"/>
          <w:sz w:val="20"/>
          <w:szCs w:val="20"/>
        </w:rPr>
        <w:t>8</w:t>
      </w:r>
      <w:r w:rsidR="006F26B2">
        <w:rPr>
          <w:rFonts w:cs="Times New Roman"/>
          <w:sz w:val="20"/>
          <w:szCs w:val="20"/>
        </w:rPr>
        <w:t>18</w:t>
      </w:r>
    </w:p>
    <w:p w:rsidR="00BD58FE" w:rsidRPr="006D5BB2" w:rsidRDefault="00456DA9" w:rsidP="00BD58FE">
      <w:pPr>
        <w:jc w:val="both"/>
        <w:rPr>
          <w:rFonts w:cs="Times New Roman"/>
          <w:sz w:val="20"/>
          <w:szCs w:val="20"/>
        </w:rPr>
      </w:pPr>
      <w:r>
        <w:rPr>
          <w:rFonts w:cs="Times New Roman"/>
          <w:sz w:val="20"/>
          <w:szCs w:val="20"/>
        </w:rPr>
        <w:t>Āboliņa</w:t>
      </w:r>
    </w:p>
    <w:p w:rsidR="00BD58FE" w:rsidRPr="006D5BB2" w:rsidRDefault="0060457A" w:rsidP="00BD58FE">
      <w:pPr>
        <w:jc w:val="both"/>
        <w:rPr>
          <w:rFonts w:cs="Times New Roman"/>
          <w:sz w:val="20"/>
          <w:szCs w:val="20"/>
        </w:rPr>
      </w:pPr>
      <w:r>
        <w:rPr>
          <w:rFonts w:cs="Times New Roman"/>
          <w:sz w:val="20"/>
          <w:szCs w:val="20"/>
        </w:rPr>
        <w:t>67063811</w:t>
      </w:r>
      <w:r w:rsidR="002F728F">
        <w:rPr>
          <w:rFonts w:cs="Times New Roman"/>
          <w:sz w:val="20"/>
          <w:szCs w:val="20"/>
        </w:rPr>
        <w:t xml:space="preserve"> </w:t>
      </w:r>
      <w:r w:rsidR="00456DA9">
        <w:rPr>
          <w:rFonts w:cs="Times New Roman"/>
          <w:sz w:val="20"/>
          <w:szCs w:val="20"/>
        </w:rPr>
        <w:t>Olita.Abolina</w:t>
      </w:r>
      <w:r w:rsidR="001A6E3B" w:rsidRPr="006D5BB2">
        <w:rPr>
          <w:rFonts w:cs="Times New Roman"/>
          <w:sz w:val="20"/>
          <w:szCs w:val="20"/>
        </w:rPr>
        <w:t>@ta.gov.lv</w:t>
      </w:r>
    </w:p>
    <w:sectPr w:rsidR="00BD58FE" w:rsidRPr="006D5BB2" w:rsidSect="008514C0">
      <w:headerReference w:type="default" r:id="rId8"/>
      <w:footerReference w:type="default" r:id="rId9"/>
      <w:footerReference w:type="first" r:id="rId10"/>
      <w:pgSz w:w="11906" w:h="16838"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A" w:rsidRDefault="00BA7B0A" w:rsidP="00504302">
      <w:r>
        <w:separator/>
      </w:r>
    </w:p>
  </w:endnote>
  <w:endnote w:type="continuationSeparator" w:id="0">
    <w:p w:rsidR="00BA7B0A" w:rsidRDefault="00BA7B0A" w:rsidP="0050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02" w:rsidRDefault="00B82F63" w:rsidP="008514C0">
    <w:pPr>
      <w:jc w:val="both"/>
    </w:pPr>
    <w:r>
      <w:rPr>
        <w:sz w:val="20"/>
        <w:szCs w:val="20"/>
      </w:rPr>
      <w:t>TMZin</w:t>
    </w:r>
    <w:r w:rsidR="00C91F84">
      <w:rPr>
        <w:sz w:val="20"/>
        <w:szCs w:val="20"/>
      </w:rPr>
      <w:t>o_</w:t>
    </w:r>
    <w:r w:rsidR="006F26B2">
      <w:rPr>
        <w:sz w:val="20"/>
        <w:szCs w:val="20"/>
      </w:rPr>
      <w:t>26</w:t>
    </w:r>
    <w:r w:rsidR="00C91F84">
      <w:rPr>
        <w:sz w:val="20"/>
        <w:szCs w:val="20"/>
      </w:rPr>
      <w:t>0814</w:t>
    </w:r>
    <w:r>
      <w:rPr>
        <w:sz w:val="20"/>
        <w:szCs w:val="20"/>
      </w:rPr>
      <w:t xml:space="preserve">_apr_pard; </w:t>
    </w:r>
    <w:r w:rsidR="001A6E3B">
      <w:rPr>
        <w:sz w:val="20"/>
        <w:szCs w:val="20"/>
      </w:rPr>
      <w:t xml:space="preserve">Informatīvais ziņojums </w:t>
    </w:r>
    <w:r w:rsidR="001A6E3B" w:rsidRPr="001A6E3B">
      <w:rPr>
        <w:rFonts w:cs="Times New Roman"/>
        <w:sz w:val="20"/>
        <w:szCs w:val="20"/>
      </w:rPr>
      <w:t>par apropriācijas pārdali starp bud</w:t>
    </w:r>
    <w:r w:rsidR="001A6E3B">
      <w:rPr>
        <w:rFonts w:cs="Times New Roman"/>
        <w:sz w:val="20"/>
        <w:szCs w:val="20"/>
      </w:rPr>
      <w:t xml:space="preserve">žeta izdevumu kodiem atbilstoši </w:t>
    </w:r>
    <w:r w:rsidR="001A6E3B" w:rsidRPr="001A6E3B">
      <w:rPr>
        <w:rFonts w:cs="Times New Roman"/>
        <w:sz w:val="20"/>
        <w:szCs w:val="20"/>
      </w:rPr>
      <w:t xml:space="preserve">ekonomiskajām kategorijām Tieslietu ministrijas pamatbudžeta apakšprogrammas 03.02.00 „Apgabaltiesas un rajona (pilsētas) tiesas” ietvaros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9A" w:rsidRDefault="001A6E3B" w:rsidP="006D5BB2">
    <w:pPr>
      <w:jc w:val="both"/>
    </w:pPr>
    <w:r>
      <w:rPr>
        <w:sz w:val="20"/>
        <w:szCs w:val="20"/>
      </w:rPr>
      <w:t>T</w:t>
    </w:r>
    <w:r w:rsidR="00B82F63">
      <w:rPr>
        <w:sz w:val="20"/>
        <w:szCs w:val="20"/>
      </w:rPr>
      <w:t>MZin</w:t>
    </w:r>
    <w:r w:rsidR="00C91F84">
      <w:rPr>
        <w:sz w:val="20"/>
        <w:szCs w:val="20"/>
      </w:rPr>
      <w:t>o_</w:t>
    </w:r>
    <w:r w:rsidR="006F26B2">
      <w:rPr>
        <w:sz w:val="20"/>
        <w:szCs w:val="20"/>
      </w:rPr>
      <w:t>26</w:t>
    </w:r>
    <w:r w:rsidR="00C91F84">
      <w:rPr>
        <w:sz w:val="20"/>
        <w:szCs w:val="20"/>
      </w:rPr>
      <w:t>0814</w:t>
    </w:r>
    <w:r w:rsidR="00AC5D9A">
      <w:rPr>
        <w:sz w:val="20"/>
        <w:szCs w:val="20"/>
      </w:rPr>
      <w:t>_</w:t>
    </w:r>
    <w:r w:rsidR="00B82F63">
      <w:rPr>
        <w:sz w:val="20"/>
        <w:szCs w:val="20"/>
      </w:rPr>
      <w:t>apr_pard</w:t>
    </w:r>
    <w:r w:rsidR="00AC5D9A">
      <w:rPr>
        <w:sz w:val="20"/>
        <w:szCs w:val="20"/>
      </w:rPr>
      <w:t xml:space="preserve">; Informatīvais ziņojums </w:t>
    </w:r>
    <w:r w:rsidRPr="001A6E3B">
      <w:rPr>
        <w:rFonts w:cs="Times New Roman"/>
        <w:sz w:val="20"/>
        <w:szCs w:val="20"/>
      </w:rPr>
      <w:t>par apropriācijas pārdali starp bud</w:t>
    </w:r>
    <w:r>
      <w:rPr>
        <w:rFonts w:cs="Times New Roman"/>
        <w:sz w:val="20"/>
        <w:szCs w:val="20"/>
      </w:rPr>
      <w:t xml:space="preserve">žeta izdevumu kodiem atbilstoši </w:t>
    </w:r>
    <w:r w:rsidRPr="001A6E3B">
      <w:rPr>
        <w:rFonts w:cs="Times New Roman"/>
        <w:sz w:val="20"/>
        <w:szCs w:val="20"/>
      </w:rPr>
      <w:t>ekonomiskajām kategorijām Tieslietu ministrijas pamatbudžeta apakšprogrammas 03.02.00 „Apgabaltiesas un rajona (pilsētas) tiesas”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A" w:rsidRDefault="00BA7B0A" w:rsidP="00504302">
      <w:r>
        <w:separator/>
      </w:r>
    </w:p>
  </w:footnote>
  <w:footnote w:type="continuationSeparator" w:id="0">
    <w:p w:rsidR="00BA7B0A" w:rsidRDefault="00BA7B0A" w:rsidP="0050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52851"/>
      <w:docPartObj>
        <w:docPartGallery w:val="Page Numbers (Top of Page)"/>
        <w:docPartUnique/>
      </w:docPartObj>
    </w:sdtPr>
    <w:sdtEndPr>
      <w:rPr>
        <w:noProof/>
      </w:rPr>
    </w:sdtEndPr>
    <w:sdtContent>
      <w:p w:rsidR="006904DD" w:rsidRDefault="006904DD">
        <w:pPr>
          <w:pStyle w:val="Header"/>
          <w:jc w:val="center"/>
        </w:pPr>
        <w:r>
          <w:fldChar w:fldCharType="begin"/>
        </w:r>
        <w:r>
          <w:instrText xml:space="preserve"> PAGE   \* MERGEFORMAT </w:instrText>
        </w:r>
        <w:r>
          <w:fldChar w:fldCharType="separate"/>
        </w:r>
        <w:r w:rsidR="002A60CF">
          <w:rPr>
            <w:noProof/>
          </w:rPr>
          <w:t>2</w:t>
        </w:r>
        <w:r>
          <w:rPr>
            <w:noProof/>
          </w:rPr>
          <w:fldChar w:fldCharType="end"/>
        </w:r>
      </w:p>
    </w:sdtContent>
  </w:sdt>
  <w:p w:rsidR="006904DD" w:rsidRDefault="0069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82"/>
    <w:multiLevelType w:val="hybridMultilevel"/>
    <w:tmpl w:val="45565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56433C"/>
    <w:multiLevelType w:val="hybridMultilevel"/>
    <w:tmpl w:val="4D58BAA8"/>
    <w:lvl w:ilvl="0" w:tplc="A62EE72C">
      <w:start w:val="513"/>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497B4146"/>
    <w:multiLevelType w:val="hybridMultilevel"/>
    <w:tmpl w:val="3B245BCC"/>
    <w:lvl w:ilvl="0" w:tplc="A62EE72C">
      <w:start w:val="51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6827427"/>
    <w:multiLevelType w:val="hybridMultilevel"/>
    <w:tmpl w:val="8B76D8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1"/>
    <w:rsid w:val="000125C8"/>
    <w:rsid w:val="000465DF"/>
    <w:rsid w:val="00050FB0"/>
    <w:rsid w:val="000626BD"/>
    <w:rsid w:val="00084580"/>
    <w:rsid w:val="000914B5"/>
    <w:rsid w:val="000A077A"/>
    <w:rsid w:val="000A68B4"/>
    <w:rsid w:val="000B5DBC"/>
    <w:rsid w:val="000C3AFE"/>
    <w:rsid w:val="000C3C80"/>
    <w:rsid w:val="000C4C89"/>
    <w:rsid w:val="000D75A8"/>
    <w:rsid w:val="000E01F8"/>
    <w:rsid w:val="000F01B0"/>
    <w:rsid w:val="000F7785"/>
    <w:rsid w:val="001013A9"/>
    <w:rsid w:val="001033EF"/>
    <w:rsid w:val="00141D64"/>
    <w:rsid w:val="00152E1C"/>
    <w:rsid w:val="00172F41"/>
    <w:rsid w:val="00174A9A"/>
    <w:rsid w:val="001811F3"/>
    <w:rsid w:val="0018522B"/>
    <w:rsid w:val="001961F8"/>
    <w:rsid w:val="001A6E3B"/>
    <w:rsid w:val="001C280B"/>
    <w:rsid w:val="001C7E2E"/>
    <w:rsid w:val="001F2E81"/>
    <w:rsid w:val="00214262"/>
    <w:rsid w:val="002215A0"/>
    <w:rsid w:val="002242E4"/>
    <w:rsid w:val="002306EE"/>
    <w:rsid w:val="00232DAE"/>
    <w:rsid w:val="00241F3A"/>
    <w:rsid w:val="00247352"/>
    <w:rsid w:val="00247DE3"/>
    <w:rsid w:val="00251F50"/>
    <w:rsid w:val="0025644B"/>
    <w:rsid w:val="00265CAE"/>
    <w:rsid w:val="00285111"/>
    <w:rsid w:val="00285967"/>
    <w:rsid w:val="002A60CF"/>
    <w:rsid w:val="002B2AFA"/>
    <w:rsid w:val="002B5742"/>
    <w:rsid w:val="002B5D48"/>
    <w:rsid w:val="002B62FD"/>
    <w:rsid w:val="002E05F2"/>
    <w:rsid w:val="002E4AC7"/>
    <w:rsid w:val="002F728F"/>
    <w:rsid w:val="003061C0"/>
    <w:rsid w:val="003137CA"/>
    <w:rsid w:val="00341DC7"/>
    <w:rsid w:val="00343FB6"/>
    <w:rsid w:val="00344AE6"/>
    <w:rsid w:val="00346027"/>
    <w:rsid w:val="0035566A"/>
    <w:rsid w:val="00365775"/>
    <w:rsid w:val="00380C72"/>
    <w:rsid w:val="00387569"/>
    <w:rsid w:val="003912E0"/>
    <w:rsid w:val="0039216A"/>
    <w:rsid w:val="003A63BA"/>
    <w:rsid w:val="003B1493"/>
    <w:rsid w:val="003B1FAE"/>
    <w:rsid w:val="003B33DC"/>
    <w:rsid w:val="003B3FF2"/>
    <w:rsid w:val="003C2B5E"/>
    <w:rsid w:val="003D6117"/>
    <w:rsid w:val="003D652B"/>
    <w:rsid w:val="003E19D4"/>
    <w:rsid w:val="003E754F"/>
    <w:rsid w:val="003E7FE2"/>
    <w:rsid w:val="003F0501"/>
    <w:rsid w:val="003F528C"/>
    <w:rsid w:val="00417A43"/>
    <w:rsid w:val="004539D8"/>
    <w:rsid w:val="00456DA9"/>
    <w:rsid w:val="004B1179"/>
    <w:rsid w:val="004B575D"/>
    <w:rsid w:val="004C0BAC"/>
    <w:rsid w:val="004E5F72"/>
    <w:rsid w:val="00504302"/>
    <w:rsid w:val="00510D29"/>
    <w:rsid w:val="005254EB"/>
    <w:rsid w:val="00542335"/>
    <w:rsid w:val="00546831"/>
    <w:rsid w:val="00551494"/>
    <w:rsid w:val="00553396"/>
    <w:rsid w:val="0057232C"/>
    <w:rsid w:val="00576F37"/>
    <w:rsid w:val="00587D2C"/>
    <w:rsid w:val="00592AA0"/>
    <w:rsid w:val="005B1ED1"/>
    <w:rsid w:val="005C1209"/>
    <w:rsid w:val="005D0241"/>
    <w:rsid w:val="0060457A"/>
    <w:rsid w:val="00620017"/>
    <w:rsid w:val="00627107"/>
    <w:rsid w:val="00657E0C"/>
    <w:rsid w:val="00671078"/>
    <w:rsid w:val="0068134F"/>
    <w:rsid w:val="006904DD"/>
    <w:rsid w:val="006A19A9"/>
    <w:rsid w:val="006A4F39"/>
    <w:rsid w:val="006C018F"/>
    <w:rsid w:val="006C32A0"/>
    <w:rsid w:val="006C50FB"/>
    <w:rsid w:val="006C6929"/>
    <w:rsid w:val="006D3CB8"/>
    <w:rsid w:val="006D5BB2"/>
    <w:rsid w:val="006E6598"/>
    <w:rsid w:val="006E79BB"/>
    <w:rsid w:val="006F26B2"/>
    <w:rsid w:val="006F5C62"/>
    <w:rsid w:val="007110ED"/>
    <w:rsid w:val="00713C1F"/>
    <w:rsid w:val="00713CD7"/>
    <w:rsid w:val="00725E31"/>
    <w:rsid w:val="00730BEA"/>
    <w:rsid w:val="007321D0"/>
    <w:rsid w:val="0073436A"/>
    <w:rsid w:val="007365F1"/>
    <w:rsid w:val="00752D53"/>
    <w:rsid w:val="00754F0A"/>
    <w:rsid w:val="007559BC"/>
    <w:rsid w:val="0075678F"/>
    <w:rsid w:val="00780232"/>
    <w:rsid w:val="00780604"/>
    <w:rsid w:val="00791C5B"/>
    <w:rsid w:val="007A09AA"/>
    <w:rsid w:val="007A357E"/>
    <w:rsid w:val="007B70B6"/>
    <w:rsid w:val="007D5985"/>
    <w:rsid w:val="007D5DB9"/>
    <w:rsid w:val="007F65C4"/>
    <w:rsid w:val="00807474"/>
    <w:rsid w:val="00823EFC"/>
    <w:rsid w:val="00834A0D"/>
    <w:rsid w:val="00835D03"/>
    <w:rsid w:val="008426A1"/>
    <w:rsid w:val="00842C84"/>
    <w:rsid w:val="00843493"/>
    <w:rsid w:val="00844DC9"/>
    <w:rsid w:val="008514C0"/>
    <w:rsid w:val="00871A6A"/>
    <w:rsid w:val="008A0158"/>
    <w:rsid w:val="008A684E"/>
    <w:rsid w:val="008A7E79"/>
    <w:rsid w:val="008B2700"/>
    <w:rsid w:val="008B33D2"/>
    <w:rsid w:val="008D328A"/>
    <w:rsid w:val="008E0121"/>
    <w:rsid w:val="008E0C84"/>
    <w:rsid w:val="008E6466"/>
    <w:rsid w:val="00900D2C"/>
    <w:rsid w:val="00901A93"/>
    <w:rsid w:val="00907290"/>
    <w:rsid w:val="0091053E"/>
    <w:rsid w:val="00911485"/>
    <w:rsid w:val="00913479"/>
    <w:rsid w:val="00925206"/>
    <w:rsid w:val="0092734B"/>
    <w:rsid w:val="00931714"/>
    <w:rsid w:val="00933A92"/>
    <w:rsid w:val="009814AA"/>
    <w:rsid w:val="00983691"/>
    <w:rsid w:val="00986937"/>
    <w:rsid w:val="00996C60"/>
    <w:rsid w:val="009B51D8"/>
    <w:rsid w:val="009C27EC"/>
    <w:rsid w:val="009C32D1"/>
    <w:rsid w:val="009D539C"/>
    <w:rsid w:val="009D7245"/>
    <w:rsid w:val="009D7FA9"/>
    <w:rsid w:val="009E3CFA"/>
    <w:rsid w:val="009E6F79"/>
    <w:rsid w:val="009F268A"/>
    <w:rsid w:val="00A03921"/>
    <w:rsid w:val="00A05B39"/>
    <w:rsid w:val="00A07B70"/>
    <w:rsid w:val="00A103B1"/>
    <w:rsid w:val="00A10CD6"/>
    <w:rsid w:val="00A124F7"/>
    <w:rsid w:val="00A131DF"/>
    <w:rsid w:val="00A148B0"/>
    <w:rsid w:val="00A14F05"/>
    <w:rsid w:val="00A31A50"/>
    <w:rsid w:val="00A43C69"/>
    <w:rsid w:val="00A47CBB"/>
    <w:rsid w:val="00A51287"/>
    <w:rsid w:val="00A63ABF"/>
    <w:rsid w:val="00A66BF7"/>
    <w:rsid w:val="00A74E40"/>
    <w:rsid w:val="00A764F5"/>
    <w:rsid w:val="00A7744B"/>
    <w:rsid w:val="00A807F9"/>
    <w:rsid w:val="00AA0475"/>
    <w:rsid w:val="00AC5D9A"/>
    <w:rsid w:val="00AF2841"/>
    <w:rsid w:val="00B3024A"/>
    <w:rsid w:val="00B41D89"/>
    <w:rsid w:val="00B658C6"/>
    <w:rsid w:val="00B82F63"/>
    <w:rsid w:val="00B85114"/>
    <w:rsid w:val="00B8754E"/>
    <w:rsid w:val="00B969AD"/>
    <w:rsid w:val="00BA06F9"/>
    <w:rsid w:val="00BA579D"/>
    <w:rsid w:val="00BA5E49"/>
    <w:rsid w:val="00BA7B0A"/>
    <w:rsid w:val="00BB28E6"/>
    <w:rsid w:val="00BC2C64"/>
    <w:rsid w:val="00BD58FE"/>
    <w:rsid w:val="00BE2362"/>
    <w:rsid w:val="00BE3DDE"/>
    <w:rsid w:val="00C01A8D"/>
    <w:rsid w:val="00C02A3F"/>
    <w:rsid w:val="00C21466"/>
    <w:rsid w:val="00C45C7C"/>
    <w:rsid w:val="00C476A1"/>
    <w:rsid w:val="00C522C3"/>
    <w:rsid w:val="00C66904"/>
    <w:rsid w:val="00C85F02"/>
    <w:rsid w:val="00C91F84"/>
    <w:rsid w:val="00CC0CAA"/>
    <w:rsid w:val="00CC25A6"/>
    <w:rsid w:val="00CC6BB0"/>
    <w:rsid w:val="00CE00EE"/>
    <w:rsid w:val="00D114F8"/>
    <w:rsid w:val="00D1470E"/>
    <w:rsid w:val="00D25265"/>
    <w:rsid w:val="00D30EDF"/>
    <w:rsid w:val="00D40D51"/>
    <w:rsid w:val="00D45814"/>
    <w:rsid w:val="00D52B54"/>
    <w:rsid w:val="00D657B8"/>
    <w:rsid w:val="00D65F77"/>
    <w:rsid w:val="00D733EE"/>
    <w:rsid w:val="00D81060"/>
    <w:rsid w:val="00D930B0"/>
    <w:rsid w:val="00DA7200"/>
    <w:rsid w:val="00DB5172"/>
    <w:rsid w:val="00DC1BB7"/>
    <w:rsid w:val="00DC2055"/>
    <w:rsid w:val="00DD5A9D"/>
    <w:rsid w:val="00DE7B4B"/>
    <w:rsid w:val="00E050FA"/>
    <w:rsid w:val="00E07FD2"/>
    <w:rsid w:val="00E26956"/>
    <w:rsid w:val="00E37201"/>
    <w:rsid w:val="00E74E5A"/>
    <w:rsid w:val="00EA528E"/>
    <w:rsid w:val="00EB217E"/>
    <w:rsid w:val="00EB3226"/>
    <w:rsid w:val="00EC4371"/>
    <w:rsid w:val="00ED06D7"/>
    <w:rsid w:val="00EE21B4"/>
    <w:rsid w:val="00EE5F23"/>
    <w:rsid w:val="00EF509E"/>
    <w:rsid w:val="00EF5EE7"/>
    <w:rsid w:val="00F157DA"/>
    <w:rsid w:val="00F168D8"/>
    <w:rsid w:val="00F2115D"/>
    <w:rsid w:val="00F26067"/>
    <w:rsid w:val="00F34B3E"/>
    <w:rsid w:val="00F44BD1"/>
    <w:rsid w:val="00F51BD7"/>
    <w:rsid w:val="00F52A29"/>
    <w:rsid w:val="00F54722"/>
    <w:rsid w:val="00F63B30"/>
    <w:rsid w:val="00F66923"/>
    <w:rsid w:val="00F7441C"/>
    <w:rsid w:val="00F806AB"/>
    <w:rsid w:val="00F87965"/>
    <w:rsid w:val="00F95556"/>
    <w:rsid w:val="00F970E5"/>
    <w:rsid w:val="00FA7D67"/>
    <w:rsid w:val="00FC5206"/>
    <w:rsid w:val="00FD38F7"/>
    <w:rsid w:val="00FF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2"/>
    <w:pPr>
      <w:tabs>
        <w:tab w:val="center" w:pos="4153"/>
        <w:tab w:val="right" w:pos="8306"/>
      </w:tabs>
    </w:pPr>
  </w:style>
  <w:style w:type="character" w:customStyle="1" w:styleId="HeaderChar">
    <w:name w:val="Header Char"/>
    <w:basedOn w:val="DefaultParagraphFont"/>
    <w:link w:val="Header"/>
    <w:uiPriority w:val="99"/>
    <w:rsid w:val="00504302"/>
  </w:style>
  <w:style w:type="paragraph" w:styleId="Footer">
    <w:name w:val="footer"/>
    <w:basedOn w:val="Normal"/>
    <w:link w:val="FooterChar"/>
    <w:unhideWhenUsed/>
    <w:rsid w:val="00504302"/>
    <w:pPr>
      <w:tabs>
        <w:tab w:val="center" w:pos="4153"/>
        <w:tab w:val="right" w:pos="8306"/>
      </w:tabs>
    </w:pPr>
  </w:style>
  <w:style w:type="character" w:customStyle="1" w:styleId="FooterChar">
    <w:name w:val="Footer Char"/>
    <w:basedOn w:val="DefaultParagraphFont"/>
    <w:link w:val="Footer"/>
    <w:rsid w:val="00504302"/>
  </w:style>
  <w:style w:type="paragraph" w:styleId="ListParagraph">
    <w:name w:val="List Paragraph"/>
    <w:basedOn w:val="Normal"/>
    <w:uiPriority w:val="34"/>
    <w:qFormat/>
    <w:rsid w:val="008A7E79"/>
    <w:pPr>
      <w:ind w:left="720"/>
      <w:contextualSpacing/>
    </w:pPr>
  </w:style>
  <w:style w:type="table" w:styleId="TableGrid">
    <w:name w:val="Table Grid"/>
    <w:basedOn w:val="TableNormal"/>
    <w:uiPriority w:val="59"/>
    <w:rsid w:val="00983691"/>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DA"/>
    <w:rPr>
      <w:rFonts w:ascii="Tahoma" w:hAnsi="Tahoma" w:cs="Tahoma"/>
      <w:sz w:val="16"/>
      <w:szCs w:val="16"/>
    </w:rPr>
  </w:style>
  <w:style w:type="character" w:customStyle="1" w:styleId="BalloonTextChar">
    <w:name w:val="Balloon Text Char"/>
    <w:basedOn w:val="DefaultParagraphFont"/>
    <w:link w:val="BalloonText"/>
    <w:uiPriority w:val="99"/>
    <w:semiHidden/>
    <w:rsid w:val="00F157DA"/>
    <w:rPr>
      <w:rFonts w:ascii="Tahoma" w:hAnsi="Tahoma" w:cs="Tahoma"/>
      <w:sz w:val="16"/>
      <w:szCs w:val="16"/>
    </w:rPr>
  </w:style>
  <w:style w:type="character" w:styleId="CommentReference">
    <w:name w:val="annotation reference"/>
    <w:basedOn w:val="DefaultParagraphFont"/>
    <w:uiPriority w:val="99"/>
    <w:semiHidden/>
    <w:unhideWhenUsed/>
    <w:rsid w:val="00842C84"/>
    <w:rPr>
      <w:sz w:val="16"/>
      <w:szCs w:val="16"/>
    </w:rPr>
  </w:style>
  <w:style w:type="paragraph" w:styleId="CommentText">
    <w:name w:val="annotation text"/>
    <w:basedOn w:val="Normal"/>
    <w:link w:val="CommentTextChar"/>
    <w:uiPriority w:val="99"/>
    <w:semiHidden/>
    <w:unhideWhenUsed/>
    <w:rsid w:val="00842C84"/>
    <w:rPr>
      <w:sz w:val="20"/>
      <w:szCs w:val="20"/>
    </w:rPr>
  </w:style>
  <w:style w:type="character" w:customStyle="1" w:styleId="CommentTextChar">
    <w:name w:val="Comment Text Char"/>
    <w:basedOn w:val="DefaultParagraphFont"/>
    <w:link w:val="CommentText"/>
    <w:uiPriority w:val="99"/>
    <w:semiHidden/>
    <w:rsid w:val="00842C84"/>
    <w:rPr>
      <w:sz w:val="20"/>
      <w:szCs w:val="20"/>
    </w:rPr>
  </w:style>
  <w:style w:type="paragraph" w:styleId="CommentSubject">
    <w:name w:val="annotation subject"/>
    <w:basedOn w:val="CommentText"/>
    <w:next w:val="CommentText"/>
    <w:link w:val="CommentSubjectChar"/>
    <w:uiPriority w:val="99"/>
    <w:semiHidden/>
    <w:unhideWhenUsed/>
    <w:rsid w:val="00842C84"/>
    <w:rPr>
      <w:b/>
      <w:bCs/>
    </w:rPr>
  </w:style>
  <w:style w:type="character" w:customStyle="1" w:styleId="CommentSubjectChar">
    <w:name w:val="Comment Subject Char"/>
    <w:basedOn w:val="CommentTextChar"/>
    <w:link w:val="CommentSubject"/>
    <w:uiPriority w:val="99"/>
    <w:semiHidden/>
    <w:rsid w:val="00842C84"/>
    <w:rPr>
      <w:b/>
      <w:bCs/>
      <w:sz w:val="20"/>
      <w:szCs w:val="20"/>
    </w:rPr>
  </w:style>
  <w:style w:type="character" w:styleId="Hyperlink">
    <w:name w:val="Hyperlink"/>
    <w:basedOn w:val="DefaultParagraphFont"/>
    <w:uiPriority w:val="99"/>
    <w:unhideWhenUsed/>
    <w:rsid w:val="00152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2"/>
    <w:pPr>
      <w:tabs>
        <w:tab w:val="center" w:pos="4153"/>
        <w:tab w:val="right" w:pos="8306"/>
      </w:tabs>
    </w:pPr>
  </w:style>
  <w:style w:type="character" w:customStyle="1" w:styleId="HeaderChar">
    <w:name w:val="Header Char"/>
    <w:basedOn w:val="DefaultParagraphFont"/>
    <w:link w:val="Header"/>
    <w:uiPriority w:val="99"/>
    <w:rsid w:val="00504302"/>
  </w:style>
  <w:style w:type="paragraph" w:styleId="Footer">
    <w:name w:val="footer"/>
    <w:basedOn w:val="Normal"/>
    <w:link w:val="FooterChar"/>
    <w:unhideWhenUsed/>
    <w:rsid w:val="00504302"/>
    <w:pPr>
      <w:tabs>
        <w:tab w:val="center" w:pos="4153"/>
        <w:tab w:val="right" w:pos="8306"/>
      </w:tabs>
    </w:pPr>
  </w:style>
  <w:style w:type="character" w:customStyle="1" w:styleId="FooterChar">
    <w:name w:val="Footer Char"/>
    <w:basedOn w:val="DefaultParagraphFont"/>
    <w:link w:val="Footer"/>
    <w:rsid w:val="00504302"/>
  </w:style>
  <w:style w:type="paragraph" w:styleId="ListParagraph">
    <w:name w:val="List Paragraph"/>
    <w:basedOn w:val="Normal"/>
    <w:uiPriority w:val="34"/>
    <w:qFormat/>
    <w:rsid w:val="008A7E79"/>
    <w:pPr>
      <w:ind w:left="720"/>
      <w:contextualSpacing/>
    </w:pPr>
  </w:style>
  <w:style w:type="table" w:styleId="TableGrid">
    <w:name w:val="Table Grid"/>
    <w:basedOn w:val="TableNormal"/>
    <w:uiPriority w:val="59"/>
    <w:rsid w:val="00983691"/>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7DA"/>
    <w:rPr>
      <w:rFonts w:ascii="Tahoma" w:hAnsi="Tahoma" w:cs="Tahoma"/>
      <w:sz w:val="16"/>
      <w:szCs w:val="16"/>
    </w:rPr>
  </w:style>
  <w:style w:type="character" w:customStyle="1" w:styleId="BalloonTextChar">
    <w:name w:val="Balloon Text Char"/>
    <w:basedOn w:val="DefaultParagraphFont"/>
    <w:link w:val="BalloonText"/>
    <w:uiPriority w:val="99"/>
    <w:semiHidden/>
    <w:rsid w:val="00F157DA"/>
    <w:rPr>
      <w:rFonts w:ascii="Tahoma" w:hAnsi="Tahoma" w:cs="Tahoma"/>
      <w:sz w:val="16"/>
      <w:szCs w:val="16"/>
    </w:rPr>
  </w:style>
  <w:style w:type="character" w:styleId="CommentReference">
    <w:name w:val="annotation reference"/>
    <w:basedOn w:val="DefaultParagraphFont"/>
    <w:uiPriority w:val="99"/>
    <w:semiHidden/>
    <w:unhideWhenUsed/>
    <w:rsid w:val="00842C84"/>
    <w:rPr>
      <w:sz w:val="16"/>
      <w:szCs w:val="16"/>
    </w:rPr>
  </w:style>
  <w:style w:type="paragraph" w:styleId="CommentText">
    <w:name w:val="annotation text"/>
    <w:basedOn w:val="Normal"/>
    <w:link w:val="CommentTextChar"/>
    <w:uiPriority w:val="99"/>
    <w:semiHidden/>
    <w:unhideWhenUsed/>
    <w:rsid w:val="00842C84"/>
    <w:rPr>
      <w:sz w:val="20"/>
      <w:szCs w:val="20"/>
    </w:rPr>
  </w:style>
  <w:style w:type="character" w:customStyle="1" w:styleId="CommentTextChar">
    <w:name w:val="Comment Text Char"/>
    <w:basedOn w:val="DefaultParagraphFont"/>
    <w:link w:val="CommentText"/>
    <w:uiPriority w:val="99"/>
    <w:semiHidden/>
    <w:rsid w:val="00842C84"/>
    <w:rPr>
      <w:sz w:val="20"/>
      <w:szCs w:val="20"/>
    </w:rPr>
  </w:style>
  <w:style w:type="paragraph" w:styleId="CommentSubject">
    <w:name w:val="annotation subject"/>
    <w:basedOn w:val="CommentText"/>
    <w:next w:val="CommentText"/>
    <w:link w:val="CommentSubjectChar"/>
    <w:uiPriority w:val="99"/>
    <w:semiHidden/>
    <w:unhideWhenUsed/>
    <w:rsid w:val="00842C84"/>
    <w:rPr>
      <w:b/>
      <w:bCs/>
    </w:rPr>
  </w:style>
  <w:style w:type="character" w:customStyle="1" w:styleId="CommentSubjectChar">
    <w:name w:val="Comment Subject Char"/>
    <w:basedOn w:val="CommentTextChar"/>
    <w:link w:val="CommentSubject"/>
    <w:uiPriority w:val="99"/>
    <w:semiHidden/>
    <w:rsid w:val="00842C84"/>
    <w:rPr>
      <w:b/>
      <w:bCs/>
      <w:sz w:val="20"/>
      <w:szCs w:val="20"/>
    </w:rPr>
  </w:style>
  <w:style w:type="character" w:styleId="Hyperlink">
    <w:name w:val="Hyperlink"/>
    <w:basedOn w:val="DefaultParagraphFont"/>
    <w:uiPriority w:val="99"/>
    <w:unhideWhenUsed/>
    <w:rsid w:val="00152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445">
      <w:bodyDiv w:val="1"/>
      <w:marLeft w:val="0"/>
      <w:marRight w:val="0"/>
      <w:marTop w:val="0"/>
      <w:marBottom w:val="0"/>
      <w:divBdr>
        <w:top w:val="none" w:sz="0" w:space="0" w:color="auto"/>
        <w:left w:val="none" w:sz="0" w:space="0" w:color="auto"/>
        <w:bottom w:val="none" w:sz="0" w:space="0" w:color="auto"/>
        <w:right w:val="none" w:sz="0" w:space="0" w:color="auto"/>
      </w:divBdr>
    </w:div>
    <w:div w:id="218789940">
      <w:bodyDiv w:val="1"/>
      <w:marLeft w:val="0"/>
      <w:marRight w:val="0"/>
      <w:marTop w:val="0"/>
      <w:marBottom w:val="0"/>
      <w:divBdr>
        <w:top w:val="none" w:sz="0" w:space="0" w:color="auto"/>
        <w:left w:val="none" w:sz="0" w:space="0" w:color="auto"/>
        <w:bottom w:val="none" w:sz="0" w:space="0" w:color="auto"/>
        <w:right w:val="none" w:sz="0" w:space="0" w:color="auto"/>
      </w:divBdr>
    </w:div>
    <w:div w:id="277415517">
      <w:bodyDiv w:val="1"/>
      <w:marLeft w:val="0"/>
      <w:marRight w:val="0"/>
      <w:marTop w:val="0"/>
      <w:marBottom w:val="0"/>
      <w:divBdr>
        <w:top w:val="none" w:sz="0" w:space="0" w:color="auto"/>
        <w:left w:val="none" w:sz="0" w:space="0" w:color="auto"/>
        <w:bottom w:val="none" w:sz="0" w:space="0" w:color="auto"/>
        <w:right w:val="none" w:sz="0" w:space="0" w:color="auto"/>
      </w:divBdr>
    </w:div>
    <w:div w:id="344986962">
      <w:bodyDiv w:val="1"/>
      <w:marLeft w:val="0"/>
      <w:marRight w:val="0"/>
      <w:marTop w:val="0"/>
      <w:marBottom w:val="0"/>
      <w:divBdr>
        <w:top w:val="none" w:sz="0" w:space="0" w:color="auto"/>
        <w:left w:val="none" w:sz="0" w:space="0" w:color="auto"/>
        <w:bottom w:val="none" w:sz="0" w:space="0" w:color="auto"/>
        <w:right w:val="none" w:sz="0" w:space="0" w:color="auto"/>
      </w:divBdr>
    </w:div>
    <w:div w:id="534192945">
      <w:bodyDiv w:val="1"/>
      <w:marLeft w:val="0"/>
      <w:marRight w:val="0"/>
      <w:marTop w:val="0"/>
      <w:marBottom w:val="0"/>
      <w:divBdr>
        <w:top w:val="none" w:sz="0" w:space="0" w:color="auto"/>
        <w:left w:val="none" w:sz="0" w:space="0" w:color="auto"/>
        <w:bottom w:val="none" w:sz="0" w:space="0" w:color="auto"/>
        <w:right w:val="none" w:sz="0" w:space="0" w:color="auto"/>
      </w:divBdr>
    </w:div>
    <w:div w:id="549613444">
      <w:bodyDiv w:val="1"/>
      <w:marLeft w:val="0"/>
      <w:marRight w:val="0"/>
      <w:marTop w:val="0"/>
      <w:marBottom w:val="0"/>
      <w:divBdr>
        <w:top w:val="none" w:sz="0" w:space="0" w:color="auto"/>
        <w:left w:val="none" w:sz="0" w:space="0" w:color="auto"/>
        <w:bottom w:val="none" w:sz="0" w:space="0" w:color="auto"/>
        <w:right w:val="none" w:sz="0" w:space="0" w:color="auto"/>
      </w:divBdr>
    </w:div>
    <w:div w:id="644435396">
      <w:bodyDiv w:val="1"/>
      <w:marLeft w:val="0"/>
      <w:marRight w:val="0"/>
      <w:marTop w:val="0"/>
      <w:marBottom w:val="0"/>
      <w:divBdr>
        <w:top w:val="none" w:sz="0" w:space="0" w:color="auto"/>
        <w:left w:val="none" w:sz="0" w:space="0" w:color="auto"/>
        <w:bottom w:val="none" w:sz="0" w:space="0" w:color="auto"/>
        <w:right w:val="none" w:sz="0" w:space="0" w:color="auto"/>
      </w:divBdr>
    </w:div>
    <w:div w:id="667291503">
      <w:bodyDiv w:val="1"/>
      <w:marLeft w:val="0"/>
      <w:marRight w:val="0"/>
      <w:marTop w:val="0"/>
      <w:marBottom w:val="0"/>
      <w:divBdr>
        <w:top w:val="none" w:sz="0" w:space="0" w:color="auto"/>
        <w:left w:val="none" w:sz="0" w:space="0" w:color="auto"/>
        <w:bottom w:val="none" w:sz="0" w:space="0" w:color="auto"/>
        <w:right w:val="none" w:sz="0" w:space="0" w:color="auto"/>
      </w:divBdr>
    </w:div>
    <w:div w:id="681318394">
      <w:bodyDiv w:val="1"/>
      <w:marLeft w:val="0"/>
      <w:marRight w:val="0"/>
      <w:marTop w:val="0"/>
      <w:marBottom w:val="0"/>
      <w:divBdr>
        <w:top w:val="none" w:sz="0" w:space="0" w:color="auto"/>
        <w:left w:val="none" w:sz="0" w:space="0" w:color="auto"/>
        <w:bottom w:val="none" w:sz="0" w:space="0" w:color="auto"/>
        <w:right w:val="none" w:sz="0" w:space="0" w:color="auto"/>
      </w:divBdr>
    </w:div>
    <w:div w:id="857887257">
      <w:bodyDiv w:val="1"/>
      <w:marLeft w:val="0"/>
      <w:marRight w:val="0"/>
      <w:marTop w:val="0"/>
      <w:marBottom w:val="0"/>
      <w:divBdr>
        <w:top w:val="none" w:sz="0" w:space="0" w:color="auto"/>
        <w:left w:val="none" w:sz="0" w:space="0" w:color="auto"/>
        <w:bottom w:val="none" w:sz="0" w:space="0" w:color="auto"/>
        <w:right w:val="none" w:sz="0" w:space="0" w:color="auto"/>
      </w:divBdr>
    </w:div>
    <w:div w:id="973028248">
      <w:bodyDiv w:val="1"/>
      <w:marLeft w:val="0"/>
      <w:marRight w:val="0"/>
      <w:marTop w:val="0"/>
      <w:marBottom w:val="0"/>
      <w:divBdr>
        <w:top w:val="none" w:sz="0" w:space="0" w:color="auto"/>
        <w:left w:val="none" w:sz="0" w:space="0" w:color="auto"/>
        <w:bottom w:val="none" w:sz="0" w:space="0" w:color="auto"/>
        <w:right w:val="none" w:sz="0" w:space="0" w:color="auto"/>
      </w:divBdr>
    </w:div>
    <w:div w:id="1171214594">
      <w:bodyDiv w:val="1"/>
      <w:marLeft w:val="0"/>
      <w:marRight w:val="0"/>
      <w:marTop w:val="0"/>
      <w:marBottom w:val="0"/>
      <w:divBdr>
        <w:top w:val="none" w:sz="0" w:space="0" w:color="auto"/>
        <w:left w:val="none" w:sz="0" w:space="0" w:color="auto"/>
        <w:bottom w:val="none" w:sz="0" w:space="0" w:color="auto"/>
        <w:right w:val="none" w:sz="0" w:space="0" w:color="auto"/>
      </w:divBdr>
    </w:div>
    <w:div w:id="1487285090">
      <w:bodyDiv w:val="1"/>
      <w:marLeft w:val="0"/>
      <w:marRight w:val="0"/>
      <w:marTop w:val="0"/>
      <w:marBottom w:val="0"/>
      <w:divBdr>
        <w:top w:val="none" w:sz="0" w:space="0" w:color="auto"/>
        <w:left w:val="none" w:sz="0" w:space="0" w:color="auto"/>
        <w:bottom w:val="none" w:sz="0" w:space="0" w:color="auto"/>
        <w:right w:val="none" w:sz="0" w:space="0" w:color="auto"/>
      </w:divBdr>
    </w:div>
    <w:div w:id="1620332141">
      <w:bodyDiv w:val="1"/>
      <w:marLeft w:val="0"/>
      <w:marRight w:val="0"/>
      <w:marTop w:val="0"/>
      <w:marBottom w:val="0"/>
      <w:divBdr>
        <w:top w:val="none" w:sz="0" w:space="0" w:color="auto"/>
        <w:left w:val="none" w:sz="0" w:space="0" w:color="auto"/>
        <w:bottom w:val="none" w:sz="0" w:space="0" w:color="auto"/>
        <w:right w:val="none" w:sz="0" w:space="0" w:color="auto"/>
      </w:divBdr>
    </w:div>
    <w:div w:id="1697190244">
      <w:bodyDiv w:val="1"/>
      <w:marLeft w:val="0"/>
      <w:marRight w:val="0"/>
      <w:marTop w:val="0"/>
      <w:marBottom w:val="0"/>
      <w:divBdr>
        <w:top w:val="none" w:sz="0" w:space="0" w:color="auto"/>
        <w:left w:val="none" w:sz="0" w:space="0" w:color="auto"/>
        <w:bottom w:val="none" w:sz="0" w:space="0" w:color="auto"/>
        <w:right w:val="none" w:sz="0" w:space="0" w:color="auto"/>
      </w:divBdr>
    </w:div>
    <w:div w:id="1811053316">
      <w:bodyDiv w:val="1"/>
      <w:marLeft w:val="0"/>
      <w:marRight w:val="0"/>
      <w:marTop w:val="0"/>
      <w:marBottom w:val="0"/>
      <w:divBdr>
        <w:top w:val="none" w:sz="0" w:space="0" w:color="auto"/>
        <w:left w:val="none" w:sz="0" w:space="0" w:color="auto"/>
        <w:bottom w:val="none" w:sz="0" w:space="0" w:color="auto"/>
        <w:right w:val="none" w:sz="0" w:space="0" w:color="auto"/>
      </w:divBdr>
    </w:div>
    <w:div w:id="1963339781">
      <w:bodyDiv w:val="1"/>
      <w:marLeft w:val="0"/>
      <w:marRight w:val="0"/>
      <w:marTop w:val="0"/>
      <w:marBottom w:val="0"/>
      <w:divBdr>
        <w:top w:val="none" w:sz="0" w:space="0" w:color="auto"/>
        <w:left w:val="none" w:sz="0" w:space="0" w:color="auto"/>
        <w:bottom w:val="none" w:sz="0" w:space="0" w:color="auto"/>
        <w:right w:val="none" w:sz="0" w:space="0" w:color="auto"/>
      </w:divBdr>
    </w:div>
    <w:div w:id="20309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4100</Words>
  <Characters>2338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apropriācijas pārdali starp budžeta izdevumu kodiem atbilstoši ekonomiskajām kategorijām Tieslietu ministrijas pamatbudžeta apakšprogrammas 03.02.00 „Apgabaltiesas un rajona (pilsētas) tiesas” ietvaros</vt:lpstr>
      <vt:lpstr>Informatīvais ziņojums par apropriācijas pārdali starp budžeta izdevumu kodiem atbilstoši ekonomiskajām kategorijām Tieslietu ministrijas pamatbudžeta apakšprogrammas 03.02.00 „Apgabaltiesas un rajona (pilsētas) tiesas” ietvaros</vt:lpstr>
    </vt:vector>
  </TitlesOfParts>
  <Company>HP</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apropriācijas pārdali starp budžeta izdevumu kodiem atbilstoši ekonomiskajām kategorijām Tieslietu ministrijas pamatbudžeta apakšprogrammas 03.02.00 „Apgabaltiesas un rajona (pilsētas) tiesas” ietvaros</dc:title>
  <dc:subject>Informatīvais ziņojums</dc:subject>
  <dc:creator>Tiesu administrācija</dc:creator>
  <dc:description>O. Āboliņa;
67063811, Olita.Abolina@ta.gov.lv</dc:description>
  <cp:lastModifiedBy>Olita Abolina</cp:lastModifiedBy>
  <cp:revision>4</cp:revision>
  <cp:lastPrinted>2014-06-25T08:25:00Z</cp:lastPrinted>
  <dcterms:created xsi:type="dcterms:W3CDTF">2014-08-28T09:01:00Z</dcterms:created>
  <dcterms:modified xsi:type="dcterms:W3CDTF">2014-08-28T09:03:00Z</dcterms:modified>
</cp:coreProperties>
</file>