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77C" w:rsidRDefault="0014077C" w:rsidP="007C3B79">
      <w:pPr>
        <w:pStyle w:val="Virsraksts1"/>
        <w:numPr>
          <w:ilvl w:val="0"/>
          <w:numId w:val="0"/>
        </w:numPr>
        <w:rPr>
          <w:sz w:val="26"/>
          <w:szCs w:val="26"/>
        </w:rPr>
      </w:pPr>
    </w:p>
    <w:p w:rsidR="007C3B79" w:rsidRPr="0035547B" w:rsidRDefault="007C3B79" w:rsidP="007C3B79">
      <w:pPr>
        <w:pStyle w:val="Virsraksts1"/>
        <w:numPr>
          <w:ilvl w:val="0"/>
          <w:numId w:val="0"/>
        </w:numPr>
        <w:rPr>
          <w:sz w:val="26"/>
          <w:szCs w:val="26"/>
        </w:rPr>
      </w:pPr>
      <w:r w:rsidRPr="0035547B">
        <w:rPr>
          <w:sz w:val="26"/>
          <w:szCs w:val="26"/>
        </w:rPr>
        <w:t xml:space="preserve">Informatīvais ziņojums </w:t>
      </w:r>
    </w:p>
    <w:p w:rsidR="007C3B79" w:rsidRPr="0035547B" w:rsidRDefault="007C3B79" w:rsidP="007C3B79">
      <w:pPr>
        <w:pStyle w:val="Virsraksts1"/>
        <w:numPr>
          <w:ilvl w:val="0"/>
          <w:numId w:val="0"/>
        </w:numPr>
        <w:rPr>
          <w:sz w:val="26"/>
          <w:szCs w:val="26"/>
        </w:rPr>
      </w:pPr>
      <w:r w:rsidRPr="0035547B">
        <w:rPr>
          <w:sz w:val="26"/>
          <w:szCs w:val="26"/>
        </w:rPr>
        <w:t>„Par Augstākās tiesas Krimināllietu tiesu palātas likvidācijas ietekmi uz tiesvedību krimināllietās”</w:t>
      </w:r>
    </w:p>
    <w:p w:rsidR="009C164B" w:rsidRPr="0035547B" w:rsidRDefault="009C164B" w:rsidP="009C164B">
      <w:pPr>
        <w:rPr>
          <w:lang w:eastAsia="ar-SA"/>
        </w:rPr>
      </w:pPr>
    </w:p>
    <w:p w:rsidR="007C3B79" w:rsidRPr="0035547B" w:rsidRDefault="007C3B79" w:rsidP="007C3B79">
      <w:pPr>
        <w:jc w:val="center"/>
      </w:pPr>
    </w:p>
    <w:p w:rsidR="0014077C" w:rsidRPr="0035547B" w:rsidRDefault="0014077C" w:rsidP="007C3B79">
      <w:pPr>
        <w:jc w:val="center"/>
      </w:pPr>
    </w:p>
    <w:p w:rsidR="0025496E" w:rsidRPr="0035547B" w:rsidRDefault="0025496E" w:rsidP="00734EF0">
      <w:pPr>
        <w:ind w:firstLine="720"/>
        <w:jc w:val="both"/>
        <w:rPr>
          <w:b/>
          <w:sz w:val="26"/>
          <w:szCs w:val="26"/>
        </w:rPr>
      </w:pPr>
      <w:r w:rsidRPr="0035547B">
        <w:rPr>
          <w:b/>
          <w:sz w:val="26"/>
          <w:szCs w:val="26"/>
        </w:rPr>
        <w:t>1.</w:t>
      </w:r>
      <w:r w:rsidR="009C164B" w:rsidRPr="0035547B">
        <w:rPr>
          <w:b/>
          <w:sz w:val="26"/>
          <w:szCs w:val="26"/>
        </w:rPr>
        <w:t xml:space="preserve"> </w:t>
      </w:r>
      <w:r w:rsidRPr="0035547B">
        <w:rPr>
          <w:b/>
          <w:sz w:val="26"/>
          <w:szCs w:val="26"/>
        </w:rPr>
        <w:t>Ievads</w:t>
      </w:r>
    </w:p>
    <w:p w:rsidR="00D57788" w:rsidRPr="0035547B" w:rsidRDefault="00D57788" w:rsidP="00734EF0">
      <w:pPr>
        <w:ind w:firstLine="720"/>
        <w:jc w:val="both"/>
      </w:pPr>
      <w:r w:rsidRPr="0035547B">
        <w:t>Tiesības uz lietas izskatīšanu saprātīgā termiņā ir tiesību uz taisnīgu tiesu, kas nostiprinātas Latvijas Republikas Satversmes 92. pantā, pamatelementiem. Saprātīga termiņa nodrošināšana ir valsts pienākums, kas izpaužas gan kā pienākums noteikt tādu procesuāltiesisko regulējumu, kas nodrošinātu iespējas lietas izskatīt saprātīgā termiņā, gan kā pienākums nodrošināt lietu izskatīšanai nepieciešamos resursus</w:t>
      </w:r>
      <w:r w:rsidRPr="0035547B">
        <w:rPr>
          <w:rStyle w:val="Vresatsauce"/>
        </w:rPr>
        <w:footnoteReference w:id="1"/>
      </w:r>
      <w:r w:rsidRPr="0035547B">
        <w:t xml:space="preserve">.  Valstij ir pienākums nodrošināt </w:t>
      </w:r>
      <w:r w:rsidR="00D05BF5" w:rsidRPr="0035547B">
        <w:t>maksimāli</w:t>
      </w:r>
      <w:r w:rsidRPr="0035547B">
        <w:t xml:space="preserve"> efektīvu tiesu sistēmas darbu, tai skaitā </w:t>
      </w:r>
      <w:r w:rsidR="00D05BF5" w:rsidRPr="0035547B">
        <w:t>organizējot tiesu darbu tādā veidā, kas ļauj iespējami efektīvi izmantot jau esošos tiesu resursus un nodrošināt tiesu politikas galvenā mērķa – taisnīga tiesas saprātīgā termiņā – sasniegšanu.</w:t>
      </w:r>
      <w:r w:rsidRPr="0035547B">
        <w:t xml:space="preserve"> </w:t>
      </w:r>
    </w:p>
    <w:p w:rsidR="000D2112" w:rsidRPr="0035547B" w:rsidRDefault="00734EF0" w:rsidP="00734EF0">
      <w:pPr>
        <w:ind w:firstLine="720"/>
        <w:jc w:val="both"/>
      </w:pPr>
      <w:r w:rsidRPr="0035547B">
        <w:t xml:space="preserve">Situācija, kad apgabaltiesas un Augstākās tiesas Krimināllietu tiesu palāta, kas ir dažāda līmeņa tiesas, vienlaikus skata lietas kā apelācijas instances tiesas, neveicina vienveidīgu </w:t>
      </w:r>
      <w:r w:rsidR="0025496E" w:rsidRPr="0035547B">
        <w:t>lietu</w:t>
      </w:r>
      <w:r w:rsidRPr="0035547B">
        <w:t xml:space="preserve"> izskatīšanas kārtību, kā arī nenodrošina vienotu un skaidru tiesu sistēmu Latvijā. Nepieciešamība izvērtēt kompetences sadalījumu starp dažāda līmeņa tiesām </w:t>
      </w:r>
      <w:r w:rsidR="00656C5C" w:rsidRPr="0035547B">
        <w:t xml:space="preserve">(t.s. </w:t>
      </w:r>
      <w:r w:rsidRPr="0035547B">
        <w:t>„tīrās tiesu instances”</w:t>
      </w:r>
      <w:r w:rsidR="00656C5C" w:rsidRPr="0035547B">
        <w:t>)</w:t>
      </w:r>
      <w:r w:rsidRPr="0035547B">
        <w:t xml:space="preserve"> izrietēja no ar Ministru kabineta </w:t>
      </w:r>
      <w:r w:rsidR="00D05BF5" w:rsidRPr="0035547B">
        <w:t>2009. gada</w:t>
      </w:r>
      <w:r w:rsidRPr="0035547B">
        <w:t xml:space="preserve"> </w:t>
      </w:r>
      <w:r w:rsidR="00D05BF5" w:rsidRPr="0035547B">
        <w:t>12. oktobra</w:t>
      </w:r>
      <w:r w:rsidRPr="0035547B">
        <w:t xml:space="preserve"> rīkojumu Nr. 685 apstiprinātajām Tiesu iekārtas attīstības pamatnostādnēm </w:t>
      </w:r>
      <w:r w:rsidR="00D05BF5" w:rsidRPr="0035547B">
        <w:t>2009.–2015. gadam</w:t>
      </w:r>
      <w:r w:rsidRPr="0035547B">
        <w:t>.</w:t>
      </w:r>
      <w:r w:rsidR="007C3B79" w:rsidRPr="0035547B">
        <w:tab/>
      </w:r>
      <w:r w:rsidR="0025496E" w:rsidRPr="0035547B">
        <w:t xml:space="preserve">Sagaidāms, ka „tīro tiesu instanču sistēma” radīs pamatu gan institucionāli, gan funkcionāli vienkāršākai, skaidrākai un caurskatāmākai tiesu </w:t>
      </w:r>
      <w:r w:rsidR="000D2112" w:rsidRPr="0035547B">
        <w:t>hierarhijai</w:t>
      </w:r>
      <w:r w:rsidR="0025496E" w:rsidRPr="0035547B">
        <w:t>. Tiks novērsta tiesu instanču kompetenču sadrumstalotība, kas no sabiedrības viedokļa ir nesaprotama un var apgrūtināt personu vēršanos tiesā savu tiesību un interešu aizsardzībai</w:t>
      </w:r>
      <w:r w:rsidR="00D57788" w:rsidRPr="0035547B">
        <w:t>, kā arī samazināti kopējie lietu izskatīšanas termiņi.</w:t>
      </w:r>
      <w:r w:rsidR="0025496E" w:rsidRPr="0035547B">
        <w:t xml:space="preserve"> </w:t>
      </w:r>
    </w:p>
    <w:p w:rsidR="00656C5C" w:rsidRPr="0035547B" w:rsidRDefault="00D57788" w:rsidP="00734EF0">
      <w:pPr>
        <w:ind w:firstLine="720"/>
        <w:jc w:val="both"/>
      </w:pPr>
      <w:r w:rsidRPr="0035547B">
        <w:t>Tieši „Tīro tiesu instanču” ieviešana</w:t>
      </w:r>
      <w:r w:rsidR="0025496E" w:rsidRPr="0035547B">
        <w:t xml:space="preserve"> kriminālprocesā </w:t>
      </w:r>
      <w:r w:rsidR="00656C5C" w:rsidRPr="0035547B">
        <w:t>bija</w:t>
      </w:r>
      <w:r w:rsidR="0025496E" w:rsidRPr="0035547B">
        <w:t xml:space="preserve"> būtisks solis, lai </w:t>
      </w:r>
      <w:r w:rsidR="00656C5C" w:rsidRPr="0035547B">
        <w:t xml:space="preserve">ne tikai </w:t>
      </w:r>
      <w:r w:rsidR="0025496E" w:rsidRPr="0035547B">
        <w:t>nodrošinātu skaidru un saprotamu tiesu sistēmas modeli Latvijā</w:t>
      </w:r>
      <w:r w:rsidR="00656C5C" w:rsidRPr="0035547B">
        <w:t>, bet arī ievērojami efektivizētu un paātrinātu krimināllietu izskatīšanu</w:t>
      </w:r>
      <w:r w:rsidR="0025496E" w:rsidRPr="0035547B">
        <w:t>.</w:t>
      </w:r>
    </w:p>
    <w:p w:rsidR="0025496E" w:rsidRPr="0035547B" w:rsidRDefault="0025496E" w:rsidP="00734EF0">
      <w:pPr>
        <w:ind w:firstLine="720"/>
        <w:jc w:val="both"/>
      </w:pPr>
      <w:r w:rsidRPr="0035547B">
        <w:t>Pirms reformas uzsākšanas kā tas bija pierādījies praksē, un to nenoliedza arī pati Augstākā tiesa, vairākus gadus Augstākās tiesas Krimināllietu tiesu palātā krimināllietu izskatīšana vidēji tika nozīmēta tikai gadu pēc krimināllietas saņemšanas Augstākajā tiesā. Šis jautājums jo īpaši aktuāls kļuva gadījumos, ja krimināllietā kāda no apsūdzētajām personām atrodas apcietinājumā. Krimināllietu pārmērīgo izskatīšanas termiņu dēļ Eiropas Cilvēktiesību tiesa konstatējusi Konve</w:t>
      </w:r>
      <w:r w:rsidR="00F56974" w:rsidRPr="0035547B">
        <w:t xml:space="preserve">ncijas pārkāpumus pret Latviju. </w:t>
      </w:r>
    </w:p>
    <w:p w:rsidR="00656C5C" w:rsidRPr="0035547B" w:rsidRDefault="00F56974" w:rsidP="00734EF0">
      <w:pPr>
        <w:ind w:firstLine="720"/>
        <w:jc w:val="both"/>
      </w:pPr>
      <w:r w:rsidRPr="0035547B">
        <w:t>Ievērojot minēto, pirms pieciem gadiem tika uzsākta</w:t>
      </w:r>
      <w:r w:rsidR="00656C5C" w:rsidRPr="0035547B">
        <w:t xml:space="preserve"> tiesu kompetenču pārdale starp tiesu instancēm krimināllietās</w:t>
      </w:r>
      <w:r w:rsidRPr="0035547B">
        <w:t xml:space="preserve"> </w:t>
      </w:r>
      <w:r w:rsidR="00656C5C" w:rsidRPr="0035547B">
        <w:t xml:space="preserve">jeb </w:t>
      </w:r>
      <w:r w:rsidRPr="0035547B">
        <w:t>pāreja uz t.s. „tīrajām tiesu instancēm”</w:t>
      </w:r>
      <w:r w:rsidR="00656C5C" w:rsidRPr="0035547B">
        <w:t xml:space="preserve"> </w:t>
      </w:r>
      <w:r w:rsidRPr="0035547B">
        <w:t xml:space="preserve">krimināllietu izskatīšanā. Kopš 2009. gada 1. jūlija, kad stājās spēkā grozījumi Kriminālprocesa likumā, nododot ievērojamu apgabaltiesām kā pirmās instances tiesai piekritīgu lietu kategoriju skaitu izskatīšanai rajona (pilsētas) tiesai kā pirmās instances tiesai, </w:t>
      </w:r>
      <w:r w:rsidR="00656C5C" w:rsidRPr="0035547B">
        <w:t>ir notikusi pakāpeniska virzība uz atlikušo kompetenču jeb apgabaltiesām kā pirmās instances tiesām piekritīgo lietu nodošanu rajonu (pilsētu) tiesām.</w:t>
      </w:r>
    </w:p>
    <w:p w:rsidR="00F56974" w:rsidRPr="0035547B" w:rsidRDefault="00656C5C" w:rsidP="00734EF0">
      <w:pPr>
        <w:ind w:firstLine="720"/>
        <w:jc w:val="both"/>
      </w:pPr>
      <w:r w:rsidRPr="0035547B">
        <w:t>A</w:t>
      </w:r>
      <w:r w:rsidR="00F56974" w:rsidRPr="0035547B">
        <w:t xml:space="preserve">r grozījumiem Kriminālprocesa likumā, kas stājās spēkā 2011. gada 1. janvārī, pēc Tieslietu ministrijas ierosinājuma tika turpināts nodot rajona (pilsētas) tiesai izskatīšanai kā pirmās instances tiesai vairāku lietu kategorijas, kas bija piekritīgas apgabaltiesai kā pirmās instances tiesai. </w:t>
      </w:r>
      <w:r w:rsidRPr="0035547B">
        <w:t>Nākamās</w:t>
      </w:r>
      <w:r w:rsidR="00F56974" w:rsidRPr="0035547B">
        <w:t xml:space="preserve"> izmaiņas attiecībā uz krimināllietu piekritības maiņu </w:t>
      </w:r>
      <w:r w:rsidRPr="0035547B">
        <w:t xml:space="preserve">veiktas </w:t>
      </w:r>
      <w:r w:rsidR="00D05BF5" w:rsidRPr="0035547B">
        <w:t xml:space="preserve">2012. </w:t>
      </w:r>
      <w:r w:rsidR="00D05BF5" w:rsidRPr="0035547B">
        <w:lastRenderedPageBreak/>
        <w:t>gada</w:t>
      </w:r>
      <w:r w:rsidRPr="0035547B">
        <w:t xml:space="preserve"> </w:t>
      </w:r>
      <w:r w:rsidR="00D05BF5" w:rsidRPr="0035547B">
        <w:t>1. jūlijā</w:t>
      </w:r>
      <w:r w:rsidRPr="0035547B">
        <w:t xml:space="preserve"> un no šī brīža</w:t>
      </w:r>
      <w:r w:rsidR="00F56974" w:rsidRPr="0035547B">
        <w:t xml:space="preserve"> visas krimināllietas kā pirmās instances tiesas saskaņā ar Kriminālprocesa likuma 422.panta pirmo daļu izskata rajona (pilsētu) tiesas. Līdz ar to jau pirms diviem gadiem tika pārtraukta jaunu lietu plūsma uz Augstākās tiesas Krimināllietu tiesu palātu.</w:t>
      </w:r>
    </w:p>
    <w:p w:rsidR="00F56974" w:rsidRPr="0035547B" w:rsidRDefault="00F56974" w:rsidP="00734EF0">
      <w:pPr>
        <w:ind w:firstLine="720"/>
        <w:jc w:val="both"/>
      </w:pPr>
      <w:r w:rsidRPr="0035547B">
        <w:t xml:space="preserve">Attiecīgi </w:t>
      </w:r>
      <w:r w:rsidR="00D05BF5" w:rsidRPr="0035547B">
        <w:t>2013. gada</w:t>
      </w:r>
      <w:r w:rsidRPr="0035547B">
        <w:t xml:space="preserve"> </w:t>
      </w:r>
      <w:r w:rsidR="00D05BF5" w:rsidRPr="0035547B">
        <w:t>13. jūnijā</w:t>
      </w:r>
      <w:r w:rsidRPr="0035547B">
        <w:t xml:space="preserve"> tika pieņemti grozījumi likumā „Par tiesu varu”, nostiprinot Augstākās tiesas Krimināllietu palātas darbības izbeigšanu ar </w:t>
      </w:r>
      <w:r w:rsidR="00D05BF5" w:rsidRPr="0035547B">
        <w:t>2014. gada</w:t>
      </w:r>
      <w:r w:rsidRPr="0035547B">
        <w:t xml:space="preserve"> </w:t>
      </w:r>
      <w:r w:rsidR="00D05BF5" w:rsidRPr="0035547B">
        <w:t>31. decembri</w:t>
      </w:r>
      <w:r w:rsidRPr="0035547B">
        <w:t xml:space="preserve">. </w:t>
      </w:r>
    </w:p>
    <w:p w:rsidR="007F5A1A" w:rsidRPr="0035547B" w:rsidRDefault="007C3B79" w:rsidP="00F56974">
      <w:pPr>
        <w:ind w:firstLine="720"/>
        <w:jc w:val="both"/>
        <w:rPr>
          <w:b/>
        </w:rPr>
      </w:pPr>
      <w:r w:rsidRPr="0035547B">
        <w:rPr>
          <w:b/>
        </w:rPr>
        <w:t xml:space="preserve">Informatīvais ziņojums sagatavots, izpildot </w:t>
      </w:r>
      <w:r w:rsidR="00603A28" w:rsidRPr="0035547B">
        <w:rPr>
          <w:b/>
        </w:rPr>
        <w:t xml:space="preserve">likuma </w:t>
      </w:r>
      <w:r w:rsidRPr="0035547B">
        <w:rPr>
          <w:b/>
        </w:rPr>
        <w:t xml:space="preserve">„Par tiesu varu” </w:t>
      </w:r>
      <w:r w:rsidR="00A47829" w:rsidRPr="0035547B">
        <w:rPr>
          <w:b/>
        </w:rPr>
        <w:t xml:space="preserve">pārejas noteikumu </w:t>
      </w:r>
      <w:r w:rsidRPr="0035547B">
        <w:rPr>
          <w:b/>
        </w:rPr>
        <w:t>70.punktā noteikto, ka Ministru kabinets izvērtē Augstākās tiesas Krimināllietu tiesu palātas likvidācijas ietekmi uz tiesvedību krimināllietās (nepieciešamie grozījumi normatīvajos aktos, reformas finansiālais un materiāltehniskais nodrošinājums u</w:t>
      </w:r>
      <w:r w:rsidR="00E312FF" w:rsidRPr="0035547B">
        <w:rPr>
          <w:b/>
        </w:rPr>
        <w:t>.</w:t>
      </w:r>
      <w:r w:rsidRPr="0035547B">
        <w:rPr>
          <w:b/>
        </w:rPr>
        <w:t xml:space="preserve">tml.) un līdz </w:t>
      </w:r>
      <w:r w:rsidR="00D05BF5" w:rsidRPr="0035547B">
        <w:rPr>
          <w:b/>
        </w:rPr>
        <w:t>2014. gada</w:t>
      </w:r>
      <w:r w:rsidRPr="0035547B">
        <w:rPr>
          <w:b/>
        </w:rPr>
        <w:t xml:space="preserve"> </w:t>
      </w:r>
      <w:r w:rsidR="00D05BF5" w:rsidRPr="0035547B">
        <w:rPr>
          <w:b/>
        </w:rPr>
        <w:t>1. martam</w:t>
      </w:r>
      <w:r w:rsidRPr="0035547B">
        <w:rPr>
          <w:b/>
        </w:rPr>
        <w:t xml:space="preserve"> iesniedz Saeimai ziņojumu par to.</w:t>
      </w:r>
    </w:p>
    <w:p w:rsidR="009C164B" w:rsidRPr="0035547B" w:rsidRDefault="009C164B" w:rsidP="009C164B">
      <w:pPr>
        <w:ind w:firstLine="720"/>
        <w:jc w:val="both"/>
      </w:pPr>
    </w:p>
    <w:p w:rsidR="009C164B" w:rsidRPr="0035547B" w:rsidRDefault="00F56974" w:rsidP="009C164B">
      <w:pPr>
        <w:ind w:firstLine="720"/>
        <w:jc w:val="both"/>
        <w:rPr>
          <w:color w:val="000000"/>
        </w:rPr>
      </w:pPr>
      <w:r w:rsidRPr="0035547B">
        <w:t>Papildus jāuzsver, ka paralēli norit darbs pie</w:t>
      </w:r>
      <w:r w:rsidR="00656C5C" w:rsidRPr="0035547B">
        <w:t xml:space="preserve"> tiesu kompetenču pārdales starp tiesu instancēm arī attiecībā uz civillietām jeb pie</w:t>
      </w:r>
      <w:r w:rsidRPr="0035547B">
        <w:t xml:space="preserve"> pārejas uz t.s. „tīro tiesu instanču sistēmu” civilliet</w:t>
      </w:r>
      <w:r w:rsidR="009C164B" w:rsidRPr="0035547B">
        <w:t xml:space="preserve">u </w:t>
      </w:r>
      <w:r w:rsidR="00656C5C" w:rsidRPr="0035547B">
        <w:t>izskatīšanā</w:t>
      </w:r>
      <w:r w:rsidRPr="0035547B">
        <w:t xml:space="preserve">. Kā Augstākās tiesas Civillietu tiesu palātas darbības beigu termiņš likumā </w:t>
      </w:r>
      <w:r w:rsidR="005E3D3F" w:rsidRPr="0035547B">
        <w:t>„</w:t>
      </w:r>
      <w:r w:rsidRPr="0035547B">
        <w:t xml:space="preserve">Par tiesu varu” ir noteikts </w:t>
      </w:r>
      <w:r w:rsidR="00D05BF5" w:rsidRPr="0035547B">
        <w:t>2016. gada</w:t>
      </w:r>
      <w:r w:rsidRPr="0035547B">
        <w:t xml:space="preserve"> </w:t>
      </w:r>
      <w:r w:rsidR="00D05BF5" w:rsidRPr="0035547B">
        <w:t>31. decembris</w:t>
      </w:r>
      <w:r w:rsidR="005E3D3F" w:rsidRPr="0035547B">
        <w:t>.</w:t>
      </w:r>
      <w:r w:rsidR="009C164B" w:rsidRPr="0035547B">
        <w:t xml:space="preserve"> </w:t>
      </w:r>
      <w:r w:rsidR="009C164B" w:rsidRPr="0035547B">
        <w:rPr>
          <w:color w:val="000000"/>
        </w:rPr>
        <w:t xml:space="preserve">Saskaņā ar likuma „Par tiesu varu” pārejas noteikumu 71.punktu Ministru kabinets izvērtē Augstākās tiesas Civillietu tiesu palātas likvidācijas ietekmi uz tiesvedību civillietās (nepieciešamie grozījumi normatīvajos aktos, reformas finansiālais un materiāltehniskais nodrošinājums u.tml.) un līdz </w:t>
      </w:r>
      <w:r w:rsidR="00D05BF5" w:rsidRPr="0035547B">
        <w:rPr>
          <w:color w:val="000000"/>
        </w:rPr>
        <w:t>2015. gada</w:t>
      </w:r>
      <w:r w:rsidR="009C164B" w:rsidRPr="0035547B">
        <w:rPr>
          <w:color w:val="000000"/>
        </w:rPr>
        <w:t xml:space="preserve"> </w:t>
      </w:r>
      <w:r w:rsidR="00D05BF5" w:rsidRPr="0035547B">
        <w:rPr>
          <w:color w:val="000000"/>
        </w:rPr>
        <w:t>1. martam</w:t>
      </w:r>
      <w:r w:rsidR="009C164B" w:rsidRPr="0035547B">
        <w:rPr>
          <w:color w:val="000000"/>
        </w:rPr>
        <w:t xml:space="preserve"> iesniedz Saeimai ziņojumu par to.</w:t>
      </w:r>
    </w:p>
    <w:p w:rsidR="009C164B" w:rsidRPr="0035547B" w:rsidRDefault="009C164B" w:rsidP="009C164B">
      <w:pPr>
        <w:ind w:firstLine="720"/>
        <w:jc w:val="both"/>
        <w:rPr>
          <w:color w:val="000000"/>
        </w:rPr>
      </w:pPr>
      <w:r w:rsidRPr="0035547B">
        <w:rPr>
          <w:color w:val="000000"/>
        </w:rPr>
        <w:t xml:space="preserve">Īsi raksturojot jau paveikto pārejai uz „tīrajām tiesu instancēm” civillietu izskatīšanā, jānorāda, ka ar 2014. gada 4. janvāri stājās spēkā grozījumi Civilprocesa likumā, paredzot lietu, kas izriet no saistību tiesībām, ja prasības summa pārsniedz 210 000 </w:t>
      </w:r>
      <w:r w:rsidR="00D05BF5" w:rsidRPr="0035547B">
        <w:rPr>
          <w:color w:val="000000"/>
        </w:rPr>
        <w:t>eiro</w:t>
      </w:r>
      <w:r w:rsidRPr="0035547B">
        <w:rPr>
          <w:color w:val="000000"/>
        </w:rPr>
        <w:t>, piekritību rajona (pilsētas) tiesām, proti, tika izslēgts Civilprocesa likuma 25. panta pirmās daļas 2.punkts.</w:t>
      </w:r>
    </w:p>
    <w:p w:rsidR="009C164B" w:rsidRPr="0035547B" w:rsidRDefault="009C164B" w:rsidP="009C164B">
      <w:pPr>
        <w:ind w:firstLine="720"/>
        <w:jc w:val="both"/>
        <w:rPr>
          <w:color w:val="000000"/>
        </w:rPr>
      </w:pPr>
      <w:r w:rsidRPr="0035547B">
        <w:rPr>
          <w:color w:val="000000"/>
        </w:rPr>
        <w:t>Grozījumi Civilprocesa likuma papilina likumu ar jaunu 32.</w:t>
      </w:r>
      <w:r w:rsidRPr="0035547B">
        <w:rPr>
          <w:color w:val="000000"/>
          <w:vertAlign w:val="superscript"/>
        </w:rPr>
        <w:t>1</w:t>
      </w:r>
      <w:r w:rsidRPr="0035547B">
        <w:rPr>
          <w:color w:val="000000"/>
        </w:rPr>
        <w:t xml:space="preserve"> pantu „Tiesvedībā pieņemtās lietas nodošana citai tiesai lietas ātrākas izskatīšanas nodrošināšanai”, kas stājās spēkā 2014. gada 4. </w:t>
      </w:r>
      <w:r w:rsidR="00732882" w:rsidRPr="0035547B">
        <w:rPr>
          <w:color w:val="000000"/>
        </w:rPr>
        <w:t>j</w:t>
      </w:r>
      <w:r w:rsidRPr="0035547B">
        <w:rPr>
          <w:color w:val="000000"/>
        </w:rPr>
        <w:t>anvārī (un kuriem ir pārejas raksturs līdz Augstākās tiesas Civillietu tiesu palātas likvidācijai), un noteic, ja lietas izskatīšana pēc būtības nav uzsākta un, nododot lietu citai tiesai, var panākt tās ātrāku izskatīšanu (izņemot lietās, kuras piekritība noteikta saskaņā ar minētā likuma 28., 29. vai 30. pantu) lēmumu par lietas nodošanu no vienas tiesas citai pieņem instanci augstākas tiesas priekšsēdētājs.</w:t>
      </w:r>
    </w:p>
    <w:p w:rsidR="00732882" w:rsidRPr="0035547B" w:rsidRDefault="00732882" w:rsidP="00732882">
      <w:pPr>
        <w:ind w:firstLine="720"/>
        <w:jc w:val="both"/>
        <w:rPr>
          <w:color w:val="000000"/>
        </w:rPr>
      </w:pPr>
      <w:r w:rsidRPr="0035547B">
        <w:rPr>
          <w:color w:val="000000"/>
        </w:rPr>
        <w:t xml:space="preserve">Saeima </w:t>
      </w:r>
      <w:r w:rsidR="00D05BF5" w:rsidRPr="0035547B">
        <w:rPr>
          <w:color w:val="000000"/>
        </w:rPr>
        <w:t>2014. gada</w:t>
      </w:r>
      <w:r w:rsidRPr="0035547B">
        <w:rPr>
          <w:color w:val="000000"/>
        </w:rPr>
        <w:t xml:space="preserve"> </w:t>
      </w:r>
      <w:r w:rsidR="00D05BF5" w:rsidRPr="0035547B">
        <w:rPr>
          <w:color w:val="000000"/>
        </w:rPr>
        <w:t>19. jūnijā</w:t>
      </w:r>
      <w:r w:rsidRPr="0035547B">
        <w:rPr>
          <w:color w:val="000000"/>
        </w:rPr>
        <w:t xml:space="preserve"> otrajā lasījumā atbalstīja priekšlikumus likumprojektā "Grozījumi Civilprocesa likumā"</w:t>
      </w:r>
      <w:r w:rsidR="00D05BF5" w:rsidRPr="0035547B">
        <w:rPr>
          <w:color w:val="000000"/>
        </w:rPr>
        <w:t xml:space="preserve"> </w:t>
      </w:r>
      <w:r w:rsidRPr="0035547B">
        <w:rPr>
          <w:color w:val="000000"/>
        </w:rPr>
        <w:t>Nr.1038/Lp11, kas paredz pieteikumu par zvērinātu tiesu izpildītāju rīkoto izsoļu aktu apstiprināšanu, tostarp,</w:t>
      </w:r>
      <w:r w:rsidR="00D05BF5" w:rsidRPr="0035547B">
        <w:rPr>
          <w:color w:val="000000"/>
        </w:rPr>
        <w:t xml:space="preserve"> </w:t>
      </w:r>
      <w:r w:rsidRPr="0035547B">
        <w:rPr>
          <w:color w:val="000000"/>
        </w:rPr>
        <w:t>pieteikumu par t.s. labprātīgās izsoles akta apstiprināšanu un pieteikumu par kuģu izsoles aktu apstiprināšanu izskatīšanu nodot zemesgrāmatu nodaļām.  Tāpat sagatavotie priekšlikumi paredz, ka zemesgrāmatu nodaļu kompetencē ietilps arī sūdzību par tiesu izpildītāju rīcību izskatīšana, ja sūdzības iesniedzējs lūdz atzīt izsoli par spēkā neesošu.</w:t>
      </w:r>
    </w:p>
    <w:p w:rsidR="00732882" w:rsidRPr="0035547B" w:rsidRDefault="00D05BF5" w:rsidP="00732882">
      <w:pPr>
        <w:ind w:firstLine="720"/>
        <w:jc w:val="both"/>
        <w:rPr>
          <w:color w:val="000000"/>
        </w:rPr>
      </w:pPr>
      <w:r w:rsidRPr="0035547B">
        <w:rPr>
          <w:color w:val="000000"/>
        </w:rPr>
        <w:t xml:space="preserve">Vienlaikus sagatavojot priekšlikumus, saskatīta iespēja iesniegt priekšlikumus, kas paaugstinātu pieteikumu izskatīšanas procesa efektivitāti, tostarp, paredzot, ka zvērināts tiesu izpildītājs pieteikumu iesniedz elektroniski, savukārt zemesgrāmatu nodaļas tiesnesis apstiprinājumu par pieteikumā norādītajām darbībām, iegūst ieskatoties Izpildu lietu reģistrā. Šāds regulējums, pretēji pašreiz īstenotajai praksei, ka pieteikumam pievieno dokumentus, kas apliecina izpildu lietā veiktās darbības, ļaus samazināt patērētos resursus saistībā ar nepieciešamo dokumentu noformēšanu un nogādāšanu tiesā. </w:t>
      </w:r>
      <w:r w:rsidR="00732882" w:rsidRPr="0035547B">
        <w:rPr>
          <w:color w:val="000000"/>
        </w:rPr>
        <w:t>Tāpat līdz ar pieteikumu par izsoļu akta apstiprināšanu izskatīšanu nodošanu zemesgrāmatu nodaļām saskatīta iespēja, pieteikuma izskatīšanu un tiesību nostiprināšanu organizēt</w:t>
      </w:r>
      <w:r w:rsidRPr="0035547B">
        <w:rPr>
          <w:color w:val="000000"/>
        </w:rPr>
        <w:t xml:space="preserve"> </w:t>
      </w:r>
      <w:r w:rsidR="00732882" w:rsidRPr="0035547B">
        <w:rPr>
          <w:color w:val="000000"/>
        </w:rPr>
        <w:t>viena procesa ietvaros.</w:t>
      </w:r>
    </w:p>
    <w:p w:rsidR="009C164B" w:rsidRPr="0035547B" w:rsidRDefault="009C164B" w:rsidP="009C164B">
      <w:pPr>
        <w:ind w:firstLine="720"/>
        <w:jc w:val="both"/>
        <w:rPr>
          <w:color w:val="000000"/>
        </w:rPr>
      </w:pPr>
      <w:r w:rsidRPr="0035547B">
        <w:rPr>
          <w:color w:val="000000"/>
        </w:rPr>
        <w:lastRenderedPageBreak/>
        <w:t>Tieslietu ministrija ir izstrādājusi grozījumi Civilprocesa likumā un nozaru speciālajos tiesību aktos, kas nepieciešami, lai veiktu atlikušo kompetenču pārdali starp tiesu instancēm jeb pāreju uz „tīrajām tiesu instancēm” civilprocesā.</w:t>
      </w:r>
    </w:p>
    <w:p w:rsidR="009C164B" w:rsidRPr="0035547B" w:rsidRDefault="009C164B" w:rsidP="009C164B">
      <w:pPr>
        <w:ind w:firstLine="720"/>
        <w:jc w:val="both"/>
        <w:rPr>
          <w:color w:val="000000"/>
        </w:rPr>
      </w:pPr>
      <w:r w:rsidRPr="0035547B">
        <w:rPr>
          <w:color w:val="000000"/>
        </w:rPr>
        <w:t>Plānotie Civilprocesa likuma grozījumi saistībā ar lietu pārdali skartu:</w:t>
      </w:r>
    </w:p>
    <w:p w:rsidR="009C164B" w:rsidRPr="0035547B" w:rsidRDefault="009C164B" w:rsidP="009C164B">
      <w:pPr>
        <w:ind w:firstLine="720"/>
        <w:jc w:val="both"/>
        <w:rPr>
          <w:color w:val="000000"/>
        </w:rPr>
      </w:pPr>
      <w:r w:rsidRPr="0035547B">
        <w:rPr>
          <w:color w:val="000000"/>
        </w:rPr>
        <w:t>1) lietas par patenttiesību, preču zīmju un ģeogrāfiskās izcelsmes norāžu aizsardzību;</w:t>
      </w:r>
    </w:p>
    <w:p w:rsidR="009C164B" w:rsidRPr="0035547B" w:rsidRDefault="009C164B" w:rsidP="009C164B">
      <w:pPr>
        <w:ind w:firstLine="720"/>
        <w:jc w:val="both"/>
        <w:rPr>
          <w:color w:val="000000"/>
        </w:rPr>
      </w:pPr>
      <w:r w:rsidRPr="0035547B">
        <w:rPr>
          <w:color w:val="000000"/>
        </w:rPr>
        <w:t>2) lietas par kredītiestāžu maksātnespēju un likvidāciju;</w:t>
      </w:r>
    </w:p>
    <w:p w:rsidR="009C164B" w:rsidRPr="0035547B" w:rsidRDefault="009C164B" w:rsidP="009C164B">
      <w:pPr>
        <w:ind w:firstLine="720"/>
        <w:jc w:val="both"/>
        <w:rPr>
          <w:color w:val="000000"/>
        </w:rPr>
      </w:pPr>
      <w:r w:rsidRPr="0035547B">
        <w:rPr>
          <w:color w:val="000000"/>
        </w:rPr>
        <w:t>3) lietas, kurās ir strīds par īpašuma tiesībām uz nekustamo īpašumu;</w:t>
      </w:r>
    </w:p>
    <w:p w:rsidR="009C164B" w:rsidRPr="0035547B" w:rsidRDefault="009C164B" w:rsidP="009C164B">
      <w:pPr>
        <w:ind w:firstLine="720"/>
        <w:jc w:val="both"/>
        <w:rPr>
          <w:color w:val="000000"/>
        </w:rPr>
      </w:pPr>
      <w:r w:rsidRPr="0035547B">
        <w:rPr>
          <w:color w:val="000000"/>
        </w:rPr>
        <w:t>4) lietas, kas satur valsts noslēpuma objektu.</w:t>
      </w:r>
    </w:p>
    <w:p w:rsidR="009C164B" w:rsidRPr="0035547B" w:rsidRDefault="00732882" w:rsidP="009C164B">
      <w:pPr>
        <w:ind w:firstLine="720"/>
        <w:jc w:val="both"/>
        <w:rPr>
          <w:color w:val="000000"/>
        </w:rPr>
      </w:pPr>
      <w:r w:rsidRPr="0035547B">
        <w:rPr>
          <w:color w:val="000000"/>
        </w:rPr>
        <w:t>G</w:t>
      </w:r>
      <w:r w:rsidR="009C164B" w:rsidRPr="0035547B">
        <w:rPr>
          <w:color w:val="000000"/>
        </w:rPr>
        <w:t>rozījumi Civilprocesā likumā skartu arī nolēmumu pārsūdzības kārtību, ņemot vērā, ka nolēmumus pēc Augstākās tiesas Civillietu tiesu palātas likvidācijas vairs nebūs iespējams pārsūdzēt Civillietu palātā, bet gan attiecīgajā apgabaltiesā kā apelācijas instances tiesā. Vienlaikus, pārskatot nolēmumu pārsūdzības kārtību, secināms, ka līdz ar nepieciešamajiem grozījumiem Civilprocesa likumā veicami attiecīgi grozījumi Zemesgrāmatu likuma 98. pantā, paredzot sūdzību par zemesgrāmatu nodaļu tiesnešu lēmumu izskatīšanas nodošanu apgabaltiesām, jo šobrīd izskatīšanai piekrīt Augstākās tiesas Civillietu tiesu palātai.</w:t>
      </w:r>
    </w:p>
    <w:p w:rsidR="009C164B" w:rsidRPr="0035547B" w:rsidRDefault="009C164B" w:rsidP="009C164B">
      <w:pPr>
        <w:ind w:firstLine="720"/>
        <w:jc w:val="both"/>
        <w:rPr>
          <w:color w:val="000000"/>
        </w:rPr>
      </w:pPr>
      <w:r w:rsidRPr="0035547B">
        <w:rPr>
          <w:color w:val="000000"/>
        </w:rPr>
        <w:t xml:space="preserve">Civilprocesa likumā </w:t>
      </w:r>
      <w:r w:rsidR="00732882" w:rsidRPr="0035547B">
        <w:rPr>
          <w:color w:val="000000"/>
        </w:rPr>
        <w:t>papildus plānots paredzēt</w:t>
      </w:r>
      <w:r w:rsidRPr="0035547B">
        <w:rPr>
          <w:color w:val="000000"/>
        </w:rPr>
        <w:t xml:space="preserve"> pārejas noteikumus, nodrošinot pakāpenisku lietu nodošanu attiecīgajām tiesu instancēm pēc piekritības, nosakot precīzu kārtību un termiņus, kā arī paredzot rīcību ar Augstākās tiesas Civillietu tiesu palātā līdz 2016. gada 31. decembrim neizskatītajām civillietām. Civilprocesa likumā paredzēts noteikt līdzīgu regulējumu, kāds ietverts Kriminālprocesa likumā, īstenojot kompetenču pārdali starp tiesu instancēm kriminālprocesā.</w:t>
      </w:r>
    </w:p>
    <w:p w:rsidR="006E0102" w:rsidRPr="0035547B" w:rsidRDefault="006E0102" w:rsidP="007C3B79">
      <w:pPr>
        <w:ind w:firstLine="720"/>
        <w:jc w:val="both"/>
        <w:rPr>
          <w:b/>
          <w:color w:val="000000"/>
        </w:rPr>
      </w:pPr>
    </w:p>
    <w:p w:rsidR="00C56130" w:rsidRPr="0035547B" w:rsidRDefault="0025496E" w:rsidP="007C3B79">
      <w:pPr>
        <w:ind w:firstLine="720"/>
        <w:jc w:val="both"/>
        <w:rPr>
          <w:color w:val="000000"/>
          <w:sz w:val="26"/>
          <w:szCs w:val="26"/>
        </w:rPr>
      </w:pPr>
      <w:r w:rsidRPr="0035547B">
        <w:rPr>
          <w:b/>
          <w:color w:val="000000"/>
          <w:sz w:val="26"/>
          <w:szCs w:val="26"/>
        </w:rPr>
        <w:t>2</w:t>
      </w:r>
      <w:r w:rsidR="00C56130" w:rsidRPr="0035547B">
        <w:rPr>
          <w:b/>
          <w:color w:val="000000"/>
          <w:sz w:val="26"/>
          <w:szCs w:val="26"/>
        </w:rPr>
        <w:t>. </w:t>
      </w:r>
      <w:r w:rsidR="009C164B" w:rsidRPr="0035547B">
        <w:rPr>
          <w:b/>
          <w:color w:val="000000"/>
          <w:sz w:val="26"/>
          <w:szCs w:val="26"/>
        </w:rPr>
        <w:t>Augstākās tiesas Krimināllietu tiesu palātas t</w:t>
      </w:r>
      <w:r w:rsidR="00C56130" w:rsidRPr="0035547B">
        <w:rPr>
          <w:b/>
          <w:color w:val="000000"/>
          <w:sz w:val="26"/>
          <w:szCs w:val="26"/>
        </w:rPr>
        <w:t xml:space="preserve">iesvedībā esošās </w:t>
      </w:r>
      <w:r w:rsidR="0072573E" w:rsidRPr="0035547B">
        <w:rPr>
          <w:b/>
          <w:color w:val="000000"/>
          <w:sz w:val="26"/>
          <w:szCs w:val="26"/>
        </w:rPr>
        <w:t>krimināl</w:t>
      </w:r>
      <w:r w:rsidR="00C56130" w:rsidRPr="0035547B">
        <w:rPr>
          <w:b/>
          <w:color w:val="000000"/>
          <w:sz w:val="26"/>
          <w:szCs w:val="26"/>
        </w:rPr>
        <w:t>lietas un turpmākā rīcība ar tām</w:t>
      </w:r>
      <w:r w:rsidR="00185926" w:rsidRPr="0035547B">
        <w:rPr>
          <w:b/>
          <w:color w:val="000000"/>
          <w:sz w:val="26"/>
          <w:szCs w:val="26"/>
        </w:rPr>
        <w:t>.</w:t>
      </w:r>
    </w:p>
    <w:p w:rsidR="00F6008E" w:rsidRPr="0035547B" w:rsidRDefault="00656C5C" w:rsidP="007C3B79">
      <w:pPr>
        <w:ind w:firstLine="720"/>
        <w:jc w:val="both"/>
        <w:rPr>
          <w:color w:val="000000"/>
        </w:rPr>
      </w:pPr>
      <w:r w:rsidRPr="0035547B">
        <w:rPr>
          <w:color w:val="000000"/>
        </w:rPr>
        <w:t>N</w:t>
      </w:r>
      <w:r w:rsidR="00F677F1" w:rsidRPr="0035547B">
        <w:rPr>
          <w:color w:val="000000"/>
        </w:rPr>
        <w:t xml:space="preserve">o </w:t>
      </w:r>
      <w:r w:rsidR="00D05BF5" w:rsidRPr="0035547B">
        <w:rPr>
          <w:color w:val="000000"/>
        </w:rPr>
        <w:t>2012. gada</w:t>
      </w:r>
      <w:r w:rsidR="00F677F1" w:rsidRPr="0035547B">
        <w:rPr>
          <w:color w:val="000000"/>
        </w:rPr>
        <w:t xml:space="preserve"> </w:t>
      </w:r>
      <w:r w:rsidR="00D05BF5" w:rsidRPr="0035547B">
        <w:rPr>
          <w:color w:val="000000"/>
        </w:rPr>
        <w:t>1. jūlija</w:t>
      </w:r>
      <w:r w:rsidR="00F677F1" w:rsidRPr="0035547B">
        <w:rPr>
          <w:color w:val="000000"/>
        </w:rPr>
        <w:t xml:space="preserve"> visas krimināllietas kā pirmās instances tiesas saskaņā ar Kriminālprocesa likuma 422.panta pirmo daļu izskata rajona (pilsētu) tiesas. Saskaņā ar Kriminālproces</w:t>
      </w:r>
      <w:r w:rsidR="003729D4" w:rsidRPr="0035547B">
        <w:rPr>
          <w:color w:val="000000"/>
        </w:rPr>
        <w:t>a likuma pārejas noteikumu 33. u</w:t>
      </w:r>
      <w:r w:rsidR="00F677F1" w:rsidRPr="0035547B">
        <w:rPr>
          <w:color w:val="000000"/>
        </w:rPr>
        <w:t xml:space="preserve">n 34.punktu lietas, kuras nodotas izskatīšanai apgabaltiesā pēc noteiktās piekritības līdz </w:t>
      </w:r>
      <w:r w:rsidR="00D05BF5" w:rsidRPr="0035547B">
        <w:rPr>
          <w:color w:val="000000"/>
        </w:rPr>
        <w:t>2012. gada</w:t>
      </w:r>
      <w:r w:rsidR="00F677F1" w:rsidRPr="0035547B">
        <w:rPr>
          <w:color w:val="000000"/>
        </w:rPr>
        <w:t xml:space="preserve"> </w:t>
      </w:r>
      <w:r w:rsidR="00D05BF5" w:rsidRPr="0035547B">
        <w:rPr>
          <w:color w:val="000000"/>
        </w:rPr>
        <w:t>30. jūnijam</w:t>
      </w:r>
      <w:r w:rsidR="00F677F1" w:rsidRPr="0035547B">
        <w:rPr>
          <w:color w:val="000000"/>
        </w:rPr>
        <w:t>, izskatāmas tajā pašā tiesā, kurā tās iesniegtas</w:t>
      </w:r>
      <w:r w:rsidR="003729D4" w:rsidRPr="0035547B">
        <w:rPr>
          <w:color w:val="000000"/>
        </w:rPr>
        <w:t>.</w:t>
      </w:r>
      <w:r w:rsidR="00F677F1" w:rsidRPr="0035547B">
        <w:rPr>
          <w:color w:val="000000"/>
        </w:rPr>
        <w:t xml:space="preserve"> </w:t>
      </w:r>
      <w:r w:rsidR="003729D4" w:rsidRPr="0035547B">
        <w:rPr>
          <w:color w:val="000000"/>
        </w:rPr>
        <w:t>L</w:t>
      </w:r>
      <w:r w:rsidR="00F677F1" w:rsidRPr="0035547B">
        <w:rPr>
          <w:color w:val="000000"/>
        </w:rPr>
        <w:t xml:space="preserve">ietās, kuras nodotas izskatīšanai apgabaltiesā kā pirmās instances tiesā pēc noteiktās piekritības līdz </w:t>
      </w:r>
      <w:r w:rsidR="00D05BF5" w:rsidRPr="0035547B">
        <w:rPr>
          <w:color w:val="000000"/>
        </w:rPr>
        <w:t>2012. gada</w:t>
      </w:r>
      <w:r w:rsidR="00F677F1" w:rsidRPr="0035547B">
        <w:rPr>
          <w:color w:val="000000"/>
        </w:rPr>
        <w:t xml:space="preserve"> </w:t>
      </w:r>
      <w:r w:rsidR="00D05BF5" w:rsidRPr="0035547B">
        <w:rPr>
          <w:color w:val="000000"/>
        </w:rPr>
        <w:t>30. jūnijam</w:t>
      </w:r>
      <w:r w:rsidR="00F677F1" w:rsidRPr="0035547B">
        <w:rPr>
          <w:color w:val="000000"/>
        </w:rPr>
        <w:t>, apelācijas kārtībā pārsūdzētu nolēmumu izskata Augstākās tiesas Krimināllietu tiesu palāta kā apelācijas instances tiesa.</w:t>
      </w:r>
    </w:p>
    <w:p w:rsidR="003729D4" w:rsidRPr="0035547B" w:rsidRDefault="003729D4" w:rsidP="007C3B79">
      <w:pPr>
        <w:ind w:firstLine="720"/>
        <w:jc w:val="both"/>
        <w:rPr>
          <w:color w:val="000000"/>
        </w:rPr>
      </w:pPr>
      <w:r w:rsidRPr="0035547B">
        <w:rPr>
          <w:color w:val="000000"/>
        </w:rPr>
        <w:t xml:space="preserve">Savukārt, lai nodrošinātu, ka Augstākā tiesa no </w:t>
      </w:r>
      <w:r w:rsidR="00D05BF5" w:rsidRPr="0035547B">
        <w:rPr>
          <w:color w:val="000000"/>
        </w:rPr>
        <w:t>2015. gada</w:t>
      </w:r>
      <w:r w:rsidRPr="0035547B">
        <w:rPr>
          <w:color w:val="000000"/>
        </w:rPr>
        <w:t xml:space="preserve"> vairs neskata krimināllietas apelācijas kārtībā un funkcionē vienīgi kā kasācijas instance, Saeima </w:t>
      </w:r>
      <w:r w:rsidR="00D05BF5" w:rsidRPr="0035547B">
        <w:rPr>
          <w:color w:val="000000"/>
        </w:rPr>
        <w:t>2013. gada</w:t>
      </w:r>
      <w:r w:rsidRPr="0035547B">
        <w:rPr>
          <w:color w:val="000000"/>
        </w:rPr>
        <w:t xml:space="preserve"> </w:t>
      </w:r>
      <w:r w:rsidR="00D05BF5" w:rsidRPr="0035547B">
        <w:rPr>
          <w:color w:val="000000"/>
        </w:rPr>
        <w:t>19. decembrī</w:t>
      </w:r>
      <w:r w:rsidRPr="0035547B">
        <w:rPr>
          <w:color w:val="000000"/>
        </w:rPr>
        <w:t xml:space="preserve"> pieņēma grozījumus Kriminālprocesa likumā, nosakot, ka:</w:t>
      </w:r>
    </w:p>
    <w:p w:rsidR="003729D4" w:rsidRPr="0035547B" w:rsidRDefault="003729D4" w:rsidP="001A44F5">
      <w:pPr>
        <w:pStyle w:val="Sarakstarindkopa"/>
        <w:numPr>
          <w:ilvl w:val="0"/>
          <w:numId w:val="10"/>
        </w:numPr>
        <w:jc w:val="both"/>
        <w:rPr>
          <w:color w:val="000000"/>
        </w:rPr>
      </w:pPr>
      <w:r w:rsidRPr="0035547B">
        <w:rPr>
          <w:color w:val="000000"/>
        </w:rPr>
        <w:t xml:space="preserve">Lietās, kuras izskatītas apgabaltiesā kā pirmās instances tiesā, apelācijas kārtībā pēc </w:t>
      </w:r>
      <w:r w:rsidR="00D05BF5" w:rsidRPr="0035547B">
        <w:rPr>
          <w:color w:val="000000"/>
        </w:rPr>
        <w:t>2014. gada</w:t>
      </w:r>
      <w:r w:rsidRPr="0035547B">
        <w:rPr>
          <w:color w:val="000000"/>
        </w:rPr>
        <w:t xml:space="preserve"> </w:t>
      </w:r>
      <w:r w:rsidR="00D05BF5" w:rsidRPr="0035547B">
        <w:rPr>
          <w:color w:val="000000"/>
        </w:rPr>
        <w:t>1. janvāra</w:t>
      </w:r>
      <w:r w:rsidRPr="0035547B">
        <w:rPr>
          <w:color w:val="000000"/>
        </w:rPr>
        <w:t xml:space="preserve"> pārsūdzētu nolēmumu izskata tā pati apgabaltiesa kā apelācijas instances tiesa;</w:t>
      </w:r>
    </w:p>
    <w:p w:rsidR="003729D4" w:rsidRPr="0035547B" w:rsidRDefault="003729D4" w:rsidP="001A44F5">
      <w:pPr>
        <w:pStyle w:val="Sarakstarindkopa"/>
        <w:numPr>
          <w:ilvl w:val="0"/>
          <w:numId w:val="10"/>
        </w:numPr>
        <w:jc w:val="both"/>
        <w:rPr>
          <w:color w:val="000000"/>
        </w:rPr>
      </w:pPr>
      <w:r w:rsidRPr="0035547B">
        <w:rPr>
          <w:color w:val="000000"/>
        </w:rPr>
        <w:t xml:space="preserve">Lietas, kuras nodotas izskatīšanai Augstākās tiesas Krimināllietu tiesu palātā līdz </w:t>
      </w:r>
      <w:r w:rsidR="00D05BF5" w:rsidRPr="0035547B">
        <w:rPr>
          <w:color w:val="000000"/>
        </w:rPr>
        <w:t>2013. gada</w:t>
      </w:r>
      <w:r w:rsidRPr="0035547B">
        <w:rPr>
          <w:color w:val="000000"/>
        </w:rPr>
        <w:t xml:space="preserve"> </w:t>
      </w:r>
      <w:r w:rsidR="00D05BF5" w:rsidRPr="0035547B">
        <w:rPr>
          <w:color w:val="000000"/>
        </w:rPr>
        <w:t>31. decembrim</w:t>
      </w:r>
      <w:r w:rsidRPr="0035547B">
        <w:rPr>
          <w:color w:val="000000"/>
        </w:rPr>
        <w:t xml:space="preserve">, bet kurās tiesas izmeklēšana nav uzsākta līdz </w:t>
      </w:r>
      <w:r w:rsidR="00D05BF5" w:rsidRPr="0035547B">
        <w:rPr>
          <w:color w:val="000000"/>
        </w:rPr>
        <w:t>2014. gada</w:t>
      </w:r>
      <w:r w:rsidRPr="0035547B">
        <w:rPr>
          <w:color w:val="000000"/>
        </w:rPr>
        <w:t xml:space="preserve"> </w:t>
      </w:r>
      <w:r w:rsidR="00D05BF5" w:rsidRPr="0035547B">
        <w:rPr>
          <w:color w:val="000000"/>
        </w:rPr>
        <w:t>30. jūnijam</w:t>
      </w:r>
      <w:r w:rsidRPr="0035547B">
        <w:rPr>
          <w:color w:val="000000"/>
        </w:rPr>
        <w:t>, nodod izskatīšanai apgabaltiesai kā apelācijas instances tiesai;</w:t>
      </w:r>
    </w:p>
    <w:p w:rsidR="003729D4" w:rsidRPr="0035547B" w:rsidRDefault="003729D4" w:rsidP="001A44F5">
      <w:pPr>
        <w:pStyle w:val="Sarakstarindkopa"/>
        <w:numPr>
          <w:ilvl w:val="0"/>
          <w:numId w:val="10"/>
        </w:numPr>
        <w:jc w:val="both"/>
        <w:rPr>
          <w:color w:val="000000"/>
        </w:rPr>
      </w:pPr>
      <w:r w:rsidRPr="0035547B">
        <w:rPr>
          <w:color w:val="000000"/>
        </w:rPr>
        <w:t xml:space="preserve">Lietas, kurās Augstākās tiesas Krimināllietu tiesu palātā ir uzsākta tiesas izmeklēšana, bet kuras līdz </w:t>
      </w:r>
      <w:r w:rsidR="00D05BF5" w:rsidRPr="0035547B">
        <w:rPr>
          <w:color w:val="000000"/>
        </w:rPr>
        <w:t>2014. gada</w:t>
      </w:r>
      <w:r w:rsidRPr="0035547B">
        <w:rPr>
          <w:color w:val="000000"/>
        </w:rPr>
        <w:t xml:space="preserve"> </w:t>
      </w:r>
      <w:r w:rsidR="00D05BF5" w:rsidRPr="0035547B">
        <w:rPr>
          <w:color w:val="000000"/>
        </w:rPr>
        <w:t>31. decembrim</w:t>
      </w:r>
      <w:r w:rsidRPr="0035547B">
        <w:rPr>
          <w:color w:val="000000"/>
        </w:rPr>
        <w:t xml:space="preserve"> nav izskatītas, nodod izskatīšanai no jauna apgabaltiesai kā apelācijas instances tiesai;</w:t>
      </w:r>
    </w:p>
    <w:p w:rsidR="003729D4" w:rsidRPr="0035547B" w:rsidRDefault="003729D4" w:rsidP="001A44F5">
      <w:pPr>
        <w:pStyle w:val="Sarakstarindkopa"/>
        <w:numPr>
          <w:ilvl w:val="0"/>
          <w:numId w:val="10"/>
        </w:numPr>
        <w:jc w:val="both"/>
        <w:rPr>
          <w:color w:val="000000"/>
        </w:rPr>
      </w:pPr>
      <w:r w:rsidRPr="0035547B">
        <w:rPr>
          <w:color w:val="000000"/>
        </w:rPr>
        <w:t xml:space="preserve">Lietas, kuras nodotas izskatīšanai Augstākās tiesas Krimināllietu tiesu palātā un kurās pieņemts lēmums par kriminālprocesa apturēšanu, pēc </w:t>
      </w:r>
      <w:r w:rsidR="00D05BF5" w:rsidRPr="0035547B">
        <w:rPr>
          <w:color w:val="000000"/>
        </w:rPr>
        <w:t>2015. gada</w:t>
      </w:r>
      <w:r w:rsidRPr="0035547B">
        <w:rPr>
          <w:color w:val="000000"/>
        </w:rPr>
        <w:t xml:space="preserve"> </w:t>
      </w:r>
      <w:r w:rsidR="00D05BF5" w:rsidRPr="0035547B">
        <w:rPr>
          <w:color w:val="000000"/>
        </w:rPr>
        <w:t>1. janvāra</w:t>
      </w:r>
      <w:r w:rsidRPr="0035547B">
        <w:rPr>
          <w:color w:val="000000"/>
        </w:rPr>
        <w:t xml:space="preserve"> nodod apgabaltiesai kā apelācijas instances tiesai;</w:t>
      </w:r>
    </w:p>
    <w:p w:rsidR="003729D4" w:rsidRPr="0035547B" w:rsidRDefault="003729D4" w:rsidP="001A44F5">
      <w:pPr>
        <w:pStyle w:val="Sarakstarindkopa"/>
        <w:numPr>
          <w:ilvl w:val="0"/>
          <w:numId w:val="10"/>
        </w:numPr>
        <w:jc w:val="both"/>
        <w:rPr>
          <w:color w:val="000000"/>
        </w:rPr>
      </w:pPr>
      <w:r w:rsidRPr="0035547B">
        <w:rPr>
          <w:color w:val="000000"/>
        </w:rPr>
        <w:t xml:space="preserve">Augstākās tiesas Krimināllietu tiesu palātā izskatītās lietas, kurās pēc </w:t>
      </w:r>
      <w:r w:rsidR="00D05BF5" w:rsidRPr="0035547B">
        <w:rPr>
          <w:color w:val="000000"/>
        </w:rPr>
        <w:t>2014. gada</w:t>
      </w:r>
      <w:r w:rsidRPr="0035547B">
        <w:rPr>
          <w:color w:val="000000"/>
        </w:rPr>
        <w:t xml:space="preserve"> </w:t>
      </w:r>
      <w:r w:rsidR="00D05BF5" w:rsidRPr="0035547B">
        <w:rPr>
          <w:color w:val="000000"/>
        </w:rPr>
        <w:t>1. janvāra</w:t>
      </w:r>
      <w:r w:rsidRPr="0035547B">
        <w:rPr>
          <w:color w:val="000000"/>
        </w:rPr>
        <w:t xml:space="preserve"> kasācijas instance ir atcēlusi nolēmumu, nosūta jaunai izskatīšanai apgabaltiesai kā apelācijas instances tiesai. </w:t>
      </w:r>
    </w:p>
    <w:p w:rsidR="007F063D" w:rsidRPr="0035547B" w:rsidRDefault="007F063D" w:rsidP="007F063D">
      <w:pPr>
        <w:suppressAutoHyphens w:val="0"/>
        <w:ind w:firstLine="709"/>
        <w:jc w:val="both"/>
        <w:rPr>
          <w:lang w:eastAsia="en-US"/>
        </w:rPr>
      </w:pPr>
      <w:r w:rsidRPr="0035547B">
        <w:rPr>
          <w:lang w:eastAsia="en-US"/>
        </w:rPr>
        <w:lastRenderedPageBreak/>
        <w:t xml:space="preserve">Kā tas ir norādīts arī likumprojekta sākotnējās ietekmes izvērtējuma ziņojumā (anotācijā), pastāvīgā darba grupa KPL grozījumu izstrādei apzināja arī risku, kas saistīts ar faktu, ka nododot Augstākās tiesas Krimināllietu tiesu palātā jau iesāktu lietu izskatīšanai apgabaltiesai, jaunajam tiesas sastāvam ir jāsāk lietu skatīt pilnībā no jauna, tādējādi, iespējams, radot KPL 14. panta – tiesības uz lietas izskatīšanu saprātīgā termiņā, pārkāpumu. Var būt gadījumi, kad lieta Augstākās tiesas Krimināllietu tiesu palātā ir skatīta ilgstoši </w:t>
      </w:r>
      <w:r w:rsidR="00D05BF5" w:rsidRPr="0035547B">
        <w:rPr>
          <w:lang w:eastAsia="en-US"/>
        </w:rPr>
        <w:t>un</w:t>
      </w:r>
      <w:r w:rsidRPr="0035547B">
        <w:rPr>
          <w:lang w:eastAsia="en-US"/>
        </w:rPr>
        <w:t xml:space="preserve"> lai pabeigtu lietu un novestu kriminālprocesu līdz krimināltiesisko attiecību taisnīgam noregulējumam, ir nepieciešams pavisam nedaudz laika. Tāpat pastāv iespēja, ka lietas dalībniekiem ir interese, lai lieta tiktu nodota izskatīšanai apgabaltiesā, tādējādi novilcinot tās izskatīšanu. </w:t>
      </w:r>
    </w:p>
    <w:p w:rsidR="007F063D" w:rsidRPr="0035547B" w:rsidRDefault="007F063D" w:rsidP="007F063D">
      <w:pPr>
        <w:suppressAutoHyphens w:val="0"/>
        <w:ind w:firstLine="709"/>
        <w:jc w:val="both"/>
      </w:pPr>
      <w:r w:rsidRPr="0035547B">
        <w:t xml:space="preserve">Tādējādi lielākais eventuālais risks saistībā ar tiesībām uz lietas izskatīšanu saprātīgā termiņā attiecināms uz tām Augstākās tiesas Krimināllietu tiesu palātas tiesvedībā esošām krimināllietām, kurās jau ir uzsākta tiesas izmeklēšana. Proti, ja šo lietu izskatīšana Krimināllietu tiesu palātā netiek pabeigta līdz </w:t>
      </w:r>
      <w:r w:rsidR="00D05BF5" w:rsidRPr="0035547B">
        <w:t>2014. gada</w:t>
      </w:r>
      <w:r w:rsidRPr="0035547B">
        <w:t xml:space="preserve"> </w:t>
      </w:r>
      <w:r w:rsidR="00D05BF5" w:rsidRPr="0035547B">
        <w:t>31. decembrim</w:t>
      </w:r>
      <w:r w:rsidRPr="0035547B">
        <w:t xml:space="preserve">, tās saskaņā ar Kriminālprocesa likuma pārejas noteikumu 48.punktu nododamas apgabaltiesai kā apelācijas instances tiesai. </w:t>
      </w:r>
      <w:r w:rsidR="00D05BF5" w:rsidRPr="0035547B">
        <w:t>Ievērojot minēto, Krimināllietu tiesu palātas iesāktās, bet līdz 2014. gada 31. decembrim nepabeigtās lietas pēc to nodošanas apgabaltiesām visos gadījumos būs jāatsāk izskatīt no jauna, kas atstās būtisku ietekmi uz šo lietu izskatīšanas kopējo termiņu, un teorētiski pastāv iespēja, ka tas var radīt Kriminālprocesa likuma 14. panta – tiesības uz lietas izskatīšanu saprātīgā termiņā, kā arī Eiropas Cilvēka tiesību un pamatbrīvību aizsardzības konvencijas 6. panta, kas garantē personas tiesības uz lietas taisnīgu izskatīšanu, t.i. uz taisnīgu un atklātu lietas savlaicīgu izskatīšanu neatkarīgā un objektīvā ar likumu noteiktā tiesā, pārkāpumu.</w:t>
      </w:r>
      <w:r w:rsidR="00D05BF5" w:rsidRPr="0035547B">
        <w:rPr>
          <w:b/>
        </w:rPr>
        <w:t xml:space="preserve"> </w:t>
      </w:r>
    </w:p>
    <w:p w:rsidR="00F677F1" w:rsidRPr="0035547B" w:rsidRDefault="00086EA6" w:rsidP="007C3B79">
      <w:pPr>
        <w:ind w:firstLine="720"/>
        <w:jc w:val="both"/>
        <w:rPr>
          <w:color w:val="000000"/>
        </w:rPr>
      </w:pPr>
      <w:r w:rsidRPr="0035547B">
        <w:rPr>
          <w:color w:val="000000"/>
        </w:rPr>
        <w:t>No</w:t>
      </w:r>
      <w:r w:rsidR="00F677F1" w:rsidRPr="0035547B">
        <w:rPr>
          <w:color w:val="000000"/>
        </w:rPr>
        <w:t xml:space="preserve"> Tiesu informatīvajā sistēmā reģistrēt</w:t>
      </w:r>
      <w:r w:rsidRPr="0035547B">
        <w:rPr>
          <w:color w:val="000000"/>
        </w:rPr>
        <w:t>ajiem</w:t>
      </w:r>
      <w:r w:rsidR="00F677F1" w:rsidRPr="0035547B">
        <w:rPr>
          <w:color w:val="000000"/>
        </w:rPr>
        <w:t xml:space="preserve"> dat</w:t>
      </w:r>
      <w:r w:rsidRPr="0035547B">
        <w:rPr>
          <w:color w:val="000000"/>
        </w:rPr>
        <w:t>iem</w:t>
      </w:r>
      <w:r w:rsidR="00F677F1" w:rsidRPr="0035547B">
        <w:rPr>
          <w:color w:val="000000"/>
        </w:rPr>
        <w:t xml:space="preserve"> par apgabaltiesu kā pirmās instances tiesu,</w:t>
      </w:r>
      <w:r w:rsidR="006C4852" w:rsidRPr="0035547B">
        <w:rPr>
          <w:color w:val="000000"/>
        </w:rPr>
        <w:t xml:space="preserve"> un no Augstākās tiesas sniegtās informācijas par</w:t>
      </w:r>
      <w:r w:rsidR="00F677F1" w:rsidRPr="0035547B">
        <w:rPr>
          <w:color w:val="000000"/>
        </w:rPr>
        <w:t xml:space="preserve"> Augstākās tiesas Krimināllietu tiesu palātā un Augstākās tiesas Senāta Krimināllietu departamentā ties</w:t>
      </w:r>
      <w:r w:rsidRPr="0035547B">
        <w:rPr>
          <w:color w:val="000000"/>
        </w:rPr>
        <w:t>vedībā esošajām krimināllietām izriet, ka:</w:t>
      </w:r>
    </w:p>
    <w:p w:rsidR="00300E86" w:rsidRPr="0035547B" w:rsidRDefault="00300E86" w:rsidP="007C3B79">
      <w:pPr>
        <w:ind w:firstLine="720"/>
        <w:jc w:val="both"/>
        <w:rPr>
          <w:color w:val="000000"/>
        </w:rPr>
      </w:pPr>
    </w:p>
    <w:tbl>
      <w:tblPr>
        <w:tblStyle w:val="Reatabula"/>
        <w:tblW w:w="0" w:type="auto"/>
        <w:tblInd w:w="108" w:type="dxa"/>
        <w:tblLook w:val="04A0" w:firstRow="1" w:lastRow="0" w:firstColumn="1" w:lastColumn="0" w:noHBand="0" w:noVBand="1"/>
      </w:tblPr>
      <w:tblGrid>
        <w:gridCol w:w="3626"/>
        <w:gridCol w:w="5553"/>
      </w:tblGrid>
      <w:tr w:rsidR="007D5D79" w:rsidRPr="0035547B" w:rsidTr="002F72FF">
        <w:tc>
          <w:tcPr>
            <w:tcW w:w="3686" w:type="dxa"/>
            <w:vAlign w:val="center"/>
          </w:tcPr>
          <w:p w:rsidR="007D5D79" w:rsidRPr="0035547B" w:rsidRDefault="007D5D79" w:rsidP="007D5D79">
            <w:pPr>
              <w:jc w:val="center"/>
              <w:rPr>
                <w:b/>
                <w:color w:val="000000"/>
              </w:rPr>
            </w:pPr>
            <w:r w:rsidRPr="0035547B">
              <w:rPr>
                <w:b/>
                <w:color w:val="000000"/>
              </w:rPr>
              <w:t>Tiesa</w:t>
            </w:r>
          </w:p>
        </w:tc>
        <w:tc>
          <w:tcPr>
            <w:tcW w:w="5670" w:type="dxa"/>
            <w:vAlign w:val="center"/>
          </w:tcPr>
          <w:p w:rsidR="007D5D79" w:rsidRPr="0035547B" w:rsidRDefault="007D5D79" w:rsidP="004354A6">
            <w:pPr>
              <w:jc w:val="center"/>
              <w:rPr>
                <w:b/>
                <w:color w:val="000000"/>
              </w:rPr>
            </w:pPr>
            <w:r w:rsidRPr="0035547B">
              <w:rPr>
                <w:b/>
                <w:color w:val="000000"/>
              </w:rPr>
              <w:t xml:space="preserve">Neizskatīto krimināllietu skaits uz </w:t>
            </w:r>
            <w:r w:rsidR="00C724FD" w:rsidRPr="0035547B">
              <w:rPr>
                <w:b/>
                <w:color w:val="000000"/>
              </w:rPr>
              <w:t>30.06</w:t>
            </w:r>
            <w:r w:rsidRPr="0035547B">
              <w:rPr>
                <w:b/>
                <w:color w:val="000000"/>
              </w:rPr>
              <w:t>.2014.</w:t>
            </w:r>
          </w:p>
        </w:tc>
      </w:tr>
      <w:tr w:rsidR="007D5D79" w:rsidRPr="0035547B" w:rsidTr="001A44F5">
        <w:trPr>
          <w:trHeight w:val="422"/>
        </w:trPr>
        <w:tc>
          <w:tcPr>
            <w:tcW w:w="3686" w:type="dxa"/>
            <w:vAlign w:val="center"/>
          </w:tcPr>
          <w:p w:rsidR="007D5D79" w:rsidRPr="0035547B" w:rsidRDefault="00086EA6" w:rsidP="007D5D79">
            <w:pPr>
              <w:jc w:val="center"/>
              <w:rPr>
                <w:color w:val="000000"/>
              </w:rPr>
            </w:pPr>
            <w:r w:rsidRPr="0035547B">
              <w:rPr>
                <w:color w:val="000000"/>
              </w:rPr>
              <w:t>Apgabaltiesās kā 1.instances ties</w:t>
            </w:r>
            <w:r w:rsidR="00F6008E" w:rsidRPr="0035547B">
              <w:rPr>
                <w:color w:val="000000"/>
              </w:rPr>
              <w:t>ās</w:t>
            </w:r>
          </w:p>
        </w:tc>
        <w:tc>
          <w:tcPr>
            <w:tcW w:w="5670" w:type="dxa"/>
            <w:vAlign w:val="center"/>
          </w:tcPr>
          <w:p w:rsidR="007D5D79" w:rsidRPr="0035547B" w:rsidRDefault="00A6335A" w:rsidP="00086EA6">
            <w:pPr>
              <w:jc w:val="center"/>
              <w:rPr>
                <w:color w:val="000000"/>
              </w:rPr>
            </w:pPr>
            <w:r w:rsidRPr="0035547B">
              <w:rPr>
                <w:color w:val="000000"/>
              </w:rPr>
              <w:t>43</w:t>
            </w:r>
            <w:r w:rsidR="007D5D79" w:rsidRPr="0035547B">
              <w:rPr>
                <w:color w:val="000000"/>
              </w:rPr>
              <w:t xml:space="preserve"> krimināllietas </w:t>
            </w:r>
          </w:p>
        </w:tc>
      </w:tr>
      <w:tr w:rsidR="007D5D79" w:rsidRPr="0035547B" w:rsidTr="001A44F5">
        <w:trPr>
          <w:trHeight w:val="698"/>
        </w:trPr>
        <w:tc>
          <w:tcPr>
            <w:tcW w:w="3686" w:type="dxa"/>
            <w:vAlign w:val="center"/>
          </w:tcPr>
          <w:p w:rsidR="00F6008E" w:rsidRPr="0035547B" w:rsidRDefault="007D5D79" w:rsidP="00F6008E">
            <w:pPr>
              <w:jc w:val="center"/>
              <w:rPr>
                <w:color w:val="000000"/>
              </w:rPr>
            </w:pPr>
            <w:r w:rsidRPr="0035547B">
              <w:rPr>
                <w:color w:val="000000"/>
              </w:rPr>
              <w:t>Augstākās t</w:t>
            </w:r>
            <w:r w:rsidR="00086EA6" w:rsidRPr="0035547B">
              <w:rPr>
                <w:color w:val="000000"/>
              </w:rPr>
              <w:t>iesas</w:t>
            </w:r>
          </w:p>
          <w:p w:rsidR="007D5D79" w:rsidRPr="0035547B" w:rsidRDefault="00086EA6" w:rsidP="00F6008E">
            <w:pPr>
              <w:jc w:val="center"/>
              <w:rPr>
                <w:color w:val="000000"/>
              </w:rPr>
            </w:pPr>
            <w:r w:rsidRPr="0035547B">
              <w:rPr>
                <w:color w:val="000000"/>
              </w:rPr>
              <w:t>Krimināllietu tiesu palātā</w:t>
            </w:r>
          </w:p>
        </w:tc>
        <w:tc>
          <w:tcPr>
            <w:tcW w:w="5670" w:type="dxa"/>
            <w:vAlign w:val="center"/>
          </w:tcPr>
          <w:p w:rsidR="007D5D79" w:rsidRPr="0035547B" w:rsidRDefault="00A6335A" w:rsidP="007D5D79">
            <w:pPr>
              <w:jc w:val="center"/>
              <w:rPr>
                <w:color w:val="000000"/>
              </w:rPr>
            </w:pPr>
            <w:r w:rsidRPr="0035547B">
              <w:rPr>
                <w:color w:val="000000"/>
              </w:rPr>
              <w:t>96</w:t>
            </w:r>
            <w:r w:rsidR="007D5D79" w:rsidRPr="0035547B">
              <w:rPr>
                <w:color w:val="000000"/>
              </w:rPr>
              <w:t xml:space="preserve"> krimināllietas</w:t>
            </w:r>
          </w:p>
        </w:tc>
      </w:tr>
      <w:tr w:rsidR="007D5D79" w:rsidRPr="0035547B" w:rsidTr="001A44F5">
        <w:trPr>
          <w:trHeight w:val="693"/>
        </w:trPr>
        <w:tc>
          <w:tcPr>
            <w:tcW w:w="3686" w:type="dxa"/>
            <w:vAlign w:val="center"/>
          </w:tcPr>
          <w:p w:rsidR="00F6008E" w:rsidRPr="0035547B" w:rsidRDefault="007D5D79" w:rsidP="00F6008E">
            <w:pPr>
              <w:jc w:val="center"/>
              <w:rPr>
                <w:color w:val="000000"/>
              </w:rPr>
            </w:pPr>
            <w:r w:rsidRPr="0035547B">
              <w:rPr>
                <w:color w:val="000000"/>
              </w:rPr>
              <w:t>Augstākās tiesas</w:t>
            </w:r>
          </w:p>
          <w:p w:rsidR="007D5D79" w:rsidRPr="0035547B" w:rsidRDefault="00086EA6" w:rsidP="00F6008E">
            <w:pPr>
              <w:jc w:val="center"/>
              <w:rPr>
                <w:color w:val="000000"/>
              </w:rPr>
            </w:pPr>
            <w:r w:rsidRPr="0035547B">
              <w:rPr>
                <w:color w:val="000000"/>
              </w:rPr>
              <w:t>Krimināllietu departamentā</w:t>
            </w:r>
          </w:p>
        </w:tc>
        <w:tc>
          <w:tcPr>
            <w:tcW w:w="5670" w:type="dxa"/>
            <w:vAlign w:val="center"/>
          </w:tcPr>
          <w:p w:rsidR="007D5D79" w:rsidRPr="0035547B" w:rsidRDefault="00C724FD" w:rsidP="00C265E8">
            <w:pPr>
              <w:jc w:val="center"/>
              <w:rPr>
                <w:color w:val="000000"/>
              </w:rPr>
            </w:pPr>
            <w:r w:rsidRPr="0035547B">
              <w:rPr>
                <w:color w:val="000000"/>
              </w:rPr>
              <w:t>1</w:t>
            </w:r>
            <w:r w:rsidR="00A6335A" w:rsidRPr="0035547B">
              <w:rPr>
                <w:color w:val="000000"/>
              </w:rPr>
              <w:t>45</w:t>
            </w:r>
            <w:r w:rsidR="00C265E8" w:rsidRPr="0035547B">
              <w:rPr>
                <w:color w:val="000000"/>
              </w:rPr>
              <w:t xml:space="preserve"> </w:t>
            </w:r>
            <w:r w:rsidR="007D5D79" w:rsidRPr="0035547B">
              <w:rPr>
                <w:color w:val="000000"/>
              </w:rPr>
              <w:t>krimināllietas</w:t>
            </w:r>
          </w:p>
        </w:tc>
      </w:tr>
    </w:tbl>
    <w:p w:rsidR="00300E86" w:rsidRPr="0035547B" w:rsidRDefault="00300E86" w:rsidP="004A0789">
      <w:pPr>
        <w:ind w:firstLine="720"/>
        <w:jc w:val="both"/>
        <w:rPr>
          <w:color w:val="000000"/>
        </w:rPr>
      </w:pPr>
    </w:p>
    <w:p w:rsidR="00D3078A" w:rsidRPr="0035547B" w:rsidRDefault="004C04FA" w:rsidP="00F13A6D">
      <w:pPr>
        <w:ind w:firstLine="720"/>
        <w:jc w:val="both"/>
      </w:pPr>
      <w:r w:rsidRPr="0035547B">
        <w:t>Kā izriet no Augstākās tiesas sniegtās infor</w:t>
      </w:r>
      <w:r w:rsidR="007F063D" w:rsidRPr="0035547B">
        <w:t>mācijas (informācija</w:t>
      </w:r>
      <w:r w:rsidR="00D93353" w:rsidRPr="0035547B">
        <w:t xml:space="preserve"> sniegta </w:t>
      </w:r>
      <w:r w:rsidR="00D3078A" w:rsidRPr="0035547B">
        <w:t xml:space="preserve">šī gada </w:t>
      </w:r>
      <w:r w:rsidR="00D05BF5" w:rsidRPr="0035547B">
        <w:t>8. jūlijā</w:t>
      </w:r>
      <w:r w:rsidRPr="0035547B">
        <w:t xml:space="preserve">), </w:t>
      </w:r>
      <w:r w:rsidR="00E312FF" w:rsidRPr="0035547B">
        <w:rPr>
          <w:b/>
        </w:rPr>
        <w:t xml:space="preserve">Augstākās </w:t>
      </w:r>
      <w:r w:rsidRPr="0035547B">
        <w:rPr>
          <w:b/>
        </w:rPr>
        <w:t>tiesas Krimināllietu tiesu</w:t>
      </w:r>
      <w:r w:rsidR="00D93353" w:rsidRPr="0035547B">
        <w:rPr>
          <w:b/>
        </w:rPr>
        <w:t xml:space="preserve"> palātā izskatīšanā</w:t>
      </w:r>
      <w:r w:rsidR="00D3078A" w:rsidRPr="0035547B">
        <w:t xml:space="preserve"> </w:t>
      </w:r>
      <w:r w:rsidR="00D3078A" w:rsidRPr="0035547B">
        <w:rPr>
          <w:b/>
        </w:rPr>
        <w:t xml:space="preserve">šobrīd </w:t>
      </w:r>
      <w:r w:rsidR="00D3078A" w:rsidRPr="0035547B">
        <w:t>(pēc lietu nodošanas apgabaltiesām saskaņā ar Kriminālprocesa likuma pārejas noteikumu prasībām)</w:t>
      </w:r>
      <w:r w:rsidR="00D93353" w:rsidRPr="0035547B">
        <w:rPr>
          <w:b/>
        </w:rPr>
        <w:t xml:space="preserve"> ir 31 krimināllieta</w:t>
      </w:r>
      <w:r w:rsidRPr="0035547B">
        <w:rPr>
          <w:b/>
        </w:rPr>
        <w:t>.</w:t>
      </w:r>
      <w:r w:rsidRPr="0035547B">
        <w:t xml:space="preserve"> </w:t>
      </w:r>
      <w:r w:rsidR="00DF6402" w:rsidRPr="0035547B">
        <w:t xml:space="preserve">Visās šajās lietā ir noteikta lietas izskatīšana uz šī gada septembri un oktobri, vienā gadījumā uz novembri. Ievērojot minēto, </w:t>
      </w:r>
      <w:r w:rsidR="00DF6402" w:rsidRPr="0035547B">
        <w:rPr>
          <w:b/>
        </w:rPr>
        <w:t>ir pamats pieņemt, ka visu šo lietu izskatīšana varētu tikt pabeigta līdz šī gada beigām, kad darbu beidz Augstākās tiesas Krimināllietu tiesu palāta</w:t>
      </w:r>
      <w:r w:rsidR="00DF6402" w:rsidRPr="0035547B">
        <w:t>.</w:t>
      </w:r>
      <w:r w:rsidR="007F063D" w:rsidRPr="0035547B">
        <w:t xml:space="preserve"> Tomēr, kā jau minēts iepriekš, lietu iztiesāšanas gaitu var ietekmēt, vairāki faktori, tai skaitā procesa dalībnieku nevērīga attieksme pret to procesuālajiem pienākumiem vai tiem piešķirto tiesību ļaunprātīga izmantošana ar mērķi tīši kavēt tiesas procesu. Šādos gadījumos ir ņemama vērā arī pašu procesa dalībnieku attieksme un tiesību uz lietas izskatīšanu saprātīgā termiņā pārkāpums nebūtu konstatējams.</w:t>
      </w:r>
    </w:p>
    <w:p w:rsidR="007F063D" w:rsidRPr="0035547B" w:rsidRDefault="007F063D" w:rsidP="007F063D">
      <w:pPr>
        <w:suppressAutoHyphens w:val="0"/>
        <w:ind w:firstLine="709"/>
        <w:jc w:val="both"/>
        <w:rPr>
          <w:lang w:eastAsia="en-US"/>
        </w:rPr>
      </w:pPr>
      <w:r w:rsidRPr="0035547B">
        <w:rPr>
          <w:lang w:eastAsia="en-US"/>
        </w:rPr>
        <w:t xml:space="preserve">Vienlaikus saskaņā </w:t>
      </w:r>
      <w:r w:rsidRPr="0035547B">
        <w:t xml:space="preserve">ar apgabaltiesu priekšsēdētāju sniegto informāciju, pamatojoties uz Kriminālprocesa likuma Pārejas noteikumu 47.punktu, pēc </w:t>
      </w:r>
      <w:r w:rsidR="00D05BF5" w:rsidRPr="0035547B">
        <w:t>2014. gada</w:t>
      </w:r>
      <w:r w:rsidRPr="0035547B">
        <w:t xml:space="preserve"> </w:t>
      </w:r>
      <w:r w:rsidR="00D05BF5" w:rsidRPr="0035547B">
        <w:t>1. jūlija</w:t>
      </w:r>
      <w:r w:rsidRPr="0035547B">
        <w:t xml:space="preserve"> Augstākās tiesas Krimināllietu tiesu palāta pēc piekritības apgabaltiesām ir nosūtījusi 65 lietas, no tām </w:t>
      </w:r>
      <w:r w:rsidRPr="0035547B">
        <w:lastRenderedPageBreak/>
        <w:t>50 lietas Rīgas apgabaltiesai, pa četrām lietām nosūtīts uz Kurzemes, Zemgales un Latgales apgabaltiesu, kā arī trīs krimināllietas nosūtītas uz Latgales apgabaltiesu. A</w:t>
      </w:r>
      <w:r w:rsidRPr="0035547B">
        <w:rPr>
          <w:lang w:eastAsia="en-US"/>
        </w:rPr>
        <w:t>pgabaltiesu priekšsēdētāju sniegtā informācija par</w:t>
      </w:r>
      <w:r w:rsidRPr="0035547B">
        <w:t xml:space="preserve"> plānoto šo lietu izskatīšanas laiku, </w:t>
      </w:r>
      <w:r w:rsidRPr="0035547B">
        <w:rPr>
          <w:lang w:eastAsia="en-US"/>
        </w:rPr>
        <w:t>liecina, ka lietas ir nozīmētas vai tās ir plānots nozīmēt izskatīšanai tuvāko mēnešu laikā.</w:t>
      </w:r>
    </w:p>
    <w:p w:rsidR="00DB2575" w:rsidRPr="0035547B" w:rsidRDefault="00C56130" w:rsidP="001A44F5">
      <w:pPr>
        <w:ind w:firstLine="720"/>
        <w:jc w:val="both"/>
      </w:pPr>
      <w:r w:rsidRPr="0035547B">
        <w:t>Papildus jāņem vērā arī Augstākās tiesas Krimināllietu tiesu palātā izskatīto lietu skaits, kurās taisītie nolēmumi pārsūdzēti kasācijas kārtībā. Atbilstoši Kriminālprocesa likuma 591.panta pirmajai daļai lietu, kurā pieņemtais nolēmums atcelts, nosūta jaunai izskatīšanai tiesā, kura to pieņēmusi, un to izskata vispārējā kārtībā, bet citā sastāvā. Ņemot vērā, ka Krimināllietu tiesu palātā šobrīd ir tikai septiņi tiesneši, bet atbilstoši KPL 447.panta ceturtajai daļai apelācijas instances tiesā krimināllietu iztiesā k</w:t>
      </w:r>
      <w:r w:rsidR="00CC5FF3" w:rsidRPr="0035547B">
        <w:t>oleģiāli, trīs tiesnešu sastāvā, tad bija būtiski apgrūtināta</w:t>
      </w:r>
      <w:r w:rsidRPr="0035547B">
        <w:t xml:space="preserve"> </w:t>
      </w:r>
      <w:r w:rsidR="00CC5FF3" w:rsidRPr="0035547B">
        <w:t xml:space="preserve">lietu jauna izskatīšana apelācijas kārtībā un nepietiekamais tiesnešu skaits </w:t>
      </w:r>
      <w:r w:rsidRPr="0035547B">
        <w:t>samazin</w:t>
      </w:r>
      <w:r w:rsidR="00CC5FF3" w:rsidRPr="0035547B">
        <w:t>āja</w:t>
      </w:r>
      <w:r w:rsidRPr="0035547B">
        <w:t xml:space="preserve"> iztiesājamo </w:t>
      </w:r>
      <w:r w:rsidR="00CC5FF3" w:rsidRPr="0035547B">
        <w:t xml:space="preserve">lietu skaitu attiecīgajā posmā un attiecīgi </w:t>
      </w:r>
      <w:r w:rsidRPr="0035547B">
        <w:t>pagarin</w:t>
      </w:r>
      <w:r w:rsidR="00CC5FF3" w:rsidRPr="0035547B">
        <w:t>āja</w:t>
      </w:r>
      <w:r w:rsidRPr="0035547B">
        <w:t xml:space="preserve"> krimināllietu izskatīšanas termiņus.</w:t>
      </w:r>
      <w:r w:rsidR="00CC5FF3" w:rsidRPr="0035547B">
        <w:t xml:space="preserve"> Ievērojot minēto, pieņemto grozījumu Kriminālprocesa likumā pārejas noteikumu 51.punkts noteica, ka Augstākās tiesas Krimināllietu tiesu palātā izskatītās lietas, kurās pēc </w:t>
      </w:r>
      <w:r w:rsidR="00D05BF5" w:rsidRPr="0035547B">
        <w:t>2014. gada</w:t>
      </w:r>
      <w:r w:rsidR="00CC5FF3" w:rsidRPr="0035547B">
        <w:t xml:space="preserve"> </w:t>
      </w:r>
      <w:r w:rsidR="00D05BF5" w:rsidRPr="0035547B">
        <w:t>1. janvāra</w:t>
      </w:r>
      <w:r w:rsidR="00CC5FF3" w:rsidRPr="0035547B">
        <w:t xml:space="preserve"> kasācijas instance ir atcēlusi nolēmumu, nosūtāmas jaunai izskatīšanai apgabaltiesai kā apelācijas instances tiesai. </w:t>
      </w:r>
      <w:r w:rsidR="00615F44" w:rsidRPr="0035547B">
        <w:t>Iepazīstoties ar Tiesu informatīvajā sistēmā reģistrētajiem datiem</w:t>
      </w:r>
      <w:r w:rsidR="00615F44" w:rsidRPr="0035547B">
        <w:rPr>
          <w:rStyle w:val="Vresatsauce"/>
        </w:rPr>
        <w:footnoteReference w:id="2"/>
      </w:r>
      <w:r w:rsidR="00615F44" w:rsidRPr="0035547B">
        <w:t>, konstatējams, ka Augstākās tiesas Krimināllietu departament</w:t>
      </w:r>
      <w:r w:rsidR="00C02111" w:rsidRPr="0035547B">
        <w:t>a tiesve</w:t>
      </w:r>
      <w:r w:rsidR="006D3538" w:rsidRPr="0035547B">
        <w:t>dībā (dati uz 23.07.2014.) ir 3</w:t>
      </w:r>
      <w:r w:rsidR="00615F44" w:rsidRPr="0035547B">
        <w:t xml:space="preserve"> kasācijas kārtībā pārsūdzēt</w:t>
      </w:r>
      <w:r w:rsidR="00C02111" w:rsidRPr="0035547B">
        <w:t>i</w:t>
      </w:r>
      <w:r w:rsidR="00615F44" w:rsidRPr="0035547B">
        <w:t xml:space="preserve"> </w:t>
      </w:r>
      <w:r w:rsidR="00C02111" w:rsidRPr="0035547B">
        <w:t xml:space="preserve">Augstākās tiesas </w:t>
      </w:r>
      <w:r w:rsidR="00615F44" w:rsidRPr="0035547B">
        <w:t>Krimināllietu tiesu palātas nolēmum</w:t>
      </w:r>
      <w:r w:rsidR="00C02111" w:rsidRPr="0035547B">
        <w:t>i</w:t>
      </w:r>
      <w:r w:rsidR="007A63BA" w:rsidRPr="0035547B">
        <w:t xml:space="preserve"> (nepieciešams ņemt vērā Augstākās tiesas Krimināllietu tiesu palātā atlikušo neizskatīto krimināllietu skaitu)</w:t>
      </w:r>
      <w:r w:rsidR="00615F44" w:rsidRPr="0035547B">
        <w:t xml:space="preserve">. Salīdzinājumam, piemēram, </w:t>
      </w:r>
      <w:r w:rsidR="00D05BF5" w:rsidRPr="0035547B">
        <w:t>2013. gada</w:t>
      </w:r>
      <w:r w:rsidR="00615F44" w:rsidRPr="0035547B">
        <w:t xml:space="preserve"> laikā Augstākās tiesas Krimināllietu departamenta tiesvedībā bija 86 lietas ar nolēmumiem, ko taisījusi Krimināllietu tiesu palāta. No tiem 31 (jeb 36% gadījumu) nolēmums atcelts</w:t>
      </w:r>
      <w:r w:rsidR="00D05BF5" w:rsidRPr="0035547B">
        <w:t>, un</w:t>
      </w:r>
      <w:r w:rsidR="00615F44" w:rsidRPr="0035547B">
        <w:t xml:space="preserve"> lieta nosūtīta jaunai izskatīšanai.</w:t>
      </w:r>
    </w:p>
    <w:p w:rsidR="00C56130" w:rsidRPr="0035547B" w:rsidRDefault="00DB2575" w:rsidP="00B86E74">
      <w:pPr>
        <w:ind w:firstLine="720"/>
        <w:jc w:val="both"/>
      </w:pPr>
      <w:r w:rsidRPr="0035547B">
        <w:t xml:space="preserve">Ievērojot minēto, secināms, ka </w:t>
      </w:r>
      <w:r w:rsidR="00D05BF5" w:rsidRPr="0035547B">
        <w:t>2014. gada</w:t>
      </w:r>
      <w:r w:rsidRPr="0035547B">
        <w:t xml:space="preserve"> laikā apgabaltiesas kopā var saņemt aptuveni līdzīgu skaitu lietu (aptuveni 30 lietas), kurās Augstākās tiesas Krimināllietu departaments ir atcēlis Krimināllietu tiesu palātas nolēmumus, kas kopumā palielinās apgabaltiesu tiesu noslodzi. Jāatzīmē, ka </w:t>
      </w:r>
      <w:r w:rsidR="00D05BF5" w:rsidRPr="0035547B">
        <w:t>2014. gadā</w:t>
      </w:r>
      <w:r w:rsidRPr="0035547B">
        <w:t xml:space="preserve"> papildu resursi un tiesneša amata vietas apgabaltiesām nav paredzēti. </w:t>
      </w:r>
    </w:p>
    <w:p w:rsidR="00B86E74" w:rsidRPr="0035547B" w:rsidRDefault="00B86E74" w:rsidP="00B86E74">
      <w:pPr>
        <w:ind w:firstLine="720"/>
        <w:jc w:val="both"/>
      </w:pPr>
      <w:r w:rsidRPr="0035547B">
        <w:t xml:space="preserve">No Tiesu informatīvajā sistēmā reģistrētajiem datiem par tiesnešu noslodzes rādītajiem pirmās instances tiesā un apelācijas instances tiesā krimināllietās par laika periodu no </w:t>
      </w:r>
      <w:r w:rsidR="00D05BF5" w:rsidRPr="0035547B">
        <w:t>2013. gada</w:t>
      </w:r>
      <w:r w:rsidRPr="0035547B">
        <w:t xml:space="preserve"> </w:t>
      </w:r>
      <w:r w:rsidR="00D05BF5" w:rsidRPr="0035547B">
        <w:t>1. janvāra</w:t>
      </w:r>
      <w:r w:rsidRPr="0035547B">
        <w:t xml:space="preserve"> līdz </w:t>
      </w:r>
      <w:r w:rsidR="00D05BF5" w:rsidRPr="0035547B">
        <w:t>2013. gada</w:t>
      </w:r>
      <w:r w:rsidRPr="0035547B">
        <w:t xml:space="preserve"> </w:t>
      </w:r>
      <w:r w:rsidR="00D05BF5" w:rsidRPr="0035547B">
        <w:t>31. decembrim</w:t>
      </w:r>
      <w:r w:rsidRPr="0035547B">
        <w:rPr>
          <w:rStyle w:val="Vresatsauce"/>
        </w:rPr>
        <w:footnoteReference w:id="3"/>
      </w:r>
      <w:r w:rsidRPr="0035547B">
        <w:t xml:space="preserve"> izriet, ka: </w:t>
      </w:r>
    </w:p>
    <w:p w:rsidR="00EE68D7" w:rsidRPr="0035547B" w:rsidRDefault="00EE68D7" w:rsidP="00B86E74">
      <w:pPr>
        <w:ind w:firstLine="720"/>
        <w:jc w:val="both"/>
      </w:pPr>
    </w:p>
    <w:tbl>
      <w:tblPr>
        <w:tblStyle w:val="Reatabula"/>
        <w:tblW w:w="9039" w:type="dxa"/>
        <w:tblLayout w:type="fixed"/>
        <w:tblLook w:val="04A0" w:firstRow="1" w:lastRow="0" w:firstColumn="1" w:lastColumn="0" w:noHBand="0" w:noVBand="1"/>
      </w:tblPr>
      <w:tblGrid>
        <w:gridCol w:w="1951"/>
        <w:gridCol w:w="1559"/>
        <w:gridCol w:w="3402"/>
        <w:gridCol w:w="2127"/>
      </w:tblGrid>
      <w:tr w:rsidR="00663AE3" w:rsidRPr="0035547B" w:rsidTr="00663AE3">
        <w:tc>
          <w:tcPr>
            <w:tcW w:w="1951" w:type="dxa"/>
            <w:vAlign w:val="center"/>
          </w:tcPr>
          <w:p w:rsidR="00663AE3" w:rsidRPr="0035547B" w:rsidRDefault="00663AE3" w:rsidP="00617D75">
            <w:pPr>
              <w:jc w:val="center"/>
              <w:rPr>
                <w:b/>
              </w:rPr>
            </w:pPr>
            <w:r w:rsidRPr="0035547B">
              <w:rPr>
                <w:b/>
              </w:rPr>
              <w:t>Tiesa</w:t>
            </w:r>
          </w:p>
        </w:tc>
        <w:tc>
          <w:tcPr>
            <w:tcW w:w="1559" w:type="dxa"/>
            <w:vAlign w:val="center"/>
          </w:tcPr>
          <w:p w:rsidR="00663AE3" w:rsidRPr="0035547B" w:rsidRDefault="00663AE3" w:rsidP="00617D75">
            <w:pPr>
              <w:jc w:val="center"/>
              <w:rPr>
                <w:b/>
              </w:rPr>
            </w:pPr>
            <w:r w:rsidRPr="0035547B">
              <w:rPr>
                <w:b/>
              </w:rPr>
              <w:t>Saņemto lietu skaits, kā 1.instances tiesa</w:t>
            </w:r>
          </w:p>
          <w:p w:rsidR="00663AE3" w:rsidRPr="0035547B" w:rsidRDefault="00663AE3" w:rsidP="00617D75">
            <w:pPr>
              <w:jc w:val="center"/>
              <w:rPr>
                <w:b/>
              </w:rPr>
            </w:pPr>
          </w:p>
        </w:tc>
        <w:tc>
          <w:tcPr>
            <w:tcW w:w="3402" w:type="dxa"/>
            <w:vAlign w:val="center"/>
          </w:tcPr>
          <w:p w:rsidR="00663AE3" w:rsidRPr="0035547B" w:rsidRDefault="00663AE3" w:rsidP="00617D75">
            <w:pPr>
              <w:jc w:val="center"/>
              <w:rPr>
                <w:b/>
              </w:rPr>
            </w:pPr>
            <w:r w:rsidRPr="0035547B">
              <w:rPr>
                <w:b/>
              </w:rPr>
              <w:t>Saņemto lietu skaits kā apelācijas instances tiesā</w:t>
            </w:r>
          </w:p>
        </w:tc>
        <w:tc>
          <w:tcPr>
            <w:tcW w:w="2127" w:type="dxa"/>
            <w:vAlign w:val="center"/>
          </w:tcPr>
          <w:p w:rsidR="00663AE3" w:rsidRPr="0035547B" w:rsidRDefault="00663AE3" w:rsidP="00617D75">
            <w:pPr>
              <w:jc w:val="center"/>
              <w:rPr>
                <w:b/>
              </w:rPr>
            </w:pPr>
            <w:r w:rsidRPr="0035547B">
              <w:rPr>
                <w:b/>
              </w:rPr>
              <w:t>Kopā</w:t>
            </w:r>
          </w:p>
        </w:tc>
      </w:tr>
      <w:tr w:rsidR="00663AE3" w:rsidRPr="0035547B" w:rsidTr="00663AE3">
        <w:tc>
          <w:tcPr>
            <w:tcW w:w="1951" w:type="dxa"/>
            <w:vAlign w:val="center"/>
          </w:tcPr>
          <w:p w:rsidR="00663AE3" w:rsidRPr="0035547B" w:rsidRDefault="00663AE3" w:rsidP="00617D75">
            <w:pPr>
              <w:jc w:val="center"/>
            </w:pPr>
            <w:r w:rsidRPr="0035547B">
              <w:t>Rīgas apgabaltiesa</w:t>
            </w:r>
          </w:p>
        </w:tc>
        <w:tc>
          <w:tcPr>
            <w:tcW w:w="1559" w:type="dxa"/>
            <w:vAlign w:val="center"/>
          </w:tcPr>
          <w:p w:rsidR="00663AE3" w:rsidRPr="0035547B" w:rsidRDefault="00663AE3" w:rsidP="00617D75">
            <w:pPr>
              <w:jc w:val="center"/>
            </w:pPr>
            <w:r w:rsidRPr="0035547B">
              <w:t>381</w:t>
            </w:r>
          </w:p>
        </w:tc>
        <w:tc>
          <w:tcPr>
            <w:tcW w:w="3402" w:type="dxa"/>
            <w:vAlign w:val="center"/>
          </w:tcPr>
          <w:p w:rsidR="00663AE3" w:rsidRPr="0035547B" w:rsidRDefault="00663AE3" w:rsidP="00617D75">
            <w:pPr>
              <w:jc w:val="center"/>
            </w:pPr>
            <w:r w:rsidRPr="0035547B">
              <w:t>1668</w:t>
            </w:r>
          </w:p>
        </w:tc>
        <w:tc>
          <w:tcPr>
            <w:tcW w:w="2127" w:type="dxa"/>
            <w:vAlign w:val="center"/>
          </w:tcPr>
          <w:p w:rsidR="00663AE3" w:rsidRPr="0035547B" w:rsidRDefault="00663AE3" w:rsidP="00617D75">
            <w:pPr>
              <w:jc w:val="center"/>
            </w:pPr>
            <w:r w:rsidRPr="0035547B">
              <w:t>2049</w:t>
            </w:r>
          </w:p>
        </w:tc>
      </w:tr>
      <w:tr w:rsidR="00663AE3" w:rsidRPr="0035547B" w:rsidTr="00663AE3">
        <w:tc>
          <w:tcPr>
            <w:tcW w:w="1951" w:type="dxa"/>
            <w:vAlign w:val="center"/>
          </w:tcPr>
          <w:p w:rsidR="00663AE3" w:rsidRPr="0035547B" w:rsidRDefault="00663AE3" w:rsidP="00617D75">
            <w:pPr>
              <w:jc w:val="center"/>
            </w:pPr>
            <w:r w:rsidRPr="0035547B">
              <w:t>Kurzemes apgabaltiesa</w:t>
            </w:r>
          </w:p>
        </w:tc>
        <w:tc>
          <w:tcPr>
            <w:tcW w:w="1559" w:type="dxa"/>
            <w:vAlign w:val="center"/>
          </w:tcPr>
          <w:p w:rsidR="00663AE3" w:rsidRPr="0035547B" w:rsidRDefault="00663AE3" w:rsidP="00617D75">
            <w:pPr>
              <w:jc w:val="center"/>
            </w:pPr>
            <w:r w:rsidRPr="0035547B">
              <w:t>62</w:t>
            </w:r>
          </w:p>
        </w:tc>
        <w:tc>
          <w:tcPr>
            <w:tcW w:w="3402" w:type="dxa"/>
            <w:vAlign w:val="center"/>
          </w:tcPr>
          <w:p w:rsidR="00663AE3" w:rsidRPr="0035547B" w:rsidRDefault="00663AE3" w:rsidP="00617D75">
            <w:pPr>
              <w:jc w:val="center"/>
            </w:pPr>
            <w:r w:rsidRPr="0035547B">
              <w:t>370</w:t>
            </w:r>
          </w:p>
        </w:tc>
        <w:tc>
          <w:tcPr>
            <w:tcW w:w="2127" w:type="dxa"/>
            <w:vAlign w:val="center"/>
          </w:tcPr>
          <w:p w:rsidR="00663AE3" w:rsidRPr="0035547B" w:rsidRDefault="00663AE3" w:rsidP="00617D75">
            <w:pPr>
              <w:jc w:val="center"/>
            </w:pPr>
            <w:r w:rsidRPr="0035547B">
              <w:t>432</w:t>
            </w:r>
          </w:p>
        </w:tc>
      </w:tr>
      <w:tr w:rsidR="00663AE3" w:rsidRPr="0035547B" w:rsidTr="00663AE3">
        <w:tc>
          <w:tcPr>
            <w:tcW w:w="1951" w:type="dxa"/>
            <w:vAlign w:val="center"/>
          </w:tcPr>
          <w:p w:rsidR="00663AE3" w:rsidRPr="0035547B" w:rsidRDefault="00663AE3" w:rsidP="00617D75">
            <w:pPr>
              <w:jc w:val="center"/>
            </w:pPr>
            <w:r w:rsidRPr="0035547B">
              <w:t>Zemgales apgabaltiesa</w:t>
            </w:r>
          </w:p>
        </w:tc>
        <w:tc>
          <w:tcPr>
            <w:tcW w:w="1559" w:type="dxa"/>
            <w:vAlign w:val="center"/>
          </w:tcPr>
          <w:p w:rsidR="00663AE3" w:rsidRPr="0035547B" w:rsidRDefault="00663AE3" w:rsidP="00617D75">
            <w:pPr>
              <w:jc w:val="center"/>
            </w:pPr>
            <w:r w:rsidRPr="0035547B">
              <w:t>137</w:t>
            </w:r>
          </w:p>
        </w:tc>
        <w:tc>
          <w:tcPr>
            <w:tcW w:w="3402" w:type="dxa"/>
            <w:vAlign w:val="center"/>
          </w:tcPr>
          <w:p w:rsidR="00663AE3" w:rsidRPr="0035547B" w:rsidRDefault="00663AE3" w:rsidP="00617D75">
            <w:pPr>
              <w:jc w:val="center"/>
            </w:pPr>
            <w:r w:rsidRPr="0035547B">
              <w:t>494</w:t>
            </w:r>
          </w:p>
        </w:tc>
        <w:tc>
          <w:tcPr>
            <w:tcW w:w="2127" w:type="dxa"/>
            <w:vAlign w:val="center"/>
          </w:tcPr>
          <w:p w:rsidR="00663AE3" w:rsidRPr="0035547B" w:rsidRDefault="00663AE3" w:rsidP="00617D75">
            <w:pPr>
              <w:jc w:val="center"/>
            </w:pPr>
            <w:r w:rsidRPr="0035547B">
              <w:t>631</w:t>
            </w:r>
          </w:p>
        </w:tc>
      </w:tr>
      <w:tr w:rsidR="00663AE3" w:rsidRPr="0035547B" w:rsidTr="00663AE3">
        <w:tc>
          <w:tcPr>
            <w:tcW w:w="1951" w:type="dxa"/>
            <w:vAlign w:val="center"/>
          </w:tcPr>
          <w:p w:rsidR="00663AE3" w:rsidRPr="0035547B" w:rsidRDefault="00663AE3" w:rsidP="00617D75">
            <w:pPr>
              <w:jc w:val="center"/>
            </w:pPr>
            <w:r w:rsidRPr="0035547B">
              <w:lastRenderedPageBreak/>
              <w:t>Vidzemes apgabaltiesa</w:t>
            </w:r>
          </w:p>
        </w:tc>
        <w:tc>
          <w:tcPr>
            <w:tcW w:w="1559" w:type="dxa"/>
            <w:vAlign w:val="center"/>
          </w:tcPr>
          <w:p w:rsidR="00663AE3" w:rsidRPr="0035547B" w:rsidRDefault="00663AE3" w:rsidP="00617D75">
            <w:pPr>
              <w:jc w:val="center"/>
            </w:pPr>
            <w:r w:rsidRPr="0035547B">
              <w:t>33</w:t>
            </w:r>
          </w:p>
        </w:tc>
        <w:tc>
          <w:tcPr>
            <w:tcW w:w="3402" w:type="dxa"/>
            <w:vAlign w:val="center"/>
          </w:tcPr>
          <w:p w:rsidR="00663AE3" w:rsidRPr="0035547B" w:rsidRDefault="00663AE3" w:rsidP="00617D75">
            <w:pPr>
              <w:jc w:val="center"/>
            </w:pPr>
            <w:r w:rsidRPr="0035547B">
              <w:t>292</w:t>
            </w:r>
          </w:p>
        </w:tc>
        <w:tc>
          <w:tcPr>
            <w:tcW w:w="2127" w:type="dxa"/>
            <w:vAlign w:val="center"/>
          </w:tcPr>
          <w:p w:rsidR="00663AE3" w:rsidRPr="0035547B" w:rsidRDefault="00663AE3" w:rsidP="00617D75">
            <w:pPr>
              <w:jc w:val="center"/>
            </w:pPr>
            <w:r w:rsidRPr="0035547B">
              <w:t>325</w:t>
            </w:r>
          </w:p>
        </w:tc>
      </w:tr>
      <w:tr w:rsidR="00663AE3" w:rsidRPr="0035547B" w:rsidTr="00663AE3">
        <w:tc>
          <w:tcPr>
            <w:tcW w:w="1951" w:type="dxa"/>
            <w:vAlign w:val="center"/>
          </w:tcPr>
          <w:p w:rsidR="00663AE3" w:rsidRPr="0035547B" w:rsidRDefault="00663AE3" w:rsidP="00617D75">
            <w:pPr>
              <w:jc w:val="center"/>
            </w:pPr>
            <w:r w:rsidRPr="0035547B">
              <w:t>Latgales apgabaltiesa</w:t>
            </w:r>
          </w:p>
        </w:tc>
        <w:tc>
          <w:tcPr>
            <w:tcW w:w="1559" w:type="dxa"/>
            <w:vAlign w:val="center"/>
          </w:tcPr>
          <w:p w:rsidR="00663AE3" w:rsidRPr="0035547B" w:rsidRDefault="00663AE3" w:rsidP="00617D75">
            <w:pPr>
              <w:jc w:val="center"/>
            </w:pPr>
            <w:r w:rsidRPr="0035547B">
              <w:t>122</w:t>
            </w:r>
          </w:p>
        </w:tc>
        <w:tc>
          <w:tcPr>
            <w:tcW w:w="3402" w:type="dxa"/>
            <w:vAlign w:val="center"/>
          </w:tcPr>
          <w:p w:rsidR="00663AE3" w:rsidRPr="0035547B" w:rsidRDefault="00663AE3" w:rsidP="00617D75">
            <w:pPr>
              <w:jc w:val="center"/>
            </w:pPr>
            <w:r w:rsidRPr="0035547B">
              <w:t>420</w:t>
            </w:r>
          </w:p>
        </w:tc>
        <w:tc>
          <w:tcPr>
            <w:tcW w:w="2127" w:type="dxa"/>
            <w:vAlign w:val="center"/>
          </w:tcPr>
          <w:p w:rsidR="00663AE3" w:rsidRPr="0035547B" w:rsidRDefault="00663AE3" w:rsidP="00617D75">
            <w:pPr>
              <w:jc w:val="center"/>
            </w:pPr>
            <w:r w:rsidRPr="0035547B">
              <w:t>542</w:t>
            </w:r>
          </w:p>
        </w:tc>
      </w:tr>
    </w:tbl>
    <w:p w:rsidR="00437B41" w:rsidRPr="0035547B" w:rsidRDefault="00437B41" w:rsidP="004A0789">
      <w:pPr>
        <w:ind w:firstLine="720"/>
        <w:jc w:val="both"/>
        <w:rPr>
          <w:b/>
        </w:rPr>
      </w:pPr>
    </w:p>
    <w:p w:rsidR="0014077C" w:rsidRPr="0035547B" w:rsidRDefault="0014077C" w:rsidP="004A0789">
      <w:pPr>
        <w:ind w:firstLine="720"/>
        <w:jc w:val="both"/>
        <w:rPr>
          <w:b/>
          <w:sz w:val="26"/>
          <w:szCs w:val="26"/>
        </w:rPr>
      </w:pPr>
    </w:p>
    <w:p w:rsidR="004A0789" w:rsidRPr="0035547B" w:rsidRDefault="0025496E" w:rsidP="004A0789">
      <w:pPr>
        <w:ind w:firstLine="720"/>
        <w:jc w:val="both"/>
        <w:rPr>
          <w:color w:val="000000"/>
          <w:sz w:val="26"/>
          <w:szCs w:val="26"/>
        </w:rPr>
      </w:pPr>
      <w:r w:rsidRPr="0035547B">
        <w:rPr>
          <w:b/>
          <w:sz w:val="26"/>
          <w:szCs w:val="26"/>
        </w:rPr>
        <w:t>3</w:t>
      </w:r>
      <w:r w:rsidR="0072573E" w:rsidRPr="0035547B">
        <w:rPr>
          <w:b/>
          <w:sz w:val="26"/>
          <w:szCs w:val="26"/>
        </w:rPr>
        <w:t xml:space="preserve">. </w:t>
      </w:r>
      <w:r w:rsidR="009C164B" w:rsidRPr="0035547B">
        <w:rPr>
          <w:b/>
          <w:sz w:val="26"/>
          <w:szCs w:val="26"/>
        </w:rPr>
        <w:t xml:space="preserve">Augstākās tiesas </w:t>
      </w:r>
      <w:r w:rsidR="00EB6762" w:rsidRPr="0035547B">
        <w:rPr>
          <w:b/>
          <w:sz w:val="26"/>
          <w:szCs w:val="26"/>
        </w:rPr>
        <w:t>Krimināllietu tiesu palātas t</w:t>
      </w:r>
      <w:r w:rsidR="0072573E" w:rsidRPr="0035547B">
        <w:rPr>
          <w:b/>
          <w:sz w:val="26"/>
          <w:szCs w:val="26"/>
        </w:rPr>
        <w:t>iesnešu amata vietas un tiesnešu turpmākā karjera</w:t>
      </w:r>
      <w:r w:rsidR="00185926" w:rsidRPr="0035547B">
        <w:rPr>
          <w:b/>
          <w:sz w:val="26"/>
          <w:szCs w:val="26"/>
        </w:rPr>
        <w:t>.</w:t>
      </w:r>
    </w:p>
    <w:p w:rsidR="00F73201" w:rsidRPr="0035547B" w:rsidRDefault="00F73201" w:rsidP="00F73201">
      <w:pPr>
        <w:ind w:firstLine="720"/>
        <w:jc w:val="both"/>
        <w:rPr>
          <w:color w:val="000000"/>
        </w:rPr>
      </w:pPr>
      <w:r w:rsidRPr="0035547B">
        <w:rPr>
          <w:color w:val="000000"/>
        </w:rPr>
        <w:t xml:space="preserve">Saskaņā ar Latvijas Republikas Satversmes </w:t>
      </w:r>
      <w:r w:rsidR="00D05BF5" w:rsidRPr="0035547B">
        <w:rPr>
          <w:color w:val="000000"/>
        </w:rPr>
        <w:t>83. pantu</w:t>
      </w:r>
      <w:r w:rsidRPr="0035547B">
        <w:rPr>
          <w:color w:val="000000"/>
        </w:rPr>
        <w:t xml:space="preserve">, likuma „Par tiesu varu” </w:t>
      </w:r>
      <w:r w:rsidR="00D05BF5" w:rsidRPr="0035547B">
        <w:rPr>
          <w:color w:val="000000"/>
        </w:rPr>
        <w:t>10. pantu</w:t>
      </w:r>
      <w:r w:rsidRPr="0035547B">
        <w:rPr>
          <w:color w:val="000000"/>
        </w:rPr>
        <w:t xml:space="preserve"> tiesneši ir neatkarīgi un vienīgi likumam padoti, tiesu neatkarību garantē valsts. Savukārt </w:t>
      </w:r>
      <w:r w:rsidRPr="0035547B">
        <w:rPr>
          <w:b/>
          <w:color w:val="000000"/>
        </w:rPr>
        <w:t>Tieslietu ministrija</w:t>
      </w:r>
      <w:r w:rsidRPr="0035547B">
        <w:rPr>
          <w:color w:val="000000"/>
        </w:rPr>
        <w:t xml:space="preserve"> atbilstoši Ministru kabineta </w:t>
      </w:r>
      <w:r w:rsidR="00D05BF5" w:rsidRPr="0035547B">
        <w:rPr>
          <w:color w:val="000000"/>
        </w:rPr>
        <w:t>2003. gada</w:t>
      </w:r>
      <w:r w:rsidRPr="0035547B">
        <w:rPr>
          <w:color w:val="000000"/>
        </w:rPr>
        <w:t xml:space="preserve"> 29.aprīļa noteikumi Nr.243 „Tieslietu ministrijas nolikums”, kā arī likumam „Par tiesu varu” </w:t>
      </w:r>
      <w:r w:rsidRPr="0035547B">
        <w:rPr>
          <w:b/>
          <w:color w:val="000000"/>
        </w:rPr>
        <w:t>ir vadošā valsts pārvaldes iestāde tieslietu (tiesību politikas un tiesu administrēšanas) nozarēs un tā uzrauga rajona (pilsētu) tiesu, apgabaltiesu un zemesgrāmatu nodaļu organizatorisko vadību</w:t>
      </w:r>
      <w:r w:rsidRPr="0035547B">
        <w:rPr>
          <w:color w:val="000000"/>
        </w:rPr>
        <w:t xml:space="preserve">. Augstākās tiesas darbu vada Augstākās tiesas priekšsēdētājs, bet nodrošina Augstākās tiesas administrācija. </w:t>
      </w:r>
      <w:r w:rsidRPr="0035547B">
        <w:rPr>
          <w:b/>
          <w:color w:val="000000"/>
        </w:rPr>
        <w:t>Jautājumi, kas ir saistīti ar Augstākās tiesas darba organizāciju, tai skaitā Augstākās tiesas budžetu</w:t>
      </w:r>
      <w:r w:rsidR="00656C5C" w:rsidRPr="0035547B">
        <w:rPr>
          <w:b/>
          <w:color w:val="000000"/>
        </w:rPr>
        <w:t>, tiesnešu amata vietām un tiesas darbiniekiem</w:t>
      </w:r>
      <w:r w:rsidRPr="0035547B">
        <w:rPr>
          <w:b/>
          <w:color w:val="000000"/>
        </w:rPr>
        <w:t>, atrodas tikai un vienīgi Augstākās tiesas kompetenc</w:t>
      </w:r>
      <w:r w:rsidR="00E75AA7" w:rsidRPr="0035547B">
        <w:rPr>
          <w:b/>
          <w:color w:val="000000"/>
        </w:rPr>
        <w:t>ē</w:t>
      </w:r>
      <w:r w:rsidR="00E75AA7" w:rsidRPr="0035547B">
        <w:rPr>
          <w:color w:val="000000"/>
        </w:rPr>
        <w:t xml:space="preserve">. </w:t>
      </w:r>
      <w:r w:rsidR="00EA13B6" w:rsidRPr="0035547B">
        <w:rPr>
          <w:color w:val="000000"/>
        </w:rPr>
        <w:t>Augstākās tiesas priekšsēdētājs kā ikvienas citas tiesas priekšsēdētājs pastāvīgi organizē vadītās tiesas darbu un pārrauga lietu izskatīšanas termiņus tiesā (likuma „Par tiesu varu” 27.</w:t>
      </w:r>
      <w:r w:rsidR="00EA13B6" w:rsidRPr="0035547B">
        <w:rPr>
          <w:color w:val="000000"/>
          <w:vertAlign w:val="superscript"/>
        </w:rPr>
        <w:t>1</w:t>
      </w:r>
      <w:r w:rsidR="00EA13B6" w:rsidRPr="0035547B">
        <w:rPr>
          <w:color w:val="000000"/>
        </w:rPr>
        <w:t xml:space="preserve"> pants).</w:t>
      </w:r>
    </w:p>
    <w:p w:rsidR="00437B41" w:rsidRPr="0035547B" w:rsidRDefault="00437B41" w:rsidP="00437B41">
      <w:pPr>
        <w:ind w:firstLine="720"/>
        <w:jc w:val="both"/>
        <w:rPr>
          <w:color w:val="000000"/>
        </w:rPr>
      </w:pPr>
      <w:r w:rsidRPr="0035547B">
        <w:t xml:space="preserve">Kā izriet no Augstākās tiesas sniegtās informācijas, </w:t>
      </w:r>
      <w:r w:rsidRPr="0035547B">
        <w:rPr>
          <w:color w:val="000000"/>
        </w:rPr>
        <w:t xml:space="preserve">tad šobrīd </w:t>
      </w:r>
      <w:r w:rsidRPr="0035547B">
        <w:t xml:space="preserve">Augstākās tiesas Krimināllietu departamenta sastāvā ir priekšsēdētājs un 5 tiesneši. Savukārt </w:t>
      </w:r>
      <w:r w:rsidRPr="0035547B">
        <w:rPr>
          <w:color w:val="000000"/>
        </w:rPr>
        <w:t xml:space="preserve">Augstākās tiesas Krimināllietu tiesu palātas sastāvā ir priekšsēdētājs un 6 tiesneši, no kuriem 1 ir apgabaltiesas tiesnesis, kas pārcelts uz Augstākās tiesas Krimināllietu tiesu palātu uz vakances laiku. </w:t>
      </w:r>
    </w:p>
    <w:p w:rsidR="00437B41" w:rsidRPr="0035547B" w:rsidRDefault="00E75AA7" w:rsidP="00437B41">
      <w:pPr>
        <w:ind w:firstLine="720"/>
        <w:jc w:val="both"/>
        <w:rPr>
          <w:color w:val="000000"/>
        </w:rPr>
      </w:pPr>
      <w:r w:rsidRPr="0035547B">
        <w:rPr>
          <w:color w:val="000000"/>
        </w:rPr>
        <w:t xml:space="preserve">Atbilstoši likuma „Par tiesu varu” </w:t>
      </w:r>
      <w:r w:rsidR="00D05BF5" w:rsidRPr="0035547B">
        <w:rPr>
          <w:color w:val="000000"/>
        </w:rPr>
        <w:t>44. panta</w:t>
      </w:r>
      <w:r w:rsidRPr="0035547B">
        <w:rPr>
          <w:color w:val="000000"/>
        </w:rPr>
        <w:t xml:space="preserve"> pirmajai daļai Augstākās tiesas tiesnešu kopskaitu nosaka Saeima pēc Tieslietu padomes priekšlikuma. Tiesnešu kopskaitu departamentos nosaka Tieslietu padome pēc Augstākās tiesas priekšsēdētāja priekšlikuma. </w:t>
      </w:r>
      <w:r w:rsidR="004C3108" w:rsidRPr="0035547B">
        <w:t xml:space="preserve">Likuma „Par tiesu varu” pārejas noteikumu 58.punkts noteic, ka Tieslietu padome līdz </w:t>
      </w:r>
      <w:r w:rsidR="00D05BF5" w:rsidRPr="0035547B">
        <w:t>2014. gada</w:t>
      </w:r>
      <w:r w:rsidR="004C3108" w:rsidRPr="0035547B">
        <w:t xml:space="preserve"> </w:t>
      </w:r>
      <w:r w:rsidR="00D05BF5" w:rsidRPr="0035547B">
        <w:t>1. maijam</w:t>
      </w:r>
      <w:r w:rsidR="004C3108" w:rsidRPr="0035547B">
        <w:t xml:space="preserve"> nosaka tiesnešu kopskaitu Augstākās tiesas departamentos un Civillietu tiesu palātā no </w:t>
      </w:r>
      <w:r w:rsidR="00D05BF5" w:rsidRPr="0035547B">
        <w:t>2015. gada</w:t>
      </w:r>
      <w:r w:rsidR="004C3108" w:rsidRPr="0035547B">
        <w:t xml:space="preserve"> </w:t>
      </w:r>
      <w:r w:rsidR="00D05BF5" w:rsidRPr="0035547B">
        <w:t>1. janvāra</w:t>
      </w:r>
      <w:r w:rsidR="004C3108" w:rsidRPr="0035547B">
        <w:t xml:space="preserve">. Atbilstoši minētajām izmaiņām, saskaņā ar pārejas noteikumu 59.punktu Tieslietu padome līdz </w:t>
      </w:r>
      <w:r w:rsidR="00D05BF5" w:rsidRPr="0035547B">
        <w:t>1. jūnijam</w:t>
      </w:r>
      <w:r w:rsidR="004C3108" w:rsidRPr="0035547B">
        <w:t xml:space="preserve"> iesniedz Saeimai priekšlikumu par tiesnešu kopskaita izmaiņām Augstākajā tiesā, apgabaltiesās un rajona (pilsētas) tiesās.</w:t>
      </w:r>
      <w:r w:rsidR="00437B41" w:rsidRPr="0035547B">
        <w:rPr>
          <w:color w:val="000000"/>
        </w:rPr>
        <w:t xml:space="preserve"> </w:t>
      </w:r>
    </w:p>
    <w:p w:rsidR="00437B41" w:rsidRPr="0035547B" w:rsidRDefault="00F73201" w:rsidP="00437B41">
      <w:pPr>
        <w:ind w:firstLine="720"/>
        <w:jc w:val="both"/>
        <w:rPr>
          <w:b/>
          <w:color w:val="000000"/>
        </w:rPr>
      </w:pPr>
      <w:r w:rsidRPr="0035547B">
        <w:rPr>
          <w:b/>
          <w:color w:val="000000"/>
        </w:rPr>
        <w:t xml:space="preserve">Tieslietu padome lēmumu par tiesnešu kopskaitu departamentos un palātā ir pieņēmusi </w:t>
      </w:r>
      <w:r w:rsidR="00D05BF5" w:rsidRPr="0035547B">
        <w:rPr>
          <w:b/>
          <w:color w:val="000000"/>
        </w:rPr>
        <w:t>2014. gada</w:t>
      </w:r>
      <w:r w:rsidRPr="0035547B">
        <w:rPr>
          <w:b/>
          <w:color w:val="000000"/>
        </w:rPr>
        <w:t xml:space="preserve"> 28.aprīļa sēdē, kurā nolēma, ka ar </w:t>
      </w:r>
      <w:r w:rsidR="00D05BF5" w:rsidRPr="0035547B">
        <w:rPr>
          <w:b/>
          <w:color w:val="000000"/>
        </w:rPr>
        <w:t>2015. gada</w:t>
      </w:r>
      <w:r w:rsidRPr="0035547B">
        <w:rPr>
          <w:b/>
          <w:color w:val="000000"/>
        </w:rPr>
        <w:t xml:space="preserve"> </w:t>
      </w:r>
      <w:r w:rsidR="00D05BF5" w:rsidRPr="0035547B">
        <w:rPr>
          <w:b/>
          <w:color w:val="000000"/>
        </w:rPr>
        <w:t>1. janvāri</w:t>
      </w:r>
      <w:r w:rsidRPr="0035547B">
        <w:rPr>
          <w:b/>
          <w:color w:val="000000"/>
        </w:rPr>
        <w:t xml:space="preserve"> Augstākajā tiesā ir 35 departamentu tiesneši (t.sk. Augstākās tiesas priekšsēdētājs): Administratīvo lietu departamentā - 9, Civillietu departamentā - 15, Krimināllietu departamentā – 10, kā arī 13 tiesneši Civillietu tiesu palātā. Atbilstoši </w:t>
      </w:r>
      <w:r w:rsidR="00E75AA7" w:rsidRPr="0035547B">
        <w:rPr>
          <w:b/>
          <w:color w:val="000000"/>
        </w:rPr>
        <w:t>Tieslietu</w:t>
      </w:r>
      <w:r w:rsidRPr="0035547B">
        <w:rPr>
          <w:b/>
          <w:color w:val="000000"/>
        </w:rPr>
        <w:t xml:space="preserve"> padomes priekšlikumam par tiesnešu kopskaitu Augstākajā tiesā, </w:t>
      </w:r>
      <w:r w:rsidR="00437B41" w:rsidRPr="0035547B">
        <w:rPr>
          <w:b/>
          <w:color w:val="000000"/>
        </w:rPr>
        <w:t xml:space="preserve">Saeima </w:t>
      </w:r>
      <w:r w:rsidR="00D05BF5" w:rsidRPr="0035547B">
        <w:rPr>
          <w:b/>
          <w:color w:val="000000"/>
        </w:rPr>
        <w:t>2014. gada</w:t>
      </w:r>
      <w:r w:rsidR="00437B41" w:rsidRPr="0035547B">
        <w:rPr>
          <w:b/>
          <w:color w:val="000000"/>
        </w:rPr>
        <w:t xml:space="preserve"> </w:t>
      </w:r>
      <w:r w:rsidR="00D05BF5" w:rsidRPr="0035547B">
        <w:rPr>
          <w:b/>
          <w:color w:val="000000"/>
        </w:rPr>
        <w:t>12. jūnija</w:t>
      </w:r>
      <w:r w:rsidR="00437B41" w:rsidRPr="0035547B">
        <w:rPr>
          <w:b/>
          <w:color w:val="000000"/>
        </w:rPr>
        <w:t xml:space="preserve"> sēdē noteikusi, ka ar </w:t>
      </w:r>
      <w:r w:rsidR="00D05BF5" w:rsidRPr="0035547B">
        <w:rPr>
          <w:b/>
          <w:color w:val="000000"/>
        </w:rPr>
        <w:t>2015. gada</w:t>
      </w:r>
      <w:r w:rsidR="00437B41" w:rsidRPr="0035547B">
        <w:rPr>
          <w:b/>
          <w:color w:val="000000"/>
        </w:rPr>
        <w:t xml:space="preserve"> </w:t>
      </w:r>
      <w:r w:rsidR="00D05BF5" w:rsidRPr="0035547B">
        <w:rPr>
          <w:b/>
          <w:color w:val="000000"/>
        </w:rPr>
        <w:t>1. janvāri</w:t>
      </w:r>
      <w:r w:rsidR="00437B41" w:rsidRPr="0035547B">
        <w:rPr>
          <w:b/>
          <w:color w:val="000000"/>
        </w:rPr>
        <w:t xml:space="preserve"> Latvijas Republikas Augstākajā tiesā ir 48 tiesneši. </w:t>
      </w:r>
    </w:p>
    <w:p w:rsidR="00390441" w:rsidRPr="0035547B" w:rsidRDefault="00390441" w:rsidP="0011275F">
      <w:pPr>
        <w:ind w:firstLine="720"/>
        <w:jc w:val="both"/>
        <w:rPr>
          <w:color w:val="000000"/>
        </w:rPr>
      </w:pPr>
      <w:r w:rsidRPr="0035547B">
        <w:rPr>
          <w:color w:val="000000"/>
        </w:rPr>
        <w:t>Pirmā tiesas reorganizācijas posma rezultātā kopējais Augstākās tiesas tiesnešu skaits būs samazināts no 53 tiesnešiem uz 48, vienlaikus, likvidējot Krimināllietu tiesu palātu, plānots stiprināt Krimināllietu departamenta kapacitāti, palielinot tiesnešu skaitu departamentā no sešām uz desmit vietām, Civillietu departamentā no 14 uz 15 vietām.  Augstākās tiesas Krimināllietu tiesu palātas tiesnešu palīga amata vietas tiks pārceltas uz Augstākās tiesas Krimināllietu departamentu, savukārt kancelejas darbinieku štata vietas izdalītas pārējām tiesas struktūrvienībām, kuras šobrīd strādā nepilnā sastāvā.</w:t>
      </w:r>
    </w:p>
    <w:p w:rsidR="00734EF0" w:rsidRPr="0035547B" w:rsidRDefault="004C3108" w:rsidP="00200BAC">
      <w:pPr>
        <w:ind w:firstLine="720"/>
        <w:jc w:val="both"/>
        <w:rPr>
          <w:color w:val="000000"/>
        </w:rPr>
      </w:pPr>
      <w:r w:rsidRPr="0035547B">
        <w:rPr>
          <w:color w:val="000000"/>
        </w:rPr>
        <w:t>P</w:t>
      </w:r>
      <w:r w:rsidR="00D4343C" w:rsidRPr="0035547B">
        <w:rPr>
          <w:color w:val="000000"/>
        </w:rPr>
        <w:t>ēc Augstākās tiesas Krimināllietu tiesu palātas likvidācijas</w:t>
      </w:r>
      <w:r w:rsidR="00C804EE" w:rsidRPr="0035547B">
        <w:rPr>
          <w:color w:val="000000"/>
        </w:rPr>
        <w:t xml:space="preserve"> </w:t>
      </w:r>
      <w:r w:rsidRPr="0035547B">
        <w:rPr>
          <w:color w:val="000000"/>
        </w:rPr>
        <w:t xml:space="preserve">apgabaltiesām plānotos nodot piecas vakantas tiesneša amata vietas </w:t>
      </w:r>
      <w:r w:rsidR="00C804EE" w:rsidRPr="0035547B">
        <w:rPr>
          <w:color w:val="000000"/>
        </w:rPr>
        <w:t>(pašreiz ir 3 tiesnešu vakances un pēc Augstākās tiesas Krimināllietu tiesu palātas likvidācijas Augstākā tiesa varētu apgabaltiesām nodot vēl divas vakantas tiesneša amata vietas)</w:t>
      </w:r>
      <w:r w:rsidR="00D4343C" w:rsidRPr="0035547B">
        <w:rPr>
          <w:color w:val="000000"/>
        </w:rPr>
        <w:t xml:space="preserve">. </w:t>
      </w:r>
      <w:r w:rsidRPr="0035547B">
        <w:rPr>
          <w:color w:val="000000"/>
        </w:rPr>
        <w:t>Šo</w:t>
      </w:r>
      <w:r w:rsidR="00C804EE" w:rsidRPr="0035547B">
        <w:rPr>
          <w:color w:val="000000"/>
        </w:rPr>
        <w:t xml:space="preserve"> piecu vakanto tiesnešu vietu sadale starp </w:t>
      </w:r>
      <w:r w:rsidR="00C804EE" w:rsidRPr="0035547B">
        <w:rPr>
          <w:color w:val="000000"/>
        </w:rPr>
        <w:lastRenderedPageBreak/>
        <w:t xml:space="preserve">apgabaltiesām </w:t>
      </w:r>
      <w:r w:rsidRPr="0035547B">
        <w:rPr>
          <w:color w:val="000000"/>
        </w:rPr>
        <w:t>notiks</w:t>
      </w:r>
      <w:r w:rsidR="00C804EE" w:rsidRPr="0035547B">
        <w:rPr>
          <w:color w:val="000000"/>
        </w:rPr>
        <w:t xml:space="preserve">, ievērojot apgabaltiesu noslodzi, kā arī ņemot vērā krimināllietu skaitu, kas tiks nodots no Augstākās tiesas Krimināllietu tiesu palātas konkrētajai apgabaltiesai. </w:t>
      </w:r>
      <w:r w:rsidR="008F2F14" w:rsidRPr="0035547B">
        <w:rPr>
          <w:color w:val="000000"/>
        </w:rPr>
        <w:t xml:space="preserve">Atbilstoši likuma „Par tiesu varu” </w:t>
      </w:r>
      <w:r w:rsidR="00D05BF5" w:rsidRPr="0035547B">
        <w:rPr>
          <w:color w:val="000000"/>
        </w:rPr>
        <w:t>39. panta</w:t>
      </w:r>
      <w:r w:rsidR="008F2F14" w:rsidRPr="0035547B">
        <w:rPr>
          <w:color w:val="000000"/>
        </w:rPr>
        <w:t xml:space="preserve"> otrajai daļai tiesnešu kopskaitu apgabaltiesās, kā arī Administratīvajā apgabaltiesā nosaka Saeima pēc Tieslietu padomes priekšlikuma, savukārt tiesnešu skaitu katrā tiesā nosaka Tieslietu padome pēc tieslietu ministra priekšlikuma. </w:t>
      </w:r>
    </w:p>
    <w:p w:rsidR="001D08F7" w:rsidRPr="0035547B" w:rsidRDefault="00D4343C" w:rsidP="00200BAC">
      <w:pPr>
        <w:ind w:firstLine="720"/>
        <w:jc w:val="both"/>
        <w:rPr>
          <w:color w:val="000000"/>
        </w:rPr>
      </w:pPr>
      <w:r w:rsidRPr="0035547B">
        <w:rPr>
          <w:color w:val="000000"/>
        </w:rPr>
        <w:t xml:space="preserve">Minētā kontekstā būtu jāuzsver, ka </w:t>
      </w:r>
      <w:r w:rsidRPr="0035547B">
        <w:rPr>
          <w:b/>
          <w:color w:val="000000"/>
        </w:rPr>
        <w:t xml:space="preserve">atbalstāma būtu 5 tiesnešu vakanču nodošana apgabaltiesām kopā ar tām </w:t>
      </w:r>
      <w:r w:rsidR="004C3108" w:rsidRPr="0035547B">
        <w:rPr>
          <w:b/>
          <w:color w:val="000000"/>
        </w:rPr>
        <w:t xml:space="preserve">budžetā jau piešķirto </w:t>
      </w:r>
      <w:r w:rsidRPr="0035547B">
        <w:rPr>
          <w:b/>
          <w:color w:val="000000"/>
        </w:rPr>
        <w:t>paredzēto finansējumu, lai neizveidotos situācija, ka Tiesu administrācijai, saņemot tiesne</w:t>
      </w:r>
      <w:r w:rsidR="00AD491D" w:rsidRPr="0035547B">
        <w:rPr>
          <w:b/>
          <w:color w:val="000000"/>
        </w:rPr>
        <w:t>ša vakances</w:t>
      </w:r>
      <w:r w:rsidRPr="0035547B">
        <w:rPr>
          <w:b/>
          <w:color w:val="000000"/>
        </w:rPr>
        <w:t xml:space="preserve"> bez finansējumu, būtu jālūdz papildus finansējuma piešķiršana no valsts budžeta</w:t>
      </w:r>
      <w:r w:rsidRPr="0035547B">
        <w:rPr>
          <w:color w:val="000000"/>
        </w:rPr>
        <w:t xml:space="preserve">. </w:t>
      </w:r>
      <w:r w:rsidR="00D05BF5" w:rsidRPr="0035547B">
        <w:rPr>
          <w:color w:val="000000"/>
        </w:rPr>
        <w:t xml:space="preserve">Tai pašā laikā šādam risinājumam iebilst Augstākā tiesa, kas daļu no šī finansējuma vēlas novirzīt algu starpību segšanai, kas veidosies palātas tiesnesim, turpinot darbu kā departamenta tiesnesim. </w:t>
      </w:r>
    </w:p>
    <w:p w:rsidR="00D4343C" w:rsidRPr="0035547B" w:rsidRDefault="00811736" w:rsidP="00200BAC">
      <w:pPr>
        <w:ind w:firstLine="720"/>
        <w:jc w:val="both"/>
        <w:rPr>
          <w:color w:val="000000"/>
        </w:rPr>
      </w:pPr>
      <w:r w:rsidRPr="0035547B">
        <w:rPr>
          <w:color w:val="000000"/>
        </w:rPr>
        <w:t>Saskaņā ar Valsts un pašvaldību institūciju amatpersonu un darbinieku atlīdzības likuma 6.</w:t>
      </w:r>
      <w:r w:rsidRPr="0035547B">
        <w:rPr>
          <w:color w:val="000000"/>
          <w:vertAlign w:val="superscript"/>
        </w:rPr>
        <w:t xml:space="preserve">1 </w:t>
      </w:r>
      <w:r w:rsidRPr="0035547B">
        <w:rPr>
          <w:color w:val="000000"/>
        </w:rPr>
        <w:t>pantu Augstākās tiesas tiesnešu mēnešalgu nosaka, rajona (pilsētas) tiesas tiesneša mēnešalgai piemērojot koeficientu 1,42, Augstākās tiesas departamenta priekšsēdētājam — 1,55,</w:t>
      </w:r>
      <w:r w:rsidRPr="0035547B">
        <w:t xml:space="preserve"> </w:t>
      </w:r>
      <w:r w:rsidRPr="0035547B">
        <w:rPr>
          <w:color w:val="000000"/>
        </w:rPr>
        <w:t xml:space="preserve">Augstākās tiesas priekšsēdētājam — 1,7. </w:t>
      </w:r>
      <w:r w:rsidR="00E75AA7" w:rsidRPr="0035547B">
        <w:rPr>
          <w:color w:val="000000"/>
        </w:rPr>
        <w:t xml:space="preserve">Savukārt minētā likuma pārejas noteikumu 22.punkts noteic 22. Kamēr Augstākās tiesas sastāvā ir tāds Augstākās tiesas tiesnesis, kurš pilda tiesneša pienākumus kādā no Augstākās tiesas tiesu palātām, viņa mēnešalgu nosaka, rajona (pilsētas) tiesas tiesneša mēnešalgai piemērojot koeficientu 1,35, bet Augstākās tiesas tiesu palātas priekšsēdētājam — 1,55. Tātad </w:t>
      </w:r>
      <w:r w:rsidR="00AA53D2" w:rsidRPr="0035547B">
        <w:rPr>
          <w:color w:val="000000"/>
        </w:rPr>
        <w:t xml:space="preserve">likums noteic, ka </w:t>
      </w:r>
      <w:r w:rsidR="00E75AA7" w:rsidRPr="0035547B">
        <w:rPr>
          <w:color w:val="000000"/>
        </w:rPr>
        <w:t>Augstākās tiesas departamenta tiesne</w:t>
      </w:r>
      <w:r w:rsidR="00AA53D2" w:rsidRPr="0035547B">
        <w:rPr>
          <w:color w:val="000000"/>
        </w:rPr>
        <w:t>ša alga lielāka nekā Augstākās tiesas palātas tiesneša alga.</w:t>
      </w:r>
    </w:p>
    <w:p w:rsidR="00AA53D2" w:rsidRPr="0035547B" w:rsidRDefault="00AA53D2" w:rsidP="002373C3">
      <w:pPr>
        <w:ind w:firstLine="720"/>
        <w:jc w:val="both"/>
      </w:pPr>
    </w:p>
    <w:p w:rsidR="00AF3112" w:rsidRPr="0035547B" w:rsidRDefault="00031384" w:rsidP="002373C3">
      <w:pPr>
        <w:ind w:firstLine="720"/>
        <w:jc w:val="both"/>
      </w:pPr>
      <w:r w:rsidRPr="0035547B">
        <w:t xml:space="preserve">Minētā kontekstā, </w:t>
      </w:r>
      <w:r w:rsidR="00AA53D2" w:rsidRPr="0035547B">
        <w:t xml:space="preserve">papildus </w:t>
      </w:r>
      <w:r w:rsidRPr="0035547B">
        <w:t xml:space="preserve">uzsverams, ka Augstākās tiesas reforma un tās noteiktās tiesnešu skaita izmaiņas Augstākajā tiesā nav pamats tiesneša atbrīvošanai no amata. Atbilstoši Latvijas Republikas Satversmes </w:t>
      </w:r>
      <w:r w:rsidR="00D05BF5" w:rsidRPr="0035547B">
        <w:t>84. pantam</w:t>
      </w:r>
      <w:r w:rsidRPr="0035547B">
        <w:t xml:space="preserve"> tiesnešus apstiprina Saeima, un viņi ir neatceļami. Tiesnesi pret viņa gribu atcelt no amata </w:t>
      </w:r>
      <w:r w:rsidR="00270A03" w:rsidRPr="0035547B">
        <w:t xml:space="preserve">Saeima var </w:t>
      </w:r>
      <w:r w:rsidRPr="0035547B">
        <w:t>vienīgi likumā paredzētos gadījumos, pamatojoties uz tiesnešu disciplinārkolēģijas lēmumu vai tiesas spriedumu krimināllietā. Ar likumu var noteikt vecumu, ar kura sasniegšanu tiesneši atstāj savu amatu.</w:t>
      </w:r>
    </w:p>
    <w:p w:rsidR="00AF3112" w:rsidRPr="0035547B" w:rsidRDefault="00AF3112" w:rsidP="00617D75">
      <w:pPr>
        <w:ind w:firstLine="720"/>
        <w:jc w:val="both"/>
      </w:pPr>
      <w:r w:rsidRPr="0035547B">
        <w:t>Likuma „Par tiesu varu” 80</w:t>
      </w:r>
      <w:r w:rsidRPr="0035547B">
        <w:rPr>
          <w:vertAlign w:val="superscript"/>
        </w:rPr>
        <w:t>1</w:t>
      </w:r>
      <w:r w:rsidRPr="0035547B">
        <w:t>.pants noteic, ka tiesneša pilnvaras izbeidzas dienā, kad beidzas termiņš, uz kādu tiesnesis iecelts amatā, kā arī līdz ar šajā likumā noteiktā amata pildīšanas maksimālā vecuma sasniegšanu vai tiesneša nāvi.</w:t>
      </w:r>
    </w:p>
    <w:p w:rsidR="002373C3" w:rsidRPr="0035547B" w:rsidRDefault="002373C3" w:rsidP="00AF3112">
      <w:pPr>
        <w:ind w:firstLine="720"/>
        <w:jc w:val="both"/>
      </w:pPr>
      <w:r w:rsidRPr="0035547B">
        <w:t>Saskaņā ar likuma „Par tiesu varu” „</w:t>
      </w:r>
      <w:r w:rsidR="00D05BF5" w:rsidRPr="0035547B">
        <w:t>82. pantu</w:t>
      </w:r>
      <w:r w:rsidRPr="0035547B">
        <w:t xml:space="preserve"> tiesnesi atbrīvo no amata:</w:t>
      </w:r>
    </w:p>
    <w:p w:rsidR="002373C3" w:rsidRPr="0035547B" w:rsidRDefault="002373C3" w:rsidP="002373C3">
      <w:pPr>
        <w:ind w:firstLine="720"/>
        <w:jc w:val="both"/>
      </w:pPr>
      <w:r w:rsidRPr="0035547B">
        <w:t>1) pēc paša vēlēšanās;</w:t>
      </w:r>
    </w:p>
    <w:p w:rsidR="002373C3" w:rsidRPr="0035547B" w:rsidRDefault="002373C3" w:rsidP="002373C3">
      <w:pPr>
        <w:ind w:firstLine="720"/>
        <w:jc w:val="both"/>
      </w:pPr>
      <w:r w:rsidRPr="0035547B">
        <w:t>2) sakarā ar ievēlēšanu vai iecelšanu citā amatā;</w:t>
      </w:r>
    </w:p>
    <w:p w:rsidR="002373C3" w:rsidRPr="0035547B" w:rsidRDefault="002373C3" w:rsidP="002373C3">
      <w:pPr>
        <w:ind w:firstLine="720"/>
        <w:jc w:val="both"/>
      </w:pPr>
      <w:r w:rsidRPr="0035547B">
        <w:t>3) veselības stāvokļa dēļ, ja tas neļauj turpināt tiesneša darbu;</w:t>
      </w:r>
    </w:p>
    <w:p w:rsidR="002373C3" w:rsidRPr="0035547B" w:rsidRDefault="002373C3" w:rsidP="002373C3">
      <w:pPr>
        <w:ind w:firstLine="720"/>
        <w:jc w:val="both"/>
      </w:pPr>
      <w:r w:rsidRPr="0035547B">
        <w:t>4) ja viņš atkārotā tiesneša profesionālās darbības novērtēšanā saņēmis negatīvu atzinumu.</w:t>
      </w:r>
    </w:p>
    <w:p w:rsidR="002373C3" w:rsidRPr="0035547B" w:rsidRDefault="002373C3" w:rsidP="00AF3112">
      <w:pPr>
        <w:ind w:firstLine="720"/>
        <w:jc w:val="both"/>
      </w:pPr>
      <w:r w:rsidRPr="0035547B">
        <w:t>Atbilstoši minētā likuma 83. pantam tiesneša atcelšana no amata pieļaujama divos gadījumos:</w:t>
      </w:r>
    </w:p>
    <w:p w:rsidR="002373C3" w:rsidRPr="0035547B" w:rsidRDefault="002373C3" w:rsidP="002373C3">
      <w:pPr>
        <w:ind w:firstLine="720"/>
        <w:jc w:val="both"/>
      </w:pPr>
      <w:r w:rsidRPr="0035547B">
        <w:t>1) ja tiesnesis notiesāts un tiesas spriedums stājies likumīgā spēkā;</w:t>
      </w:r>
    </w:p>
    <w:p w:rsidR="002373C3" w:rsidRPr="0035547B" w:rsidRDefault="002373C3" w:rsidP="002373C3">
      <w:pPr>
        <w:ind w:firstLine="720"/>
        <w:jc w:val="both"/>
      </w:pPr>
      <w:r w:rsidRPr="0035547B">
        <w:t>2) pamatojoties uz tiesnešu disciplinārkolēģijas lēmumu.</w:t>
      </w:r>
    </w:p>
    <w:p w:rsidR="00904502" w:rsidRPr="0035547B" w:rsidRDefault="00904502" w:rsidP="003729D4">
      <w:pPr>
        <w:ind w:firstLine="720"/>
        <w:jc w:val="both"/>
      </w:pPr>
      <w:r w:rsidRPr="0035547B">
        <w:t xml:space="preserve">Tiesneša neatceļamība ir ne tikai </w:t>
      </w:r>
      <w:r w:rsidR="002373C3" w:rsidRPr="0035547B">
        <w:t>konstitucionāli nostiprināts princips</w:t>
      </w:r>
      <w:r w:rsidRPr="0035547B">
        <w:t xml:space="preserve"> nacionāli, bet arī starptautiski atzīts princips. Piemēram, Tiesu neatkarības pamatprincipu</w:t>
      </w:r>
      <w:r w:rsidRPr="0035547B">
        <w:rPr>
          <w:rStyle w:val="Vresatsauce"/>
        </w:rPr>
        <w:footnoteReference w:id="4"/>
      </w:r>
      <w:r w:rsidRPr="0035547B">
        <w:t xml:space="preserve"> </w:t>
      </w:r>
      <w:r w:rsidR="00D05BF5" w:rsidRPr="0035547B">
        <w:t>12. pants</w:t>
      </w:r>
      <w:r w:rsidRPr="0035547B">
        <w:t xml:space="preserve"> noteic, ka tiesnešiem, vai nu ieceltiem vai ievēlētiem, tiks garantēta atrašanās amatā līdz</w:t>
      </w:r>
      <w:r w:rsidR="004F28E2" w:rsidRPr="0035547B">
        <w:t xml:space="preserve"> pensijas </w:t>
      </w:r>
      <w:r w:rsidR="000C6D6C" w:rsidRPr="0035547B">
        <w:t xml:space="preserve">vecuma </w:t>
      </w:r>
      <w:r w:rsidR="004F28E2" w:rsidRPr="0035547B">
        <w:t>sasniegšanai</w:t>
      </w:r>
      <w:r w:rsidRPr="0035547B">
        <w:t>, vai beidzoties amatā atrašanās</w:t>
      </w:r>
      <w:r w:rsidR="004F28E2" w:rsidRPr="0035547B">
        <w:t xml:space="preserve"> termiņam</w:t>
      </w:r>
      <w:r w:rsidR="00D05BF5" w:rsidRPr="0035547B">
        <w:t>.</w:t>
      </w:r>
      <w:r w:rsidRPr="0035547B">
        <w:t xml:space="preserve"> Savukārt</w:t>
      </w:r>
      <w:r w:rsidR="00270A03" w:rsidRPr="0035547B">
        <w:t>,</w:t>
      </w:r>
      <w:r w:rsidRPr="0035547B">
        <w:t xml:space="preserve"> Eiropas hartas par tiesneša statusu 3.4.pants noteic, ka tiesnesi, kas iecelts amatā, nedrīkst iecelt citā amatā vai pārcelt citur</w:t>
      </w:r>
      <w:r w:rsidR="00270A03" w:rsidRPr="0035547B">
        <w:t>,</w:t>
      </w:r>
      <w:r w:rsidRPr="0035547B">
        <w:t xml:space="preserve"> pat ne ar amata paaugstināšanu, ja viņš tam nepiekrīt. Izņēmuma gadījumi šim principam ir pieļaujami gadījumos, ja pārcelšana ir atļauta saskaņā ar noteikumiem par </w:t>
      </w:r>
      <w:r w:rsidRPr="0035547B">
        <w:lastRenderedPageBreak/>
        <w:t xml:space="preserve">tiesnešu </w:t>
      </w:r>
      <w:r w:rsidR="00DD6FA0" w:rsidRPr="0035547B">
        <w:t xml:space="preserve">disciplināro atbildību, kā arī gadījumos, ja tiesa tiek likumīgi reorganizēta, kā arī ja pārcelšana ir īslaicīga un nepieciešama, lai sniegtu palīdzību kaimiņu tiesai. </w:t>
      </w:r>
      <w:r w:rsidR="0074712F" w:rsidRPr="0035547B">
        <w:t>Šādas pārcelšanas maksimālo ilgumu nosaka tiesību normas</w:t>
      </w:r>
      <w:r w:rsidR="00D05BF5" w:rsidRPr="0035547B">
        <w:t>, un</w:t>
      </w:r>
      <w:r w:rsidR="0074712F" w:rsidRPr="0035547B">
        <w:t xml:space="preserve"> tas nedrīkst būt neierobežots process.</w:t>
      </w:r>
    </w:p>
    <w:p w:rsidR="00C607A8" w:rsidRPr="0035547B" w:rsidRDefault="00C607A8" w:rsidP="00C607A8">
      <w:pPr>
        <w:ind w:firstLine="720"/>
        <w:jc w:val="both"/>
      </w:pPr>
      <w:r w:rsidRPr="0035547B">
        <w:t>Eiropas Padomes Ministru komitejas rekomendāciju CM/Rec(2010)12 Par tiesnešu neatkarību, efektivitāti un atbildību</w:t>
      </w:r>
      <w:r w:rsidRPr="0035547B">
        <w:rPr>
          <w:rStyle w:val="Vresatsauce"/>
        </w:rPr>
        <w:footnoteReference w:id="5"/>
      </w:r>
      <w:r w:rsidRPr="0035547B">
        <w:t xml:space="preserve"> 49.punkts paredz, ka tiesneša neatceļamība ir viens no tiesneša neatkarības pamatelementiem.</w:t>
      </w:r>
      <w:r w:rsidR="0074712F" w:rsidRPr="0035547B">
        <w:t xml:space="preserve"> Savukārt 52.punkts noteic, ka tiesnesi bez viņa piekrišanas nevar pārcelt darbā citā tiesā, izņemot ja pārcelšana ir saistīta ar disciplinārprocesa vai tiesu sistēmas organizācijas reformu. Arī </w:t>
      </w:r>
      <w:r w:rsidR="00383C3B" w:rsidRPr="0035547B">
        <w:t>Eiropas Komisijas</w:t>
      </w:r>
      <w:r w:rsidR="0074712F" w:rsidRPr="0035547B">
        <w:t xml:space="preserve"> par demokrātiju caur tiesībām (Venēcijas komisija) savā </w:t>
      </w:r>
      <w:r w:rsidR="00D05BF5" w:rsidRPr="0035547B">
        <w:t>2010. gada</w:t>
      </w:r>
      <w:r w:rsidR="0074712F" w:rsidRPr="0035547B">
        <w:t xml:space="preserve"> </w:t>
      </w:r>
      <w:r w:rsidR="00D05BF5" w:rsidRPr="0035547B">
        <w:t>16. maija</w:t>
      </w:r>
      <w:r w:rsidR="0074712F" w:rsidRPr="0035547B">
        <w:t xml:space="preserve"> ziņojumā par tiesu varas neatkarību uzsver, ka Venēcijas</w:t>
      </w:r>
      <w:r w:rsidR="00383C3B" w:rsidRPr="0035547B">
        <w:t xml:space="preserve"> </w:t>
      </w:r>
      <w:r w:rsidR="0074712F" w:rsidRPr="0035547B">
        <w:t xml:space="preserve">komisija konsekventi atbalsta neatceļamības principu konstitūcijās. </w:t>
      </w:r>
      <w:r w:rsidR="00383C3B" w:rsidRPr="0035547B">
        <w:t>Pārcelšana</w:t>
      </w:r>
      <w:r w:rsidR="0074712F" w:rsidRPr="0035547B">
        <w:t xml:space="preserve"> pret tiesneša gribu ir pieļaujam tikai izņēmuma gadījumos</w:t>
      </w:r>
      <w:r w:rsidR="00383C3B" w:rsidRPr="0035547B">
        <w:t xml:space="preserve"> (ziņojuma 43.punkts)</w:t>
      </w:r>
    </w:p>
    <w:p w:rsidR="00C607A8" w:rsidRPr="0035547B" w:rsidRDefault="0074712F" w:rsidP="00C607A8">
      <w:pPr>
        <w:ind w:firstLine="720"/>
        <w:jc w:val="both"/>
      </w:pPr>
      <w:r w:rsidRPr="0035547B">
        <w:t>No minētā nepārprotami izriet strikti ierobežojumi tiesneša, kas apstiprināts amatā uz mūžu, atcelšana</w:t>
      </w:r>
      <w:r w:rsidR="00383C3B" w:rsidRPr="0035547B">
        <w:t>i un</w:t>
      </w:r>
      <w:r w:rsidRPr="0035547B">
        <w:t xml:space="preserve"> atbrīvo</w:t>
      </w:r>
      <w:r w:rsidR="00383C3B" w:rsidRPr="0035547B">
        <w:t>šanai no tiesneša amata</w:t>
      </w:r>
      <w:r w:rsidR="00FD486A" w:rsidRPr="0035547B">
        <w:t xml:space="preserve"> un tiesas reforma nav konstitucionāli leģitīms pamats tiesneša atbrīvošanai no amata</w:t>
      </w:r>
      <w:r w:rsidRPr="0035547B">
        <w:t xml:space="preserve">. </w:t>
      </w:r>
    </w:p>
    <w:p w:rsidR="00FD486A" w:rsidRPr="0035547B" w:rsidRDefault="00FD486A" w:rsidP="00C607A8">
      <w:pPr>
        <w:ind w:firstLine="720"/>
        <w:jc w:val="both"/>
      </w:pPr>
      <w:r w:rsidRPr="0035547B">
        <w:t>Ievērojot minēto, risināms jautājums par Krimināllietu tiesu palātas tiesnešu turpmāko karjeru.</w:t>
      </w:r>
    </w:p>
    <w:p w:rsidR="005348FF" w:rsidRPr="0035547B" w:rsidRDefault="005348FF" w:rsidP="005348FF">
      <w:pPr>
        <w:ind w:firstLine="720"/>
        <w:jc w:val="both"/>
      </w:pPr>
      <w:r w:rsidRPr="0035547B">
        <w:t>Iespējami šādi jau šobrīd likumā „Par tiesu varu” paredzēti risinājumi:</w:t>
      </w:r>
    </w:p>
    <w:p w:rsidR="00E73E43" w:rsidRPr="0035547B" w:rsidRDefault="00E73E43" w:rsidP="001A44F5">
      <w:pPr>
        <w:pStyle w:val="Sarakstarindkopa"/>
        <w:numPr>
          <w:ilvl w:val="0"/>
          <w:numId w:val="11"/>
        </w:numPr>
        <w:jc w:val="both"/>
      </w:pPr>
      <w:r w:rsidRPr="0035547B">
        <w:t xml:space="preserve">Krimināllietu palātas tiesneša </w:t>
      </w:r>
      <w:r w:rsidRPr="0035547B">
        <w:rPr>
          <w:b/>
        </w:rPr>
        <w:t>pāriešana</w:t>
      </w:r>
      <w:r w:rsidRPr="0035547B">
        <w:t xml:space="preserve"> darbā citā Augstākās tiesas struktūrvienībā (piemēram, Krimināllietu departamentā);</w:t>
      </w:r>
    </w:p>
    <w:p w:rsidR="00E73E43" w:rsidRPr="0035547B" w:rsidRDefault="00E73E43" w:rsidP="001A44F5">
      <w:pPr>
        <w:pStyle w:val="Sarakstarindkopa"/>
        <w:numPr>
          <w:ilvl w:val="0"/>
          <w:numId w:val="11"/>
        </w:numPr>
        <w:jc w:val="both"/>
      </w:pPr>
      <w:r w:rsidRPr="0035547B">
        <w:t xml:space="preserve">tiesneša ar viņa piekrišanu </w:t>
      </w:r>
      <w:r w:rsidRPr="0035547B">
        <w:rPr>
          <w:b/>
        </w:rPr>
        <w:t>pārcelšana</w:t>
      </w:r>
      <w:r w:rsidRPr="0035547B">
        <w:t xml:space="preserve"> uz vakanto tiesneša amatu apgabaltiesā vai rajona (pilsētas) tiesā</w:t>
      </w:r>
      <w:r w:rsidR="00E06E58" w:rsidRPr="0035547B">
        <w:t xml:space="preserve"> (likuma „Par tiesu varu” 73.</w:t>
      </w:r>
      <w:r w:rsidR="00E06E58" w:rsidRPr="0035547B">
        <w:rPr>
          <w:vertAlign w:val="superscript"/>
        </w:rPr>
        <w:t xml:space="preserve">1 </w:t>
      </w:r>
      <w:r w:rsidR="00E06E58" w:rsidRPr="0035547B">
        <w:t>panta 2.</w:t>
      </w:r>
      <w:r w:rsidR="00E06E58" w:rsidRPr="0035547B">
        <w:rPr>
          <w:vertAlign w:val="superscript"/>
        </w:rPr>
        <w:t>1</w:t>
      </w:r>
      <w:r w:rsidR="00656C5C" w:rsidRPr="0035547B">
        <w:rPr>
          <w:vertAlign w:val="superscript"/>
        </w:rPr>
        <w:t xml:space="preserve"> </w:t>
      </w:r>
      <w:r w:rsidR="00E06E58" w:rsidRPr="0035547B">
        <w:t>daļa);</w:t>
      </w:r>
    </w:p>
    <w:p w:rsidR="00E73E43" w:rsidRPr="0035547B" w:rsidRDefault="00E73E43" w:rsidP="001A44F5">
      <w:pPr>
        <w:pStyle w:val="Sarakstarindkopa"/>
        <w:numPr>
          <w:ilvl w:val="0"/>
          <w:numId w:val="11"/>
        </w:numPr>
        <w:jc w:val="both"/>
        <w:rPr>
          <w:smallCaps/>
        </w:rPr>
      </w:pPr>
      <w:r w:rsidRPr="0035547B">
        <w:t xml:space="preserve">tiesneša ar viņa piekrišanu </w:t>
      </w:r>
      <w:r w:rsidRPr="0035547B">
        <w:rPr>
          <w:b/>
        </w:rPr>
        <w:t>norīkošana</w:t>
      </w:r>
      <w:r w:rsidRPr="0035547B">
        <w:t xml:space="preserve"> darbā citā tiesā uz laiku no 3 mēnešiem līdz 3 gadiem</w:t>
      </w:r>
      <w:r w:rsidR="00E06E58" w:rsidRPr="0035547B">
        <w:t xml:space="preserve"> (likuma „Par tiesu varu” 86.</w:t>
      </w:r>
      <w:r w:rsidR="00E06E58" w:rsidRPr="0035547B">
        <w:rPr>
          <w:vertAlign w:val="superscript"/>
        </w:rPr>
        <w:t xml:space="preserve">1 </w:t>
      </w:r>
      <w:r w:rsidR="00E06E58" w:rsidRPr="0035547B">
        <w:t>pants);</w:t>
      </w:r>
    </w:p>
    <w:p w:rsidR="005348FF" w:rsidRPr="0035547B" w:rsidRDefault="00E06E58" w:rsidP="003E211C">
      <w:pPr>
        <w:ind w:firstLine="720"/>
        <w:jc w:val="both"/>
      </w:pPr>
      <w:r w:rsidRPr="0035547B">
        <w:t>Saskaņā ar Valsts un pašvaldību institūciju amatpersonu un darbinieku atlīdzības likuma 6.</w:t>
      </w:r>
      <w:r w:rsidRPr="0035547B">
        <w:rPr>
          <w:vertAlign w:val="superscript"/>
        </w:rPr>
        <w:t xml:space="preserve">1 </w:t>
      </w:r>
      <w:r w:rsidRPr="0035547B">
        <w:t>panta trešo daļu tiesnesis, kuru normatīvajos aktos noteiktajos gadījumos pārceļ zemāka līmeņa tiesneša amatā vai kurš aizstāj zemāka līmeņa tiesnesi vai pāriet zemāka līmeņa tiesneša amatā, saņem mēnešalgu un izdienas piemaksu, kas viņam noteikta pirms pārcelšanas, zemāka līmeņa tiesneša aizstāšanas vai pāriešanas zemāka līmeņa tiesneša amatā.</w:t>
      </w:r>
      <w:r w:rsidR="006A61E3" w:rsidRPr="0035547B">
        <w:t xml:space="preserve"> </w:t>
      </w:r>
      <w:r w:rsidR="00D05BF5" w:rsidRPr="0035547B">
        <w:t>Minētā panta piektā daļa noteic, ka tiesnesis, kas ar viņa piekrišanu un tiesas priekšsēdētāja atļauju uz noteiktu laiku norīkots darbā citā tiesā, saņem tiesneša mēnešalgu un izdienas piemaksu, ja vien institūcija, uz kuru tiesnesis norīkots, nav pārņēmusi saistības maksāt viņam atlīdzību.</w:t>
      </w:r>
    </w:p>
    <w:p w:rsidR="006A61E3" w:rsidRPr="0035547B" w:rsidRDefault="006A61E3" w:rsidP="003E211C">
      <w:pPr>
        <w:ind w:firstLine="720"/>
        <w:jc w:val="both"/>
      </w:pPr>
      <w:r w:rsidRPr="0035547B">
        <w:t>No minētā izriet, ka gan tiesneša pārcelšanas, gan norīkošanas gadījumā normatīvie akti paredz, ka tiesnesim ir saglabājama atlīdzība vismaz iepriekšējā līmenī.</w:t>
      </w:r>
    </w:p>
    <w:p w:rsidR="00D3128B" w:rsidRPr="0035547B" w:rsidRDefault="0067185C" w:rsidP="00231AD5">
      <w:pPr>
        <w:ind w:firstLine="720"/>
        <w:jc w:val="both"/>
        <w:rPr>
          <w:b/>
          <w:color w:val="000000"/>
        </w:rPr>
      </w:pPr>
      <w:r w:rsidRPr="0035547B">
        <w:rPr>
          <w:b/>
          <w:color w:val="000000"/>
        </w:rPr>
        <w:t>Tieslietu ministrijas ieskatā, nepieciešams</w:t>
      </w:r>
      <w:r w:rsidR="00185926" w:rsidRPr="0035547B">
        <w:rPr>
          <w:b/>
          <w:color w:val="000000"/>
        </w:rPr>
        <w:t xml:space="preserve"> paredzēt iespēju tiesnesim uzreiz doties pirmstermiņa izdienas pensijā. </w:t>
      </w:r>
    </w:p>
    <w:p w:rsidR="00231AD5" w:rsidRPr="0035547B" w:rsidRDefault="00094971" w:rsidP="00316723">
      <w:pPr>
        <w:ind w:firstLine="720"/>
        <w:jc w:val="both"/>
        <w:rPr>
          <w:color w:val="000000"/>
        </w:rPr>
      </w:pPr>
      <w:r w:rsidRPr="0035547B">
        <w:t>T</w:t>
      </w:r>
      <w:r w:rsidR="00231AD5" w:rsidRPr="0035547B">
        <w:t xml:space="preserve">iesnešu izdienas pensijas likuma </w:t>
      </w:r>
      <w:r w:rsidR="00D05BF5" w:rsidRPr="0035547B">
        <w:t>2. panta</w:t>
      </w:r>
      <w:r w:rsidR="00231AD5" w:rsidRPr="0035547B">
        <w:t xml:space="preserve"> pirmā daļas 1.punkts noteic, ka tiesības uz izdienas pensiju ir personai, kurai izdienas stāžs saskaņā ar šā likuma </w:t>
      </w:r>
      <w:hyperlink r:id="rId9" w:anchor="p3" w:history="1">
        <w:r w:rsidR="00231AD5" w:rsidRPr="0035547B">
          <w:t>3.pantu</w:t>
        </w:r>
      </w:hyperlink>
      <w:r w:rsidR="00231AD5" w:rsidRPr="0035547B">
        <w:t xml:space="preserve"> ir 20 gadi, no kuriem pēdējie 10 gadi nostrādāti tiesneša amatā vai tiesneša, kas amatā apstiprināts bez pilnvaru termiņa ierobežojuma, un tiesībsarga amatā, un kura ir sasniegusi likumā "</w:t>
      </w:r>
      <w:hyperlink r:id="rId10" w:tgtFrame="_blank" w:history="1">
        <w:r w:rsidR="00231AD5" w:rsidRPr="0035547B">
          <w:t>Par valsts pensijām</w:t>
        </w:r>
      </w:hyperlink>
      <w:r w:rsidR="00231AD5" w:rsidRPr="0035547B">
        <w:t>" vecuma pensijas piešķiršanai noteikto vecumu, ja tā ir atbrīvota no tiesneša vai tiesībsarga amata pēc pašas vēlēšanās vai no tiesneša amata sakarā ar amata pildīšanai likumā noteiktā maksimālā vecuma sasniegšanu.</w:t>
      </w:r>
    </w:p>
    <w:p w:rsidR="00AF3112" w:rsidRPr="0035547B" w:rsidRDefault="00231AD5" w:rsidP="00231AD5">
      <w:pPr>
        <w:ind w:firstLine="720"/>
        <w:jc w:val="both"/>
      </w:pPr>
      <w:r w:rsidRPr="0035547B">
        <w:t>No iepriekš minētā secināms, ka pie pašreizējā normatīvā regulējuma</w:t>
      </w:r>
      <w:r w:rsidR="00D17C25" w:rsidRPr="0035547B">
        <w:t>, ja kāds no</w:t>
      </w:r>
      <w:r w:rsidRPr="0035547B">
        <w:t xml:space="preserve"> Augstākās tiesas Krimināllietu tiesu palātas tiesnešiem</w:t>
      </w:r>
      <w:r w:rsidR="00D17C25" w:rsidRPr="0035547B">
        <w:t xml:space="preserve"> izteiktu vēlmi </w:t>
      </w:r>
      <w:r w:rsidRPr="0035547B">
        <w:t>pēc paš</w:t>
      </w:r>
      <w:r w:rsidR="00AF3112" w:rsidRPr="0035547B">
        <w:t>a</w:t>
      </w:r>
      <w:r w:rsidRPr="0035547B">
        <w:t xml:space="preserve"> gribas doties priekšlaicīgā pensijā</w:t>
      </w:r>
      <w:r w:rsidR="00AF3112" w:rsidRPr="0035547B">
        <w:t>, viņam</w:t>
      </w:r>
      <w:r w:rsidR="0011089D" w:rsidRPr="0035547B">
        <w:t xml:space="preserve"> </w:t>
      </w:r>
      <w:r w:rsidR="00AF3112" w:rsidRPr="0035547B">
        <w:t xml:space="preserve">nebūtu tiesības saņemt izdienas pensiju. </w:t>
      </w:r>
      <w:r w:rsidR="0011089D" w:rsidRPr="0035547B">
        <w:t>(</w:t>
      </w:r>
      <w:r w:rsidR="00AF3112" w:rsidRPr="0035547B">
        <w:t>N</w:t>
      </w:r>
      <w:r w:rsidR="0011089D" w:rsidRPr="0035547B">
        <w:t xml:space="preserve">o Augstākās tiesas sniegtās informācijas izriet, ka </w:t>
      </w:r>
      <w:r w:rsidR="00AF3112" w:rsidRPr="0035547B">
        <w:t>vismaz</w:t>
      </w:r>
      <w:r w:rsidR="0011089D" w:rsidRPr="0035547B">
        <w:t xml:space="preserve"> divi</w:t>
      </w:r>
      <w:r w:rsidR="00AF3112" w:rsidRPr="0035547B">
        <w:t xml:space="preserve"> tiesu palātas</w:t>
      </w:r>
      <w:r w:rsidR="0011089D" w:rsidRPr="0035547B">
        <w:t xml:space="preserve"> tiesneši ir pieļāvuši iespēju doties priekšlaicīgā pensijā, ja tik</w:t>
      </w:r>
      <w:r w:rsidR="00AA53D2" w:rsidRPr="0035547B">
        <w:t>tu</w:t>
      </w:r>
      <w:r w:rsidR="0011089D" w:rsidRPr="0035547B">
        <w:t xml:space="preserve"> </w:t>
      </w:r>
      <w:r w:rsidR="00AF3112" w:rsidRPr="0035547B">
        <w:t xml:space="preserve">garantētas tiesības uz </w:t>
      </w:r>
      <w:r w:rsidR="0011089D" w:rsidRPr="0035547B">
        <w:t>izdienas pensij</w:t>
      </w:r>
      <w:r w:rsidR="00AF3112" w:rsidRPr="0035547B">
        <w:t>u</w:t>
      </w:r>
      <w:r w:rsidR="0011089D" w:rsidRPr="0035547B">
        <w:t xml:space="preserve"> nesamazinātā apmērā</w:t>
      </w:r>
      <w:r w:rsidR="00AF3112" w:rsidRPr="0035547B">
        <w:t>.</w:t>
      </w:r>
      <w:r w:rsidR="0011089D" w:rsidRPr="0035547B">
        <w:t>)</w:t>
      </w:r>
      <w:r w:rsidRPr="0035547B">
        <w:t>.</w:t>
      </w:r>
    </w:p>
    <w:p w:rsidR="0067185C" w:rsidRPr="0035547B" w:rsidRDefault="00231AD5" w:rsidP="0067185C">
      <w:pPr>
        <w:ind w:firstLine="720"/>
        <w:jc w:val="both"/>
      </w:pPr>
      <w:r w:rsidRPr="0035547B">
        <w:lastRenderedPageBreak/>
        <w:t xml:space="preserve">Lai meklētu risinājumus, minētais jautājums </w:t>
      </w:r>
      <w:r w:rsidR="00D17C25" w:rsidRPr="0035547B">
        <w:t>tika</w:t>
      </w:r>
      <w:r w:rsidRPr="0035547B">
        <w:t xml:space="preserve"> apspriests ar Labklājības ministriju un Augstāko ti</w:t>
      </w:r>
      <w:r w:rsidR="00A5087A" w:rsidRPr="0035547B">
        <w:t>esu. Tāpat</w:t>
      </w:r>
      <w:r w:rsidRPr="0035547B">
        <w:t xml:space="preserve"> jautājums par iespējamo regulējumu pirmstermiņa izdienas pensijai Augstākās tiesas tiesnešiem, kas amatu atstāj pēc pašu vēlēšanās sakarā ar palātu likvidāciju, ticis izskatīts Saeimas Juridiskās komisijas Tiesu politikas apakškomisijas </w:t>
      </w:r>
      <w:r w:rsidR="00D05BF5" w:rsidRPr="0035547B">
        <w:t>2013. gada</w:t>
      </w:r>
      <w:r w:rsidRPr="0035547B">
        <w:t xml:space="preserve"> </w:t>
      </w:r>
      <w:r w:rsidR="00D05BF5" w:rsidRPr="0035547B">
        <w:t>10. decembra</w:t>
      </w:r>
      <w:r w:rsidRPr="0035547B">
        <w:t xml:space="preserve"> sēdē.</w:t>
      </w:r>
      <w:r w:rsidR="00AF3112" w:rsidRPr="0035547B">
        <w:t xml:space="preserve"> </w:t>
      </w:r>
      <w:r w:rsidRPr="0035547B">
        <w:t xml:space="preserve">Minētajā apakškomisijas sēdē deputāti tika iepazīstināti ar </w:t>
      </w:r>
      <w:r w:rsidR="00AF3112" w:rsidRPr="0035547B">
        <w:t>izstrādāto</w:t>
      </w:r>
      <w:r w:rsidRPr="0035547B">
        <w:t xml:space="preserve"> risinājum</w:t>
      </w:r>
      <w:r w:rsidR="00AF3112" w:rsidRPr="0035547B">
        <w:t>a konceptu</w:t>
      </w:r>
      <w:r w:rsidRPr="0035547B">
        <w:t xml:space="preserve">, kam atbalstu pauda gan Augstākā tiesa, gan Labklājības ministrija. </w:t>
      </w:r>
      <w:r w:rsidR="00AF3112" w:rsidRPr="0035547B">
        <w:t>R</w:t>
      </w:r>
      <w:r w:rsidRPr="0035547B">
        <w:t xml:space="preserve">isinājums paredz, ka ne ilgāk kā trīs gadus laikā līdz tiesnesis ir sasniedzis pensijas vecumu (un viņam pienākas izdienas pensija) viņam tiek izmaksāts pabalsts izdienas pensijas apmērā, bet, sasniedzot pensijas vecumu, paredzamas tiesības pretendēt uz izdienas pensiju, neskatoties uz to, ka pēdējie trīs gadi nav nostrādāti tiesneša amatā. </w:t>
      </w:r>
      <w:r w:rsidR="00D05BF5" w:rsidRPr="0035547B">
        <w:t xml:space="preserve">Taču, izvērtējot šo piedāvāto pabalstu, kā arī apstākli, ka šāda pabalsta izmaksa būtu paredzama no Augstākās tiesas budžeta, Augstākā tiesa nolēma atteikties no šāda piedāvājuma, ka tiesnešiem līdz izdienas pensijas vecuma pienākšanai tiktu izmaksāts atsevišķs pabalsts.  </w:t>
      </w:r>
    </w:p>
    <w:p w:rsidR="000965F5" w:rsidRPr="0035547B" w:rsidRDefault="000965F5" w:rsidP="000965F5">
      <w:pPr>
        <w:ind w:firstLine="720"/>
        <w:jc w:val="both"/>
        <w:rPr>
          <w:lang w:eastAsia="lv-LV"/>
        </w:rPr>
      </w:pPr>
      <w:r w:rsidRPr="0035547B">
        <w:rPr>
          <w:lang w:eastAsia="lv-LV"/>
        </w:rPr>
        <w:t xml:space="preserve">Plānojot tiesnešu priekšlaicīgas pensionēšanās iespējas palātu likvidācijas gadījumā, </w:t>
      </w:r>
      <w:r w:rsidR="00A35FC4" w:rsidRPr="0035547B">
        <w:rPr>
          <w:lang w:eastAsia="lv-LV"/>
        </w:rPr>
        <w:t xml:space="preserve">Tieslietu ministrija ir ņēmusi vērā arī </w:t>
      </w:r>
      <w:r w:rsidRPr="0035547B">
        <w:rPr>
          <w:lang w:eastAsia="lv-LV"/>
        </w:rPr>
        <w:t>Augstākā</w:t>
      </w:r>
      <w:r w:rsidR="00A35FC4" w:rsidRPr="0035547B">
        <w:rPr>
          <w:lang w:eastAsia="lv-LV"/>
        </w:rPr>
        <w:t>s</w:t>
      </w:r>
      <w:r w:rsidRPr="0035547B">
        <w:rPr>
          <w:lang w:eastAsia="lv-LV"/>
        </w:rPr>
        <w:t xml:space="preserve"> tiesa</w:t>
      </w:r>
      <w:r w:rsidR="00A35FC4" w:rsidRPr="0035547B">
        <w:rPr>
          <w:lang w:eastAsia="lv-LV"/>
        </w:rPr>
        <w:t>s</w:t>
      </w:r>
      <w:r w:rsidRPr="0035547B">
        <w:rPr>
          <w:lang w:eastAsia="lv-LV"/>
        </w:rPr>
        <w:t xml:space="preserve"> </w:t>
      </w:r>
      <w:r w:rsidR="00A35FC4" w:rsidRPr="0035547B">
        <w:rPr>
          <w:lang w:eastAsia="lv-LV"/>
        </w:rPr>
        <w:t>norādīto</w:t>
      </w:r>
      <w:r w:rsidRPr="0035547B">
        <w:rPr>
          <w:lang w:eastAsia="lv-LV"/>
        </w:rPr>
        <w:t xml:space="preserve"> faktu, ka no </w:t>
      </w:r>
      <w:r w:rsidR="00D05BF5" w:rsidRPr="0035547B">
        <w:rPr>
          <w:lang w:eastAsia="lv-LV"/>
        </w:rPr>
        <w:t>2014. gada</w:t>
      </w:r>
      <w:r w:rsidRPr="0035547B">
        <w:rPr>
          <w:lang w:eastAsia="lv-LV"/>
        </w:rPr>
        <w:t xml:space="preserve"> </w:t>
      </w:r>
      <w:r w:rsidR="00D05BF5" w:rsidRPr="0035547B">
        <w:rPr>
          <w:lang w:eastAsia="lv-LV"/>
        </w:rPr>
        <w:t>1. janvāra</w:t>
      </w:r>
      <w:r w:rsidRPr="0035547B">
        <w:rPr>
          <w:lang w:eastAsia="lv-LV"/>
        </w:rPr>
        <w:t xml:space="preserve"> vispārējās pensionēšanās vecums paaugstinās katru gadu par trim mēnešiem, līdz </w:t>
      </w:r>
      <w:r w:rsidR="00D05BF5" w:rsidRPr="0035547B">
        <w:rPr>
          <w:lang w:eastAsia="lv-LV"/>
        </w:rPr>
        <w:t>2025. gadā</w:t>
      </w:r>
      <w:r w:rsidRPr="0035547B">
        <w:rPr>
          <w:lang w:eastAsia="lv-LV"/>
        </w:rPr>
        <w:t xml:space="preserve"> būs sasniegts 65 gadu vecums, ka arī to, ka tiesnešu izdienas pensijas piešķiršanai nepieciešamais vecums ir noteikts tāds pats kā likumā „Par valsts pensijām” vecuma pensijas piešķiršanai noteiktais vecums. Proti, pašreiz Tiesnešu izdienas pensijas likuma </w:t>
      </w:r>
      <w:r w:rsidR="00D05BF5" w:rsidRPr="0035547B">
        <w:rPr>
          <w:lang w:eastAsia="lv-LV"/>
        </w:rPr>
        <w:t>2. panta</w:t>
      </w:r>
      <w:r w:rsidRPr="0035547B">
        <w:rPr>
          <w:lang w:eastAsia="lv-LV"/>
        </w:rPr>
        <w:t xml:space="preserve"> pirmās daļas 1.punkts noteic, ka tiesības uz izdienas pensiju ir personai, kurai izdienas stāžs saskaņā ar šā likuma </w:t>
      </w:r>
      <w:hyperlink r:id="rId11" w:anchor="p3" w:history="1">
        <w:r w:rsidRPr="0035547B">
          <w:rPr>
            <w:rStyle w:val="Hipersaite"/>
            <w:color w:val="auto"/>
            <w:u w:val="none"/>
            <w:lang w:eastAsia="lv-LV"/>
          </w:rPr>
          <w:t>3.pantu</w:t>
        </w:r>
      </w:hyperlink>
      <w:r w:rsidRPr="0035547B">
        <w:rPr>
          <w:lang w:eastAsia="lv-LV"/>
        </w:rPr>
        <w:t xml:space="preserve"> ir 20 gadi, no kuriem pēdējie 10 gadi nostrādāti tiesneša amatā vai tiesneša, kas amatā apstiprināts bez pilnvaru termiņa ierobežojuma, un tiesībsarga amatā, un kura ir sasniegusi likumā "</w:t>
      </w:r>
      <w:hyperlink r:id="rId12" w:tgtFrame="_blank" w:history="1">
        <w:r w:rsidRPr="0035547B">
          <w:rPr>
            <w:rStyle w:val="Hipersaite"/>
            <w:color w:val="auto"/>
            <w:u w:val="none"/>
            <w:lang w:eastAsia="lv-LV"/>
          </w:rPr>
          <w:t>Par valsts pensijām</w:t>
        </w:r>
      </w:hyperlink>
      <w:r w:rsidRPr="0035547B">
        <w:rPr>
          <w:lang w:eastAsia="lv-LV"/>
        </w:rPr>
        <w:t>" vecuma pensijas piešķiršanai noteikto vecumu, ja tā ir atbrīvota no tiesneša vai tiesībsarga amata pēc pašas vēlēšanās vai no tiesneša amata sakarā ar amata pildīšanai likumā noteiktā maksimālā vecuma sasniegšanu.</w:t>
      </w:r>
    </w:p>
    <w:p w:rsidR="000965F5" w:rsidRPr="0035547B" w:rsidRDefault="000965F5" w:rsidP="000B0109">
      <w:pPr>
        <w:pStyle w:val="naiskr"/>
        <w:spacing w:before="0" w:after="0"/>
        <w:ind w:firstLine="567"/>
        <w:jc w:val="both"/>
      </w:pPr>
      <w:r w:rsidRPr="0035547B">
        <w:t xml:space="preserve"> Lai nodrošinātu, ka Augstākās tiesas tiesnesim, sakarā ar Augstākās tiesas tiesu palātas darbības termiņa beigām, ir tiesības pretendēt uz izdienas pensiju, </w:t>
      </w:r>
      <w:r w:rsidRPr="0035547B">
        <w:rPr>
          <w:bCs/>
        </w:rPr>
        <w:t>ir nepieciešami grozījumi Tiesnešu izdienas pensiju likumā. Ievērojot minēto</w:t>
      </w:r>
      <w:r w:rsidR="005F0289" w:rsidRPr="0035547B">
        <w:rPr>
          <w:bCs/>
        </w:rPr>
        <w:t>,</w:t>
      </w:r>
      <w:r w:rsidRPr="0035547B">
        <w:rPr>
          <w:bCs/>
        </w:rPr>
        <w:t xml:space="preserve"> </w:t>
      </w:r>
      <w:r w:rsidR="005F0289" w:rsidRPr="0035547B">
        <w:rPr>
          <w:bCs/>
        </w:rPr>
        <w:t>Tieslietu ministrija</w:t>
      </w:r>
      <w:r w:rsidRPr="0035547B">
        <w:rPr>
          <w:bCs/>
        </w:rPr>
        <w:t xml:space="preserve"> ir izstrādājusi likumprojektu „Grozījumi Tiesnešu izdienas pensijas likumā”, kas paredz, ka Augstākās tiesas tiesnesim, sakarā ar Augstākās tiesas tiesu palātas darbības termiņa beigām, ir tiesības pretendēt uz izdienas pensiju. </w:t>
      </w:r>
      <w:r w:rsidR="000B0109" w:rsidRPr="0035547B">
        <w:t xml:space="preserve">Likumprojekts garantēs atbilstošu materiālo nodrošinājumu tiem tiesnešiem, kuri sakarā ar Augstākās tiesas tiesu palātas darbības beigām tiks atbrīvoti no Augstākās tiesas tiesneša amata pēc paša vēlēšanās, proti, likumprojekts papildinās pretendēšanas uz izdienas pensiju nosacījumus, nodrošinot, ka tiesnesim, sakarā ar Augstākās tiesas tiesu palātas darbības beigām ir tiesības uz izdienas pensiju, </w:t>
      </w:r>
      <w:r w:rsidR="000B0109" w:rsidRPr="0035547B">
        <w:rPr>
          <w:bCs/>
        </w:rPr>
        <w:t xml:space="preserve">ja </w:t>
      </w:r>
      <w:r w:rsidR="000B0109" w:rsidRPr="0035547B">
        <w:t xml:space="preserve">tiesneša </w:t>
      </w:r>
      <w:r w:rsidR="000B0109" w:rsidRPr="0035547B">
        <w:rPr>
          <w:bCs/>
        </w:rPr>
        <w:t>stāžs ir 20 gadi, no kuriem pēdējie 10 gadi nostrādāti tiesneša, kas amatā apstiprināts bez pilnvaru termiņa ierobežojuma, amatā, un kurai līdz likumā "</w:t>
      </w:r>
      <w:hyperlink r:id="rId13" w:tgtFrame="_blank" w:history="1">
        <w:r w:rsidR="000B0109" w:rsidRPr="0035547B">
          <w:rPr>
            <w:rStyle w:val="Hipersaite"/>
            <w:bCs/>
            <w:color w:val="auto"/>
            <w:u w:val="none"/>
          </w:rPr>
          <w:t>Par valsts pensijām</w:t>
        </w:r>
      </w:hyperlink>
      <w:r w:rsidR="000B0109" w:rsidRPr="0035547B">
        <w:rPr>
          <w:bCs/>
        </w:rPr>
        <w:t xml:space="preserve">" vecuma pensijas piešķiršanai noteiktā vecuma sasniegšanai ir palikuši ne vairāk kā trīs gadi. </w:t>
      </w:r>
      <w:r w:rsidRPr="0035547B">
        <w:rPr>
          <w:bCs/>
        </w:rPr>
        <w:t xml:space="preserve">Minētais likumprojekts ir saskaņots arī ar Finanšu ministriju. </w:t>
      </w:r>
    </w:p>
    <w:p w:rsidR="00502298" w:rsidRPr="0035547B" w:rsidRDefault="00FF3FD9" w:rsidP="00A23354">
      <w:pPr>
        <w:ind w:firstLine="720"/>
        <w:jc w:val="both"/>
      </w:pPr>
      <w:r w:rsidRPr="0035547B">
        <w:t xml:space="preserve">Būtiski </w:t>
      </w:r>
      <w:r w:rsidR="00A23354" w:rsidRPr="0035547B">
        <w:t xml:space="preserve">atzīmēt, ka visi iepriekš minētie risinājumi gan esošie, gan papildus ieviešamais ir atkarīgi no tā, vai tiesnesis tiem ir piekritis, pastāv teorētiska iespēja, ka minētie risinājumi nebūs pietiekami visu bijušo Krimināllietu tiesu palātas tiesnešu tālākās karjeras organizācijai. Arī Augstākā tiesa ir izteikusi šaubas par esošo risinājumu </w:t>
      </w:r>
      <w:r w:rsidR="00502298" w:rsidRPr="0035547B">
        <w:t xml:space="preserve">pietiekamību, kā arī papildu izstrādātā priekšlikuma, kas saistīts ar iespēju atstāt tiesneša amatu pēc paša vēlēšanās pirms valsts vecuma pensijas piešķiršanai noteiktā vecuma sasniegšanas, tomēr saglabājot tiesības pretendēt uz izdienas pensiju, efektivitāti. </w:t>
      </w:r>
    </w:p>
    <w:p w:rsidR="00A23354" w:rsidRPr="0035547B" w:rsidRDefault="00502298" w:rsidP="00A23354">
      <w:pPr>
        <w:ind w:firstLine="720"/>
        <w:jc w:val="both"/>
      </w:pPr>
      <w:r w:rsidRPr="0035547B">
        <w:t>A</w:t>
      </w:r>
      <w:r w:rsidR="00A23354" w:rsidRPr="0035547B">
        <w:t>tzīstams, ka gadījumā, ja tiek samazināts Augstākās tiesas tiesnešu kopskaits, attiecīgi palielinot tiesnešu kopskaitu apgabaltiesās, tas nenozīmē reālu Augstākās tiesas tiesnešu skaita samazināšanu, automātiski tos pārceļot uz apgabaltiesām. Visi Augstākās tiesas tiesneši konkrētās tiesas tiesneša amatā ir apstiprināti uz mūžu ar Saeimas lēmumu. Struktūrvienības likvidācija neietekmē vai, vēl jo vairāk – neatņem, šo tiesnešu statusu.</w:t>
      </w:r>
      <w:r w:rsidRPr="0035547B">
        <w:t xml:space="preserve"> </w:t>
      </w:r>
      <w:r w:rsidRPr="0035547B">
        <w:lastRenderedPageBreak/>
        <w:t>Ievērojot minēto apsverama tādu papildu instrumentu izstrāde, kas būtu pieļaujami, ņemot vērā tiesneša amata īpašo statusu, bet kuru izmantošana nebūtu atkarīga no tiesneša piekrišanas.</w:t>
      </w:r>
    </w:p>
    <w:p w:rsidR="00231AD5" w:rsidRPr="0035547B" w:rsidRDefault="00D05BF5" w:rsidP="007C3B79">
      <w:pPr>
        <w:ind w:firstLine="720"/>
        <w:jc w:val="both"/>
        <w:rPr>
          <w:color w:val="000000"/>
        </w:rPr>
      </w:pPr>
      <w:r w:rsidRPr="0035547B">
        <w:rPr>
          <w:color w:val="000000"/>
        </w:rPr>
        <w:t xml:space="preserve">Ievērojot starptautiskajās rekomendācijās (skatīt iepriekš) nostiprinātos pieļaujamās rīcības ietvarus, par atbilstošu </w:t>
      </w:r>
      <w:r w:rsidRPr="0035547B">
        <w:rPr>
          <w:b/>
          <w:color w:val="000000"/>
        </w:rPr>
        <w:t>papildu risinājumu</w:t>
      </w:r>
      <w:r w:rsidRPr="0035547B">
        <w:rPr>
          <w:color w:val="000000"/>
        </w:rPr>
        <w:t xml:space="preserve"> varētu tikt atzīta arī </w:t>
      </w:r>
      <w:r w:rsidRPr="0035547B">
        <w:rPr>
          <w:b/>
          <w:color w:val="000000"/>
        </w:rPr>
        <w:t>tiesneša pārcelšana vai norīkošana citā tiesā arī bez viņa piekrišanas, ja tam piekritusi Tieslietu padome,</w:t>
      </w:r>
      <w:r w:rsidRPr="0035547B">
        <w:rPr>
          <w:color w:val="000000"/>
        </w:rPr>
        <w:t xml:space="preserve"> </w:t>
      </w:r>
      <w:r w:rsidRPr="0035547B">
        <w:rPr>
          <w:b/>
          <w:color w:val="000000"/>
        </w:rPr>
        <w:t>un saglabājot viņam iepriekš noteikto mēnešalgu un izdienas piemaksu.</w:t>
      </w:r>
    </w:p>
    <w:p w:rsidR="00D3128B" w:rsidRPr="0035547B" w:rsidRDefault="00605BAF" w:rsidP="007C3B79">
      <w:pPr>
        <w:ind w:firstLine="720"/>
        <w:jc w:val="both"/>
        <w:rPr>
          <w:color w:val="000000"/>
        </w:rPr>
      </w:pPr>
      <w:r w:rsidRPr="0035547B">
        <w:rPr>
          <w:color w:val="000000"/>
        </w:rPr>
        <w:t>Attiecībā uz tiesas darbiniekiem, kas bija piesaistīti Augstākās tiesas Krimināllietu tiesu palātas darba organizācijai (kancelejas darbinieki, tiesnešu palīgi, tiesas sēžu sekretāri). Augst</w:t>
      </w:r>
      <w:r w:rsidR="00DE078D" w:rsidRPr="0035547B">
        <w:rPr>
          <w:color w:val="000000"/>
        </w:rPr>
        <w:t xml:space="preserve">ākā tiesa ir norādījusi, ka visas darbinieku </w:t>
      </w:r>
      <w:r w:rsidR="00BF14DC" w:rsidRPr="0035547B">
        <w:rPr>
          <w:color w:val="000000"/>
        </w:rPr>
        <w:t xml:space="preserve">amata </w:t>
      </w:r>
      <w:r w:rsidR="00DE078D" w:rsidRPr="0035547B">
        <w:rPr>
          <w:color w:val="000000"/>
        </w:rPr>
        <w:t>vietas</w:t>
      </w:r>
      <w:r w:rsidRPr="0035547B">
        <w:rPr>
          <w:color w:val="000000"/>
        </w:rPr>
        <w:t xml:space="preserve"> tiks pārcelt</w:t>
      </w:r>
      <w:r w:rsidR="00DE078D" w:rsidRPr="0035547B">
        <w:rPr>
          <w:color w:val="000000"/>
        </w:rPr>
        <w:t>as</w:t>
      </w:r>
      <w:r w:rsidRPr="0035547B">
        <w:rPr>
          <w:color w:val="000000"/>
        </w:rPr>
        <w:t xml:space="preserve"> uz citām Augstākās tiesas struktūrvienībām, tādējādi stiprinot to kapacitāti. </w:t>
      </w:r>
      <w:r w:rsidR="00727FBC" w:rsidRPr="0035547B">
        <w:rPr>
          <w:color w:val="000000"/>
        </w:rPr>
        <w:t xml:space="preserve">Augstākās tiesas </w:t>
      </w:r>
      <w:r w:rsidRPr="0035547B">
        <w:rPr>
          <w:color w:val="000000"/>
        </w:rPr>
        <w:t xml:space="preserve">darbinieki atrodas darba tiesiskajās attiecībās ar </w:t>
      </w:r>
      <w:r w:rsidR="00727FBC" w:rsidRPr="0035547B">
        <w:rPr>
          <w:color w:val="000000"/>
        </w:rPr>
        <w:t xml:space="preserve">Augstākās tiesas </w:t>
      </w:r>
      <w:r w:rsidR="00C21189" w:rsidRPr="0035547B">
        <w:rPr>
          <w:color w:val="000000"/>
        </w:rPr>
        <w:t xml:space="preserve">priekšsēdētāju </w:t>
      </w:r>
      <w:r w:rsidRPr="0035547B">
        <w:rPr>
          <w:color w:val="000000"/>
        </w:rPr>
        <w:t xml:space="preserve">un attiecīgi šo tiesisko attiecību maiņu vai izbeigšanu </w:t>
      </w:r>
      <w:r w:rsidR="00727FBC" w:rsidRPr="0035547B">
        <w:rPr>
          <w:color w:val="000000"/>
        </w:rPr>
        <w:t>regulē</w:t>
      </w:r>
      <w:r w:rsidRPr="0035547B">
        <w:rPr>
          <w:color w:val="000000"/>
        </w:rPr>
        <w:t xml:space="preserve"> Darba likums.</w:t>
      </w:r>
    </w:p>
    <w:p w:rsidR="0058171F" w:rsidRPr="0035547B" w:rsidRDefault="0058171F" w:rsidP="007C3B79">
      <w:pPr>
        <w:ind w:firstLine="720"/>
        <w:jc w:val="both"/>
        <w:rPr>
          <w:color w:val="000000"/>
          <w:sz w:val="26"/>
          <w:szCs w:val="26"/>
        </w:rPr>
      </w:pPr>
    </w:p>
    <w:p w:rsidR="0014077C" w:rsidRPr="0035547B" w:rsidRDefault="0014077C" w:rsidP="007C3B79">
      <w:pPr>
        <w:ind w:firstLine="720"/>
        <w:jc w:val="both"/>
        <w:rPr>
          <w:color w:val="000000"/>
          <w:sz w:val="26"/>
          <w:szCs w:val="26"/>
        </w:rPr>
      </w:pPr>
    </w:p>
    <w:p w:rsidR="00D3128B" w:rsidRPr="0035547B" w:rsidRDefault="0025496E" w:rsidP="007C3B79">
      <w:pPr>
        <w:ind w:firstLine="720"/>
        <w:jc w:val="both"/>
        <w:rPr>
          <w:b/>
          <w:color w:val="000000"/>
          <w:sz w:val="26"/>
          <w:szCs w:val="26"/>
        </w:rPr>
      </w:pPr>
      <w:r w:rsidRPr="0035547B">
        <w:rPr>
          <w:b/>
          <w:color w:val="000000"/>
          <w:sz w:val="26"/>
          <w:szCs w:val="26"/>
        </w:rPr>
        <w:t>4</w:t>
      </w:r>
      <w:r w:rsidR="00752F7F" w:rsidRPr="0035547B">
        <w:rPr>
          <w:b/>
          <w:color w:val="000000"/>
          <w:sz w:val="26"/>
          <w:szCs w:val="26"/>
        </w:rPr>
        <w:t xml:space="preserve">. </w:t>
      </w:r>
      <w:r w:rsidR="009C164B" w:rsidRPr="0035547B">
        <w:rPr>
          <w:b/>
          <w:color w:val="000000"/>
          <w:sz w:val="26"/>
          <w:szCs w:val="26"/>
        </w:rPr>
        <w:t>Augstākās tiesas Krimināllietu tiesu palātas darba izbeigšana un ar to saistītā</w:t>
      </w:r>
      <w:r w:rsidR="00752F7F" w:rsidRPr="0035547B">
        <w:rPr>
          <w:b/>
          <w:color w:val="000000"/>
          <w:sz w:val="26"/>
          <w:szCs w:val="26"/>
        </w:rPr>
        <w:t xml:space="preserve"> </w:t>
      </w:r>
      <w:r w:rsidR="00185926" w:rsidRPr="0035547B">
        <w:rPr>
          <w:b/>
          <w:color w:val="000000"/>
          <w:sz w:val="26"/>
          <w:szCs w:val="26"/>
        </w:rPr>
        <w:t>finansiālā</w:t>
      </w:r>
      <w:r w:rsidR="00752F7F" w:rsidRPr="0035547B">
        <w:rPr>
          <w:b/>
          <w:color w:val="000000"/>
          <w:sz w:val="26"/>
          <w:szCs w:val="26"/>
        </w:rPr>
        <w:t xml:space="preserve"> ietekme</w:t>
      </w:r>
      <w:r w:rsidR="00185926" w:rsidRPr="0035547B">
        <w:rPr>
          <w:b/>
          <w:color w:val="000000"/>
          <w:sz w:val="26"/>
          <w:szCs w:val="26"/>
        </w:rPr>
        <w:t>.</w:t>
      </w:r>
    </w:p>
    <w:p w:rsidR="00AA53D2" w:rsidRPr="0035547B" w:rsidRDefault="00AA53D2" w:rsidP="00AA53D2">
      <w:pPr>
        <w:ind w:firstLine="720"/>
        <w:jc w:val="both"/>
        <w:rPr>
          <w:color w:val="000000"/>
        </w:rPr>
      </w:pPr>
      <w:r w:rsidRPr="0035547B">
        <w:rPr>
          <w:color w:val="000000"/>
        </w:rPr>
        <w:t xml:space="preserve">Kā izriet no Augstākās tiesas sniegtās informācijas, tad Augstākās tiesas Krimināllietu tiesu palātas likvidācijas rezultātā, </w:t>
      </w:r>
      <w:r w:rsidR="00D05BF5" w:rsidRPr="0035547B">
        <w:rPr>
          <w:color w:val="000000"/>
        </w:rPr>
        <w:t>2015. gadā</w:t>
      </w:r>
      <w:r w:rsidRPr="0035547B">
        <w:rPr>
          <w:color w:val="000000"/>
        </w:rPr>
        <w:t xml:space="preserve"> varētu tikt nodotas piecas tiesneša amata (vakantās) vietas apgabaltiesām. Kā jau minēts iepriekš, Tieslietu ministrijas ieskatā atbalstāma būtu 5 tiesnešu vakanču nodošana apgabaltiesām kopā ar tām budžetā jau piešķirto paredzēto finansējumu, lai neizveidotos situācija, ka Tiesu administrācijai, saņemot tiesneša vakances bez finansējumu, būtu jālūdz papildus finansējuma piešķiršana no valsts budžeta. Tai pašā laikā šādam risinājumam iebilst Augstākā tiesa, kas daļu no šī finansējuma vēlas novirzīt algu starpību segšanai, kas veidosies palātas tiesnesim, turpinot </w:t>
      </w:r>
      <w:r w:rsidR="00FC6CC0" w:rsidRPr="0035547B">
        <w:rPr>
          <w:color w:val="000000"/>
        </w:rPr>
        <w:t>darbu kā departamenta tiesnesim, kā arī kasācijas instances kapacitātes stiprināšanai.</w:t>
      </w:r>
      <w:r w:rsidRPr="0035547B">
        <w:rPr>
          <w:color w:val="000000"/>
        </w:rPr>
        <w:t xml:space="preserve"> </w:t>
      </w:r>
    </w:p>
    <w:p w:rsidR="00AA53D2" w:rsidRPr="0035547B" w:rsidRDefault="00AA53D2" w:rsidP="00AA53D2">
      <w:pPr>
        <w:ind w:firstLine="720"/>
        <w:jc w:val="both"/>
        <w:rPr>
          <w:color w:val="000000"/>
        </w:rPr>
      </w:pPr>
      <w:r w:rsidRPr="0035547B">
        <w:rPr>
          <w:color w:val="000000"/>
        </w:rPr>
        <w:t>Saskaņā ar Valsts un pašvaldību institūciju amatpersonu un darbinieku atlīdzības likuma 6.</w:t>
      </w:r>
      <w:r w:rsidRPr="0035547B">
        <w:rPr>
          <w:color w:val="000000"/>
          <w:vertAlign w:val="superscript"/>
        </w:rPr>
        <w:t xml:space="preserve">1 </w:t>
      </w:r>
      <w:r w:rsidRPr="0035547B">
        <w:rPr>
          <w:color w:val="000000"/>
        </w:rPr>
        <w:t>pantu Augstākās tiesas tiesnešu mēnešalgu nosaka, rajona (pilsētas) tiesas tiesneša mēnešalgai piemērojot koeficientu 1,42, Augstākās tiesas departamenta priekšsēdētājam — 1,55,</w:t>
      </w:r>
      <w:r w:rsidRPr="0035547B">
        <w:t xml:space="preserve"> </w:t>
      </w:r>
      <w:r w:rsidRPr="0035547B">
        <w:rPr>
          <w:color w:val="000000"/>
        </w:rPr>
        <w:t>Augstākās tiesas priekšsēdētājam — 1,7. Savukārt minētā likuma pārejas noteikumu 22.punkts noteic 22. Kamēr Augstākās tiesas sastāvā ir tāds Augstākās tiesas tiesnesis, kurš pilda tiesneša pienākumus kādā no Augstākās tiesas tiesu palātām, viņa mēnešalgu nosaka, rajona (pilsētas) tiesas tiesneša mēnešalgai piemērojot koeficientu 1,35, bet Augstākās tiesas tiesu palātas priekšsēdētājam — 1,55. Tātad likums noteic, ka Augstākās tiesas departamenta tiesneša alga lielāka nekā Augstākās tiesas palātas tiesneša alga.</w:t>
      </w:r>
    </w:p>
    <w:p w:rsidR="007907F7" w:rsidRPr="0035547B" w:rsidRDefault="00AA53D2" w:rsidP="00AA53D2">
      <w:pPr>
        <w:ind w:firstLine="720"/>
        <w:jc w:val="both"/>
        <w:rPr>
          <w:color w:val="000000"/>
        </w:rPr>
      </w:pPr>
      <w:r w:rsidRPr="0035547B">
        <w:rPr>
          <w:color w:val="000000"/>
        </w:rPr>
        <w:t xml:space="preserve">Atbilstoši Tieslietu padomes apstiprinātajam tiesneša amata vietu sadalījumam Augstākās tiesas ietvaros, </w:t>
      </w:r>
      <w:r w:rsidR="00084ECC" w:rsidRPr="0035547B">
        <w:rPr>
          <w:color w:val="000000"/>
        </w:rPr>
        <w:t>septiņi tiesneši kļū</w:t>
      </w:r>
      <w:r w:rsidRPr="0035547B">
        <w:rPr>
          <w:color w:val="000000"/>
        </w:rPr>
        <w:t>s</w:t>
      </w:r>
      <w:r w:rsidR="00084ECC" w:rsidRPr="0035547B">
        <w:rPr>
          <w:color w:val="000000"/>
        </w:rPr>
        <w:t xml:space="preserve"> par senatoriem</w:t>
      </w:r>
      <w:r w:rsidRPr="0035547B">
        <w:rPr>
          <w:color w:val="000000"/>
        </w:rPr>
        <w:t>.</w:t>
      </w:r>
      <w:r w:rsidR="00084ECC" w:rsidRPr="0035547B">
        <w:rPr>
          <w:color w:val="000000"/>
        </w:rPr>
        <w:t xml:space="preserve"> </w:t>
      </w:r>
      <w:r w:rsidR="007907F7" w:rsidRPr="0035547B">
        <w:rPr>
          <w:color w:val="000000"/>
        </w:rPr>
        <w:t xml:space="preserve">Augstākā tiesa norāda, ka Augstākās tiesas Krimināllietu tiesu palātas reorganizācijas rezultātā </w:t>
      </w:r>
      <w:r w:rsidR="007907F7" w:rsidRPr="0035547B">
        <w:rPr>
          <w:b/>
          <w:color w:val="000000"/>
        </w:rPr>
        <w:t>tiks stiprināta kasācijas instances kapacitāte, kā ietvaros plānots</w:t>
      </w:r>
      <w:r w:rsidR="007907F7" w:rsidRPr="0035547B">
        <w:rPr>
          <w:color w:val="000000"/>
        </w:rPr>
        <w:t>:</w:t>
      </w:r>
    </w:p>
    <w:p w:rsidR="007907F7" w:rsidRPr="0035547B" w:rsidRDefault="007907F7" w:rsidP="007907F7">
      <w:pPr>
        <w:pStyle w:val="Sarakstarindkopa"/>
        <w:numPr>
          <w:ilvl w:val="0"/>
          <w:numId w:val="18"/>
        </w:numPr>
        <w:jc w:val="both"/>
        <w:rPr>
          <w:color w:val="000000"/>
        </w:rPr>
      </w:pPr>
      <w:r w:rsidRPr="0035547B">
        <w:rPr>
          <w:color w:val="000000"/>
        </w:rPr>
        <w:t>palielināt senatoru skaitu Augstākās tiesas departamentos;</w:t>
      </w:r>
    </w:p>
    <w:p w:rsidR="007907F7" w:rsidRPr="0035547B" w:rsidRDefault="007907F7" w:rsidP="007907F7">
      <w:pPr>
        <w:pStyle w:val="Sarakstarindkopa"/>
        <w:numPr>
          <w:ilvl w:val="0"/>
          <w:numId w:val="18"/>
        </w:numPr>
        <w:jc w:val="both"/>
        <w:rPr>
          <w:color w:val="000000"/>
        </w:rPr>
      </w:pPr>
      <w:r w:rsidRPr="0035547B">
        <w:rPr>
          <w:color w:val="000000"/>
        </w:rPr>
        <w:t>palielināt senatoru palīgu skaitu Augstākās tiesas departamentos;</w:t>
      </w:r>
    </w:p>
    <w:p w:rsidR="007907F7" w:rsidRPr="0035547B" w:rsidRDefault="007907F7" w:rsidP="007907F7">
      <w:pPr>
        <w:pStyle w:val="Sarakstarindkopa"/>
        <w:numPr>
          <w:ilvl w:val="0"/>
          <w:numId w:val="18"/>
        </w:numPr>
        <w:jc w:val="both"/>
        <w:rPr>
          <w:color w:val="000000"/>
        </w:rPr>
      </w:pPr>
      <w:r w:rsidRPr="0035547B">
        <w:rPr>
          <w:color w:val="000000"/>
        </w:rPr>
        <w:t>veidot analītisko departamentu, kas veiks zinātniski analītisko darbu.</w:t>
      </w:r>
    </w:p>
    <w:p w:rsidR="00762B3D" w:rsidRPr="0035547B" w:rsidRDefault="007907F7" w:rsidP="00C54847">
      <w:pPr>
        <w:ind w:firstLine="720"/>
        <w:jc w:val="both"/>
        <w:rPr>
          <w:color w:val="000000"/>
        </w:rPr>
      </w:pPr>
      <w:r w:rsidRPr="0035547B">
        <w:rPr>
          <w:color w:val="000000"/>
        </w:rPr>
        <w:t>T</w:t>
      </w:r>
      <w:r w:rsidR="00C21189" w:rsidRPr="0035547B">
        <w:rPr>
          <w:color w:val="000000"/>
        </w:rPr>
        <w:t xml:space="preserve">ā </w:t>
      </w:r>
      <w:r w:rsidRPr="0035547B">
        <w:rPr>
          <w:color w:val="000000"/>
        </w:rPr>
        <w:t xml:space="preserve">rezultātā, </w:t>
      </w:r>
      <w:r w:rsidR="00C21189" w:rsidRPr="0035547B">
        <w:rPr>
          <w:color w:val="000000"/>
        </w:rPr>
        <w:t xml:space="preserve">sākot no </w:t>
      </w:r>
      <w:r w:rsidR="00D05BF5" w:rsidRPr="0035547B">
        <w:rPr>
          <w:color w:val="000000"/>
        </w:rPr>
        <w:t>2015. gada</w:t>
      </w:r>
      <w:r w:rsidR="00C21189" w:rsidRPr="0035547B">
        <w:rPr>
          <w:color w:val="000000"/>
        </w:rPr>
        <w:t xml:space="preserve"> </w:t>
      </w:r>
      <w:r w:rsidR="00D05BF5" w:rsidRPr="0035547B">
        <w:rPr>
          <w:color w:val="000000"/>
        </w:rPr>
        <w:t>1. janvāra</w:t>
      </w:r>
      <w:r w:rsidR="00C21189" w:rsidRPr="0035547B">
        <w:rPr>
          <w:color w:val="000000"/>
        </w:rPr>
        <w:t xml:space="preserve">, </w:t>
      </w:r>
      <w:r w:rsidR="00743783" w:rsidRPr="0035547B">
        <w:rPr>
          <w:color w:val="000000"/>
        </w:rPr>
        <w:t xml:space="preserve">ņemot vērā to, ka </w:t>
      </w:r>
      <w:r w:rsidR="003E1C5D" w:rsidRPr="0035547B">
        <w:rPr>
          <w:color w:val="000000"/>
        </w:rPr>
        <w:t xml:space="preserve">tiks likvidētas 5 vakantās tiesnešu amata vietas un </w:t>
      </w:r>
      <w:r w:rsidR="00743783" w:rsidRPr="0035547B">
        <w:rPr>
          <w:color w:val="000000"/>
        </w:rPr>
        <w:t>7 palātu tiesneši kļūs par departamenta tiesnešiem</w:t>
      </w:r>
      <w:r w:rsidR="003E1C5D" w:rsidRPr="0035547B">
        <w:rPr>
          <w:color w:val="000000"/>
        </w:rPr>
        <w:t>, bet</w:t>
      </w:r>
      <w:r w:rsidR="00743783" w:rsidRPr="0035547B">
        <w:rPr>
          <w:color w:val="000000"/>
        </w:rPr>
        <w:t xml:space="preserve"> 12 palātu palīgi kļūs par departamenta palīgiem.  </w:t>
      </w:r>
      <w:r w:rsidR="00C54847" w:rsidRPr="0035547B">
        <w:rPr>
          <w:color w:val="000000"/>
        </w:rPr>
        <w:t>Augstākai</w:t>
      </w:r>
      <w:r w:rsidR="00C21189" w:rsidRPr="0035547B">
        <w:rPr>
          <w:color w:val="000000"/>
        </w:rPr>
        <w:t xml:space="preserve"> tiesa</w:t>
      </w:r>
      <w:r w:rsidR="00743783" w:rsidRPr="0035547B">
        <w:rPr>
          <w:color w:val="000000"/>
        </w:rPr>
        <w:t xml:space="preserve">i </w:t>
      </w:r>
      <w:r w:rsidR="00762B3D" w:rsidRPr="0035547B">
        <w:rPr>
          <w:color w:val="000000"/>
        </w:rPr>
        <w:t xml:space="preserve">veidosies šāds </w:t>
      </w:r>
      <w:r w:rsidR="0094330C" w:rsidRPr="0035547B">
        <w:rPr>
          <w:color w:val="000000"/>
        </w:rPr>
        <w:t>ietaupījums</w:t>
      </w:r>
      <w:r w:rsidR="00762B3D" w:rsidRPr="0035547B">
        <w:rPr>
          <w:color w:val="000000"/>
        </w:rPr>
        <w:t>:</w:t>
      </w:r>
    </w:p>
    <w:p w:rsidR="00762B3D" w:rsidRPr="0035547B" w:rsidRDefault="000E3383" w:rsidP="00762B3D">
      <w:pPr>
        <w:ind w:firstLine="720"/>
        <w:jc w:val="both"/>
        <w:rPr>
          <w:i/>
          <w:color w:val="000000"/>
        </w:rPr>
      </w:pPr>
      <w:r w:rsidRPr="0035547B">
        <w:rPr>
          <w:i/>
          <w:color w:val="000000"/>
        </w:rPr>
        <w:t>1)</w:t>
      </w:r>
      <w:r w:rsidR="00762B3D" w:rsidRPr="0035547B">
        <w:rPr>
          <w:i/>
          <w:color w:val="000000"/>
        </w:rPr>
        <w:t>Atalgojums: 132 627 euro.</w:t>
      </w:r>
    </w:p>
    <w:p w:rsidR="00762B3D" w:rsidRPr="0035547B" w:rsidRDefault="0094330C" w:rsidP="00762B3D">
      <w:pPr>
        <w:ind w:firstLine="720"/>
        <w:jc w:val="both"/>
        <w:rPr>
          <w:i/>
          <w:color w:val="000000"/>
        </w:rPr>
      </w:pPr>
      <w:r w:rsidRPr="0035547B">
        <w:rPr>
          <w:i/>
          <w:color w:val="000000"/>
        </w:rPr>
        <w:t>T</w:t>
      </w:r>
      <w:r w:rsidR="00762B3D" w:rsidRPr="0035547B">
        <w:rPr>
          <w:i/>
          <w:color w:val="000000"/>
        </w:rPr>
        <w:t>iesneši</w:t>
      </w:r>
      <w:r w:rsidRPr="0035547B">
        <w:rPr>
          <w:i/>
          <w:color w:val="000000"/>
        </w:rPr>
        <w:t xml:space="preserve"> </w:t>
      </w:r>
    </w:p>
    <w:p w:rsidR="00762B3D" w:rsidRPr="0035547B" w:rsidRDefault="0094330C" w:rsidP="00762B3D">
      <w:pPr>
        <w:ind w:firstLine="720"/>
        <w:jc w:val="both"/>
        <w:rPr>
          <w:i/>
          <w:color w:val="000000"/>
        </w:rPr>
      </w:pPr>
      <w:r w:rsidRPr="0035547B">
        <w:rPr>
          <w:i/>
          <w:color w:val="000000"/>
        </w:rPr>
        <w:t xml:space="preserve">Finansējums </w:t>
      </w:r>
      <w:r w:rsidR="00762B3D" w:rsidRPr="0035547B">
        <w:rPr>
          <w:i/>
          <w:color w:val="000000"/>
        </w:rPr>
        <w:t>3</w:t>
      </w:r>
      <w:r w:rsidRPr="0035547B">
        <w:rPr>
          <w:i/>
          <w:color w:val="000000"/>
        </w:rPr>
        <w:t xml:space="preserve"> vakanto amata vietu </w:t>
      </w:r>
      <w:r w:rsidR="00762B3D" w:rsidRPr="0035547B">
        <w:rPr>
          <w:i/>
          <w:color w:val="000000"/>
        </w:rPr>
        <w:t>tiesneš</w:t>
      </w:r>
      <w:r w:rsidRPr="0035547B">
        <w:rPr>
          <w:i/>
          <w:color w:val="000000"/>
        </w:rPr>
        <w:t>iem</w:t>
      </w:r>
      <w:r w:rsidR="00762B3D" w:rsidRPr="0035547B">
        <w:rPr>
          <w:i/>
          <w:color w:val="000000"/>
        </w:rPr>
        <w:t xml:space="preserve"> ar pirmo klasi 108 060 euro</w:t>
      </w:r>
    </w:p>
    <w:p w:rsidR="00762B3D" w:rsidRPr="0035547B" w:rsidRDefault="0094330C" w:rsidP="00762B3D">
      <w:pPr>
        <w:ind w:firstLine="720"/>
        <w:jc w:val="both"/>
        <w:rPr>
          <w:i/>
          <w:color w:val="000000"/>
        </w:rPr>
      </w:pPr>
      <w:r w:rsidRPr="0035547B">
        <w:rPr>
          <w:i/>
          <w:color w:val="000000"/>
        </w:rPr>
        <w:t xml:space="preserve">Finansējums </w:t>
      </w:r>
      <w:r w:rsidR="00762B3D" w:rsidRPr="0035547B">
        <w:rPr>
          <w:i/>
          <w:color w:val="000000"/>
        </w:rPr>
        <w:t xml:space="preserve">2 </w:t>
      </w:r>
      <w:r w:rsidRPr="0035547B">
        <w:rPr>
          <w:i/>
          <w:color w:val="000000"/>
        </w:rPr>
        <w:t xml:space="preserve">vakanto amata vietu </w:t>
      </w:r>
      <w:r w:rsidR="00762B3D" w:rsidRPr="0035547B">
        <w:rPr>
          <w:i/>
          <w:color w:val="000000"/>
        </w:rPr>
        <w:t>tiesneši</w:t>
      </w:r>
      <w:r w:rsidRPr="0035547B">
        <w:rPr>
          <w:i/>
          <w:color w:val="000000"/>
        </w:rPr>
        <w:t>em</w:t>
      </w:r>
      <w:r w:rsidR="00762B3D" w:rsidRPr="0035547B">
        <w:rPr>
          <w:i/>
          <w:color w:val="000000"/>
        </w:rPr>
        <w:t xml:space="preserve"> ar otro klasi 68 304,40 euro</w:t>
      </w:r>
    </w:p>
    <w:p w:rsidR="00762B3D" w:rsidRPr="0035547B" w:rsidRDefault="0094330C" w:rsidP="00762B3D">
      <w:pPr>
        <w:ind w:firstLine="720"/>
        <w:jc w:val="both"/>
        <w:rPr>
          <w:i/>
          <w:color w:val="000000"/>
        </w:rPr>
      </w:pPr>
      <w:r w:rsidRPr="0035547B">
        <w:rPr>
          <w:i/>
          <w:color w:val="000000"/>
        </w:rPr>
        <w:t xml:space="preserve">Nepieciešamais papildu finansējums </w:t>
      </w:r>
      <w:r w:rsidR="00762B3D" w:rsidRPr="0035547B">
        <w:rPr>
          <w:i/>
          <w:color w:val="000000"/>
        </w:rPr>
        <w:t>7 palātas tiesneši</w:t>
      </w:r>
      <w:r w:rsidRPr="0035547B">
        <w:rPr>
          <w:i/>
          <w:color w:val="000000"/>
        </w:rPr>
        <w:t>em</w:t>
      </w:r>
      <w:r w:rsidR="00762B3D" w:rsidRPr="0035547B">
        <w:rPr>
          <w:i/>
          <w:color w:val="000000"/>
        </w:rPr>
        <w:t xml:space="preserve"> kļūst</w:t>
      </w:r>
      <w:r w:rsidRPr="0035547B">
        <w:rPr>
          <w:i/>
          <w:color w:val="000000"/>
        </w:rPr>
        <w:t>ot</w:t>
      </w:r>
      <w:r w:rsidR="00762B3D" w:rsidRPr="0035547B">
        <w:rPr>
          <w:i/>
          <w:color w:val="000000"/>
        </w:rPr>
        <w:t xml:space="preserve"> par departamenta </w:t>
      </w:r>
      <w:r w:rsidR="00D05BF5" w:rsidRPr="0035547B">
        <w:rPr>
          <w:i/>
          <w:color w:val="000000"/>
        </w:rPr>
        <w:t>tiesnešiem – 7</w:t>
      </w:r>
      <w:r w:rsidR="00762B3D" w:rsidRPr="0035547B">
        <w:rPr>
          <w:i/>
          <w:color w:val="000000"/>
        </w:rPr>
        <w:t>737,48 euro</w:t>
      </w:r>
    </w:p>
    <w:p w:rsidR="00762B3D" w:rsidRPr="0035547B" w:rsidRDefault="00762B3D" w:rsidP="00762B3D">
      <w:pPr>
        <w:ind w:firstLine="720"/>
        <w:jc w:val="both"/>
        <w:rPr>
          <w:i/>
          <w:color w:val="000000"/>
        </w:rPr>
      </w:pPr>
      <w:r w:rsidRPr="0035547B">
        <w:rPr>
          <w:i/>
          <w:color w:val="000000"/>
        </w:rPr>
        <w:lastRenderedPageBreak/>
        <w:t xml:space="preserve">(departamenta un palātas tiesnešu algas atšķirība 3157,30-3001,66=155,64 euro x 6 tiesneši x 12 mēn. = </w:t>
      </w:r>
      <w:r w:rsidR="0094330C" w:rsidRPr="0035547B">
        <w:rPr>
          <w:i/>
          <w:color w:val="000000"/>
        </w:rPr>
        <w:t>-</w:t>
      </w:r>
      <w:r w:rsidRPr="0035547B">
        <w:rPr>
          <w:i/>
          <w:color w:val="000000"/>
        </w:rPr>
        <w:t>13073,76 euro)</w:t>
      </w:r>
    </w:p>
    <w:p w:rsidR="00762B3D" w:rsidRPr="0035547B" w:rsidRDefault="00762B3D" w:rsidP="00762B3D">
      <w:pPr>
        <w:ind w:firstLine="720"/>
        <w:jc w:val="both"/>
        <w:rPr>
          <w:i/>
          <w:color w:val="000000"/>
        </w:rPr>
      </w:pPr>
      <w:r w:rsidRPr="0035547B">
        <w:rPr>
          <w:i/>
          <w:color w:val="000000"/>
        </w:rPr>
        <w:t>(departamenta un palātas priekšsēdētāja algas atšķirība 3157,30-3446,35 =</w:t>
      </w:r>
      <w:r w:rsidR="00472A8E" w:rsidRPr="0035547B">
        <w:rPr>
          <w:i/>
          <w:color w:val="000000"/>
        </w:rPr>
        <w:t> -</w:t>
      </w:r>
      <w:r w:rsidRPr="0035547B">
        <w:rPr>
          <w:i/>
          <w:color w:val="000000"/>
        </w:rPr>
        <w:t>289,05 euro x 12 mēn. = 3468,60 euro)</w:t>
      </w:r>
    </w:p>
    <w:p w:rsidR="00762B3D" w:rsidRPr="0035547B" w:rsidRDefault="00762B3D" w:rsidP="00762B3D">
      <w:pPr>
        <w:ind w:firstLine="720"/>
        <w:jc w:val="both"/>
        <w:rPr>
          <w:i/>
          <w:color w:val="000000"/>
        </w:rPr>
      </w:pPr>
      <w:r w:rsidRPr="0035547B">
        <w:rPr>
          <w:i/>
          <w:color w:val="000000"/>
        </w:rPr>
        <w:t>Tiesnešu palīg</w:t>
      </w:r>
      <w:r w:rsidR="007A2449" w:rsidRPr="0035547B">
        <w:rPr>
          <w:i/>
          <w:color w:val="000000"/>
        </w:rPr>
        <w:t>u</w:t>
      </w:r>
      <w:r w:rsidRPr="0035547B">
        <w:rPr>
          <w:i/>
          <w:color w:val="000000"/>
        </w:rPr>
        <w:t xml:space="preserve"> </w:t>
      </w:r>
      <w:r w:rsidR="007A2449" w:rsidRPr="0035547B">
        <w:rPr>
          <w:i/>
          <w:color w:val="000000"/>
        </w:rPr>
        <w:t>a</w:t>
      </w:r>
      <w:r w:rsidRPr="0035547B">
        <w:rPr>
          <w:i/>
          <w:color w:val="000000"/>
        </w:rPr>
        <w:t xml:space="preserve">talgojuma palielinājums </w:t>
      </w:r>
      <w:r w:rsidR="0094330C" w:rsidRPr="0035547B">
        <w:rPr>
          <w:i/>
          <w:color w:val="000000"/>
        </w:rPr>
        <w:t>kļūstot par departamenta tiesne</w:t>
      </w:r>
      <w:r w:rsidR="000E3383" w:rsidRPr="0035547B">
        <w:rPr>
          <w:i/>
          <w:color w:val="000000"/>
        </w:rPr>
        <w:t xml:space="preserve">šiem </w:t>
      </w:r>
    </w:p>
    <w:p w:rsidR="00762B3D" w:rsidRPr="0035547B" w:rsidRDefault="00762B3D" w:rsidP="00762B3D">
      <w:pPr>
        <w:ind w:firstLine="720"/>
        <w:jc w:val="both"/>
        <w:rPr>
          <w:i/>
          <w:color w:val="000000"/>
        </w:rPr>
      </w:pPr>
      <w:r w:rsidRPr="0035547B">
        <w:rPr>
          <w:i/>
          <w:color w:val="000000"/>
        </w:rPr>
        <w:t>12 palātas tiesnešu palīgi (alga 910 euro) tiek pārcelti par departamenta tiesnešu palīgiem (alga 1160 euro) - (1160 euro - 910 euro) x 12 palīgi x 12 mēneši = 36000</w:t>
      </w:r>
      <w:r w:rsidR="000E3383" w:rsidRPr="0035547B">
        <w:rPr>
          <w:i/>
          <w:color w:val="000000"/>
        </w:rPr>
        <w:t> euro</w:t>
      </w:r>
      <w:r w:rsidRPr="0035547B">
        <w:rPr>
          <w:i/>
          <w:color w:val="000000"/>
        </w:rPr>
        <w:t> </w:t>
      </w:r>
    </w:p>
    <w:p w:rsidR="0094330C" w:rsidRPr="0035547B" w:rsidRDefault="0094330C" w:rsidP="00762B3D">
      <w:pPr>
        <w:ind w:firstLine="720"/>
        <w:jc w:val="both"/>
        <w:rPr>
          <w:i/>
          <w:color w:val="000000"/>
        </w:rPr>
      </w:pPr>
      <w:r w:rsidRPr="0035547B">
        <w:rPr>
          <w:i/>
          <w:color w:val="000000"/>
        </w:rPr>
        <w:t>Kopā ietaupījums atalgojumam (108</w:t>
      </w:r>
      <w:r w:rsidR="006C4764" w:rsidRPr="0035547B">
        <w:rPr>
          <w:i/>
          <w:color w:val="000000"/>
        </w:rPr>
        <w:t> </w:t>
      </w:r>
      <w:r w:rsidRPr="0035547B">
        <w:rPr>
          <w:i/>
          <w:color w:val="000000"/>
        </w:rPr>
        <w:t>060+68</w:t>
      </w:r>
      <w:r w:rsidR="006C4764" w:rsidRPr="0035547B">
        <w:rPr>
          <w:i/>
          <w:color w:val="000000"/>
        </w:rPr>
        <w:t> </w:t>
      </w:r>
      <w:r w:rsidRPr="0035547B">
        <w:rPr>
          <w:i/>
          <w:color w:val="000000"/>
        </w:rPr>
        <w:t>304,40-7</w:t>
      </w:r>
      <w:r w:rsidR="006C4764" w:rsidRPr="0035547B">
        <w:rPr>
          <w:i/>
          <w:color w:val="000000"/>
        </w:rPr>
        <w:t> </w:t>
      </w:r>
      <w:r w:rsidRPr="0035547B">
        <w:rPr>
          <w:i/>
          <w:color w:val="000000"/>
        </w:rPr>
        <w:t>737,48-36</w:t>
      </w:r>
      <w:r w:rsidR="006C4764" w:rsidRPr="0035547B">
        <w:rPr>
          <w:i/>
          <w:color w:val="000000"/>
        </w:rPr>
        <w:t> </w:t>
      </w:r>
      <w:r w:rsidRPr="0035547B">
        <w:rPr>
          <w:i/>
          <w:color w:val="000000"/>
        </w:rPr>
        <w:t>000) 132</w:t>
      </w:r>
      <w:r w:rsidR="000E3383" w:rsidRPr="0035547B">
        <w:rPr>
          <w:i/>
          <w:color w:val="000000"/>
        </w:rPr>
        <w:t> </w:t>
      </w:r>
      <w:r w:rsidRPr="0035547B">
        <w:rPr>
          <w:i/>
          <w:color w:val="000000"/>
        </w:rPr>
        <w:t>627</w:t>
      </w:r>
      <w:r w:rsidR="000E3383" w:rsidRPr="0035547B">
        <w:rPr>
          <w:i/>
          <w:color w:val="000000"/>
        </w:rPr>
        <w:t xml:space="preserve"> euro.</w:t>
      </w:r>
    </w:p>
    <w:p w:rsidR="00762B3D" w:rsidRPr="0035547B" w:rsidRDefault="000E3383" w:rsidP="00762B3D">
      <w:pPr>
        <w:ind w:firstLine="720"/>
        <w:jc w:val="both"/>
        <w:rPr>
          <w:i/>
          <w:color w:val="000000"/>
        </w:rPr>
      </w:pPr>
      <w:r w:rsidRPr="0035547B">
        <w:rPr>
          <w:i/>
          <w:color w:val="000000"/>
        </w:rPr>
        <w:t>2)</w:t>
      </w:r>
      <w:r w:rsidR="0094330C" w:rsidRPr="0035547B">
        <w:rPr>
          <w:i/>
          <w:color w:val="000000"/>
        </w:rPr>
        <w:t>Ietaupījums d</w:t>
      </w:r>
      <w:r w:rsidR="00762B3D" w:rsidRPr="0035547B">
        <w:rPr>
          <w:i/>
          <w:color w:val="000000"/>
        </w:rPr>
        <w:t>arba devēja valsts sociālās apdrošināšanas obligāt</w:t>
      </w:r>
      <w:r w:rsidR="0094330C" w:rsidRPr="0035547B">
        <w:rPr>
          <w:i/>
          <w:color w:val="000000"/>
        </w:rPr>
        <w:t>o</w:t>
      </w:r>
      <w:r w:rsidR="00762B3D" w:rsidRPr="0035547B">
        <w:rPr>
          <w:i/>
          <w:color w:val="000000"/>
        </w:rPr>
        <w:t xml:space="preserve"> iemaks</w:t>
      </w:r>
      <w:r w:rsidR="0094330C" w:rsidRPr="0035547B">
        <w:rPr>
          <w:i/>
          <w:color w:val="000000"/>
        </w:rPr>
        <w:t>u nodrošināšanai</w:t>
      </w:r>
      <w:r w:rsidR="007A2449" w:rsidRPr="0035547B">
        <w:rPr>
          <w:i/>
          <w:color w:val="000000"/>
        </w:rPr>
        <w:t>: 3</w:t>
      </w:r>
      <w:r w:rsidR="00762B3D" w:rsidRPr="0035547B">
        <w:rPr>
          <w:i/>
          <w:color w:val="000000"/>
        </w:rPr>
        <w:t>1</w:t>
      </w:r>
      <w:r w:rsidR="0094330C" w:rsidRPr="0035547B">
        <w:rPr>
          <w:i/>
          <w:color w:val="000000"/>
        </w:rPr>
        <w:t> </w:t>
      </w:r>
      <w:r w:rsidR="00762B3D" w:rsidRPr="0035547B">
        <w:rPr>
          <w:i/>
          <w:color w:val="000000"/>
        </w:rPr>
        <w:t>567</w:t>
      </w:r>
      <w:r w:rsidR="0094330C" w:rsidRPr="0035547B">
        <w:rPr>
          <w:i/>
          <w:color w:val="000000"/>
        </w:rPr>
        <w:t xml:space="preserve"> euro</w:t>
      </w:r>
    </w:p>
    <w:p w:rsidR="00762B3D" w:rsidRPr="0035547B" w:rsidRDefault="000E3383" w:rsidP="00762B3D">
      <w:pPr>
        <w:ind w:firstLine="720"/>
        <w:jc w:val="both"/>
        <w:rPr>
          <w:i/>
          <w:color w:val="000000"/>
        </w:rPr>
      </w:pPr>
      <w:r w:rsidRPr="0035547B">
        <w:rPr>
          <w:i/>
          <w:color w:val="000000"/>
        </w:rPr>
        <w:t>3)</w:t>
      </w:r>
      <w:r w:rsidR="0094330C" w:rsidRPr="0035547B">
        <w:rPr>
          <w:i/>
          <w:color w:val="000000"/>
        </w:rPr>
        <w:t>Ietaupījums preču</w:t>
      </w:r>
      <w:r w:rsidR="00762B3D" w:rsidRPr="0035547B">
        <w:rPr>
          <w:i/>
          <w:color w:val="000000"/>
        </w:rPr>
        <w:t xml:space="preserve"> un pakalpojumi</w:t>
      </w:r>
      <w:r w:rsidR="0094330C" w:rsidRPr="0035547B">
        <w:rPr>
          <w:i/>
          <w:color w:val="000000"/>
        </w:rPr>
        <w:t xml:space="preserve"> nodrošināšanai</w:t>
      </w:r>
      <w:r w:rsidR="00762B3D" w:rsidRPr="0035547B">
        <w:rPr>
          <w:i/>
          <w:color w:val="000000"/>
        </w:rPr>
        <w:t>: Materiāli tehniskais nodrošinājums 5 tiesnešiem</w:t>
      </w:r>
      <w:r w:rsidR="0094330C" w:rsidRPr="0035547B">
        <w:rPr>
          <w:i/>
          <w:color w:val="000000"/>
        </w:rPr>
        <w:t xml:space="preserve"> </w:t>
      </w:r>
      <w:r w:rsidR="00762B3D" w:rsidRPr="0035547B">
        <w:rPr>
          <w:i/>
          <w:color w:val="000000"/>
        </w:rPr>
        <w:t>930 euro</w:t>
      </w:r>
      <w:r w:rsidR="007A2449" w:rsidRPr="0035547B">
        <w:rPr>
          <w:i/>
          <w:color w:val="000000"/>
        </w:rPr>
        <w:t>.</w:t>
      </w:r>
    </w:p>
    <w:p w:rsidR="007C3B79" w:rsidRPr="0035547B" w:rsidRDefault="00D05BF5" w:rsidP="00762B3D">
      <w:pPr>
        <w:ind w:firstLine="720"/>
        <w:jc w:val="both"/>
        <w:rPr>
          <w:color w:val="000000"/>
        </w:rPr>
      </w:pPr>
      <w:r w:rsidRPr="0035547B">
        <w:rPr>
          <w:color w:val="000000"/>
        </w:rPr>
        <w:t xml:space="preserve">Kopā Augstākai tiesai veicot krimināllietu tiesu palātas reformu, likvidējot 5 vakantās tiesnešu amata vietas 2015. gadā, un turpmāk būs 165 124 </w:t>
      </w:r>
      <w:r w:rsidRPr="0035547B">
        <w:rPr>
          <w:i/>
          <w:color w:val="000000"/>
        </w:rPr>
        <w:t xml:space="preserve">euro </w:t>
      </w:r>
      <w:r w:rsidRPr="0035547B">
        <w:rPr>
          <w:color w:val="000000"/>
        </w:rPr>
        <w:t xml:space="preserve">ietaupījums, kuru var pārdalīt apgabaltiesām. </w:t>
      </w:r>
    </w:p>
    <w:p w:rsidR="00AA53D2" w:rsidRPr="0035547B" w:rsidRDefault="00AA53D2" w:rsidP="00E170C3">
      <w:pPr>
        <w:ind w:firstLine="720"/>
        <w:jc w:val="both"/>
        <w:rPr>
          <w:color w:val="000000"/>
        </w:rPr>
      </w:pPr>
      <w:bookmarkStart w:id="0" w:name="__RefHeading__7_1573766068"/>
      <w:bookmarkEnd w:id="0"/>
    </w:p>
    <w:p w:rsidR="0089389B" w:rsidRPr="0035547B" w:rsidRDefault="00CA318D" w:rsidP="00E170C3">
      <w:pPr>
        <w:ind w:firstLine="720"/>
        <w:jc w:val="both"/>
        <w:rPr>
          <w:color w:val="000000"/>
        </w:rPr>
      </w:pPr>
      <w:r w:rsidRPr="0035547B">
        <w:rPr>
          <w:color w:val="000000"/>
        </w:rPr>
        <w:t xml:space="preserve">Savukārt, atbilstoši </w:t>
      </w:r>
      <w:r w:rsidR="00DF4A3D" w:rsidRPr="0035547B">
        <w:rPr>
          <w:color w:val="000000"/>
        </w:rPr>
        <w:t xml:space="preserve">Tiesu administrācijas aprēķinam, lai izveidotu 5 apgabaltiesas tiesnešu sastāvus (1 tiesnesis, 1 tiesneša palīgs, 1 tiesas sēžu sekretārs) </w:t>
      </w:r>
      <w:r w:rsidRPr="0035547B">
        <w:rPr>
          <w:color w:val="000000"/>
        </w:rPr>
        <w:t xml:space="preserve">ir nepieciešams </w:t>
      </w:r>
      <w:r w:rsidR="00DF4A3D" w:rsidRPr="0035547B">
        <w:rPr>
          <w:color w:val="000000"/>
        </w:rPr>
        <w:t xml:space="preserve">izveidot 15 amata vietas un </w:t>
      </w:r>
      <w:r w:rsidRPr="0035547B">
        <w:rPr>
          <w:color w:val="000000"/>
        </w:rPr>
        <w:t>gad</w:t>
      </w:r>
      <w:r w:rsidR="00DF4A3D" w:rsidRPr="0035547B">
        <w:rPr>
          <w:color w:val="000000"/>
        </w:rPr>
        <w:t>ā šo amata vietu uzturēšanai</w:t>
      </w:r>
      <w:r w:rsidR="00762B3D" w:rsidRPr="0035547B">
        <w:rPr>
          <w:color w:val="000000"/>
        </w:rPr>
        <w:t xml:space="preserve"> būs</w:t>
      </w:r>
      <w:r w:rsidR="00DF4A3D" w:rsidRPr="0035547B">
        <w:rPr>
          <w:color w:val="000000"/>
        </w:rPr>
        <w:t xml:space="preserve"> nepieciešams 311 441</w:t>
      </w:r>
      <w:r w:rsidRPr="0035547B">
        <w:rPr>
          <w:color w:val="000000"/>
        </w:rPr>
        <w:t xml:space="preserve"> </w:t>
      </w:r>
      <w:r w:rsidR="00DF4A3D" w:rsidRPr="0035547B">
        <w:rPr>
          <w:i/>
          <w:color w:val="000000"/>
        </w:rPr>
        <w:t>euro</w:t>
      </w:r>
      <w:r w:rsidR="00DF4A3D" w:rsidRPr="0035547B">
        <w:rPr>
          <w:color w:val="000000"/>
        </w:rPr>
        <w:t xml:space="preserve"> </w:t>
      </w:r>
      <w:r w:rsidR="0089389B" w:rsidRPr="0035547B">
        <w:rPr>
          <w:color w:val="000000"/>
        </w:rPr>
        <w:t>t.sk.:</w:t>
      </w:r>
    </w:p>
    <w:p w:rsidR="0089389B" w:rsidRPr="0035547B" w:rsidRDefault="0089389B" w:rsidP="0089389B">
      <w:pPr>
        <w:ind w:firstLine="720"/>
        <w:jc w:val="both"/>
        <w:rPr>
          <w:i/>
          <w:color w:val="000000"/>
        </w:rPr>
      </w:pPr>
      <w:r w:rsidRPr="0035547B">
        <w:rPr>
          <w:i/>
          <w:color w:val="000000"/>
        </w:rPr>
        <w:t>Atlīdzība (EKK 1000): 287 456 euro</w:t>
      </w:r>
    </w:p>
    <w:p w:rsidR="0089389B" w:rsidRPr="0035547B" w:rsidRDefault="0089389B" w:rsidP="0089389B">
      <w:pPr>
        <w:ind w:firstLine="720"/>
        <w:jc w:val="both"/>
        <w:rPr>
          <w:i/>
          <w:color w:val="000000"/>
        </w:rPr>
      </w:pPr>
      <w:r w:rsidRPr="0035547B">
        <w:rPr>
          <w:i/>
          <w:color w:val="000000"/>
        </w:rPr>
        <w:t>1)Mēnešalga (EKK 1110): 190 584 euro</w:t>
      </w:r>
    </w:p>
    <w:p w:rsidR="0089389B" w:rsidRPr="0035547B" w:rsidRDefault="0089389B" w:rsidP="0089389B">
      <w:pPr>
        <w:ind w:firstLine="720"/>
        <w:jc w:val="both"/>
        <w:rPr>
          <w:i/>
          <w:color w:val="000000"/>
        </w:rPr>
      </w:pPr>
      <w:r w:rsidRPr="0035547B">
        <w:rPr>
          <w:i/>
          <w:color w:val="000000"/>
        </w:rPr>
        <w:t>5 apgabaltiesas tiesneša amata vietas x mēnešalga 1976,40 x 12 mēneši = 118 584 euro</w:t>
      </w:r>
    </w:p>
    <w:p w:rsidR="0089389B" w:rsidRPr="0035547B" w:rsidRDefault="0089389B" w:rsidP="0089389B">
      <w:pPr>
        <w:ind w:firstLine="720"/>
        <w:jc w:val="both"/>
        <w:rPr>
          <w:i/>
          <w:color w:val="000000"/>
        </w:rPr>
      </w:pPr>
      <w:r w:rsidRPr="0035547B">
        <w:rPr>
          <w:i/>
          <w:color w:val="000000"/>
        </w:rPr>
        <w:t>5 tiesneša palīga amata vietas (53.1 saime, IVA līmenis, 10.algu grupa) x mēnešalga 680 x 12 mēneši = 40 800 euro</w:t>
      </w:r>
    </w:p>
    <w:p w:rsidR="0089389B" w:rsidRPr="0035547B" w:rsidRDefault="0089389B" w:rsidP="0089389B">
      <w:pPr>
        <w:ind w:firstLine="720"/>
        <w:jc w:val="both"/>
        <w:rPr>
          <w:i/>
          <w:color w:val="000000"/>
        </w:rPr>
      </w:pPr>
      <w:r w:rsidRPr="0035547B">
        <w:rPr>
          <w:i/>
          <w:color w:val="000000"/>
        </w:rPr>
        <w:t>5 tiesas sēžu sekretāra amata vietas (53.1 saime, II līmenis, 7.algu grupa) x mēnešalga 520 x 12 mēneši = 31 200 euro</w:t>
      </w:r>
    </w:p>
    <w:p w:rsidR="0089389B" w:rsidRPr="0035547B" w:rsidRDefault="0089389B" w:rsidP="0089389B">
      <w:pPr>
        <w:ind w:firstLine="720"/>
        <w:jc w:val="both"/>
        <w:rPr>
          <w:i/>
          <w:color w:val="000000"/>
        </w:rPr>
      </w:pPr>
      <w:r w:rsidRPr="0035547B">
        <w:rPr>
          <w:i/>
          <w:color w:val="000000"/>
        </w:rPr>
        <w:t>2) Piemaksas un prēmijas (EKK 1140): EUR 39 302</w:t>
      </w:r>
    </w:p>
    <w:p w:rsidR="0089389B" w:rsidRPr="0035547B" w:rsidRDefault="0089389B" w:rsidP="0089389B">
      <w:pPr>
        <w:ind w:firstLine="720"/>
        <w:jc w:val="both"/>
        <w:rPr>
          <w:i/>
          <w:color w:val="000000"/>
        </w:rPr>
      </w:pPr>
      <w:r w:rsidRPr="0035547B">
        <w:rPr>
          <w:i/>
          <w:color w:val="000000"/>
        </w:rPr>
        <w:t>Piemaksa par izdienu tiesnešiem 24 902 euro</w:t>
      </w:r>
    </w:p>
    <w:p w:rsidR="0089389B" w:rsidRPr="0035547B" w:rsidRDefault="0089389B" w:rsidP="0089389B">
      <w:pPr>
        <w:ind w:firstLine="720"/>
        <w:jc w:val="both"/>
        <w:rPr>
          <w:i/>
          <w:color w:val="000000"/>
        </w:rPr>
      </w:pPr>
      <w:r w:rsidRPr="0035547B">
        <w:rPr>
          <w:i/>
          <w:color w:val="000000"/>
        </w:rPr>
        <w:t>Piemaksas, prēmijas un naudas balvas darbiniekiem - plānotā mēnešalgu kopsumma 72 000 euro x 10% vispārējām piemaksām un 10% prēmijām = 14 400 euro</w:t>
      </w:r>
    </w:p>
    <w:p w:rsidR="0089389B" w:rsidRPr="0035547B" w:rsidRDefault="0089389B" w:rsidP="0089389B">
      <w:pPr>
        <w:ind w:firstLine="720"/>
        <w:jc w:val="both"/>
        <w:rPr>
          <w:i/>
          <w:color w:val="000000"/>
        </w:rPr>
      </w:pPr>
      <w:r w:rsidRPr="0035547B">
        <w:rPr>
          <w:i/>
          <w:color w:val="000000"/>
        </w:rPr>
        <w:t>3) Veselības apdrošināšana (EKK 1220): 3 340 euro</w:t>
      </w:r>
    </w:p>
    <w:p w:rsidR="0089389B" w:rsidRPr="0035547B" w:rsidRDefault="0089389B" w:rsidP="0089389B">
      <w:pPr>
        <w:ind w:firstLine="720"/>
        <w:jc w:val="both"/>
        <w:rPr>
          <w:i/>
          <w:color w:val="000000"/>
        </w:rPr>
      </w:pPr>
      <w:r w:rsidRPr="0035547B">
        <w:rPr>
          <w:i/>
          <w:color w:val="000000"/>
        </w:rPr>
        <w:t>5 tiesneša amata vietas x EUR 242 = 1 210 euro</w:t>
      </w:r>
    </w:p>
    <w:p w:rsidR="0089389B" w:rsidRPr="0035547B" w:rsidRDefault="0089389B" w:rsidP="0089389B">
      <w:pPr>
        <w:ind w:firstLine="720"/>
        <w:jc w:val="both"/>
        <w:rPr>
          <w:i/>
          <w:color w:val="000000"/>
        </w:rPr>
      </w:pPr>
      <w:r w:rsidRPr="0035547B">
        <w:rPr>
          <w:i/>
          <w:color w:val="000000"/>
        </w:rPr>
        <w:t>10 tiesas darbinieku amata vietas x 213 = 2 130 euro</w:t>
      </w:r>
    </w:p>
    <w:p w:rsidR="0089389B" w:rsidRPr="0035547B" w:rsidRDefault="0089389B" w:rsidP="0089389B">
      <w:pPr>
        <w:ind w:firstLine="720"/>
        <w:jc w:val="both"/>
        <w:rPr>
          <w:i/>
          <w:color w:val="000000"/>
        </w:rPr>
      </w:pPr>
      <w:r w:rsidRPr="0035547B">
        <w:rPr>
          <w:i/>
          <w:color w:val="000000"/>
        </w:rPr>
        <w:t>4) Darba devēja valsts sociālās apdrošināšanas obligātās iemaksas (EKK1210): 54 230 euro</w:t>
      </w:r>
    </w:p>
    <w:p w:rsidR="0089389B" w:rsidRPr="0035547B" w:rsidRDefault="0089389B" w:rsidP="0089389B">
      <w:pPr>
        <w:ind w:firstLine="720"/>
        <w:jc w:val="both"/>
        <w:rPr>
          <w:i/>
          <w:color w:val="000000"/>
        </w:rPr>
      </w:pPr>
      <w:r w:rsidRPr="0035547B">
        <w:rPr>
          <w:i/>
          <w:color w:val="000000"/>
        </w:rPr>
        <w:t>Preces un pakalpojumi (EKK 2000): 23 985 euro</w:t>
      </w:r>
    </w:p>
    <w:p w:rsidR="0089389B" w:rsidRPr="0035547B" w:rsidRDefault="0089389B" w:rsidP="0089389B">
      <w:pPr>
        <w:ind w:firstLine="720"/>
        <w:jc w:val="both"/>
        <w:rPr>
          <w:i/>
          <w:color w:val="000000"/>
        </w:rPr>
      </w:pPr>
      <w:r w:rsidRPr="0035547B">
        <w:rPr>
          <w:i/>
          <w:color w:val="000000"/>
        </w:rPr>
        <w:t>1)Pasta, telefona un citi sakaru pakalpojumi: 5 880 euro</w:t>
      </w:r>
    </w:p>
    <w:p w:rsidR="0089389B" w:rsidRPr="0035547B" w:rsidRDefault="0089389B" w:rsidP="0089389B">
      <w:pPr>
        <w:ind w:firstLine="720"/>
        <w:jc w:val="both"/>
        <w:rPr>
          <w:i/>
          <w:color w:val="000000"/>
        </w:rPr>
      </w:pPr>
      <w:r w:rsidRPr="0035547B">
        <w:rPr>
          <w:i/>
          <w:color w:val="000000"/>
        </w:rPr>
        <w:t>2)Izdevumi par komunālajiem pakalpojumiem: 3 420 euro</w:t>
      </w:r>
    </w:p>
    <w:p w:rsidR="0089389B" w:rsidRPr="0035547B" w:rsidRDefault="0089389B" w:rsidP="0089389B">
      <w:pPr>
        <w:ind w:firstLine="720"/>
        <w:jc w:val="both"/>
        <w:rPr>
          <w:i/>
          <w:color w:val="000000"/>
        </w:rPr>
      </w:pPr>
      <w:r w:rsidRPr="0035547B">
        <w:rPr>
          <w:i/>
          <w:color w:val="000000"/>
        </w:rPr>
        <w:t>3)Ar iestādes pārstāvību, iestādes darbības un veicamo funkciju nodrošināšanu saistītie pakalpojumi: 3 885 euro</w:t>
      </w:r>
    </w:p>
    <w:p w:rsidR="0089389B" w:rsidRPr="0035547B" w:rsidRDefault="0089389B" w:rsidP="0089389B">
      <w:pPr>
        <w:ind w:firstLine="720"/>
        <w:jc w:val="both"/>
        <w:rPr>
          <w:i/>
          <w:color w:val="000000"/>
        </w:rPr>
      </w:pPr>
      <w:r w:rsidRPr="0035547B">
        <w:rPr>
          <w:i/>
          <w:color w:val="000000"/>
        </w:rPr>
        <w:t>4)Iekārtas, inventāra un aparatūras remonts, tehniskā apkalpošana, datortehnikas apkalpošana, servera uzturēšana: 1 260 euro</w:t>
      </w:r>
    </w:p>
    <w:p w:rsidR="0089389B" w:rsidRPr="0035547B" w:rsidRDefault="0089389B" w:rsidP="0089389B">
      <w:pPr>
        <w:ind w:firstLine="720"/>
        <w:jc w:val="both"/>
        <w:rPr>
          <w:i/>
          <w:color w:val="000000"/>
        </w:rPr>
      </w:pPr>
      <w:r w:rsidRPr="0035547B">
        <w:rPr>
          <w:i/>
          <w:color w:val="000000"/>
        </w:rPr>
        <w:t>5)Informācijas tehnoloģijas pakalpojumi: 4 140 euro</w:t>
      </w:r>
    </w:p>
    <w:p w:rsidR="0089389B" w:rsidRPr="0035547B" w:rsidRDefault="0089389B" w:rsidP="0089389B">
      <w:pPr>
        <w:ind w:firstLine="720"/>
        <w:jc w:val="both"/>
        <w:rPr>
          <w:i/>
          <w:color w:val="000000"/>
        </w:rPr>
      </w:pPr>
      <w:r w:rsidRPr="0035547B">
        <w:rPr>
          <w:i/>
          <w:color w:val="000000"/>
        </w:rPr>
        <w:t>6)Biroja preces: 4 500 euro</w:t>
      </w:r>
    </w:p>
    <w:p w:rsidR="0089389B" w:rsidRPr="0035547B" w:rsidRDefault="0089389B" w:rsidP="0089389B">
      <w:pPr>
        <w:ind w:firstLine="720"/>
        <w:jc w:val="both"/>
        <w:rPr>
          <w:i/>
          <w:color w:val="000000"/>
        </w:rPr>
      </w:pPr>
      <w:r w:rsidRPr="0035547B">
        <w:rPr>
          <w:i/>
          <w:color w:val="000000"/>
        </w:rPr>
        <w:t>7)Kārtējā remonta un iestāžu uzturēšanas izdevumi: 900 euro</w:t>
      </w:r>
    </w:p>
    <w:p w:rsidR="00762B3D" w:rsidRPr="0035547B" w:rsidRDefault="003E1C5D" w:rsidP="0089389B">
      <w:pPr>
        <w:ind w:firstLine="720"/>
        <w:jc w:val="both"/>
        <w:rPr>
          <w:color w:val="000000"/>
        </w:rPr>
      </w:pPr>
      <w:r w:rsidRPr="0035547B">
        <w:rPr>
          <w:color w:val="000000"/>
        </w:rPr>
        <w:t xml:space="preserve">Darba vietas iekārtošanai un aprīkojuma iegādei 33 340 </w:t>
      </w:r>
      <w:r w:rsidRPr="0035547B">
        <w:rPr>
          <w:i/>
          <w:color w:val="000000"/>
        </w:rPr>
        <w:t>euro.</w:t>
      </w:r>
      <w:r w:rsidRPr="0035547B">
        <w:rPr>
          <w:color w:val="000000"/>
        </w:rPr>
        <w:t xml:space="preserve"> </w:t>
      </w:r>
    </w:p>
    <w:p w:rsidR="00B83995" w:rsidRPr="0035547B" w:rsidRDefault="003E1C5D" w:rsidP="00E170C3">
      <w:pPr>
        <w:ind w:firstLine="720"/>
        <w:jc w:val="both"/>
        <w:rPr>
          <w:b/>
          <w:i/>
          <w:color w:val="000000"/>
        </w:rPr>
      </w:pPr>
      <w:r w:rsidRPr="0035547B">
        <w:rPr>
          <w:b/>
          <w:color w:val="000000"/>
        </w:rPr>
        <w:t xml:space="preserve">Līdz ar to, ņemot vērā līdzekļu pārdali no Augstākās tiesas uz apgabaltiesām 165 124 </w:t>
      </w:r>
      <w:r w:rsidRPr="0035547B">
        <w:rPr>
          <w:b/>
          <w:i/>
          <w:color w:val="000000"/>
        </w:rPr>
        <w:t>euro</w:t>
      </w:r>
      <w:r w:rsidRPr="0035547B">
        <w:rPr>
          <w:b/>
          <w:color w:val="000000"/>
        </w:rPr>
        <w:t xml:space="preserve"> apmērā</w:t>
      </w:r>
      <w:r w:rsidR="00E170C3" w:rsidRPr="0035547B">
        <w:rPr>
          <w:b/>
          <w:color w:val="000000"/>
        </w:rPr>
        <w:t>,</w:t>
      </w:r>
      <w:r w:rsidRPr="0035547B">
        <w:rPr>
          <w:b/>
          <w:color w:val="000000"/>
        </w:rPr>
        <w:t xml:space="preserve"> papildu nepieciešamais finansējums no valsts budžeta līdzekļiem </w:t>
      </w:r>
      <w:r w:rsidR="00D05BF5" w:rsidRPr="0035547B">
        <w:rPr>
          <w:b/>
          <w:color w:val="000000"/>
        </w:rPr>
        <w:lastRenderedPageBreak/>
        <w:t>2015. gadā</w:t>
      </w:r>
      <w:r w:rsidRPr="0035547B">
        <w:rPr>
          <w:b/>
          <w:color w:val="000000"/>
        </w:rPr>
        <w:t xml:space="preserve"> ir 179 657 </w:t>
      </w:r>
      <w:r w:rsidRPr="0035547B">
        <w:rPr>
          <w:b/>
          <w:i/>
          <w:color w:val="000000"/>
        </w:rPr>
        <w:t>euro</w:t>
      </w:r>
      <w:r w:rsidR="00D05BF5" w:rsidRPr="0035547B">
        <w:rPr>
          <w:b/>
          <w:color w:val="000000"/>
        </w:rPr>
        <w:t xml:space="preserve"> </w:t>
      </w:r>
      <w:r w:rsidRPr="0035547B">
        <w:rPr>
          <w:b/>
          <w:color w:val="000000"/>
        </w:rPr>
        <w:t xml:space="preserve">(311 441 </w:t>
      </w:r>
      <w:r w:rsidRPr="0035547B">
        <w:rPr>
          <w:b/>
          <w:i/>
          <w:color w:val="000000"/>
        </w:rPr>
        <w:t>euro</w:t>
      </w:r>
      <w:r w:rsidRPr="0035547B">
        <w:rPr>
          <w:b/>
          <w:color w:val="000000"/>
        </w:rPr>
        <w:t xml:space="preserve"> – 165 124 </w:t>
      </w:r>
      <w:r w:rsidRPr="0035547B">
        <w:rPr>
          <w:b/>
          <w:i/>
          <w:color w:val="000000"/>
        </w:rPr>
        <w:t>euro</w:t>
      </w:r>
      <w:r w:rsidRPr="0035547B">
        <w:rPr>
          <w:b/>
          <w:color w:val="000000"/>
        </w:rPr>
        <w:t xml:space="preserve"> + 33 340 </w:t>
      </w:r>
      <w:r w:rsidRPr="0035547B">
        <w:rPr>
          <w:b/>
          <w:i/>
          <w:color w:val="000000"/>
        </w:rPr>
        <w:t>euro</w:t>
      </w:r>
      <w:r w:rsidR="00E170C3" w:rsidRPr="0035547B">
        <w:rPr>
          <w:b/>
          <w:i/>
          <w:color w:val="000000"/>
        </w:rPr>
        <w:t xml:space="preserve">), </w:t>
      </w:r>
      <w:r w:rsidR="00E170C3" w:rsidRPr="0035547B">
        <w:rPr>
          <w:b/>
          <w:color w:val="000000"/>
        </w:rPr>
        <w:t xml:space="preserve">2016. gadā un turpmāk 146 317 (311 441 </w:t>
      </w:r>
      <w:r w:rsidR="00E170C3" w:rsidRPr="0035547B">
        <w:rPr>
          <w:b/>
          <w:i/>
          <w:color w:val="000000"/>
        </w:rPr>
        <w:t>euro</w:t>
      </w:r>
      <w:r w:rsidR="00E170C3" w:rsidRPr="0035547B">
        <w:rPr>
          <w:b/>
          <w:color w:val="000000"/>
        </w:rPr>
        <w:t xml:space="preserve"> – 165 124 </w:t>
      </w:r>
      <w:r w:rsidR="00E170C3" w:rsidRPr="0035547B">
        <w:rPr>
          <w:b/>
          <w:i/>
          <w:color w:val="000000"/>
        </w:rPr>
        <w:t>euro</w:t>
      </w:r>
      <w:r w:rsidR="00E170C3" w:rsidRPr="0035547B">
        <w:rPr>
          <w:b/>
          <w:color w:val="000000"/>
        </w:rPr>
        <w:t>)</w:t>
      </w:r>
      <w:r w:rsidR="00E170C3" w:rsidRPr="0035547B">
        <w:rPr>
          <w:b/>
          <w:i/>
          <w:color w:val="000000"/>
        </w:rPr>
        <w:t>.</w:t>
      </w:r>
    </w:p>
    <w:p w:rsidR="006F39C2" w:rsidRPr="0035547B" w:rsidRDefault="006F39C2" w:rsidP="00E170C3">
      <w:pPr>
        <w:ind w:firstLine="720"/>
        <w:jc w:val="both"/>
        <w:rPr>
          <w:b/>
          <w:i/>
          <w:color w:val="000000"/>
        </w:rPr>
      </w:pPr>
    </w:p>
    <w:p w:rsidR="0014077C" w:rsidRPr="0035547B" w:rsidRDefault="0014077C" w:rsidP="00E170C3">
      <w:pPr>
        <w:ind w:firstLine="720"/>
        <w:jc w:val="both"/>
        <w:rPr>
          <w:b/>
          <w:i/>
          <w:color w:val="000000"/>
        </w:rPr>
      </w:pPr>
    </w:p>
    <w:p w:rsidR="007C3B79" w:rsidRPr="0035547B" w:rsidRDefault="006F39C2" w:rsidP="00185926">
      <w:pPr>
        <w:ind w:firstLine="709"/>
        <w:jc w:val="both"/>
        <w:rPr>
          <w:b/>
          <w:color w:val="000000"/>
          <w:sz w:val="26"/>
          <w:szCs w:val="26"/>
        </w:rPr>
      </w:pPr>
      <w:r w:rsidRPr="0035547B">
        <w:rPr>
          <w:b/>
          <w:color w:val="000000"/>
          <w:sz w:val="26"/>
          <w:szCs w:val="26"/>
        </w:rPr>
        <w:t>5</w:t>
      </w:r>
      <w:r w:rsidR="00185926" w:rsidRPr="0035547B">
        <w:rPr>
          <w:b/>
          <w:color w:val="000000"/>
          <w:sz w:val="26"/>
          <w:szCs w:val="26"/>
        </w:rPr>
        <w:t>. </w:t>
      </w:r>
      <w:r w:rsidR="00C160BE" w:rsidRPr="0035547B">
        <w:rPr>
          <w:b/>
          <w:color w:val="000000"/>
          <w:sz w:val="26"/>
          <w:szCs w:val="26"/>
        </w:rPr>
        <w:t>Kopsavilkums</w:t>
      </w:r>
    </w:p>
    <w:p w:rsidR="00FC6CC0" w:rsidRPr="0035547B" w:rsidRDefault="00FC6CC0" w:rsidP="00185926">
      <w:pPr>
        <w:ind w:firstLine="709"/>
        <w:jc w:val="both"/>
        <w:rPr>
          <w:b/>
          <w:color w:val="000000"/>
          <w:sz w:val="26"/>
          <w:szCs w:val="26"/>
        </w:rPr>
      </w:pPr>
    </w:p>
    <w:p w:rsidR="00FC6CC0" w:rsidRPr="0035547B" w:rsidRDefault="00FC6CC0" w:rsidP="00FC6CC0">
      <w:pPr>
        <w:jc w:val="both"/>
        <w:rPr>
          <w:color w:val="000000"/>
        </w:rPr>
      </w:pPr>
      <w:r w:rsidRPr="0035547B">
        <w:rPr>
          <w:color w:val="000000"/>
        </w:rPr>
        <w:t xml:space="preserve">1. Augstākās tiesas Krimināllietu tiesu palātas darbību iespējams izbeigt likumā noteiktajā termiņā – </w:t>
      </w:r>
      <w:r w:rsidR="00D05BF5" w:rsidRPr="0035547B">
        <w:rPr>
          <w:color w:val="000000"/>
        </w:rPr>
        <w:t>2014. gada</w:t>
      </w:r>
      <w:r w:rsidRPr="0035547B">
        <w:rPr>
          <w:color w:val="000000"/>
        </w:rPr>
        <w:t xml:space="preserve"> </w:t>
      </w:r>
      <w:r w:rsidR="00D05BF5" w:rsidRPr="0035547B">
        <w:rPr>
          <w:color w:val="000000"/>
        </w:rPr>
        <w:t>31. decembrī</w:t>
      </w:r>
      <w:r w:rsidRPr="0035547B">
        <w:rPr>
          <w:color w:val="000000"/>
        </w:rPr>
        <w:t xml:space="preserve">. </w:t>
      </w:r>
      <w:r w:rsidR="00D05BF5" w:rsidRPr="0035547B">
        <w:rPr>
          <w:color w:val="000000"/>
        </w:rPr>
        <w:t>Paralēli</w:t>
      </w:r>
      <w:r w:rsidRPr="0035547B">
        <w:rPr>
          <w:color w:val="000000"/>
        </w:rPr>
        <w:t xml:space="preserve"> turpināms iesāktais darbs pie tiesu kompetenču pārdales starp tiesu instancēm civillietās, nodrošinot Augstākās tiesas Civillietu tiesu palātas darba izbeigšanu </w:t>
      </w:r>
      <w:r w:rsidR="00D05BF5" w:rsidRPr="0035547B">
        <w:rPr>
          <w:color w:val="000000"/>
        </w:rPr>
        <w:t>2016. gada</w:t>
      </w:r>
      <w:r w:rsidRPr="0035547B">
        <w:rPr>
          <w:color w:val="000000"/>
        </w:rPr>
        <w:t xml:space="preserve"> </w:t>
      </w:r>
      <w:r w:rsidR="00D05BF5" w:rsidRPr="0035547B">
        <w:rPr>
          <w:color w:val="000000"/>
        </w:rPr>
        <w:t>31. decembrī</w:t>
      </w:r>
      <w:r w:rsidRPr="0035547B">
        <w:rPr>
          <w:color w:val="000000"/>
        </w:rPr>
        <w:t>.</w:t>
      </w:r>
    </w:p>
    <w:p w:rsidR="00FC6CC0" w:rsidRPr="0035547B" w:rsidRDefault="00FC6CC0" w:rsidP="00FC6CC0">
      <w:pPr>
        <w:jc w:val="both"/>
        <w:rPr>
          <w:color w:val="000000"/>
        </w:rPr>
      </w:pPr>
    </w:p>
    <w:p w:rsidR="00EA13B6" w:rsidRPr="0035547B" w:rsidRDefault="00FC6CC0" w:rsidP="00FC6CC0">
      <w:pPr>
        <w:jc w:val="both"/>
        <w:rPr>
          <w:color w:val="000000"/>
        </w:rPr>
      </w:pPr>
      <w:r w:rsidRPr="0035547B">
        <w:t xml:space="preserve">2. </w:t>
      </w:r>
      <w:r w:rsidR="00EA13B6" w:rsidRPr="0035547B">
        <w:t xml:space="preserve">Lielākais eventuālais risks saistībā ar tiesībām uz lietas izskatīšanu saprātīgā termiņā attiecināms uz tām Augstākās tiesas Krimināllietu tiesu palātas tiesvedībā esošām krimināllietām, kurās līdz </w:t>
      </w:r>
      <w:r w:rsidR="00D05BF5" w:rsidRPr="0035547B">
        <w:t>2014. gada</w:t>
      </w:r>
      <w:r w:rsidR="00EA13B6" w:rsidRPr="0035547B">
        <w:t xml:space="preserve"> </w:t>
      </w:r>
      <w:r w:rsidR="00D05BF5" w:rsidRPr="0035547B">
        <w:t>1. jūlijam</w:t>
      </w:r>
      <w:r w:rsidR="00EA13B6" w:rsidRPr="0035547B">
        <w:t xml:space="preserve"> ir tikusi uzsākta tiesas izmeklēšana. </w:t>
      </w:r>
      <w:r w:rsidR="00EA13B6" w:rsidRPr="0035547B">
        <w:rPr>
          <w:color w:val="000000"/>
        </w:rPr>
        <w:t>Kā izriet no Augstākās tiesas sniegtās informācijas, Augstākās tiesas Krimināllietu tiesu palātā izskatīšanā šobrīd (pēc lietu nodošanas apgabaltiesām saskaņā ar Kriminālprocesa likuma pārejas noteikumu prasībām) ir 31 krimināllieta. Visās šajās lietā ir noteikta lietas izskatīšana uz šī gada septembri un oktobri, vienā gadījumā uz novembri. Ievērojot minēto, ir pamats pieņemt, ka visu šo lietu izskatīšana varētu tikt pabeigta līdz šī gada beigām, kad darbu beidz Augstākās tiesas Krimināllietu tiesu palāta. Tomēr, kā jau minēts iepriekš, lietu iztiesāšanas gaitu var ietekmēt, vairāki faktori, tai skaitā procesa dalībnieku nevērīga attieksme pret to procesuālajiem pienākumiem vai tiem piešķirto tiesību ļaunprātīga izmantošana ar mērķi tīši kavēt tiesas procesu. Šādos gadījumos ir ņemama vērā arī pašu procesa dalībnieku attieksme un tiesību uz lietas izskatīšanu saprātīgā termiņā pārkāpums nebūtu konstatējams.</w:t>
      </w:r>
    </w:p>
    <w:p w:rsidR="00FC6CC0" w:rsidRPr="0035547B" w:rsidRDefault="00FC6CC0" w:rsidP="00FC6CC0">
      <w:pPr>
        <w:pStyle w:val="Sarakstarindkopa"/>
        <w:tabs>
          <w:tab w:val="left" w:pos="1134"/>
        </w:tabs>
        <w:ind w:left="709"/>
        <w:jc w:val="both"/>
        <w:rPr>
          <w:color w:val="000000"/>
        </w:rPr>
      </w:pPr>
    </w:p>
    <w:p w:rsidR="005563BB" w:rsidRPr="0035547B" w:rsidRDefault="00FC6CC0" w:rsidP="00FC6CC0">
      <w:pPr>
        <w:tabs>
          <w:tab w:val="left" w:pos="1134"/>
        </w:tabs>
        <w:jc w:val="both"/>
        <w:rPr>
          <w:color w:val="000000"/>
        </w:rPr>
      </w:pPr>
      <w:r w:rsidRPr="0035547B">
        <w:t xml:space="preserve">3. </w:t>
      </w:r>
      <w:r w:rsidR="00A85C04" w:rsidRPr="0035547B">
        <w:t>Augstākās tiesas reforma un tās noteiktās tiesnešu skaita izmaiņas Augstākajā tiesā n</w:t>
      </w:r>
      <w:r w:rsidR="00230B7F" w:rsidRPr="0035547B">
        <w:t>evar būt</w:t>
      </w:r>
      <w:r w:rsidR="00A85C04" w:rsidRPr="0035547B">
        <w:t xml:space="preserve"> pamats tiesneša atbrīvošanai no amata. </w:t>
      </w:r>
      <w:r w:rsidR="005563BB" w:rsidRPr="0035547B">
        <w:t>R</w:t>
      </w:r>
      <w:r w:rsidR="00A85C04" w:rsidRPr="0035547B">
        <w:t xml:space="preserve">isināms jautājums par Augstākās tiesas Krimināllietu tiesu palātas tiesnešu turpmāko karjeru. Šobrīd likumā „Par tiesu varu” paredzēti risinājumi ir </w:t>
      </w:r>
      <w:r w:rsidR="00EE68D7" w:rsidRPr="0035547B">
        <w:rPr>
          <w:color w:val="000000"/>
        </w:rPr>
        <w:t>–</w:t>
      </w:r>
      <w:r w:rsidR="00A85C04" w:rsidRPr="0035547B">
        <w:t xml:space="preserve"> pāriešana, pārcelšana vai norīkošana.</w:t>
      </w:r>
      <w:r w:rsidR="00E048AC" w:rsidRPr="0035547B">
        <w:t xml:space="preserve"> Tiesneša pārcelšanas, gan norīkošanas gadījumā normatīvie akti paredz, ka tiesnesim ir saglabājama atlīdzība vismaz iepriekšējā līmenī.</w:t>
      </w:r>
      <w:r w:rsidR="00EA13B6" w:rsidRPr="0035547B">
        <w:t xml:space="preserve"> </w:t>
      </w:r>
      <w:r w:rsidR="00E048AC" w:rsidRPr="0035547B">
        <w:rPr>
          <w:color w:val="000000"/>
        </w:rPr>
        <w:t>Atsaucoties Augstākās tie</w:t>
      </w:r>
      <w:r w:rsidR="00EA13B6" w:rsidRPr="0035547B">
        <w:rPr>
          <w:color w:val="000000"/>
        </w:rPr>
        <w:t>sas ierosinājumam, kā risinājumu</w:t>
      </w:r>
      <w:r w:rsidR="00E048AC" w:rsidRPr="0035547B">
        <w:rPr>
          <w:color w:val="000000"/>
        </w:rPr>
        <w:t xml:space="preserve"> sadarbībā ar Labklājības ministriju </w:t>
      </w:r>
      <w:r w:rsidR="00BF0DE5" w:rsidRPr="0035547B">
        <w:rPr>
          <w:color w:val="000000"/>
        </w:rPr>
        <w:t>nepieciešam</w:t>
      </w:r>
      <w:r w:rsidR="00FF3FD9" w:rsidRPr="0035547B">
        <w:rPr>
          <w:color w:val="000000"/>
        </w:rPr>
        <w:t xml:space="preserve">s izvērtēt un izstrādāt kārtību, lai nodrošinātu </w:t>
      </w:r>
      <w:r w:rsidR="00521F39" w:rsidRPr="0035547B">
        <w:rPr>
          <w:color w:val="000000"/>
        </w:rPr>
        <w:t>tiesības šādam tiesnesim</w:t>
      </w:r>
      <w:r w:rsidR="00FF3FD9" w:rsidRPr="0035547B">
        <w:rPr>
          <w:color w:val="000000"/>
        </w:rPr>
        <w:t xml:space="preserve"> uzreiz</w:t>
      </w:r>
      <w:r w:rsidR="00521F39" w:rsidRPr="0035547B">
        <w:rPr>
          <w:color w:val="000000"/>
        </w:rPr>
        <w:t xml:space="preserve"> doties pirmstermiņa izdienas pensijā.</w:t>
      </w:r>
    </w:p>
    <w:p w:rsidR="00FC6CC0" w:rsidRPr="0035547B" w:rsidRDefault="00FC6CC0" w:rsidP="00FC6CC0">
      <w:pPr>
        <w:tabs>
          <w:tab w:val="left" w:pos="1134"/>
        </w:tabs>
        <w:jc w:val="both"/>
        <w:rPr>
          <w:color w:val="000000"/>
        </w:rPr>
      </w:pPr>
    </w:p>
    <w:p w:rsidR="00A85C04" w:rsidRPr="0035547B" w:rsidRDefault="00FC6CC0" w:rsidP="00FC6CC0">
      <w:pPr>
        <w:tabs>
          <w:tab w:val="left" w:pos="1134"/>
        </w:tabs>
        <w:jc w:val="both"/>
        <w:rPr>
          <w:color w:val="000000"/>
        </w:rPr>
      </w:pPr>
      <w:r w:rsidRPr="0035547B">
        <w:rPr>
          <w:color w:val="000000"/>
        </w:rPr>
        <w:t xml:space="preserve">4. </w:t>
      </w:r>
      <w:r w:rsidR="00D05BF5" w:rsidRPr="0035547B">
        <w:rPr>
          <w:color w:val="000000"/>
        </w:rPr>
        <w:t>Ievērojot starptautiskajās rekomendācijās (skatīt iepriekš) nostiprinātos pieļaujamās rīcības ietvarus, par atbilstošu papildu risinājumu varētu tikt atzīta tiesneša pārcelšana vai norīkošana citā tiesā bez viņa piekrišanas, ja tam piekritusi Tieslietu padome, un saglabājot viņam iepriekš noteikto mēnešalgu un izdienas piemaksu.</w:t>
      </w:r>
    </w:p>
    <w:p w:rsidR="00FC6CC0" w:rsidRPr="0035547B" w:rsidRDefault="00FC6CC0" w:rsidP="00FC6CC0">
      <w:pPr>
        <w:tabs>
          <w:tab w:val="left" w:pos="1134"/>
        </w:tabs>
        <w:jc w:val="both"/>
        <w:rPr>
          <w:color w:val="000000"/>
        </w:rPr>
      </w:pPr>
    </w:p>
    <w:p w:rsidR="00FC6CC0" w:rsidRPr="0035547B" w:rsidRDefault="00FC6CC0" w:rsidP="00FC6CC0">
      <w:pPr>
        <w:tabs>
          <w:tab w:val="left" w:pos="1134"/>
        </w:tabs>
        <w:jc w:val="both"/>
      </w:pPr>
      <w:r w:rsidRPr="0035547B">
        <w:rPr>
          <w:color w:val="000000"/>
        </w:rPr>
        <w:t xml:space="preserve">5. </w:t>
      </w:r>
      <w:r w:rsidR="00EF0361" w:rsidRPr="0035547B">
        <w:rPr>
          <w:color w:val="000000"/>
        </w:rPr>
        <w:t xml:space="preserve">Augstākās tiesas Krimināllietu tiesu palātas likvidācija būs saistīta </w:t>
      </w:r>
      <w:r w:rsidR="007D6CC5" w:rsidRPr="0035547B">
        <w:rPr>
          <w:color w:val="000000"/>
        </w:rPr>
        <w:t>resursu pārdali starp Augstākās tiesas un</w:t>
      </w:r>
      <w:r w:rsidR="005213BE" w:rsidRPr="0035547B">
        <w:rPr>
          <w:color w:val="000000"/>
        </w:rPr>
        <w:t xml:space="preserve"> Tiesu administrācijas budžetu</w:t>
      </w:r>
      <w:r w:rsidR="00C72C8F" w:rsidRPr="0035547B">
        <w:rPr>
          <w:color w:val="000000"/>
        </w:rPr>
        <w:t xml:space="preserve">. </w:t>
      </w:r>
      <w:r w:rsidR="0058171F" w:rsidRPr="0035547B">
        <w:rPr>
          <w:color w:val="000000"/>
        </w:rPr>
        <w:t>Tāpat reformas ieviešana būs saistīta ar papildu finansējuma nepieciešamību sakarā ar to, ka daļa no palātas tiesnešu vietām tiek pārveidotas par departamenta tiesneša vietām. Saskaņā ar Atlīdzības likumu palātas tiesneša mēnešalgas noteikšanai piemērojamais koeficients ir mazāks, nekā departamenta tiesneša algas noteikšanai. Ievērojot minēto, ir nepieciešams papildu resurss šīs starpības segšanai. Ņemot vērā, ka Augstākā tiesa, lai nosegtu šo atalgo</w:t>
      </w:r>
      <w:r w:rsidRPr="0035547B">
        <w:rPr>
          <w:color w:val="000000"/>
        </w:rPr>
        <w:t>juma starpību, kā arī finansētu</w:t>
      </w:r>
      <w:r w:rsidR="0058171F" w:rsidRPr="0035547B">
        <w:rPr>
          <w:color w:val="000000"/>
        </w:rPr>
        <w:t xml:space="preserve"> citus </w:t>
      </w:r>
      <w:r w:rsidRPr="0035547B">
        <w:rPr>
          <w:color w:val="000000"/>
        </w:rPr>
        <w:t xml:space="preserve">Augstākās tiesas </w:t>
      </w:r>
      <w:r w:rsidR="0058171F" w:rsidRPr="0035547B">
        <w:rPr>
          <w:color w:val="000000"/>
        </w:rPr>
        <w:t>kapacitātes stiprināšanas pasākumus, šo finansējumu ietur no tiem finanšu līdzekļiem, kas paredzēti amata vietām, k</w:t>
      </w:r>
      <w:r w:rsidRPr="0035547B">
        <w:rPr>
          <w:color w:val="000000"/>
        </w:rPr>
        <w:t>uras</w:t>
      </w:r>
      <w:r w:rsidR="0058171F" w:rsidRPr="0035547B">
        <w:rPr>
          <w:color w:val="000000"/>
        </w:rPr>
        <w:t xml:space="preserve"> </w:t>
      </w:r>
      <w:r w:rsidRPr="0035547B">
        <w:rPr>
          <w:color w:val="000000"/>
        </w:rPr>
        <w:t>plānots nodot</w:t>
      </w:r>
      <w:r w:rsidR="0058171F" w:rsidRPr="0035547B">
        <w:rPr>
          <w:color w:val="000000"/>
        </w:rPr>
        <w:t xml:space="preserve"> apgabaltiesā</w:t>
      </w:r>
      <w:r w:rsidRPr="0035547B">
        <w:rPr>
          <w:color w:val="000000"/>
        </w:rPr>
        <w:t>m</w:t>
      </w:r>
      <w:r w:rsidR="0058171F" w:rsidRPr="0035547B">
        <w:rPr>
          <w:color w:val="000000"/>
        </w:rPr>
        <w:t>, Tiesu administrācija nepieciešams lūgt papi</w:t>
      </w:r>
      <w:r w:rsidRPr="0035547B">
        <w:rPr>
          <w:color w:val="000000"/>
        </w:rPr>
        <w:t xml:space="preserve">ldu finansējuma piešķiršanu. </w:t>
      </w:r>
    </w:p>
    <w:p w:rsidR="00A85C04" w:rsidRPr="0035547B" w:rsidRDefault="00FC6CC0" w:rsidP="00FC6CC0">
      <w:pPr>
        <w:tabs>
          <w:tab w:val="left" w:pos="1134"/>
        </w:tabs>
        <w:jc w:val="both"/>
      </w:pPr>
      <w:r w:rsidRPr="0035547B">
        <w:rPr>
          <w:color w:val="000000"/>
        </w:rPr>
        <w:tab/>
      </w:r>
      <w:r w:rsidR="00D05BF5" w:rsidRPr="0035547B">
        <w:rPr>
          <w:color w:val="000000"/>
        </w:rPr>
        <w:t xml:space="preserve">Līdz ar to līdzekļu apmērs, ko Augstākā tiesa ir paredzējusi pārdalīt Tiesu administrācijai, ir 165 124 </w:t>
      </w:r>
      <w:r w:rsidR="00D05BF5" w:rsidRPr="0035547B">
        <w:rPr>
          <w:i/>
          <w:color w:val="000000"/>
        </w:rPr>
        <w:t>euro</w:t>
      </w:r>
      <w:r w:rsidR="00D05BF5" w:rsidRPr="0035547B">
        <w:rPr>
          <w:color w:val="000000"/>
        </w:rPr>
        <w:t xml:space="preserve">. </w:t>
      </w:r>
      <w:r w:rsidR="006D7FA5" w:rsidRPr="0035547B">
        <w:rPr>
          <w:color w:val="000000"/>
        </w:rPr>
        <w:t>Savukārt</w:t>
      </w:r>
      <w:r w:rsidR="00C72C8F" w:rsidRPr="0035547B">
        <w:rPr>
          <w:color w:val="000000"/>
        </w:rPr>
        <w:t xml:space="preserve"> Tiesu administrācijai</w:t>
      </w:r>
      <w:r w:rsidR="005213BE" w:rsidRPr="0035547B">
        <w:rPr>
          <w:color w:val="000000"/>
        </w:rPr>
        <w:t xml:space="preserve"> nepieciešamā summa, kas </w:t>
      </w:r>
      <w:r w:rsidR="005213BE" w:rsidRPr="0035547B">
        <w:rPr>
          <w:color w:val="000000"/>
        </w:rPr>
        <w:lastRenderedPageBreak/>
        <w:t>būtu paredzama kā ikgada finansējums</w:t>
      </w:r>
      <w:r w:rsidR="00C72C8F" w:rsidRPr="0035547B">
        <w:rPr>
          <w:color w:val="000000"/>
        </w:rPr>
        <w:t>,</w:t>
      </w:r>
      <w:r w:rsidR="00D05BF5" w:rsidRPr="0035547B">
        <w:rPr>
          <w:color w:val="000000"/>
        </w:rPr>
        <w:t xml:space="preserve"> </w:t>
      </w:r>
      <w:r w:rsidR="00C72C8F" w:rsidRPr="0035547B">
        <w:rPr>
          <w:color w:val="000000"/>
        </w:rPr>
        <w:t xml:space="preserve">lai nodrošinātu ar finansējumu </w:t>
      </w:r>
      <w:r w:rsidR="000E3383" w:rsidRPr="0035547B">
        <w:rPr>
          <w:color w:val="000000"/>
        </w:rPr>
        <w:t xml:space="preserve">5 </w:t>
      </w:r>
      <w:r w:rsidR="00D9426C" w:rsidRPr="0035547B">
        <w:rPr>
          <w:color w:val="000000"/>
        </w:rPr>
        <w:t xml:space="preserve">tiesnešu sastāvu </w:t>
      </w:r>
      <w:r w:rsidR="000E3383" w:rsidRPr="0035547B">
        <w:rPr>
          <w:color w:val="000000"/>
        </w:rPr>
        <w:t>izveidi ir</w:t>
      </w:r>
      <w:r w:rsidR="005213BE" w:rsidRPr="0035547B">
        <w:rPr>
          <w:color w:val="000000"/>
        </w:rPr>
        <w:t xml:space="preserve"> </w:t>
      </w:r>
      <w:r w:rsidR="00D9426C" w:rsidRPr="0035547B">
        <w:rPr>
          <w:color w:val="000000"/>
        </w:rPr>
        <w:t>311</w:t>
      </w:r>
      <w:r w:rsidR="000E3383" w:rsidRPr="0035547B">
        <w:rPr>
          <w:color w:val="000000"/>
        </w:rPr>
        <w:t> </w:t>
      </w:r>
      <w:r w:rsidR="00D9426C" w:rsidRPr="0035547B">
        <w:rPr>
          <w:color w:val="000000"/>
        </w:rPr>
        <w:t>441</w:t>
      </w:r>
      <w:r w:rsidR="000E3383" w:rsidRPr="0035547B">
        <w:rPr>
          <w:color w:val="000000"/>
        </w:rPr>
        <w:t xml:space="preserve"> </w:t>
      </w:r>
      <w:r w:rsidR="000E3383" w:rsidRPr="0035547B">
        <w:rPr>
          <w:i/>
          <w:color w:val="000000"/>
        </w:rPr>
        <w:t>euro</w:t>
      </w:r>
      <w:r w:rsidR="005213BE" w:rsidRPr="0035547B">
        <w:rPr>
          <w:color w:val="000000"/>
        </w:rPr>
        <w:t>. Tāpat</w:t>
      </w:r>
      <w:r w:rsidR="000E3383" w:rsidRPr="0035547B">
        <w:rPr>
          <w:color w:val="000000"/>
        </w:rPr>
        <w:t xml:space="preserve"> </w:t>
      </w:r>
      <w:r w:rsidR="00D05BF5" w:rsidRPr="0035547B">
        <w:rPr>
          <w:color w:val="000000"/>
        </w:rPr>
        <w:t>2015. gadā</w:t>
      </w:r>
      <w:r w:rsidR="00EF0361" w:rsidRPr="0035547B">
        <w:rPr>
          <w:color w:val="000000"/>
        </w:rPr>
        <w:t xml:space="preserve"> papildus </w:t>
      </w:r>
      <w:r w:rsidR="000E3383" w:rsidRPr="0035547B">
        <w:rPr>
          <w:color w:val="000000"/>
        </w:rPr>
        <w:t xml:space="preserve">nepieciešami </w:t>
      </w:r>
      <w:r w:rsidR="00EF0361" w:rsidRPr="0035547B">
        <w:rPr>
          <w:color w:val="000000"/>
        </w:rPr>
        <w:t>līdzekļi</w:t>
      </w:r>
      <w:r w:rsidR="00C72C8F" w:rsidRPr="0035547B">
        <w:rPr>
          <w:color w:val="000000"/>
        </w:rPr>
        <w:t xml:space="preserve"> 33</w:t>
      </w:r>
      <w:r w:rsidR="00702B6F" w:rsidRPr="0035547B">
        <w:rPr>
          <w:color w:val="000000"/>
        </w:rPr>
        <w:t> </w:t>
      </w:r>
      <w:r w:rsidR="00D9426C" w:rsidRPr="0035547B">
        <w:rPr>
          <w:color w:val="000000"/>
        </w:rPr>
        <w:t>340</w:t>
      </w:r>
      <w:r w:rsidR="00702B6F" w:rsidRPr="0035547B">
        <w:rPr>
          <w:color w:val="000000"/>
        </w:rPr>
        <w:t xml:space="preserve"> </w:t>
      </w:r>
      <w:r w:rsidR="000E3383" w:rsidRPr="0035547B">
        <w:rPr>
          <w:i/>
          <w:color w:val="000000"/>
        </w:rPr>
        <w:t>euro</w:t>
      </w:r>
      <w:r w:rsidR="000E3383" w:rsidRPr="0035547B">
        <w:rPr>
          <w:color w:val="000000"/>
        </w:rPr>
        <w:t xml:space="preserve"> </w:t>
      </w:r>
      <w:r w:rsidR="00702B6F" w:rsidRPr="0035547B">
        <w:rPr>
          <w:color w:val="000000"/>
        </w:rPr>
        <w:t>apmērā,</w:t>
      </w:r>
      <w:r w:rsidR="00EF0361" w:rsidRPr="0035547B">
        <w:rPr>
          <w:color w:val="000000"/>
        </w:rPr>
        <w:t xml:space="preserve"> lai nodrošinātu jaunu tiesas sastāvu ar materiāltehniskajiem līdzekļiem</w:t>
      </w:r>
      <w:r w:rsidR="00C72C8F" w:rsidRPr="0035547B">
        <w:rPr>
          <w:color w:val="000000"/>
        </w:rPr>
        <w:t xml:space="preserve">. </w:t>
      </w:r>
      <w:r w:rsidR="005213BE" w:rsidRPr="0035547B">
        <w:rPr>
          <w:color w:val="000000"/>
        </w:rPr>
        <w:t>Ievērojot minēto,</w:t>
      </w:r>
      <w:r w:rsidR="006D7FA5" w:rsidRPr="0035547B">
        <w:rPr>
          <w:color w:val="000000"/>
        </w:rPr>
        <w:t xml:space="preserve"> secināms, ka</w:t>
      </w:r>
      <w:r w:rsidR="005213BE" w:rsidRPr="0035547B">
        <w:rPr>
          <w:color w:val="000000"/>
        </w:rPr>
        <w:t xml:space="preserve"> Tiesu administrācijai būs nepieciešam</w:t>
      </w:r>
      <w:r w:rsidR="000E3383" w:rsidRPr="0035547B">
        <w:rPr>
          <w:color w:val="000000"/>
        </w:rPr>
        <w:t>i</w:t>
      </w:r>
      <w:r w:rsidR="00C72C8F" w:rsidRPr="0035547B">
        <w:rPr>
          <w:color w:val="000000"/>
        </w:rPr>
        <w:t xml:space="preserve"> </w:t>
      </w:r>
      <w:r w:rsidR="005213BE" w:rsidRPr="0035547B">
        <w:rPr>
          <w:color w:val="000000"/>
        </w:rPr>
        <w:t xml:space="preserve">papildus </w:t>
      </w:r>
      <w:r w:rsidR="00C72C8F" w:rsidRPr="0035547B">
        <w:rPr>
          <w:color w:val="000000"/>
        </w:rPr>
        <w:t xml:space="preserve">finanšu </w:t>
      </w:r>
      <w:r w:rsidR="00F05C7D" w:rsidRPr="0035547B">
        <w:rPr>
          <w:color w:val="000000"/>
        </w:rPr>
        <w:t>līdzekļ</w:t>
      </w:r>
      <w:r w:rsidR="000E3383" w:rsidRPr="0035547B">
        <w:rPr>
          <w:color w:val="000000"/>
        </w:rPr>
        <w:t>i</w:t>
      </w:r>
      <w:r w:rsidR="00F05C7D" w:rsidRPr="0035547B">
        <w:rPr>
          <w:color w:val="000000"/>
        </w:rPr>
        <w:t xml:space="preserve"> no valsts budžeta </w:t>
      </w:r>
      <w:r w:rsidR="00D05BF5" w:rsidRPr="0035547B">
        <w:rPr>
          <w:color w:val="000000"/>
        </w:rPr>
        <w:t>2015. gadā</w:t>
      </w:r>
      <w:r w:rsidR="00F05C7D" w:rsidRPr="0035547B">
        <w:rPr>
          <w:color w:val="000000"/>
        </w:rPr>
        <w:t xml:space="preserve"> 179  657 </w:t>
      </w:r>
      <w:r w:rsidR="00F05C7D" w:rsidRPr="0035547B">
        <w:rPr>
          <w:i/>
          <w:color w:val="000000"/>
        </w:rPr>
        <w:t>euro</w:t>
      </w:r>
      <w:r w:rsidR="000E3383" w:rsidRPr="0035547B">
        <w:rPr>
          <w:i/>
          <w:color w:val="000000"/>
        </w:rPr>
        <w:t xml:space="preserve"> </w:t>
      </w:r>
      <w:r w:rsidR="000E3383" w:rsidRPr="0035547B">
        <w:rPr>
          <w:color w:val="000000"/>
        </w:rPr>
        <w:t>apmērā</w:t>
      </w:r>
      <w:r w:rsidR="00F05C7D" w:rsidRPr="0035547B">
        <w:rPr>
          <w:color w:val="000000"/>
        </w:rPr>
        <w:t xml:space="preserve">, </w:t>
      </w:r>
      <w:r w:rsidR="00D05BF5" w:rsidRPr="0035547B">
        <w:rPr>
          <w:color w:val="000000"/>
        </w:rPr>
        <w:t>2016. gadā</w:t>
      </w:r>
      <w:r w:rsidR="00F05C7D" w:rsidRPr="0035547B">
        <w:rPr>
          <w:color w:val="000000"/>
        </w:rPr>
        <w:t xml:space="preserve"> un turpmākajos gados</w:t>
      </w:r>
      <w:r w:rsidR="00D05BF5" w:rsidRPr="0035547B">
        <w:rPr>
          <w:color w:val="000000"/>
        </w:rPr>
        <w:t xml:space="preserve"> </w:t>
      </w:r>
      <w:r w:rsidR="00F05C7D" w:rsidRPr="0035547B">
        <w:rPr>
          <w:color w:val="000000"/>
        </w:rPr>
        <w:t xml:space="preserve">146 317 </w:t>
      </w:r>
      <w:r w:rsidR="00F05C7D" w:rsidRPr="0035547B">
        <w:rPr>
          <w:i/>
          <w:color w:val="000000"/>
        </w:rPr>
        <w:t>euro</w:t>
      </w:r>
      <w:r w:rsidR="000E3383" w:rsidRPr="0035547B">
        <w:rPr>
          <w:color w:val="000000"/>
        </w:rPr>
        <w:t xml:space="preserve"> apmērā</w:t>
      </w:r>
      <w:r w:rsidR="00F05C7D" w:rsidRPr="0035547B">
        <w:rPr>
          <w:i/>
          <w:color w:val="000000"/>
        </w:rPr>
        <w:t>.</w:t>
      </w:r>
    </w:p>
    <w:p w:rsidR="00311E2D" w:rsidRPr="0035547B" w:rsidRDefault="00311E2D" w:rsidP="008942A0">
      <w:pPr>
        <w:ind w:firstLine="720"/>
        <w:jc w:val="both"/>
        <w:rPr>
          <w:color w:val="000000"/>
        </w:rPr>
      </w:pPr>
    </w:p>
    <w:p w:rsidR="004E2063" w:rsidRPr="0035547B" w:rsidRDefault="004E2063" w:rsidP="008942A0">
      <w:pPr>
        <w:ind w:firstLine="720"/>
        <w:jc w:val="both"/>
        <w:rPr>
          <w:color w:val="000000"/>
        </w:rPr>
      </w:pPr>
    </w:p>
    <w:p w:rsidR="004E2063" w:rsidRPr="0035547B" w:rsidRDefault="004E2063" w:rsidP="008942A0">
      <w:pPr>
        <w:ind w:firstLine="720"/>
        <w:jc w:val="both"/>
        <w:rPr>
          <w:color w:val="000000"/>
        </w:rPr>
      </w:pPr>
    </w:p>
    <w:p w:rsidR="004E2063" w:rsidRPr="0035547B" w:rsidRDefault="004E2063" w:rsidP="008942A0">
      <w:pPr>
        <w:ind w:firstLine="720"/>
        <w:jc w:val="both"/>
        <w:rPr>
          <w:color w:val="000000"/>
        </w:rPr>
      </w:pPr>
    </w:p>
    <w:p w:rsidR="007C3B79" w:rsidRPr="0035547B" w:rsidRDefault="007C3B79" w:rsidP="007C3B79">
      <w:pPr>
        <w:jc w:val="both"/>
      </w:pPr>
      <w:r w:rsidRPr="0035547B">
        <w:t>Tieslietu ministre</w:t>
      </w:r>
      <w:r w:rsidRPr="0035547B">
        <w:tab/>
      </w:r>
      <w:r w:rsidRPr="0035547B">
        <w:tab/>
      </w:r>
      <w:r w:rsidRPr="0035547B">
        <w:tab/>
      </w:r>
      <w:r w:rsidRPr="0035547B">
        <w:tab/>
      </w:r>
      <w:r w:rsidRPr="0035547B">
        <w:tab/>
      </w:r>
      <w:r w:rsidRPr="0035547B">
        <w:tab/>
      </w:r>
      <w:r w:rsidRPr="0035547B">
        <w:tab/>
      </w:r>
      <w:r w:rsidRPr="0035547B">
        <w:tab/>
      </w:r>
      <w:r w:rsidRPr="0035547B">
        <w:tab/>
        <w:t>B.Broka</w:t>
      </w:r>
    </w:p>
    <w:p w:rsidR="007C3B79" w:rsidRPr="0035547B" w:rsidRDefault="007C3B79" w:rsidP="007C3B79">
      <w:pPr>
        <w:ind w:firstLine="720"/>
        <w:jc w:val="both"/>
      </w:pPr>
    </w:p>
    <w:p w:rsidR="007C3B79" w:rsidRPr="0035547B" w:rsidRDefault="007C3B79" w:rsidP="007C3B79">
      <w:pPr>
        <w:jc w:val="both"/>
      </w:pPr>
      <w:bookmarkStart w:id="1" w:name="_GoBack"/>
      <w:bookmarkEnd w:id="1"/>
    </w:p>
    <w:p w:rsidR="00EE68D7" w:rsidRPr="0035547B" w:rsidRDefault="00EE68D7" w:rsidP="007C3B79">
      <w:pPr>
        <w:jc w:val="both"/>
      </w:pPr>
    </w:p>
    <w:p w:rsidR="00EE68D7" w:rsidRPr="0035547B" w:rsidRDefault="00EE68D7" w:rsidP="007C3B79">
      <w:pPr>
        <w:jc w:val="both"/>
      </w:pPr>
    </w:p>
    <w:p w:rsidR="007C3B79" w:rsidRPr="0035547B" w:rsidRDefault="00771D7F" w:rsidP="007C3B79">
      <w:pPr>
        <w:rPr>
          <w:sz w:val="20"/>
          <w:szCs w:val="20"/>
        </w:rPr>
      </w:pPr>
      <w:r w:rsidRPr="0035547B">
        <w:rPr>
          <w:sz w:val="20"/>
          <w:szCs w:val="20"/>
        </w:rPr>
        <w:t>30</w:t>
      </w:r>
      <w:r w:rsidR="004E2063" w:rsidRPr="0035547B">
        <w:rPr>
          <w:sz w:val="20"/>
          <w:szCs w:val="20"/>
        </w:rPr>
        <w:t>.0</w:t>
      </w:r>
      <w:r w:rsidRPr="0035547B">
        <w:rPr>
          <w:sz w:val="20"/>
          <w:szCs w:val="20"/>
        </w:rPr>
        <w:t>7</w:t>
      </w:r>
      <w:r w:rsidR="004E2063" w:rsidRPr="0035547B">
        <w:rPr>
          <w:sz w:val="20"/>
          <w:szCs w:val="20"/>
        </w:rPr>
        <w:t>.2014</w:t>
      </w:r>
      <w:r w:rsidR="00EF0361" w:rsidRPr="0035547B">
        <w:rPr>
          <w:sz w:val="20"/>
          <w:szCs w:val="20"/>
        </w:rPr>
        <w:t xml:space="preserve">. </w:t>
      </w:r>
      <w:r w:rsidR="0035547B">
        <w:rPr>
          <w:sz w:val="20"/>
          <w:szCs w:val="20"/>
        </w:rPr>
        <w:t>14:07</w:t>
      </w:r>
    </w:p>
    <w:p w:rsidR="00771D7F" w:rsidRPr="0035547B" w:rsidRDefault="00771D7F" w:rsidP="007C3B79">
      <w:pPr>
        <w:pStyle w:val="StyleRight"/>
        <w:spacing w:after="0"/>
        <w:ind w:firstLine="0"/>
        <w:jc w:val="both"/>
        <w:rPr>
          <w:sz w:val="20"/>
          <w:szCs w:val="20"/>
          <w:lang w:eastAsia="zh-CN"/>
        </w:rPr>
      </w:pPr>
      <w:r w:rsidRPr="0035547B">
        <w:rPr>
          <w:sz w:val="20"/>
          <w:szCs w:val="20"/>
          <w:lang w:eastAsia="zh-CN"/>
        </w:rPr>
        <w:fldChar w:fldCharType="begin"/>
      </w:r>
      <w:r w:rsidRPr="0035547B">
        <w:rPr>
          <w:sz w:val="20"/>
          <w:szCs w:val="20"/>
          <w:lang w:eastAsia="zh-CN"/>
        </w:rPr>
        <w:instrText xml:space="preserve"> NUMWORDS   \* MERGEFORMAT </w:instrText>
      </w:r>
      <w:r w:rsidRPr="0035547B">
        <w:rPr>
          <w:sz w:val="20"/>
          <w:szCs w:val="20"/>
          <w:lang w:eastAsia="zh-CN"/>
        </w:rPr>
        <w:fldChar w:fldCharType="separate"/>
      </w:r>
      <w:r w:rsidR="0035547B">
        <w:rPr>
          <w:noProof/>
          <w:sz w:val="20"/>
          <w:szCs w:val="20"/>
          <w:lang w:eastAsia="zh-CN"/>
        </w:rPr>
        <w:t>5766</w:t>
      </w:r>
      <w:r w:rsidRPr="0035547B">
        <w:rPr>
          <w:sz w:val="20"/>
          <w:szCs w:val="20"/>
          <w:lang w:eastAsia="zh-CN"/>
        </w:rPr>
        <w:fldChar w:fldCharType="end"/>
      </w:r>
    </w:p>
    <w:p w:rsidR="007C3B79" w:rsidRPr="0035547B" w:rsidRDefault="007C3B79" w:rsidP="007C3B79">
      <w:pPr>
        <w:pStyle w:val="StyleRight"/>
        <w:spacing w:after="0"/>
        <w:ind w:firstLine="0"/>
        <w:jc w:val="both"/>
        <w:rPr>
          <w:sz w:val="20"/>
          <w:szCs w:val="20"/>
        </w:rPr>
      </w:pPr>
      <w:r w:rsidRPr="0035547B">
        <w:rPr>
          <w:sz w:val="20"/>
          <w:szCs w:val="20"/>
        </w:rPr>
        <w:t>A.Detlavs</w:t>
      </w:r>
    </w:p>
    <w:p w:rsidR="007C3B79" w:rsidRPr="009C164B" w:rsidRDefault="007C3B79" w:rsidP="007C3B79">
      <w:pPr>
        <w:pStyle w:val="StyleRight"/>
        <w:spacing w:after="0"/>
        <w:ind w:firstLine="0"/>
        <w:jc w:val="both"/>
        <w:rPr>
          <w:sz w:val="20"/>
          <w:szCs w:val="20"/>
        </w:rPr>
      </w:pPr>
      <w:r w:rsidRPr="0035547B">
        <w:rPr>
          <w:sz w:val="20"/>
          <w:szCs w:val="20"/>
        </w:rPr>
        <w:t xml:space="preserve">67036827; </w:t>
      </w:r>
      <w:hyperlink r:id="rId14" w:history="1">
        <w:r w:rsidR="00540263" w:rsidRPr="0035547B">
          <w:rPr>
            <w:rStyle w:val="Hipersaite"/>
            <w:sz w:val="20"/>
            <w:szCs w:val="20"/>
          </w:rPr>
          <w:t>Arturs.Detlavs@tm.gov.lv</w:t>
        </w:r>
      </w:hyperlink>
      <w:r w:rsidR="00D05BF5" w:rsidRPr="009C164B">
        <w:rPr>
          <w:sz w:val="20"/>
          <w:szCs w:val="20"/>
        </w:rPr>
        <w:t xml:space="preserve"> </w:t>
      </w:r>
    </w:p>
    <w:p w:rsidR="007C3B79" w:rsidRPr="009C164B" w:rsidRDefault="007C3B79" w:rsidP="007C3B79">
      <w:pPr>
        <w:jc w:val="center"/>
      </w:pPr>
    </w:p>
    <w:p w:rsidR="007C3B79" w:rsidRPr="009C164B" w:rsidRDefault="007C3B79" w:rsidP="007C3B79">
      <w:pPr>
        <w:jc w:val="center"/>
      </w:pPr>
    </w:p>
    <w:p w:rsidR="00CF46C8" w:rsidRPr="009C164B" w:rsidRDefault="00CF46C8" w:rsidP="00CF46C8"/>
    <w:sectPr w:rsidR="00CF46C8" w:rsidRPr="009C164B" w:rsidSect="0086443E">
      <w:headerReference w:type="default" r:id="rId15"/>
      <w:footerReference w:type="default" r:id="rId16"/>
      <w:footerReference w:type="first" r:id="rId17"/>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1F" w:rsidRDefault="0058171F" w:rsidP="00046311">
      <w:r>
        <w:separator/>
      </w:r>
    </w:p>
  </w:endnote>
  <w:endnote w:type="continuationSeparator" w:id="0">
    <w:p w:rsidR="0058171F" w:rsidRDefault="0058171F" w:rsidP="0004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F" w:rsidRPr="000B4365" w:rsidRDefault="0058171F" w:rsidP="001079B4">
    <w:pPr>
      <w:pStyle w:val="Kjene"/>
      <w:jc w:val="both"/>
      <w:rPr>
        <w:sz w:val="20"/>
        <w:szCs w:val="20"/>
      </w:rPr>
    </w:pPr>
    <w:r w:rsidRPr="000B4365">
      <w:rPr>
        <w:sz w:val="20"/>
        <w:szCs w:val="20"/>
      </w:rPr>
      <w:t>TMZino_</w:t>
    </w:r>
    <w:r w:rsidR="00771D7F">
      <w:rPr>
        <w:sz w:val="20"/>
        <w:szCs w:val="20"/>
      </w:rPr>
      <w:t>3007</w:t>
    </w:r>
    <w:r>
      <w:rPr>
        <w:sz w:val="20"/>
        <w:szCs w:val="20"/>
      </w:rPr>
      <w:t xml:space="preserve">14_ATpalatas; </w:t>
    </w:r>
    <w:r w:rsidRPr="000B4365">
      <w:rPr>
        <w:sz w:val="20"/>
        <w:szCs w:val="20"/>
      </w:rPr>
      <w:t>Informatīvais ziņojums „Par Augstākās tiesas Krimināllietu tiesu palātas likvidācijas ietekmi uz tiesvedību krimināllietās”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F" w:rsidRPr="000B4365" w:rsidRDefault="0058171F" w:rsidP="00540263">
    <w:pPr>
      <w:pStyle w:val="Kjene"/>
      <w:jc w:val="both"/>
      <w:rPr>
        <w:sz w:val="20"/>
        <w:szCs w:val="20"/>
      </w:rPr>
    </w:pPr>
    <w:r w:rsidRPr="000B4365">
      <w:rPr>
        <w:sz w:val="20"/>
        <w:szCs w:val="20"/>
      </w:rPr>
      <w:t>TMZino_</w:t>
    </w:r>
    <w:r w:rsidR="00771D7F">
      <w:rPr>
        <w:sz w:val="20"/>
        <w:szCs w:val="20"/>
      </w:rPr>
      <w:t>300714</w:t>
    </w:r>
    <w:r>
      <w:rPr>
        <w:sz w:val="20"/>
        <w:szCs w:val="20"/>
      </w:rPr>
      <w:t xml:space="preserve">_ATpalatas; </w:t>
    </w:r>
    <w:r w:rsidRPr="000B4365">
      <w:rPr>
        <w:sz w:val="20"/>
        <w:szCs w:val="20"/>
      </w:rPr>
      <w:t>Informatīvais ziņojums „Par Augstākās tiesas Krimināllietu tiesu palātas likvidācijas ietekmi uz tiesvedību krimināllietās”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1F" w:rsidRDefault="0058171F" w:rsidP="00046311">
      <w:r>
        <w:separator/>
      </w:r>
    </w:p>
  </w:footnote>
  <w:footnote w:type="continuationSeparator" w:id="0">
    <w:p w:rsidR="0058171F" w:rsidRDefault="0058171F" w:rsidP="00046311">
      <w:r>
        <w:continuationSeparator/>
      </w:r>
    </w:p>
  </w:footnote>
  <w:footnote w:id="1">
    <w:p w:rsidR="00D57788" w:rsidRDefault="00D57788">
      <w:pPr>
        <w:pStyle w:val="Vresteksts"/>
      </w:pPr>
      <w:r>
        <w:rPr>
          <w:rStyle w:val="Vresatsauce"/>
        </w:rPr>
        <w:footnoteRef/>
      </w:r>
      <w:r>
        <w:t xml:space="preserve"> Latvijas Republikas Satversmes komentāri. VIII nodaļa. Cilvēka pamattiesības. Autoru kolektīvs prof. R.Baloža zinātniskā vadībā; Rīga: Latvijas Vēstnesis, 2011.</w:t>
      </w:r>
    </w:p>
    <w:p w:rsidR="00D57788" w:rsidRDefault="00D57788">
      <w:pPr>
        <w:pStyle w:val="Vresteksts"/>
      </w:pPr>
    </w:p>
  </w:footnote>
  <w:footnote w:id="2">
    <w:p w:rsidR="0058171F" w:rsidRDefault="0058171F" w:rsidP="0086443E">
      <w:pPr>
        <w:pStyle w:val="Vresteksts"/>
        <w:jc w:val="both"/>
      </w:pPr>
      <w:r>
        <w:rPr>
          <w:rStyle w:val="Vresatsauce"/>
        </w:rPr>
        <w:footnoteRef/>
      </w:r>
      <w:r>
        <w:t xml:space="preserve"> Sagatavots saskaņā ar Tiesu informatīvās sistēmas statistikas pārskatu: Latvijas Republikas Augstākās tiesas Senāta Krimināllietu departamenta pārskats par kasācijas kārtībā pārsūdzēto nolēmumu izskatīšanas rezultātiem pa zemākas instances tiesām. </w:t>
      </w:r>
    </w:p>
  </w:footnote>
  <w:footnote w:id="3">
    <w:p w:rsidR="0058171F" w:rsidRPr="0028757E" w:rsidRDefault="0058171F" w:rsidP="0086443E">
      <w:pPr>
        <w:jc w:val="both"/>
        <w:rPr>
          <w:sz w:val="20"/>
          <w:szCs w:val="20"/>
        </w:rPr>
      </w:pPr>
      <w:r>
        <w:rPr>
          <w:rStyle w:val="Vresatsauce"/>
        </w:rPr>
        <w:footnoteRef/>
      </w:r>
      <w:r>
        <w:t xml:space="preserve"> </w:t>
      </w:r>
      <w:r w:rsidRPr="0028757E">
        <w:rPr>
          <w:sz w:val="20"/>
          <w:szCs w:val="20"/>
        </w:rPr>
        <w:t xml:space="preserve">Sagatavots saskaņā ar Tiesu informatīvajā sistēmā esošajiem statistikas pārskatiem: Tiesnešu noslodzes rādītāji pirmās instances tiesā civillietās un krimināllietās; Tiesnešu noslodzes rādītāji apelācijas instances tiesā civillietās un krimināllietās. </w:t>
      </w:r>
      <w:r>
        <w:rPr>
          <w:sz w:val="20"/>
          <w:szCs w:val="20"/>
        </w:rPr>
        <w:t>Dati aplūkoti</w:t>
      </w:r>
      <w:r w:rsidRPr="0028757E">
        <w:rPr>
          <w:sz w:val="20"/>
          <w:szCs w:val="20"/>
        </w:rPr>
        <w:t xml:space="preserve"> </w:t>
      </w:r>
      <w:r>
        <w:rPr>
          <w:sz w:val="20"/>
          <w:szCs w:val="20"/>
        </w:rPr>
        <w:t>12.03.2014</w:t>
      </w:r>
      <w:r w:rsidRPr="0028757E">
        <w:rPr>
          <w:sz w:val="20"/>
          <w:szCs w:val="20"/>
        </w:rPr>
        <w:t>.</w:t>
      </w:r>
    </w:p>
    <w:p w:rsidR="0058171F" w:rsidRDefault="0058171F">
      <w:pPr>
        <w:pStyle w:val="Vresteksts"/>
      </w:pPr>
    </w:p>
  </w:footnote>
  <w:footnote w:id="4">
    <w:p w:rsidR="0058171F" w:rsidRDefault="0058171F" w:rsidP="0086443E">
      <w:pPr>
        <w:pStyle w:val="Vresteksts"/>
        <w:jc w:val="both"/>
      </w:pPr>
      <w:r>
        <w:rPr>
          <w:rStyle w:val="Vresatsauce"/>
        </w:rPr>
        <w:footnoteRef/>
      </w:r>
      <w:r>
        <w:t xml:space="preserve"> Pieņemti Apvienoto Nāciju VII kongresā un apstiprināti ar Ģenerālās Asamblejas </w:t>
      </w:r>
      <w:r w:rsidR="00D05BF5">
        <w:t>1985. gada</w:t>
      </w:r>
      <w:r>
        <w:t xml:space="preserve"> </w:t>
      </w:r>
      <w:r w:rsidR="00D05BF5">
        <w:t>29. novembra</w:t>
      </w:r>
      <w:r>
        <w:t xml:space="preserve"> rezolūciju 40/32 un </w:t>
      </w:r>
      <w:r w:rsidR="00D05BF5">
        <w:t>1985. gada</w:t>
      </w:r>
      <w:r>
        <w:t xml:space="preserve"> </w:t>
      </w:r>
      <w:r w:rsidR="00D05BF5">
        <w:t>13. decembra</w:t>
      </w:r>
      <w:r>
        <w:t xml:space="preserve"> rezolūciju 40/146.</w:t>
      </w:r>
    </w:p>
  </w:footnote>
  <w:footnote w:id="5">
    <w:p w:rsidR="0058171F" w:rsidRDefault="0058171F">
      <w:pPr>
        <w:pStyle w:val="Vresteksts"/>
      </w:pPr>
      <w:r>
        <w:rPr>
          <w:rStyle w:val="Vresatsauce"/>
        </w:rPr>
        <w:footnoteRef/>
      </w:r>
      <w:r>
        <w:t xml:space="preserve"> Pieņemtas Eiropas Padomes Ministru komitejas </w:t>
      </w:r>
      <w:r w:rsidR="00D05BF5">
        <w:t>2010. gada</w:t>
      </w:r>
      <w:r>
        <w:t xml:space="preserve"> </w:t>
      </w:r>
      <w:r w:rsidR="00D05BF5">
        <w:t>17. novembra</w:t>
      </w:r>
      <w:r>
        <w:t xml:space="preserve">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50570"/>
      <w:docPartObj>
        <w:docPartGallery w:val="Page Numbers (Top of Page)"/>
        <w:docPartUnique/>
      </w:docPartObj>
    </w:sdtPr>
    <w:sdtEndPr/>
    <w:sdtContent>
      <w:p w:rsidR="0058171F" w:rsidRDefault="0058171F">
        <w:pPr>
          <w:pStyle w:val="Galvene"/>
          <w:jc w:val="center"/>
        </w:pPr>
        <w:r>
          <w:fldChar w:fldCharType="begin"/>
        </w:r>
        <w:r>
          <w:instrText>PAGE   \* MERGEFORMAT</w:instrText>
        </w:r>
        <w:r>
          <w:fldChar w:fldCharType="separate"/>
        </w:r>
        <w:r w:rsidR="0035547B">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6D2"/>
    <w:multiLevelType w:val="hybridMultilevel"/>
    <w:tmpl w:val="11BC95A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B0E57C7"/>
    <w:multiLevelType w:val="hybridMultilevel"/>
    <w:tmpl w:val="8BD857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E61D11"/>
    <w:multiLevelType w:val="hybridMultilevel"/>
    <w:tmpl w:val="7C5A1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A736FE9"/>
    <w:multiLevelType w:val="hybridMultilevel"/>
    <w:tmpl w:val="448E7DBC"/>
    <w:lvl w:ilvl="0" w:tplc="73AC1E0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626B7B"/>
    <w:multiLevelType w:val="hybridMultilevel"/>
    <w:tmpl w:val="11BA5F8A"/>
    <w:lvl w:ilvl="0" w:tplc="415820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07C7FDA"/>
    <w:multiLevelType w:val="hybridMultilevel"/>
    <w:tmpl w:val="2FAC3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54466D"/>
    <w:multiLevelType w:val="hybridMultilevel"/>
    <w:tmpl w:val="9064D726"/>
    <w:lvl w:ilvl="0" w:tplc="0B4006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A472211"/>
    <w:multiLevelType w:val="hybridMultilevel"/>
    <w:tmpl w:val="842060A6"/>
    <w:lvl w:ilvl="0" w:tplc="4752940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nsid w:val="34073439"/>
    <w:multiLevelType w:val="singleLevel"/>
    <w:tmpl w:val="2F926302"/>
    <w:lvl w:ilvl="0">
      <w:start w:val="1"/>
      <w:numFmt w:val="decimal"/>
      <w:pStyle w:val="Virsraksts1"/>
      <w:lvlText w:val="%1)"/>
      <w:legacy w:legacy="1" w:legacySpace="0" w:legacyIndent="360"/>
      <w:lvlJc w:val="left"/>
      <w:rPr>
        <w:rFonts w:ascii="Times New Roman" w:hAnsi="Times New Roman" w:cs="Times New Roman" w:hint="default"/>
      </w:rPr>
    </w:lvl>
  </w:abstractNum>
  <w:abstractNum w:abstractNumId="9">
    <w:nsid w:val="367F5761"/>
    <w:multiLevelType w:val="hybridMultilevel"/>
    <w:tmpl w:val="00D42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671DF4"/>
    <w:multiLevelType w:val="hybridMultilevel"/>
    <w:tmpl w:val="5BC2B0D8"/>
    <w:lvl w:ilvl="0" w:tplc="E7182074">
      <w:start w:val="1"/>
      <w:numFmt w:val="decimal"/>
      <w:lvlText w:val="%1."/>
      <w:lvlJc w:val="left"/>
      <w:pPr>
        <w:ind w:left="928" w:hanging="360"/>
      </w:pPr>
      <w:rPr>
        <w:rFonts w:hint="default"/>
        <w:color w:val="000000"/>
      </w:rPr>
    </w:lvl>
    <w:lvl w:ilvl="1" w:tplc="04260019" w:tentative="1">
      <w:start w:val="1"/>
      <w:numFmt w:val="lowerLetter"/>
      <w:lvlText w:val="%2."/>
      <w:lvlJc w:val="left"/>
      <w:pPr>
        <w:ind w:left="3578" w:hanging="360"/>
      </w:pPr>
    </w:lvl>
    <w:lvl w:ilvl="2" w:tplc="0426001B" w:tentative="1">
      <w:start w:val="1"/>
      <w:numFmt w:val="lowerRoman"/>
      <w:lvlText w:val="%3."/>
      <w:lvlJc w:val="right"/>
      <w:pPr>
        <w:ind w:left="4298" w:hanging="180"/>
      </w:pPr>
    </w:lvl>
    <w:lvl w:ilvl="3" w:tplc="0426000F" w:tentative="1">
      <w:start w:val="1"/>
      <w:numFmt w:val="decimal"/>
      <w:lvlText w:val="%4."/>
      <w:lvlJc w:val="left"/>
      <w:pPr>
        <w:ind w:left="5018" w:hanging="360"/>
      </w:pPr>
    </w:lvl>
    <w:lvl w:ilvl="4" w:tplc="04260019" w:tentative="1">
      <w:start w:val="1"/>
      <w:numFmt w:val="lowerLetter"/>
      <w:lvlText w:val="%5."/>
      <w:lvlJc w:val="left"/>
      <w:pPr>
        <w:ind w:left="5738" w:hanging="360"/>
      </w:pPr>
    </w:lvl>
    <w:lvl w:ilvl="5" w:tplc="0426001B" w:tentative="1">
      <w:start w:val="1"/>
      <w:numFmt w:val="lowerRoman"/>
      <w:lvlText w:val="%6."/>
      <w:lvlJc w:val="right"/>
      <w:pPr>
        <w:ind w:left="6458" w:hanging="180"/>
      </w:pPr>
    </w:lvl>
    <w:lvl w:ilvl="6" w:tplc="0426000F" w:tentative="1">
      <w:start w:val="1"/>
      <w:numFmt w:val="decimal"/>
      <w:lvlText w:val="%7."/>
      <w:lvlJc w:val="left"/>
      <w:pPr>
        <w:ind w:left="7178" w:hanging="360"/>
      </w:pPr>
    </w:lvl>
    <w:lvl w:ilvl="7" w:tplc="04260019" w:tentative="1">
      <w:start w:val="1"/>
      <w:numFmt w:val="lowerLetter"/>
      <w:lvlText w:val="%8."/>
      <w:lvlJc w:val="left"/>
      <w:pPr>
        <w:ind w:left="7898" w:hanging="360"/>
      </w:pPr>
    </w:lvl>
    <w:lvl w:ilvl="8" w:tplc="0426001B">
      <w:start w:val="1"/>
      <w:numFmt w:val="lowerRoman"/>
      <w:lvlText w:val="%9."/>
      <w:lvlJc w:val="right"/>
      <w:pPr>
        <w:ind w:left="8618" w:hanging="180"/>
      </w:pPr>
    </w:lvl>
  </w:abstractNum>
  <w:abstractNum w:abstractNumId="11">
    <w:nsid w:val="48854FA8"/>
    <w:multiLevelType w:val="hybridMultilevel"/>
    <w:tmpl w:val="54DA8A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4CC269DD"/>
    <w:multiLevelType w:val="hybridMultilevel"/>
    <w:tmpl w:val="9626BC74"/>
    <w:lvl w:ilvl="0" w:tplc="2E8066A4">
      <w:start w:val="1"/>
      <w:numFmt w:val="decimal"/>
      <w:lvlText w:val="%1."/>
      <w:lvlJc w:val="left"/>
      <w:pPr>
        <w:ind w:left="660" w:hanging="360"/>
      </w:pPr>
      <w:rPr>
        <w:rFonts w:hint="default"/>
        <w:b/>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54D82890"/>
    <w:multiLevelType w:val="hybridMultilevel"/>
    <w:tmpl w:val="BA68C4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A6D410C"/>
    <w:multiLevelType w:val="hybridMultilevel"/>
    <w:tmpl w:val="F2728168"/>
    <w:lvl w:ilvl="0" w:tplc="28082FE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nsid w:val="5EEC3C22"/>
    <w:multiLevelType w:val="hybridMultilevel"/>
    <w:tmpl w:val="B91E2E44"/>
    <w:lvl w:ilvl="0" w:tplc="A8520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4360216"/>
    <w:multiLevelType w:val="hybridMultilevel"/>
    <w:tmpl w:val="82AEEA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7D155568"/>
    <w:multiLevelType w:val="hybridMultilevel"/>
    <w:tmpl w:val="750229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4"/>
  </w:num>
  <w:num w:numId="3">
    <w:abstractNumId w:val="7"/>
  </w:num>
  <w:num w:numId="4">
    <w:abstractNumId w:val="8"/>
  </w:num>
  <w:num w:numId="5">
    <w:abstractNumId w:val="6"/>
  </w:num>
  <w:num w:numId="6">
    <w:abstractNumId w:val="2"/>
  </w:num>
  <w:num w:numId="7">
    <w:abstractNumId w:val="13"/>
  </w:num>
  <w:num w:numId="8">
    <w:abstractNumId w:val="16"/>
  </w:num>
  <w:num w:numId="9">
    <w:abstractNumId w:val="11"/>
  </w:num>
  <w:num w:numId="10">
    <w:abstractNumId w:val="0"/>
  </w:num>
  <w:num w:numId="11">
    <w:abstractNumId w:val="17"/>
  </w:num>
  <w:num w:numId="12">
    <w:abstractNumId w:val="3"/>
  </w:num>
  <w:num w:numId="13">
    <w:abstractNumId w:val="4"/>
  </w:num>
  <w:num w:numId="14">
    <w:abstractNumId w:val="9"/>
  </w:num>
  <w:num w:numId="15">
    <w:abstractNumId w:val="5"/>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85"/>
    <w:rsid w:val="000033E0"/>
    <w:rsid w:val="00003678"/>
    <w:rsid w:val="0000762D"/>
    <w:rsid w:val="00021274"/>
    <w:rsid w:val="00023683"/>
    <w:rsid w:val="00031384"/>
    <w:rsid w:val="00046311"/>
    <w:rsid w:val="00074A58"/>
    <w:rsid w:val="000763C1"/>
    <w:rsid w:val="00080086"/>
    <w:rsid w:val="00084BBF"/>
    <w:rsid w:val="00084ECC"/>
    <w:rsid w:val="00086A45"/>
    <w:rsid w:val="00086EA6"/>
    <w:rsid w:val="00090B0A"/>
    <w:rsid w:val="00094971"/>
    <w:rsid w:val="000965F5"/>
    <w:rsid w:val="000B0067"/>
    <w:rsid w:val="000B0109"/>
    <w:rsid w:val="000B4365"/>
    <w:rsid w:val="000C6D6C"/>
    <w:rsid w:val="000D2112"/>
    <w:rsid w:val="000D6EDF"/>
    <w:rsid w:val="000E3383"/>
    <w:rsid w:val="000F6D85"/>
    <w:rsid w:val="001079B4"/>
    <w:rsid w:val="0011089D"/>
    <w:rsid w:val="00111977"/>
    <w:rsid w:val="0011275F"/>
    <w:rsid w:val="001149EE"/>
    <w:rsid w:val="00137370"/>
    <w:rsid w:val="0014077C"/>
    <w:rsid w:val="00144067"/>
    <w:rsid w:val="0015594E"/>
    <w:rsid w:val="00157FD3"/>
    <w:rsid w:val="00160BDA"/>
    <w:rsid w:val="00161121"/>
    <w:rsid w:val="001648B3"/>
    <w:rsid w:val="00173564"/>
    <w:rsid w:val="00173627"/>
    <w:rsid w:val="00185926"/>
    <w:rsid w:val="001923A7"/>
    <w:rsid w:val="00193B4A"/>
    <w:rsid w:val="00195906"/>
    <w:rsid w:val="001A44F5"/>
    <w:rsid w:val="001B6C98"/>
    <w:rsid w:val="001C1214"/>
    <w:rsid w:val="001C3295"/>
    <w:rsid w:val="001D08F7"/>
    <w:rsid w:val="001F2CD1"/>
    <w:rsid w:val="00200BAC"/>
    <w:rsid w:val="002243BA"/>
    <w:rsid w:val="00230B7F"/>
    <w:rsid w:val="00231AD5"/>
    <w:rsid w:val="002357EB"/>
    <w:rsid w:val="002373C3"/>
    <w:rsid w:val="0025496E"/>
    <w:rsid w:val="00270A03"/>
    <w:rsid w:val="00297B85"/>
    <w:rsid w:val="002A1346"/>
    <w:rsid w:val="002B5DA6"/>
    <w:rsid w:val="002C1A98"/>
    <w:rsid w:val="002D5032"/>
    <w:rsid w:val="002F4933"/>
    <w:rsid w:val="002F72FF"/>
    <w:rsid w:val="00300E86"/>
    <w:rsid w:val="00311E2D"/>
    <w:rsid w:val="00316723"/>
    <w:rsid w:val="003501E8"/>
    <w:rsid w:val="0035547B"/>
    <w:rsid w:val="00364B11"/>
    <w:rsid w:val="003729D4"/>
    <w:rsid w:val="00376C82"/>
    <w:rsid w:val="003828F1"/>
    <w:rsid w:val="00383C3B"/>
    <w:rsid w:val="00390441"/>
    <w:rsid w:val="00392D38"/>
    <w:rsid w:val="00396B6F"/>
    <w:rsid w:val="003B1482"/>
    <w:rsid w:val="003B5824"/>
    <w:rsid w:val="003B7FFB"/>
    <w:rsid w:val="003E1C5D"/>
    <w:rsid w:val="003E211C"/>
    <w:rsid w:val="003E590D"/>
    <w:rsid w:val="003F1F6D"/>
    <w:rsid w:val="003F3F99"/>
    <w:rsid w:val="00402A8B"/>
    <w:rsid w:val="00405DE0"/>
    <w:rsid w:val="00410868"/>
    <w:rsid w:val="004354A6"/>
    <w:rsid w:val="00435911"/>
    <w:rsid w:val="00437B41"/>
    <w:rsid w:val="00440762"/>
    <w:rsid w:val="00441CB1"/>
    <w:rsid w:val="004613D5"/>
    <w:rsid w:val="00462686"/>
    <w:rsid w:val="00472A8E"/>
    <w:rsid w:val="0048712E"/>
    <w:rsid w:val="004A0789"/>
    <w:rsid w:val="004B73A6"/>
    <w:rsid w:val="004C04FA"/>
    <w:rsid w:val="004C3108"/>
    <w:rsid w:val="004C7A51"/>
    <w:rsid w:val="004D3B92"/>
    <w:rsid w:val="004D7379"/>
    <w:rsid w:val="004E2063"/>
    <w:rsid w:val="004F28E2"/>
    <w:rsid w:val="00502298"/>
    <w:rsid w:val="005213BE"/>
    <w:rsid w:val="00521F39"/>
    <w:rsid w:val="00525606"/>
    <w:rsid w:val="005348FF"/>
    <w:rsid w:val="00540263"/>
    <w:rsid w:val="00540EB4"/>
    <w:rsid w:val="00541492"/>
    <w:rsid w:val="005416BE"/>
    <w:rsid w:val="00542C71"/>
    <w:rsid w:val="00547A20"/>
    <w:rsid w:val="005563BB"/>
    <w:rsid w:val="0056129D"/>
    <w:rsid w:val="00571F97"/>
    <w:rsid w:val="00573D44"/>
    <w:rsid w:val="00577C77"/>
    <w:rsid w:val="0058171F"/>
    <w:rsid w:val="00583A72"/>
    <w:rsid w:val="0059517F"/>
    <w:rsid w:val="005A1292"/>
    <w:rsid w:val="005A23B7"/>
    <w:rsid w:val="005A401D"/>
    <w:rsid w:val="005A7485"/>
    <w:rsid w:val="005B0737"/>
    <w:rsid w:val="005E3D3F"/>
    <w:rsid w:val="005F0289"/>
    <w:rsid w:val="005F04F3"/>
    <w:rsid w:val="00603A28"/>
    <w:rsid w:val="00605BAF"/>
    <w:rsid w:val="00615F44"/>
    <w:rsid w:val="00617CBA"/>
    <w:rsid w:val="00617D75"/>
    <w:rsid w:val="00624430"/>
    <w:rsid w:val="00656C5C"/>
    <w:rsid w:val="00663AE3"/>
    <w:rsid w:val="00665F61"/>
    <w:rsid w:val="0067185C"/>
    <w:rsid w:val="0069554B"/>
    <w:rsid w:val="006A49DA"/>
    <w:rsid w:val="006A61E3"/>
    <w:rsid w:val="006A6237"/>
    <w:rsid w:val="006B1876"/>
    <w:rsid w:val="006C4649"/>
    <w:rsid w:val="006C4764"/>
    <w:rsid w:val="006C4852"/>
    <w:rsid w:val="006C60D0"/>
    <w:rsid w:val="006D0D8A"/>
    <w:rsid w:val="006D3538"/>
    <w:rsid w:val="006D7FA5"/>
    <w:rsid w:val="006E0102"/>
    <w:rsid w:val="006F39C2"/>
    <w:rsid w:val="006F5837"/>
    <w:rsid w:val="00702B6F"/>
    <w:rsid w:val="00724D5C"/>
    <w:rsid w:val="0072573E"/>
    <w:rsid w:val="00727FBC"/>
    <w:rsid w:val="00731BC4"/>
    <w:rsid w:val="00732882"/>
    <w:rsid w:val="00734EF0"/>
    <w:rsid w:val="00743783"/>
    <w:rsid w:val="007466BD"/>
    <w:rsid w:val="0074712F"/>
    <w:rsid w:val="00752F7F"/>
    <w:rsid w:val="0075614C"/>
    <w:rsid w:val="00762B3D"/>
    <w:rsid w:val="00771D7F"/>
    <w:rsid w:val="00777E4E"/>
    <w:rsid w:val="007907F7"/>
    <w:rsid w:val="00795A9A"/>
    <w:rsid w:val="007A2449"/>
    <w:rsid w:val="007A63BA"/>
    <w:rsid w:val="007B0B65"/>
    <w:rsid w:val="007B2D37"/>
    <w:rsid w:val="007B60B4"/>
    <w:rsid w:val="007C3B79"/>
    <w:rsid w:val="007D3FD2"/>
    <w:rsid w:val="007D5D79"/>
    <w:rsid w:val="007D6CC5"/>
    <w:rsid w:val="007E3821"/>
    <w:rsid w:val="007F063D"/>
    <w:rsid w:val="007F0A1D"/>
    <w:rsid w:val="007F5A1A"/>
    <w:rsid w:val="007F5CC6"/>
    <w:rsid w:val="008010EE"/>
    <w:rsid w:val="00810251"/>
    <w:rsid w:val="00811736"/>
    <w:rsid w:val="00824349"/>
    <w:rsid w:val="00830753"/>
    <w:rsid w:val="00836D12"/>
    <w:rsid w:val="00837F72"/>
    <w:rsid w:val="00851FD0"/>
    <w:rsid w:val="0086443E"/>
    <w:rsid w:val="0089389B"/>
    <w:rsid w:val="00893CB5"/>
    <w:rsid w:val="008942A0"/>
    <w:rsid w:val="008B53AD"/>
    <w:rsid w:val="008C73C0"/>
    <w:rsid w:val="008E0BB0"/>
    <w:rsid w:val="008E10E8"/>
    <w:rsid w:val="008E6F03"/>
    <w:rsid w:val="008F2F14"/>
    <w:rsid w:val="008F61DB"/>
    <w:rsid w:val="00904502"/>
    <w:rsid w:val="00906510"/>
    <w:rsid w:val="00937023"/>
    <w:rsid w:val="0094330C"/>
    <w:rsid w:val="00945DCF"/>
    <w:rsid w:val="00951E82"/>
    <w:rsid w:val="00955B58"/>
    <w:rsid w:val="009953C6"/>
    <w:rsid w:val="009970CD"/>
    <w:rsid w:val="009A30C7"/>
    <w:rsid w:val="009A3A85"/>
    <w:rsid w:val="009B352C"/>
    <w:rsid w:val="009C164B"/>
    <w:rsid w:val="009C246E"/>
    <w:rsid w:val="009D5396"/>
    <w:rsid w:val="00A11E58"/>
    <w:rsid w:val="00A15C65"/>
    <w:rsid w:val="00A22189"/>
    <w:rsid w:val="00A23354"/>
    <w:rsid w:val="00A3231D"/>
    <w:rsid w:val="00A35FC4"/>
    <w:rsid w:val="00A47829"/>
    <w:rsid w:val="00A5087A"/>
    <w:rsid w:val="00A527D5"/>
    <w:rsid w:val="00A5314E"/>
    <w:rsid w:val="00A6335A"/>
    <w:rsid w:val="00A729E8"/>
    <w:rsid w:val="00A85C04"/>
    <w:rsid w:val="00A922D1"/>
    <w:rsid w:val="00AA53D2"/>
    <w:rsid w:val="00AB71A1"/>
    <w:rsid w:val="00AC356D"/>
    <w:rsid w:val="00AC4BEE"/>
    <w:rsid w:val="00AD491D"/>
    <w:rsid w:val="00AE246B"/>
    <w:rsid w:val="00AE417C"/>
    <w:rsid w:val="00AF3112"/>
    <w:rsid w:val="00B11BA4"/>
    <w:rsid w:val="00B1413B"/>
    <w:rsid w:val="00B21DDF"/>
    <w:rsid w:val="00B25341"/>
    <w:rsid w:val="00B31663"/>
    <w:rsid w:val="00B3404B"/>
    <w:rsid w:val="00B61AD7"/>
    <w:rsid w:val="00B643AB"/>
    <w:rsid w:val="00B71DFC"/>
    <w:rsid w:val="00B83995"/>
    <w:rsid w:val="00B86E74"/>
    <w:rsid w:val="00BA2435"/>
    <w:rsid w:val="00BB2629"/>
    <w:rsid w:val="00BB3F3D"/>
    <w:rsid w:val="00BB4AA5"/>
    <w:rsid w:val="00BC5382"/>
    <w:rsid w:val="00BD731B"/>
    <w:rsid w:val="00BE7F5F"/>
    <w:rsid w:val="00BF0DE5"/>
    <w:rsid w:val="00BF14DC"/>
    <w:rsid w:val="00BF6552"/>
    <w:rsid w:val="00C02111"/>
    <w:rsid w:val="00C10B29"/>
    <w:rsid w:val="00C11109"/>
    <w:rsid w:val="00C160BE"/>
    <w:rsid w:val="00C21189"/>
    <w:rsid w:val="00C265E8"/>
    <w:rsid w:val="00C30E4F"/>
    <w:rsid w:val="00C3122B"/>
    <w:rsid w:val="00C36248"/>
    <w:rsid w:val="00C4742F"/>
    <w:rsid w:val="00C54847"/>
    <w:rsid w:val="00C56130"/>
    <w:rsid w:val="00C57102"/>
    <w:rsid w:val="00C607A8"/>
    <w:rsid w:val="00C6395B"/>
    <w:rsid w:val="00C724FD"/>
    <w:rsid w:val="00C72C8F"/>
    <w:rsid w:val="00C804EE"/>
    <w:rsid w:val="00C92E81"/>
    <w:rsid w:val="00C93BF2"/>
    <w:rsid w:val="00C95357"/>
    <w:rsid w:val="00CA318D"/>
    <w:rsid w:val="00CB0233"/>
    <w:rsid w:val="00CC5FF3"/>
    <w:rsid w:val="00CF46C8"/>
    <w:rsid w:val="00D00FFF"/>
    <w:rsid w:val="00D032C5"/>
    <w:rsid w:val="00D05BF5"/>
    <w:rsid w:val="00D17C25"/>
    <w:rsid w:val="00D17E54"/>
    <w:rsid w:val="00D27261"/>
    <w:rsid w:val="00D3078A"/>
    <w:rsid w:val="00D3128B"/>
    <w:rsid w:val="00D34340"/>
    <w:rsid w:val="00D36429"/>
    <w:rsid w:val="00D4343C"/>
    <w:rsid w:val="00D44AF3"/>
    <w:rsid w:val="00D46EE9"/>
    <w:rsid w:val="00D57788"/>
    <w:rsid w:val="00D60D77"/>
    <w:rsid w:val="00D61660"/>
    <w:rsid w:val="00D65706"/>
    <w:rsid w:val="00D6609B"/>
    <w:rsid w:val="00D66B95"/>
    <w:rsid w:val="00D75E38"/>
    <w:rsid w:val="00D93353"/>
    <w:rsid w:val="00D9426C"/>
    <w:rsid w:val="00DA00E8"/>
    <w:rsid w:val="00DB1547"/>
    <w:rsid w:val="00DB2575"/>
    <w:rsid w:val="00DD377E"/>
    <w:rsid w:val="00DD6FA0"/>
    <w:rsid w:val="00DE078D"/>
    <w:rsid w:val="00DF4A3D"/>
    <w:rsid w:val="00DF6402"/>
    <w:rsid w:val="00E048AC"/>
    <w:rsid w:val="00E06E58"/>
    <w:rsid w:val="00E12618"/>
    <w:rsid w:val="00E170C3"/>
    <w:rsid w:val="00E24FEC"/>
    <w:rsid w:val="00E25E60"/>
    <w:rsid w:val="00E30829"/>
    <w:rsid w:val="00E312FF"/>
    <w:rsid w:val="00E51047"/>
    <w:rsid w:val="00E64244"/>
    <w:rsid w:val="00E73E43"/>
    <w:rsid w:val="00E75AA7"/>
    <w:rsid w:val="00E81108"/>
    <w:rsid w:val="00EA13B6"/>
    <w:rsid w:val="00EB6762"/>
    <w:rsid w:val="00EC39EF"/>
    <w:rsid w:val="00ED5172"/>
    <w:rsid w:val="00EE68D7"/>
    <w:rsid w:val="00EE6E57"/>
    <w:rsid w:val="00EF0361"/>
    <w:rsid w:val="00F05C7D"/>
    <w:rsid w:val="00F13A6D"/>
    <w:rsid w:val="00F24C5A"/>
    <w:rsid w:val="00F56974"/>
    <w:rsid w:val="00F6008E"/>
    <w:rsid w:val="00F677F1"/>
    <w:rsid w:val="00F73201"/>
    <w:rsid w:val="00F7614C"/>
    <w:rsid w:val="00F84862"/>
    <w:rsid w:val="00F9317C"/>
    <w:rsid w:val="00FA2E30"/>
    <w:rsid w:val="00FA4E6E"/>
    <w:rsid w:val="00FB7F30"/>
    <w:rsid w:val="00FC6934"/>
    <w:rsid w:val="00FC6CC0"/>
    <w:rsid w:val="00FD1D4A"/>
    <w:rsid w:val="00FD486A"/>
    <w:rsid w:val="00FF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468">
      <w:bodyDiv w:val="1"/>
      <w:marLeft w:val="0"/>
      <w:marRight w:val="0"/>
      <w:marTop w:val="0"/>
      <w:marBottom w:val="0"/>
      <w:divBdr>
        <w:top w:val="none" w:sz="0" w:space="0" w:color="auto"/>
        <w:left w:val="none" w:sz="0" w:space="0" w:color="auto"/>
        <w:bottom w:val="none" w:sz="0" w:space="0" w:color="auto"/>
        <w:right w:val="none" w:sz="0" w:space="0" w:color="auto"/>
      </w:divBdr>
      <w:divsChild>
        <w:div w:id="235940624">
          <w:marLeft w:val="0"/>
          <w:marRight w:val="0"/>
          <w:marTop w:val="0"/>
          <w:marBottom w:val="0"/>
          <w:divBdr>
            <w:top w:val="none" w:sz="0" w:space="0" w:color="auto"/>
            <w:left w:val="none" w:sz="0" w:space="0" w:color="auto"/>
            <w:bottom w:val="none" w:sz="0" w:space="0" w:color="auto"/>
            <w:right w:val="none" w:sz="0" w:space="0" w:color="auto"/>
          </w:divBdr>
          <w:divsChild>
            <w:div w:id="577983264">
              <w:marLeft w:val="0"/>
              <w:marRight w:val="0"/>
              <w:marTop w:val="0"/>
              <w:marBottom w:val="0"/>
              <w:divBdr>
                <w:top w:val="none" w:sz="0" w:space="0" w:color="auto"/>
                <w:left w:val="none" w:sz="0" w:space="0" w:color="auto"/>
                <w:bottom w:val="none" w:sz="0" w:space="0" w:color="auto"/>
                <w:right w:val="none" w:sz="0" w:space="0" w:color="auto"/>
              </w:divBdr>
              <w:divsChild>
                <w:div w:id="1042022751">
                  <w:marLeft w:val="0"/>
                  <w:marRight w:val="0"/>
                  <w:marTop w:val="0"/>
                  <w:marBottom w:val="0"/>
                  <w:divBdr>
                    <w:top w:val="none" w:sz="0" w:space="0" w:color="auto"/>
                    <w:left w:val="none" w:sz="0" w:space="0" w:color="auto"/>
                    <w:bottom w:val="none" w:sz="0" w:space="0" w:color="auto"/>
                    <w:right w:val="none" w:sz="0" w:space="0" w:color="auto"/>
                  </w:divBdr>
                  <w:divsChild>
                    <w:div w:id="1557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0941">
      <w:bodyDiv w:val="1"/>
      <w:marLeft w:val="0"/>
      <w:marRight w:val="0"/>
      <w:marTop w:val="0"/>
      <w:marBottom w:val="0"/>
      <w:divBdr>
        <w:top w:val="none" w:sz="0" w:space="0" w:color="auto"/>
        <w:left w:val="none" w:sz="0" w:space="0" w:color="auto"/>
        <w:bottom w:val="none" w:sz="0" w:space="0" w:color="auto"/>
        <w:right w:val="none" w:sz="0" w:space="0" w:color="auto"/>
      </w:divBdr>
      <w:divsChild>
        <w:div w:id="1340153805">
          <w:marLeft w:val="0"/>
          <w:marRight w:val="0"/>
          <w:marTop w:val="0"/>
          <w:marBottom w:val="0"/>
          <w:divBdr>
            <w:top w:val="none" w:sz="0" w:space="0" w:color="auto"/>
            <w:left w:val="none" w:sz="0" w:space="0" w:color="auto"/>
            <w:bottom w:val="none" w:sz="0" w:space="0" w:color="auto"/>
            <w:right w:val="none" w:sz="0" w:space="0" w:color="auto"/>
          </w:divBdr>
          <w:divsChild>
            <w:div w:id="10089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4220">
      <w:bodyDiv w:val="1"/>
      <w:marLeft w:val="0"/>
      <w:marRight w:val="0"/>
      <w:marTop w:val="0"/>
      <w:marBottom w:val="0"/>
      <w:divBdr>
        <w:top w:val="none" w:sz="0" w:space="0" w:color="auto"/>
        <w:left w:val="none" w:sz="0" w:space="0" w:color="auto"/>
        <w:bottom w:val="none" w:sz="0" w:space="0" w:color="auto"/>
        <w:right w:val="none" w:sz="0" w:space="0" w:color="auto"/>
      </w:divBdr>
      <w:divsChild>
        <w:div w:id="1283266118">
          <w:marLeft w:val="0"/>
          <w:marRight w:val="0"/>
          <w:marTop w:val="0"/>
          <w:marBottom w:val="0"/>
          <w:divBdr>
            <w:top w:val="none" w:sz="0" w:space="0" w:color="auto"/>
            <w:left w:val="none" w:sz="0" w:space="0" w:color="auto"/>
            <w:bottom w:val="none" w:sz="0" w:space="0" w:color="auto"/>
            <w:right w:val="none" w:sz="0" w:space="0" w:color="auto"/>
          </w:divBdr>
          <w:divsChild>
            <w:div w:id="358315982">
              <w:marLeft w:val="0"/>
              <w:marRight w:val="0"/>
              <w:marTop w:val="0"/>
              <w:marBottom w:val="0"/>
              <w:divBdr>
                <w:top w:val="none" w:sz="0" w:space="0" w:color="auto"/>
                <w:left w:val="none" w:sz="0" w:space="0" w:color="auto"/>
                <w:bottom w:val="none" w:sz="0" w:space="0" w:color="auto"/>
                <w:right w:val="none" w:sz="0" w:space="0" w:color="auto"/>
              </w:divBdr>
              <w:divsChild>
                <w:div w:id="284506457">
                  <w:marLeft w:val="0"/>
                  <w:marRight w:val="0"/>
                  <w:marTop w:val="0"/>
                  <w:marBottom w:val="0"/>
                  <w:divBdr>
                    <w:top w:val="none" w:sz="0" w:space="0" w:color="auto"/>
                    <w:left w:val="none" w:sz="0" w:space="0" w:color="auto"/>
                    <w:bottom w:val="none" w:sz="0" w:space="0" w:color="auto"/>
                    <w:right w:val="none" w:sz="0" w:space="0" w:color="auto"/>
                  </w:divBdr>
                  <w:divsChild>
                    <w:div w:id="276252791">
                      <w:marLeft w:val="0"/>
                      <w:marRight w:val="0"/>
                      <w:marTop w:val="0"/>
                      <w:marBottom w:val="0"/>
                      <w:divBdr>
                        <w:top w:val="none" w:sz="0" w:space="0" w:color="auto"/>
                        <w:left w:val="none" w:sz="0" w:space="0" w:color="auto"/>
                        <w:bottom w:val="none" w:sz="0" w:space="0" w:color="auto"/>
                        <w:right w:val="none" w:sz="0" w:space="0" w:color="auto"/>
                      </w:divBdr>
                      <w:divsChild>
                        <w:div w:id="1116170270">
                          <w:marLeft w:val="0"/>
                          <w:marRight w:val="0"/>
                          <w:marTop w:val="0"/>
                          <w:marBottom w:val="0"/>
                          <w:divBdr>
                            <w:top w:val="none" w:sz="0" w:space="0" w:color="auto"/>
                            <w:left w:val="none" w:sz="0" w:space="0" w:color="auto"/>
                            <w:bottom w:val="none" w:sz="0" w:space="0" w:color="auto"/>
                            <w:right w:val="none" w:sz="0" w:space="0" w:color="auto"/>
                          </w:divBdr>
                          <w:divsChild>
                            <w:div w:id="88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18576">
      <w:bodyDiv w:val="1"/>
      <w:marLeft w:val="0"/>
      <w:marRight w:val="0"/>
      <w:marTop w:val="0"/>
      <w:marBottom w:val="0"/>
      <w:divBdr>
        <w:top w:val="none" w:sz="0" w:space="0" w:color="auto"/>
        <w:left w:val="none" w:sz="0" w:space="0" w:color="auto"/>
        <w:bottom w:val="none" w:sz="0" w:space="0" w:color="auto"/>
        <w:right w:val="none" w:sz="0" w:space="0" w:color="auto"/>
      </w:divBdr>
      <w:divsChild>
        <w:div w:id="1556353539">
          <w:marLeft w:val="0"/>
          <w:marRight w:val="0"/>
          <w:marTop w:val="0"/>
          <w:marBottom w:val="0"/>
          <w:divBdr>
            <w:top w:val="none" w:sz="0" w:space="0" w:color="auto"/>
            <w:left w:val="none" w:sz="0" w:space="0" w:color="auto"/>
            <w:bottom w:val="none" w:sz="0" w:space="0" w:color="auto"/>
            <w:right w:val="none" w:sz="0" w:space="0" w:color="auto"/>
          </w:divBdr>
          <w:divsChild>
            <w:div w:id="636692101">
              <w:marLeft w:val="0"/>
              <w:marRight w:val="0"/>
              <w:marTop w:val="0"/>
              <w:marBottom w:val="0"/>
              <w:divBdr>
                <w:top w:val="none" w:sz="0" w:space="0" w:color="auto"/>
                <w:left w:val="none" w:sz="0" w:space="0" w:color="auto"/>
                <w:bottom w:val="none" w:sz="0" w:space="0" w:color="auto"/>
                <w:right w:val="none" w:sz="0" w:space="0" w:color="auto"/>
              </w:divBdr>
              <w:divsChild>
                <w:div w:id="832259755">
                  <w:marLeft w:val="0"/>
                  <w:marRight w:val="0"/>
                  <w:marTop w:val="0"/>
                  <w:marBottom w:val="0"/>
                  <w:divBdr>
                    <w:top w:val="none" w:sz="0" w:space="0" w:color="auto"/>
                    <w:left w:val="none" w:sz="0" w:space="0" w:color="auto"/>
                    <w:bottom w:val="none" w:sz="0" w:space="0" w:color="auto"/>
                    <w:right w:val="none" w:sz="0" w:space="0" w:color="auto"/>
                  </w:divBdr>
                  <w:divsChild>
                    <w:div w:id="1376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20625">
      <w:bodyDiv w:val="1"/>
      <w:marLeft w:val="0"/>
      <w:marRight w:val="0"/>
      <w:marTop w:val="0"/>
      <w:marBottom w:val="0"/>
      <w:divBdr>
        <w:top w:val="none" w:sz="0" w:space="0" w:color="auto"/>
        <w:left w:val="none" w:sz="0" w:space="0" w:color="auto"/>
        <w:bottom w:val="none" w:sz="0" w:space="0" w:color="auto"/>
        <w:right w:val="none" w:sz="0" w:space="0" w:color="auto"/>
      </w:divBdr>
      <w:divsChild>
        <w:div w:id="759956811">
          <w:marLeft w:val="0"/>
          <w:marRight w:val="0"/>
          <w:marTop w:val="0"/>
          <w:marBottom w:val="0"/>
          <w:divBdr>
            <w:top w:val="none" w:sz="0" w:space="0" w:color="auto"/>
            <w:left w:val="none" w:sz="0" w:space="0" w:color="auto"/>
            <w:bottom w:val="none" w:sz="0" w:space="0" w:color="auto"/>
            <w:right w:val="none" w:sz="0" w:space="0" w:color="auto"/>
          </w:divBdr>
          <w:divsChild>
            <w:div w:id="411974908">
              <w:marLeft w:val="0"/>
              <w:marRight w:val="0"/>
              <w:marTop w:val="0"/>
              <w:marBottom w:val="0"/>
              <w:divBdr>
                <w:top w:val="none" w:sz="0" w:space="0" w:color="auto"/>
                <w:left w:val="none" w:sz="0" w:space="0" w:color="auto"/>
                <w:bottom w:val="none" w:sz="0" w:space="0" w:color="auto"/>
                <w:right w:val="none" w:sz="0" w:space="0" w:color="auto"/>
              </w:divBdr>
              <w:divsChild>
                <w:div w:id="224071872">
                  <w:marLeft w:val="0"/>
                  <w:marRight w:val="0"/>
                  <w:marTop w:val="0"/>
                  <w:marBottom w:val="0"/>
                  <w:divBdr>
                    <w:top w:val="none" w:sz="0" w:space="0" w:color="auto"/>
                    <w:left w:val="none" w:sz="0" w:space="0" w:color="auto"/>
                    <w:bottom w:val="none" w:sz="0" w:space="0" w:color="auto"/>
                    <w:right w:val="none" w:sz="0" w:space="0" w:color="auto"/>
                  </w:divBdr>
                  <w:divsChild>
                    <w:div w:id="1783451350">
                      <w:marLeft w:val="0"/>
                      <w:marRight w:val="0"/>
                      <w:marTop w:val="0"/>
                      <w:marBottom w:val="0"/>
                      <w:divBdr>
                        <w:top w:val="none" w:sz="0" w:space="0" w:color="auto"/>
                        <w:left w:val="none" w:sz="0" w:space="0" w:color="auto"/>
                        <w:bottom w:val="none" w:sz="0" w:space="0" w:color="auto"/>
                        <w:right w:val="none" w:sz="0" w:space="0" w:color="auto"/>
                      </w:divBdr>
                      <w:divsChild>
                        <w:div w:id="82919894">
                          <w:marLeft w:val="0"/>
                          <w:marRight w:val="0"/>
                          <w:marTop w:val="0"/>
                          <w:marBottom w:val="0"/>
                          <w:divBdr>
                            <w:top w:val="none" w:sz="0" w:space="0" w:color="auto"/>
                            <w:left w:val="none" w:sz="0" w:space="0" w:color="auto"/>
                            <w:bottom w:val="none" w:sz="0" w:space="0" w:color="auto"/>
                            <w:right w:val="none" w:sz="0" w:space="0" w:color="auto"/>
                          </w:divBdr>
                          <w:divsChild>
                            <w:div w:id="513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48649">
      <w:bodyDiv w:val="1"/>
      <w:marLeft w:val="0"/>
      <w:marRight w:val="0"/>
      <w:marTop w:val="0"/>
      <w:marBottom w:val="0"/>
      <w:divBdr>
        <w:top w:val="none" w:sz="0" w:space="0" w:color="auto"/>
        <w:left w:val="none" w:sz="0" w:space="0" w:color="auto"/>
        <w:bottom w:val="none" w:sz="0" w:space="0" w:color="auto"/>
        <w:right w:val="none" w:sz="0" w:space="0" w:color="auto"/>
      </w:divBdr>
      <w:divsChild>
        <w:div w:id="948779343">
          <w:marLeft w:val="0"/>
          <w:marRight w:val="0"/>
          <w:marTop w:val="0"/>
          <w:marBottom w:val="0"/>
          <w:divBdr>
            <w:top w:val="none" w:sz="0" w:space="0" w:color="auto"/>
            <w:left w:val="none" w:sz="0" w:space="0" w:color="auto"/>
            <w:bottom w:val="none" w:sz="0" w:space="0" w:color="auto"/>
            <w:right w:val="none" w:sz="0" w:space="0" w:color="auto"/>
          </w:divBdr>
          <w:divsChild>
            <w:div w:id="120465749">
              <w:marLeft w:val="0"/>
              <w:marRight w:val="0"/>
              <w:marTop w:val="0"/>
              <w:marBottom w:val="0"/>
              <w:divBdr>
                <w:top w:val="none" w:sz="0" w:space="0" w:color="auto"/>
                <w:left w:val="none" w:sz="0" w:space="0" w:color="auto"/>
                <w:bottom w:val="none" w:sz="0" w:space="0" w:color="auto"/>
                <w:right w:val="none" w:sz="0" w:space="0" w:color="auto"/>
              </w:divBdr>
              <w:divsChild>
                <w:div w:id="1620574418">
                  <w:marLeft w:val="0"/>
                  <w:marRight w:val="0"/>
                  <w:marTop w:val="0"/>
                  <w:marBottom w:val="0"/>
                  <w:divBdr>
                    <w:top w:val="none" w:sz="0" w:space="0" w:color="auto"/>
                    <w:left w:val="none" w:sz="0" w:space="0" w:color="auto"/>
                    <w:bottom w:val="none" w:sz="0" w:space="0" w:color="auto"/>
                    <w:right w:val="none" w:sz="0" w:space="0" w:color="auto"/>
                  </w:divBdr>
                  <w:divsChild>
                    <w:div w:id="1471826768">
                      <w:marLeft w:val="0"/>
                      <w:marRight w:val="0"/>
                      <w:marTop w:val="0"/>
                      <w:marBottom w:val="0"/>
                      <w:divBdr>
                        <w:top w:val="none" w:sz="0" w:space="0" w:color="auto"/>
                        <w:left w:val="none" w:sz="0" w:space="0" w:color="auto"/>
                        <w:bottom w:val="none" w:sz="0" w:space="0" w:color="auto"/>
                        <w:right w:val="none" w:sz="0" w:space="0" w:color="auto"/>
                      </w:divBdr>
                      <w:divsChild>
                        <w:div w:id="34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9628">
      <w:bodyDiv w:val="1"/>
      <w:marLeft w:val="0"/>
      <w:marRight w:val="0"/>
      <w:marTop w:val="0"/>
      <w:marBottom w:val="0"/>
      <w:divBdr>
        <w:top w:val="none" w:sz="0" w:space="0" w:color="auto"/>
        <w:left w:val="none" w:sz="0" w:space="0" w:color="auto"/>
        <w:bottom w:val="none" w:sz="0" w:space="0" w:color="auto"/>
        <w:right w:val="none" w:sz="0" w:space="0" w:color="auto"/>
      </w:divBdr>
      <w:divsChild>
        <w:div w:id="497158612">
          <w:marLeft w:val="0"/>
          <w:marRight w:val="0"/>
          <w:marTop w:val="0"/>
          <w:marBottom w:val="0"/>
          <w:divBdr>
            <w:top w:val="none" w:sz="0" w:space="0" w:color="auto"/>
            <w:left w:val="none" w:sz="0" w:space="0" w:color="auto"/>
            <w:bottom w:val="none" w:sz="0" w:space="0" w:color="auto"/>
            <w:right w:val="none" w:sz="0" w:space="0" w:color="auto"/>
          </w:divBdr>
          <w:divsChild>
            <w:div w:id="1669206935">
              <w:marLeft w:val="0"/>
              <w:marRight w:val="0"/>
              <w:marTop w:val="0"/>
              <w:marBottom w:val="0"/>
              <w:divBdr>
                <w:top w:val="none" w:sz="0" w:space="0" w:color="auto"/>
                <w:left w:val="none" w:sz="0" w:space="0" w:color="auto"/>
                <w:bottom w:val="none" w:sz="0" w:space="0" w:color="auto"/>
                <w:right w:val="none" w:sz="0" w:space="0" w:color="auto"/>
              </w:divBdr>
              <w:divsChild>
                <w:div w:id="112867324">
                  <w:marLeft w:val="0"/>
                  <w:marRight w:val="0"/>
                  <w:marTop w:val="0"/>
                  <w:marBottom w:val="0"/>
                  <w:divBdr>
                    <w:top w:val="none" w:sz="0" w:space="0" w:color="auto"/>
                    <w:left w:val="none" w:sz="0" w:space="0" w:color="auto"/>
                    <w:bottom w:val="none" w:sz="0" w:space="0" w:color="auto"/>
                    <w:right w:val="none" w:sz="0" w:space="0" w:color="auto"/>
                  </w:divBdr>
                  <w:divsChild>
                    <w:div w:id="579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7538">
      <w:bodyDiv w:val="1"/>
      <w:marLeft w:val="0"/>
      <w:marRight w:val="0"/>
      <w:marTop w:val="0"/>
      <w:marBottom w:val="0"/>
      <w:divBdr>
        <w:top w:val="none" w:sz="0" w:space="0" w:color="auto"/>
        <w:left w:val="none" w:sz="0" w:space="0" w:color="auto"/>
        <w:bottom w:val="none" w:sz="0" w:space="0" w:color="auto"/>
        <w:right w:val="none" w:sz="0" w:space="0" w:color="auto"/>
      </w:divBdr>
    </w:div>
    <w:div w:id="617759159">
      <w:bodyDiv w:val="1"/>
      <w:marLeft w:val="0"/>
      <w:marRight w:val="0"/>
      <w:marTop w:val="0"/>
      <w:marBottom w:val="0"/>
      <w:divBdr>
        <w:top w:val="none" w:sz="0" w:space="0" w:color="auto"/>
        <w:left w:val="none" w:sz="0" w:space="0" w:color="auto"/>
        <w:bottom w:val="none" w:sz="0" w:space="0" w:color="auto"/>
        <w:right w:val="none" w:sz="0" w:space="0" w:color="auto"/>
      </w:divBdr>
    </w:div>
    <w:div w:id="682441629">
      <w:bodyDiv w:val="1"/>
      <w:marLeft w:val="0"/>
      <w:marRight w:val="0"/>
      <w:marTop w:val="0"/>
      <w:marBottom w:val="0"/>
      <w:divBdr>
        <w:top w:val="none" w:sz="0" w:space="0" w:color="auto"/>
        <w:left w:val="none" w:sz="0" w:space="0" w:color="auto"/>
        <w:bottom w:val="none" w:sz="0" w:space="0" w:color="auto"/>
        <w:right w:val="none" w:sz="0" w:space="0" w:color="auto"/>
      </w:divBdr>
    </w:div>
    <w:div w:id="712198569">
      <w:bodyDiv w:val="1"/>
      <w:marLeft w:val="0"/>
      <w:marRight w:val="0"/>
      <w:marTop w:val="600"/>
      <w:marBottom w:val="0"/>
      <w:divBdr>
        <w:top w:val="none" w:sz="0" w:space="0" w:color="auto"/>
        <w:left w:val="none" w:sz="0" w:space="0" w:color="auto"/>
        <w:bottom w:val="none" w:sz="0" w:space="0" w:color="auto"/>
        <w:right w:val="none" w:sz="0" w:space="0" w:color="auto"/>
      </w:divBdr>
      <w:divsChild>
        <w:div w:id="1026252781">
          <w:marLeft w:val="0"/>
          <w:marRight w:val="0"/>
          <w:marTop w:val="0"/>
          <w:marBottom w:val="0"/>
          <w:divBdr>
            <w:top w:val="none" w:sz="0" w:space="0" w:color="auto"/>
            <w:left w:val="none" w:sz="0" w:space="0" w:color="auto"/>
            <w:bottom w:val="none" w:sz="0" w:space="0" w:color="auto"/>
            <w:right w:val="none" w:sz="0" w:space="0" w:color="auto"/>
          </w:divBdr>
          <w:divsChild>
            <w:div w:id="359666384">
              <w:marLeft w:val="0"/>
              <w:marRight w:val="0"/>
              <w:marTop w:val="0"/>
              <w:marBottom w:val="450"/>
              <w:divBdr>
                <w:top w:val="none" w:sz="0" w:space="0" w:color="auto"/>
                <w:left w:val="none" w:sz="0" w:space="0" w:color="auto"/>
                <w:bottom w:val="none" w:sz="0" w:space="0" w:color="auto"/>
                <w:right w:val="none" w:sz="0" w:space="0" w:color="auto"/>
              </w:divBdr>
              <w:divsChild>
                <w:div w:id="15534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633">
      <w:bodyDiv w:val="1"/>
      <w:marLeft w:val="0"/>
      <w:marRight w:val="0"/>
      <w:marTop w:val="0"/>
      <w:marBottom w:val="0"/>
      <w:divBdr>
        <w:top w:val="none" w:sz="0" w:space="0" w:color="auto"/>
        <w:left w:val="none" w:sz="0" w:space="0" w:color="auto"/>
        <w:bottom w:val="none" w:sz="0" w:space="0" w:color="auto"/>
        <w:right w:val="none" w:sz="0" w:space="0" w:color="auto"/>
      </w:divBdr>
      <w:divsChild>
        <w:div w:id="1692611789">
          <w:marLeft w:val="0"/>
          <w:marRight w:val="0"/>
          <w:marTop w:val="0"/>
          <w:marBottom w:val="0"/>
          <w:divBdr>
            <w:top w:val="none" w:sz="0" w:space="0" w:color="auto"/>
            <w:left w:val="none" w:sz="0" w:space="0" w:color="auto"/>
            <w:bottom w:val="none" w:sz="0" w:space="0" w:color="auto"/>
            <w:right w:val="none" w:sz="0" w:space="0" w:color="auto"/>
          </w:divBdr>
          <w:divsChild>
            <w:div w:id="1063214383">
              <w:marLeft w:val="0"/>
              <w:marRight w:val="0"/>
              <w:marTop w:val="0"/>
              <w:marBottom w:val="0"/>
              <w:divBdr>
                <w:top w:val="none" w:sz="0" w:space="0" w:color="auto"/>
                <w:left w:val="none" w:sz="0" w:space="0" w:color="auto"/>
                <w:bottom w:val="none" w:sz="0" w:space="0" w:color="auto"/>
                <w:right w:val="none" w:sz="0" w:space="0" w:color="auto"/>
              </w:divBdr>
              <w:divsChild>
                <w:div w:id="248734608">
                  <w:marLeft w:val="0"/>
                  <w:marRight w:val="0"/>
                  <w:marTop w:val="0"/>
                  <w:marBottom w:val="0"/>
                  <w:divBdr>
                    <w:top w:val="none" w:sz="0" w:space="0" w:color="auto"/>
                    <w:left w:val="none" w:sz="0" w:space="0" w:color="auto"/>
                    <w:bottom w:val="none" w:sz="0" w:space="0" w:color="auto"/>
                    <w:right w:val="none" w:sz="0" w:space="0" w:color="auto"/>
                  </w:divBdr>
                  <w:divsChild>
                    <w:div w:id="6239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9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7475">
          <w:marLeft w:val="0"/>
          <w:marRight w:val="0"/>
          <w:marTop w:val="0"/>
          <w:marBottom w:val="0"/>
          <w:divBdr>
            <w:top w:val="none" w:sz="0" w:space="0" w:color="auto"/>
            <w:left w:val="none" w:sz="0" w:space="0" w:color="auto"/>
            <w:bottom w:val="none" w:sz="0" w:space="0" w:color="auto"/>
            <w:right w:val="none" w:sz="0" w:space="0" w:color="auto"/>
          </w:divBdr>
          <w:divsChild>
            <w:div w:id="934746380">
              <w:marLeft w:val="0"/>
              <w:marRight w:val="0"/>
              <w:marTop w:val="0"/>
              <w:marBottom w:val="0"/>
              <w:divBdr>
                <w:top w:val="none" w:sz="0" w:space="0" w:color="auto"/>
                <w:left w:val="none" w:sz="0" w:space="0" w:color="auto"/>
                <w:bottom w:val="none" w:sz="0" w:space="0" w:color="auto"/>
                <w:right w:val="none" w:sz="0" w:space="0" w:color="auto"/>
              </w:divBdr>
              <w:divsChild>
                <w:div w:id="1027029404">
                  <w:marLeft w:val="0"/>
                  <w:marRight w:val="0"/>
                  <w:marTop w:val="0"/>
                  <w:marBottom w:val="0"/>
                  <w:divBdr>
                    <w:top w:val="none" w:sz="0" w:space="0" w:color="auto"/>
                    <w:left w:val="none" w:sz="0" w:space="0" w:color="auto"/>
                    <w:bottom w:val="none" w:sz="0" w:space="0" w:color="auto"/>
                    <w:right w:val="none" w:sz="0" w:space="0" w:color="auto"/>
                  </w:divBdr>
                  <w:divsChild>
                    <w:div w:id="1456946489">
                      <w:marLeft w:val="0"/>
                      <w:marRight w:val="0"/>
                      <w:marTop w:val="0"/>
                      <w:marBottom w:val="0"/>
                      <w:divBdr>
                        <w:top w:val="none" w:sz="0" w:space="0" w:color="auto"/>
                        <w:left w:val="none" w:sz="0" w:space="0" w:color="auto"/>
                        <w:bottom w:val="none" w:sz="0" w:space="0" w:color="auto"/>
                        <w:right w:val="none" w:sz="0" w:space="0" w:color="auto"/>
                      </w:divBdr>
                      <w:divsChild>
                        <w:div w:id="1222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69359">
      <w:bodyDiv w:val="1"/>
      <w:marLeft w:val="0"/>
      <w:marRight w:val="0"/>
      <w:marTop w:val="0"/>
      <w:marBottom w:val="0"/>
      <w:divBdr>
        <w:top w:val="none" w:sz="0" w:space="0" w:color="auto"/>
        <w:left w:val="none" w:sz="0" w:space="0" w:color="auto"/>
        <w:bottom w:val="none" w:sz="0" w:space="0" w:color="auto"/>
        <w:right w:val="none" w:sz="0" w:space="0" w:color="auto"/>
      </w:divBdr>
      <w:divsChild>
        <w:div w:id="1209493099">
          <w:marLeft w:val="0"/>
          <w:marRight w:val="0"/>
          <w:marTop w:val="0"/>
          <w:marBottom w:val="0"/>
          <w:divBdr>
            <w:top w:val="none" w:sz="0" w:space="0" w:color="auto"/>
            <w:left w:val="none" w:sz="0" w:space="0" w:color="auto"/>
            <w:bottom w:val="none" w:sz="0" w:space="0" w:color="auto"/>
            <w:right w:val="none" w:sz="0" w:space="0" w:color="auto"/>
          </w:divBdr>
          <w:divsChild>
            <w:div w:id="1705981888">
              <w:marLeft w:val="0"/>
              <w:marRight w:val="0"/>
              <w:marTop w:val="0"/>
              <w:marBottom w:val="0"/>
              <w:divBdr>
                <w:top w:val="none" w:sz="0" w:space="0" w:color="auto"/>
                <w:left w:val="none" w:sz="0" w:space="0" w:color="auto"/>
                <w:bottom w:val="none" w:sz="0" w:space="0" w:color="auto"/>
                <w:right w:val="none" w:sz="0" w:space="0" w:color="auto"/>
              </w:divBdr>
              <w:divsChild>
                <w:div w:id="1070618302">
                  <w:marLeft w:val="0"/>
                  <w:marRight w:val="0"/>
                  <w:marTop w:val="0"/>
                  <w:marBottom w:val="0"/>
                  <w:divBdr>
                    <w:top w:val="none" w:sz="0" w:space="0" w:color="auto"/>
                    <w:left w:val="none" w:sz="0" w:space="0" w:color="auto"/>
                    <w:bottom w:val="none" w:sz="0" w:space="0" w:color="auto"/>
                    <w:right w:val="none" w:sz="0" w:space="0" w:color="auto"/>
                  </w:divBdr>
                  <w:divsChild>
                    <w:div w:id="18001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165">
      <w:bodyDiv w:val="1"/>
      <w:marLeft w:val="0"/>
      <w:marRight w:val="0"/>
      <w:marTop w:val="0"/>
      <w:marBottom w:val="0"/>
      <w:divBdr>
        <w:top w:val="none" w:sz="0" w:space="0" w:color="auto"/>
        <w:left w:val="none" w:sz="0" w:space="0" w:color="auto"/>
        <w:bottom w:val="none" w:sz="0" w:space="0" w:color="auto"/>
        <w:right w:val="none" w:sz="0" w:space="0" w:color="auto"/>
      </w:divBdr>
      <w:divsChild>
        <w:div w:id="330917506">
          <w:marLeft w:val="0"/>
          <w:marRight w:val="0"/>
          <w:marTop w:val="0"/>
          <w:marBottom w:val="0"/>
          <w:divBdr>
            <w:top w:val="none" w:sz="0" w:space="0" w:color="auto"/>
            <w:left w:val="none" w:sz="0" w:space="0" w:color="auto"/>
            <w:bottom w:val="none" w:sz="0" w:space="0" w:color="auto"/>
            <w:right w:val="none" w:sz="0" w:space="0" w:color="auto"/>
          </w:divBdr>
          <w:divsChild>
            <w:div w:id="1285963240">
              <w:marLeft w:val="0"/>
              <w:marRight w:val="0"/>
              <w:marTop w:val="0"/>
              <w:marBottom w:val="0"/>
              <w:divBdr>
                <w:top w:val="none" w:sz="0" w:space="0" w:color="auto"/>
                <w:left w:val="none" w:sz="0" w:space="0" w:color="auto"/>
                <w:bottom w:val="none" w:sz="0" w:space="0" w:color="auto"/>
                <w:right w:val="none" w:sz="0" w:space="0" w:color="auto"/>
              </w:divBdr>
              <w:divsChild>
                <w:div w:id="142285337">
                  <w:marLeft w:val="0"/>
                  <w:marRight w:val="0"/>
                  <w:marTop w:val="0"/>
                  <w:marBottom w:val="0"/>
                  <w:divBdr>
                    <w:top w:val="none" w:sz="0" w:space="0" w:color="auto"/>
                    <w:left w:val="none" w:sz="0" w:space="0" w:color="auto"/>
                    <w:bottom w:val="none" w:sz="0" w:space="0" w:color="auto"/>
                    <w:right w:val="none" w:sz="0" w:space="0" w:color="auto"/>
                  </w:divBdr>
                  <w:divsChild>
                    <w:div w:id="732583298">
                      <w:marLeft w:val="0"/>
                      <w:marRight w:val="0"/>
                      <w:marTop w:val="0"/>
                      <w:marBottom w:val="0"/>
                      <w:divBdr>
                        <w:top w:val="none" w:sz="0" w:space="0" w:color="auto"/>
                        <w:left w:val="none" w:sz="0" w:space="0" w:color="auto"/>
                        <w:bottom w:val="none" w:sz="0" w:space="0" w:color="auto"/>
                        <w:right w:val="none" w:sz="0" w:space="0" w:color="auto"/>
                      </w:divBdr>
                      <w:divsChild>
                        <w:div w:id="1880387269">
                          <w:marLeft w:val="0"/>
                          <w:marRight w:val="0"/>
                          <w:marTop w:val="0"/>
                          <w:marBottom w:val="0"/>
                          <w:divBdr>
                            <w:top w:val="none" w:sz="0" w:space="0" w:color="auto"/>
                            <w:left w:val="none" w:sz="0" w:space="0" w:color="auto"/>
                            <w:bottom w:val="none" w:sz="0" w:space="0" w:color="auto"/>
                            <w:right w:val="none" w:sz="0" w:space="0" w:color="auto"/>
                          </w:divBdr>
                          <w:divsChild>
                            <w:div w:id="1271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71354">
      <w:bodyDiv w:val="1"/>
      <w:marLeft w:val="0"/>
      <w:marRight w:val="0"/>
      <w:marTop w:val="0"/>
      <w:marBottom w:val="0"/>
      <w:divBdr>
        <w:top w:val="none" w:sz="0" w:space="0" w:color="auto"/>
        <w:left w:val="none" w:sz="0" w:space="0" w:color="auto"/>
        <w:bottom w:val="none" w:sz="0" w:space="0" w:color="auto"/>
        <w:right w:val="none" w:sz="0" w:space="0" w:color="auto"/>
      </w:divBdr>
      <w:divsChild>
        <w:div w:id="495073306">
          <w:marLeft w:val="0"/>
          <w:marRight w:val="0"/>
          <w:marTop w:val="0"/>
          <w:marBottom w:val="0"/>
          <w:divBdr>
            <w:top w:val="none" w:sz="0" w:space="0" w:color="auto"/>
            <w:left w:val="none" w:sz="0" w:space="0" w:color="auto"/>
            <w:bottom w:val="none" w:sz="0" w:space="0" w:color="auto"/>
            <w:right w:val="none" w:sz="0" w:space="0" w:color="auto"/>
          </w:divBdr>
          <w:divsChild>
            <w:div w:id="241961228">
              <w:marLeft w:val="0"/>
              <w:marRight w:val="0"/>
              <w:marTop w:val="0"/>
              <w:marBottom w:val="0"/>
              <w:divBdr>
                <w:top w:val="none" w:sz="0" w:space="0" w:color="auto"/>
                <w:left w:val="none" w:sz="0" w:space="0" w:color="auto"/>
                <w:bottom w:val="none" w:sz="0" w:space="0" w:color="auto"/>
                <w:right w:val="none" w:sz="0" w:space="0" w:color="auto"/>
              </w:divBdr>
              <w:divsChild>
                <w:div w:id="1906837435">
                  <w:marLeft w:val="0"/>
                  <w:marRight w:val="0"/>
                  <w:marTop w:val="0"/>
                  <w:marBottom w:val="0"/>
                  <w:divBdr>
                    <w:top w:val="none" w:sz="0" w:space="0" w:color="auto"/>
                    <w:left w:val="none" w:sz="0" w:space="0" w:color="auto"/>
                    <w:bottom w:val="none" w:sz="0" w:space="0" w:color="auto"/>
                    <w:right w:val="none" w:sz="0" w:space="0" w:color="auto"/>
                  </w:divBdr>
                  <w:divsChild>
                    <w:div w:id="15571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048">
      <w:bodyDiv w:val="1"/>
      <w:marLeft w:val="0"/>
      <w:marRight w:val="0"/>
      <w:marTop w:val="0"/>
      <w:marBottom w:val="0"/>
      <w:divBdr>
        <w:top w:val="none" w:sz="0" w:space="0" w:color="auto"/>
        <w:left w:val="none" w:sz="0" w:space="0" w:color="auto"/>
        <w:bottom w:val="none" w:sz="0" w:space="0" w:color="auto"/>
        <w:right w:val="none" w:sz="0" w:space="0" w:color="auto"/>
      </w:divBdr>
      <w:divsChild>
        <w:div w:id="656692786">
          <w:marLeft w:val="0"/>
          <w:marRight w:val="0"/>
          <w:marTop w:val="0"/>
          <w:marBottom w:val="0"/>
          <w:divBdr>
            <w:top w:val="none" w:sz="0" w:space="0" w:color="auto"/>
            <w:left w:val="none" w:sz="0" w:space="0" w:color="auto"/>
            <w:bottom w:val="none" w:sz="0" w:space="0" w:color="auto"/>
            <w:right w:val="none" w:sz="0" w:space="0" w:color="auto"/>
          </w:divBdr>
          <w:divsChild>
            <w:div w:id="160043794">
              <w:marLeft w:val="0"/>
              <w:marRight w:val="0"/>
              <w:marTop w:val="0"/>
              <w:marBottom w:val="0"/>
              <w:divBdr>
                <w:top w:val="none" w:sz="0" w:space="0" w:color="auto"/>
                <w:left w:val="none" w:sz="0" w:space="0" w:color="auto"/>
                <w:bottom w:val="none" w:sz="0" w:space="0" w:color="auto"/>
                <w:right w:val="none" w:sz="0" w:space="0" w:color="auto"/>
              </w:divBdr>
              <w:divsChild>
                <w:div w:id="1465201101">
                  <w:marLeft w:val="0"/>
                  <w:marRight w:val="0"/>
                  <w:marTop w:val="0"/>
                  <w:marBottom w:val="0"/>
                  <w:divBdr>
                    <w:top w:val="none" w:sz="0" w:space="0" w:color="auto"/>
                    <w:left w:val="none" w:sz="0" w:space="0" w:color="auto"/>
                    <w:bottom w:val="none" w:sz="0" w:space="0" w:color="auto"/>
                    <w:right w:val="none" w:sz="0" w:space="0" w:color="auto"/>
                  </w:divBdr>
                  <w:divsChild>
                    <w:div w:id="141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9948">
      <w:bodyDiv w:val="1"/>
      <w:marLeft w:val="0"/>
      <w:marRight w:val="0"/>
      <w:marTop w:val="0"/>
      <w:marBottom w:val="0"/>
      <w:divBdr>
        <w:top w:val="none" w:sz="0" w:space="0" w:color="auto"/>
        <w:left w:val="none" w:sz="0" w:space="0" w:color="auto"/>
        <w:bottom w:val="none" w:sz="0" w:space="0" w:color="auto"/>
        <w:right w:val="none" w:sz="0" w:space="0" w:color="auto"/>
      </w:divBdr>
      <w:divsChild>
        <w:div w:id="1531801744">
          <w:marLeft w:val="0"/>
          <w:marRight w:val="0"/>
          <w:marTop w:val="0"/>
          <w:marBottom w:val="0"/>
          <w:divBdr>
            <w:top w:val="none" w:sz="0" w:space="0" w:color="auto"/>
            <w:left w:val="none" w:sz="0" w:space="0" w:color="auto"/>
            <w:bottom w:val="none" w:sz="0" w:space="0" w:color="auto"/>
            <w:right w:val="none" w:sz="0" w:space="0" w:color="auto"/>
          </w:divBdr>
          <w:divsChild>
            <w:div w:id="650521478">
              <w:marLeft w:val="0"/>
              <w:marRight w:val="0"/>
              <w:marTop w:val="0"/>
              <w:marBottom w:val="0"/>
              <w:divBdr>
                <w:top w:val="none" w:sz="0" w:space="0" w:color="auto"/>
                <w:left w:val="none" w:sz="0" w:space="0" w:color="auto"/>
                <w:bottom w:val="none" w:sz="0" w:space="0" w:color="auto"/>
                <w:right w:val="none" w:sz="0" w:space="0" w:color="auto"/>
              </w:divBdr>
              <w:divsChild>
                <w:div w:id="1384021535">
                  <w:marLeft w:val="0"/>
                  <w:marRight w:val="0"/>
                  <w:marTop w:val="0"/>
                  <w:marBottom w:val="0"/>
                  <w:divBdr>
                    <w:top w:val="none" w:sz="0" w:space="0" w:color="auto"/>
                    <w:left w:val="none" w:sz="0" w:space="0" w:color="auto"/>
                    <w:bottom w:val="none" w:sz="0" w:space="0" w:color="auto"/>
                    <w:right w:val="none" w:sz="0" w:space="0" w:color="auto"/>
                  </w:divBdr>
                  <w:divsChild>
                    <w:div w:id="897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8118">
      <w:bodyDiv w:val="1"/>
      <w:marLeft w:val="0"/>
      <w:marRight w:val="0"/>
      <w:marTop w:val="0"/>
      <w:marBottom w:val="0"/>
      <w:divBdr>
        <w:top w:val="none" w:sz="0" w:space="0" w:color="auto"/>
        <w:left w:val="none" w:sz="0" w:space="0" w:color="auto"/>
        <w:bottom w:val="none" w:sz="0" w:space="0" w:color="auto"/>
        <w:right w:val="none" w:sz="0" w:space="0" w:color="auto"/>
      </w:divBdr>
      <w:divsChild>
        <w:div w:id="2113359997">
          <w:marLeft w:val="0"/>
          <w:marRight w:val="0"/>
          <w:marTop w:val="0"/>
          <w:marBottom w:val="0"/>
          <w:divBdr>
            <w:top w:val="none" w:sz="0" w:space="0" w:color="auto"/>
            <w:left w:val="none" w:sz="0" w:space="0" w:color="auto"/>
            <w:bottom w:val="none" w:sz="0" w:space="0" w:color="auto"/>
            <w:right w:val="none" w:sz="0" w:space="0" w:color="auto"/>
          </w:divBdr>
          <w:divsChild>
            <w:div w:id="135878956">
              <w:marLeft w:val="0"/>
              <w:marRight w:val="0"/>
              <w:marTop w:val="0"/>
              <w:marBottom w:val="0"/>
              <w:divBdr>
                <w:top w:val="none" w:sz="0" w:space="0" w:color="auto"/>
                <w:left w:val="none" w:sz="0" w:space="0" w:color="auto"/>
                <w:bottom w:val="none" w:sz="0" w:space="0" w:color="auto"/>
                <w:right w:val="none" w:sz="0" w:space="0" w:color="auto"/>
              </w:divBdr>
              <w:divsChild>
                <w:div w:id="1612320439">
                  <w:marLeft w:val="0"/>
                  <w:marRight w:val="0"/>
                  <w:marTop w:val="0"/>
                  <w:marBottom w:val="0"/>
                  <w:divBdr>
                    <w:top w:val="none" w:sz="0" w:space="0" w:color="auto"/>
                    <w:left w:val="none" w:sz="0" w:space="0" w:color="auto"/>
                    <w:bottom w:val="none" w:sz="0" w:space="0" w:color="auto"/>
                    <w:right w:val="none" w:sz="0" w:space="0" w:color="auto"/>
                  </w:divBdr>
                  <w:divsChild>
                    <w:div w:id="49692253">
                      <w:marLeft w:val="0"/>
                      <w:marRight w:val="0"/>
                      <w:marTop w:val="400"/>
                      <w:marBottom w:val="0"/>
                      <w:divBdr>
                        <w:top w:val="none" w:sz="0" w:space="0" w:color="auto"/>
                        <w:left w:val="none" w:sz="0" w:space="0" w:color="auto"/>
                        <w:bottom w:val="none" w:sz="0" w:space="0" w:color="auto"/>
                        <w:right w:val="none" w:sz="0" w:space="0" w:color="auto"/>
                      </w:divBdr>
                    </w:div>
                    <w:div w:id="438140567">
                      <w:marLeft w:val="0"/>
                      <w:marRight w:val="0"/>
                      <w:marTop w:val="0"/>
                      <w:marBottom w:val="0"/>
                      <w:divBdr>
                        <w:top w:val="none" w:sz="0" w:space="0" w:color="auto"/>
                        <w:left w:val="none" w:sz="0" w:space="0" w:color="auto"/>
                        <w:bottom w:val="none" w:sz="0" w:space="0" w:color="auto"/>
                        <w:right w:val="none" w:sz="0" w:space="0" w:color="auto"/>
                      </w:divBdr>
                      <w:divsChild>
                        <w:div w:id="522399738">
                          <w:marLeft w:val="0"/>
                          <w:marRight w:val="0"/>
                          <w:marTop w:val="0"/>
                          <w:marBottom w:val="0"/>
                          <w:divBdr>
                            <w:top w:val="none" w:sz="0" w:space="0" w:color="auto"/>
                            <w:left w:val="none" w:sz="0" w:space="0" w:color="auto"/>
                            <w:bottom w:val="none" w:sz="0" w:space="0" w:color="auto"/>
                            <w:right w:val="none" w:sz="0" w:space="0" w:color="auto"/>
                          </w:divBdr>
                        </w:div>
                      </w:divsChild>
                    </w:div>
                    <w:div w:id="1788347617">
                      <w:marLeft w:val="0"/>
                      <w:marRight w:val="0"/>
                      <w:marTop w:val="0"/>
                      <w:marBottom w:val="0"/>
                      <w:divBdr>
                        <w:top w:val="none" w:sz="0" w:space="0" w:color="auto"/>
                        <w:left w:val="none" w:sz="0" w:space="0" w:color="auto"/>
                        <w:bottom w:val="none" w:sz="0" w:space="0" w:color="auto"/>
                        <w:right w:val="none" w:sz="0" w:space="0" w:color="auto"/>
                      </w:divBdr>
                      <w:divsChild>
                        <w:div w:id="356347761">
                          <w:marLeft w:val="0"/>
                          <w:marRight w:val="0"/>
                          <w:marTop w:val="0"/>
                          <w:marBottom w:val="0"/>
                          <w:divBdr>
                            <w:top w:val="none" w:sz="0" w:space="0" w:color="auto"/>
                            <w:left w:val="none" w:sz="0" w:space="0" w:color="auto"/>
                            <w:bottom w:val="none" w:sz="0" w:space="0" w:color="auto"/>
                            <w:right w:val="none" w:sz="0" w:space="0" w:color="auto"/>
                          </w:divBdr>
                        </w:div>
                      </w:divsChild>
                    </w:div>
                    <w:div w:id="397822452">
                      <w:marLeft w:val="0"/>
                      <w:marRight w:val="0"/>
                      <w:marTop w:val="0"/>
                      <w:marBottom w:val="0"/>
                      <w:divBdr>
                        <w:top w:val="none" w:sz="0" w:space="0" w:color="auto"/>
                        <w:left w:val="none" w:sz="0" w:space="0" w:color="auto"/>
                        <w:bottom w:val="none" w:sz="0" w:space="0" w:color="auto"/>
                        <w:right w:val="none" w:sz="0" w:space="0" w:color="auto"/>
                      </w:divBdr>
                      <w:divsChild>
                        <w:div w:id="983966326">
                          <w:marLeft w:val="0"/>
                          <w:marRight w:val="0"/>
                          <w:marTop w:val="0"/>
                          <w:marBottom w:val="0"/>
                          <w:divBdr>
                            <w:top w:val="none" w:sz="0" w:space="0" w:color="auto"/>
                            <w:left w:val="none" w:sz="0" w:space="0" w:color="auto"/>
                            <w:bottom w:val="none" w:sz="0" w:space="0" w:color="auto"/>
                            <w:right w:val="none" w:sz="0" w:space="0" w:color="auto"/>
                          </w:divBdr>
                        </w:div>
                      </w:divsChild>
                    </w:div>
                    <w:div w:id="1238438611">
                      <w:marLeft w:val="0"/>
                      <w:marRight w:val="0"/>
                      <w:marTop w:val="0"/>
                      <w:marBottom w:val="0"/>
                      <w:divBdr>
                        <w:top w:val="none" w:sz="0" w:space="0" w:color="auto"/>
                        <w:left w:val="none" w:sz="0" w:space="0" w:color="auto"/>
                        <w:bottom w:val="none" w:sz="0" w:space="0" w:color="auto"/>
                        <w:right w:val="none" w:sz="0" w:space="0" w:color="auto"/>
                      </w:divBdr>
                      <w:divsChild>
                        <w:div w:id="883176720">
                          <w:marLeft w:val="0"/>
                          <w:marRight w:val="0"/>
                          <w:marTop w:val="0"/>
                          <w:marBottom w:val="0"/>
                          <w:divBdr>
                            <w:top w:val="none" w:sz="0" w:space="0" w:color="auto"/>
                            <w:left w:val="none" w:sz="0" w:space="0" w:color="auto"/>
                            <w:bottom w:val="none" w:sz="0" w:space="0" w:color="auto"/>
                            <w:right w:val="none" w:sz="0" w:space="0" w:color="auto"/>
                          </w:divBdr>
                        </w:div>
                      </w:divsChild>
                    </w:div>
                    <w:div w:id="394471903">
                      <w:marLeft w:val="0"/>
                      <w:marRight w:val="0"/>
                      <w:marTop w:val="0"/>
                      <w:marBottom w:val="0"/>
                      <w:divBdr>
                        <w:top w:val="none" w:sz="0" w:space="0" w:color="auto"/>
                        <w:left w:val="none" w:sz="0" w:space="0" w:color="auto"/>
                        <w:bottom w:val="none" w:sz="0" w:space="0" w:color="auto"/>
                        <w:right w:val="none" w:sz="0" w:space="0" w:color="auto"/>
                      </w:divBdr>
                      <w:divsChild>
                        <w:div w:id="1060904732">
                          <w:marLeft w:val="0"/>
                          <w:marRight w:val="0"/>
                          <w:marTop w:val="0"/>
                          <w:marBottom w:val="0"/>
                          <w:divBdr>
                            <w:top w:val="none" w:sz="0" w:space="0" w:color="auto"/>
                            <w:left w:val="none" w:sz="0" w:space="0" w:color="auto"/>
                            <w:bottom w:val="none" w:sz="0" w:space="0" w:color="auto"/>
                            <w:right w:val="none" w:sz="0" w:space="0" w:color="auto"/>
                          </w:divBdr>
                        </w:div>
                      </w:divsChild>
                    </w:div>
                    <w:div w:id="14489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8713">
      <w:bodyDiv w:val="1"/>
      <w:marLeft w:val="0"/>
      <w:marRight w:val="0"/>
      <w:marTop w:val="0"/>
      <w:marBottom w:val="0"/>
      <w:divBdr>
        <w:top w:val="none" w:sz="0" w:space="0" w:color="auto"/>
        <w:left w:val="none" w:sz="0" w:space="0" w:color="auto"/>
        <w:bottom w:val="none" w:sz="0" w:space="0" w:color="auto"/>
        <w:right w:val="none" w:sz="0" w:space="0" w:color="auto"/>
      </w:divBdr>
      <w:divsChild>
        <w:div w:id="1170676064">
          <w:marLeft w:val="0"/>
          <w:marRight w:val="0"/>
          <w:marTop w:val="0"/>
          <w:marBottom w:val="0"/>
          <w:divBdr>
            <w:top w:val="none" w:sz="0" w:space="0" w:color="auto"/>
            <w:left w:val="none" w:sz="0" w:space="0" w:color="auto"/>
            <w:bottom w:val="none" w:sz="0" w:space="0" w:color="auto"/>
            <w:right w:val="none" w:sz="0" w:space="0" w:color="auto"/>
          </w:divBdr>
          <w:divsChild>
            <w:div w:id="1741250488">
              <w:marLeft w:val="0"/>
              <w:marRight w:val="0"/>
              <w:marTop w:val="0"/>
              <w:marBottom w:val="0"/>
              <w:divBdr>
                <w:top w:val="none" w:sz="0" w:space="0" w:color="auto"/>
                <w:left w:val="none" w:sz="0" w:space="0" w:color="auto"/>
                <w:bottom w:val="none" w:sz="0" w:space="0" w:color="auto"/>
                <w:right w:val="none" w:sz="0" w:space="0" w:color="auto"/>
              </w:divBdr>
              <w:divsChild>
                <w:div w:id="2090803852">
                  <w:marLeft w:val="0"/>
                  <w:marRight w:val="0"/>
                  <w:marTop w:val="0"/>
                  <w:marBottom w:val="0"/>
                  <w:divBdr>
                    <w:top w:val="none" w:sz="0" w:space="0" w:color="auto"/>
                    <w:left w:val="none" w:sz="0" w:space="0" w:color="auto"/>
                    <w:bottom w:val="none" w:sz="0" w:space="0" w:color="auto"/>
                    <w:right w:val="none" w:sz="0" w:space="0" w:color="auto"/>
                  </w:divBdr>
                  <w:divsChild>
                    <w:div w:id="19940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380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380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937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380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139370" TargetMode="External"/><Relationship Id="rId14" Type="http://schemas.openxmlformats.org/officeDocument/2006/relationships/hyperlink" Target="mailto:Arturs.Detlavs@t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D110-5BA5-4617-9F37-7DCBDAD0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5831</Words>
  <Characters>39069</Characters>
  <Application>Microsoft Office Word</Application>
  <DocSecurity>0</DocSecurity>
  <Lines>640</Lines>
  <Paragraphs>196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Augstākās tiesas Krimināllietu tiesu palātas likvidācijas ietekmi uz tiesvedību krimināllietās”</vt:lpstr>
      <vt:lpstr>Informatīvais ziņojums„Par Augstākās tiesas Krimināllietu tiesu palātas likvidācijas ietekmi uz   tiesvedību krimināllietās”</vt:lpstr>
    </vt:vector>
  </TitlesOfParts>
  <Company>Tieslietu Ministrija</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Augstākās tiesas Krimināllietu tiesu palātas likvidācijas ietekmi uz tiesvedību krimināllietās”</dc:title>
  <dc:subject>Informatīvais ziņojums</dc:subject>
  <dc:creator>Tieslietu ministrija</dc:creator>
  <dc:description>A.Detlavs
67036827; Arturs.Detlavs@tm.gov.lv</dc:description>
  <cp:lastModifiedBy>Inita Ilgaza</cp:lastModifiedBy>
  <cp:revision>4</cp:revision>
  <cp:lastPrinted>2014-07-23T10:22:00Z</cp:lastPrinted>
  <dcterms:created xsi:type="dcterms:W3CDTF">2014-07-30T11:00:00Z</dcterms:created>
  <dcterms:modified xsi:type="dcterms:W3CDTF">2014-07-30T11:08:00Z</dcterms:modified>
</cp:coreProperties>
</file>