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2C" w:rsidRPr="0033137F" w:rsidRDefault="002B21EE" w:rsidP="00846994">
      <w:pPr>
        <w:pStyle w:val="naislab"/>
        <w:jc w:val="center"/>
        <w:outlineLvl w:val="0"/>
        <w:rPr>
          <w:b/>
          <w:sz w:val="28"/>
          <w:szCs w:val="28"/>
        </w:rPr>
      </w:pPr>
      <w:r w:rsidRPr="0033137F">
        <w:rPr>
          <w:b/>
          <w:sz w:val="28"/>
          <w:szCs w:val="28"/>
        </w:rPr>
        <w:t>Mini</w:t>
      </w:r>
      <w:r w:rsidR="00E0332C" w:rsidRPr="0033137F">
        <w:rPr>
          <w:b/>
          <w:sz w:val="28"/>
          <w:szCs w:val="28"/>
        </w:rPr>
        <w:t>stru kabineta rīkojuma projekta</w:t>
      </w:r>
    </w:p>
    <w:p w:rsidR="00E0332C" w:rsidRPr="0033137F" w:rsidRDefault="002B21EE" w:rsidP="00846994">
      <w:pPr>
        <w:pStyle w:val="naislab"/>
        <w:jc w:val="center"/>
        <w:outlineLvl w:val="0"/>
        <w:rPr>
          <w:b/>
          <w:sz w:val="28"/>
          <w:szCs w:val="28"/>
        </w:rPr>
      </w:pPr>
      <w:r w:rsidRPr="0033137F">
        <w:rPr>
          <w:b/>
          <w:sz w:val="28"/>
          <w:szCs w:val="28"/>
        </w:rPr>
        <w:t xml:space="preserve">„Par </w:t>
      </w:r>
      <w:r w:rsidR="00CE46CF">
        <w:rPr>
          <w:b/>
          <w:sz w:val="28"/>
          <w:szCs w:val="28"/>
        </w:rPr>
        <w:t>A.Antonova</w:t>
      </w:r>
      <w:r w:rsidR="00E0332C" w:rsidRPr="0033137F">
        <w:rPr>
          <w:b/>
          <w:sz w:val="28"/>
          <w:szCs w:val="28"/>
        </w:rPr>
        <w:t xml:space="preserve"> </w:t>
      </w:r>
      <w:r w:rsidR="00CB1405" w:rsidRPr="0033137F">
        <w:rPr>
          <w:b/>
          <w:sz w:val="28"/>
          <w:szCs w:val="28"/>
        </w:rPr>
        <w:t>atbrīvošanu no amata</w:t>
      </w:r>
      <w:r w:rsidR="00E0332C" w:rsidRPr="0033137F">
        <w:rPr>
          <w:b/>
          <w:sz w:val="28"/>
          <w:szCs w:val="28"/>
        </w:rPr>
        <w:t>”</w:t>
      </w:r>
    </w:p>
    <w:p w:rsidR="008C5649" w:rsidRDefault="00852042" w:rsidP="00846994">
      <w:pPr>
        <w:pStyle w:val="naislab"/>
        <w:jc w:val="center"/>
        <w:outlineLvl w:val="0"/>
        <w:rPr>
          <w:b/>
          <w:sz w:val="28"/>
          <w:szCs w:val="28"/>
        </w:rPr>
      </w:pPr>
      <w:r w:rsidRPr="0033137F">
        <w:rPr>
          <w:b/>
          <w:sz w:val="28"/>
          <w:szCs w:val="28"/>
        </w:rPr>
        <w:t>sākotnējā</w:t>
      </w:r>
      <w:r w:rsidR="002D3306" w:rsidRPr="0033137F">
        <w:rPr>
          <w:b/>
          <w:sz w:val="28"/>
          <w:szCs w:val="28"/>
        </w:rPr>
        <w:t>s</w:t>
      </w:r>
      <w:r w:rsidRPr="0033137F">
        <w:rPr>
          <w:b/>
          <w:sz w:val="28"/>
          <w:szCs w:val="28"/>
        </w:rPr>
        <w:t xml:space="preserve"> ietekmes novērtējuma ziņojums (anotācija)</w:t>
      </w:r>
    </w:p>
    <w:p w:rsidR="00991C52" w:rsidRPr="00991C52" w:rsidRDefault="00991C52" w:rsidP="00991C52">
      <w:pPr>
        <w:pStyle w:val="naisf"/>
        <w:spacing w:before="0" w:after="0"/>
        <w:jc w:val="center"/>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991C52" w:rsidRPr="00991C52" w:rsidTr="006B2602">
        <w:trPr>
          <w:trHeight w:val="419"/>
        </w:trPr>
        <w:tc>
          <w:tcPr>
            <w:tcW w:w="5000" w:type="pct"/>
            <w:gridSpan w:val="3"/>
            <w:vAlign w:val="center"/>
          </w:tcPr>
          <w:p w:rsidR="00991C52" w:rsidRPr="00991C52" w:rsidRDefault="00991C52" w:rsidP="006B2602">
            <w:pPr>
              <w:pStyle w:val="naisnod"/>
              <w:spacing w:before="0" w:after="0"/>
              <w:ind w:left="57" w:right="57"/>
              <w:rPr>
                <w:b w:val="0"/>
                <w:sz w:val="28"/>
                <w:szCs w:val="28"/>
              </w:rPr>
            </w:pPr>
            <w:r w:rsidRPr="00991C52">
              <w:rPr>
                <w:sz w:val="28"/>
                <w:szCs w:val="28"/>
              </w:rPr>
              <w:t>I. Tiesību akta projekta izstrādes nepieciešamība</w:t>
            </w:r>
          </w:p>
        </w:tc>
      </w:tr>
      <w:tr w:rsidR="00991C52" w:rsidRPr="00991C52" w:rsidTr="006B2602">
        <w:trPr>
          <w:trHeight w:val="415"/>
        </w:trPr>
        <w:tc>
          <w:tcPr>
            <w:tcW w:w="227" w:type="pct"/>
          </w:tcPr>
          <w:p w:rsidR="00991C52" w:rsidRPr="00991C52" w:rsidRDefault="00991C52" w:rsidP="006B2602">
            <w:pPr>
              <w:pStyle w:val="naiskr"/>
              <w:spacing w:before="0" w:after="0"/>
              <w:ind w:left="57" w:right="57"/>
              <w:jc w:val="center"/>
              <w:rPr>
                <w:sz w:val="28"/>
                <w:szCs w:val="28"/>
              </w:rPr>
            </w:pPr>
            <w:r w:rsidRPr="00991C52">
              <w:rPr>
                <w:sz w:val="28"/>
                <w:szCs w:val="28"/>
              </w:rPr>
              <w:t>1.</w:t>
            </w:r>
          </w:p>
        </w:tc>
        <w:tc>
          <w:tcPr>
            <w:tcW w:w="1568" w:type="pct"/>
          </w:tcPr>
          <w:p w:rsidR="00991C52" w:rsidRPr="00991C52" w:rsidRDefault="00991C52" w:rsidP="006B2602">
            <w:pPr>
              <w:pStyle w:val="naiskr"/>
              <w:spacing w:before="0" w:after="0"/>
              <w:ind w:left="57" w:right="57"/>
              <w:rPr>
                <w:sz w:val="28"/>
                <w:szCs w:val="28"/>
              </w:rPr>
            </w:pPr>
            <w:r w:rsidRPr="00991C52">
              <w:rPr>
                <w:sz w:val="28"/>
                <w:szCs w:val="28"/>
              </w:rPr>
              <w:t>Pamatojums</w:t>
            </w:r>
          </w:p>
        </w:tc>
        <w:tc>
          <w:tcPr>
            <w:tcW w:w="3205" w:type="pct"/>
          </w:tcPr>
          <w:p w:rsidR="00991C52" w:rsidRPr="00991C52" w:rsidRDefault="00AC4759" w:rsidP="006B2602">
            <w:pPr>
              <w:spacing w:after="120"/>
              <w:ind w:left="57" w:right="57"/>
              <w:jc w:val="both"/>
              <w:rPr>
                <w:sz w:val="28"/>
                <w:szCs w:val="28"/>
                <w:shd w:val="clear" w:color="auto" w:fill="FFFFFF"/>
              </w:rPr>
            </w:pPr>
            <w:hyperlink r:id="rId9" w:tgtFrame="_blank" w:history="1">
              <w:r w:rsidR="00991C52" w:rsidRPr="00991C52">
                <w:rPr>
                  <w:rStyle w:val="Hyperlink"/>
                  <w:color w:val="auto"/>
                  <w:sz w:val="28"/>
                  <w:szCs w:val="28"/>
                  <w:u w:val="none"/>
                  <w:shd w:val="clear" w:color="auto" w:fill="FFFFFF"/>
                </w:rPr>
                <w:t>Valsts civildienesta likuma</w:t>
              </w:r>
            </w:hyperlink>
            <w:r w:rsidR="00991C52" w:rsidRPr="00991C52">
              <w:rPr>
                <w:rStyle w:val="apple-converted-space"/>
                <w:rFonts w:ascii="Verdana" w:hAnsi="Verdana"/>
                <w:color w:val="000000"/>
                <w:sz w:val="28"/>
                <w:szCs w:val="28"/>
                <w:shd w:val="clear" w:color="auto" w:fill="FFFFFF"/>
              </w:rPr>
              <w:t> </w:t>
            </w:r>
            <w:r w:rsidR="00991C52" w:rsidRPr="00991C52">
              <w:rPr>
                <w:color w:val="000000"/>
                <w:sz w:val="28"/>
                <w:szCs w:val="28"/>
                <w:shd w:val="clear" w:color="auto" w:fill="FFFFFF"/>
              </w:rPr>
              <w:t xml:space="preserve">14.panta trešā daļa, </w:t>
            </w:r>
            <w:r w:rsidR="00991C52" w:rsidRPr="00991C52">
              <w:rPr>
                <w:sz w:val="28"/>
                <w:szCs w:val="28"/>
              </w:rPr>
              <w:t>Valsts civildienesta ierēdņu disciplināratbildības likuma 31.panta pirmās daļas 1.punkts, otrā un trešā daļa, Valsts civildienesta likuma 41.panta 1.punkta „i” apakšpunkts.</w:t>
            </w:r>
          </w:p>
        </w:tc>
      </w:tr>
      <w:tr w:rsidR="00991C52" w:rsidRPr="00991C52" w:rsidTr="006B2602">
        <w:trPr>
          <w:trHeight w:val="472"/>
        </w:trPr>
        <w:tc>
          <w:tcPr>
            <w:tcW w:w="227" w:type="pct"/>
          </w:tcPr>
          <w:p w:rsidR="00991C52" w:rsidRPr="00991C52" w:rsidRDefault="00991C52" w:rsidP="006B2602">
            <w:pPr>
              <w:pStyle w:val="naiskr"/>
              <w:spacing w:before="0" w:after="0"/>
              <w:ind w:left="57" w:right="57"/>
              <w:jc w:val="center"/>
              <w:rPr>
                <w:sz w:val="28"/>
                <w:szCs w:val="28"/>
              </w:rPr>
            </w:pPr>
            <w:r w:rsidRPr="00991C52">
              <w:rPr>
                <w:sz w:val="28"/>
                <w:szCs w:val="28"/>
              </w:rPr>
              <w:t>2.</w:t>
            </w:r>
          </w:p>
        </w:tc>
        <w:tc>
          <w:tcPr>
            <w:tcW w:w="1568" w:type="pct"/>
          </w:tcPr>
          <w:p w:rsidR="00991C52" w:rsidRPr="00991C52" w:rsidRDefault="00991C52" w:rsidP="006B2602">
            <w:pPr>
              <w:pStyle w:val="naiskr"/>
              <w:tabs>
                <w:tab w:val="left" w:pos="170"/>
              </w:tabs>
              <w:spacing w:before="0" w:after="0"/>
              <w:ind w:left="57" w:right="57"/>
              <w:rPr>
                <w:sz w:val="28"/>
                <w:szCs w:val="28"/>
              </w:rPr>
            </w:pPr>
            <w:r w:rsidRPr="00991C52">
              <w:rPr>
                <w:sz w:val="28"/>
                <w:szCs w:val="28"/>
              </w:rPr>
              <w:t>Pašreizējā situācija un problēmas, kuru risināšanai tiesību akta projekts izstrādāts, tiesiskā regulējuma mērķis un būtība</w:t>
            </w:r>
          </w:p>
        </w:tc>
        <w:tc>
          <w:tcPr>
            <w:tcW w:w="3205" w:type="pct"/>
          </w:tcPr>
          <w:p w:rsidR="00991C52" w:rsidRPr="00A87856" w:rsidRDefault="00991C52" w:rsidP="00991C52">
            <w:pPr>
              <w:ind w:right="140" w:firstLine="709"/>
              <w:jc w:val="both"/>
              <w:rPr>
                <w:sz w:val="28"/>
                <w:szCs w:val="28"/>
              </w:rPr>
            </w:pPr>
            <w:r w:rsidRPr="00A87856">
              <w:rPr>
                <w:sz w:val="28"/>
                <w:szCs w:val="28"/>
              </w:rPr>
              <w:t>Ar vides aizsardzības un reģionālās attīstības ministra 2014.gada 28.janvāra rīkojumu nr.4-d 2014.gada 28.janvārī ir izveidota disciplinārlietas izmeklēšanas komisija (turpmāk – Komisija) un ierosināta disciplinārlieta pret Vides aizsardzības un reģionālās attīstības ministrijas valsts sekretāru Aleksandru Antonovu.</w:t>
            </w:r>
          </w:p>
          <w:p w:rsidR="00991C52" w:rsidRDefault="004F7C17" w:rsidP="00991C52">
            <w:pPr>
              <w:ind w:right="140" w:firstLine="709"/>
              <w:jc w:val="both"/>
              <w:rPr>
                <w:sz w:val="28"/>
                <w:szCs w:val="28"/>
              </w:rPr>
            </w:pPr>
            <w:r>
              <w:rPr>
                <w:sz w:val="28"/>
                <w:szCs w:val="28"/>
              </w:rPr>
              <w:t>Komisijas 2014.gada 10.marta</w:t>
            </w:r>
            <w:r w:rsidR="00991C52" w:rsidRPr="00A87856">
              <w:rPr>
                <w:sz w:val="28"/>
                <w:szCs w:val="28"/>
              </w:rPr>
              <w:t xml:space="preserve"> atzinumā norādīts, ka</w:t>
            </w:r>
            <w:r w:rsidR="00991C52">
              <w:rPr>
                <w:sz w:val="28"/>
                <w:szCs w:val="28"/>
              </w:rPr>
              <w:t xml:space="preserve"> </w:t>
            </w:r>
            <w:r w:rsidR="00991C52" w:rsidRPr="00A87856">
              <w:rPr>
                <w:sz w:val="28"/>
                <w:szCs w:val="28"/>
              </w:rPr>
              <w:t xml:space="preserve">A.Antonovs ir izdarījis </w:t>
            </w:r>
            <w:proofErr w:type="spellStart"/>
            <w:r w:rsidR="00991C52" w:rsidRPr="00A87856">
              <w:rPr>
                <w:sz w:val="28"/>
                <w:szCs w:val="28"/>
              </w:rPr>
              <w:t>disciplinārpārkāpumu</w:t>
            </w:r>
            <w:proofErr w:type="spellEnd"/>
            <w:r w:rsidR="00991C52" w:rsidRPr="00A87856">
              <w:rPr>
                <w:sz w:val="28"/>
                <w:szCs w:val="28"/>
              </w:rPr>
              <w:t>, kas ir paredzēts Valsts civildienesta ierēdņu disciplināratbildības likuma (</w:t>
            </w:r>
            <w:r w:rsidR="00991C52" w:rsidRPr="00FC33CB">
              <w:rPr>
                <w:sz w:val="28"/>
                <w:szCs w:val="28"/>
              </w:rPr>
              <w:t>turpmāk</w:t>
            </w:r>
            <w:r w:rsidR="00991C52" w:rsidRPr="00A87856">
              <w:rPr>
                <w:sz w:val="28"/>
                <w:szCs w:val="28"/>
              </w:rPr>
              <w:t xml:space="preserve"> – VCIDL) 36.panta otrajā daļā. VCIDL 36.panta otrajā daļā ir noteikta disciplināratbildība par valsts pārvaldes uzdevuma nolaidīgu vai nekvalitatīvu pildīšanu, tajā skaitā, tiesību aktiem neatbilstošu rīcību ar finanšu līdzekļiem, ja tā dēļ valstij vai personai nodarīts būtisks mantisks zaudējums vai valsts interesēm būtisks kaitējums, vai personai būtisks personisks kaitējums, samazinot mēnešalgu uz laiku no trim mēnešiem līdz vienam gadam, ieturot līdz 20 procentiem no mēnešalgas, pazeminot amatā uz laiku līdz trim gadiem, atbrīvojot no amata vai atbrīvojot no amata bez tiesībām vienu gadu pretendēt uz amatu valsts pārvaldē.</w:t>
            </w:r>
          </w:p>
          <w:p w:rsidR="00991C52" w:rsidRPr="00A87856" w:rsidRDefault="00991C52" w:rsidP="00991C52">
            <w:pPr>
              <w:ind w:right="140" w:firstLine="709"/>
              <w:jc w:val="both"/>
              <w:rPr>
                <w:sz w:val="28"/>
                <w:szCs w:val="28"/>
              </w:rPr>
            </w:pPr>
            <w:r w:rsidRPr="00A87856">
              <w:rPr>
                <w:sz w:val="28"/>
                <w:szCs w:val="28"/>
              </w:rPr>
              <w:t xml:space="preserve">Komisija secina, ka, pamatojoties uz VCIDL 31.panta pirmo un otro daļu, par konstatētā </w:t>
            </w:r>
            <w:proofErr w:type="spellStart"/>
            <w:r w:rsidRPr="00A87856">
              <w:rPr>
                <w:sz w:val="28"/>
                <w:szCs w:val="28"/>
              </w:rPr>
              <w:t>disciplinārpārkāpuma</w:t>
            </w:r>
            <w:proofErr w:type="spellEnd"/>
            <w:r w:rsidRPr="00A87856">
              <w:rPr>
                <w:sz w:val="28"/>
                <w:szCs w:val="28"/>
              </w:rPr>
              <w:t xml:space="preserve"> izdarīšanu ir pietiekams pamats valsts civildienesta ierēdnim A.Antonovam</w:t>
            </w:r>
            <w:proofErr w:type="gramStart"/>
            <w:r w:rsidRPr="00A87856">
              <w:rPr>
                <w:sz w:val="28"/>
                <w:szCs w:val="28"/>
              </w:rPr>
              <w:t xml:space="preserve"> piemērot VCIDL 36</w:t>
            </w:r>
            <w:proofErr w:type="gramEnd"/>
            <w:r w:rsidRPr="00A87856">
              <w:rPr>
                <w:sz w:val="28"/>
                <w:szCs w:val="28"/>
              </w:rPr>
              <w:t xml:space="preserve">.panta otrajā daļā paredzēto </w:t>
            </w:r>
            <w:r w:rsidRPr="00A87856">
              <w:rPr>
                <w:sz w:val="28"/>
                <w:szCs w:val="28"/>
              </w:rPr>
              <w:lastRenderedPageBreak/>
              <w:t>disciplinārsodu – atbrīvošanu no amata.</w:t>
            </w:r>
          </w:p>
          <w:p w:rsidR="00991C52" w:rsidRDefault="00991C52" w:rsidP="00991C52">
            <w:pPr>
              <w:pStyle w:val="BodyTextIndent3"/>
              <w:ind w:left="57" w:right="57"/>
              <w:jc w:val="both"/>
              <w:rPr>
                <w:sz w:val="28"/>
                <w:szCs w:val="28"/>
              </w:rPr>
            </w:pPr>
            <w:r w:rsidRPr="00A87856">
              <w:rPr>
                <w:sz w:val="28"/>
                <w:szCs w:val="28"/>
              </w:rPr>
              <w:t xml:space="preserve">Ievērojot, ka atbilstoši Valsts civildienesta ierēdņu disciplināratbildības likuma 31.panta otrajai daļai </w:t>
            </w:r>
            <w:r>
              <w:rPr>
                <w:sz w:val="28"/>
                <w:szCs w:val="28"/>
              </w:rPr>
              <w:t>un šā likuma 11.panta ceturtajam</w:t>
            </w:r>
            <w:r w:rsidRPr="00A87856">
              <w:rPr>
                <w:sz w:val="28"/>
                <w:szCs w:val="28"/>
              </w:rPr>
              <w:t xml:space="preserve"> </w:t>
            </w:r>
            <w:r>
              <w:rPr>
                <w:sz w:val="28"/>
                <w:szCs w:val="28"/>
              </w:rPr>
              <w:t>punktam</w:t>
            </w:r>
            <w:r w:rsidRPr="00A87856">
              <w:rPr>
                <w:sz w:val="28"/>
                <w:szCs w:val="28"/>
              </w:rPr>
              <w:t xml:space="preserve"> lēmumu par šāda veida disciplinārsoda piemērošanu ierēdnim - valsts sekretāram ir tiesīgs pieņemt </w:t>
            </w:r>
            <w:r>
              <w:rPr>
                <w:sz w:val="28"/>
                <w:szCs w:val="28"/>
              </w:rPr>
              <w:t>vides aizsardzības un reģionālās attīstības</w:t>
            </w:r>
            <w:r w:rsidRPr="00A87856">
              <w:rPr>
                <w:sz w:val="28"/>
                <w:szCs w:val="28"/>
              </w:rPr>
              <w:t xml:space="preserve"> ministrs, pamatojoties uz Ministru kabineta lēmumu, pirms soda piemērošanas ir nepieciešams sagatavot dokumentus Ministru kabinetam lēmuma pieņemšanai.</w:t>
            </w:r>
          </w:p>
          <w:p w:rsidR="00991C52" w:rsidRPr="00991C52" w:rsidRDefault="00991C52" w:rsidP="00991C52">
            <w:pPr>
              <w:pStyle w:val="BodyTextIndent3"/>
              <w:ind w:left="57" w:right="57"/>
              <w:jc w:val="both"/>
              <w:rPr>
                <w:sz w:val="28"/>
                <w:szCs w:val="28"/>
                <w:lang w:val="lv-LV" w:eastAsia="lv-LV"/>
              </w:rPr>
            </w:pPr>
            <w:r>
              <w:rPr>
                <w:sz w:val="28"/>
                <w:szCs w:val="28"/>
                <w:lang w:val="lv-LV"/>
              </w:rPr>
              <w:t xml:space="preserve">        </w:t>
            </w:r>
            <w:r w:rsidRPr="0033137F">
              <w:rPr>
                <w:sz w:val="28"/>
                <w:szCs w:val="28"/>
              </w:rPr>
              <w:t xml:space="preserve">Rīkojuma projekts „Par </w:t>
            </w:r>
            <w:r>
              <w:rPr>
                <w:sz w:val="28"/>
                <w:szCs w:val="28"/>
              </w:rPr>
              <w:t>A.Antonova</w:t>
            </w:r>
            <w:r w:rsidRPr="0033137F">
              <w:rPr>
                <w:sz w:val="28"/>
                <w:szCs w:val="28"/>
              </w:rPr>
              <w:t xml:space="preserve">  atbrīvošanu no amata” paredz atļaut </w:t>
            </w:r>
            <w:r>
              <w:rPr>
                <w:sz w:val="28"/>
                <w:szCs w:val="28"/>
              </w:rPr>
              <w:t>vides aizsardzības un reģionālās attīstības</w:t>
            </w:r>
            <w:r w:rsidRPr="0033137F">
              <w:rPr>
                <w:sz w:val="28"/>
                <w:szCs w:val="28"/>
              </w:rPr>
              <w:t xml:space="preserve"> ministram piemērot </w:t>
            </w:r>
            <w:r>
              <w:rPr>
                <w:sz w:val="28"/>
                <w:szCs w:val="28"/>
              </w:rPr>
              <w:t>A.Antonovam</w:t>
            </w:r>
            <w:r w:rsidRPr="0033137F">
              <w:rPr>
                <w:sz w:val="28"/>
                <w:szCs w:val="28"/>
              </w:rPr>
              <w:t xml:space="preserve"> disciplinārsodu – atbrīvošana no amata un attiecīgi atbilstoši Valsts civildienesta likuma 41.panta </w:t>
            </w:r>
            <w:r>
              <w:rPr>
                <w:sz w:val="28"/>
                <w:szCs w:val="28"/>
              </w:rPr>
              <w:t xml:space="preserve">1.punkta </w:t>
            </w:r>
            <w:r w:rsidRPr="0033137F">
              <w:rPr>
                <w:sz w:val="28"/>
                <w:szCs w:val="28"/>
              </w:rPr>
              <w:t xml:space="preserve">„i” apakšpunktam izbeigt ar </w:t>
            </w:r>
            <w:r>
              <w:rPr>
                <w:sz w:val="28"/>
                <w:szCs w:val="28"/>
              </w:rPr>
              <w:t>A.Antonovu</w:t>
            </w:r>
            <w:r w:rsidRPr="0033137F">
              <w:rPr>
                <w:sz w:val="28"/>
                <w:szCs w:val="28"/>
              </w:rPr>
              <w:t xml:space="preserve"> civildienesta attiecības.</w:t>
            </w:r>
          </w:p>
        </w:tc>
      </w:tr>
      <w:tr w:rsidR="00991C52" w:rsidRPr="00991C52" w:rsidTr="006B2602">
        <w:trPr>
          <w:trHeight w:val="476"/>
        </w:trPr>
        <w:tc>
          <w:tcPr>
            <w:tcW w:w="227" w:type="pct"/>
          </w:tcPr>
          <w:p w:rsidR="00991C52" w:rsidRPr="00991C52" w:rsidRDefault="00991C52" w:rsidP="006B2602">
            <w:pPr>
              <w:pStyle w:val="naiskr"/>
              <w:spacing w:before="0" w:after="0"/>
              <w:ind w:left="57" w:right="57"/>
              <w:jc w:val="center"/>
              <w:rPr>
                <w:sz w:val="28"/>
                <w:szCs w:val="28"/>
              </w:rPr>
            </w:pPr>
            <w:r w:rsidRPr="00991C52">
              <w:rPr>
                <w:sz w:val="28"/>
                <w:szCs w:val="28"/>
              </w:rPr>
              <w:lastRenderedPageBreak/>
              <w:t>3.</w:t>
            </w:r>
          </w:p>
        </w:tc>
        <w:tc>
          <w:tcPr>
            <w:tcW w:w="1568" w:type="pct"/>
          </w:tcPr>
          <w:p w:rsidR="00991C52" w:rsidRPr="00991C52" w:rsidRDefault="00991C52" w:rsidP="006B2602">
            <w:pPr>
              <w:pStyle w:val="naiskr"/>
              <w:spacing w:before="0" w:after="0"/>
              <w:ind w:left="57" w:right="57"/>
              <w:rPr>
                <w:sz w:val="28"/>
                <w:szCs w:val="28"/>
              </w:rPr>
            </w:pPr>
            <w:r w:rsidRPr="00991C52">
              <w:rPr>
                <w:sz w:val="28"/>
                <w:szCs w:val="28"/>
              </w:rPr>
              <w:t>Projekta izstrādē iesaistītās institūcijas</w:t>
            </w:r>
          </w:p>
        </w:tc>
        <w:tc>
          <w:tcPr>
            <w:tcW w:w="3205" w:type="pct"/>
          </w:tcPr>
          <w:p w:rsidR="00991C52" w:rsidRPr="00991C52" w:rsidRDefault="00991C52" w:rsidP="006B2602">
            <w:pPr>
              <w:ind w:left="57" w:right="57"/>
              <w:rPr>
                <w:sz w:val="28"/>
                <w:szCs w:val="28"/>
              </w:rPr>
            </w:pPr>
            <w:r>
              <w:rPr>
                <w:sz w:val="28"/>
                <w:szCs w:val="28"/>
              </w:rPr>
              <w:t>Vides aizsardzības un reģionālās attīstības</w:t>
            </w:r>
            <w:r w:rsidRPr="0033137F">
              <w:rPr>
                <w:sz w:val="28"/>
                <w:szCs w:val="28"/>
              </w:rPr>
              <w:t xml:space="preserve"> ministrija.</w:t>
            </w:r>
          </w:p>
        </w:tc>
      </w:tr>
      <w:tr w:rsidR="00991C52" w:rsidRPr="00991C52" w:rsidTr="006B2602">
        <w:tc>
          <w:tcPr>
            <w:tcW w:w="227" w:type="pct"/>
          </w:tcPr>
          <w:p w:rsidR="00991C52" w:rsidRPr="00991C52" w:rsidRDefault="00991C52" w:rsidP="006B2602">
            <w:pPr>
              <w:pStyle w:val="naiskr"/>
              <w:spacing w:before="0" w:after="0"/>
              <w:ind w:left="57" w:right="57"/>
              <w:jc w:val="center"/>
              <w:rPr>
                <w:sz w:val="28"/>
                <w:szCs w:val="28"/>
              </w:rPr>
            </w:pPr>
            <w:r w:rsidRPr="00991C52">
              <w:rPr>
                <w:sz w:val="28"/>
                <w:szCs w:val="28"/>
              </w:rPr>
              <w:t>4.</w:t>
            </w:r>
          </w:p>
        </w:tc>
        <w:tc>
          <w:tcPr>
            <w:tcW w:w="1568" w:type="pct"/>
          </w:tcPr>
          <w:p w:rsidR="00991C52" w:rsidRPr="00991C52" w:rsidRDefault="00991C52" w:rsidP="006B2602">
            <w:pPr>
              <w:pStyle w:val="naiskr"/>
              <w:spacing w:before="0" w:after="0"/>
              <w:ind w:left="57" w:right="57"/>
              <w:rPr>
                <w:sz w:val="28"/>
                <w:szCs w:val="28"/>
              </w:rPr>
            </w:pPr>
            <w:r w:rsidRPr="00991C52">
              <w:rPr>
                <w:sz w:val="28"/>
                <w:szCs w:val="28"/>
              </w:rPr>
              <w:t>Cita informācija</w:t>
            </w:r>
          </w:p>
        </w:tc>
        <w:tc>
          <w:tcPr>
            <w:tcW w:w="3205" w:type="pct"/>
          </w:tcPr>
          <w:p w:rsidR="00991C52" w:rsidRPr="00991C52" w:rsidRDefault="00991C52" w:rsidP="006B2602">
            <w:pPr>
              <w:pStyle w:val="naiskr"/>
              <w:spacing w:before="0" w:after="0"/>
              <w:ind w:left="57" w:right="57"/>
              <w:rPr>
                <w:sz w:val="28"/>
                <w:szCs w:val="28"/>
              </w:rPr>
            </w:pPr>
            <w:r w:rsidRPr="00991C52">
              <w:rPr>
                <w:sz w:val="28"/>
                <w:szCs w:val="28"/>
              </w:rPr>
              <w:t>Nav</w:t>
            </w:r>
          </w:p>
        </w:tc>
      </w:tr>
    </w:tbl>
    <w:p w:rsidR="00124FB2" w:rsidRPr="0033137F" w:rsidRDefault="00015F1D" w:rsidP="00CB1405">
      <w:pPr>
        <w:pStyle w:val="naisf"/>
        <w:spacing w:before="360" w:after="600"/>
        <w:ind w:firstLine="902"/>
        <w:rPr>
          <w:i/>
          <w:sz w:val="28"/>
          <w:szCs w:val="28"/>
        </w:rPr>
      </w:pPr>
      <w:r w:rsidRPr="0033137F">
        <w:rPr>
          <w:i/>
          <w:sz w:val="28"/>
          <w:szCs w:val="28"/>
        </w:rPr>
        <w:t>Anotācijas II, III, IV, V, VI un VII sadaļa</w:t>
      </w:r>
      <w:r w:rsidR="003A3C1C">
        <w:rPr>
          <w:i/>
          <w:sz w:val="28"/>
          <w:szCs w:val="28"/>
        </w:rPr>
        <w:t xml:space="preserve"> </w:t>
      </w:r>
      <w:r w:rsidRPr="0033137F">
        <w:rPr>
          <w:i/>
          <w:sz w:val="28"/>
          <w:szCs w:val="28"/>
        </w:rPr>
        <w:t>- projekts šīs jomas neskar.</w:t>
      </w:r>
    </w:p>
    <w:p w:rsidR="00CE46CF" w:rsidRDefault="00CE46CF" w:rsidP="00CE46CF">
      <w:pPr>
        <w:tabs>
          <w:tab w:val="left" w:pos="7088"/>
          <w:tab w:val="right" w:pos="8460"/>
        </w:tabs>
        <w:jc w:val="both"/>
        <w:rPr>
          <w:sz w:val="28"/>
          <w:szCs w:val="28"/>
        </w:rPr>
      </w:pPr>
      <w:r>
        <w:rPr>
          <w:sz w:val="28"/>
          <w:szCs w:val="28"/>
        </w:rPr>
        <w:t xml:space="preserve">Vides aizsardzības un </w:t>
      </w:r>
    </w:p>
    <w:p w:rsidR="00757BE7" w:rsidRDefault="00CE46CF" w:rsidP="00CE46CF">
      <w:pPr>
        <w:tabs>
          <w:tab w:val="left" w:pos="7088"/>
          <w:tab w:val="right" w:pos="8460"/>
        </w:tabs>
        <w:jc w:val="both"/>
        <w:rPr>
          <w:sz w:val="28"/>
          <w:szCs w:val="28"/>
        </w:rPr>
      </w:pPr>
      <w:r>
        <w:rPr>
          <w:sz w:val="28"/>
          <w:szCs w:val="28"/>
        </w:rPr>
        <w:t>reģionālās attīstības</w:t>
      </w:r>
      <w:r w:rsidR="009B1442" w:rsidRPr="0033137F">
        <w:rPr>
          <w:sz w:val="28"/>
          <w:szCs w:val="28"/>
        </w:rPr>
        <w:t xml:space="preserve"> ministrs</w:t>
      </w:r>
      <w:r>
        <w:rPr>
          <w:sz w:val="28"/>
          <w:szCs w:val="28"/>
        </w:rPr>
        <w:tab/>
        <w:t>E. Cilinskis</w:t>
      </w:r>
    </w:p>
    <w:p w:rsidR="00CE46CF" w:rsidRDefault="00CE46CF" w:rsidP="00CE46CF">
      <w:pPr>
        <w:tabs>
          <w:tab w:val="left" w:pos="7088"/>
          <w:tab w:val="right" w:pos="8460"/>
        </w:tabs>
        <w:jc w:val="both"/>
        <w:rPr>
          <w:sz w:val="28"/>
          <w:szCs w:val="28"/>
        </w:rPr>
      </w:pPr>
    </w:p>
    <w:p w:rsidR="00CE46CF" w:rsidRDefault="00CE46CF" w:rsidP="00CE46CF">
      <w:pPr>
        <w:tabs>
          <w:tab w:val="left" w:pos="7088"/>
          <w:tab w:val="right" w:pos="8460"/>
        </w:tabs>
        <w:jc w:val="both"/>
        <w:rPr>
          <w:sz w:val="28"/>
          <w:szCs w:val="28"/>
        </w:rPr>
      </w:pPr>
    </w:p>
    <w:tbl>
      <w:tblPr>
        <w:tblW w:w="0" w:type="auto"/>
        <w:tblLook w:val="00A0" w:firstRow="1" w:lastRow="0" w:firstColumn="1" w:lastColumn="0" w:noHBand="0" w:noVBand="0"/>
      </w:tblPr>
      <w:tblGrid>
        <w:gridCol w:w="8613"/>
      </w:tblGrid>
      <w:tr w:rsidR="00893088" w:rsidTr="00CE46CF">
        <w:trPr>
          <w:trHeight w:val="80"/>
        </w:trPr>
        <w:tc>
          <w:tcPr>
            <w:tcW w:w="8613" w:type="dxa"/>
          </w:tcPr>
          <w:p w:rsidR="00893088" w:rsidRPr="00893088" w:rsidRDefault="00893088" w:rsidP="00893088">
            <w:pPr>
              <w:widowControl w:val="0"/>
              <w:autoSpaceDE w:val="0"/>
              <w:autoSpaceDN w:val="0"/>
              <w:adjustRightInd w:val="0"/>
              <w:rPr>
                <w:sz w:val="28"/>
                <w:szCs w:val="28"/>
              </w:rPr>
            </w:pPr>
            <w:r w:rsidRPr="00893088">
              <w:rPr>
                <w:sz w:val="28"/>
                <w:szCs w:val="28"/>
              </w:rPr>
              <w:t>Vizē:</w:t>
            </w:r>
          </w:p>
          <w:p w:rsidR="00CE46CF" w:rsidRDefault="00893088" w:rsidP="00893088">
            <w:pPr>
              <w:widowControl w:val="0"/>
              <w:autoSpaceDE w:val="0"/>
              <w:autoSpaceDN w:val="0"/>
              <w:adjustRightInd w:val="0"/>
              <w:jc w:val="both"/>
              <w:rPr>
                <w:sz w:val="28"/>
                <w:szCs w:val="28"/>
              </w:rPr>
            </w:pPr>
            <w:r w:rsidRPr="00893088">
              <w:rPr>
                <w:sz w:val="28"/>
                <w:szCs w:val="28"/>
              </w:rPr>
              <w:t xml:space="preserve">valsts sekretāra </w:t>
            </w:r>
            <w:proofErr w:type="spellStart"/>
            <w:r w:rsidR="00991C52">
              <w:rPr>
                <w:sz w:val="28"/>
                <w:szCs w:val="28"/>
              </w:rPr>
              <w:t>p.i</w:t>
            </w:r>
            <w:proofErr w:type="spellEnd"/>
            <w:r w:rsidR="00991C52">
              <w:rPr>
                <w:sz w:val="28"/>
                <w:szCs w:val="28"/>
              </w:rPr>
              <w:t>.</w:t>
            </w:r>
            <w:r w:rsidR="00CE46CF">
              <w:rPr>
                <w:sz w:val="28"/>
                <w:szCs w:val="28"/>
              </w:rPr>
              <w:t>,</w:t>
            </w:r>
          </w:p>
          <w:p w:rsidR="00893088" w:rsidRPr="00893088" w:rsidRDefault="00CE46CF" w:rsidP="00CE46CF">
            <w:pPr>
              <w:widowControl w:val="0"/>
              <w:autoSpaceDE w:val="0"/>
              <w:autoSpaceDN w:val="0"/>
              <w:adjustRightInd w:val="0"/>
              <w:ind w:right="-533"/>
              <w:jc w:val="both"/>
              <w:rPr>
                <w:sz w:val="28"/>
                <w:szCs w:val="28"/>
              </w:rPr>
            </w:pPr>
            <w:r>
              <w:rPr>
                <w:sz w:val="28"/>
                <w:szCs w:val="28"/>
              </w:rPr>
              <w:t>administrācijas vadītāja</w:t>
            </w:r>
            <w:r w:rsidR="00893088">
              <w:rPr>
                <w:sz w:val="28"/>
                <w:szCs w:val="28"/>
              </w:rPr>
              <w:t xml:space="preserve"> </w:t>
            </w:r>
            <w:r w:rsidR="00893088">
              <w:rPr>
                <w:sz w:val="28"/>
                <w:szCs w:val="28"/>
              </w:rPr>
              <w:tab/>
            </w:r>
            <w:proofErr w:type="gramStart"/>
            <w:r w:rsidR="00893088">
              <w:rPr>
                <w:sz w:val="28"/>
                <w:szCs w:val="28"/>
              </w:rPr>
              <w:t xml:space="preserve">                                         </w:t>
            </w:r>
            <w:r>
              <w:rPr>
                <w:sz w:val="28"/>
                <w:szCs w:val="28"/>
              </w:rPr>
              <w:t xml:space="preserve">               </w:t>
            </w:r>
            <w:proofErr w:type="gramEnd"/>
            <w:r>
              <w:rPr>
                <w:sz w:val="28"/>
                <w:szCs w:val="28"/>
              </w:rPr>
              <w:t>E. Turka</w:t>
            </w:r>
          </w:p>
          <w:p w:rsidR="00893088" w:rsidRDefault="00893088">
            <w:pPr>
              <w:widowControl w:val="0"/>
              <w:autoSpaceDE w:val="0"/>
              <w:autoSpaceDN w:val="0"/>
              <w:adjustRightInd w:val="0"/>
              <w:rPr>
                <w:sz w:val="22"/>
                <w:szCs w:val="22"/>
              </w:rPr>
            </w:pPr>
          </w:p>
          <w:p w:rsidR="00893088" w:rsidRDefault="00893088">
            <w:pPr>
              <w:widowControl w:val="0"/>
              <w:autoSpaceDE w:val="0"/>
              <w:autoSpaceDN w:val="0"/>
              <w:adjustRightInd w:val="0"/>
              <w:rPr>
                <w:sz w:val="22"/>
                <w:szCs w:val="22"/>
              </w:rPr>
            </w:pPr>
          </w:p>
          <w:p w:rsidR="00893088" w:rsidRDefault="00893088">
            <w:pPr>
              <w:widowControl w:val="0"/>
              <w:autoSpaceDE w:val="0"/>
              <w:autoSpaceDN w:val="0"/>
              <w:adjustRightInd w:val="0"/>
              <w:rPr>
                <w:sz w:val="22"/>
                <w:szCs w:val="22"/>
              </w:rPr>
            </w:pPr>
          </w:p>
          <w:tbl>
            <w:tblPr>
              <w:tblW w:w="0" w:type="auto"/>
              <w:tblLook w:val="00A0" w:firstRow="1" w:lastRow="0" w:firstColumn="1" w:lastColumn="0" w:noHBand="0" w:noVBand="0"/>
            </w:tblPr>
            <w:tblGrid>
              <w:gridCol w:w="8397"/>
            </w:tblGrid>
            <w:tr w:rsidR="00343B19" w:rsidTr="00343B19">
              <w:trPr>
                <w:trHeight w:val="80"/>
              </w:trPr>
              <w:tc>
                <w:tcPr>
                  <w:tcW w:w="8613" w:type="dxa"/>
                </w:tcPr>
                <w:p w:rsidR="00343B19" w:rsidRDefault="00343B19" w:rsidP="00343B19">
                  <w:pPr>
                    <w:widowControl w:val="0"/>
                    <w:autoSpaceDE w:val="0"/>
                    <w:autoSpaceDN w:val="0"/>
                    <w:adjustRightInd w:val="0"/>
                    <w:rPr>
                      <w:sz w:val="22"/>
                      <w:szCs w:val="22"/>
                    </w:rPr>
                  </w:pPr>
                </w:p>
                <w:p w:rsidR="00343B19" w:rsidRDefault="004F7C17" w:rsidP="00343B19">
                  <w:pPr>
                    <w:widowControl w:val="0"/>
                    <w:autoSpaceDE w:val="0"/>
                    <w:autoSpaceDN w:val="0"/>
                    <w:adjustRightInd w:val="0"/>
                    <w:rPr>
                      <w:sz w:val="22"/>
                      <w:szCs w:val="22"/>
                    </w:rPr>
                  </w:pPr>
                  <w:r>
                    <w:rPr>
                      <w:sz w:val="22"/>
                      <w:szCs w:val="22"/>
                    </w:rPr>
                    <w:t>11</w:t>
                  </w:r>
                  <w:r w:rsidR="00343B19">
                    <w:rPr>
                      <w:sz w:val="22"/>
                      <w:szCs w:val="22"/>
                    </w:rPr>
                    <w:t xml:space="preserve">.03.2014. </w:t>
                  </w:r>
                </w:p>
              </w:tc>
            </w:tr>
            <w:tr w:rsidR="00343B19" w:rsidTr="00343B19">
              <w:tc>
                <w:tcPr>
                  <w:tcW w:w="8613" w:type="dxa"/>
                  <w:hideMark/>
                </w:tcPr>
                <w:p w:rsidR="00343B19" w:rsidRDefault="00343B19" w:rsidP="00343B19">
                  <w:pPr>
                    <w:widowControl w:val="0"/>
                    <w:autoSpaceDE w:val="0"/>
                    <w:autoSpaceDN w:val="0"/>
                    <w:adjustRightInd w:val="0"/>
                    <w:rPr>
                      <w:sz w:val="22"/>
                      <w:szCs w:val="22"/>
                    </w:rPr>
                  </w:pPr>
                  <w:r>
                    <w:rPr>
                      <w:sz w:val="22"/>
                      <w:szCs w:val="22"/>
                    </w:rPr>
                    <w:t>374</w:t>
                  </w:r>
                </w:p>
              </w:tc>
            </w:tr>
            <w:tr w:rsidR="00343B19" w:rsidTr="00343B19">
              <w:tc>
                <w:tcPr>
                  <w:tcW w:w="8613" w:type="dxa"/>
                  <w:hideMark/>
                </w:tcPr>
                <w:p w:rsidR="00343B19" w:rsidRDefault="00343B19" w:rsidP="00343B19">
                  <w:pPr>
                    <w:widowControl w:val="0"/>
                    <w:autoSpaceDE w:val="0"/>
                    <w:autoSpaceDN w:val="0"/>
                    <w:adjustRightInd w:val="0"/>
                    <w:rPr>
                      <w:sz w:val="22"/>
                      <w:szCs w:val="22"/>
                    </w:rPr>
                  </w:pPr>
                  <w:r>
                    <w:rPr>
                      <w:sz w:val="22"/>
                      <w:szCs w:val="22"/>
                    </w:rPr>
                    <w:t>Gailis, 67026544</w:t>
                  </w:r>
                </w:p>
              </w:tc>
            </w:tr>
            <w:tr w:rsidR="00343B19" w:rsidTr="00343B19">
              <w:tc>
                <w:tcPr>
                  <w:tcW w:w="8613" w:type="dxa"/>
                  <w:hideMark/>
                </w:tcPr>
                <w:p w:rsidR="00343B19" w:rsidRDefault="00343B19" w:rsidP="00343B19">
                  <w:pPr>
                    <w:widowControl w:val="0"/>
                    <w:autoSpaceDE w:val="0"/>
                    <w:autoSpaceDN w:val="0"/>
                    <w:adjustRightInd w:val="0"/>
                    <w:rPr>
                      <w:sz w:val="22"/>
                      <w:szCs w:val="22"/>
                      <w:lang w:val="fi-FI"/>
                    </w:rPr>
                  </w:pPr>
                  <w:r>
                    <w:rPr>
                      <w:sz w:val="22"/>
                      <w:szCs w:val="22"/>
                    </w:rPr>
                    <w:t>gustavs.gailis@varam.gov.lv</w:t>
                  </w:r>
                </w:p>
              </w:tc>
            </w:tr>
          </w:tbl>
          <w:p w:rsidR="00893088" w:rsidRPr="00343B19" w:rsidRDefault="00893088">
            <w:pPr>
              <w:widowControl w:val="0"/>
              <w:autoSpaceDE w:val="0"/>
              <w:autoSpaceDN w:val="0"/>
              <w:adjustRightInd w:val="0"/>
              <w:rPr>
                <w:sz w:val="22"/>
                <w:szCs w:val="22"/>
                <w:lang w:val="fi-FI"/>
              </w:rPr>
            </w:pPr>
          </w:p>
        </w:tc>
      </w:tr>
      <w:tr w:rsidR="009B1442" w:rsidRPr="0033137F" w:rsidTr="00CE46CF">
        <w:trPr>
          <w:trHeight w:val="80"/>
        </w:trPr>
        <w:tc>
          <w:tcPr>
            <w:tcW w:w="8613" w:type="dxa"/>
          </w:tcPr>
          <w:p w:rsidR="009B1442" w:rsidRPr="0033137F" w:rsidRDefault="009B1442" w:rsidP="0025783E">
            <w:pPr>
              <w:widowControl w:val="0"/>
              <w:autoSpaceDE w:val="0"/>
              <w:autoSpaceDN w:val="0"/>
              <w:adjustRightInd w:val="0"/>
              <w:rPr>
                <w:sz w:val="22"/>
                <w:szCs w:val="22"/>
              </w:rPr>
            </w:pPr>
          </w:p>
        </w:tc>
      </w:tr>
      <w:tr w:rsidR="00343B19" w:rsidRPr="0033137F" w:rsidTr="00CE46CF">
        <w:trPr>
          <w:trHeight w:val="80"/>
        </w:trPr>
        <w:tc>
          <w:tcPr>
            <w:tcW w:w="8613" w:type="dxa"/>
          </w:tcPr>
          <w:p w:rsidR="00343B19" w:rsidRPr="0033137F" w:rsidRDefault="00343B19" w:rsidP="0025783E">
            <w:pPr>
              <w:widowControl w:val="0"/>
              <w:autoSpaceDE w:val="0"/>
              <w:autoSpaceDN w:val="0"/>
              <w:adjustRightInd w:val="0"/>
              <w:rPr>
                <w:sz w:val="22"/>
                <w:szCs w:val="22"/>
              </w:rPr>
            </w:pPr>
          </w:p>
        </w:tc>
      </w:tr>
      <w:tr w:rsidR="009B1442" w:rsidRPr="0033137F" w:rsidTr="00CE46CF">
        <w:tc>
          <w:tcPr>
            <w:tcW w:w="8613" w:type="dxa"/>
          </w:tcPr>
          <w:p w:rsidR="009B1442" w:rsidRPr="0033137F" w:rsidRDefault="009B1442" w:rsidP="00613FFC">
            <w:pPr>
              <w:widowControl w:val="0"/>
              <w:autoSpaceDE w:val="0"/>
              <w:autoSpaceDN w:val="0"/>
              <w:adjustRightInd w:val="0"/>
              <w:rPr>
                <w:sz w:val="22"/>
                <w:szCs w:val="22"/>
              </w:rPr>
            </w:pPr>
          </w:p>
        </w:tc>
      </w:tr>
      <w:tr w:rsidR="009B1442" w:rsidRPr="0033137F" w:rsidTr="00CE46CF">
        <w:tc>
          <w:tcPr>
            <w:tcW w:w="8613" w:type="dxa"/>
          </w:tcPr>
          <w:p w:rsidR="009B1442" w:rsidRPr="0033137F" w:rsidRDefault="009B1442" w:rsidP="00CE46CF">
            <w:pPr>
              <w:widowControl w:val="0"/>
              <w:autoSpaceDE w:val="0"/>
              <w:autoSpaceDN w:val="0"/>
              <w:adjustRightInd w:val="0"/>
              <w:rPr>
                <w:sz w:val="22"/>
                <w:szCs w:val="22"/>
              </w:rPr>
            </w:pPr>
          </w:p>
        </w:tc>
      </w:tr>
      <w:tr w:rsidR="009B1442" w:rsidRPr="0033137F" w:rsidTr="00CE46CF">
        <w:tc>
          <w:tcPr>
            <w:tcW w:w="8613" w:type="dxa"/>
          </w:tcPr>
          <w:p w:rsidR="009B1442" w:rsidRPr="0033137F" w:rsidRDefault="009B1442" w:rsidP="00613FFC">
            <w:pPr>
              <w:widowControl w:val="0"/>
              <w:autoSpaceDE w:val="0"/>
              <w:autoSpaceDN w:val="0"/>
              <w:adjustRightInd w:val="0"/>
              <w:rPr>
                <w:sz w:val="22"/>
                <w:szCs w:val="22"/>
                <w:lang w:val="fi-FI"/>
              </w:rPr>
            </w:pPr>
          </w:p>
        </w:tc>
      </w:tr>
    </w:tbl>
    <w:p w:rsidR="009B1442" w:rsidRPr="0033137F" w:rsidRDefault="00B8263B" w:rsidP="00B8263B">
      <w:pPr>
        <w:tabs>
          <w:tab w:val="left" w:pos="1234"/>
        </w:tabs>
        <w:spacing w:after="1200"/>
        <w:jc w:val="both"/>
        <w:rPr>
          <w:sz w:val="28"/>
          <w:szCs w:val="28"/>
          <w:lang w:val="fi-FI"/>
        </w:rPr>
      </w:pPr>
      <w:r>
        <w:rPr>
          <w:sz w:val="28"/>
          <w:szCs w:val="28"/>
          <w:lang w:val="fi-FI"/>
        </w:rPr>
        <w:lastRenderedPageBreak/>
        <w:tab/>
      </w:r>
    </w:p>
    <w:sectPr w:rsidR="009B1442" w:rsidRPr="0033137F" w:rsidSect="00757BE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59" w:rsidRDefault="00AC4759">
      <w:r>
        <w:separator/>
      </w:r>
    </w:p>
  </w:endnote>
  <w:endnote w:type="continuationSeparator" w:id="0">
    <w:p w:rsidR="00AC4759" w:rsidRDefault="00AC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70" w:rsidRDefault="000A7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23" w:rsidRPr="006F7FF3" w:rsidRDefault="00CE46CF" w:rsidP="006F7FF3">
    <w:pPr>
      <w:pStyle w:val="Footer"/>
      <w:rPr>
        <w:szCs w:val="20"/>
      </w:rPr>
    </w:pPr>
    <w:r>
      <w:rPr>
        <w:sz w:val="20"/>
        <w:szCs w:val="20"/>
      </w:rPr>
      <w:t>VARAMA</w:t>
    </w:r>
    <w:r w:rsidRPr="006F7FF3">
      <w:rPr>
        <w:sz w:val="20"/>
        <w:szCs w:val="20"/>
      </w:rPr>
      <w:t>not_</w:t>
    </w:r>
    <w:r w:rsidR="00213B18">
      <w:rPr>
        <w:sz w:val="20"/>
        <w:szCs w:val="20"/>
      </w:rPr>
      <w:t>11</w:t>
    </w:r>
    <w:r>
      <w:rPr>
        <w:sz w:val="20"/>
        <w:szCs w:val="20"/>
      </w:rPr>
      <w:t>0314</w:t>
    </w:r>
    <w:r w:rsidRPr="006F7FF3">
      <w:rPr>
        <w:sz w:val="20"/>
        <w:szCs w:val="20"/>
      </w:rPr>
      <w:t>_</w:t>
    </w:r>
    <w:r w:rsidR="003A3C1C">
      <w:rPr>
        <w:sz w:val="20"/>
        <w:szCs w:val="20"/>
      </w:rPr>
      <w:t>A.</w:t>
    </w:r>
    <w:r>
      <w:rPr>
        <w:sz w:val="20"/>
        <w:szCs w:val="20"/>
      </w:rPr>
      <w:t>Antonovs</w:t>
    </w:r>
    <w:r w:rsidRPr="006F7FF3">
      <w:rPr>
        <w:sz w:val="20"/>
        <w:szCs w:val="20"/>
      </w:rPr>
      <w:t>; Ministru kabineta rīkojuma</w:t>
    </w:r>
    <w:r>
      <w:rPr>
        <w:sz w:val="20"/>
        <w:szCs w:val="20"/>
      </w:rPr>
      <w:t xml:space="preserve"> projekta „Par A.Antonova</w:t>
    </w:r>
    <w:r w:rsidRPr="006F7FF3">
      <w:rPr>
        <w:sz w:val="20"/>
        <w:szCs w:val="20"/>
      </w:rPr>
      <w:t xml:space="preserve"> atbrīvošanu no amata”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FC" w:rsidRPr="006F7FF3" w:rsidRDefault="00CE46CF" w:rsidP="006F7FF3">
    <w:pPr>
      <w:pStyle w:val="naislab"/>
      <w:jc w:val="both"/>
      <w:outlineLvl w:val="0"/>
      <w:rPr>
        <w:sz w:val="20"/>
        <w:szCs w:val="20"/>
      </w:rPr>
    </w:pPr>
    <w:r>
      <w:rPr>
        <w:sz w:val="20"/>
        <w:szCs w:val="20"/>
      </w:rPr>
      <w:t>VARAMA</w:t>
    </w:r>
    <w:r w:rsidR="001C3DFC" w:rsidRPr="006F7FF3">
      <w:rPr>
        <w:sz w:val="20"/>
        <w:szCs w:val="20"/>
      </w:rPr>
      <w:t>not_</w:t>
    </w:r>
    <w:r w:rsidR="00213B18">
      <w:rPr>
        <w:sz w:val="20"/>
        <w:szCs w:val="20"/>
      </w:rPr>
      <w:t>11</w:t>
    </w:r>
    <w:r>
      <w:rPr>
        <w:sz w:val="20"/>
        <w:szCs w:val="20"/>
      </w:rPr>
      <w:t>0314</w:t>
    </w:r>
    <w:r w:rsidR="001C3DFC" w:rsidRPr="006F7FF3">
      <w:rPr>
        <w:sz w:val="20"/>
        <w:szCs w:val="20"/>
      </w:rPr>
      <w:t>_</w:t>
    </w:r>
    <w:r w:rsidR="003A3C1C">
      <w:rPr>
        <w:sz w:val="20"/>
        <w:szCs w:val="20"/>
      </w:rPr>
      <w:t>A.</w:t>
    </w:r>
    <w:r>
      <w:rPr>
        <w:sz w:val="20"/>
        <w:szCs w:val="20"/>
      </w:rPr>
      <w:t>Antonovs</w:t>
    </w:r>
    <w:r w:rsidR="006F7FF3" w:rsidRPr="006F7FF3">
      <w:rPr>
        <w:sz w:val="20"/>
        <w:szCs w:val="20"/>
      </w:rPr>
      <w:t>; Ministru kabineta rīkojuma</w:t>
    </w:r>
    <w:r w:rsidR="0033137F">
      <w:rPr>
        <w:sz w:val="20"/>
        <w:szCs w:val="20"/>
      </w:rPr>
      <w:t xml:space="preserve"> projekta</w:t>
    </w:r>
    <w:r w:rsidR="006F7FF3">
      <w:rPr>
        <w:sz w:val="20"/>
        <w:szCs w:val="20"/>
      </w:rPr>
      <w:t xml:space="preserve"> „Par </w:t>
    </w:r>
    <w:r>
      <w:rPr>
        <w:sz w:val="20"/>
        <w:szCs w:val="20"/>
      </w:rPr>
      <w:t>A.Antonova</w:t>
    </w:r>
    <w:r w:rsidR="00470D23" w:rsidRPr="006F7FF3">
      <w:rPr>
        <w:sz w:val="20"/>
        <w:szCs w:val="20"/>
      </w:rPr>
      <w:t xml:space="preserve"> atbrīvošanu no amata” </w:t>
    </w:r>
    <w:r w:rsidR="001C3DFC" w:rsidRPr="006F7FF3">
      <w:rPr>
        <w:sz w:val="20"/>
        <w:szCs w:val="20"/>
      </w:rPr>
      <w:t>sākotnējās ietekmes novērtējuma ziņojums (anotācija)</w:t>
    </w:r>
  </w:p>
  <w:p w:rsidR="00470D23" w:rsidRPr="00D4467B" w:rsidRDefault="00470D23" w:rsidP="00D4467B">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59" w:rsidRDefault="00AC4759">
      <w:r>
        <w:separator/>
      </w:r>
    </w:p>
  </w:footnote>
  <w:footnote w:type="continuationSeparator" w:id="0">
    <w:p w:rsidR="00AC4759" w:rsidRDefault="00AC4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23" w:rsidRDefault="00F942A0" w:rsidP="00190F88">
    <w:pPr>
      <w:pStyle w:val="Header"/>
      <w:framePr w:wrap="around" w:vAnchor="text" w:hAnchor="margin" w:xAlign="center" w:y="1"/>
      <w:rPr>
        <w:rStyle w:val="PageNumber"/>
      </w:rPr>
    </w:pPr>
    <w:r>
      <w:rPr>
        <w:rStyle w:val="PageNumber"/>
      </w:rPr>
      <w:fldChar w:fldCharType="begin"/>
    </w:r>
    <w:r w:rsidR="00470D23">
      <w:rPr>
        <w:rStyle w:val="PageNumber"/>
      </w:rPr>
      <w:instrText xml:space="preserve">PAGE  </w:instrText>
    </w:r>
    <w:r>
      <w:rPr>
        <w:rStyle w:val="PageNumber"/>
      </w:rPr>
      <w:fldChar w:fldCharType="end"/>
    </w:r>
  </w:p>
  <w:p w:rsidR="00470D23" w:rsidRDefault="00470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23" w:rsidRPr="00DB073B" w:rsidRDefault="00F942A0"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470D23" w:rsidRPr="00DB073B">
      <w:rPr>
        <w:rStyle w:val="PageNumber"/>
        <w:sz w:val="20"/>
        <w:szCs w:val="20"/>
      </w:rPr>
      <w:instrText xml:space="preserve">PAGE  </w:instrText>
    </w:r>
    <w:r w:rsidRPr="00DB073B">
      <w:rPr>
        <w:rStyle w:val="PageNumber"/>
        <w:sz w:val="20"/>
        <w:szCs w:val="20"/>
      </w:rPr>
      <w:fldChar w:fldCharType="separate"/>
    </w:r>
    <w:r w:rsidR="000A7370">
      <w:rPr>
        <w:rStyle w:val="PageNumber"/>
        <w:noProof/>
        <w:sz w:val="20"/>
        <w:szCs w:val="20"/>
      </w:rPr>
      <w:t>3</w:t>
    </w:r>
    <w:r w:rsidRPr="00DB073B">
      <w:rPr>
        <w:rStyle w:val="PageNumber"/>
        <w:sz w:val="20"/>
        <w:szCs w:val="20"/>
      </w:rPr>
      <w:fldChar w:fldCharType="end"/>
    </w:r>
  </w:p>
  <w:p w:rsidR="00470D23" w:rsidRDefault="00470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18" w:rsidRDefault="00213B18">
    <w:pPr>
      <w:pStyle w:val="Header"/>
    </w:pPr>
    <w:bookmarkStart w:id="0" w:name="_GoBack"/>
    <w:bookmarkEnd w:id="0"/>
  </w:p>
  <w:p w:rsidR="00213B18" w:rsidRDefault="00213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15F1D"/>
    <w:rsid w:val="00020FE1"/>
    <w:rsid w:val="00022E13"/>
    <w:rsid w:val="00032388"/>
    <w:rsid w:val="00035CE2"/>
    <w:rsid w:val="00046989"/>
    <w:rsid w:val="0005553B"/>
    <w:rsid w:val="000604D2"/>
    <w:rsid w:val="00085915"/>
    <w:rsid w:val="0009005E"/>
    <w:rsid w:val="000A6451"/>
    <w:rsid w:val="000A7370"/>
    <w:rsid w:val="000A7539"/>
    <w:rsid w:val="000B064E"/>
    <w:rsid w:val="000B69CF"/>
    <w:rsid w:val="000B7DFE"/>
    <w:rsid w:val="000C612D"/>
    <w:rsid w:val="000C78CC"/>
    <w:rsid w:val="000C790C"/>
    <w:rsid w:val="000E1E65"/>
    <w:rsid w:val="000F061D"/>
    <w:rsid w:val="000F4722"/>
    <w:rsid w:val="001079F7"/>
    <w:rsid w:val="0011394A"/>
    <w:rsid w:val="0011728D"/>
    <w:rsid w:val="00124F12"/>
    <w:rsid w:val="00124FB2"/>
    <w:rsid w:val="00144CA7"/>
    <w:rsid w:val="00144E3A"/>
    <w:rsid w:val="0015060C"/>
    <w:rsid w:val="0016018A"/>
    <w:rsid w:val="00161F0E"/>
    <w:rsid w:val="00163B1D"/>
    <w:rsid w:val="0016435A"/>
    <w:rsid w:val="00170E2A"/>
    <w:rsid w:val="00175EAB"/>
    <w:rsid w:val="00183CC2"/>
    <w:rsid w:val="001853C3"/>
    <w:rsid w:val="00187C16"/>
    <w:rsid w:val="001900E4"/>
    <w:rsid w:val="00190F88"/>
    <w:rsid w:val="001954CE"/>
    <w:rsid w:val="001A4066"/>
    <w:rsid w:val="001A6AE4"/>
    <w:rsid w:val="001B01FD"/>
    <w:rsid w:val="001B21D7"/>
    <w:rsid w:val="001B2F1A"/>
    <w:rsid w:val="001B4A71"/>
    <w:rsid w:val="001C1355"/>
    <w:rsid w:val="001C3DFC"/>
    <w:rsid w:val="001D5B54"/>
    <w:rsid w:val="001E1DBF"/>
    <w:rsid w:val="001E4639"/>
    <w:rsid w:val="001E4A7D"/>
    <w:rsid w:val="001F43A8"/>
    <w:rsid w:val="001F5CD6"/>
    <w:rsid w:val="002043FB"/>
    <w:rsid w:val="0021263D"/>
    <w:rsid w:val="00213B18"/>
    <w:rsid w:val="00213F0C"/>
    <w:rsid w:val="0021592D"/>
    <w:rsid w:val="00222D76"/>
    <w:rsid w:val="00223EB1"/>
    <w:rsid w:val="00231344"/>
    <w:rsid w:val="0023436E"/>
    <w:rsid w:val="002347C0"/>
    <w:rsid w:val="00241A6C"/>
    <w:rsid w:val="00242D2B"/>
    <w:rsid w:val="002459F1"/>
    <w:rsid w:val="00252576"/>
    <w:rsid w:val="002551C3"/>
    <w:rsid w:val="0025783E"/>
    <w:rsid w:val="00262E2B"/>
    <w:rsid w:val="00270429"/>
    <w:rsid w:val="002723E9"/>
    <w:rsid w:val="00277929"/>
    <w:rsid w:val="00283B82"/>
    <w:rsid w:val="002846E9"/>
    <w:rsid w:val="00284C34"/>
    <w:rsid w:val="0029066C"/>
    <w:rsid w:val="002B21EE"/>
    <w:rsid w:val="002B50DB"/>
    <w:rsid w:val="002C02AE"/>
    <w:rsid w:val="002C12AB"/>
    <w:rsid w:val="002C7CAC"/>
    <w:rsid w:val="002D3306"/>
    <w:rsid w:val="002D48AA"/>
    <w:rsid w:val="002D7BAA"/>
    <w:rsid w:val="002D7F54"/>
    <w:rsid w:val="002E3FF4"/>
    <w:rsid w:val="002F10B1"/>
    <w:rsid w:val="002F78C8"/>
    <w:rsid w:val="00301CF3"/>
    <w:rsid w:val="0030292C"/>
    <w:rsid w:val="00304190"/>
    <w:rsid w:val="003047D4"/>
    <w:rsid w:val="00307DEE"/>
    <w:rsid w:val="00321F18"/>
    <w:rsid w:val="0032715C"/>
    <w:rsid w:val="00327B6B"/>
    <w:rsid w:val="0033137F"/>
    <w:rsid w:val="00337A2C"/>
    <w:rsid w:val="00337CA5"/>
    <w:rsid w:val="00343B19"/>
    <w:rsid w:val="003557DA"/>
    <w:rsid w:val="00362478"/>
    <w:rsid w:val="00375B25"/>
    <w:rsid w:val="0038282D"/>
    <w:rsid w:val="00396542"/>
    <w:rsid w:val="0039685B"/>
    <w:rsid w:val="003A3C1C"/>
    <w:rsid w:val="003A7F0C"/>
    <w:rsid w:val="003A7F79"/>
    <w:rsid w:val="003B2525"/>
    <w:rsid w:val="003B6404"/>
    <w:rsid w:val="003C7265"/>
    <w:rsid w:val="003D21FF"/>
    <w:rsid w:val="003E6681"/>
    <w:rsid w:val="003F0112"/>
    <w:rsid w:val="003F071A"/>
    <w:rsid w:val="003F160B"/>
    <w:rsid w:val="003F39B8"/>
    <w:rsid w:val="00400032"/>
    <w:rsid w:val="00400B5B"/>
    <w:rsid w:val="004012A3"/>
    <w:rsid w:val="00405080"/>
    <w:rsid w:val="00405A00"/>
    <w:rsid w:val="00420870"/>
    <w:rsid w:val="00425E61"/>
    <w:rsid w:val="0043365F"/>
    <w:rsid w:val="00441483"/>
    <w:rsid w:val="00441BCB"/>
    <w:rsid w:val="00441FF2"/>
    <w:rsid w:val="00450A76"/>
    <w:rsid w:val="0045176A"/>
    <w:rsid w:val="0045451F"/>
    <w:rsid w:val="00456332"/>
    <w:rsid w:val="00457C4E"/>
    <w:rsid w:val="00470D23"/>
    <w:rsid w:val="004800F9"/>
    <w:rsid w:val="0049134A"/>
    <w:rsid w:val="004A58CB"/>
    <w:rsid w:val="004B1795"/>
    <w:rsid w:val="004B56DD"/>
    <w:rsid w:val="004C1AFD"/>
    <w:rsid w:val="004C558B"/>
    <w:rsid w:val="004F1F88"/>
    <w:rsid w:val="004F5F1B"/>
    <w:rsid w:val="004F7C17"/>
    <w:rsid w:val="00502374"/>
    <w:rsid w:val="00503E29"/>
    <w:rsid w:val="00516072"/>
    <w:rsid w:val="005332EC"/>
    <w:rsid w:val="00534418"/>
    <w:rsid w:val="00534D2B"/>
    <w:rsid w:val="005353AB"/>
    <w:rsid w:val="005455C7"/>
    <w:rsid w:val="005560BC"/>
    <w:rsid w:val="005573BE"/>
    <w:rsid w:val="00572700"/>
    <w:rsid w:val="00580468"/>
    <w:rsid w:val="0058603B"/>
    <w:rsid w:val="0059431B"/>
    <w:rsid w:val="005A39CC"/>
    <w:rsid w:val="005B4730"/>
    <w:rsid w:val="005E05D7"/>
    <w:rsid w:val="005E41E7"/>
    <w:rsid w:val="005E450F"/>
    <w:rsid w:val="005F4C37"/>
    <w:rsid w:val="0062298A"/>
    <w:rsid w:val="00626514"/>
    <w:rsid w:val="00626589"/>
    <w:rsid w:val="00631796"/>
    <w:rsid w:val="006339A0"/>
    <w:rsid w:val="006413A8"/>
    <w:rsid w:val="00642E56"/>
    <w:rsid w:val="00651E00"/>
    <w:rsid w:val="00674572"/>
    <w:rsid w:val="006813B1"/>
    <w:rsid w:val="00687763"/>
    <w:rsid w:val="006925A2"/>
    <w:rsid w:val="00692B0D"/>
    <w:rsid w:val="00693E0E"/>
    <w:rsid w:val="006A1AE3"/>
    <w:rsid w:val="006B2CCD"/>
    <w:rsid w:val="006C30E1"/>
    <w:rsid w:val="006C74C1"/>
    <w:rsid w:val="006D48F1"/>
    <w:rsid w:val="006D51E8"/>
    <w:rsid w:val="006F45BE"/>
    <w:rsid w:val="006F6176"/>
    <w:rsid w:val="006F7FF3"/>
    <w:rsid w:val="007004FC"/>
    <w:rsid w:val="00706670"/>
    <w:rsid w:val="0072417C"/>
    <w:rsid w:val="00734450"/>
    <w:rsid w:val="00745F67"/>
    <w:rsid w:val="00752D9D"/>
    <w:rsid w:val="00754784"/>
    <w:rsid w:val="00757BE7"/>
    <w:rsid w:val="00757C6E"/>
    <w:rsid w:val="007600B4"/>
    <w:rsid w:val="00762BDA"/>
    <w:rsid w:val="007720D4"/>
    <w:rsid w:val="007805FD"/>
    <w:rsid w:val="00784422"/>
    <w:rsid w:val="00795EF7"/>
    <w:rsid w:val="007B135E"/>
    <w:rsid w:val="007B3B54"/>
    <w:rsid w:val="007B3FA0"/>
    <w:rsid w:val="007C2BCC"/>
    <w:rsid w:val="007C4EF0"/>
    <w:rsid w:val="007E2664"/>
    <w:rsid w:val="007E3ABF"/>
    <w:rsid w:val="007E5BFA"/>
    <w:rsid w:val="007E6689"/>
    <w:rsid w:val="007E731C"/>
    <w:rsid w:val="007E7847"/>
    <w:rsid w:val="007F0A03"/>
    <w:rsid w:val="0081003F"/>
    <w:rsid w:val="00810040"/>
    <w:rsid w:val="00820207"/>
    <w:rsid w:val="0082023A"/>
    <w:rsid w:val="00821A7A"/>
    <w:rsid w:val="008253F8"/>
    <w:rsid w:val="00832A2B"/>
    <w:rsid w:val="00846994"/>
    <w:rsid w:val="00850451"/>
    <w:rsid w:val="008506A9"/>
    <w:rsid w:val="00852042"/>
    <w:rsid w:val="008534C9"/>
    <w:rsid w:val="0085599D"/>
    <w:rsid w:val="0087510C"/>
    <w:rsid w:val="008807EE"/>
    <w:rsid w:val="00884881"/>
    <w:rsid w:val="00893088"/>
    <w:rsid w:val="0089738E"/>
    <w:rsid w:val="008B00C7"/>
    <w:rsid w:val="008B51BC"/>
    <w:rsid w:val="008B5FDB"/>
    <w:rsid w:val="008C5215"/>
    <w:rsid w:val="008C5649"/>
    <w:rsid w:val="008D2293"/>
    <w:rsid w:val="008D5001"/>
    <w:rsid w:val="008E44A2"/>
    <w:rsid w:val="008E697D"/>
    <w:rsid w:val="008F019A"/>
    <w:rsid w:val="00903263"/>
    <w:rsid w:val="00905D0D"/>
    <w:rsid w:val="00906A21"/>
    <w:rsid w:val="009079C3"/>
    <w:rsid w:val="00910462"/>
    <w:rsid w:val="00915AB1"/>
    <w:rsid w:val="00917532"/>
    <w:rsid w:val="00921120"/>
    <w:rsid w:val="009235BA"/>
    <w:rsid w:val="00924CE2"/>
    <w:rsid w:val="00925B9F"/>
    <w:rsid w:val="00930679"/>
    <w:rsid w:val="00931AED"/>
    <w:rsid w:val="00945528"/>
    <w:rsid w:val="009476A3"/>
    <w:rsid w:val="0095334F"/>
    <w:rsid w:val="00955983"/>
    <w:rsid w:val="00965897"/>
    <w:rsid w:val="00966BCE"/>
    <w:rsid w:val="0096765C"/>
    <w:rsid w:val="009727E4"/>
    <w:rsid w:val="00973B51"/>
    <w:rsid w:val="009846DD"/>
    <w:rsid w:val="00991C52"/>
    <w:rsid w:val="009934C5"/>
    <w:rsid w:val="00994C0F"/>
    <w:rsid w:val="009A4106"/>
    <w:rsid w:val="009A4124"/>
    <w:rsid w:val="009A7D40"/>
    <w:rsid w:val="009B1442"/>
    <w:rsid w:val="009B22D7"/>
    <w:rsid w:val="009B72ED"/>
    <w:rsid w:val="009C5096"/>
    <w:rsid w:val="009C5821"/>
    <w:rsid w:val="009C6DEB"/>
    <w:rsid w:val="009D05AA"/>
    <w:rsid w:val="009D565C"/>
    <w:rsid w:val="009D6504"/>
    <w:rsid w:val="009E115D"/>
    <w:rsid w:val="009E661A"/>
    <w:rsid w:val="00A05D7B"/>
    <w:rsid w:val="00A06781"/>
    <w:rsid w:val="00A1509C"/>
    <w:rsid w:val="00A17334"/>
    <w:rsid w:val="00A319AB"/>
    <w:rsid w:val="00A34260"/>
    <w:rsid w:val="00A46431"/>
    <w:rsid w:val="00A60DED"/>
    <w:rsid w:val="00A70CFD"/>
    <w:rsid w:val="00A72A0B"/>
    <w:rsid w:val="00A81E42"/>
    <w:rsid w:val="00A84180"/>
    <w:rsid w:val="00A864FE"/>
    <w:rsid w:val="00A86F41"/>
    <w:rsid w:val="00A87856"/>
    <w:rsid w:val="00A87D04"/>
    <w:rsid w:val="00A92E58"/>
    <w:rsid w:val="00A950C5"/>
    <w:rsid w:val="00AA1D25"/>
    <w:rsid w:val="00AB2B1A"/>
    <w:rsid w:val="00AB397F"/>
    <w:rsid w:val="00AB5832"/>
    <w:rsid w:val="00AC4759"/>
    <w:rsid w:val="00AC51F2"/>
    <w:rsid w:val="00AE5066"/>
    <w:rsid w:val="00AE5E24"/>
    <w:rsid w:val="00AE61B7"/>
    <w:rsid w:val="00AE6CBA"/>
    <w:rsid w:val="00AE79AD"/>
    <w:rsid w:val="00AF35E4"/>
    <w:rsid w:val="00AF5CDE"/>
    <w:rsid w:val="00B05AE0"/>
    <w:rsid w:val="00B11A57"/>
    <w:rsid w:val="00B23235"/>
    <w:rsid w:val="00B25396"/>
    <w:rsid w:val="00B25597"/>
    <w:rsid w:val="00B267B9"/>
    <w:rsid w:val="00B33E09"/>
    <w:rsid w:val="00B50708"/>
    <w:rsid w:val="00B50C68"/>
    <w:rsid w:val="00B51293"/>
    <w:rsid w:val="00B52B1E"/>
    <w:rsid w:val="00B55481"/>
    <w:rsid w:val="00B56C32"/>
    <w:rsid w:val="00B57ACF"/>
    <w:rsid w:val="00B64BB1"/>
    <w:rsid w:val="00B72A2B"/>
    <w:rsid w:val="00B73166"/>
    <w:rsid w:val="00B8263B"/>
    <w:rsid w:val="00B8426C"/>
    <w:rsid w:val="00B84A18"/>
    <w:rsid w:val="00B86D04"/>
    <w:rsid w:val="00B8752C"/>
    <w:rsid w:val="00B91B8D"/>
    <w:rsid w:val="00B94E90"/>
    <w:rsid w:val="00BA4693"/>
    <w:rsid w:val="00BB0A82"/>
    <w:rsid w:val="00BB7C94"/>
    <w:rsid w:val="00BC0A9D"/>
    <w:rsid w:val="00BD53B0"/>
    <w:rsid w:val="00BD6689"/>
    <w:rsid w:val="00BE6F11"/>
    <w:rsid w:val="00BF5BC2"/>
    <w:rsid w:val="00C015E2"/>
    <w:rsid w:val="00C1133D"/>
    <w:rsid w:val="00C25B45"/>
    <w:rsid w:val="00C27A08"/>
    <w:rsid w:val="00C31312"/>
    <w:rsid w:val="00C326C6"/>
    <w:rsid w:val="00C35295"/>
    <w:rsid w:val="00C36ADD"/>
    <w:rsid w:val="00C36E74"/>
    <w:rsid w:val="00C40595"/>
    <w:rsid w:val="00C41621"/>
    <w:rsid w:val="00C449FA"/>
    <w:rsid w:val="00C5384F"/>
    <w:rsid w:val="00C56964"/>
    <w:rsid w:val="00C6198E"/>
    <w:rsid w:val="00C656D5"/>
    <w:rsid w:val="00C67103"/>
    <w:rsid w:val="00C71BB9"/>
    <w:rsid w:val="00C7317C"/>
    <w:rsid w:val="00C835E8"/>
    <w:rsid w:val="00C94C28"/>
    <w:rsid w:val="00CB0247"/>
    <w:rsid w:val="00CB1405"/>
    <w:rsid w:val="00CB3440"/>
    <w:rsid w:val="00CB4D85"/>
    <w:rsid w:val="00CC1692"/>
    <w:rsid w:val="00CD138B"/>
    <w:rsid w:val="00CD3E31"/>
    <w:rsid w:val="00CD74A3"/>
    <w:rsid w:val="00CE0527"/>
    <w:rsid w:val="00CE438F"/>
    <w:rsid w:val="00CE46CF"/>
    <w:rsid w:val="00CE5B23"/>
    <w:rsid w:val="00CF70AD"/>
    <w:rsid w:val="00CF7729"/>
    <w:rsid w:val="00D107FA"/>
    <w:rsid w:val="00D12275"/>
    <w:rsid w:val="00D12766"/>
    <w:rsid w:val="00D20FF4"/>
    <w:rsid w:val="00D24D2C"/>
    <w:rsid w:val="00D3546A"/>
    <w:rsid w:val="00D35881"/>
    <w:rsid w:val="00D40551"/>
    <w:rsid w:val="00D4467B"/>
    <w:rsid w:val="00D73078"/>
    <w:rsid w:val="00D811A3"/>
    <w:rsid w:val="00DA7DA5"/>
    <w:rsid w:val="00DB073B"/>
    <w:rsid w:val="00DB78F0"/>
    <w:rsid w:val="00DC2E43"/>
    <w:rsid w:val="00DC4CCB"/>
    <w:rsid w:val="00DD095C"/>
    <w:rsid w:val="00DD1330"/>
    <w:rsid w:val="00DE0B83"/>
    <w:rsid w:val="00DE1A81"/>
    <w:rsid w:val="00DE4E10"/>
    <w:rsid w:val="00DF1407"/>
    <w:rsid w:val="00E003EF"/>
    <w:rsid w:val="00E02ABF"/>
    <w:rsid w:val="00E0332C"/>
    <w:rsid w:val="00E03582"/>
    <w:rsid w:val="00E06862"/>
    <w:rsid w:val="00E14995"/>
    <w:rsid w:val="00E15044"/>
    <w:rsid w:val="00E179CD"/>
    <w:rsid w:val="00E20A87"/>
    <w:rsid w:val="00E2238E"/>
    <w:rsid w:val="00E23E8D"/>
    <w:rsid w:val="00E37F98"/>
    <w:rsid w:val="00E46559"/>
    <w:rsid w:val="00E6670C"/>
    <w:rsid w:val="00E776E8"/>
    <w:rsid w:val="00E92C1F"/>
    <w:rsid w:val="00E95D4B"/>
    <w:rsid w:val="00E95FB3"/>
    <w:rsid w:val="00EB199F"/>
    <w:rsid w:val="00EC23F7"/>
    <w:rsid w:val="00EC4BD8"/>
    <w:rsid w:val="00EC63EB"/>
    <w:rsid w:val="00ED0353"/>
    <w:rsid w:val="00ED412F"/>
    <w:rsid w:val="00EF36B2"/>
    <w:rsid w:val="00F00143"/>
    <w:rsid w:val="00F0789C"/>
    <w:rsid w:val="00F10648"/>
    <w:rsid w:val="00F12E5D"/>
    <w:rsid w:val="00F13AFD"/>
    <w:rsid w:val="00F14457"/>
    <w:rsid w:val="00F201EC"/>
    <w:rsid w:val="00F208A9"/>
    <w:rsid w:val="00F27199"/>
    <w:rsid w:val="00F36770"/>
    <w:rsid w:val="00F4497B"/>
    <w:rsid w:val="00F47F8C"/>
    <w:rsid w:val="00F7454F"/>
    <w:rsid w:val="00F77988"/>
    <w:rsid w:val="00F77F48"/>
    <w:rsid w:val="00F8140D"/>
    <w:rsid w:val="00F816F7"/>
    <w:rsid w:val="00F942A0"/>
    <w:rsid w:val="00FA4CBF"/>
    <w:rsid w:val="00FB30F1"/>
    <w:rsid w:val="00FB53E7"/>
    <w:rsid w:val="00FC33CB"/>
    <w:rsid w:val="00FC7605"/>
    <w:rsid w:val="00FD6ABA"/>
    <w:rsid w:val="00FE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converted-space">
    <w:name w:val="apple-converted-space"/>
    <w:basedOn w:val="DefaultParagraphFont"/>
    <w:rsid w:val="00D811A3"/>
  </w:style>
  <w:style w:type="paragraph" w:styleId="ListParagraph">
    <w:name w:val="List Paragraph"/>
    <w:basedOn w:val="Normal"/>
    <w:uiPriority w:val="34"/>
    <w:qFormat/>
    <w:rsid w:val="00457C4E"/>
    <w:pPr>
      <w:ind w:left="720"/>
      <w:contextualSpacing/>
    </w:pPr>
  </w:style>
  <w:style w:type="paragraph" w:styleId="EndnoteText">
    <w:name w:val="endnote text"/>
    <w:basedOn w:val="Normal"/>
    <w:link w:val="EndnoteTextChar"/>
    <w:rsid w:val="00F27199"/>
    <w:rPr>
      <w:sz w:val="20"/>
      <w:szCs w:val="20"/>
    </w:rPr>
  </w:style>
  <w:style w:type="character" w:customStyle="1" w:styleId="EndnoteTextChar">
    <w:name w:val="Endnote Text Char"/>
    <w:basedOn w:val="DefaultParagraphFont"/>
    <w:link w:val="EndnoteText"/>
    <w:rsid w:val="00F27199"/>
  </w:style>
  <w:style w:type="character" w:styleId="EndnoteReference">
    <w:name w:val="endnote reference"/>
    <w:basedOn w:val="DefaultParagraphFont"/>
    <w:rsid w:val="00F27199"/>
    <w:rPr>
      <w:vertAlign w:val="superscript"/>
    </w:rPr>
  </w:style>
  <w:style w:type="paragraph" w:styleId="BodyTextIndent3">
    <w:name w:val="Body Text Indent 3"/>
    <w:basedOn w:val="Normal"/>
    <w:link w:val="BodyTextIndent3Char"/>
    <w:rsid w:val="00991C52"/>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991C52"/>
    <w:rPr>
      <w:sz w:val="16"/>
      <w:szCs w:val="16"/>
      <w:lang w:val="x-none" w:eastAsia="x-none"/>
    </w:rPr>
  </w:style>
  <w:style w:type="character" w:customStyle="1" w:styleId="HeaderChar">
    <w:name w:val="Header Char"/>
    <w:basedOn w:val="DefaultParagraphFont"/>
    <w:link w:val="Header"/>
    <w:uiPriority w:val="99"/>
    <w:rsid w:val="00213B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converted-space">
    <w:name w:val="apple-converted-space"/>
    <w:basedOn w:val="DefaultParagraphFont"/>
    <w:rsid w:val="00D811A3"/>
  </w:style>
  <w:style w:type="paragraph" w:styleId="ListParagraph">
    <w:name w:val="List Paragraph"/>
    <w:basedOn w:val="Normal"/>
    <w:uiPriority w:val="34"/>
    <w:qFormat/>
    <w:rsid w:val="00457C4E"/>
    <w:pPr>
      <w:ind w:left="720"/>
      <w:contextualSpacing/>
    </w:pPr>
  </w:style>
  <w:style w:type="paragraph" w:styleId="EndnoteText">
    <w:name w:val="endnote text"/>
    <w:basedOn w:val="Normal"/>
    <w:link w:val="EndnoteTextChar"/>
    <w:rsid w:val="00F27199"/>
    <w:rPr>
      <w:sz w:val="20"/>
      <w:szCs w:val="20"/>
    </w:rPr>
  </w:style>
  <w:style w:type="character" w:customStyle="1" w:styleId="EndnoteTextChar">
    <w:name w:val="Endnote Text Char"/>
    <w:basedOn w:val="DefaultParagraphFont"/>
    <w:link w:val="EndnoteText"/>
    <w:rsid w:val="00F27199"/>
  </w:style>
  <w:style w:type="character" w:styleId="EndnoteReference">
    <w:name w:val="endnote reference"/>
    <w:basedOn w:val="DefaultParagraphFont"/>
    <w:rsid w:val="00F27199"/>
    <w:rPr>
      <w:vertAlign w:val="superscript"/>
    </w:rPr>
  </w:style>
  <w:style w:type="paragraph" w:styleId="BodyTextIndent3">
    <w:name w:val="Body Text Indent 3"/>
    <w:basedOn w:val="Normal"/>
    <w:link w:val="BodyTextIndent3Char"/>
    <w:rsid w:val="00991C52"/>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991C52"/>
    <w:rPr>
      <w:sz w:val="16"/>
      <w:szCs w:val="16"/>
      <w:lang w:val="x-none" w:eastAsia="x-none"/>
    </w:rPr>
  </w:style>
  <w:style w:type="character" w:customStyle="1" w:styleId="HeaderChar">
    <w:name w:val="Header Char"/>
    <w:basedOn w:val="DefaultParagraphFont"/>
    <w:link w:val="Header"/>
    <w:uiPriority w:val="99"/>
    <w:rsid w:val="00213B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2781">
      <w:bodyDiv w:val="1"/>
      <w:marLeft w:val="0"/>
      <w:marRight w:val="0"/>
      <w:marTop w:val="0"/>
      <w:marBottom w:val="0"/>
      <w:divBdr>
        <w:top w:val="none" w:sz="0" w:space="0" w:color="auto"/>
        <w:left w:val="none" w:sz="0" w:space="0" w:color="auto"/>
        <w:bottom w:val="none" w:sz="0" w:space="0" w:color="auto"/>
        <w:right w:val="none" w:sz="0" w:space="0" w:color="auto"/>
      </w:divBdr>
    </w:div>
    <w:div w:id="15205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1094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C75E-91A5-4430-A22E-4EC32DA0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2072</Words>
  <Characters>1182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A.Antonova atbrīvošanu no amata</vt:lpstr>
    </vt:vector>
  </TitlesOfParts>
  <Company>VARAM</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A.Antonova atbrīvošanu no amata</dc:title>
  <dc:subject>Anotācija</dc:subject>
  <dc:creator>Gustavs Gailis</dc:creator>
  <cp:keywords/>
  <dc:description>67026544;_x000d_
gustavs.gailis@varam.gov.lv</dc:description>
  <cp:lastModifiedBy>Laimdota Adlere</cp:lastModifiedBy>
  <cp:revision>14</cp:revision>
  <cp:lastPrinted>2012-07-09T06:41:00Z</cp:lastPrinted>
  <dcterms:created xsi:type="dcterms:W3CDTF">2014-03-06T11:59:00Z</dcterms:created>
  <dcterms:modified xsi:type="dcterms:W3CDTF">2014-03-11T09:21:00Z</dcterms:modified>
</cp:coreProperties>
</file>