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0F" w:rsidRPr="001A6BC6" w:rsidRDefault="00677A0F" w:rsidP="00677A0F">
      <w:pPr>
        <w:spacing w:after="120"/>
        <w:jc w:val="center"/>
        <w:rPr>
          <w:b/>
        </w:rPr>
      </w:pPr>
      <w:r w:rsidRPr="001A6BC6">
        <w:rPr>
          <w:b/>
          <w:bCs/>
          <w:lang w:eastAsia="en-US"/>
        </w:rPr>
        <w:t>Ministru kabineta noteikumu projekta</w:t>
      </w:r>
      <w:r w:rsidRPr="001A6BC6">
        <w:rPr>
          <w:b/>
        </w:rPr>
        <w:t xml:space="preserve"> „Parakstu vākšanas sistēmu drošības un tehniskās prasības</w:t>
      </w:r>
      <w:r w:rsidRPr="001A6BC6">
        <w:rPr>
          <w:b/>
          <w:bCs/>
        </w:rPr>
        <w:t>”</w:t>
      </w:r>
      <w:r w:rsidRPr="001A6BC6">
        <w:rPr>
          <w:b/>
        </w:rPr>
        <w:t xml:space="preserve"> </w:t>
      </w:r>
      <w:r w:rsidRPr="001A6BC6">
        <w:rPr>
          <w:b/>
          <w:bCs/>
          <w:lang w:eastAsia="en-US"/>
        </w:rPr>
        <w:t>sākotnējās ietekmes novērtējuma ziņojums (anotācija)</w:t>
      </w:r>
      <w:r w:rsidRPr="001A6BC6">
        <w:rPr>
          <w:b/>
          <w:lang w:eastAsia="en-US"/>
        </w:rPr>
        <w:t> </w:t>
      </w:r>
    </w:p>
    <w:p w:rsidR="00677A0F" w:rsidRPr="001A6BC6" w:rsidRDefault="00677A0F" w:rsidP="00677A0F">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2689"/>
        <w:gridCol w:w="6389"/>
      </w:tblGrid>
      <w:tr w:rsidR="00677A0F" w:rsidRPr="001A6BC6" w:rsidTr="00EA7D91">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b/>
                <w:bCs/>
                <w:lang w:eastAsia="en-US"/>
              </w:rPr>
              <w:t> I. Tiesību akta projekta izstrādes nepieciešamība</w:t>
            </w:r>
          </w:p>
        </w:tc>
      </w:tr>
      <w:tr w:rsidR="00677A0F" w:rsidRPr="001A6BC6" w:rsidTr="00EA7D91">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1.</w:t>
            </w:r>
          </w:p>
        </w:tc>
        <w:tc>
          <w:tcPr>
            <w:tcW w:w="26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Pamatojums</w:t>
            </w:r>
          </w:p>
        </w:tc>
        <w:tc>
          <w:tcPr>
            <w:tcW w:w="63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ind w:right="212"/>
              <w:jc w:val="both"/>
            </w:pPr>
            <w:r w:rsidRPr="001A6BC6">
              <w:t xml:space="preserve">Likuma „Par tautas nobalsošanu, likumu ierosināšanu un Eiropas pilsoņu iniciatīvu” 22.panta piektā daļa (2012.gada 8.novembra likuma „Grozījumi likumā „Par tautas nobalsošanu, likumu ierosināšanu un Eiropas pilsoņu iniciatīvu”” redakcijā, kas stāsies spēkā 2015.gada 1.janvārī) un pārejas noteikumu 3.punkts. </w:t>
            </w:r>
          </w:p>
          <w:p w:rsidR="00677A0F" w:rsidRPr="001A6BC6" w:rsidRDefault="00677A0F" w:rsidP="00EA7D91">
            <w:pPr>
              <w:ind w:right="212"/>
              <w:jc w:val="both"/>
            </w:pPr>
          </w:p>
          <w:p w:rsidR="00677A0F" w:rsidRPr="001A6BC6" w:rsidRDefault="00677A0F" w:rsidP="00EA7D91">
            <w:pPr>
              <w:jc w:val="both"/>
              <w:rPr>
                <w:color w:val="000000"/>
              </w:rPr>
            </w:pPr>
            <w:r w:rsidRPr="001A6BC6">
              <w:rPr>
                <w:color w:val="000000"/>
              </w:rPr>
              <w:t xml:space="preserve">Noteikumu projekts izstrādāts, saskaņā ar  2012. gada 28. decembra Ministru prezidenta rezolūcijā Nr.12/2012–JUR–185 noteiktā uzdevuma izpildi un, lai nodrošinātu 2013.gada 25.jūnija Ministru kabineta sēdes protokola Nr.36 38.§ „Rīkojuma projekts „Par finanšu līdzekļu piešķiršanu no valsts budžeta programmas „Līdzekļi neparedzētiem gadījumiem”” (TA-695) 2. apakšpunkta paredzētās Vienotās valsts un pašvaldību pakalpojumu portāla tiešsaistes sistēmas tehnisko un drošības gatavību parakstu vākšanai tiešsaistes režīmā. </w:t>
            </w:r>
          </w:p>
          <w:p w:rsidR="00677A0F" w:rsidRPr="001A6BC6" w:rsidRDefault="00677A0F" w:rsidP="00EA7D91">
            <w:pPr>
              <w:jc w:val="both"/>
            </w:pPr>
          </w:p>
        </w:tc>
      </w:tr>
      <w:tr w:rsidR="00677A0F" w:rsidRPr="001A6BC6" w:rsidTr="00EA7D91">
        <w:trPr>
          <w:trHeight w:val="1261"/>
          <w:tblCellSpacing w:w="0" w:type="dxa"/>
        </w:trPr>
        <w:tc>
          <w:tcPr>
            <w:tcW w:w="76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bookmarkStart w:id="0" w:name="_GoBack"/>
            <w:bookmarkEnd w:id="0"/>
            <w:r w:rsidRPr="001A6BC6">
              <w:rPr>
                <w:lang w:eastAsia="en-US"/>
              </w:rPr>
              <w:t> 2.</w:t>
            </w:r>
          </w:p>
        </w:tc>
        <w:tc>
          <w:tcPr>
            <w:tcW w:w="26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Pašreizējā situācija un problēmas, kuru risināšanai tiesību akta projekts izstrādāts, tiesiskā regulējuma mērķis un būtība</w:t>
            </w:r>
          </w:p>
        </w:tc>
        <w:tc>
          <w:tcPr>
            <w:tcW w:w="63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bCs/>
              </w:rPr>
            </w:pPr>
            <w:r w:rsidRPr="001A6BC6">
              <w:rPr>
                <w:color w:val="000000"/>
                <w:shd w:val="clear" w:color="auto" w:fill="F3F3F3"/>
              </w:rPr>
              <w:t>Parakstu vākšana ir viena no iespējām, kā vēlētāji Latvijā var piedalīties lēmumu pieņemšanas procesā. Parakstu vākšana tiek rīkota trijos gadījumos – likumprojekta vai Satversmes grozījumu projekta ierosināšanai, tautas nobalsošanas ierosināšanai par apturētu likumu, kā arī tautas nobalsošanas ierosināšanai par Saeimas atsaukšanu.</w:t>
            </w:r>
          </w:p>
          <w:p w:rsidR="00677A0F" w:rsidRPr="001A6BC6" w:rsidRDefault="00677A0F" w:rsidP="00EA7D91">
            <w:pPr>
              <w:jc w:val="both"/>
              <w:rPr>
                <w:i/>
                <w:color w:val="000000"/>
                <w:shd w:val="clear" w:color="auto" w:fill="F3F3F3"/>
              </w:rPr>
            </w:pPr>
            <w:r w:rsidRPr="001A6BC6">
              <w:rPr>
                <w:bCs/>
              </w:rPr>
              <w:t xml:space="preserve">Pašreizējā situācijā parakstu vākšanu organizē izveidota iniciatīvas grupa, kurai iecerētais likumprojekts, Satversmes grozījumu vai Saeimas atsaukšanas ierosināšanas projekts ir jāreģistrē Centrālai vēlēšanu komisijā (turpmāk - CVK). </w:t>
            </w:r>
            <w:r w:rsidRPr="001A6BC6">
              <w:rPr>
                <w:color w:val="000000"/>
                <w:shd w:val="clear" w:color="auto" w:fill="F3F3F3"/>
              </w:rPr>
              <w:t>Sākot ar 2015.gada 1.janvāri, parakstu vākšanu</w:t>
            </w:r>
            <w:r w:rsidRPr="001A6BC6">
              <w:rPr>
                <w:i/>
                <w:color w:val="000000"/>
                <w:shd w:val="clear" w:color="auto" w:fill="F3F3F3"/>
              </w:rPr>
              <w:t xml:space="preserve"> </w:t>
            </w:r>
            <w:r w:rsidRPr="001A6BC6">
              <w:rPr>
                <w:rStyle w:val="Emphasis"/>
                <w:i w:val="0"/>
                <w:color w:val="000000"/>
                <w:bdr w:val="none" w:sz="0" w:space="0" w:color="auto" w:frame="1"/>
                <w:shd w:val="clear" w:color="auto" w:fill="F3F3F3"/>
              </w:rPr>
              <w:t>organizēs iniciatīvas grupa, kurai 12 mēnešu laikā būs jāsavāc vienas desmitās daļas vēlētāju paraksti likumprojekta vai Satversmes grozījumu projekta iesniegšanai Saeimā.</w:t>
            </w:r>
          </w:p>
          <w:p w:rsidR="00677A0F" w:rsidRPr="001A6BC6" w:rsidRDefault="00677A0F" w:rsidP="00EA7D91">
            <w:pPr>
              <w:jc w:val="both"/>
              <w:rPr>
                <w:bCs/>
              </w:rPr>
            </w:pPr>
            <w:r w:rsidRPr="001A6BC6">
              <w:rPr>
                <w:bCs/>
              </w:rPr>
              <w:t>Esošā situācijā paraksti tiek vākti papīra formā un katrs paraksts tiek apstiprināts pie notāra. Šim procesam ir būtiski trūkumi:</w:t>
            </w:r>
          </w:p>
          <w:p w:rsidR="00677A0F" w:rsidRPr="001A6BC6" w:rsidRDefault="00677A0F" w:rsidP="00677A0F">
            <w:pPr>
              <w:pStyle w:val="ListParagraph"/>
              <w:numPr>
                <w:ilvl w:val="0"/>
                <w:numId w:val="1"/>
              </w:numPr>
              <w:jc w:val="both"/>
              <w:rPr>
                <w:bCs/>
              </w:rPr>
            </w:pPr>
            <w:r w:rsidRPr="001A6BC6">
              <w:rPr>
                <w:bCs/>
              </w:rPr>
              <w:t>iedzīvotāji, lai izpaustu savu brīvu gribu, ir nepieciešams uzmeklēt tuvāko iecirkni, kurā var parakstīties par iniciatīvu;</w:t>
            </w:r>
          </w:p>
          <w:p w:rsidR="00677A0F" w:rsidRPr="001A6BC6" w:rsidRDefault="00677A0F" w:rsidP="00677A0F">
            <w:pPr>
              <w:pStyle w:val="ListParagraph"/>
              <w:numPr>
                <w:ilvl w:val="0"/>
                <w:numId w:val="1"/>
              </w:numPr>
              <w:jc w:val="both"/>
              <w:rPr>
                <w:bCs/>
              </w:rPr>
            </w:pPr>
            <w:r w:rsidRPr="001A6BC6">
              <w:rPr>
                <w:bCs/>
              </w:rPr>
              <w:t>katram iecirknim ir savs darba laiks;</w:t>
            </w:r>
          </w:p>
          <w:p w:rsidR="00677A0F" w:rsidRPr="001A6BC6" w:rsidRDefault="00677A0F" w:rsidP="00677A0F">
            <w:pPr>
              <w:pStyle w:val="ListParagraph"/>
              <w:numPr>
                <w:ilvl w:val="0"/>
                <w:numId w:val="1"/>
              </w:numPr>
              <w:jc w:val="both"/>
              <w:rPr>
                <w:bCs/>
              </w:rPr>
            </w:pPr>
            <w:r w:rsidRPr="001A6BC6">
              <w:rPr>
                <w:bCs/>
              </w:rPr>
              <w:t xml:space="preserve"> attālums var būt kā šķērslis tai pašā laikā noteikto parakstīšanās vietu skaits ir ierobežojums iniciatīvas grupai;</w:t>
            </w:r>
          </w:p>
          <w:p w:rsidR="00677A0F" w:rsidRPr="001A6BC6" w:rsidRDefault="00677A0F" w:rsidP="00677A0F">
            <w:pPr>
              <w:pStyle w:val="ListParagraph"/>
              <w:numPr>
                <w:ilvl w:val="0"/>
                <w:numId w:val="1"/>
              </w:numPr>
              <w:jc w:val="both"/>
              <w:rPr>
                <w:bCs/>
              </w:rPr>
            </w:pPr>
            <w:r w:rsidRPr="001A6BC6">
              <w:rPr>
                <w:bCs/>
              </w:rPr>
              <w:t>datu vākšanas process ir apdraudēts no dažādiem faktoriem. Piemēram, savācot balsu parakstīšanas lapa tiek fiziski sabojāta, vai arī nozaudēta;</w:t>
            </w:r>
          </w:p>
          <w:p w:rsidR="00677A0F" w:rsidRPr="001A6BC6" w:rsidRDefault="00677A0F" w:rsidP="00677A0F">
            <w:pPr>
              <w:pStyle w:val="ListParagraph"/>
              <w:numPr>
                <w:ilvl w:val="0"/>
                <w:numId w:val="1"/>
              </w:numPr>
              <w:jc w:val="both"/>
              <w:rPr>
                <w:bCs/>
              </w:rPr>
            </w:pPr>
            <w:r w:rsidRPr="001A6BC6">
              <w:rPr>
                <w:bCs/>
              </w:rPr>
              <w:t>savāktie dati citreiz var būt neskaidri uzrakstīti, kas rada papildus laika zudumu notāriem, lai pārbaudītu šos datus;</w:t>
            </w:r>
          </w:p>
          <w:p w:rsidR="00677A0F" w:rsidRPr="001A6BC6" w:rsidRDefault="00677A0F" w:rsidP="00677A0F">
            <w:pPr>
              <w:pStyle w:val="ListParagraph"/>
              <w:numPr>
                <w:ilvl w:val="0"/>
                <w:numId w:val="1"/>
              </w:numPr>
              <w:jc w:val="both"/>
              <w:rPr>
                <w:bCs/>
              </w:rPr>
            </w:pPr>
            <w:r w:rsidRPr="001A6BC6">
              <w:rPr>
                <w:bCs/>
              </w:rPr>
              <w:lastRenderedPageBreak/>
              <w:t>iniciatīvas organizēšana kopumā veido lielas izmaksas, jo par katru notariālu parakstu ir jāmaksā;</w:t>
            </w:r>
          </w:p>
          <w:p w:rsidR="00677A0F" w:rsidRPr="001A6BC6" w:rsidRDefault="00677A0F" w:rsidP="00677A0F">
            <w:pPr>
              <w:pStyle w:val="ListParagraph"/>
              <w:numPr>
                <w:ilvl w:val="0"/>
                <w:numId w:val="1"/>
              </w:numPr>
              <w:jc w:val="both"/>
              <w:rPr>
                <w:bCs/>
              </w:rPr>
            </w:pPr>
            <w:r w:rsidRPr="001A6BC6">
              <w:rPr>
                <w:bCs/>
              </w:rPr>
              <w:t>pēc visu parakstu iesniegšanas un datu pārbaudes pastāv papildus riski par pietrūkstošajiem parakstiem.</w:t>
            </w:r>
          </w:p>
          <w:p w:rsidR="00677A0F" w:rsidRPr="001A6BC6" w:rsidRDefault="00677A0F" w:rsidP="00EA7D91">
            <w:pPr>
              <w:jc w:val="both"/>
              <w:rPr>
                <w:bCs/>
              </w:rPr>
            </w:pPr>
            <w:r w:rsidRPr="001A6BC6">
              <w:rPr>
                <w:bCs/>
              </w:rPr>
              <w:t>Kopš 1995. gada Latvijā ir rīkotas 12 parakstu vākšanas iniciatīvas:</w:t>
            </w:r>
          </w:p>
          <w:p w:rsidR="00677A0F" w:rsidRPr="001A6BC6" w:rsidRDefault="00677A0F" w:rsidP="00677A0F">
            <w:pPr>
              <w:pStyle w:val="ListParagraph"/>
              <w:numPr>
                <w:ilvl w:val="0"/>
                <w:numId w:val="2"/>
              </w:numPr>
              <w:jc w:val="both"/>
              <w:rPr>
                <w:rStyle w:val="apple-converted-space"/>
                <w:bCs/>
              </w:rPr>
            </w:pPr>
            <w:r w:rsidRPr="001A6BC6">
              <w:t>parakstu vākšana p</w:t>
            </w:r>
            <w:r w:rsidRPr="001A6BC6">
              <w:rPr>
                <w:color w:val="000000"/>
                <w:bdr w:val="none" w:sz="0" w:space="0" w:color="auto" w:frame="1"/>
              </w:rPr>
              <w:t>ar Pilsonības likuma ierosināšanu (1995)</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likuma „Grozījumi Pilsonības likumā” atcelšanu (1998)</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likuma „Grozījumi Pensiju likumā” atcelšanu (1999)</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likuma „Grozījumi Enerģētikas likumā” ierosināšanu (2000)</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t xml:space="preserve">parakstu vākšana </w:t>
            </w:r>
            <w:r w:rsidRPr="001A6BC6">
              <w:rPr>
                <w:color w:val="000000"/>
                <w:bdr w:val="none" w:sz="0" w:space="0" w:color="auto" w:frame="1"/>
              </w:rPr>
              <w:t>par likuma „Grozījumi Latvijas Republikas Satversmē” ierosināšanu (2002)</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likumu „Grozījumi Nacionālās drošības likumā” un „Grozījumi Valsts drošības iestāžu likumā” atcelšanu (2007),</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likuma „Grozījumi Latvijas Republikas Satversmē” ierosināšanu (2008)</w:t>
            </w:r>
            <w:r w:rsidRPr="001A6BC6">
              <w:rPr>
                <w:rStyle w:val="apple-converted-space"/>
                <w:color w:val="000000"/>
              </w:rPr>
              <w:t>,</w:t>
            </w:r>
            <w:r w:rsidRPr="001A6BC6">
              <w:rPr>
                <w:color w:val="000000"/>
              </w:rPr>
              <w:t xml:space="preserve"> </w:t>
            </w:r>
          </w:p>
          <w:p w:rsidR="00677A0F" w:rsidRPr="001A6BC6" w:rsidRDefault="00677A0F" w:rsidP="00677A0F">
            <w:pPr>
              <w:pStyle w:val="ListParagraph"/>
              <w:numPr>
                <w:ilvl w:val="0"/>
                <w:numId w:val="2"/>
              </w:numPr>
              <w:jc w:val="both"/>
              <w:rPr>
                <w:bCs/>
              </w:rPr>
            </w:pPr>
            <w:r w:rsidRPr="001A6BC6">
              <w:t>parakstu vākšana p</w:t>
            </w:r>
            <w:r w:rsidRPr="001A6BC6">
              <w:rPr>
                <w:color w:val="000000"/>
                <w:bdr w:val="none" w:sz="0" w:space="0" w:color="auto" w:frame="1"/>
              </w:rPr>
              <w:t>ar likuma „Grozījumi Pensiju likumā” ierosināšanu (2008)</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rPr>
                <w:color w:val="000000"/>
                <w:bdr w:val="none" w:sz="0" w:space="0" w:color="auto" w:frame="1"/>
              </w:rPr>
              <w:t>parakstu vākšana par likuma „Grozījumu Latvijas Republikas Satversmē” (2011)</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rPr>
                <w:color w:val="000000"/>
                <w:bdr w:val="none" w:sz="0" w:space="0" w:color="auto" w:frame="1"/>
              </w:rPr>
              <w:t xml:space="preserve">Parakstu vākšana par apturētajiem likumiem </w:t>
            </w:r>
            <w:r w:rsidRPr="001A6BC6">
              <w:rPr>
                <w:bCs/>
              </w:rPr>
              <w:t>„Grozījumi likumā „Par valsts pabalstu izmaksu laika periodā no 2009.gada līdz 2012.gadam””, „Grozījumi likumā „Par maternitātes un slimības apdrošināšanu”” un „Grozījumi likumā „Par apdrošināšanu bezdarba gadījumam””</w:t>
            </w:r>
            <w:r w:rsidRPr="001A6BC6">
              <w:rPr>
                <w:color w:val="000000"/>
                <w:bdr w:val="none" w:sz="0" w:space="0" w:color="auto" w:frame="1"/>
              </w:rPr>
              <w:t xml:space="preserve"> (2011)</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rPr>
                <w:color w:val="000000"/>
                <w:bdr w:val="none" w:sz="0" w:space="0" w:color="auto" w:frame="1"/>
              </w:rPr>
              <w:t>Parakstu vākšana par likuma „Grozījumi Latvijas Republikas Satversmē” (2011)</w:t>
            </w:r>
            <w:r w:rsidRPr="001A6BC6">
              <w:rPr>
                <w:rStyle w:val="apple-converted-space"/>
                <w:color w:val="000000"/>
              </w:rPr>
              <w:t>,</w:t>
            </w:r>
          </w:p>
          <w:p w:rsidR="00677A0F" w:rsidRPr="001A6BC6" w:rsidRDefault="00677A0F" w:rsidP="00677A0F">
            <w:pPr>
              <w:pStyle w:val="ListParagraph"/>
              <w:numPr>
                <w:ilvl w:val="0"/>
                <w:numId w:val="2"/>
              </w:numPr>
              <w:jc w:val="both"/>
              <w:rPr>
                <w:bCs/>
              </w:rPr>
            </w:pPr>
            <w:r w:rsidRPr="001A6BC6">
              <w:rPr>
                <w:color w:val="000000"/>
                <w:bdr w:val="none" w:sz="0" w:space="0" w:color="auto" w:frame="1"/>
              </w:rPr>
              <w:t>Parakstu vākšana par likuma „Grozījumi Pilsonības likumā” ierosināšanu (2012)</w:t>
            </w:r>
            <w:r w:rsidRPr="001A6BC6">
              <w:rPr>
                <w:rStyle w:val="apple-converted-space"/>
                <w:color w:val="000000"/>
              </w:rPr>
              <w:t>,</w:t>
            </w:r>
          </w:p>
          <w:p w:rsidR="00677A0F" w:rsidRPr="001A6BC6" w:rsidRDefault="00677A0F" w:rsidP="00EA7D91">
            <w:pPr>
              <w:pStyle w:val="ListParagraph"/>
              <w:ind w:left="0"/>
              <w:jc w:val="both"/>
              <w:rPr>
                <w:bCs/>
              </w:rPr>
            </w:pPr>
            <w:r w:rsidRPr="001A6BC6">
              <w:rPr>
                <w:bCs/>
              </w:rPr>
              <w:t>Visu iepriekš minēto iniciatīvu parakstu vākšana ir notikusi, vācot parakstus klātienē norādītājos iecirkņos. Balsu skaitīšana notikusi manuāli un līdz šim brīdim nav bijis alternatīvs veids, lai nodrošinātu parakstu vākšanu daudz ātrāk un efektīvāk ar mazākām izmaksām.</w:t>
            </w:r>
          </w:p>
          <w:p w:rsidR="00677A0F" w:rsidRPr="001A6BC6" w:rsidRDefault="00677A0F" w:rsidP="00EA7D91">
            <w:pPr>
              <w:pStyle w:val="ListParagraph"/>
              <w:ind w:left="0"/>
              <w:jc w:val="both"/>
              <w:rPr>
                <w:bCs/>
              </w:rPr>
            </w:pPr>
          </w:p>
          <w:p w:rsidR="00677A0F" w:rsidRPr="001A6BC6" w:rsidRDefault="00677A0F" w:rsidP="00EA7D91">
            <w:pPr>
              <w:jc w:val="both"/>
            </w:pPr>
            <w:r w:rsidRPr="001A6BC6">
              <w:t>Saskaņā ar 2012.gada 8.novembra likuma „Grozījumi likumā „Par tautas nobalsošanu, likumu ierosināšanu un Eiropas pilsoņu iniciatīvu”” 22.panta ceturto daļu un 25.</w:t>
            </w:r>
            <w:r w:rsidRPr="001A6BC6">
              <w:rPr>
                <w:vertAlign w:val="superscript"/>
              </w:rPr>
              <w:t xml:space="preserve">5 </w:t>
            </w:r>
            <w:r w:rsidRPr="001A6BC6">
              <w:t>panta ceturto daļu (2012.gada 8.novembra likuma „Grozījumi likumā „Par tautas nobalsošanu, likumu ierosināšanu un Eiropas pilsoņu iniciatīvu”” redakcijā, kas stāsies spēkā 2015.gada 1.janvārī), parakstus varēs vākt arī elektroniski, izmantojot Vienoto valsts un pašvaldības pakalpojumu portālu (</w:t>
            </w:r>
            <w:hyperlink r:id="rId7" w:history="1">
              <w:r w:rsidRPr="001A6BC6">
                <w:rPr>
                  <w:rStyle w:val="Hyperlink"/>
                </w:rPr>
                <w:t>www.latvija.lv</w:t>
              </w:r>
            </w:hyperlink>
            <w:r w:rsidRPr="001A6BC6">
              <w:t>) vai citu tiešsaistes sistēmu. Šā paša likuma 22.panta piektā daļa un 25</w:t>
            </w:r>
            <w:r w:rsidRPr="001A6BC6">
              <w:rPr>
                <w:vertAlign w:val="superscript"/>
              </w:rPr>
              <w:t>5</w:t>
            </w:r>
            <w:r w:rsidRPr="001A6BC6">
              <w:t xml:space="preserve">. panta piektā daļa </w:t>
            </w:r>
            <w:r w:rsidRPr="001A6BC6">
              <w:lastRenderedPageBreak/>
              <w:t xml:space="preserve">nosaka, ka </w:t>
            </w:r>
            <w:r w:rsidRPr="001A6BC6">
              <w:rPr>
                <w:shd w:val="clear" w:color="auto" w:fill="FFFFFF"/>
              </w:rPr>
              <w:t>Ministru kabinetam ir jānosaka drošības un tehniskās prasības, kuras ievēro, ja parakstu vākšanai izmanto Vienoto valsts un pašvaldību pakalpojumu portālu (www.latvija.lv) vai citu tiešsaistes sistēmu, un institūciju, kura izvērtē parakstu vākšanai izmantotās tiešsaistes sistēmas atbilstību Ministru kabineta noteiktajām drošības un tehniskajām prasībām.</w:t>
            </w:r>
          </w:p>
          <w:p w:rsidR="00677A0F" w:rsidRPr="001A6BC6" w:rsidRDefault="00677A0F" w:rsidP="00EA7D91">
            <w:pPr>
              <w:jc w:val="both"/>
            </w:pPr>
          </w:p>
          <w:p w:rsidR="00677A0F" w:rsidRPr="001A6BC6" w:rsidRDefault="00677A0F" w:rsidP="00EA7D91">
            <w:pPr>
              <w:jc w:val="both"/>
            </w:pPr>
            <w:r w:rsidRPr="001A6BC6">
              <w:t>Ministru kabineta noteikumu projekta „Parakstu vākšanas tiešsaistes sistēmu drošības un tehniskās prasības” (turpmāk – projekts) mērķis ir noteikt parakstu vākšanas sistēmas drošības un tehniskās prasības tiešsaistes parakstu vākšanas sistēmas izveidei, kā arī noteikt institūciju, kura izvērtē parakstu vākšanai izmantotās tiešsaistes sistēmas atbilstību Ministru kabineta noteikumiem.</w:t>
            </w:r>
          </w:p>
          <w:p w:rsidR="00677A0F" w:rsidRPr="001A6BC6" w:rsidRDefault="00677A0F" w:rsidP="00EA7D91">
            <w:pPr>
              <w:pStyle w:val="NormalWeb"/>
              <w:spacing w:before="0" w:after="0"/>
              <w:ind w:right="165"/>
              <w:jc w:val="both"/>
              <w:rPr>
                <w:szCs w:val="24"/>
                <w:lang w:val="lv-LV"/>
              </w:rPr>
            </w:pPr>
            <w:r w:rsidRPr="001A6BC6">
              <w:rPr>
                <w:b/>
                <w:szCs w:val="24"/>
                <w:lang w:val="lv-LV"/>
              </w:rPr>
              <w:t>Projekta 1. nodaļā</w:t>
            </w:r>
            <w:r w:rsidRPr="001A6BC6">
              <w:rPr>
                <w:szCs w:val="24"/>
                <w:lang w:val="lv-LV"/>
              </w:rPr>
              <w:t xml:space="preserve"> „Vispārīgie jautājumi” ir definēts normatīvā akta mērķis un darbības joma. Šajā nodaļā ir noteikts, ka, izmantojot portālu, parakstu vākšanas sistēma sastāv no četrām daļām – parakstu vākšanas elektroniskā pakalpojuma, datu glabāšanas un parakstu pārbaudes sistēmas, integrācijas saskarnes parakstu saņemšanai no citām tiešsaistes sistēmām, publiskas tīmekļa saskarnes ar informāciju par aktuālajām parakstu vākšanas iniciatīvām, kā arī noteikti šo daļu pārziņi un turētāji.</w:t>
            </w:r>
          </w:p>
          <w:p w:rsidR="00677A0F" w:rsidRPr="001A6BC6" w:rsidRDefault="00677A0F" w:rsidP="00EA7D91">
            <w:pPr>
              <w:pStyle w:val="NormalWeb"/>
              <w:spacing w:before="0" w:after="0"/>
              <w:jc w:val="both"/>
              <w:rPr>
                <w:szCs w:val="24"/>
                <w:lang w:val="lv-LV"/>
              </w:rPr>
            </w:pPr>
            <w:r w:rsidRPr="001A6BC6">
              <w:rPr>
                <w:szCs w:val="24"/>
                <w:lang w:val="lv-LV"/>
              </w:rPr>
              <w:t xml:space="preserve">Savukārt, ja parakstu vākšanu organizē ar privātpersonas parakstu vākšanas tiešsaistes sistēmu (turpmāk – privātpersonas parakstu vākšanas tiešsaistes sistēma), tai ir jābūt sertificētai Informācijas tehnoloģiju drošības incidentu novēršanas institūcijā (turpmāk – CERT). </w:t>
            </w:r>
          </w:p>
          <w:p w:rsidR="00677A0F" w:rsidRPr="001A6BC6" w:rsidRDefault="00677A0F" w:rsidP="00EA7D91">
            <w:pPr>
              <w:pStyle w:val="NormalWeb"/>
              <w:spacing w:before="0" w:after="0"/>
              <w:jc w:val="both"/>
              <w:rPr>
                <w:szCs w:val="24"/>
                <w:lang w:val="lv-LV"/>
              </w:rPr>
            </w:pPr>
            <w:r w:rsidRPr="001A6BC6">
              <w:rPr>
                <w:b/>
                <w:szCs w:val="24"/>
                <w:lang w:val="lv-LV"/>
              </w:rPr>
              <w:t>Projekta 2. nodaļas</w:t>
            </w:r>
            <w:r w:rsidRPr="001A6BC6">
              <w:rPr>
                <w:szCs w:val="24"/>
                <w:lang w:val="lv-LV"/>
              </w:rPr>
              <w:t xml:space="preserve"> „Portāla un privātpersonas parakstu vākšanas tiešsaistes sistēmu drošības organizatoriskās prasības” būtība ir noteikt nosacījumu kopumu, lai parakstu vākšanas tiešsaistes sistēma būtu droša parakstu vākšanai un drošības pārvaldība tiktu organizēta atbilstoši Latvijas nacionālajam standartam LVS:ISO/IEC 27001:2014L. No organizatoriskās puses ir norādīti iesaistīto pušu tiesiskie pienākumi un tiesības, un iesniedzamās informācijas apjoms un kārtība, kādā personai, kas organizē un vada citu parakstu tiešsaistes sistēmas darbību, ir jāiesniedz iesniegums par sistēmas atbilstības sertifikāta saņemšanu.</w:t>
            </w:r>
          </w:p>
          <w:p w:rsidR="00677A0F" w:rsidRPr="001A6BC6" w:rsidRDefault="00677A0F" w:rsidP="00EA7D91">
            <w:pPr>
              <w:pStyle w:val="NormalWeb"/>
              <w:jc w:val="both"/>
              <w:rPr>
                <w:szCs w:val="24"/>
                <w:lang w:val="lv-LV"/>
              </w:rPr>
            </w:pPr>
            <w:r w:rsidRPr="001A6BC6">
              <w:rPr>
                <w:szCs w:val="24"/>
                <w:lang w:val="lv-LV"/>
              </w:rPr>
              <w:t xml:space="preserve">Ar šo noteikumu projektu sertificējošai institūcijai ir noteikts veikt privātpersonas parakstu vākšanas tiešsaistes sistēmas atbilstības novērtējumu atbilstoši noteikumu prasībām, kā arī ir jāizsniedz lēmums par sertifikācijas atbilstības sertifikātu izsniegšanu vai atteikumu to izsniegt. Sertificējošai institūcijai attiecīgais sertifikāts ir jāizdod atbilstoši Administratīvā procesa likumā minētajai normai - viena mēneša laikā, taču tā, kā ir ierobežots cilvēku resurss šo valsts funkciju izpildei, un ja vienā mēneša laikā tiks iesniegti vairāk kā viens iesniegums par parakstu vākšanas tiešsaistes sistēmas atbilstības sertifikāta izsniegšanu, rezultātā var rasties papildus noslodze un līdz ar to </w:t>
            </w:r>
            <w:r w:rsidRPr="001A6BC6">
              <w:rPr>
                <w:szCs w:val="24"/>
                <w:lang w:val="lv-LV"/>
              </w:rPr>
              <w:lastRenderedPageBreak/>
              <w:t>sertificējoša institūcijai būs tiesības iesnieguma izvērtēšanas termiņu pagarināt.</w:t>
            </w:r>
          </w:p>
          <w:p w:rsidR="00677A0F" w:rsidRPr="001A6BC6" w:rsidRDefault="00677A0F" w:rsidP="00EA7D91">
            <w:pPr>
              <w:pStyle w:val="NormalWeb"/>
              <w:jc w:val="both"/>
              <w:rPr>
                <w:szCs w:val="24"/>
                <w:lang w:val="lv-LV"/>
              </w:rPr>
            </w:pPr>
            <w:r w:rsidRPr="001A6BC6">
              <w:rPr>
                <w:szCs w:val="24"/>
                <w:lang w:val="lv-LV"/>
              </w:rPr>
              <w:t>Iniciatīvas grupas pieteiktā iniciatīva tiek ievietota portālā atbilstoši CVK noteiktai kārtībai.</w:t>
            </w:r>
          </w:p>
          <w:p w:rsidR="00677A0F" w:rsidRPr="001A6BC6" w:rsidRDefault="00677A0F" w:rsidP="00EA7D91">
            <w:pPr>
              <w:jc w:val="both"/>
            </w:pPr>
            <w:r w:rsidRPr="001A6BC6">
              <w:rPr>
                <w:b/>
              </w:rPr>
              <w:t>Projekta 3. nodaļa</w:t>
            </w:r>
            <w:r w:rsidRPr="001A6BC6">
              <w:t xml:space="preserve"> „Tehniskās prasības portāla un privātpersonas parakstu vākšanas tiešsaistes sistēmām”</w:t>
            </w:r>
            <w:r w:rsidRPr="001A6BC6" w:rsidDel="00B1269F">
              <w:t xml:space="preserve"> </w:t>
            </w:r>
          </w:p>
          <w:p w:rsidR="00677A0F" w:rsidRPr="001A6BC6" w:rsidRDefault="00677A0F" w:rsidP="00EA7D91">
            <w:pPr>
              <w:jc w:val="both"/>
            </w:pPr>
            <w:r w:rsidRPr="001A6BC6">
              <w:t>Šajā nodaļā noteiktas prasības, kas ir attiecināmas gan uz portāla, gan uz privātpersonas parakstu vākšanas tiešsaistes sistēmām. Šīm sistēmām parakstu vākšanas datnei jābūt atbilstošai Elektronisko dokumentu likumam un jānodrošina, ka CVK apstiprinātā parauga veidlapa elektroniskā forma ir identiska papīra formai. Abās sistēmās publiski bez autorizācijas, fiziskai personai ir iespēja iepazīties par iniciatīvas grupu, ierosināšanas projekta saturu un parakstu vākšanas termiņu. Portālā vai privātpersonas parakstu vākšanas tiešsaistes sistēmai ir jābūt nodrošinātai iespējai datni parakstīt ar drošu elektronisko parakstu.</w:t>
            </w:r>
          </w:p>
          <w:p w:rsidR="00677A0F" w:rsidRPr="001A6BC6" w:rsidRDefault="00677A0F" w:rsidP="00EA7D91">
            <w:pPr>
              <w:pStyle w:val="NormalWeb"/>
              <w:spacing w:before="0" w:after="0"/>
              <w:jc w:val="both"/>
              <w:rPr>
                <w:szCs w:val="24"/>
                <w:lang w:val="lv-LV"/>
              </w:rPr>
            </w:pPr>
            <w:r w:rsidRPr="001A6BC6">
              <w:rPr>
                <w:szCs w:val="24"/>
                <w:lang w:val="lv-LV"/>
              </w:rPr>
              <w:t>Šajā nodaļā ir noteikts kā fiziska persona var parakstīties par izvēlēto iniciatīvu tikai tad, kad tā portālā ir veikusi personas identifikāciju (attiecas uz portālu). Parakstīšanās tiesības piešķir portāla elektroniski identificētai fiziskai personai, kura parakstīšanās dienā atbilst likuma „Par tautas nobalsošanu, likuma ierosināšanu un Eiropas pilsoņu iniciatīvu” prasībām (turpmāk – vēlēšanu tiesības), pēc personas datu atbilstības pārbaudes Iedzīvotāju reģistrā. Portāla funkcionalitātei jānodrošina, ka personai ir izvēles iespējas saņemt informāciju par savu dalību parakstu vākšanā, identificējoties savā portāla profilā. E-pakalpojums nodrošina pārbaudi vai fiziskā persona iepriekš nav parakstījusies konkrētajā parakstu vākšanā un nodrošina iespēju saglabāt unikālu vienoto resursu vietrādi arī uz atsevišķu parakstu vākšanas iniciatīvas vietni. Šajā nodaļā ir noteikta kāda informācija, sākot ar 2015.gadu 1.janvāri, portālā ir jāpublicē un jāuztur par portālā notikušajām parakstu vākšanām.</w:t>
            </w:r>
          </w:p>
          <w:p w:rsidR="00677A0F" w:rsidRPr="001A6BC6" w:rsidRDefault="00677A0F" w:rsidP="00EA7D91">
            <w:pPr>
              <w:jc w:val="both"/>
            </w:pPr>
            <w:r w:rsidRPr="001A6BC6">
              <w:t xml:space="preserve">Papildus šajā nodaļā ir noteikts, ka lietotāju saskarnei portāla un privātpersonas parakstu vākšanas tiešsaistes sistēmai ir jānodrošina iespēja parakstīties, izmantojot secīgas un vienkārši saprotamas darbības tīmekļa pārlūkā, kā arī jānodrošina aizsardzības mehānisms pret automātisko parakstu iesniegšanu. Pēc vēlētāja paraksta iesniegšanas, sistēma attēlo informāciju par paraksta saņemšanas rezultātu. Vēlēšanas tiesību pārbaude var tikt validēta pret Iedzīvotāju reģistru, ja privātpersonas parakstu vākšanas tiešsaistes sistēmas izstrādātājs ir paredzējis šādu papildus servisu. Privātpersonas parakstu vākšanas tiešsaistes sistēma nodrošina, ka parakstu iesniegšanu CVK nodrošina, izmantojot integrācijas tīmekļa saskarni (noteikumu 2.3.apakšpunktā minēto), un ievērojot fizisko personu datu aizsardzību, portāla un privātpersonas parakstu vākšanas tiešsaistes sistēma pēc parakstu veiksmīgas iesniegšanas, datu glabāšanas un parakstu pārbaudes sistēmā, ir jānodrošina visu fizisko personu datu un parakstīto datņu dzēšana. </w:t>
            </w:r>
          </w:p>
          <w:p w:rsidR="00677A0F" w:rsidRPr="001A6BC6" w:rsidRDefault="00677A0F" w:rsidP="00EA7D91">
            <w:pPr>
              <w:pStyle w:val="ListParagraph"/>
              <w:ind w:left="0"/>
              <w:jc w:val="both"/>
            </w:pPr>
            <w:r w:rsidRPr="001A6BC6">
              <w:rPr>
                <w:b/>
              </w:rPr>
              <w:lastRenderedPageBreak/>
              <w:t xml:space="preserve"> Projekta 4. nodaļa</w:t>
            </w:r>
            <w:r w:rsidRPr="001A6BC6">
              <w:t xml:space="preserve"> „Specifiskās tehniskās prasības datu glabāšanas un parakstu pārbaudes sistēmai” ir norādītas funkcionalitātes datu glabāšanas un parakstu pārbaudes sistēmai - tā nodrošina parakstu saņemšanu no portāla, privātpersonas parakstu vākšanas tiešsaistes sistēmas, kā arī manuālās datu ievades, kura sevī ietver apliecinātus parakstus pie zvērināta  notāra, dzīvesvietas deklarēšanas vietā pašvaldībā, bāriņtiesā, kura veica notariālas darbības, vai novadā pie pagasta vai pilsētas pārvaldes vadītāja. </w:t>
            </w:r>
          </w:p>
          <w:p w:rsidR="00677A0F" w:rsidRPr="001A6BC6" w:rsidRDefault="00677A0F" w:rsidP="00EA7D91">
            <w:pPr>
              <w:jc w:val="both"/>
            </w:pPr>
            <w:r w:rsidRPr="001A6BC6">
              <w:t xml:space="preserve">Datu glabāšanas un parakstu pārbaudes sistēma arī nodrošina parakstu pārbaudi un informāciju ievadi par fizisko personu, kas parakstījusies papīra veidā. </w:t>
            </w:r>
          </w:p>
          <w:p w:rsidR="00677A0F" w:rsidRPr="001A6BC6" w:rsidRDefault="00677A0F" w:rsidP="00EA7D91">
            <w:pPr>
              <w:pStyle w:val="ListParagraph"/>
              <w:ind w:left="0"/>
              <w:jc w:val="both"/>
            </w:pPr>
            <w:r w:rsidRPr="001A6BC6">
              <w:t>Zvērinātu notāru padome atbilstoši Notariāta likuma 45. panta 1. daļas 1. punktam ved reģistru par vēlētāju apliecinātajiem parakstiem. Reģistra datus Komisija pēc pieprasījuma saņems no Zvērināto notāru padomes elektroniskā formātā.</w:t>
            </w:r>
          </w:p>
          <w:p w:rsidR="00677A0F" w:rsidRPr="001A6BC6" w:rsidRDefault="00677A0F" w:rsidP="00EA7D91">
            <w:pPr>
              <w:pStyle w:val="ListParagraph"/>
              <w:ind w:left="0"/>
              <w:jc w:val="both"/>
            </w:pPr>
            <w:r w:rsidRPr="001A6BC6">
              <w:t>Datu glabāšanas un parakstu pārbaudes sistēma nodrošina iesūtīto datu pārbaudi vai fiziska persona nav parakstījusies vairākkārtīgi, kā arī veic  pārbaudi pret Iedzīvotāju reģistru.</w:t>
            </w:r>
          </w:p>
          <w:p w:rsidR="00677A0F" w:rsidRPr="001A6BC6" w:rsidRDefault="00677A0F" w:rsidP="00EA7D91">
            <w:pPr>
              <w:pStyle w:val="ListParagraph"/>
              <w:ind w:left="0"/>
              <w:jc w:val="both"/>
            </w:pPr>
            <w:r w:rsidRPr="001A6BC6">
              <w:t>Parakstītām datnēm drošība ir atbilstoša  MK notiekumiem 2005. gada 12. jūlija Nr.514 “Noteikumi par tehniskajām un organizatoriskajām prasībām, kādām atbilst kvalificēts sertifikāts, uzticams sertifikācijas pakalpojumu sniedzējs, droši elektroniskā paraksta radīšanas līdzekļi, kā arī kārtību, kādā veicama droša elektroniskā paraksta verificēšana” .</w:t>
            </w:r>
          </w:p>
          <w:p w:rsidR="00677A0F" w:rsidRPr="001A6BC6" w:rsidRDefault="00677A0F" w:rsidP="00EA7D91">
            <w:pPr>
              <w:pStyle w:val="ListParagraph"/>
              <w:ind w:left="0"/>
              <w:jc w:val="both"/>
            </w:pPr>
            <w:r w:rsidRPr="001A6BC6">
              <w:t xml:space="preserve">Privātpersonu parakstu vākšanas tiešsaistes sistēmas savāktos parakstus nodot tiešsaistē, pēc parakstītās datne nosūtīšanas un veiksmīgas pieņemšanas, noteikumi nosaka, kad privātpersonas parakstu vākšanas tiešsaistes sistēmai ir jādzēš datne. Ja privātpersonas parakstu vākšanas tiešsaistes sistēmai tiek apturēta darbība, tad līdz apturēšanai ir iesūtītas parakstītās datnes datu glabāšanas un parakstu pārbaudes sistēmā. </w:t>
            </w:r>
          </w:p>
          <w:p w:rsidR="00677A0F" w:rsidRPr="001A6BC6" w:rsidRDefault="00677A0F" w:rsidP="00EA7D91">
            <w:pPr>
              <w:pStyle w:val="ListParagraph"/>
              <w:ind w:left="0"/>
              <w:jc w:val="both"/>
            </w:pPr>
            <w:r w:rsidRPr="001A6BC6">
              <w:t>Noslēdzoties iniciatīvai, datu glabāšanas un parakstu pārbaudes sistēma nodrošina kopējo datu apkopošanu, kā arī tiek pārbaudīts vai nav iesniegto datu dublikāti.</w:t>
            </w:r>
          </w:p>
          <w:p w:rsidR="00677A0F" w:rsidRPr="001A6BC6" w:rsidRDefault="00677A0F" w:rsidP="00EA7D91">
            <w:pPr>
              <w:pStyle w:val="ListParagraph"/>
              <w:ind w:left="0"/>
              <w:jc w:val="both"/>
            </w:pPr>
            <w:r w:rsidRPr="001A6BC6">
              <w:t xml:space="preserve">Ja tomēr sistēmā ir iesūtītas datnes, kuras ir parakstījusi viena un tā pati  identificēta fiziska persona, par vienu pašu iniciatīvu, tad vērā tiek ņemta tikai viena derīgā parakstītā datne, par to CVK pieņemot lēmumu. </w:t>
            </w:r>
          </w:p>
          <w:p w:rsidR="00677A0F" w:rsidRPr="001A6BC6" w:rsidRDefault="00677A0F" w:rsidP="00EA7D91">
            <w:pPr>
              <w:jc w:val="both"/>
            </w:pPr>
            <w:r w:rsidRPr="001A6BC6">
              <w:t>Pildot šādas funkcijas, sistēmas darbība būtiski ietekmē uz  CVK administratīvā sloga un izmaksu samazināšanu.</w:t>
            </w:r>
          </w:p>
          <w:p w:rsidR="00677A0F" w:rsidRPr="001A6BC6" w:rsidRDefault="00677A0F" w:rsidP="00EA7D91">
            <w:pPr>
              <w:jc w:val="both"/>
            </w:pPr>
            <w:r w:rsidRPr="001A6BC6">
              <w:rPr>
                <w:b/>
              </w:rPr>
              <w:t>Projekta 5. nodaļā</w:t>
            </w:r>
            <w:r w:rsidRPr="001A6BC6">
              <w:t xml:space="preserve"> „Drošības prasības lietojumiem, kas nodrošina tiešsaistes parakstu vākšanu”</w:t>
            </w:r>
            <w:r w:rsidRPr="001A6BC6">
              <w:rPr>
                <w:b/>
              </w:rPr>
              <w:t xml:space="preserve"> </w:t>
            </w:r>
            <w:r w:rsidRPr="001A6BC6">
              <w:t>paredzēti tehniskie kritēriji, kuri nodrošina drošu parakstu vākšanas vidi. Nodaļā ir noteiktas prasības kā  pārbaudīt visu fizisko personu datus gan sistēmas administratīvajā, gan klientu pusē, autentificēšanās un sesiju pārvaldības prasības, kā arī noteikti drošības konfigurēšanas nosacījumi. Elektroniskā formāta datu šifrēšanas kritēriji nosaka lietot stiprus algoritmus un stipras atslēgas, parolēm un šifrēšanas atslēgām jābūt pienācīgi aizsargātām.</w:t>
            </w:r>
          </w:p>
          <w:p w:rsidR="00677A0F" w:rsidRPr="001A6BC6" w:rsidRDefault="00677A0F" w:rsidP="00EA7D91">
            <w:pPr>
              <w:jc w:val="both"/>
            </w:pPr>
            <w:r w:rsidRPr="001A6BC6">
              <w:lastRenderedPageBreak/>
              <w:t>Privātpersonas parakstu vākšanas tiešsaistes sistēmām ir jāatspoguļo risku novērtējums un jāīsteno risku novērtēšanas pretpasākumi, ja tiek izmantota kopēja aparatūra, operētājsistēma vai datubāzes pārvaldības sistēma.</w:t>
            </w:r>
          </w:p>
          <w:p w:rsidR="00677A0F" w:rsidRPr="001A6BC6" w:rsidRDefault="00677A0F" w:rsidP="00EA7D91">
            <w:pPr>
              <w:jc w:val="both"/>
            </w:pPr>
            <w:r w:rsidRPr="001A6BC6">
              <w:t>Šajā nodaļā ir noteikti arī sistēmas administrēšanas un pārvaldības piekļuves funkcionalitātes prasības, kā arī noteikts, ka informācijas sistēmas procesi tiek reģistrēti audita žurnālos un sistēmas administratoriem ir pienākums regulāri pārbaudīt žurnālus attiecībā uz aizdomīgu darbību.</w:t>
            </w:r>
          </w:p>
          <w:p w:rsidR="00677A0F" w:rsidRPr="001A6BC6" w:rsidRDefault="00677A0F" w:rsidP="00EA7D91">
            <w:pPr>
              <w:jc w:val="both"/>
            </w:pPr>
            <w:r w:rsidRPr="001A6BC6">
              <w:rPr>
                <w:b/>
              </w:rPr>
              <w:t>Projekta 6. nodaļas</w:t>
            </w:r>
            <w:r w:rsidRPr="001A6BC6">
              <w:t xml:space="preserve"> „Drošības prasības informācijas sistēmu infrastruktūrai, kas nodrošina tiešsaistes parakstu vākšanu” būtība ir noteikt drošības prasības tehniskajiem resursiem. Sistēmām ir noteikts, ka jāparedz serveru izmitināšanas telpas ar piekļuves kontroli un visi apmeklētāji jāreģistrē audita žurnālos. </w:t>
            </w:r>
          </w:p>
          <w:p w:rsidR="00677A0F" w:rsidRPr="001A6BC6" w:rsidRDefault="00677A0F" w:rsidP="00EA7D91">
            <w:pPr>
              <w:jc w:val="both"/>
            </w:pPr>
            <w:r w:rsidRPr="001A6BC6">
              <w:t>Dublējamiem datiem jābūt aizsargātiem pret zādzību vai citiem faktoriem, kas varētu izpausties kā risks dublēto datu pazaudēšanai. Serveris vai serveri fiziski atrodas Latvijas teritorijā. Parakstu vākšanas sistēmu izmitina uz servera, kurš ir savienots ar internetu un nodalīts ar ugunsmūra noteiktu konfigurāciju un tīkla segments ir pienācīgi aizsargāts.</w:t>
            </w:r>
          </w:p>
          <w:p w:rsidR="00677A0F" w:rsidRPr="001A6BC6" w:rsidRDefault="00677A0F" w:rsidP="00EA7D91">
            <w:pPr>
              <w:jc w:val="both"/>
            </w:pPr>
            <w:r w:rsidRPr="001A6BC6">
              <w:rPr>
                <w:b/>
              </w:rPr>
              <w:t>Projekta 7. nodaļā</w:t>
            </w:r>
            <w:r w:rsidRPr="001A6BC6">
              <w:t xml:space="preserve"> tiek noteikts, ka MK noteikumi stājas spēkā ar 2015. gada 1. janvāri. </w:t>
            </w:r>
          </w:p>
          <w:p w:rsidR="00677A0F" w:rsidRPr="001A6BC6" w:rsidRDefault="00677A0F" w:rsidP="00EA7D91">
            <w:pPr>
              <w:jc w:val="both"/>
            </w:pPr>
            <w:r w:rsidRPr="001A6BC6">
              <w:t xml:space="preserve">Noteikumu projekta protokollēmumā ir noteikts, ka VARAM sadarbībā ar Aizsardzības ministriju līdz 2015. gada 1. jūlijam sagatavos un Ministru kabinetā iesniegs informatīvo ziņojumu par parakstu vākšanas tiešsaistes sistēmas atbilstības sertifikāta izsniegšanas praksi, kur ņemot vērā 2015. gada perioda laikā uzkrāto pieredzi tiks papildināts ar lēmuma projektu par turpmāko rīcību parakstu vākšanas sistēmu drošību prasību izpildes uzraudzībai t.sk. izvērtējot atbildīgās institūcijas tiešsaistes sistēmas atbilstības sertifikāta izsniegšanas funkcijas izpildi un tam nepieciešamo nodrošinājumu, kā arī finansējumu. </w:t>
            </w:r>
          </w:p>
          <w:p w:rsidR="00677A0F" w:rsidRPr="001A6BC6" w:rsidRDefault="00677A0F" w:rsidP="00EA7D91">
            <w:pPr>
              <w:jc w:val="both"/>
            </w:pPr>
            <w:r w:rsidRPr="001A6BC6">
              <w:t>Informatīvais ziņojums “Par kompetento un atbildīgo iestādi, kura nodrošinās kvalificētu un paaugstinātas drošības kvalificētu personas elektroniskās identifikācijas pakalpojumu sniedzēju uzraudzību” (28.05.2014 nosūtīts izskatīšanai uz Ministru kabineta komitejas sēdi, VSS-1943 (07.11.2013 Nr.44.16</w:t>
            </w:r>
            <w:r w:rsidRPr="001A6BC6">
              <w:rPr>
                <w:szCs w:val="28"/>
              </w:rPr>
              <w:t>§</w:t>
            </w:r>
            <w:r w:rsidRPr="001A6BC6">
              <w:t>) paredz iespēju, ka sākot ar 2016. gada 1. septembri var tikt mainīta privātpersonu organizēto sistēma uzraugošā un sertificējošā institūcija.</w:t>
            </w:r>
          </w:p>
        </w:tc>
      </w:tr>
      <w:tr w:rsidR="00677A0F" w:rsidRPr="001A6BC6" w:rsidTr="00EA7D91">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lastRenderedPageBreak/>
              <w:t> 3.</w:t>
            </w:r>
          </w:p>
        </w:tc>
        <w:tc>
          <w:tcPr>
            <w:tcW w:w="26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Projekta izstrādē iesaistītās institūcijas</w:t>
            </w:r>
          </w:p>
        </w:tc>
        <w:tc>
          <w:tcPr>
            <w:tcW w:w="63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shd w:val="clear" w:color="auto" w:fill="F7FAFA"/>
              </w:rPr>
            </w:pPr>
            <w:r w:rsidRPr="001A6BC6">
              <w:t xml:space="preserve">Vides aizsardzības un reģionālās attīstības ministrija (turpmāk – ministrija) 2013.gada 8.februārī izveidoja darba grupu par ekspertu deleģēšanu projekta izstrādē. Darba grupā iesaistīja valstiskās un nevalstiskās institūcijas - </w:t>
            </w:r>
            <w:r w:rsidRPr="001A6BC6">
              <w:rPr>
                <w:bCs/>
                <w:shd w:val="clear" w:color="auto" w:fill="FFFFFF"/>
              </w:rPr>
              <w:t>Latvijas Informācijas un komunikācijas tehnoloģijas asociācijas</w:t>
            </w:r>
            <w:r w:rsidRPr="001A6BC6">
              <w:rPr>
                <w:shd w:val="clear" w:color="auto" w:fill="FFFFFF"/>
              </w:rPr>
              <w:t> </w:t>
            </w:r>
            <w:r w:rsidRPr="001A6BC6">
              <w:rPr>
                <w:bCs/>
                <w:shd w:val="clear" w:color="auto" w:fill="FFFFFF"/>
              </w:rPr>
              <w:t>eksperti, L</w:t>
            </w:r>
            <w:r w:rsidRPr="001A6BC6">
              <w:rPr>
                <w:rStyle w:val="Strong"/>
                <w:b w:val="0"/>
                <w:shd w:val="clear" w:color="auto" w:fill="FFFFFF"/>
              </w:rPr>
              <w:t>atvijas atvērto tehnoloģiju asociācijas eksperti, CVK eksperti</w:t>
            </w:r>
            <w:r w:rsidRPr="001A6BC6">
              <w:rPr>
                <w:rStyle w:val="Strong"/>
                <w:shd w:val="clear" w:color="auto" w:fill="FFFFFF"/>
              </w:rPr>
              <w:t xml:space="preserve">, </w:t>
            </w:r>
            <w:r w:rsidRPr="001A6BC6">
              <w:rPr>
                <w:shd w:val="clear" w:color="auto" w:fill="F7FAFA"/>
              </w:rPr>
              <w:t>Latvijas</w:t>
            </w:r>
            <w:r w:rsidRPr="001A6BC6">
              <w:rPr>
                <w:rStyle w:val="apple-converted-space"/>
                <w:shd w:val="clear" w:color="auto" w:fill="F7FAFA"/>
              </w:rPr>
              <w:t> </w:t>
            </w:r>
            <w:r w:rsidRPr="001A6BC6">
              <w:rPr>
                <w:shd w:val="clear" w:color="auto" w:fill="F7FAFA"/>
              </w:rPr>
              <w:t>Valsts</w:t>
            </w:r>
            <w:r w:rsidRPr="001A6BC6">
              <w:rPr>
                <w:rStyle w:val="apple-converted-space"/>
                <w:shd w:val="clear" w:color="auto" w:fill="F7FAFA"/>
              </w:rPr>
              <w:t> </w:t>
            </w:r>
            <w:r w:rsidRPr="001A6BC6">
              <w:rPr>
                <w:shd w:val="clear" w:color="auto" w:fill="F7FAFA"/>
              </w:rPr>
              <w:t>radio un</w:t>
            </w:r>
            <w:r w:rsidRPr="001A6BC6">
              <w:rPr>
                <w:rStyle w:val="apple-converted-space"/>
                <w:shd w:val="clear" w:color="auto" w:fill="F7FAFA"/>
              </w:rPr>
              <w:t> </w:t>
            </w:r>
            <w:r w:rsidRPr="001A6BC6">
              <w:rPr>
                <w:shd w:val="clear" w:color="auto" w:fill="F7FAFA"/>
              </w:rPr>
              <w:t>televīzijas</w:t>
            </w:r>
            <w:r w:rsidRPr="001A6BC6">
              <w:rPr>
                <w:rStyle w:val="apple-converted-space"/>
                <w:shd w:val="clear" w:color="auto" w:fill="F7FAFA"/>
              </w:rPr>
              <w:t> </w:t>
            </w:r>
            <w:r w:rsidRPr="001A6BC6">
              <w:rPr>
                <w:shd w:val="clear" w:color="auto" w:fill="F7FAFA"/>
              </w:rPr>
              <w:t>centr</w:t>
            </w:r>
            <w:r w:rsidRPr="001A6BC6">
              <w:rPr>
                <w:rStyle w:val="apple-converted-space"/>
                <w:shd w:val="clear" w:color="auto" w:fill="F7FAFA"/>
              </w:rPr>
              <w:t xml:space="preserve">a </w:t>
            </w:r>
            <w:r w:rsidRPr="001A6BC6">
              <w:rPr>
                <w:shd w:val="clear" w:color="auto" w:fill="F7FAFA"/>
              </w:rPr>
              <w:t xml:space="preserve">eksperti, </w:t>
            </w:r>
            <w:r w:rsidRPr="001A6BC6">
              <w:rPr>
                <w:rStyle w:val="Strong"/>
                <w:b w:val="0"/>
                <w:shd w:val="clear" w:color="auto" w:fill="FFFFFF"/>
              </w:rPr>
              <w:t xml:space="preserve">CERT </w:t>
            </w:r>
            <w:r w:rsidRPr="001A6BC6">
              <w:rPr>
                <w:shd w:val="clear" w:color="auto" w:fill="F7FAFA"/>
              </w:rPr>
              <w:t xml:space="preserve">eksperts. </w:t>
            </w:r>
          </w:p>
          <w:p w:rsidR="00677A0F" w:rsidRPr="001A6BC6" w:rsidRDefault="00677A0F" w:rsidP="00EA7D91">
            <w:pPr>
              <w:jc w:val="both"/>
              <w:rPr>
                <w:shd w:val="clear" w:color="auto" w:fill="F7FAFA"/>
              </w:rPr>
            </w:pPr>
            <w:r w:rsidRPr="001A6BC6">
              <w:rPr>
                <w:shd w:val="clear" w:color="auto" w:fill="F7FAFA"/>
              </w:rPr>
              <w:t>Sistēmas izstrādāšanas organizatorisko pusi nodrošina Valsts reģionālās attīstības aģentūra (turpmāk - VRAA).</w:t>
            </w:r>
          </w:p>
        </w:tc>
      </w:tr>
      <w:tr w:rsidR="00677A0F" w:rsidRPr="001A6BC6" w:rsidTr="00EA7D91">
        <w:trPr>
          <w:tblCellSpacing w:w="0" w:type="dxa"/>
        </w:trPr>
        <w:tc>
          <w:tcPr>
            <w:tcW w:w="76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lastRenderedPageBreak/>
              <w:t> 4.</w:t>
            </w:r>
          </w:p>
        </w:tc>
        <w:tc>
          <w:tcPr>
            <w:tcW w:w="26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Cita informācija</w:t>
            </w:r>
          </w:p>
        </w:tc>
        <w:tc>
          <w:tcPr>
            <w:tcW w:w="638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lang w:eastAsia="en-US"/>
              </w:rPr>
            </w:pPr>
            <w:r w:rsidRPr="001A6BC6">
              <w:rPr>
                <w:lang w:eastAsia="en-US"/>
              </w:rPr>
              <w:t xml:space="preserve">Projekta izstrādē un drošības prasību definēšanā tika piesaistīts sertificēts IT drošības un riska analīzes eksperts. </w:t>
            </w:r>
          </w:p>
        </w:tc>
      </w:tr>
    </w:tbl>
    <w:p w:rsidR="00677A0F" w:rsidRPr="001A6BC6" w:rsidRDefault="00677A0F" w:rsidP="00677A0F">
      <w:pPr>
        <w:jc w:val="both"/>
        <w:rPr>
          <w:lang w:eastAsia="en-US"/>
        </w:rPr>
      </w:pPr>
      <w:r w:rsidRPr="001A6BC6">
        <w:rPr>
          <w:lang w:eastAsia="en-US"/>
        </w:rPr>
        <w:t> </w:t>
      </w:r>
    </w:p>
    <w:p w:rsidR="00677A0F" w:rsidRPr="001A6BC6" w:rsidRDefault="00677A0F" w:rsidP="00677A0F">
      <w:pPr>
        <w:jc w:val="both"/>
        <w:rPr>
          <w:lang w:eastAsia="en-US"/>
        </w:rPr>
      </w:pP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677A0F" w:rsidRPr="001A6BC6" w:rsidTr="00EA7D91">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rPr>
            </w:pPr>
            <w:r w:rsidRPr="001A6BC6">
              <w:rPr>
                <w:b/>
                <w:bCs/>
              </w:rPr>
              <w:t> II. Tiesību akta projekta ietekme uz sabiedrību, tautsaimniecības attīstību un administratīvo slogu</w:t>
            </w:r>
          </w:p>
        </w:tc>
      </w:tr>
      <w:tr w:rsidR="00677A0F" w:rsidRPr="001A6BC6" w:rsidTr="00EA7D91">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1.</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Sabiedrības mērķgrupas,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pStyle w:val="naiskr"/>
              <w:spacing w:before="0" w:after="0"/>
              <w:ind w:left="71"/>
              <w:jc w:val="both"/>
              <w:rPr>
                <w:lang w:eastAsia="en-US"/>
              </w:rPr>
            </w:pPr>
            <w:r w:rsidRPr="001A6BC6">
              <w:rPr>
                <w:lang w:eastAsia="en-US"/>
              </w:rPr>
              <w:t xml:space="preserve">Projekts tieši ietekmēs VRAA personāla darbību, uzliekot papildus pienākumus un tiesības. </w:t>
            </w:r>
          </w:p>
          <w:p w:rsidR="00677A0F" w:rsidRPr="001A6BC6" w:rsidRDefault="00677A0F" w:rsidP="00EA7D91">
            <w:pPr>
              <w:pStyle w:val="naiskr"/>
              <w:spacing w:before="0" w:after="0"/>
              <w:ind w:left="71"/>
              <w:jc w:val="both"/>
              <w:rPr>
                <w:lang w:eastAsia="en-US"/>
              </w:rPr>
            </w:pPr>
            <w:r w:rsidRPr="001A6BC6">
              <w:rPr>
                <w:lang w:eastAsia="en-US"/>
              </w:rPr>
              <w:t xml:space="preserve">Papildus tieša ietekme būs arī CERT attiecībā uz papildus tiesībām un pienākumu izpildi, kā arī finansējumu. </w:t>
            </w:r>
          </w:p>
          <w:p w:rsidR="00677A0F" w:rsidRPr="001A6BC6" w:rsidRDefault="00677A0F" w:rsidP="00EA7D91">
            <w:pPr>
              <w:pStyle w:val="naiskr"/>
              <w:spacing w:before="0" w:after="0"/>
              <w:ind w:left="71"/>
              <w:jc w:val="both"/>
              <w:rPr>
                <w:lang w:eastAsia="en-US"/>
              </w:rPr>
            </w:pPr>
            <w:r w:rsidRPr="001A6BC6">
              <w:rPr>
                <w:lang w:eastAsia="en-US"/>
              </w:rPr>
              <w:t>Iniciatīvu grupas, kuras organizēs balsu vākšanu elektroniski, Projekts tieši ietekmēs.</w:t>
            </w:r>
          </w:p>
          <w:p w:rsidR="00677A0F" w:rsidRPr="001A6BC6" w:rsidRDefault="00677A0F" w:rsidP="00EA7D91">
            <w:pPr>
              <w:pStyle w:val="naiskr"/>
              <w:spacing w:before="0" w:after="0"/>
              <w:ind w:left="71"/>
              <w:jc w:val="both"/>
              <w:rPr>
                <w:lang w:eastAsia="en-US"/>
              </w:rPr>
            </w:pPr>
            <w:r w:rsidRPr="001A6BC6">
              <w:rPr>
                <w:lang w:eastAsia="en-US"/>
              </w:rPr>
              <w:t>Projektu tieši ietekmēs Pilsonības un migrācijas lietu pārvaldes personāla darbību, uzliekot papildus pienākumus un tiesības</w:t>
            </w:r>
          </w:p>
          <w:p w:rsidR="00677A0F" w:rsidRPr="001A6BC6" w:rsidRDefault="00677A0F" w:rsidP="00EA7D91">
            <w:pPr>
              <w:pStyle w:val="naiskr"/>
              <w:spacing w:before="0" w:after="0"/>
              <w:ind w:left="71"/>
              <w:jc w:val="both"/>
              <w:rPr>
                <w:lang w:eastAsia="en-US"/>
              </w:rPr>
            </w:pPr>
            <w:r w:rsidRPr="001A6BC6">
              <w:rPr>
                <w:lang w:eastAsia="en-US"/>
              </w:rPr>
              <w:t xml:space="preserve">Netiešā veidā var tikt ietekmēta jebkura sabiedrības mērķgrupa. </w:t>
            </w:r>
          </w:p>
        </w:tc>
      </w:tr>
      <w:tr w:rsidR="00677A0F" w:rsidRPr="001A6BC6" w:rsidTr="00EA7D91">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lang w:eastAsia="en-US"/>
              </w:rPr>
            </w:pPr>
            <w:r w:rsidRPr="001A6BC6">
              <w:t>Projektam būs pozitīva ietekme uz sabiedrību, tieša ietekme būs uz balsstiesīgajām personām. Jaunais e-pakalpojums balsstiesīgajiem nodrošinās daudz ātrāku, pieejamāku un ērtāku veidu, lai parakstītos par likumdošanas iniciatīvu, vai Saeimas atsaukšanas ierosināšanu, kas kopumā samazinās administratīvo slogu un parakstu vākšanas izmaksas. Ar šo tiesisko regulējumu tiks radīti priekšnosacījumi, lai parakstu vākšanu varētu organizēt arī privātpersonas.</w:t>
            </w:r>
          </w:p>
        </w:tc>
      </w:tr>
      <w:tr w:rsidR="00677A0F" w:rsidRPr="001A6BC6" w:rsidTr="00EA7D91">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shd w:val="clear" w:color="auto" w:fill="FFFFFF"/>
              </w:rPr>
            </w:pPr>
            <w:r w:rsidRPr="001A6BC6">
              <w:rPr>
                <w:lang w:eastAsia="en-US"/>
              </w:rPr>
              <w:t>Izvērtējot darbības procesus,</w:t>
            </w:r>
            <w:r w:rsidRPr="001A6BC6">
              <w:rPr>
                <w:rStyle w:val="apple-converted-space"/>
                <w:shd w:val="clear" w:color="auto" w:fill="FFFFFF"/>
              </w:rPr>
              <w:t> </w:t>
            </w:r>
            <w:r w:rsidRPr="001A6BC6">
              <w:rPr>
                <w:shd w:val="clear" w:color="auto" w:fill="FFFFFF"/>
              </w:rPr>
              <w:t>ko tiesiskais regulējums rada saistībā ar informācijas pieņemšanas, apstrādes vai uzglabāšanas pienākumiem, ir izvērtētas sekojošās administratīvās izmaksas VRAA un CERT:</w:t>
            </w:r>
          </w:p>
          <w:p w:rsidR="00677A0F" w:rsidRPr="001A6BC6" w:rsidRDefault="00677A0F" w:rsidP="00677A0F">
            <w:pPr>
              <w:numPr>
                <w:ilvl w:val="0"/>
                <w:numId w:val="3"/>
              </w:numPr>
              <w:jc w:val="both"/>
              <w:rPr>
                <w:lang w:eastAsia="en-US"/>
              </w:rPr>
            </w:pPr>
            <w:r w:rsidRPr="001A6BC6">
              <w:rPr>
                <w:lang w:eastAsia="en-US"/>
              </w:rPr>
              <w:t xml:space="preserve">administratīvās kopējās izmaksas </w:t>
            </w:r>
            <w:r w:rsidRPr="001A6BC6">
              <w:rPr>
                <w:shd w:val="clear" w:color="auto" w:fill="FFFFFF"/>
              </w:rPr>
              <w:t xml:space="preserve">CERT </w:t>
            </w:r>
            <w:r w:rsidRPr="001A6BC6">
              <w:rPr>
                <w:lang w:eastAsia="en-US"/>
              </w:rPr>
              <w:t>sastādītu apmēram  1610 eiro;</w:t>
            </w:r>
          </w:p>
          <w:p w:rsidR="00677A0F" w:rsidRPr="001A6BC6" w:rsidRDefault="00677A0F" w:rsidP="00677A0F">
            <w:pPr>
              <w:numPr>
                <w:ilvl w:val="0"/>
                <w:numId w:val="3"/>
              </w:numPr>
              <w:jc w:val="both"/>
              <w:rPr>
                <w:lang w:eastAsia="en-US"/>
              </w:rPr>
            </w:pPr>
            <w:r w:rsidRPr="001A6BC6">
              <w:rPr>
                <w:lang w:eastAsia="en-US"/>
              </w:rPr>
              <w:t>administratīvās kopējās izmaksas VRAA sastādītu apmēram 132 eiro.</w:t>
            </w:r>
          </w:p>
          <w:p w:rsidR="00677A0F" w:rsidRPr="001A6BC6" w:rsidRDefault="00677A0F" w:rsidP="00EA7D91">
            <w:pPr>
              <w:jc w:val="both"/>
              <w:rPr>
                <w:lang w:eastAsia="en-US"/>
              </w:rPr>
            </w:pPr>
            <w:r w:rsidRPr="001A6BC6">
              <w:rPr>
                <w:lang w:eastAsia="en-US"/>
              </w:rPr>
              <w:t>Kopējo administratīvo izmaksu skaits sastāda 1742 eiro.</w:t>
            </w:r>
          </w:p>
          <w:p w:rsidR="00677A0F" w:rsidRPr="001A6BC6" w:rsidRDefault="00677A0F" w:rsidP="00EA7D91">
            <w:pPr>
              <w:jc w:val="both"/>
              <w:rPr>
                <w:lang w:eastAsia="en-US"/>
              </w:rPr>
            </w:pPr>
            <w:r w:rsidRPr="001A6BC6">
              <w:rPr>
                <w:lang w:eastAsia="en-US"/>
              </w:rPr>
              <w:t xml:space="preserve">Aprēķinā tiek izmantota katras institūcijas aptuvenais procesu kopējais izpildes laiks VRAA apmēram 13 darba stundas, bet </w:t>
            </w:r>
            <w:r w:rsidRPr="001A6BC6">
              <w:rPr>
                <w:shd w:val="clear" w:color="auto" w:fill="FFFFFF"/>
              </w:rPr>
              <w:t>CERT</w:t>
            </w:r>
            <w:r w:rsidRPr="001A6BC6">
              <w:rPr>
                <w:lang w:eastAsia="en-US"/>
              </w:rPr>
              <w:t xml:space="preserve"> 180 darba stundas. Administratīvo izmaksu stundu likme vidēji sastāda 4.47 eiro/h, un kopējais subjektu skaits 2.</w:t>
            </w:r>
          </w:p>
          <w:p w:rsidR="00677A0F" w:rsidRPr="001A6BC6" w:rsidRDefault="00677A0F" w:rsidP="00EA7D91">
            <w:pPr>
              <w:jc w:val="both"/>
            </w:pPr>
            <w:r w:rsidRPr="001A6BC6">
              <w:t>Sākotnējās prognozes, ņemot vērā informāciju sistēmu un tehnoloģiju izstrādei nepieciešamos analīzes un izstrādes  posmus, privātpersonas parakstu vākšanas tiešsaistes sistēmās parādītos ne ātrāk kā 2015. gada beigās, ja šajā laikā plānotos iniciatīvas organizēšana.</w:t>
            </w:r>
          </w:p>
          <w:p w:rsidR="00677A0F" w:rsidRPr="001A6BC6" w:rsidRDefault="00677A0F" w:rsidP="00EA7D91">
            <w:pPr>
              <w:jc w:val="both"/>
            </w:pPr>
            <w:r w:rsidRPr="001A6BC6">
              <w:t>Ņemot vērā iepriekš minētos apsvērumus, prognozējams, ka privātpersonas parakstu vākšanas tiešsaistes sistēmu skaits sākotnēji nepārsniegtu vairāk par vienu gadījumu līdz 2016. gada sākumam.</w:t>
            </w:r>
          </w:p>
          <w:p w:rsidR="00677A0F" w:rsidRPr="001A6BC6" w:rsidRDefault="00677A0F" w:rsidP="00EA7D91">
            <w:pPr>
              <w:jc w:val="both"/>
              <w:rPr>
                <w:lang w:eastAsia="en-US"/>
              </w:rPr>
            </w:pPr>
            <w:r w:rsidRPr="001A6BC6">
              <w:rPr>
                <w:lang w:eastAsia="en-US"/>
              </w:rPr>
              <w:t>Aprēķini tika veikti atbilstoši 2009.gada 15.decembra Ministru kabineta instrukcijas Nr.19 „Tiesību akta projekta sākotnējās ietekmes izvērtēšanas kārtība” 24. un 25. punktiem.</w:t>
            </w:r>
          </w:p>
          <w:p w:rsidR="00677A0F" w:rsidRPr="001A6BC6" w:rsidRDefault="00677A0F" w:rsidP="00EA7D91">
            <w:pPr>
              <w:jc w:val="both"/>
              <w:rPr>
                <w:lang w:eastAsia="en-US"/>
              </w:rPr>
            </w:pPr>
            <w:r w:rsidRPr="001A6BC6">
              <w:rPr>
                <w:lang w:eastAsia="en-US"/>
              </w:rPr>
              <w:t xml:space="preserve">Projekta 30. punktā tiek noteikts, ka </w:t>
            </w:r>
            <w:r w:rsidRPr="001A6BC6">
              <w:t>privātpersonas parakstu vākšanas tiešsaistes sistēmām</w:t>
            </w:r>
            <w:r w:rsidRPr="001A6BC6">
              <w:rPr>
                <w:lang w:eastAsia="en-US"/>
              </w:rPr>
              <w:t xml:space="preserve"> ir iespēja veikt identificētu fizisko </w:t>
            </w:r>
            <w:r w:rsidRPr="001A6BC6">
              <w:rPr>
                <w:lang w:eastAsia="en-US"/>
              </w:rPr>
              <w:lastRenderedPageBreak/>
              <w:t>personu vēlēšanu tiesību pārbaudi, izmantojot Iedzīvotāju reģistru. Šo pakalpojumu nodrošina PMLP.</w:t>
            </w:r>
          </w:p>
          <w:p w:rsidR="00677A0F" w:rsidRPr="001A6BC6" w:rsidRDefault="00677A0F" w:rsidP="00EA7D91">
            <w:pPr>
              <w:jc w:val="both"/>
              <w:rPr>
                <w:lang w:eastAsia="en-US"/>
              </w:rPr>
            </w:pPr>
            <w:r w:rsidRPr="001A6BC6">
              <w:rPr>
                <w:lang w:eastAsia="en-US"/>
              </w:rPr>
              <w:t xml:space="preserve">PMLP cenrādis nosaka, ka Iedzīvotāju reģistra tiešsaistes datu pārraides tehniskais pieslēgums vienai fiksētai interneta protokola adresei izmaksātu 245,12 eiro. </w:t>
            </w:r>
          </w:p>
        </w:tc>
      </w:tr>
      <w:tr w:rsidR="00677A0F" w:rsidRPr="001A6BC6" w:rsidTr="00EA7D91">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lastRenderedPageBreak/>
              <w:t>4.</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MK noteikumu projekta izstrādes laikā tika identificētas izmaksas, kas radīsies CERT, ja būs veicama privātpersonas parakstu vākšanas sistēmu sertificēšana (skat. 3. punktu). Ņemot vērā sākotnējās prognozes, ka</w:t>
            </w:r>
            <w:r w:rsidRPr="001A6BC6">
              <w:t xml:space="preserve"> privātpersonas parakstu vākšanas tiešsaistes sistēmās parādītos ne ātrāk kā 2015. gada beigās, līdz 2016. gada 1. janvārim CERT ir gatava pildīt Sertificējošās iestādes funkcijas iestādes esošā budžeta ietvaros. Ziņojumam ir pievienots protokollēmums, kas paredz, ka līdz 2015. gada 1.jūlijam tiks sagatavots informatīvais ziņojums par sertificējošās institūcijas funkciju un tam nepieciešamo finansējumu pēc 2016.  gada 1. janvāra.</w:t>
            </w:r>
          </w:p>
          <w:p w:rsidR="00677A0F" w:rsidRPr="001A6BC6" w:rsidRDefault="00677A0F" w:rsidP="00EA7D91">
            <w:pPr>
              <w:jc w:val="both"/>
            </w:pPr>
            <w:r w:rsidRPr="001A6BC6">
              <w:rPr>
                <w:lang w:eastAsia="en-US"/>
              </w:rPr>
              <w:t xml:space="preserve">Projekta 10.2. apakšpunktā ir atsauce uz </w:t>
            </w:r>
            <w:r w:rsidRPr="001A6BC6">
              <w:rPr>
                <w:shd w:val="clear" w:color="auto" w:fill="FFFFFF"/>
              </w:rPr>
              <w:t>standartu LVS ISO/IEC 27001:2014 L</w:t>
            </w:r>
            <w:r w:rsidRPr="001A6BC6">
              <w:t xml:space="preserve"> „</w:t>
            </w:r>
            <w:r w:rsidRPr="001A6BC6">
              <w:rPr>
                <w:shd w:val="clear" w:color="auto" w:fill="FFFFFF"/>
              </w:rPr>
              <w:t>Informācijas tehnoloģija. Drošības paņēmieni. Informācijas drošības pārvaldības sistēmas. Prasības</w:t>
            </w:r>
            <w:r w:rsidRPr="001A6BC6">
              <w:t>”, kas ir spēkā no 2014.gada 12.jūnija. Standarts ir atbilstošs Standartizācijas likuma 12. panta 2. daļas 2. punktā noteiktajam statusam.</w:t>
            </w:r>
          </w:p>
          <w:p w:rsidR="00677A0F" w:rsidRPr="001A6BC6" w:rsidRDefault="00677A0F" w:rsidP="00EA7D91">
            <w:pPr>
              <w:jc w:val="both"/>
              <w:rPr>
                <w:lang w:eastAsia="en-US"/>
              </w:rPr>
            </w:pPr>
            <w:r w:rsidRPr="001A6BC6">
              <w:t xml:space="preserve">Atsaucoties uz Standartizācijas likuma 13. panta 2. daļu, šo standartu ir noteikta kā obligātu prasību.   </w:t>
            </w:r>
            <w:r w:rsidRPr="001A6BC6">
              <w:rPr>
                <w:lang w:eastAsia="en-US"/>
              </w:rPr>
              <w:t xml:space="preserve">Tiešsaistes parakstu vākšanas sistēma strādās ar vēlētāju personas datiem un glabās vēlētāja izteikto viedokli par iniciatīvu, līdz tas tiks nodots parakstu glabāšanas sistēmai. Tāpēc ir svarīgi nodrošināt, ka iesaistītās puses gūst pārliecību, par to, ka sistēmas īpašnieks pienācīgi rūpējas par tam nodoto datu drošību un ievēro Fizisko personu datu aizsardzības likuma normas. Atsaukšanās uz minēto standartu to nodrošina vienkāršā veidā, kas ir saprotams un pieņemams uzraugošās institūcijas, kas šobrīd ir </w:t>
            </w:r>
            <w:r w:rsidRPr="001A6BC6">
              <w:rPr>
                <w:shd w:val="clear" w:color="auto" w:fill="FFFFFF"/>
              </w:rPr>
              <w:t>sertificējošai institūcijai</w:t>
            </w:r>
            <w:r w:rsidRPr="001A6BC6">
              <w:rPr>
                <w:lang w:eastAsia="en-US"/>
              </w:rPr>
              <w:t>, pārstāvjiem, sabiedriskajām organizācijām, kas pārstāv privāto sektoru, valsts pārvaldes institūciju pārstāvjiem. Minētais standarts apraksta galvenās informācijas sistēmu drošības jomas un nosaka, kā ir jāveic informācijas drošības pārvaldība. Aprakstot šādas prasības pašos noteikumos trešajām pusēm, būs sarežģīti pārliecināties, ka ir aptvertas visas nepieciešamās jomas un tas var sarežģīt pārvaldības, izstrādes un uzraudzības veikšanu. Līdzīgu pieeju – atsaukšanos uz šo standartu, izmanto Eiropas Savienības 2011.gada 17.novembra regula 1179/2011, kas nosaka tehniskās prasības parakstu vākšanai Eiropas Savienības pilsoņu iniciatīvām.</w:t>
            </w:r>
          </w:p>
          <w:p w:rsidR="00677A0F" w:rsidRPr="001A6BC6" w:rsidRDefault="00677A0F" w:rsidP="00EA7D91">
            <w:pPr>
              <w:jc w:val="both"/>
              <w:rPr>
                <w:lang w:eastAsia="en-US"/>
              </w:rPr>
            </w:pPr>
            <w:r w:rsidRPr="001A6BC6">
              <w:rPr>
                <w:lang w:eastAsia="en-US"/>
              </w:rPr>
              <w:t xml:space="preserve">Papildus drošības jautājumiem, tiešsaistes parakstu vākšanas sistēmai ir svarīga vēlētāju uzticība. Vispārzināma starptautiska un Latvijas standarta izmantošana drošības prasību noteikšanā nodrošinās viennozīmīgu drošības un tehnisko prasību interpretēšanu un piemērošanu, kā arī lielāku trešo pušu uzticību parakstu vākšanas sistēmai kopumā. </w:t>
            </w:r>
          </w:p>
        </w:tc>
      </w:tr>
    </w:tbl>
    <w:p w:rsidR="00677A0F" w:rsidRPr="001A6BC6" w:rsidRDefault="00677A0F" w:rsidP="00677A0F">
      <w:pPr>
        <w:ind w:firstLine="375"/>
        <w:jc w:val="both"/>
        <w:rPr>
          <w:lang w:eastAsia="en-US"/>
        </w:rPr>
      </w:pPr>
    </w:p>
    <w:p w:rsidR="00677A0F" w:rsidRPr="001A6BC6" w:rsidRDefault="00677A0F" w:rsidP="00677A0F">
      <w:pPr>
        <w:ind w:firstLine="375"/>
        <w:jc w:val="both"/>
        <w:rPr>
          <w:lang w:eastAsia="en-US"/>
        </w:rPr>
      </w:pPr>
    </w:p>
    <w:p w:rsidR="00677A0F" w:rsidRPr="001A6BC6" w:rsidRDefault="00677A0F" w:rsidP="00677A0F">
      <w:pPr>
        <w:ind w:firstLine="375"/>
        <w:jc w:val="both"/>
        <w:rPr>
          <w:lang w:eastAsia="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3256"/>
        <w:gridCol w:w="1302"/>
        <w:gridCol w:w="1329"/>
        <w:gridCol w:w="1311"/>
        <w:gridCol w:w="1311"/>
        <w:gridCol w:w="1291"/>
      </w:tblGrid>
      <w:tr w:rsidR="00677A0F" w:rsidRPr="001A6BC6" w:rsidTr="00EA7D91">
        <w:trPr>
          <w:trHeight w:val="601"/>
          <w:tblCellSpacing w:w="0" w:type="dxa"/>
          <w:jc w:val="center"/>
        </w:trPr>
        <w:tc>
          <w:tcPr>
            <w:tcW w:w="9800" w:type="dxa"/>
            <w:gridSpan w:val="6"/>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lang w:eastAsia="en-US"/>
              </w:rPr>
            </w:pPr>
            <w:r w:rsidRPr="001A6BC6">
              <w:rPr>
                <w:b/>
                <w:bCs/>
                <w:lang w:eastAsia="en-US"/>
              </w:rPr>
              <w:t>III. Tiesību akta projekta ietekme uz valsts budžetu un pašvaldību budžetiem</w:t>
            </w:r>
          </w:p>
        </w:tc>
      </w:tr>
      <w:tr w:rsidR="00677A0F" w:rsidRPr="001A6BC6" w:rsidTr="00EA7D91">
        <w:trPr>
          <w:tblCellSpacing w:w="0" w:type="dxa"/>
          <w:jc w:val="center"/>
        </w:trPr>
        <w:tc>
          <w:tcPr>
            <w:tcW w:w="3256" w:type="dxa"/>
            <w:vMerge w:val="restart"/>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w:t>
            </w:r>
            <w:r w:rsidRPr="001A6BC6">
              <w:rPr>
                <w:b/>
                <w:bCs/>
                <w:lang w:eastAsia="en-US"/>
              </w:rPr>
              <w:t>Rādītāji</w:t>
            </w:r>
          </w:p>
        </w:tc>
        <w:tc>
          <w:tcPr>
            <w:tcW w:w="2631" w:type="dxa"/>
            <w:gridSpan w:val="2"/>
            <w:vMerge w:val="restart"/>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w:t>
            </w:r>
            <w:r w:rsidRPr="001A6BC6">
              <w:rPr>
                <w:b/>
                <w:bCs/>
                <w:lang w:eastAsia="en-US"/>
              </w:rPr>
              <w:t>2014.gads</w:t>
            </w:r>
          </w:p>
        </w:tc>
        <w:tc>
          <w:tcPr>
            <w:tcW w:w="3913" w:type="dxa"/>
            <w:gridSpan w:val="3"/>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Turpmākie trīs gadi Euro</w:t>
            </w:r>
          </w:p>
        </w:tc>
      </w:tr>
      <w:tr w:rsidR="00677A0F" w:rsidRPr="001A6BC6" w:rsidTr="00EA7D91">
        <w:trPr>
          <w:tblCellSpacing w:w="0" w:type="dxa"/>
          <w:jc w:val="center"/>
        </w:trPr>
        <w:tc>
          <w:tcPr>
            <w:tcW w:w="3256"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2631" w:type="dxa"/>
            <w:gridSpan w:val="2"/>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lang w:eastAsia="en-US"/>
              </w:rPr>
            </w:pPr>
            <w:r w:rsidRPr="001A6BC6">
              <w:rPr>
                <w:b/>
                <w:bCs/>
                <w:lang w:eastAsia="en-US"/>
              </w:rPr>
              <w:t>2015</w:t>
            </w: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lang w:eastAsia="en-US"/>
              </w:rPr>
            </w:pPr>
            <w:r w:rsidRPr="001A6BC6">
              <w:rPr>
                <w:b/>
                <w:bCs/>
                <w:lang w:eastAsia="en-US"/>
              </w:rPr>
              <w:t> 2016</w:t>
            </w:r>
          </w:p>
        </w:tc>
        <w:tc>
          <w:tcPr>
            <w:tcW w:w="129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lang w:eastAsia="en-US"/>
              </w:rPr>
            </w:pPr>
            <w:r w:rsidRPr="001A6BC6">
              <w:rPr>
                <w:b/>
                <w:bCs/>
                <w:lang w:eastAsia="en-US"/>
              </w:rPr>
              <w:t>2017</w:t>
            </w:r>
          </w:p>
        </w:tc>
      </w:tr>
      <w:tr w:rsidR="00677A0F" w:rsidRPr="001A6BC6" w:rsidTr="00EA7D91">
        <w:trPr>
          <w:tblCellSpacing w:w="0" w:type="dxa"/>
          <w:jc w:val="center"/>
        </w:trPr>
        <w:tc>
          <w:tcPr>
            <w:tcW w:w="3256"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02"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Saskaņā ar valsts budžetu kārtējam gadam</w:t>
            </w:r>
          </w:p>
        </w:tc>
        <w:tc>
          <w:tcPr>
            <w:tcW w:w="1329"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Izmaiņas kārtējā gadā, salīdzinot ar budžetu kārtējam gadam</w:t>
            </w: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Izmaiņas, salīdzinot ar kārtējo (n) gadu</w:t>
            </w: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Izmaiņas, salīdzinot ar kārtējo (n) gadu</w:t>
            </w:r>
          </w:p>
        </w:tc>
        <w:tc>
          <w:tcPr>
            <w:tcW w:w="129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Izmaiņas, salīdzinot ar kārtējo (n) gadu</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1</w:t>
            </w:r>
          </w:p>
        </w:tc>
        <w:tc>
          <w:tcPr>
            <w:tcW w:w="1302"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2</w:t>
            </w:r>
          </w:p>
        </w:tc>
        <w:tc>
          <w:tcPr>
            <w:tcW w:w="1329"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3</w:t>
            </w: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4</w:t>
            </w:r>
          </w:p>
        </w:tc>
        <w:tc>
          <w:tcPr>
            <w:tcW w:w="131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5</w:t>
            </w:r>
          </w:p>
        </w:tc>
        <w:tc>
          <w:tcPr>
            <w:tcW w:w="1291" w:type="dxa"/>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lang w:eastAsia="en-US"/>
              </w:rPr>
            </w:pPr>
            <w:r w:rsidRPr="001A6BC6">
              <w:rPr>
                <w:lang w:eastAsia="en-US"/>
              </w:rPr>
              <w:t> 6</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1. Budžeta ieņēmumi:</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209 302</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261 310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-96 542</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1.1. valsts pamatbudžets, tai skaitā ieņēmumi no maksas pakalpojumiem un citi pašu ieņēmumi</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1.2. valsts speciālais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1.3. pašvaldību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2. Budžeta izdevumi:</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t>209 302</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t>261 310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t>-96 542</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2.1. valsts pamatbudžets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2.2. valsts speciālais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2.3. pašvaldību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3. Finansiālā ietekme:</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3.1. valsts pamatbudžets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3.2. speciālais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3.3. pašvaldību budžets</w:t>
            </w:r>
          </w:p>
        </w:tc>
        <w:tc>
          <w:tcPr>
            <w:tcW w:w="1302"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vMerge w:val="restart"/>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4. Finanšu līdzekļi papildu izde</w:t>
            </w:r>
            <w:r w:rsidRPr="001A6BC6">
              <w:rPr>
                <w:lang w:eastAsia="en-US"/>
              </w:rPr>
              <w:softHyphen/>
              <w:t>vumu finansēšanai (kompensējošu izdevumu samazinājumu norāda ar „+” zīmi)</w:t>
            </w:r>
          </w:p>
        </w:tc>
        <w:tc>
          <w:tcPr>
            <w:tcW w:w="1302" w:type="dxa"/>
            <w:vMerge w:val="restart"/>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center"/>
              <w:rPr>
                <w:lang w:eastAsia="en-US"/>
              </w:rPr>
            </w:pPr>
            <w:r w:rsidRPr="001A6BC6">
              <w:rPr>
                <w:lang w:eastAsia="en-US"/>
              </w:rPr>
              <w:t> X</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color w:val="000000"/>
                <w:lang w:eastAsia="en-US"/>
              </w:rPr>
            </w:pPr>
            <w:r w:rsidRPr="001A6BC6">
              <w:rPr>
                <w:color w:val="000000"/>
                <w:lang w:eastAsia="en-US"/>
              </w:rPr>
              <w:t>0</w:t>
            </w:r>
          </w:p>
        </w:tc>
      </w:tr>
      <w:tr w:rsidR="00677A0F" w:rsidRPr="001A6BC6" w:rsidTr="00EA7D91">
        <w:trPr>
          <w:tblCellSpacing w:w="0" w:type="dxa"/>
          <w:jc w:val="center"/>
        </w:trPr>
        <w:tc>
          <w:tcPr>
            <w:tcW w:w="3256"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02"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02"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5. Precizēta finansiālā ietekme:</w:t>
            </w:r>
          </w:p>
        </w:tc>
        <w:tc>
          <w:tcPr>
            <w:tcW w:w="1302" w:type="dxa"/>
            <w:vMerge w:val="restart"/>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center"/>
              <w:rPr>
                <w:lang w:eastAsia="en-US"/>
              </w:rPr>
            </w:pPr>
            <w:r w:rsidRPr="001A6BC6">
              <w:rPr>
                <w:lang w:eastAsia="en-US"/>
              </w:rPr>
              <w:t> X</w:t>
            </w: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5.1. valsts pamatbudžets</w:t>
            </w:r>
          </w:p>
        </w:tc>
        <w:tc>
          <w:tcPr>
            <w:tcW w:w="1302"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5.2. speciālais budžets</w:t>
            </w:r>
          </w:p>
        </w:tc>
        <w:tc>
          <w:tcPr>
            <w:tcW w:w="1302"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5.3. pašvaldību budžets</w:t>
            </w:r>
          </w:p>
        </w:tc>
        <w:tc>
          <w:tcPr>
            <w:tcW w:w="1302" w:type="dxa"/>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c>
          <w:tcPr>
            <w:tcW w:w="1329"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31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c>
          <w:tcPr>
            <w:tcW w:w="1291"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0</w:t>
            </w: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6. Detalizēts ieņēmumu un izdevu</w:t>
            </w:r>
            <w:r w:rsidRPr="001A6BC6">
              <w:rPr>
                <w:lang w:eastAsia="en-US"/>
              </w:rPr>
              <w:softHyphen/>
              <w:t>mu aprēķins (ja nepieciešams, detalizētu ieņēmumu un izdevumu aprēķinu var pievienot anotācijas pielikumā):</w:t>
            </w:r>
          </w:p>
        </w:tc>
        <w:tc>
          <w:tcPr>
            <w:tcW w:w="6544" w:type="dxa"/>
            <w:gridSpan w:val="5"/>
            <w:vMerge w:val="restart"/>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rPr>
                <w:lang w:eastAsia="en-US"/>
              </w:rPr>
            </w:pPr>
          </w:p>
          <w:p w:rsidR="00677A0F" w:rsidRPr="001A6BC6" w:rsidRDefault="00677A0F" w:rsidP="00EA7D91">
            <w:pPr>
              <w:rPr>
                <w:lang w:eastAsia="en-US"/>
              </w:rPr>
            </w:pPr>
          </w:p>
          <w:p w:rsidR="00677A0F" w:rsidRPr="001A6BC6" w:rsidRDefault="00677A0F" w:rsidP="00EA7D91">
            <w:pPr>
              <w:rPr>
                <w:lang w:eastAsia="en-US"/>
              </w:rPr>
            </w:pPr>
          </w:p>
          <w:p w:rsidR="00677A0F" w:rsidRPr="001A6BC6" w:rsidRDefault="00677A0F" w:rsidP="00EA7D91">
            <w:pPr>
              <w:rPr>
                <w:lang w:eastAsia="en-US"/>
              </w:rPr>
            </w:pPr>
          </w:p>
          <w:p w:rsidR="00677A0F" w:rsidRPr="001A6BC6" w:rsidRDefault="00677A0F" w:rsidP="00EA7D91">
            <w:pPr>
              <w:rPr>
                <w:lang w:eastAsia="en-US"/>
              </w:rPr>
            </w:pPr>
          </w:p>
          <w:p w:rsidR="00677A0F" w:rsidRPr="001A6BC6" w:rsidRDefault="00677A0F" w:rsidP="00EA7D91">
            <w:pPr>
              <w:rPr>
                <w:lang w:eastAsia="en-US"/>
              </w:rPr>
            </w:pPr>
          </w:p>
          <w:p w:rsidR="00677A0F" w:rsidRPr="001A6BC6" w:rsidRDefault="00677A0F" w:rsidP="00EA7D91">
            <w:pPr>
              <w:rPr>
                <w:lang w:eastAsia="en-US"/>
              </w:rPr>
            </w:pP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6.1. detalizēts ieņēmumu aprēķins</w:t>
            </w:r>
          </w:p>
        </w:tc>
        <w:tc>
          <w:tcPr>
            <w:tcW w:w="6544" w:type="dxa"/>
            <w:gridSpan w:val="5"/>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r>
      <w:tr w:rsidR="00677A0F" w:rsidRPr="001A6BC6" w:rsidTr="00EA7D91">
        <w:trPr>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 6.2. detalizēts izdevumu aprēķins</w:t>
            </w:r>
          </w:p>
        </w:tc>
        <w:tc>
          <w:tcPr>
            <w:tcW w:w="6544" w:type="dxa"/>
            <w:gridSpan w:val="5"/>
            <w:vMerge/>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rPr>
                <w:lang w:eastAsia="en-US"/>
              </w:rPr>
            </w:pPr>
          </w:p>
        </w:tc>
      </w:tr>
      <w:tr w:rsidR="00677A0F" w:rsidRPr="001A6BC6" w:rsidTr="00EA7D91">
        <w:trPr>
          <w:trHeight w:val="3606"/>
          <w:tblCellSpacing w:w="0" w:type="dxa"/>
          <w:jc w:val="center"/>
        </w:trPr>
        <w:tc>
          <w:tcPr>
            <w:tcW w:w="3256"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lastRenderedPageBreak/>
              <w:t> 7. Cita informācija</w:t>
            </w:r>
          </w:p>
        </w:tc>
        <w:tc>
          <w:tcPr>
            <w:tcW w:w="6544" w:type="dxa"/>
            <w:gridSpan w:val="5"/>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pPr>
            <w:r w:rsidRPr="001A6BC6">
              <w:t>Finansējums piešķirts saskaņā ar likumu „Par valsts budžetu 2014. gadam” un likumu „Par vidēja termiņa budžeta ietvaru 2014., 2015. un 2016. gadam ”.</w:t>
            </w:r>
          </w:p>
          <w:p w:rsidR="00677A0F" w:rsidRPr="001A6BC6" w:rsidRDefault="00677A0F" w:rsidP="00EA7D91">
            <w:pPr>
              <w:jc w:val="both"/>
            </w:pPr>
            <w:r w:rsidRPr="001A6BC6">
              <w:t>2014. gadam VRAA aģentūras budžetā piešķirti 209 302 eiro, 2015. gada budžetā - 470 612 eiro un no 2016. gada - ik gadu 112 760 eiro.</w:t>
            </w:r>
          </w:p>
          <w:p w:rsidR="00677A0F" w:rsidRPr="001A6BC6" w:rsidRDefault="00677A0F" w:rsidP="00EA7D91">
            <w:pPr>
              <w:jc w:val="both"/>
            </w:pPr>
            <w:r w:rsidRPr="001A6BC6">
              <w:t xml:space="preserve"> Sistēmas izstrādes laikā 12 342 eiro no VRAA paredzētajiem līdzekļiem, ar transferta palīdzību, tiek plānots novirzīt Pilsonības migrācijas lietu pārvaldes Iedzīvotāju reģistra tehniskajai pilnveidošanai.</w:t>
            </w:r>
          </w:p>
          <w:p w:rsidR="00677A0F" w:rsidRPr="001A6BC6" w:rsidRDefault="00677A0F" w:rsidP="00EA7D91">
            <w:pPr>
              <w:jc w:val="both"/>
            </w:pPr>
            <w:r w:rsidRPr="001A6BC6">
              <w:t xml:space="preserve">Iedzīvotāju reģistram nepieciešams papildus nodrošināt servisus, kuri pārbaudītu personas miršanas datumu, persona datu ieraksts nav bijis pasīvs, vecuma atbilstību, valstiskā piederība. </w:t>
            </w:r>
          </w:p>
        </w:tc>
      </w:tr>
    </w:tbl>
    <w:p w:rsidR="00677A0F" w:rsidRPr="001A6BC6" w:rsidRDefault="00677A0F" w:rsidP="00677A0F">
      <w:pPr>
        <w:rPr>
          <w:i/>
          <w:iCs/>
          <w:lang w:eastAsia="en-US"/>
        </w:rPr>
      </w:pPr>
      <w:r w:rsidRPr="001A6BC6">
        <w:rPr>
          <w:i/>
          <w:iCs/>
          <w:lang w:eastAsia="en-US"/>
        </w:rPr>
        <w:t> </w:t>
      </w:r>
    </w:p>
    <w:tbl>
      <w:tblPr>
        <w:tblW w:w="9840" w:type="dxa"/>
        <w:tblCellSpacing w:w="0" w:type="dxa"/>
        <w:tblInd w:w="-6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677A0F" w:rsidRPr="001A6BC6" w:rsidTr="00EA7D91">
        <w:trPr>
          <w:trHeight w:val="544"/>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677A0F" w:rsidRPr="001A6BC6" w:rsidRDefault="00677A0F" w:rsidP="00EA7D91">
            <w:pPr>
              <w:jc w:val="center"/>
              <w:rPr>
                <w:b/>
                <w:bCs/>
              </w:rPr>
            </w:pPr>
            <w:r w:rsidRPr="001A6BC6">
              <w:rPr>
                <w:b/>
                <w:bCs/>
              </w:rPr>
              <w:t> VI. Sabiedrības līdzdalība un šīs līdzdalības rezultāti</w:t>
            </w:r>
          </w:p>
        </w:tc>
      </w:tr>
      <w:tr w:rsidR="00677A0F" w:rsidRPr="001A6BC6" w:rsidTr="00EA7D91">
        <w:tblPrEx>
          <w:tblCellMar>
            <w:left w:w="57" w:type="dxa"/>
            <w:right w:w="57" w:type="dxa"/>
          </w:tblCellMar>
        </w:tblPrEx>
        <w:trPr>
          <w:trHeight w:val="1379"/>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1.</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shd w:val="clear" w:color="auto" w:fill="FFFFFF"/>
              </w:rPr>
              <w:t>Plānotās sabiedrības līdzdalības un komunikācijas aktivitātes saistībā ar projektu</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ind w:right="70"/>
              <w:jc w:val="both"/>
            </w:pPr>
            <w:r w:rsidRPr="001A6BC6">
              <w:t xml:space="preserve">2014. gada 4. martā Ministrijas tīmekļa vietnē </w:t>
            </w:r>
            <w:hyperlink r:id="rId8" w:history="1">
              <w:r w:rsidRPr="001A6BC6">
                <w:rPr>
                  <w:rStyle w:val="Hyperlink"/>
                </w:rPr>
                <w:t>www.varam.gov.lv</w:t>
              </w:r>
            </w:hyperlink>
            <w:r w:rsidRPr="001A6BC6">
              <w:t xml:space="preserve"> sadaļā „Normatīvo aktu projekti” tika publicēts paziņojums par sabiedrības līdzdalības iespējām Projekta izstrādes procesā, līdz ar to ieinteresētajām personām ir iespēja izteikt viedokli un sniegt priekšlikumus.</w:t>
            </w:r>
          </w:p>
        </w:tc>
      </w:tr>
      <w:tr w:rsidR="00677A0F" w:rsidRPr="001A6BC6" w:rsidTr="00EA7D91">
        <w:tblPrEx>
          <w:tblCellMar>
            <w:left w:w="57" w:type="dxa"/>
            <w:right w:w="57" w:type="dxa"/>
          </w:tblCellMar>
        </w:tblPrEx>
        <w:trPr>
          <w:trHeight w:val="1101"/>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pStyle w:val="tvhtmlmktable"/>
              <w:rPr>
                <w:rFonts w:ascii="Times New Roman" w:hAnsi="Times New Roman"/>
                <w:sz w:val="24"/>
                <w:szCs w:val="24"/>
              </w:rPr>
            </w:pPr>
            <w:r w:rsidRPr="001A6BC6">
              <w:rPr>
                <w:rFonts w:ascii="Times New Roman" w:hAnsi="Times New Roman"/>
                <w:sz w:val="24"/>
                <w:szCs w:val="24"/>
              </w:rPr>
              <w:t>Sabiedrības līdzdalība projekta izstrādē</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pPr>
            <w:r w:rsidRPr="001A6BC6">
              <w:t xml:space="preserve">Projekta izstrādē tika piesaistīti </w:t>
            </w:r>
            <w:r w:rsidRPr="001A6BC6">
              <w:rPr>
                <w:bCs/>
                <w:shd w:val="clear" w:color="auto" w:fill="FFFFFF"/>
              </w:rPr>
              <w:t>Latvijas Informācijas un komunikācijas tehnoloģijas asociācijas</w:t>
            </w:r>
            <w:r w:rsidRPr="001A6BC6">
              <w:rPr>
                <w:shd w:val="clear" w:color="auto" w:fill="FFFFFF"/>
              </w:rPr>
              <w:t> </w:t>
            </w:r>
            <w:r w:rsidRPr="001A6BC6">
              <w:t xml:space="preserve"> un </w:t>
            </w:r>
            <w:r w:rsidRPr="001A6BC6">
              <w:rPr>
                <w:bCs/>
                <w:shd w:val="clear" w:color="auto" w:fill="FFFFFF"/>
              </w:rPr>
              <w:t>L</w:t>
            </w:r>
            <w:r w:rsidRPr="001A6BC6">
              <w:rPr>
                <w:rStyle w:val="Strong"/>
                <w:b w:val="0"/>
                <w:shd w:val="clear" w:color="auto" w:fill="FFFFFF"/>
              </w:rPr>
              <w:t>atvijas atvērto tehnoloģiju asociācijas</w:t>
            </w:r>
            <w:r w:rsidRPr="001A6BC6">
              <w:t xml:space="preserve"> biedri. Papildus tika piesaistīts sertificēts informācijas sistēmu drošības auditors.</w:t>
            </w:r>
          </w:p>
          <w:p w:rsidR="00677A0F" w:rsidRPr="001A6BC6" w:rsidRDefault="00677A0F" w:rsidP="00EA7D91">
            <w:pPr>
              <w:jc w:val="both"/>
            </w:pPr>
            <w:r w:rsidRPr="001A6BC6">
              <w:t>Citi priekšlikumi vai iebildumi par Projektu nav saņemti.</w:t>
            </w:r>
          </w:p>
        </w:tc>
      </w:tr>
      <w:tr w:rsidR="00677A0F" w:rsidRPr="001A6BC6" w:rsidTr="00EA7D91">
        <w:tblPrEx>
          <w:tblCellMar>
            <w:left w:w="57" w:type="dxa"/>
            <w:right w:w="57" w:type="dxa"/>
          </w:tblCellMar>
        </w:tblPrEx>
        <w:trPr>
          <w:trHeight w:val="1835"/>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pStyle w:val="tvhtmlmktable"/>
              <w:rPr>
                <w:rFonts w:ascii="Times New Roman" w:hAnsi="Times New Roman"/>
                <w:sz w:val="24"/>
                <w:szCs w:val="24"/>
              </w:rPr>
            </w:pPr>
            <w:r w:rsidRPr="001A6BC6">
              <w:rPr>
                <w:rFonts w:ascii="Times New Roman" w:hAnsi="Times New Roman"/>
                <w:sz w:val="24"/>
                <w:szCs w:val="24"/>
              </w:rPr>
              <w:t>Sabiedrības līdzdalības rezultāti</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jc w:val="both"/>
            </w:pPr>
            <w:r w:rsidRPr="001A6BC6">
              <w:rPr>
                <w:bCs/>
                <w:shd w:val="clear" w:color="auto" w:fill="FFFFFF"/>
              </w:rPr>
              <w:t>Latvijas Informācijas un komunikācijas tehnoloģijas asociācija</w:t>
            </w:r>
            <w:r w:rsidRPr="001A6BC6">
              <w:t xml:space="preserve">, </w:t>
            </w:r>
            <w:r w:rsidRPr="001A6BC6">
              <w:rPr>
                <w:bCs/>
                <w:shd w:val="clear" w:color="auto" w:fill="FFFFFF"/>
              </w:rPr>
              <w:t>L</w:t>
            </w:r>
            <w:r w:rsidRPr="001A6BC6">
              <w:rPr>
                <w:rStyle w:val="Strong"/>
                <w:b w:val="0"/>
                <w:shd w:val="clear" w:color="auto" w:fill="FFFFFF"/>
              </w:rPr>
              <w:t>atvijas atvērto tehnoloģiju asociācija</w:t>
            </w:r>
            <w:r w:rsidRPr="001A6BC6">
              <w:t xml:space="preserve"> un </w:t>
            </w:r>
            <w:r w:rsidRPr="001A6BC6">
              <w:rPr>
                <w:lang w:eastAsia="en-US"/>
              </w:rPr>
              <w:t xml:space="preserve">sertificētu IT drošības un riska analīzes eksperts </w:t>
            </w:r>
            <w:r w:rsidRPr="001A6BC6">
              <w:t>sniedza savus komentārus, ieteikumus Projekta izstrādes laikā, kā arī norādīja uz nepieciešamajiem papildinājumiem Projektā.</w:t>
            </w:r>
          </w:p>
        </w:tc>
      </w:tr>
      <w:tr w:rsidR="00677A0F" w:rsidRPr="001A6BC6" w:rsidTr="00EA7D91">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rPr>
                <w:lang w:eastAsia="en-US"/>
              </w:rPr>
            </w:pPr>
            <w:r w:rsidRPr="001A6BC6">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rsidR="00677A0F" w:rsidRPr="001A6BC6" w:rsidRDefault="00677A0F" w:rsidP="00EA7D91">
            <w:pPr>
              <w:tabs>
                <w:tab w:val="left" w:pos="720"/>
              </w:tabs>
              <w:ind w:right="70"/>
              <w:jc w:val="both"/>
              <w:rPr>
                <w:lang w:eastAsia="en-US"/>
              </w:rPr>
            </w:pPr>
            <w:r w:rsidRPr="001A6BC6">
              <w:rPr>
                <w:lang w:eastAsia="en-US"/>
              </w:rPr>
              <w:t>Nav.</w:t>
            </w:r>
          </w:p>
        </w:tc>
      </w:tr>
    </w:tbl>
    <w:p w:rsidR="00677A0F" w:rsidRPr="001A6BC6" w:rsidRDefault="00677A0F" w:rsidP="00677A0F">
      <w:pPr>
        <w:rPr>
          <w:iCs/>
          <w:lang w:eastAsia="en-US"/>
        </w:rPr>
      </w:pPr>
    </w:p>
    <w:tbl>
      <w:tblPr>
        <w:tblW w:w="9474"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418"/>
      </w:tblGrid>
      <w:tr w:rsidR="00677A0F" w:rsidRPr="001A6BC6" w:rsidTr="00EA7D91">
        <w:tc>
          <w:tcPr>
            <w:tcW w:w="9474" w:type="dxa"/>
            <w:gridSpan w:val="3"/>
            <w:tcBorders>
              <w:top w:val="single" w:sz="4" w:space="0" w:color="auto"/>
            </w:tcBorders>
            <w:tcMar>
              <w:top w:w="57" w:type="dxa"/>
              <w:left w:w="57" w:type="dxa"/>
              <w:bottom w:w="57" w:type="dxa"/>
              <w:right w:w="57" w:type="dxa"/>
            </w:tcMar>
          </w:tcPr>
          <w:p w:rsidR="00677A0F" w:rsidRPr="001A6BC6" w:rsidRDefault="00677A0F" w:rsidP="00EA7D91">
            <w:pPr>
              <w:pStyle w:val="naisnod"/>
              <w:spacing w:before="0" w:after="0"/>
              <w:ind w:left="57" w:right="57"/>
            </w:pPr>
            <w:r w:rsidRPr="001A6BC6">
              <w:t>VII. Tiesību akta projekta izpildes nodrošināšana un tās ietekme uz institūcijām</w:t>
            </w:r>
          </w:p>
        </w:tc>
      </w:tr>
      <w:tr w:rsidR="00677A0F" w:rsidRPr="001A6BC6" w:rsidTr="00EA7D91">
        <w:trPr>
          <w:trHeight w:val="427"/>
        </w:trPr>
        <w:tc>
          <w:tcPr>
            <w:tcW w:w="680" w:type="dxa"/>
            <w:tcMar>
              <w:top w:w="57" w:type="dxa"/>
              <w:left w:w="57" w:type="dxa"/>
              <w:bottom w:w="57" w:type="dxa"/>
              <w:right w:w="57" w:type="dxa"/>
            </w:tcMar>
          </w:tcPr>
          <w:p w:rsidR="00677A0F" w:rsidRPr="001A6BC6" w:rsidRDefault="00677A0F" w:rsidP="00EA7D91">
            <w:pPr>
              <w:pStyle w:val="naisnod"/>
              <w:spacing w:before="0" w:after="0"/>
              <w:ind w:left="57" w:right="57"/>
              <w:jc w:val="left"/>
              <w:rPr>
                <w:b w:val="0"/>
              </w:rPr>
            </w:pPr>
            <w:r w:rsidRPr="001A6BC6">
              <w:rPr>
                <w:b w:val="0"/>
              </w:rPr>
              <w:t>1.</w:t>
            </w:r>
          </w:p>
        </w:tc>
        <w:tc>
          <w:tcPr>
            <w:tcW w:w="4376" w:type="dxa"/>
            <w:tcMar>
              <w:top w:w="57" w:type="dxa"/>
              <w:left w:w="57" w:type="dxa"/>
              <w:bottom w:w="57" w:type="dxa"/>
              <w:right w:w="57" w:type="dxa"/>
            </w:tcMar>
          </w:tcPr>
          <w:p w:rsidR="00677A0F" w:rsidRPr="001A6BC6" w:rsidRDefault="00677A0F" w:rsidP="00EA7D91">
            <w:pPr>
              <w:pStyle w:val="naisf"/>
              <w:spacing w:before="0" w:after="0"/>
              <w:ind w:left="57" w:right="57" w:firstLine="0"/>
              <w:jc w:val="left"/>
            </w:pPr>
            <w:r w:rsidRPr="001A6BC6">
              <w:t xml:space="preserve">Projekta izpildē iesaistītās institūcijas </w:t>
            </w:r>
          </w:p>
        </w:tc>
        <w:tc>
          <w:tcPr>
            <w:tcW w:w="4418" w:type="dxa"/>
            <w:tcMar>
              <w:top w:w="57" w:type="dxa"/>
              <w:left w:w="57" w:type="dxa"/>
              <w:bottom w:w="57" w:type="dxa"/>
              <w:right w:w="57" w:type="dxa"/>
            </w:tcMar>
          </w:tcPr>
          <w:p w:rsidR="00677A0F" w:rsidRPr="001A6BC6" w:rsidRDefault="00677A0F" w:rsidP="00EA7D91">
            <w:pPr>
              <w:pStyle w:val="naiskr"/>
              <w:spacing w:before="0" w:after="0"/>
              <w:jc w:val="both"/>
            </w:pPr>
            <w:r w:rsidRPr="001A6BC6">
              <w:t xml:space="preserve">Vides aizsardzības un reģionālās attīstības ministrija, </w:t>
            </w:r>
          </w:p>
          <w:p w:rsidR="00677A0F" w:rsidRPr="001A6BC6" w:rsidRDefault="00677A0F" w:rsidP="00EA7D91">
            <w:pPr>
              <w:pStyle w:val="naiskr"/>
              <w:spacing w:before="0" w:after="0"/>
              <w:jc w:val="both"/>
            </w:pPr>
            <w:r w:rsidRPr="001A6BC6">
              <w:t>Valsts reģionālās attīstības aģentūra, Centrālā vēlēšanu komisija,</w:t>
            </w:r>
          </w:p>
          <w:p w:rsidR="00677A0F" w:rsidRPr="001A6BC6" w:rsidRDefault="00677A0F" w:rsidP="00EA7D91">
            <w:pPr>
              <w:pStyle w:val="naiskr"/>
              <w:spacing w:before="0" w:after="0"/>
              <w:jc w:val="both"/>
            </w:pPr>
            <w:r w:rsidRPr="001A6BC6">
              <w:rPr>
                <w:rStyle w:val="Strong"/>
                <w:b w:val="0"/>
                <w:shd w:val="clear" w:color="auto" w:fill="FFFFFF"/>
              </w:rPr>
              <w:t>Informācijas tehnoloģiju drošības incidentu novēršanas institūcija.</w:t>
            </w:r>
          </w:p>
        </w:tc>
      </w:tr>
      <w:tr w:rsidR="00677A0F" w:rsidRPr="001A6BC6" w:rsidTr="00EA7D91">
        <w:trPr>
          <w:trHeight w:val="463"/>
        </w:trPr>
        <w:tc>
          <w:tcPr>
            <w:tcW w:w="680" w:type="dxa"/>
            <w:tcMar>
              <w:top w:w="57" w:type="dxa"/>
              <w:left w:w="57" w:type="dxa"/>
              <w:bottom w:w="57" w:type="dxa"/>
              <w:right w:w="57" w:type="dxa"/>
            </w:tcMar>
          </w:tcPr>
          <w:p w:rsidR="00677A0F" w:rsidRPr="001A6BC6" w:rsidRDefault="00677A0F" w:rsidP="00EA7D91">
            <w:pPr>
              <w:pStyle w:val="naisnod"/>
              <w:spacing w:before="0" w:after="0"/>
              <w:ind w:left="57" w:right="57"/>
              <w:jc w:val="left"/>
              <w:rPr>
                <w:b w:val="0"/>
              </w:rPr>
            </w:pPr>
            <w:r w:rsidRPr="001A6BC6">
              <w:rPr>
                <w:b w:val="0"/>
              </w:rPr>
              <w:t>2.</w:t>
            </w:r>
          </w:p>
        </w:tc>
        <w:tc>
          <w:tcPr>
            <w:tcW w:w="4376" w:type="dxa"/>
            <w:tcMar>
              <w:top w:w="57" w:type="dxa"/>
              <w:left w:w="57" w:type="dxa"/>
              <w:bottom w:w="57" w:type="dxa"/>
              <w:right w:w="57" w:type="dxa"/>
            </w:tcMar>
          </w:tcPr>
          <w:p w:rsidR="00677A0F" w:rsidRPr="001A6BC6" w:rsidRDefault="00677A0F" w:rsidP="00EA7D91">
            <w:pPr>
              <w:pStyle w:val="naisf"/>
              <w:spacing w:before="0" w:after="0"/>
              <w:ind w:left="57" w:right="57" w:firstLine="0"/>
              <w:jc w:val="left"/>
            </w:pPr>
            <w:r w:rsidRPr="001A6BC6">
              <w:t>Projekta izpildes ietekme uz pārvaldes funkcijām un institucionālo struktūru</w:t>
            </w:r>
          </w:p>
        </w:tc>
        <w:tc>
          <w:tcPr>
            <w:tcW w:w="4418" w:type="dxa"/>
            <w:tcMar>
              <w:top w:w="57" w:type="dxa"/>
              <w:left w:w="57" w:type="dxa"/>
              <w:bottom w:w="57" w:type="dxa"/>
              <w:right w:w="57" w:type="dxa"/>
            </w:tcMar>
          </w:tcPr>
          <w:p w:rsidR="00677A0F" w:rsidRPr="001A6BC6" w:rsidRDefault="00677A0F" w:rsidP="00EA7D91">
            <w:pPr>
              <w:pStyle w:val="naisnod"/>
              <w:spacing w:before="0" w:after="0"/>
              <w:ind w:right="57"/>
              <w:jc w:val="both"/>
              <w:rPr>
                <w:b w:val="0"/>
              </w:rPr>
            </w:pPr>
            <w:r w:rsidRPr="001A6BC6">
              <w:rPr>
                <w:b w:val="0"/>
              </w:rPr>
              <w:t xml:space="preserve">Projekts nosaka, ka papildus uzdevumi tiks deleģēti VRAA, līdz ar to pēc sistēmas ieviešanas ir paredzēta jaunu darba vietu izveide, kas attiecīgi ietekmēs uz cilvēku resursiem. </w:t>
            </w:r>
          </w:p>
          <w:p w:rsidR="00677A0F" w:rsidRPr="001A6BC6" w:rsidRDefault="00677A0F" w:rsidP="00EA7D91">
            <w:pPr>
              <w:pStyle w:val="naisnod"/>
              <w:spacing w:before="0" w:after="0"/>
              <w:ind w:right="57"/>
              <w:jc w:val="both"/>
              <w:rPr>
                <w:b w:val="0"/>
              </w:rPr>
            </w:pPr>
            <w:r w:rsidRPr="001A6BC6">
              <w:rPr>
                <w:b w:val="0"/>
              </w:rPr>
              <w:t xml:space="preserve">CERT tiek noteikti papildus uzdevumi un tiesības, kā rezultātā papildus būs noslodze cilvēku resursiem, ja tiks īstenota </w:t>
            </w:r>
            <w:r w:rsidRPr="001A6BC6">
              <w:rPr>
                <w:b w:val="0"/>
              </w:rPr>
              <w:lastRenderedPageBreak/>
              <w:t>privātpersonas parakstu vākšanas tiešsaistes sistēmu darbība. Par izdevumiem, kas saistīti ar uzraudzības funkcijas izpildi no 2016. gada 1. janvāra, VARAM sadarbībā ar Aizsardzības ministriju, līdz 2015. gada 1. jūlijam Ministru kabinetā iesniegs informatīvo ziņojumu.</w:t>
            </w:r>
          </w:p>
        </w:tc>
      </w:tr>
      <w:tr w:rsidR="00677A0F" w:rsidRPr="001A6BC6" w:rsidTr="00EA7D91">
        <w:trPr>
          <w:trHeight w:val="476"/>
        </w:trPr>
        <w:tc>
          <w:tcPr>
            <w:tcW w:w="680" w:type="dxa"/>
            <w:tcMar>
              <w:top w:w="57" w:type="dxa"/>
              <w:left w:w="57" w:type="dxa"/>
              <w:bottom w:w="57" w:type="dxa"/>
              <w:right w:w="57" w:type="dxa"/>
            </w:tcMar>
          </w:tcPr>
          <w:p w:rsidR="00677A0F" w:rsidRPr="001A6BC6" w:rsidRDefault="00677A0F" w:rsidP="00EA7D91">
            <w:pPr>
              <w:pStyle w:val="naiskr"/>
              <w:spacing w:before="0" w:after="0"/>
              <w:ind w:left="57" w:right="57"/>
            </w:pPr>
            <w:r w:rsidRPr="001A6BC6">
              <w:lastRenderedPageBreak/>
              <w:t>3.</w:t>
            </w:r>
          </w:p>
        </w:tc>
        <w:tc>
          <w:tcPr>
            <w:tcW w:w="4376" w:type="dxa"/>
            <w:tcMar>
              <w:top w:w="57" w:type="dxa"/>
              <w:left w:w="57" w:type="dxa"/>
              <w:bottom w:w="57" w:type="dxa"/>
              <w:right w:w="57" w:type="dxa"/>
            </w:tcMar>
          </w:tcPr>
          <w:p w:rsidR="00677A0F" w:rsidRPr="001A6BC6" w:rsidRDefault="00677A0F" w:rsidP="00EA7D91">
            <w:pPr>
              <w:pStyle w:val="naiskr"/>
              <w:spacing w:before="0" w:after="0"/>
              <w:ind w:left="57" w:right="57"/>
            </w:pPr>
            <w:r w:rsidRPr="001A6BC6">
              <w:t>Cita informācija</w:t>
            </w:r>
          </w:p>
        </w:tc>
        <w:tc>
          <w:tcPr>
            <w:tcW w:w="4418" w:type="dxa"/>
            <w:tcMar>
              <w:top w:w="57" w:type="dxa"/>
              <w:left w:w="57" w:type="dxa"/>
              <w:bottom w:w="57" w:type="dxa"/>
              <w:right w:w="57" w:type="dxa"/>
            </w:tcMar>
          </w:tcPr>
          <w:p w:rsidR="00677A0F" w:rsidRPr="001A6BC6" w:rsidRDefault="00677A0F" w:rsidP="00EA7D91">
            <w:pPr>
              <w:pStyle w:val="naiskr"/>
              <w:spacing w:before="0" w:after="0"/>
              <w:ind w:left="57" w:right="57"/>
            </w:pPr>
            <w:r w:rsidRPr="001A6BC6">
              <w:t>Nav.</w:t>
            </w:r>
          </w:p>
        </w:tc>
      </w:tr>
    </w:tbl>
    <w:p w:rsidR="00677A0F" w:rsidRPr="001A6BC6" w:rsidRDefault="00677A0F" w:rsidP="00677A0F">
      <w:pPr>
        <w:rPr>
          <w:iCs/>
          <w:lang w:eastAsia="en-US"/>
        </w:rPr>
      </w:pPr>
    </w:p>
    <w:p w:rsidR="00677A0F" w:rsidRPr="001A6BC6" w:rsidRDefault="00677A0F" w:rsidP="00677A0F">
      <w:pPr>
        <w:rPr>
          <w:i/>
          <w:iCs/>
          <w:lang w:eastAsia="en-US"/>
        </w:rPr>
      </w:pPr>
    </w:p>
    <w:p w:rsidR="00677A0F" w:rsidRPr="001A6BC6" w:rsidRDefault="00677A0F" w:rsidP="00677A0F">
      <w:pPr>
        <w:jc w:val="both"/>
      </w:pPr>
    </w:p>
    <w:p w:rsidR="00677A0F" w:rsidRPr="001A6BC6" w:rsidRDefault="00677A0F" w:rsidP="00677A0F">
      <w:pPr>
        <w:ind w:left="360" w:hanging="76"/>
        <w:jc w:val="both"/>
      </w:pPr>
      <w:r w:rsidRPr="001A6BC6">
        <w:t>Anotācijas V, VI sadaļā – projekts šīs jomas neskar.</w:t>
      </w:r>
    </w:p>
    <w:p w:rsidR="00677A0F" w:rsidRPr="001A6BC6" w:rsidRDefault="00677A0F" w:rsidP="00677A0F">
      <w:pPr>
        <w:ind w:left="360" w:hanging="76"/>
        <w:jc w:val="both"/>
      </w:pPr>
    </w:p>
    <w:p w:rsidR="00677A0F" w:rsidRPr="001A6BC6" w:rsidRDefault="00677A0F" w:rsidP="00677A0F">
      <w:pPr>
        <w:ind w:left="360" w:hanging="76"/>
        <w:jc w:val="both"/>
      </w:pPr>
    </w:p>
    <w:p w:rsidR="00677A0F" w:rsidRPr="001A6BC6" w:rsidRDefault="00677A0F" w:rsidP="00677A0F">
      <w:pPr>
        <w:ind w:left="360" w:hanging="76"/>
        <w:jc w:val="both"/>
      </w:pPr>
    </w:p>
    <w:p w:rsidR="00677A0F" w:rsidRPr="001A6BC6" w:rsidRDefault="00677A0F" w:rsidP="00677A0F">
      <w:pPr>
        <w:ind w:left="360" w:hanging="76"/>
        <w:jc w:val="both"/>
      </w:pPr>
      <w:r w:rsidRPr="001A6BC6">
        <w:t xml:space="preserve">Vides aizsardzības un </w:t>
      </w:r>
    </w:p>
    <w:p w:rsidR="00677A0F" w:rsidRPr="001A6BC6" w:rsidRDefault="00677A0F" w:rsidP="00677A0F">
      <w:pPr>
        <w:ind w:left="360" w:hanging="76"/>
        <w:jc w:val="both"/>
        <w:rPr>
          <w:rStyle w:val="Strong"/>
          <w:b w:val="0"/>
          <w:bCs w:val="0"/>
        </w:rPr>
      </w:pPr>
      <w:r w:rsidRPr="001A6BC6">
        <w:t>reģionālās attīstības ministrs</w:t>
      </w:r>
      <w:r w:rsidRPr="001A6BC6">
        <w:tab/>
      </w:r>
      <w:r w:rsidRPr="001A6BC6">
        <w:tab/>
      </w:r>
      <w:r w:rsidRPr="001A6BC6">
        <w:tab/>
      </w:r>
      <w:r w:rsidRPr="001A6BC6">
        <w:tab/>
      </w:r>
      <w:r w:rsidRPr="001A6BC6">
        <w:tab/>
      </w:r>
      <w:r w:rsidRPr="001A6BC6">
        <w:tab/>
        <w:t>R.Naudiņš</w:t>
      </w:r>
    </w:p>
    <w:p w:rsidR="00677A0F" w:rsidRPr="001A6BC6" w:rsidRDefault="00677A0F" w:rsidP="00677A0F"/>
    <w:p w:rsidR="00677A0F" w:rsidRPr="001A6BC6" w:rsidRDefault="00677A0F" w:rsidP="00677A0F"/>
    <w:p w:rsidR="00677A0F" w:rsidRPr="001A6BC6" w:rsidRDefault="00677A0F" w:rsidP="00677A0F">
      <w:pPr>
        <w:ind w:firstLine="284"/>
      </w:pPr>
      <w:r w:rsidRPr="001A6BC6">
        <w:t>Vīza:</w:t>
      </w:r>
    </w:p>
    <w:p w:rsidR="00677A0F" w:rsidRPr="001A6BC6" w:rsidRDefault="00677A0F" w:rsidP="00677A0F">
      <w:pPr>
        <w:ind w:firstLine="284"/>
      </w:pPr>
      <w:r w:rsidRPr="001A6BC6">
        <w:t>valsts sekretārs</w:t>
      </w:r>
      <w:r w:rsidRPr="001A6BC6">
        <w:tab/>
      </w:r>
      <w:r w:rsidRPr="001A6BC6">
        <w:tab/>
      </w:r>
      <w:r w:rsidRPr="001A6BC6">
        <w:tab/>
      </w:r>
      <w:r w:rsidRPr="001A6BC6">
        <w:tab/>
        <w:t xml:space="preserve"> </w:t>
      </w:r>
      <w:r w:rsidRPr="001A6BC6">
        <w:tab/>
      </w:r>
      <w:r w:rsidRPr="001A6BC6">
        <w:tab/>
      </w:r>
      <w:r w:rsidRPr="001A6BC6">
        <w:tab/>
      </w:r>
      <w:r w:rsidRPr="001A6BC6">
        <w:tab/>
        <w:t>G. Puķītis</w:t>
      </w:r>
    </w:p>
    <w:p w:rsidR="00677A0F" w:rsidRPr="001A6BC6" w:rsidRDefault="00677A0F" w:rsidP="00677A0F">
      <w:pPr>
        <w:rPr>
          <w:color w:val="FF0000"/>
        </w:rPr>
      </w:pPr>
    </w:p>
    <w:p w:rsidR="00677A0F" w:rsidRPr="001A6BC6" w:rsidRDefault="00677A0F" w:rsidP="00677A0F"/>
    <w:p w:rsidR="00677A0F" w:rsidRPr="001A6BC6" w:rsidRDefault="00677A0F" w:rsidP="00677A0F"/>
    <w:p w:rsidR="00677A0F" w:rsidRPr="001A6BC6" w:rsidRDefault="00677A0F" w:rsidP="00677A0F">
      <w:pPr>
        <w:rPr>
          <w:sz w:val="20"/>
          <w:szCs w:val="20"/>
        </w:rPr>
      </w:pPr>
    </w:p>
    <w:p w:rsidR="00677A0F" w:rsidRPr="001A6BC6" w:rsidRDefault="00677A0F" w:rsidP="00677A0F">
      <w:pPr>
        <w:rPr>
          <w:sz w:val="20"/>
          <w:szCs w:val="20"/>
        </w:rPr>
      </w:pPr>
      <w:r w:rsidRPr="001A6BC6">
        <w:rPr>
          <w:sz w:val="20"/>
          <w:szCs w:val="20"/>
        </w:rPr>
        <w:fldChar w:fldCharType="begin"/>
      </w:r>
      <w:r w:rsidRPr="001A6BC6">
        <w:rPr>
          <w:sz w:val="20"/>
          <w:szCs w:val="20"/>
        </w:rPr>
        <w:instrText xml:space="preserve"> DATE  \@ "dd.MM.yyyy H:mm"  \* MERGEFORMAT </w:instrText>
      </w:r>
      <w:r w:rsidRPr="001A6BC6">
        <w:rPr>
          <w:sz w:val="20"/>
          <w:szCs w:val="20"/>
        </w:rPr>
        <w:fldChar w:fldCharType="separate"/>
      </w:r>
      <w:r w:rsidR="0036103B">
        <w:rPr>
          <w:noProof/>
          <w:sz w:val="20"/>
          <w:szCs w:val="20"/>
        </w:rPr>
        <w:t>14.07.2014 8:34</w:t>
      </w:r>
      <w:r w:rsidRPr="001A6BC6">
        <w:rPr>
          <w:sz w:val="20"/>
          <w:szCs w:val="20"/>
        </w:rPr>
        <w:fldChar w:fldCharType="end"/>
      </w:r>
    </w:p>
    <w:p w:rsidR="00677A0F" w:rsidRPr="001A6BC6" w:rsidRDefault="00677A0F" w:rsidP="00677A0F">
      <w:pPr>
        <w:jc w:val="both"/>
        <w:rPr>
          <w:sz w:val="20"/>
          <w:szCs w:val="20"/>
        </w:rPr>
      </w:pPr>
      <w:r w:rsidRPr="001A6BC6">
        <w:rPr>
          <w:sz w:val="20"/>
          <w:szCs w:val="20"/>
        </w:rPr>
        <w:fldChar w:fldCharType="begin"/>
      </w:r>
      <w:r w:rsidRPr="001A6BC6">
        <w:rPr>
          <w:sz w:val="20"/>
          <w:szCs w:val="20"/>
        </w:rPr>
        <w:instrText xml:space="preserve"> NUMWORDS   \* MERGEFORMAT </w:instrText>
      </w:r>
      <w:r w:rsidRPr="001A6BC6">
        <w:rPr>
          <w:sz w:val="20"/>
          <w:szCs w:val="20"/>
        </w:rPr>
        <w:fldChar w:fldCharType="separate"/>
      </w:r>
      <w:r>
        <w:rPr>
          <w:noProof/>
          <w:sz w:val="20"/>
          <w:szCs w:val="20"/>
        </w:rPr>
        <w:t>3342</w:t>
      </w:r>
      <w:r w:rsidRPr="001A6BC6">
        <w:rPr>
          <w:sz w:val="20"/>
          <w:szCs w:val="20"/>
        </w:rPr>
        <w:fldChar w:fldCharType="end"/>
      </w:r>
    </w:p>
    <w:p w:rsidR="00677A0F" w:rsidRPr="001A6BC6" w:rsidRDefault="00677A0F" w:rsidP="00677A0F">
      <w:pPr>
        <w:jc w:val="both"/>
        <w:rPr>
          <w:sz w:val="20"/>
          <w:szCs w:val="20"/>
        </w:rPr>
      </w:pPr>
      <w:r w:rsidRPr="001A6BC6">
        <w:rPr>
          <w:sz w:val="20"/>
          <w:szCs w:val="20"/>
        </w:rPr>
        <w:t>K.Jansons</w:t>
      </w:r>
    </w:p>
    <w:p w:rsidR="00677A0F" w:rsidRPr="001A6BC6" w:rsidRDefault="0051482F" w:rsidP="00677A0F">
      <w:pPr>
        <w:jc w:val="both"/>
        <w:rPr>
          <w:sz w:val="20"/>
          <w:szCs w:val="20"/>
        </w:rPr>
      </w:pPr>
      <w:hyperlink r:id="rId9" w:history="1">
        <w:r w:rsidR="00677A0F" w:rsidRPr="001A6BC6">
          <w:rPr>
            <w:rStyle w:val="Hyperlink"/>
            <w:sz w:val="20"/>
            <w:szCs w:val="20"/>
          </w:rPr>
          <w:t>kaspars.jansons@varam.gov.lv</w:t>
        </w:r>
      </w:hyperlink>
    </w:p>
    <w:p w:rsidR="00677A0F" w:rsidRPr="001A6BC6" w:rsidRDefault="00677A0F" w:rsidP="00677A0F">
      <w:pPr>
        <w:jc w:val="both"/>
        <w:rPr>
          <w:sz w:val="20"/>
          <w:szCs w:val="20"/>
        </w:rPr>
      </w:pPr>
      <w:r w:rsidRPr="001A6BC6">
        <w:rPr>
          <w:sz w:val="20"/>
          <w:szCs w:val="20"/>
        </w:rPr>
        <w:t>66016567</w:t>
      </w:r>
    </w:p>
    <w:p w:rsidR="00677A0F" w:rsidRPr="001A6BC6" w:rsidRDefault="00677A0F" w:rsidP="00677A0F"/>
    <w:p w:rsidR="00677A0F" w:rsidRPr="001A6BC6" w:rsidRDefault="00677A0F" w:rsidP="00677A0F">
      <w:pPr>
        <w:tabs>
          <w:tab w:val="left" w:pos="3225"/>
        </w:tabs>
      </w:pPr>
      <w:r w:rsidRPr="001A6BC6">
        <w:tab/>
      </w:r>
    </w:p>
    <w:p w:rsidR="00DC29BE" w:rsidRDefault="00DC29BE"/>
    <w:sectPr w:rsidR="00DC29BE" w:rsidSect="00CC4226">
      <w:headerReference w:type="default" r:id="rId10"/>
      <w:footerReference w:type="default" r:id="rId11"/>
      <w:footerReference w:type="first" r:id="rId12"/>
      <w:pgSz w:w="11907" w:h="16839" w:code="9"/>
      <w:pgMar w:top="1276" w:right="134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2F" w:rsidRDefault="0051482F" w:rsidP="00677A0F">
      <w:r>
        <w:separator/>
      </w:r>
    </w:p>
  </w:endnote>
  <w:endnote w:type="continuationSeparator" w:id="0">
    <w:p w:rsidR="0051482F" w:rsidRDefault="0051482F" w:rsidP="0067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70" w:rsidRPr="00B3127D" w:rsidRDefault="000378E0" w:rsidP="00B3127D">
    <w:pPr>
      <w:tabs>
        <w:tab w:val="left" w:pos="5670"/>
      </w:tabs>
      <w:jc w:val="both"/>
      <w:rPr>
        <w:sz w:val="20"/>
        <w:szCs w:val="20"/>
      </w:rPr>
    </w:pPr>
    <w:r w:rsidRPr="00D01C0A">
      <w:rPr>
        <w:sz w:val="20"/>
        <w:szCs w:val="20"/>
      </w:rPr>
      <w:t>VARAMan</w:t>
    </w:r>
    <w:r>
      <w:rPr>
        <w:sz w:val="20"/>
        <w:szCs w:val="20"/>
      </w:rPr>
      <w:t>ot_1</w:t>
    </w:r>
    <w:r w:rsidR="0036103B">
      <w:rPr>
        <w:sz w:val="20"/>
        <w:szCs w:val="20"/>
      </w:rPr>
      <w:t>4</w:t>
    </w:r>
    <w:r>
      <w:rPr>
        <w:sz w:val="20"/>
        <w:szCs w:val="20"/>
      </w:rPr>
      <w:t>072014</w:t>
    </w:r>
    <w:r w:rsidRPr="00D01C0A">
      <w:rPr>
        <w:sz w:val="20"/>
        <w:szCs w:val="20"/>
      </w:rPr>
      <w:t>_</w:t>
    </w:r>
    <w:r>
      <w:rPr>
        <w:sz w:val="20"/>
        <w:szCs w:val="20"/>
      </w:rPr>
      <w:t>PVS</w:t>
    </w:r>
    <w:r w:rsidRPr="00006D90">
      <w:rPr>
        <w:sz w:val="20"/>
        <w:szCs w:val="20"/>
      </w:rPr>
      <w:t>; M</w:t>
    </w:r>
    <w:r>
      <w:rPr>
        <w:sz w:val="20"/>
        <w:szCs w:val="20"/>
      </w:rPr>
      <w:t>inistru kabineta</w:t>
    </w:r>
    <w:r w:rsidRPr="00006D90">
      <w:rPr>
        <w:sz w:val="20"/>
        <w:szCs w:val="20"/>
      </w:rPr>
      <w:t xml:space="preserve"> noteikumu projekta </w:t>
    </w:r>
    <w:r w:rsidRPr="00A56BA2">
      <w:t xml:space="preserve"> </w:t>
    </w:r>
    <w:r>
      <w:t>„</w:t>
    </w:r>
    <w:r w:rsidRPr="00A56BA2">
      <w:rPr>
        <w:sz w:val="20"/>
        <w:szCs w:val="20"/>
      </w:rPr>
      <w:t>Parakstu vākšanas sistēmu drošības un tehniskās prasības”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3A" w:rsidRPr="00D01C0A" w:rsidRDefault="000378E0" w:rsidP="00CB0F76">
    <w:pPr>
      <w:jc w:val="both"/>
      <w:rPr>
        <w:sz w:val="20"/>
        <w:szCs w:val="20"/>
      </w:rPr>
    </w:pPr>
    <w:r w:rsidRPr="00D01C0A">
      <w:rPr>
        <w:sz w:val="20"/>
        <w:szCs w:val="20"/>
      </w:rPr>
      <w:t>VARAMan</w:t>
    </w:r>
    <w:r>
      <w:rPr>
        <w:sz w:val="20"/>
        <w:szCs w:val="20"/>
      </w:rPr>
      <w:t>ot_1</w:t>
    </w:r>
    <w:r w:rsidR="0036103B">
      <w:rPr>
        <w:sz w:val="20"/>
        <w:szCs w:val="20"/>
      </w:rPr>
      <w:t>4</w:t>
    </w:r>
    <w:r>
      <w:rPr>
        <w:sz w:val="20"/>
        <w:szCs w:val="20"/>
      </w:rPr>
      <w:t>07014</w:t>
    </w:r>
    <w:r w:rsidRPr="00D01C0A">
      <w:rPr>
        <w:sz w:val="20"/>
        <w:szCs w:val="20"/>
      </w:rPr>
      <w:t>_</w:t>
    </w:r>
    <w:r>
      <w:rPr>
        <w:sz w:val="20"/>
        <w:szCs w:val="20"/>
      </w:rPr>
      <w:t>PVS</w:t>
    </w:r>
    <w:r w:rsidRPr="00006D90">
      <w:rPr>
        <w:sz w:val="20"/>
        <w:szCs w:val="20"/>
      </w:rPr>
      <w:t>; M</w:t>
    </w:r>
    <w:r>
      <w:rPr>
        <w:sz w:val="20"/>
        <w:szCs w:val="20"/>
      </w:rPr>
      <w:t>inistru kabineta</w:t>
    </w:r>
    <w:r w:rsidRPr="00006D90">
      <w:rPr>
        <w:sz w:val="20"/>
        <w:szCs w:val="20"/>
      </w:rPr>
      <w:t xml:space="preserve"> noteikumu projekta </w:t>
    </w:r>
    <w:r w:rsidRPr="00A56BA2">
      <w:t xml:space="preserve"> </w:t>
    </w:r>
    <w:r>
      <w:t>„</w:t>
    </w:r>
    <w:r w:rsidRPr="00A56BA2">
      <w:rPr>
        <w:sz w:val="20"/>
        <w:szCs w:val="20"/>
      </w:rPr>
      <w:t>Parakstu vākšanas sistēmu drošības un tehniskās prasības”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2F" w:rsidRDefault="0051482F" w:rsidP="00677A0F">
      <w:r>
        <w:separator/>
      </w:r>
    </w:p>
  </w:footnote>
  <w:footnote w:type="continuationSeparator" w:id="0">
    <w:p w:rsidR="0051482F" w:rsidRDefault="0051482F" w:rsidP="0067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3A" w:rsidRDefault="000378E0">
    <w:pPr>
      <w:pStyle w:val="Header"/>
      <w:jc w:val="center"/>
    </w:pPr>
    <w:r>
      <w:fldChar w:fldCharType="begin"/>
    </w:r>
    <w:r>
      <w:instrText xml:space="preserve"> PAGE   \* MERGEFORMAT </w:instrText>
    </w:r>
    <w:r>
      <w:fldChar w:fldCharType="separate"/>
    </w:r>
    <w:r w:rsidR="0036103B">
      <w:rPr>
        <w:noProof/>
      </w:rPr>
      <w:t>2</w:t>
    </w:r>
    <w:r>
      <w:fldChar w:fldCharType="end"/>
    </w:r>
  </w:p>
  <w:p w:rsidR="005B263A" w:rsidRDefault="00514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378E0"/>
    <w:rsid w:val="0036103B"/>
    <w:rsid w:val="0051482F"/>
    <w:rsid w:val="00677A0F"/>
    <w:rsid w:val="00DC29BE"/>
    <w:rsid w:val="00DF1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8B39-563D-462F-9E87-6CECF6A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semiHidden/>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spars.janso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17176</Words>
  <Characters>9791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Jansons</dc:creator>
  <cp:keywords/>
  <dc:description/>
  <cp:lastModifiedBy>Kaspars Jansons</cp:lastModifiedBy>
  <cp:revision>2</cp:revision>
  <dcterms:created xsi:type="dcterms:W3CDTF">2014-07-14T05:35:00Z</dcterms:created>
  <dcterms:modified xsi:type="dcterms:W3CDTF">2014-07-14T05:35:00Z</dcterms:modified>
</cp:coreProperties>
</file>