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37" w:rsidRDefault="00237B6B" w:rsidP="00C44237">
      <w:pPr>
        <w:pStyle w:val="Title"/>
      </w:pPr>
      <w:r>
        <w:t>M</w:t>
      </w:r>
      <w:r w:rsidR="00C44237" w:rsidRPr="003C4EBC">
        <w:t xml:space="preserve">inistru kabineta noteikumu projekta </w:t>
      </w:r>
    </w:p>
    <w:p w:rsidR="00605FB0" w:rsidRDefault="00A27CFF" w:rsidP="00C44237">
      <w:pPr>
        <w:jc w:val="center"/>
      </w:pPr>
      <w:r w:rsidRPr="00605FB0">
        <w:rPr>
          <w:b/>
        </w:rPr>
        <w:t>“Elektrisko un elektronisko iekārtu kategorijas un marķēšanas prasības un šo iekārtu atkritumu apsaimniekošanas prasības un kārtība”</w:t>
      </w:r>
      <w:r w:rsidRPr="009A0A70" w:rsidDel="009A0A70">
        <w:t xml:space="preserve"> </w:t>
      </w:r>
    </w:p>
    <w:p w:rsidR="00C44237" w:rsidRPr="00923F43" w:rsidRDefault="00C44237" w:rsidP="00C44237">
      <w:pPr>
        <w:jc w:val="center"/>
        <w:rPr>
          <w:b/>
          <w:bCs/>
          <w:color w:val="414142"/>
        </w:rPr>
      </w:pPr>
      <w:r w:rsidRPr="00923F43">
        <w:rPr>
          <w:b/>
        </w:rPr>
        <w:t xml:space="preserve">sākotnējās ietekmes novērtējuma </w:t>
      </w:r>
      <w:smartTag w:uri="schemas-tilde-lv/tildestengine" w:element="veidnes">
        <w:smartTagPr>
          <w:attr w:name="text" w:val="ziņojums"/>
          <w:attr w:name="baseform" w:val="ziņojums"/>
          <w:attr w:name="id" w:val="-1"/>
        </w:smartTagPr>
        <w:r w:rsidRPr="00923F43">
          <w:rPr>
            <w:b/>
          </w:rPr>
          <w:t>ziņojums</w:t>
        </w:r>
      </w:smartTag>
      <w:r w:rsidRPr="00923F43">
        <w:rPr>
          <w:b/>
        </w:rPr>
        <w:t xml:space="preserve"> (anotācija)</w:t>
      </w:r>
    </w:p>
    <w:p w:rsidR="00C44237" w:rsidRPr="00FB41DC" w:rsidRDefault="00C44237" w:rsidP="00C44237">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546"/>
        <w:gridCol w:w="7356"/>
      </w:tblGrid>
      <w:tr w:rsidR="00C44237" w:rsidRPr="00FB41DC" w:rsidTr="00973014">
        <w:tc>
          <w:tcPr>
            <w:tcW w:w="9359" w:type="dxa"/>
            <w:gridSpan w:val="3"/>
          </w:tcPr>
          <w:p w:rsidR="00C44237" w:rsidRPr="00FB41DC" w:rsidRDefault="00C44237" w:rsidP="00973014">
            <w:pPr>
              <w:jc w:val="center"/>
              <w:rPr>
                <w:b/>
              </w:rPr>
            </w:pPr>
            <w:r w:rsidRPr="00FB41DC">
              <w:rPr>
                <w:b/>
              </w:rPr>
              <w:t>I. Tiesību akta projekta izstrādes nepieciešamība</w:t>
            </w:r>
          </w:p>
        </w:tc>
      </w:tr>
      <w:tr w:rsidR="00C44237" w:rsidRPr="0062273E" w:rsidTr="004E4BE0">
        <w:tc>
          <w:tcPr>
            <w:tcW w:w="720" w:type="dxa"/>
          </w:tcPr>
          <w:p w:rsidR="00C44237" w:rsidRPr="0062273E" w:rsidRDefault="00C44237" w:rsidP="00973014">
            <w:pPr>
              <w:jc w:val="center"/>
            </w:pPr>
            <w:r w:rsidRPr="0062273E">
              <w:t>1.</w:t>
            </w:r>
          </w:p>
        </w:tc>
        <w:tc>
          <w:tcPr>
            <w:tcW w:w="2154" w:type="dxa"/>
          </w:tcPr>
          <w:p w:rsidR="00C44237" w:rsidRPr="00E7779F" w:rsidRDefault="00C44237" w:rsidP="00973014">
            <w:r w:rsidRPr="00E7779F">
              <w:t>Pamatojums</w:t>
            </w:r>
          </w:p>
        </w:tc>
        <w:tc>
          <w:tcPr>
            <w:tcW w:w="6485" w:type="dxa"/>
          </w:tcPr>
          <w:p w:rsidR="00C44237" w:rsidRPr="00E7779F" w:rsidRDefault="00C44237" w:rsidP="00605FB0">
            <w:pPr>
              <w:jc w:val="both"/>
              <w:rPr>
                <w:iCs/>
              </w:rPr>
            </w:pPr>
            <w:r w:rsidRPr="00E7779F">
              <w:rPr>
                <w:bCs/>
              </w:rPr>
              <w:t xml:space="preserve">Ministru kabineta noteikumu projekts </w:t>
            </w:r>
            <w:r w:rsidRPr="00E7779F">
              <w:t>„</w:t>
            </w:r>
            <w:r w:rsidR="00605FB0" w:rsidRPr="009F2952">
              <w:t>Elektrisko un elektronisko iekārtu kategorijas un marķēšanas prasības un šo iekārtu atkritumu apsaimniekošanas prasības un kārtība</w:t>
            </w:r>
            <w:r w:rsidR="00197C1D" w:rsidRPr="00197C1D">
              <w:rPr>
                <w:bCs/>
              </w:rPr>
              <w:t>” (turpmāk – noteikumu projekts)</w:t>
            </w:r>
            <w:r w:rsidRPr="00E7779F">
              <w:rPr>
                <w:bCs/>
              </w:rPr>
              <w:t xml:space="preserve"> ir sagatavots </w:t>
            </w:r>
            <w:r w:rsidR="00E7779F">
              <w:rPr>
                <w:bCs/>
              </w:rPr>
              <w:t>saskaņā ar</w:t>
            </w:r>
            <w:r w:rsidR="00E7779F" w:rsidRPr="00E7779F">
              <w:rPr>
                <w:bCs/>
              </w:rPr>
              <w:t xml:space="preserve"> </w:t>
            </w:r>
            <w:r w:rsidRPr="00E7779F">
              <w:rPr>
                <w:bCs/>
              </w:rPr>
              <w:t xml:space="preserve">Atkritumu apsaimniekošanas likuma </w:t>
            </w:r>
            <w:r w:rsidR="00197C1D" w:rsidRPr="00197C1D">
              <w:rPr>
                <w:iCs/>
              </w:rPr>
              <w:t>24.panta pirmo daļu un 29.panta 1.,2., 3. un 4.punktu,</w:t>
            </w:r>
            <w:r w:rsidRPr="00E7779F">
              <w:rPr>
                <w:bCs/>
              </w:rPr>
              <w:t xml:space="preserve"> lai Latvijas normatīvajos aktos pilnībā transponētu </w:t>
            </w:r>
            <w:r w:rsidR="00197C1D" w:rsidRPr="00197C1D">
              <w:t xml:space="preserve">Eiropas Parlamenta un Padomes 2012.gada 4.jūlija Direktīvas </w:t>
            </w:r>
            <w:r w:rsidRPr="00E7779F">
              <w:t>2012/19/ES</w:t>
            </w:r>
            <w:r w:rsidR="00197C1D" w:rsidRPr="00197C1D">
              <w:t xml:space="preserve"> par elektrisko un elektronisko iekārtu atkritumiem (turpmāk – direktīva 2012/19/ES)</w:t>
            </w:r>
            <w:r w:rsidRPr="00E7779F">
              <w:rPr>
                <w:rStyle w:val="Strong"/>
                <w:b w:val="0"/>
              </w:rPr>
              <w:t xml:space="preserve">. </w:t>
            </w:r>
          </w:p>
        </w:tc>
      </w:tr>
      <w:tr w:rsidR="00C44237" w:rsidRPr="00FB41DC" w:rsidTr="004E4BE0">
        <w:tc>
          <w:tcPr>
            <w:tcW w:w="720" w:type="dxa"/>
          </w:tcPr>
          <w:p w:rsidR="00C44237" w:rsidRPr="00FB41DC" w:rsidRDefault="00C44237" w:rsidP="00973014">
            <w:pPr>
              <w:jc w:val="center"/>
            </w:pPr>
            <w:r w:rsidRPr="00FB41DC">
              <w:t>2.</w:t>
            </w:r>
          </w:p>
        </w:tc>
        <w:tc>
          <w:tcPr>
            <w:tcW w:w="2154" w:type="dxa"/>
          </w:tcPr>
          <w:p w:rsidR="00C44237" w:rsidRPr="00FB41DC" w:rsidRDefault="00C44237" w:rsidP="00973014">
            <w:r w:rsidRPr="00FB41DC">
              <w:t>Pašreizējā situācija un problēmas</w:t>
            </w:r>
            <w:r>
              <w:t xml:space="preserve">, </w:t>
            </w:r>
            <w:r w:rsidRPr="00D126DD">
              <w:t>kuru risināšanai tiesību akta projekts izstrādāts, tiesiskā regulējuma mērķis un būtība</w:t>
            </w:r>
          </w:p>
        </w:tc>
        <w:tc>
          <w:tcPr>
            <w:tcW w:w="6485" w:type="dxa"/>
          </w:tcPr>
          <w:p w:rsidR="002B38C1" w:rsidRPr="002B38C1" w:rsidRDefault="00197C1D">
            <w:pPr>
              <w:pStyle w:val="normal0"/>
              <w:spacing w:before="0"/>
              <w:rPr>
                <w:bCs/>
                <w:sz w:val="24"/>
                <w:szCs w:val="24"/>
                <w:lang w:val="lv-LV"/>
              </w:rPr>
            </w:pPr>
            <w:r w:rsidRPr="00197C1D">
              <w:rPr>
                <w:sz w:val="24"/>
                <w:szCs w:val="24"/>
                <w:lang w:val="lv-LV"/>
              </w:rPr>
              <w:t xml:space="preserve">Pašreiz elektrisko un elektronisko iekārtu (turpmāk – EEI) kategorijas ir noteiktas </w:t>
            </w:r>
            <w:r w:rsidR="00C44237" w:rsidRPr="00E7779F">
              <w:rPr>
                <w:rFonts w:eastAsiaTheme="minorHAnsi"/>
                <w:sz w:val="24"/>
                <w:szCs w:val="24"/>
                <w:lang w:val="lv-LV"/>
              </w:rPr>
              <w:t xml:space="preserve">Ministru kabineta 2011.gada 8.novembra noteikumos Nr.861 </w:t>
            </w:r>
            <w:r w:rsidR="008D0121">
              <w:rPr>
                <w:rFonts w:eastAsiaTheme="minorHAnsi"/>
                <w:sz w:val="24"/>
                <w:szCs w:val="24"/>
                <w:lang w:val="lv-LV"/>
              </w:rPr>
              <w:t>„</w:t>
            </w:r>
            <w:r w:rsidR="00C44237" w:rsidRPr="00E7779F">
              <w:rPr>
                <w:rFonts w:eastAsiaTheme="minorHAnsi"/>
                <w:sz w:val="24"/>
                <w:szCs w:val="24"/>
                <w:lang w:val="lv-LV"/>
              </w:rPr>
              <w:t>Noteikumi par elektrisko un elektronisko iekārtu kategorijām un par prasībām elektrisko un elektronisko iekārtu marķēšanai un informācijas sniegšanai” (turpmāk – MK noteikumi Nr.861), savukārt prasības elektrisko un elektronisko iekārtu atkritumu (turpmāk - EEI</w:t>
            </w:r>
            <w:r w:rsidR="00365AE9">
              <w:rPr>
                <w:rFonts w:eastAsiaTheme="minorHAnsi"/>
                <w:sz w:val="24"/>
                <w:szCs w:val="24"/>
                <w:lang w:val="lv-LV"/>
              </w:rPr>
              <w:t xml:space="preserve">A) apsaimniekošanai ir noteiktas </w:t>
            </w:r>
            <w:r w:rsidR="00365AE9">
              <w:rPr>
                <w:sz w:val="24"/>
                <w:szCs w:val="24"/>
                <w:lang w:val="lv-LV"/>
              </w:rPr>
              <w:t xml:space="preserve">Ministru kabineta 2011.gada 22.novembra noteikumos Nr.897 </w:t>
            </w:r>
            <w:r w:rsidR="008D0121">
              <w:rPr>
                <w:bCs/>
                <w:sz w:val="24"/>
                <w:szCs w:val="24"/>
                <w:lang w:val="lv-LV"/>
              </w:rPr>
              <w:t>„</w:t>
            </w:r>
            <w:r w:rsidR="00C44237" w:rsidRPr="00E7779F">
              <w:rPr>
                <w:bCs/>
                <w:sz w:val="24"/>
                <w:szCs w:val="24"/>
                <w:lang w:val="lv-LV"/>
              </w:rPr>
              <w:t xml:space="preserve">Elektrisko un elektronisko iekārtu atkritumu apsaimniekošanas noteikumi” (turpmāk – MK noteikumi Nr.897). </w:t>
            </w:r>
            <w:r w:rsidR="00EA6CBA">
              <w:rPr>
                <w:bCs/>
                <w:sz w:val="24"/>
                <w:szCs w:val="24"/>
                <w:lang w:val="lv-LV"/>
              </w:rPr>
              <w:t xml:space="preserve">EEI ir videi kaitīgās preces atbilstoši Dabas resursu nodokļa likuma 6.pielikumam. </w:t>
            </w:r>
            <w:r w:rsidR="009F2952" w:rsidRPr="00605FB0">
              <w:rPr>
                <w:sz w:val="24"/>
                <w:szCs w:val="24"/>
                <w:lang w:val="lv-LV"/>
              </w:rPr>
              <w:t>EEI atkritumu</w:t>
            </w:r>
            <w:r w:rsidR="009F2952">
              <w:rPr>
                <w:sz w:val="24"/>
                <w:szCs w:val="24"/>
                <w:lang w:val="lv-LV"/>
              </w:rPr>
              <w:t xml:space="preserve"> apsaimniekošanā tiek īstenots ražotāja atbildības princips, t.i., EEI atkritumu savākšanu, reģenerāciju</w:t>
            </w:r>
            <w:r w:rsidR="00605FB0">
              <w:rPr>
                <w:sz w:val="24"/>
                <w:szCs w:val="24"/>
                <w:lang w:val="lv-LV"/>
              </w:rPr>
              <w:t xml:space="preserve"> un apglabāšanu nodrošina šo EEI</w:t>
            </w:r>
            <w:r w:rsidR="009F2952">
              <w:rPr>
                <w:sz w:val="24"/>
                <w:szCs w:val="24"/>
                <w:lang w:val="lv-LV"/>
              </w:rPr>
              <w:t xml:space="preserve"> ražotājs. Jāatzīmē, ka ES direktīva 2002/96/EK paredz, ka ES dalībvalstīm ir jānodrošina, ka uz 1 iedzīvotāju gadā tiek savākti </w:t>
            </w:r>
            <w:smartTag w:uri="schemas-tilde-lv/tildestengine" w:element="metric2">
              <w:smartTagPr>
                <w:attr w:name="metric_text" w:val="kilogrami"/>
                <w:attr w:name="metric_value" w:val="4"/>
              </w:smartTagPr>
              <w:r w:rsidR="009F2952">
                <w:rPr>
                  <w:sz w:val="24"/>
                  <w:szCs w:val="24"/>
                  <w:lang w:val="lv-LV"/>
                </w:rPr>
                <w:t>4 kilogrami</w:t>
              </w:r>
            </w:smartTag>
            <w:r w:rsidR="009F2952">
              <w:rPr>
                <w:sz w:val="24"/>
                <w:szCs w:val="24"/>
                <w:lang w:val="lv-LV"/>
              </w:rPr>
              <w:t xml:space="preserve"> mājsaimniecības EEI atkritumu. Latvijā šis ES normatīvajā akta noteiktais mērķis netika sasniegts, uz 1 iedzīvotāju tika savākti aptuveni 2,1 kg EEIA, kas lielā mērā saistīts ar ekonomiskās krīzes atstāto iespaidu un sekām, jo samazinājusies iedzīvotāju pirktspēja. </w:t>
            </w:r>
            <w:r w:rsidR="009F2952" w:rsidRPr="002B38C1">
              <w:rPr>
                <w:sz w:val="24"/>
                <w:szCs w:val="24"/>
                <w:lang w:val="lv-LV"/>
              </w:rPr>
              <w:t xml:space="preserve">Rezultātā iedzīvotāji iegādājas daudz mazāk jaunas EEI, lietošanā esošās iekārtas lieto ilgāk, lieto daudz </w:t>
            </w:r>
            <w:proofErr w:type="spellStart"/>
            <w:r w:rsidR="009F2952" w:rsidRPr="002B38C1">
              <w:rPr>
                <w:sz w:val="24"/>
                <w:szCs w:val="24"/>
                <w:lang w:val="lv-LV"/>
              </w:rPr>
              <w:t>pārdomātāk</w:t>
            </w:r>
            <w:proofErr w:type="spellEnd"/>
            <w:r w:rsidR="009F2952" w:rsidRPr="002B38C1">
              <w:rPr>
                <w:sz w:val="24"/>
                <w:szCs w:val="24"/>
                <w:lang w:val="lv-LV"/>
              </w:rPr>
              <w:t xml:space="preserve"> un met ārā daudz retāk. </w:t>
            </w:r>
          </w:p>
          <w:p w:rsidR="00E43412" w:rsidRDefault="00E43412" w:rsidP="00E43412">
            <w:pPr>
              <w:spacing w:after="120"/>
              <w:ind w:firstLine="720"/>
              <w:jc w:val="both"/>
            </w:pPr>
            <w:r>
              <w:t xml:space="preserve">EEIA savākšanas sistēma ir izveidota visos atkritumu apsaimniekošanas reģionos. EEIA atkritumu tiek savākti VKP atkritumu savākšanas punktos, atkritumu savākšanas laukumos vai arī metāllūžņu savākšanas punktos. 2012.gada septembrī Latvijā darbojas 203 EEIA savākšanas vietas. </w:t>
            </w:r>
          </w:p>
          <w:p w:rsidR="00E43412" w:rsidRDefault="00E43412" w:rsidP="00E43412">
            <w:pPr>
              <w:spacing w:after="120"/>
              <w:ind w:firstLine="720"/>
              <w:jc w:val="both"/>
            </w:pPr>
            <w:r>
              <w:t xml:space="preserve">Savāktās EEIA tiek nogādātas EEIA pārstrādes iekārtās. Lielākā daļa savākto EEIA tiek pārstrādāti Latvijā, tomēr atsevišķi EEIA veidi tiek pārstrādāti citās ES valstīs (Lietuva, Vācija, Dānija). </w:t>
            </w:r>
          </w:p>
          <w:p w:rsidR="00E43412" w:rsidRPr="009560E5" w:rsidRDefault="002B38C1" w:rsidP="00E43412">
            <w:pPr>
              <w:jc w:val="center"/>
            </w:pPr>
            <w:r>
              <w:rPr>
                <w:noProof/>
                <w:lang w:val="en-US" w:eastAsia="en-US"/>
              </w:rPr>
              <w:lastRenderedPageBreak/>
              <w:drawing>
                <wp:inline distT="0" distB="0" distL="0" distR="0">
                  <wp:extent cx="453390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33900" cy="3105150"/>
                          </a:xfrm>
                          <a:prstGeom prst="rect">
                            <a:avLst/>
                          </a:prstGeom>
                          <a:noFill/>
                          <a:ln w="9525">
                            <a:noFill/>
                            <a:miter lim="800000"/>
                            <a:headEnd/>
                            <a:tailEnd/>
                          </a:ln>
                        </pic:spPr>
                      </pic:pic>
                    </a:graphicData>
                  </a:graphic>
                </wp:inline>
              </w:drawing>
            </w:r>
          </w:p>
          <w:p w:rsidR="00E43412" w:rsidRDefault="00E43412" w:rsidP="00C44237">
            <w:pPr>
              <w:pStyle w:val="normal0"/>
              <w:spacing w:before="0"/>
              <w:rPr>
                <w:bCs/>
                <w:sz w:val="24"/>
                <w:szCs w:val="24"/>
                <w:lang w:val="lv-LV"/>
              </w:rPr>
            </w:pPr>
            <w:r>
              <w:rPr>
                <w:bCs/>
                <w:sz w:val="24"/>
                <w:szCs w:val="24"/>
                <w:lang w:val="lv-LV"/>
              </w:rPr>
              <w:t>Dati: Atkritumu apsaimniekošanas valsts plāns 20</w:t>
            </w:r>
            <w:r w:rsidR="00BB44C6">
              <w:rPr>
                <w:bCs/>
                <w:sz w:val="24"/>
                <w:szCs w:val="24"/>
                <w:lang w:val="lv-LV"/>
              </w:rPr>
              <w:t>13.-2020.gadam.</w:t>
            </w:r>
          </w:p>
          <w:p w:rsidR="00E43412" w:rsidRDefault="00E43412" w:rsidP="00C44237">
            <w:pPr>
              <w:pStyle w:val="normal0"/>
              <w:spacing w:before="0"/>
              <w:rPr>
                <w:bCs/>
                <w:sz w:val="24"/>
                <w:szCs w:val="24"/>
                <w:lang w:val="lv-LV"/>
              </w:rPr>
            </w:pPr>
          </w:p>
          <w:p w:rsidR="005323AD" w:rsidRPr="00E7779F" w:rsidRDefault="005323AD" w:rsidP="00C44237">
            <w:pPr>
              <w:pStyle w:val="normal0"/>
              <w:spacing w:before="0"/>
              <w:rPr>
                <w:bCs/>
                <w:sz w:val="24"/>
                <w:szCs w:val="24"/>
                <w:lang w:val="lv-LV"/>
              </w:rPr>
            </w:pPr>
            <w:r w:rsidRPr="002C0D75">
              <w:rPr>
                <w:sz w:val="24"/>
                <w:szCs w:val="24"/>
                <w:lang w:val="lv-LV"/>
              </w:rPr>
              <w:t>Latvijas Administratīvo pārkāpumu kodeksa 75.</w:t>
            </w:r>
            <w:r w:rsidR="009F2952" w:rsidRPr="009F2952">
              <w:rPr>
                <w:sz w:val="24"/>
                <w:szCs w:val="24"/>
                <w:vertAlign w:val="superscript"/>
                <w:lang w:val="lv-LV"/>
              </w:rPr>
              <w:t>3</w:t>
            </w:r>
            <w:r w:rsidRPr="002C0D75">
              <w:rPr>
                <w:sz w:val="24"/>
                <w:szCs w:val="24"/>
                <w:lang w:val="lv-LV"/>
              </w:rPr>
              <w:t xml:space="preserve"> panta pirmā daļa paredz, ka par normatīvajos aktos noteiktā speciālā marķējuma ar prasību savākt elektrisko un elektronisko iekārtu atkritumus atsevišķi no citiem atkritumiem nelietošanu elektriskajām un elektroniskajām iekārtām uzliek naudas sodu juridiskajām personām no trīssimt piecdesmit līdz tūkstoš četrsimt </w:t>
            </w:r>
            <w:proofErr w:type="spellStart"/>
            <w:r w:rsidRPr="002C0D75">
              <w:rPr>
                <w:i/>
                <w:iCs/>
                <w:sz w:val="24"/>
                <w:szCs w:val="24"/>
                <w:lang w:val="lv-LV"/>
              </w:rPr>
              <w:t>euro</w:t>
            </w:r>
            <w:proofErr w:type="spellEnd"/>
            <w:r w:rsidRPr="002C0D75">
              <w:rPr>
                <w:sz w:val="24"/>
                <w:szCs w:val="24"/>
                <w:lang w:val="lv-LV"/>
              </w:rPr>
              <w:t>. Saskaņā ar Latvijas Administratīvo pārkāpumu kodeksa 231.panta pirmo daļu vides aizsardzības iestādes izskata lietas par administratīvajiem pārkāpumiem, kas paredzēti šā likuma 75.</w:t>
            </w:r>
            <w:r w:rsidR="009F2952" w:rsidRPr="009F2952">
              <w:rPr>
                <w:sz w:val="24"/>
                <w:szCs w:val="24"/>
                <w:vertAlign w:val="superscript"/>
                <w:lang w:val="lv-LV"/>
              </w:rPr>
              <w:t>3</w:t>
            </w:r>
            <w:r w:rsidRPr="002C0D75">
              <w:rPr>
                <w:sz w:val="24"/>
                <w:szCs w:val="24"/>
                <w:lang w:val="lv-LV"/>
              </w:rPr>
              <w:t xml:space="preserve"> pantā.</w:t>
            </w:r>
          </w:p>
          <w:p w:rsidR="00C44237" w:rsidRPr="007D40C3" w:rsidRDefault="00365AE9" w:rsidP="00C44237">
            <w:pPr>
              <w:pStyle w:val="normal0"/>
              <w:spacing w:before="0"/>
              <w:rPr>
                <w:bCs/>
                <w:sz w:val="24"/>
                <w:szCs w:val="24"/>
                <w:lang w:val="lv-LV"/>
              </w:rPr>
            </w:pPr>
            <w:r>
              <w:rPr>
                <w:bCs/>
                <w:sz w:val="24"/>
                <w:szCs w:val="24"/>
                <w:lang w:val="lv-LV"/>
              </w:rPr>
              <w:t>Direktīva 2012/19/ES paredz, ka sākot ar 2018.gada 15.augustu direktīvas prasības attieksies uz visa veida EEI, kā arī mainīsies EEI klasifi</w:t>
            </w:r>
            <w:r w:rsidR="007D40C3">
              <w:rPr>
                <w:bCs/>
                <w:sz w:val="24"/>
                <w:szCs w:val="24"/>
                <w:lang w:val="lv-LV"/>
              </w:rPr>
              <w:t>cēšana</w:t>
            </w:r>
            <w:r>
              <w:rPr>
                <w:bCs/>
                <w:sz w:val="24"/>
                <w:szCs w:val="24"/>
                <w:lang w:val="lv-LV"/>
              </w:rPr>
              <w:t xml:space="preserve">. Ir arī noteikti EEI veidi, uz kuriem neattieksies direktīvas 2012/19/ES prasības. </w:t>
            </w:r>
          </w:p>
          <w:p w:rsidR="00B41B8A" w:rsidRPr="00E7779F" w:rsidRDefault="00197C1D" w:rsidP="00B41B8A">
            <w:pPr>
              <w:pStyle w:val="normal0"/>
              <w:spacing w:before="0"/>
              <w:rPr>
                <w:sz w:val="24"/>
                <w:szCs w:val="24"/>
                <w:lang w:val="lv-LV"/>
              </w:rPr>
            </w:pPr>
            <w:r w:rsidRPr="00197C1D">
              <w:rPr>
                <w:sz w:val="24"/>
                <w:szCs w:val="24"/>
                <w:lang w:val="lv-LV"/>
              </w:rPr>
              <w:t xml:space="preserve">Direktīva 2012/19/ES nosaka detālas prasības EEIA savākšanas apjomiem, nosakot mērķus, kuru sasniegšana dalībvalstīm jānodrošina līdz 2016.gada 1.janvārim, līdz 2018.gada 14.augustam un pēc 2018.gada 15.augusta. Direktīvā 2012/19/ES ir arī ietvertas papildus prasības EEIA pienācīgai apstrādei, kā arī noteikti stingrāki mērķi EEIA pārstrādei un reģenerācijai. </w:t>
            </w:r>
          </w:p>
          <w:p w:rsidR="00BC4698" w:rsidRDefault="00197C1D" w:rsidP="007D40C3">
            <w:pPr>
              <w:jc w:val="both"/>
            </w:pPr>
            <w:r w:rsidRPr="00197C1D">
              <w:rPr>
                <w:lang w:eastAsia="en-US"/>
              </w:rPr>
              <w:t>Izvērtējot MK noteikumos Nr.861 un Nr.897 ietverto regulējumu, Vides aizsardzības un reģionālās attīstības ministrija (</w:t>
            </w:r>
            <w:r w:rsidR="00597310">
              <w:t>turpmāk – </w:t>
            </w:r>
            <w:r w:rsidRPr="00197C1D">
              <w:rPr>
                <w:lang w:eastAsia="en-US"/>
              </w:rPr>
              <w:t xml:space="preserve">VARAM) secināja, ka ir lietderīgi apvienot MK noteikumus Nr.861 un MK noteikumus Nr.897, tā kā noteikumos Nr.897 ir ietvertas atsauces uz EEI kategorijām. </w:t>
            </w:r>
            <w:r w:rsidR="00DB6A2B">
              <w:t xml:space="preserve">Ņemot vērā izdarāmo grozījumu apjomu Direktīvas 2012/19/ES normu transponēšanai, ir lietderīgi atcelt MK noteikumus Nr.861 un 897, un izdot jaunus Ministru kabineta noteikumus. </w:t>
            </w:r>
            <w:r w:rsidRPr="00197C1D">
              <w:t xml:space="preserve">Noteikumu projekts nosaka EEI kategorijas, paredzot, ka no 2018.gada 15.augusta noteikumi attieksies uz visa veida EEI. Noteikumu projektā ir iekļautas EEI marķēšanas prasības, kā arī prasības, kas jāievēro, sniedzot informāciju patērētājiem un iekārtu atkritumu apstrādes, atkārtotas izmantošanas, pārstrādes un reģenerācijas iekārtu operatoriem, kā arī </w:t>
            </w:r>
            <w:r w:rsidRPr="00197C1D">
              <w:lastRenderedPageBreak/>
              <w:t xml:space="preserve">prasības attiecībā uz sabiedrības un Eiropas Komisijas informēšanu. Noteikumu projektā ir reglamentētas iekārtu atkritumu savākšanas un apstrādes prasības, kā arī noteikti iekārtu atkritumu savākšanas, atkārtotas izmantošanas, pārstrādes un reģenerācijas apjomi un termiņi, un kārtība, kādā sniedzams ziņojums par šo darbu izpildi. </w:t>
            </w:r>
          </w:p>
          <w:p w:rsidR="00AC642A" w:rsidRDefault="00703350" w:rsidP="00AC642A">
            <w:pPr>
              <w:pStyle w:val="normal0"/>
              <w:rPr>
                <w:color w:val="000000"/>
                <w:sz w:val="24"/>
                <w:szCs w:val="24"/>
                <w:lang w:val="lv-LV"/>
              </w:rPr>
            </w:pPr>
            <w:r>
              <w:rPr>
                <w:sz w:val="24"/>
                <w:szCs w:val="24"/>
                <w:lang w:val="lv-LV"/>
              </w:rPr>
              <w:t>Noteikumu projekta 39</w:t>
            </w:r>
            <w:r w:rsidR="009F2952" w:rsidRPr="009F2952">
              <w:rPr>
                <w:sz w:val="24"/>
                <w:szCs w:val="24"/>
                <w:lang w:val="lv-LV"/>
              </w:rPr>
              <w:t xml:space="preserve">.punkts nosaka, ka </w:t>
            </w:r>
            <w:r w:rsidR="009F2952" w:rsidRPr="009F2952">
              <w:rPr>
                <w:rFonts w:eastAsiaTheme="minorHAnsi"/>
                <w:sz w:val="24"/>
                <w:szCs w:val="24"/>
                <w:lang w:val="lv-LV"/>
              </w:rPr>
              <w:t>līdz 2015.gada 31.decembrim mājsaimniecības EEIA savākšanas apjomam gadā jābūt vismaz četriem kilogramiem iekārtu atkritumu uz iedzīvotāju. Ar šo noteikumu punktu tiek pārņemta Direktīvas 7.panta 1.punkta 3.rindkopa, kur noteikts, ka</w:t>
            </w:r>
            <w:r w:rsidR="009F2952" w:rsidRPr="009F2952">
              <w:rPr>
                <w:color w:val="000000"/>
                <w:sz w:val="24"/>
                <w:szCs w:val="24"/>
                <w:lang w:val="lv-LV"/>
              </w:rPr>
              <w:t xml:space="preserve"> </w:t>
            </w:r>
            <w:r w:rsidR="00EA6CBA">
              <w:rPr>
                <w:color w:val="000000"/>
                <w:sz w:val="24"/>
                <w:szCs w:val="24"/>
                <w:lang w:val="lv-LV"/>
              </w:rPr>
              <w:t>l</w:t>
            </w:r>
            <w:r w:rsidR="009F2952" w:rsidRPr="009F2952">
              <w:rPr>
                <w:color w:val="000000"/>
                <w:sz w:val="24"/>
                <w:szCs w:val="24"/>
                <w:lang w:val="lv-LV"/>
              </w:rPr>
              <w:t>īdz 2015. gada 31. decembrim turpina piemērot prasību, ka dalītas atkritumu savākšanas apjoms no privātām mājsaimniecībām ir vidēji vismaz četri kilogrami EEIA uz iedzīvotāju gadā vai arī tāds pats EEIA apjoms kā svars, kas šajā dalībvalstī vidēji tika savākts trīs iepriekšējos gados – atkarībā no tā, kurš no šiem abiem rādītājiem ir lielāks.</w:t>
            </w:r>
            <w:r w:rsidR="00D905B5">
              <w:rPr>
                <w:color w:val="000000"/>
                <w:sz w:val="24"/>
                <w:szCs w:val="24"/>
                <w:lang w:val="lv-LV"/>
              </w:rPr>
              <w:t xml:space="preserve"> Atbilstoši Elektrisko un elektronisko iekārtu ražotāju reģistra sniegtajai informācijai, Latvijā uz vienu iedzīvotāju pēdējo trīs gadu laikā ir savākts šāds EEIA apjoms:</w:t>
            </w:r>
          </w:p>
          <w:p w:rsidR="002B38C1" w:rsidRPr="002B38C1" w:rsidRDefault="002B38C1">
            <w:pPr>
              <w:pStyle w:val="normal0"/>
              <w:spacing w:before="0"/>
              <w:rPr>
                <w:lang w:val="lv-LV"/>
              </w:rPr>
            </w:pPr>
          </w:p>
          <w:tbl>
            <w:tblPr>
              <w:tblW w:w="0" w:type="auto"/>
              <w:tblCellMar>
                <w:left w:w="0" w:type="dxa"/>
                <w:right w:w="0" w:type="dxa"/>
              </w:tblCellMar>
              <w:tblLook w:val="04A0"/>
            </w:tblPr>
            <w:tblGrid>
              <w:gridCol w:w="1196"/>
              <w:gridCol w:w="2246"/>
              <w:gridCol w:w="2261"/>
              <w:gridCol w:w="1417"/>
            </w:tblGrid>
            <w:tr w:rsidR="00D905B5" w:rsidTr="00D905B5">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Gads</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Savāktie EEI atkritumi (tonnas)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Kg uz vienu iedzīvotāju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Iedzīvotāju skaits*</w:t>
                  </w:r>
                </w:p>
              </w:tc>
            </w:tr>
            <w:tr w:rsidR="00D905B5" w:rsidTr="00D905B5">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2011.gads</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Pr="008B0A83" w:rsidRDefault="00E43412" w:rsidP="00D905B5">
                  <w:pPr>
                    <w:rPr>
                      <w:rFonts w:eastAsiaTheme="minorHAnsi"/>
                    </w:rPr>
                  </w:pPr>
                  <w:r w:rsidRPr="008B0A83">
                    <w:t>4641</w:t>
                  </w:r>
                  <w:r w:rsidR="00D905B5" w:rsidRPr="008B0A83">
                    <w:t>,07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2.25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Pr="008B0A83" w:rsidRDefault="00D905B5" w:rsidP="00D905B5">
                  <w:pPr>
                    <w:rPr>
                      <w:rFonts w:eastAsiaTheme="minorHAnsi"/>
                    </w:rPr>
                  </w:pPr>
                  <w:r w:rsidRPr="008B0A83">
                    <w:rPr>
                      <w:color w:val="000000"/>
                      <w:shd w:val="clear" w:color="auto" w:fill="FFFFFF"/>
                    </w:rPr>
                    <w:t>2 074 605</w:t>
                  </w:r>
                </w:p>
              </w:tc>
            </w:tr>
            <w:tr w:rsidR="00D905B5" w:rsidTr="00D905B5">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2012.gads</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Pr="008B0A83" w:rsidRDefault="00D905B5" w:rsidP="00D905B5">
                  <w:pPr>
                    <w:rPr>
                      <w:rFonts w:eastAsiaTheme="minorHAnsi"/>
                    </w:rPr>
                  </w:pPr>
                  <w:r w:rsidRPr="008B0A83">
                    <w:t>4693,88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2.3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Pr="008B0A83" w:rsidRDefault="00D905B5" w:rsidP="00D905B5">
                  <w:pPr>
                    <w:rPr>
                      <w:rFonts w:eastAsiaTheme="minorHAnsi"/>
                    </w:rPr>
                  </w:pPr>
                  <w:r w:rsidRPr="008B0A83">
                    <w:rPr>
                      <w:color w:val="000000"/>
                      <w:shd w:val="clear" w:color="auto" w:fill="FFFFFF"/>
                    </w:rPr>
                    <w:t>2 044 813</w:t>
                  </w:r>
                </w:p>
              </w:tc>
            </w:tr>
            <w:tr w:rsidR="00D905B5" w:rsidTr="00D905B5">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2013.gads</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Pr="008B0A83" w:rsidRDefault="00D905B5" w:rsidP="00D905B5">
                  <w:pPr>
                    <w:rPr>
                      <w:rFonts w:eastAsiaTheme="minorHAnsi"/>
                    </w:rPr>
                  </w:pPr>
                  <w:r w:rsidRPr="008B0A83">
                    <w:t xml:space="preserve">4053,38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Default="00D905B5" w:rsidP="00D905B5">
                  <w:pPr>
                    <w:rPr>
                      <w:rFonts w:ascii="Calibri" w:eastAsiaTheme="minorHAnsi" w:hAnsi="Calibri"/>
                    </w:rPr>
                  </w:pPr>
                  <w: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905B5" w:rsidRPr="008B0A83" w:rsidRDefault="00D905B5" w:rsidP="00D905B5">
                  <w:pPr>
                    <w:rPr>
                      <w:rFonts w:eastAsiaTheme="minorHAnsi"/>
                    </w:rPr>
                  </w:pPr>
                  <w:r w:rsidRPr="008B0A83">
                    <w:rPr>
                      <w:color w:val="000000"/>
                      <w:shd w:val="clear" w:color="auto" w:fill="FFFFFF"/>
                    </w:rPr>
                    <w:t>2 023 825</w:t>
                  </w:r>
                </w:p>
              </w:tc>
            </w:tr>
          </w:tbl>
          <w:p w:rsidR="002B38C1" w:rsidRPr="0067149D" w:rsidRDefault="002B38C1">
            <w:pPr>
              <w:pStyle w:val="normal0"/>
              <w:spacing w:before="0"/>
              <w:rPr>
                <w:sz w:val="24"/>
                <w:szCs w:val="24"/>
                <w:lang w:val="lv-LV"/>
              </w:rPr>
            </w:pPr>
          </w:p>
          <w:p w:rsidR="002B38C1" w:rsidRPr="0067149D" w:rsidRDefault="0067149D" w:rsidP="0067149D">
            <w:pPr>
              <w:pStyle w:val="tv2131"/>
              <w:spacing w:before="0" w:line="240" w:lineRule="auto"/>
              <w:rPr>
                <w:rFonts w:ascii="Times New Roman" w:hAnsi="Times New Roman"/>
                <w:sz w:val="24"/>
                <w:szCs w:val="24"/>
                <w:lang w:val="lv-LV"/>
              </w:rPr>
            </w:pPr>
            <w:r w:rsidRPr="0067149D">
              <w:rPr>
                <w:rFonts w:ascii="Times New Roman" w:hAnsi="Times New Roman"/>
                <w:sz w:val="24"/>
                <w:szCs w:val="24"/>
                <w:lang w:val="lv-LV"/>
              </w:rPr>
              <w:t>Ja iepriekšējos trijos gados uz 1 iedzīvotāju gada laikā savāktais EEIA svars pārsniegtu 4 kilogramus, tad noteikumu projektā tiktu iekļauts attiecīgais rādītājs, kas pārsniedz 4 kilogramus. Tā kā Latvijā iepriekšējos trijos savāktais EEIA apjoms uz 1 iedzīvotāju ir mazāks nekā Direktīvas 2012/19/ES  7.panta 1.punkta 3.rindkopā noteiktais rādītājs – 4 kilogrami mājsaimniecības EEIA uz 1 iedzīvotāju, tad atbilstoši minētās direktīvas normas prasībām noteikumu projektā ir iekļauts EEIA savākšanas mērķis – 4 kilogrami mājsaimniecības EEIA uz 1 iedzīvotāju gadā, kas nav stingrāka prasība kā ir noteikts Direktīvā 2012/19/ES. Pie tam, pašreiz spēkā esošo MK noteikumu Nr.897 16.punktā ir noteikts, ka Mājsaimniecības elektrisko un elektronisko iekārtu atkritumu savākšanas apjomam gadā jābūt vismaz četriem kilogramiem atkritumu uz iedzīvotāju.</w:t>
            </w:r>
            <w:r>
              <w:rPr>
                <w:rFonts w:ascii="Times New Roman" w:hAnsi="Times New Roman"/>
                <w:sz w:val="24"/>
                <w:szCs w:val="24"/>
                <w:lang w:val="lv-LV"/>
              </w:rPr>
              <w:t xml:space="preserve"> Tādejādi laika posmā no notei</w:t>
            </w:r>
            <w:r w:rsidR="00703350">
              <w:rPr>
                <w:rFonts w:ascii="Times New Roman" w:hAnsi="Times New Roman"/>
                <w:sz w:val="24"/>
                <w:szCs w:val="24"/>
                <w:lang w:val="lv-LV"/>
              </w:rPr>
              <w:t>kumu pieņemšanas brīža līdz 2015.gada 31.decembrim arī netiek noteiktas</w:t>
            </w:r>
            <w:r>
              <w:rPr>
                <w:rFonts w:ascii="Times New Roman" w:hAnsi="Times New Roman"/>
                <w:sz w:val="24"/>
                <w:szCs w:val="24"/>
                <w:lang w:val="lv-LV"/>
              </w:rPr>
              <w:t xml:space="preserve"> stingrākas prasības nekā pašreiz spēkā esošajos normatīvajos aktos. </w:t>
            </w:r>
          </w:p>
        </w:tc>
      </w:tr>
      <w:tr w:rsidR="00C44237" w:rsidRPr="00FB41DC" w:rsidTr="004E4BE0">
        <w:tc>
          <w:tcPr>
            <w:tcW w:w="720" w:type="dxa"/>
          </w:tcPr>
          <w:p w:rsidR="00C44237" w:rsidRPr="00FB41DC" w:rsidRDefault="00C44237" w:rsidP="00973014">
            <w:pPr>
              <w:jc w:val="center"/>
            </w:pPr>
            <w:r>
              <w:lastRenderedPageBreak/>
              <w:t>3</w:t>
            </w:r>
            <w:r w:rsidRPr="00FB41DC">
              <w:t>.</w:t>
            </w:r>
          </w:p>
        </w:tc>
        <w:tc>
          <w:tcPr>
            <w:tcW w:w="2154" w:type="dxa"/>
          </w:tcPr>
          <w:p w:rsidR="00C44237" w:rsidRPr="00FB41DC" w:rsidRDefault="00C44237" w:rsidP="00973014">
            <w:r w:rsidRPr="00FB41DC">
              <w:t>Projekta izstrādē iesaistītās institūcijas</w:t>
            </w:r>
          </w:p>
        </w:tc>
        <w:tc>
          <w:tcPr>
            <w:tcW w:w="6485" w:type="dxa"/>
          </w:tcPr>
          <w:p w:rsidR="00C44237" w:rsidRPr="00FB41DC" w:rsidRDefault="00597310" w:rsidP="00973014">
            <w:pPr>
              <w:pStyle w:val="naiskr"/>
              <w:jc w:val="both"/>
            </w:pPr>
            <w:r>
              <w:t>VARAM</w:t>
            </w:r>
            <w:r w:rsidR="00C44237">
              <w:t>, Latvijas Vides aizsardzības fonda administrācija</w:t>
            </w:r>
            <w:r w:rsidR="00BC4698">
              <w:t>, biedrība „Latvijas Elektrotehnikas un elektronikas rūpniecības asociācija”</w:t>
            </w:r>
            <w:r w:rsidR="002A18AF">
              <w:t xml:space="preserve"> (turpmāk – LETERA)</w:t>
            </w:r>
            <w:r w:rsidR="00BC4698">
              <w:t xml:space="preserve">. </w:t>
            </w:r>
          </w:p>
        </w:tc>
      </w:tr>
      <w:tr w:rsidR="00C44237" w:rsidRPr="00FB41DC" w:rsidTr="004E4BE0">
        <w:trPr>
          <w:trHeight w:val="571"/>
        </w:trPr>
        <w:tc>
          <w:tcPr>
            <w:tcW w:w="720" w:type="dxa"/>
          </w:tcPr>
          <w:p w:rsidR="00C44237" w:rsidRPr="00FB41DC" w:rsidRDefault="00C44237" w:rsidP="00973014">
            <w:pPr>
              <w:jc w:val="center"/>
            </w:pPr>
            <w:r>
              <w:t>4</w:t>
            </w:r>
            <w:r w:rsidRPr="00FB41DC">
              <w:t>.</w:t>
            </w:r>
          </w:p>
        </w:tc>
        <w:tc>
          <w:tcPr>
            <w:tcW w:w="2154" w:type="dxa"/>
          </w:tcPr>
          <w:p w:rsidR="00C44237" w:rsidRPr="00FB41DC" w:rsidRDefault="00C44237" w:rsidP="00973014">
            <w:r w:rsidRPr="00FB41DC">
              <w:t>Cita informācija</w:t>
            </w:r>
          </w:p>
        </w:tc>
        <w:tc>
          <w:tcPr>
            <w:tcW w:w="6485" w:type="dxa"/>
          </w:tcPr>
          <w:p w:rsidR="00C44237" w:rsidRPr="00FB41DC" w:rsidRDefault="00C44237" w:rsidP="00973014">
            <w:pPr>
              <w:jc w:val="both"/>
            </w:pPr>
            <w:r>
              <w:t>Nav.</w:t>
            </w:r>
          </w:p>
        </w:tc>
      </w:tr>
    </w:tbl>
    <w:p w:rsidR="00C44237" w:rsidRPr="00FB41DC" w:rsidRDefault="00C44237" w:rsidP="00C4423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233"/>
        <w:gridCol w:w="7718"/>
      </w:tblGrid>
      <w:tr w:rsidR="00C44237" w:rsidRPr="00FB41DC" w:rsidTr="00973014">
        <w:tc>
          <w:tcPr>
            <w:tcW w:w="9287" w:type="dxa"/>
            <w:gridSpan w:val="3"/>
          </w:tcPr>
          <w:p w:rsidR="00C44237" w:rsidRPr="00FB41DC" w:rsidRDefault="00C44237" w:rsidP="00973014">
            <w:pPr>
              <w:jc w:val="center"/>
              <w:rPr>
                <w:b/>
              </w:rPr>
            </w:pPr>
            <w:r w:rsidRPr="00FB41DC">
              <w:rPr>
                <w:b/>
              </w:rPr>
              <w:t>II. Tiesību akta projekta ietekme uz sabiedrību</w:t>
            </w:r>
          </w:p>
        </w:tc>
      </w:tr>
      <w:tr w:rsidR="00C44237" w:rsidRPr="00FB41DC" w:rsidTr="004E4BE0">
        <w:tc>
          <w:tcPr>
            <w:tcW w:w="648" w:type="dxa"/>
          </w:tcPr>
          <w:p w:rsidR="00C44237" w:rsidRPr="00FB41DC" w:rsidRDefault="00C44237" w:rsidP="00973014">
            <w:pPr>
              <w:jc w:val="center"/>
            </w:pPr>
            <w:r w:rsidRPr="00FB41DC">
              <w:t>1.</w:t>
            </w:r>
          </w:p>
        </w:tc>
        <w:tc>
          <w:tcPr>
            <w:tcW w:w="2154" w:type="dxa"/>
          </w:tcPr>
          <w:p w:rsidR="00C44237" w:rsidRPr="00FB41DC" w:rsidRDefault="00C44237" w:rsidP="00973014">
            <w:r w:rsidRPr="00FB41DC">
              <w:t xml:space="preserve">Sabiedrības </w:t>
            </w:r>
            <w:r w:rsidRPr="00FB41DC">
              <w:lastRenderedPageBreak/>
              <w:t>mērķgrupa</w:t>
            </w:r>
            <w:r>
              <w:t xml:space="preserve">s, kuras tiesiskais regulējums </w:t>
            </w:r>
            <w:r w:rsidRPr="00FB41DC">
              <w:t xml:space="preserve"> ietekmē vai varētu ietekmēt</w:t>
            </w:r>
          </w:p>
        </w:tc>
        <w:tc>
          <w:tcPr>
            <w:tcW w:w="6485" w:type="dxa"/>
          </w:tcPr>
          <w:p w:rsidR="00BC4698" w:rsidRDefault="00BC4698" w:rsidP="00BC4698">
            <w:pPr>
              <w:pStyle w:val="ListParagraph"/>
              <w:numPr>
                <w:ilvl w:val="0"/>
                <w:numId w:val="1"/>
              </w:numPr>
              <w:jc w:val="both"/>
            </w:pPr>
            <w:r>
              <w:lastRenderedPageBreak/>
              <w:t>EEI lietotāji – visi Latvijas iedzīvotāji;</w:t>
            </w:r>
            <w:r w:rsidR="00C44237">
              <w:t xml:space="preserve"> </w:t>
            </w:r>
          </w:p>
          <w:p w:rsidR="00C44237" w:rsidRDefault="00BC4698" w:rsidP="00BC4698">
            <w:pPr>
              <w:pStyle w:val="ListParagraph"/>
              <w:numPr>
                <w:ilvl w:val="0"/>
                <w:numId w:val="1"/>
              </w:numPr>
              <w:jc w:val="both"/>
            </w:pPr>
            <w:r w:rsidRPr="00BC4698">
              <w:t xml:space="preserve">1199 elektrisko un elektronisko iekārtu ražotāji, kuri ir noslēguši </w:t>
            </w:r>
            <w:r w:rsidRPr="00BC4698">
              <w:lastRenderedPageBreak/>
              <w:t>līgumus ar videi kaitīgo preču atkritumu apsaimniekotājiem</w:t>
            </w:r>
            <w:r>
              <w:t>;</w:t>
            </w:r>
          </w:p>
          <w:p w:rsidR="00BC4698" w:rsidRPr="00BC4698" w:rsidRDefault="00BC4698" w:rsidP="00BC4698">
            <w:pPr>
              <w:pStyle w:val="ListParagraph"/>
              <w:numPr>
                <w:ilvl w:val="0"/>
                <w:numId w:val="1"/>
              </w:numPr>
              <w:jc w:val="both"/>
            </w:pPr>
            <w:r>
              <w:t xml:space="preserve">6 videi kaitīgo preču atkritumu apsaimniekotāji, kam ir tiesības saviem līgumpartneriem piešķirt atbrīvojumu no dabas resursu nodokļa samaksas par videi kaitīgām precēm. </w:t>
            </w:r>
          </w:p>
        </w:tc>
      </w:tr>
      <w:tr w:rsidR="00C44237" w:rsidRPr="00CC4F9A" w:rsidTr="004E4BE0">
        <w:tc>
          <w:tcPr>
            <w:tcW w:w="648" w:type="dxa"/>
            <w:shd w:val="clear" w:color="auto" w:fill="auto"/>
          </w:tcPr>
          <w:p w:rsidR="00C44237" w:rsidRPr="00CC4F9A" w:rsidRDefault="00C44237" w:rsidP="00973014">
            <w:pPr>
              <w:jc w:val="center"/>
              <w:rPr>
                <w:highlight w:val="yellow"/>
              </w:rPr>
            </w:pPr>
            <w:r>
              <w:lastRenderedPageBreak/>
              <w:t>2</w:t>
            </w:r>
            <w:r w:rsidRPr="00331BA5">
              <w:t>.</w:t>
            </w:r>
          </w:p>
        </w:tc>
        <w:tc>
          <w:tcPr>
            <w:tcW w:w="2154" w:type="dxa"/>
            <w:shd w:val="clear" w:color="auto" w:fill="FFFFFF"/>
          </w:tcPr>
          <w:p w:rsidR="00C44237" w:rsidRPr="00CC4F9A" w:rsidRDefault="00C44237" w:rsidP="00973014">
            <w:pPr>
              <w:rPr>
                <w:highlight w:val="yellow"/>
              </w:rPr>
            </w:pPr>
            <w:r w:rsidRPr="00331BA5">
              <w:t xml:space="preserve">Tiesiskā regulējuma </w:t>
            </w:r>
            <w:r>
              <w:t>ietekme uz tautsaimniecību un administratīvo slogu</w:t>
            </w:r>
          </w:p>
        </w:tc>
        <w:tc>
          <w:tcPr>
            <w:tcW w:w="6485" w:type="dxa"/>
            <w:shd w:val="clear" w:color="auto" w:fill="auto"/>
          </w:tcPr>
          <w:p w:rsidR="002B38C1" w:rsidRDefault="00A12159">
            <w:r>
              <w:t>Informācija par iepriekšējos trijos gados tirgū laisto EEI apjomu, savākto un apsaimniekoto EEIA apjomu un EEIA apsaimniekošanas izmaksām:</w:t>
            </w:r>
          </w:p>
          <w:p w:rsidR="002B38C1" w:rsidRDefault="002B38C1"/>
          <w:tbl>
            <w:tblPr>
              <w:tblStyle w:val="TableGrid"/>
              <w:tblW w:w="0" w:type="auto"/>
              <w:tblLook w:val="04A0"/>
            </w:tblPr>
            <w:tblGrid>
              <w:gridCol w:w="1028"/>
              <w:gridCol w:w="1236"/>
              <w:gridCol w:w="1163"/>
              <w:gridCol w:w="1101"/>
              <w:gridCol w:w="1805"/>
            </w:tblGrid>
            <w:tr w:rsidR="00A12159" w:rsidTr="00A12159">
              <w:tc>
                <w:tcPr>
                  <w:tcW w:w="1028" w:type="dxa"/>
                </w:tcPr>
                <w:p w:rsidR="00A12159" w:rsidRDefault="00A12159" w:rsidP="00A12159">
                  <w:r>
                    <w:t>Gads</w:t>
                  </w:r>
                </w:p>
              </w:tc>
              <w:tc>
                <w:tcPr>
                  <w:tcW w:w="1162" w:type="dxa"/>
                </w:tcPr>
                <w:p w:rsidR="00A12159" w:rsidRDefault="00A12159" w:rsidP="00A12159">
                  <w:r>
                    <w:t>Tirgū laistais EEI apjoms (tonnas)</w:t>
                  </w:r>
                </w:p>
              </w:tc>
              <w:tc>
                <w:tcPr>
                  <w:tcW w:w="1163" w:type="dxa"/>
                </w:tcPr>
                <w:p w:rsidR="00A12159" w:rsidRDefault="00A12159" w:rsidP="00A12159">
                  <w:r>
                    <w:t>Savāktie EEI atkritumi (tonnas)</w:t>
                  </w:r>
                </w:p>
              </w:tc>
              <w:tc>
                <w:tcPr>
                  <w:tcW w:w="1101" w:type="dxa"/>
                </w:tcPr>
                <w:p w:rsidR="00A12159" w:rsidRDefault="00A12159" w:rsidP="00A12159">
                  <w:r>
                    <w:t>% no gada laikā tirgū laistā apjoma</w:t>
                  </w:r>
                </w:p>
              </w:tc>
              <w:tc>
                <w:tcPr>
                  <w:tcW w:w="1805" w:type="dxa"/>
                </w:tcPr>
                <w:p w:rsidR="00A12159" w:rsidRDefault="00A12159" w:rsidP="00A12159">
                  <w:r>
                    <w:t>EEIA apsaimniekošanas</w:t>
                  </w:r>
                </w:p>
                <w:p w:rsidR="00A12159" w:rsidRDefault="00A12159" w:rsidP="00A12159">
                  <w:r>
                    <w:t>Izmaksas (</w:t>
                  </w:r>
                  <w:proofErr w:type="spellStart"/>
                  <w:r>
                    <w:t>euro</w:t>
                  </w:r>
                  <w:proofErr w:type="spellEnd"/>
                  <w:r>
                    <w:t>)</w:t>
                  </w:r>
                </w:p>
              </w:tc>
            </w:tr>
            <w:tr w:rsidR="00A12159" w:rsidTr="00A12159">
              <w:tc>
                <w:tcPr>
                  <w:tcW w:w="1028" w:type="dxa"/>
                </w:tcPr>
                <w:p w:rsidR="00A12159" w:rsidRPr="00605FB0" w:rsidRDefault="00A12159" w:rsidP="00A12159">
                  <w:pPr>
                    <w:rPr>
                      <w:sz w:val="24"/>
                      <w:szCs w:val="24"/>
                    </w:rPr>
                  </w:pPr>
                  <w:r w:rsidRPr="00605FB0">
                    <w:rPr>
                      <w:sz w:val="24"/>
                      <w:szCs w:val="24"/>
                    </w:rPr>
                    <w:t>2011.</w:t>
                  </w:r>
                </w:p>
              </w:tc>
              <w:tc>
                <w:tcPr>
                  <w:tcW w:w="1162" w:type="dxa"/>
                </w:tcPr>
                <w:p w:rsidR="00A12159" w:rsidRPr="00605FB0" w:rsidRDefault="00A12159" w:rsidP="00A12159">
                  <w:pPr>
                    <w:rPr>
                      <w:sz w:val="24"/>
                      <w:szCs w:val="24"/>
                    </w:rPr>
                  </w:pPr>
                  <w:r w:rsidRPr="00605FB0">
                    <w:rPr>
                      <w:bCs/>
                      <w:sz w:val="24"/>
                      <w:szCs w:val="24"/>
                    </w:rPr>
                    <w:t>15747,134</w:t>
                  </w:r>
                </w:p>
              </w:tc>
              <w:tc>
                <w:tcPr>
                  <w:tcW w:w="1163" w:type="dxa"/>
                </w:tcPr>
                <w:p w:rsidR="00A12159" w:rsidRPr="00605FB0" w:rsidRDefault="00E43412" w:rsidP="00A12159">
                  <w:pPr>
                    <w:rPr>
                      <w:sz w:val="24"/>
                      <w:szCs w:val="24"/>
                    </w:rPr>
                  </w:pPr>
                  <w:r w:rsidRPr="00605FB0">
                    <w:rPr>
                      <w:sz w:val="24"/>
                      <w:szCs w:val="24"/>
                    </w:rPr>
                    <w:t>4641</w:t>
                  </w:r>
                  <w:r w:rsidR="00A12159" w:rsidRPr="00605FB0">
                    <w:rPr>
                      <w:sz w:val="24"/>
                      <w:szCs w:val="24"/>
                    </w:rPr>
                    <w:t>,07</w:t>
                  </w:r>
                </w:p>
              </w:tc>
              <w:tc>
                <w:tcPr>
                  <w:tcW w:w="1101" w:type="dxa"/>
                </w:tcPr>
                <w:p w:rsidR="00A12159" w:rsidRPr="00605FB0" w:rsidRDefault="00A12159" w:rsidP="00A12159">
                  <w:pPr>
                    <w:rPr>
                      <w:sz w:val="24"/>
                      <w:szCs w:val="24"/>
                    </w:rPr>
                  </w:pPr>
                  <w:r w:rsidRPr="00605FB0">
                    <w:rPr>
                      <w:sz w:val="24"/>
                      <w:szCs w:val="24"/>
                    </w:rPr>
                    <w:t>29.6</w:t>
                  </w:r>
                </w:p>
              </w:tc>
              <w:tc>
                <w:tcPr>
                  <w:tcW w:w="1805" w:type="dxa"/>
                </w:tcPr>
                <w:p w:rsidR="00A12159" w:rsidRPr="00605FB0" w:rsidRDefault="00897D24" w:rsidP="00A12159">
                  <w:pPr>
                    <w:rPr>
                      <w:sz w:val="24"/>
                      <w:szCs w:val="24"/>
                    </w:rPr>
                  </w:pPr>
                  <w:r w:rsidRPr="00605FB0">
                    <w:rPr>
                      <w:sz w:val="24"/>
                      <w:szCs w:val="24"/>
                    </w:rPr>
                    <w:t>635 827</w:t>
                  </w:r>
                </w:p>
              </w:tc>
            </w:tr>
            <w:tr w:rsidR="00A12159" w:rsidTr="00A12159">
              <w:tc>
                <w:tcPr>
                  <w:tcW w:w="1028" w:type="dxa"/>
                </w:tcPr>
                <w:p w:rsidR="00A12159" w:rsidRPr="00605FB0" w:rsidRDefault="00A12159" w:rsidP="00A12159">
                  <w:pPr>
                    <w:rPr>
                      <w:sz w:val="24"/>
                      <w:szCs w:val="24"/>
                    </w:rPr>
                  </w:pPr>
                  <w:r w:rsidRPr="00605FB0">
                    <w:rPr>
                      <w:sz w:val="24"/>
                      <w:szCs w:val="24"/>
                    </w:rPr>
                    <w:t>2012.</w:t>
                  </w:r>
                </w:p>
              </w:tc>
              <w:tc>
                <w:tcPr>
                  <w:tcW w:w="1162" w:type="dxa"/>
                </w:tcPr>
                <w:p w:rsidR="00A12159" w:rsidRPr="00605FB0" w:rsidRDefault="00A12159" w:rsidP="00A12159">
                  <w:pPr>
                    <w:rPr>
                      <w:sz w:val="24"/>
                      <w:szCs w:val="24"/>
                    </w:rPr>
                  </w:pPr>
                  <w:r w:rsidRPr="00605FB0">
                    <w:rPr>
                      <w:bCs/>
                      <w:sz w:val="24"/>
                      <w:szCs w:val="24"/>
                    </w:rPr>
                    <w:t>16817,575</w:t>
                  </w:r>
                </w:p>
              </w:tc>
              <w:tc>
                <w:tcPr>
                  <w:tcW w:w="1163" w:type="dxa"/>
                </w:tcPr>
                <w:p w:rsidR="00A12159" w:rsidRPr="00605FB0" w:rsidRDefault="00A12159" w:rsidP="00A12159">
                  <w:pPr>
                    <w:rPr>
                      <w:sz w:val="24"/>
                      <w:szCs w:val="24"/>
                    </w:rPr>
                  </w:pPr>
                  <w:r w:rsidRPr="00605FB0">
                    <w:rPr>
                      <w:sz w:val="24"/>
                      <w:szCs w:val="24"/>
                    </w:rPr>
                    <w:t>4693,88</w:t>
                  </w:r>
                </w:p>
              </w:tc>
              <w:tc>
                <w:tcPr>
                  <w:tcW w:w="1101" w:type="dxa"/>
                </w:tcPr>
                <w:p w:rsidR="00A12159" w:rsidRPr="00605FB0" w:rsidRDefault="00A12159" w:rsidP="00A12159">
                  <w:pPr>
                    <w:rPr>
                      <w:sz w:val="24"/>
                      <w:szCs w:val="24"/>
                    </w:rPr>
                  </w:pPr>
                  <w:r w:rsidRPr="00605FB0">
                    <w:rPr>
                      <w:sz w:val="24"/>
                      <w:szCs w:val="24"/>
                    </w:rPr>
                    <w:t>27.9</w:t>
                  </w:r>
                </w:p>
              </w:tc>
              <w:tc>
                <w:tcPr>
                  <w:tcW w:w="1805" w:type="dxa"/>
                </w:tcPr>
                <w:p w:rsidR="00A12159" w:rsidRPr="00605FB0" w:rsidRDefault="00897D24" w:rsidP="00A12159">
                  <w:pPr>
                    <w:rPr>
                      <w:sz w:val="24"/>
                      <w:szCs w:val="24"/>
                    </w:rPr>
                  </w:pPr>
                  <w:r w:rsidRPr="00605FB0">
                    <w:rPr>
                      <w:sz w:val="24"/>
                      <w:szCs w:val="24"/>
                    </w:rPr>
                    <w:t>643 062</w:t>
                  </w:r>
                </w:p>
              </w:tc>
            </w:tr>
            <w:tr w:rsidR="00A12159" w:rsidTr="00A12159">
              <w:tc>
                <w:tcPr>
                  <w:tcW w:w="1028" w:type="dxa"/>
                </w:tcPr>
                <w:p w:rsidR="00A12159" w:rsidRPr="00605FB0" w:rsidRDefault="00A12159" w:rsidP="00A12159">
                  <w:pPr>
                    <w:rPr>
                      <w:sz w:val="24"/>
                      <w:szCs w:val="24"/>
                    </w:rPr>
                  </w:pPr>
                  <w:r w:rsidRPr="00605FB0">
                    <w:rPr>
                      <w:sz w:val="24"/>
                      <w:szCs w:val="24"/>
                    </w:rPr>
                    <w:t>2013.</w:t>
                  </w:r>
                </w:p>
              </w:tc>
              <w:tc>
                <w:tcPr>
                  <w:tcW w:w="1162" w:type="dxa"/>
                </w:tcPr>
                <w:p w:rsidR="00A12159" w:rsidRPr="00605FB0" w:rsidRDefault="00A12159" w:rsidP="00A12159">
                  <w:pPr>
                    <w:rPr>
                      <w:sz w:val="24"/>
                      <w:szCs w:val="24"/>
                    </w:rPr>
                  </w:pPr>
                  <w:r w:rsidRPr="00605FB0">
                    <w:rPr>
                      <w:bCs/>
                      <w:sz w:val="24"/>
                      <w:szCs w:val="24"/>
                    </w:rPr>
                    <w:t>15787,556</w:t>
                  </w:r>
                </w:p>
              </w:tc>
              <w:tc>
                <w:tcPr>
                  <w:tcW w:w="1163" w:type="dxa"/>
                </w:tcPr>
                <w:p w:rsidR="00A12159" w:rsidRPr="00605FB0" w:rsidRDefault="00A12159" w:rsidP="00A12159">
                  <w:pPr>
                    <w:rPr>
                      <w:sz w:val="24"/>
                      <w:szCs w:val="24"/>
                    </w:rPr>
                  </w:pPr>
                  <w:r w:rsidRPr="00605FB0">
                    <w:rPr>
                      <w:sz w:val="24"/>
                      <w:szCs w:val="24"/>
                    </w:rPr>
                    <w:t xml:space="preserve">4053,38 </w:t>
                  </w:r>
                </w:p>
              </w:tc>
              <w:tc>
                <w:tcPr>
                  <w:tcW w:w="1101" w:type="dxa"/>
                </w:tcPr>
                <w:p w:rsidR="00A12159" w:rsidRPr="00605FB0" w:rsidRDefault="00A12159" w:rsidP="00A12159">
                  <w:pPr>
                    <w:rPr>
                      <w:sz w:val="24"/>
                      <w:szCs w:val="24"/>
                    </w:rPr>
                  </w:pPr>
                  <w:r w:rsidRPr="00605FB0">
                    <w:rPr>
                      <w:sz w:val="24"/>
                      <w:szCs w:val="24"/>
                    </w:rPr>
                    <w:t>25,7</w:t>
                  </w:r>
                </w:p>
              </w:tc>
              <w:tc>
                <w:tcPr>
                  <w:tcW w:w="1805" w:type="dxa"/>
                </w:tcPr>
                <w:p w:rsidR="00A12159" w:rsidRPr="00605FB0" w:rsidRDefault="00897D24" w:rsidP="00A12159">
                  <w:pPr>
                    <w:rPr>
                      <w:sz w:val="24"/>
                      <w:szCs w:val="24"/>
                    </w:rPr>
                  </w:pPr>
                  <w:r w:rsidRPr="00605FB0">
                    <w:rPr>
                      <w:sz w:val="24"/>
                      <w:szCs w:val="24"/>
                    </w:rPr>
                    <w:t>630 931</w:t>
                  </w:r>
                </w:p>
              </w:tc>
            </w:tr>
          </w:tbl>
          <w:p w:rsidR="002B38C1" w:rsidRDefault="002B38C1"/>
          <w:p w:rsidR="002B38C1" w:rsidRDefault="00A12159">
            <w:pPr>
              <w:jc w:val="both"/>
            </w:pPr>
            <w:r>
              <w:t>Lai varētu prognozēt tirgū laisto EEI apjomu, aprēķinu nolūkos pieņem, ka tirgū laistais EEI apjoms katru g</w:t>
            </w:r>
            <w:r w:rsidR="00EA6CBA">
              <w:t>adu palielināsies atbilstoši iekšzemes</w:t>
            </w:r>
            <w:r>
              <w:t xml:space="preserve"> pieaugumam. Atbilstoši ziņojumam “Latvijas stabilitātes programma 2014.</w:t>
            </w:r>
            <w:r w:rsidR="00EA6CBA">
              <w:t xml:space="preserve">-2017.gadam” var pieņemt, ka iekšzemes kopprodukta </w:t>
            </w:r>
            <w:r>
              <w:t xml:space="preserve"> pieaugums 2014., 2015., 2016.un 2017.gadā būs 4%.  VARAM un tās pakļautībā esošo iestāžu rīcībā nav informācijas par elektrisko un elektronisko iekārtu atkritumu savākšanas un reģenerācijas aktuālajām izmaksām, tā kā šāda informācija atkritumu apsaimniekošanas komersantiem netiek pieprasīta. </w:t>
            </w:r>
            <w:r w:rsidR="00125DE1">
              <w:t>Tāpēc vidējās EEIA atkritumu apsaimniekošanas izmaksas tika aprēķinātas, izmantojot publiski pieejamo videi kaitīgo preču atkritumu apsaimniekotāju SIA „Zaļā Josta”(</w:t>
            </w:r>
          </w:p>
          <w:p w:rsidR="002B38C1" w:rsidRDefault="00CD1ED6">
            <w:pPr>
              <w:jc w:val="both"/>
            </w:pPr>
            <w:hyperlink r:id="rId8" w:history="1">
              <w:r w:rsidR="002B38C1" w:rsidRPr="00ED3422">
                <w:rPr>
                  <w:rStyle w:val="Hyperlink"/>
                </w:rPr>
                <w:t>http://www.zalajosta.lv/lat/elektrisko_un_elektronisko_iekartu_apsaimniekosana/ka_klut_par_ligumpartneri_/</w:t>
              </w:r>
            </w:hyperlink>
            <w:r w:rsidR="00125DE1">
              <w:t>) un A/S „Latvijas Zaļais punkts”</w:t>
            </w:r>
          </w:p>
          <w:p w:rsidR="002B38C1" w:rsidRDefault="00125DE1">
            <w:pPr>
              <w:jc w:val="both"/>
            </w:pPr>
            <w:r>
              <w:t>(</w:t>
            </w:r>
            <w:hyperlink r:id="rId9" w:history="1">
              <w:r w:rsidR="002B38C1" w:rsidRPr="00ED3422">
                <w:rPr>
                  <w:rStyle w:val="Hyperlink"/>
                </w:rPr>
                <w:t>http://www.zalais.lv/files/eei_tarifi_1_pielikums_eur.pdf</w:t>
              </w:r>
            </w:hyperlink>
            <w:r>
              <w:t>) mājas lapās sniegto informāciju. Veicot aprēķinus, tika noskaidrots, ka 1 kilograma EEIA apsaimniekošanas izmaksas ir 0,137 eiro (bez PVN). Nav sagaidāms, ka palielināsies EEIA apsaimniekošanas izmaksas, tomēr noteikumu projekta ieviešanas rezultātā ievērojami palielināsies apsaimniekoto EEIA apjoms.</w:t>
            </w:r>
          </w:p>
          <w:p w:rsidR="00A12159" w:rsidRDefault="00A12159" w:rsidP="00A12159"/>
          <w:p w:rsidR="002B38C1" w:rsidRPr="00605FB0" w:rsidRDefault="00A12159">
            <w:r>
              <w:t>Prognoze par tirgū laisto EEI apjomu pieaugumu un savācamajiem EEIA apjomiem</w:t>
            </w:r>
          </w:p>
          <w:tbl>
            <w:tblPr>
              <w:tblStyle w:val="TableGrid"/>
              <w:tblW w:w="0" w:type="auto"/>
              <w:tblLook w:val="04A0"/>
            </w:tblPr>
            <w:tblGrid>
              <w:gridCol w:w="946"/>
              <w:gridCol w:w="1406"/>
              <w:gridCol w:w="2081"/>
              <w:gridCol w:w="1110"/>
              <w:gridCol w:w="1949"/>
            </w:tblGrid>
            <w:tr w:rsidR="00A12159" w:rsidRPr="00605FB0" w:rsidTr="008B0A83">
              <w:tc>
                <w:tcPr>
                  <w:tcW w:w="964" w:type="dxa"/>
                </w:tcPr>
                <w:p w:rsidR="00A12159" w:rsidRPr="00605FB0" w:rsidRDefault="00A12159" w:rsidP="00A12159">
                  <w:pPr>
                    <w:rPr>
                      <w:sz w:val="24"/>
                      <w:szCs w:val="24"/>
                    </w:rPr>
                  </w:pPr>
                  <w:r w:rsidRPr="00605FB0">
                    <w:rPr>
                      <w:sz w:val="24"/>
                      <w:szCs w:val="24"/>
                    </w:rPr>
                    <w:t>Gads</w:t>
                  </w:r>
                </w:p>
              </w:tc>
              <w:tc>
                <w:tcPr>
                  <w:tcW w:w="1431" w:type="dxa"/>
                </w:tcPr>
                <w:p w:rsidR="00A12159" w:rsidRPr="00605FB0" w:rsidRDefault="00A12159" w:rsidP="00A12159">
                  <w:pPr>
                    <w:rPr>
                      <w:sz w:val="24"/>
                      <w:szCs w:val="24"/>
                    </w:rPr>
                  </w:pPr>
                  <w:r w:rsidRPr="00605FB0">
                    <w:rPr>
                      <w:sz w:val="24"/>
                      <w:szCs w:val="24"/>
                    </w:rPr>
                    <w:t>Tirgū laistais EEI apjoms (tonnas)</w:t>
                  </w:r>
                </w:p>
              </w:tc>
              <w:tc>
                <w:tcPr>
                  <w:tcW w:w="1816" w:type="dxa"/>
                </w:tcPr>
                <w:p w:rsidR="00A12159" w:rsidRPr="00605FB0" w:rsidRDefault="00A12159" w:rsidP="00A12159">
                  <w:pPr>
                    <w:rPr>
                      <w:sz w:val="24"/>
                      <w:szCs w:val="24"/>
                    </w:rPr>
                  </w:pPr>
                  <w:r w:rsidRPr="00605FB0">
                    <w:rPr>
                      <w:sz w:val="24"/>
                      <w:szCs w:val="24"/>
                    </w:rPr>
                    <w:t>Iepriekšējos 3 gados tirgū laisto EEI vidējais svars (tonnas)</w:t>
                  </w:r>
                </w:p>
              </w:tc>
              <w:tc>
                <w:tcPr>
                  <w:tcW w:w="1115" w:type="dxa"/>
                </w:tcPr>
                <w:p w:rsidR="00A12159" w:rsidRPr="00605FB0" w:rsidRDefault="00A12159" w:rsidP="00A12159">
                  <w:pPr>
                    <w:rPr>
                      <w:sz w:val="24"/>
                      <w:szCs w:val="24"/>
                    </w:rPr>
                  </w:pPr>
                  <w:r w:rsidRPr="00605FB0">
                    <w:rPr>
                      <w:sz w:val="24"/>
                      <w:szCs w:val="24"/>
                    </w:rPr>
                    <w:t>Savāktie EEIA apjomi (tonnas)</w:t>
                  </w:r>
                </w:p>
              </w:tc>
              <w:tc>
                <w:tcPr>
                  <w:tcW w:w="1949" w:type="dxa"/>
                </w:tcPr>
                <w:p w:rsidR="00A12159" w:rsidRPr="00605FB0" w:rsidRDefault="00A12159" w:rsidP="00A12159">
                  <w:pPr>
                    <w:rPr>
                      <w:sz w:val="24"/>
                      <w:szCs w:val="24"/>
                    </w:rPr>
                  </w:pPr>
                  <w:r w:rsidRPr="00605FB0">
                    <w:rPr>
                      <w:sz w:val="24"/>
                      <w:szCs w:val="24"/>
                    </w:rPr>
                    <w:t>EEIA apsaimniekošanas izmaksas (</w:t>
                  </w:r>
                  <w:proofErr w:type="spellStart"/>
                  <w:r w:rsidRPr="00605FB0">
                    <w:rPr>
                      <w:sz w:val="24"/>
                      <w:szCs w:val="24"/>
                    </w:rPr>
                    <w:t>euro</w:t>
                  </w:r>
                  <w:proofErr w:type="spellEnd"/>
                  <w:r w:rsidRPr="00605FB0">
                    <w:rPr>
                      <w:sz w:val="24"/>
                      <w:szCs w:val="24"/>
                    </w:rPr>
                    <w:t>)</w:t>
                  </w:r>
                  <w:r w:rsidR="00605FB0">
                    <w:rPr>
                      <w:sz w:val="24"/>
                      <w:szCs w:val="24"/>
                    </w:rPr>
                    <w:t>, bez PVN</w:t>
                  </w:r>
                </w:p>
              </w:tc>
            </w:tr>
            <w:tr w:rsidR="00A12159" w:rsidRPr="00605FB0" w:rsidTr="008B0A83">
              <w:tc>
                <w:tcPr>
                  <w:tcW w:w="964" w:type="dxa"/>
                </w:tcPr>
                <w:p w:rsidR="00A12159" w:rsidRPr="008B0A83" w:rsidRDefault="00A12159" w:rsidP="00A12159">
                  <w:pPr>
                    <w:rPr>
                      <w:sz w:val="20"/>
                      <w:szCs w:val="20"/>
                    </w:rPr>
                  </w:pPr>
                  <w:r w:rsidRPr="008B0A83">
                    <w:rPr>
                      <w:sz w:val="20"/>
                      <w:szCs w:val="20"/>
                    </w:rPr>
                    <w:t>2013.</w:t>
                  </w:r>
                </w:p>
              </w:tc>
              <w:tc>
                <w:tcPr>
                  <w:tcW w:w="1431" w:type="dxa"/>
                </w:tcPr>
                <w:p w:rsidR="00A12159" w:rsidRPr="008B0A83" w:rsidRDefault="00A12159" w:rsidP="00A12159">
                  <w:pPr>
                    <w:rPr>
                      <w:sz w:val="20"/>
                      <w:szCs w:val="20"/>
                    </w:rPr>
                  </w:pPr>
                  <w:r w:rsidRPr="008B0A83">
                    <w:rPr>
                      <w:bCs/>
                      <w:sz w:val="20"/>
                      <w:szCs w:val="20"/>
                    </w:rPr>
                    <w:t>15787,556</w:t>
                  </w:r>
                </w:p>
              </w:tc>
              <w:tc>
                <w:tcPr>
                  <w:tcW w:w="1816" w:type="dxa"/>
                </w:tcPr>
                <w:p w:rsidR="00A12159" w:rsidRPr="008B0A83" w:rsidRDefault="00A12159" w:rsidP="00A12159">
                  <w:pPr>
                    <w:rPr>
                      <w:sz w:val="20"/>
                      <w:szCs w:val="20"/>
                    </w:rPr>
                  </w:pPr>
                </w:p>
              </w:tc>
              <w:tc>
                <w:tcPr>
                  <w:tcW w:w="1115" w:type="dxa"/>
                </w:tcPr>
                <w:p w:rsidR="00A12159" w:rsidRPr="008B0A83" w:rsidRDefault="00A12159" w:rsidP="00A12159">
                  <w:pPr>
                    <w:rPr>
                      <w:sz w:val="20"/>
                      <w:szCs w:val="20"/>
                    </w:rPr>
                  </w:pPr>
                  <w:r w:rsidRPr="008B0A83">
                    <w:rPr>
                      <w:sz w:val="20"/>
                      <w:szCs w:val="20"/>
                    </w:rPr>
                    <w:t>4053,38</w:t>
                  </w:r>
                </w:p>
              </w:tc>
              <w:tc>
                <w:tcPr>
                  <w:tcW w:w="1949" w:type="dxa"/>
                </w:tcPr>
                <w:p w:rsidR="00A12159" w:rsidRPr="008B0A83" w:rsidRDefault="00897D24" w:rsidP="00A12159">
                  <w:pPr>
                    <w:rPr>
                      <w:sz w:val="20"/>
                      <w:szCs w:val="20"/>
                    </w:rPr>
                  </w:pPr>
                  <w:r w:rsidRPr="008B0A83">
                    <w:rPr>
                      <w:sz w:val="20"/>
                      <w:szCs w:val="20"/>
                    </w:rPr>
                    <w:t>630 931</w:t>
                  </w:r>
                </w:p>
              </w:tc>
            </w:tr>
            <w:tr w:rsidR="00A12159" w:rsidRPr="00605FB0" w:rsidTr="008B0A83">
              <w:tc>
                <w:tcPr>
                  <w:tcW w:w="964" w:type="dxa"/>
                </w:tcPr>
                <w:p w:rsidR="00A12159" w:rsidRPr="008B0A83" w:rsidRDefault="00A12159" w:rsidP="00A12159">
                  <w:pPr>
                    <w:rPr>
                      <w:sz w:val="20"/>
                      <w:szCs w:val="20"/>
                    </w:rPr>
                  </w:pPr>
                  <w:r w:rsidRPr="008B0A83">
                    <w:rPr>
                      <w:sz w:val="20"/>
                      <w:szCs w:val="20"/>
                    </w:rPr>
                    <w:t>2014.*</w:t>
                  </w:r>
                </w:p>
              </w:tc>
              <w:tc>
                <w:tcPr>
                  <w:tcW w:w="1431" w:type="dxa"/>
                </w:tcPr>
                <w:p w:rsidR="00A12159" w:rsidRPr="008B0A83" w:rsidRDefault="00A12159" w:rsidP="00A12159">
                  <w:pPr>
                    <w:rPr>
                      <w:sz w:val="20"/>
                      <w:szCs w:val="20"/>
                    </w:rPr>
                  </w:pPr>
                  <w:r w:rsidRPr="008B0A83">
                    <w:rPr>
                      <w:sz w:val="20"/>
                      <w:szCs w:val="20"/>
                    </w:rPr>
                    <w:t>15850,716 *</w:t>
                  </w:r>
                </w:p>
              </w:tc>
              <w:tc>
                <w:tcPr>
                  <w:tcW w:w="1816" w:type="dxa"/>
                </w:tcPr>
                <w:p w:rsidR="00A12159" w:rsidRPr="008B0A83" w:rsidRDefault="00A12159" w:rsidP="00A12159">
                  <w:pPr>
                    <w:rPr>
                      <w:sz w:val="20"/>
                      <w:szCs w:val="20"/>
                    </w:rPr>
                  </w:pPr>
                </w:p>
              </w:tc>
              <w:tc>
                <w:tcPr>
                  <w:tcW w:w="1115" w:type="dxa"/>
                </w:tcPr>
                <w:p w:rsidR="00A12159" w:rsidRPr="008B0A83" w:rsidRDefault="00A12159" w:rsidP="00A12159">
                  <w:pPr>
                    <w:rPr>
                      <w:sz w:val="20"/>
                      <w:szCs w:val="20"/>
                    </w:rPr>
                  </w:pPr>
                  <w:r w:rsidRPr="008B0A83">
                    <w:rPr>
                      <w:sz w:val="20"/>
                      <w:szCs w:val="20"/>
                    </w:rPr>
                    <w:t>3962,679*</w:t>
                  </w:r>
                </w:p>
              </w:tc>
              <w:tc>
                <w:tcPr>
                  <w:tcW w:w="1949" w:type="dxa"/>
                </w:tcPr>
                <w:p w:rsidR="00A12159" w:rsidRPr="008B0A83" w:rsidRDefault="00897D24" w:rsidP="00A12159">
                  <w:pPr>
                    <w:rPr>
                      <w:sz w:val="20"/>
                      <w:szCs w:val="20"/>
                    </w:rPr>
                  </w:pPr>
                  <w:r w:rsidRPr="008B0A83">
                    <w:rPr>
                      <w:sz w:val="20"/>
                      <w:szCs w:val="20"/>
                    </w:rPr>
                    <w:t>542 887*</w:t>
                  </w:r>
                </w:p>
              </w:tc>
            </w:tr>
            <w:tr w:rsidR="00A12159" w:rsidRPr="00605FB0" w:rsidTr="008B0A83">
              <w:tc>
                <w:tcPr>
                  <w:tcW w:w="964" w:type="dxa"/>
                </w:tcPr>
                <w:p w:rsidR="00A12159" w:rsidRPr="008B0A83" w:rsidRDefault="00A12159" w:rsidP="00A12159">
                  <w:pPr>
                    <w:rPr>
                      <w:sz w:val="20"/>
                      <w:szCs w:val="20"/>
                    </w:rPr>
                  </w:pPr>
                  <w:r w:rsidRPr="008B0A83">
                    <w:rPr>
                      <w:sz w:val="20"/>
                      <w:szCs w:val="20"/>
                    </w:rPr>
                    <w:t>2015.*</w:t>
                  </w:r>
                </w:p>
              </w:tc>
              <w:tc>
                <w:tcPr>
                  <w:tcW w:w="1431" w:type="dxa"/>
                </w:tcPr>
                <w:p w:rsidR="00A12159" w:rsidRPr="008B0A83" w:rsidRDefault="00A12159" w:rsidP="00A12159">
                  <w:pPr>
                    <w:rPr>
                      <w:sz w:val="20"/>
                      <w:szCs w:val="20"/>
                    </w:rPr>
                  </w:pPr>
                  <w:r w:rsidRPr="008B0A83">
                    <w:rPr>
                      <w:sz w:val="20"/>
                      <w:szCs w:val="20"/>
                    </w:rPr>
                    <w:t>16484,744*</w:t>
                  </w:r>
                </w:p>
              </w:tc>
              <w:tc>
                <w:tcPr>
                  <w:tcW w:w="1816" w:type="dxa"/>
                </w:tcPr>
                <w:p w:rsidR="00A12159" w:rsidRPr="008B0A83" w:rsidRDefault="00A12159" w:rsidP="00A12159">
                  <w:pPr>
                    <w:rPr>
                      <w:sz w:val="20"/>
                      <w:szCs w:val="20"/>
                    </w:rPr>
                  </w:pPr>
                </w:p>
              </w:tc>
              <w:tc>
                <w:tcPr>
                  <w:tcW w:w="1115" w:type="dxa"/>
                </w:tcPr>
                <w:p w:rsidR="00A12159" w:rsidRPr="008B0A83" w:rsidRDefault="00A12159" w:rsidP="00A12159">
                  <w:pPr>
                    <w:rPr>
                      <w:sz w:val="20"/>
                      <w:szCs w:val="20"/>
                    </w:rPr>
                  </w:pPr>
                  <w:r w:rsidRPr="008B0A83">
                    <w:rPr>
                      <w:sz w:val="20"/>
                      <w:szCs w:val="20"/>
                    </w:rPr>
                    <w:t>4121,186*</w:t>
                  </w:r>
                </w:p>
              </w:tc>
              <w:tc>
                <w:tcPr>
                  <w:tcW w:w="1949" w:type="dxa"/>
                </w:tcPr>
                <w:p w:rsidR="00A12159" w:rsidRPr="008B0A83" w:rsidRDefault="00897D24" w:rsidP="00A12159">
                  <w:pPr>
                    <w:rPr>
                      <w:sz w:val="20"/>
                      <w:szCs w:val="20"/>
                    </w:rPr>
                  </w:pPr>
                  <w:r w:rsidRPr="008B0A83">
                    <w:rPr>
                      <w:sz w:val="20"/>
                      <w:szCs w:val="20"/>
                    </w:rPr>
                    <w:t>546 602*</w:t>
                  </w:r>
                </w:p>
              </w:tc>
            </w:tr>
            <w:tr w:rsidR="00A12159" w:rsidRPr="00605FB0" w:rsidTr="008B0A83">
              <w:tc>
                <w:tcPr>
                  <w:tcW w:w="964" w:type="dxa"/>
                </w:tcPr>
                <w:p w:rsidR="00A12159" w:rsidRPr="008B0A83" w:rsidRDefault="00A12159" w:rsidP="00A12159">
                  <w:pPr>
                    <w:rPr>
                      <w:sz w:val="20"/>
                      <w:szCs w:val="20"/>
                    </w:rPr>
                  </w:pPr>
                  <w:r w:rsidRPr="008B0A83">
                    <w:rPr>
                      <w:sz w:val="20"/>
                      <w:szCs w:val="20"/>
                    </w:rPr>
                    <w:t>2016.*</w:t>
                  </w:r>
                </w:p>
              </w:tc>
              <w:tc>
                <w:tcPr>
                  <w:tcW w:w="1431" w:type="dxa"/>
                </w:tcPr>
                <w:p w:rsidR="00A12159" w:rsidRPr="008B0A83" w:rsidRDefault="00A12159" w:rsidP="00A12159">
                  <w:pPr>
                    <w:rPr>
                      <w:sz w:val="20"/>
                      <w:szCs w:val="20"/>
                    </w:rPr>
                  </w:pPr>
                  <w:r w:rsidRPr="008B0A83">
                    <w:rPr>
                      <w:sz w:val="20"/>
                      <w:szCs w:val="20"/>
                    </w:rPr>
                    <w:t>17 144,13*</w:t>
                  </w:r>
                </w:p>
              </w:tc>
              <w:tc>
                <w:tcPr>
                  <w:tcW w:w="1816" w:type="dxa"/>
                </w:tcPr>
                <w:p w:rsidR="00A12159" w:rsidRPr="008B0A83" w:rsidRDefault="00A12159" w:rsidP="00A12159">
                  <w:pPr>
                    <w:rPr>
                      <w:sz w:val="20"/>
                      <w:szCs w:val="20"/>
                    </w:rPr>
                  </w:pPr>
                  <w:r w:rsidRPr="008B0A83">
                    <w:rPr>
                      <w:sz w:val="20"/>
                      <w:szCs w:val="20"/>
                    </w:rPr>
                    <w:t>16041*</w:t>
                  </w:r>
                </w:p>
                <w:p w:rsidR="00A12159" w:rsidRPr="008B0A83" w:rsidRDefault="00A12159" w:rsidP="00A12159">
                  <w:pPr>
                    <w:rPr>
                      <w:sz w:val="20"/>
                      <w:szCs w:val="20"/>
                    </w:rPr>
                  </w:pPr>
                  <w:r w:rsidRPr="008B0A83">
                    <w:rPr>
                      <w:sz w:val="20"/>
                      <w:szCs w:val="20"/>
                    </w:rPr>
                    <w:t>(2013.+2014.+2015./3)</w:t>
                  </w:r>
                </w:p>
              </w:tc>
              <w:tc>
                <w:tcPr>
                  <w:tcW w:w="1115" w:type="dxa"/>
                </w:tcPr>
                <w:p w:rsidR="00A12159" w:rsidRPr="008B0A83" w:rsidRDefault="00A12159" w:rsidP="00A12159">
                  <w:pPr>
                    <w:rPr>
                      <w:sz w:val="20"/>
                      <w:szCs w:val="20"/>
                    </w:rPr>
                  </w:pPr>
                  <w:r w:rsidRPr="008B0A83">
                    <w:rPr>
                      <w:sz w:val="20"/>
                      <w:szCs w:val="20"/>
                    </w:rPr>
                    <w:t>6496,61*</w:t>
                  </w:r>
                </w:p>
              </w:tc>
              <w:tc>
                <w:tcPr>
                  <w:tcW w:w="1949" w:type="dxa"/>
                </w:tcPr>
                <w:p w:rsidR="00A12159" w:rsidRPr="008B0A83" w:rsidRDefault="00897D24" w:rsidP="00A12159">
                  <w:pPr>
                    <w:rPr>
                      <w:sz w:val="20"/>
                      <w:szCs w:val="20"/>
                    </w:rPr>
                  </w:pPr>
                  <w:r w:rsidRPr="008B0A83">
                    <w:rPr>
                      <w:sz w:val="20"/>
                      <w:szCs w:val="20"/>
                    </w:rPr>
                    <w:t>890 036*</w:t>
                  </w:r>
                </w:p>
              </w:tc>
            </w:tr>
          </w:tbl>
          <w:p w:rsidR="002B38C1" w:rsidRDefault="00A12159">
            <w:r>
              <w:t xml:space="preserve"> Piezīme: * - prognoze</w:t>
            </w:r>
          </w:p>
          <w:p w:rsidR="00BC4698" w:rsidRPr="00DB4477" w:rsidRDefault="00C44237" w:rsidP="00973014">
            <w:pPr>
              <w:jc w:val="both"/>
            </w:pPr>
            <w:r>
              <w:lastRenderedPageBreak/>
              <w:t xml:space="preserve">Noteikumu projekta tiesiskais regulējums nemaina sabiedrības grupu un institūciju tiesības un pienākumus. </w:t>
            </w:r>
            <w:r w:rsidR="00BC4698">
              <w:t>Vienlaikus noteikumu projektā ir noteiktas prasības EEIA savākš</w:t>
            </w:r>
            <w:r w:rsidR="00973014">
              <w:t>anas mērķiem, kuri ir jāsasniedz līdz 2016.gada 1.janvārim, no 2016.gada 1.janvāra līdz 2021.gada 14.augustam un no 2021.gada 15.augusta.</w:t>
            </w:r>
          </w:p>
        </w:tc>
      </w:tr>
      <w:tr w:rsidR="00C44237" w:rsidRPr="00CC4F9A" w:rsidTr="004E4BE0">
        <w:tc>
          <w:tcPr>
            <w:tcW w:w="648" w:type="dxa"/>
          </w:tcPr>
          <w:p w:rsidR="00C44237" w:rsidRPr="002B44D8" w:rsidRDefault="00C44237" w:rsidP="00973014">
            <w:pPr>
              <w:jc w:val="center"/>
            </w:pPr>
            <w:r>
              <w:lastRenderedPageBreak/>
              <w:t>3</w:t>
            </w:r>
            <w:r w:rsidRPr="002B44D8">
              <w:t>.</w:t>
            </w:r>
          </w:p>
        </w:tc>
        <w:tc>
          <w:tcPr>
            <w:tcW w:w="2154" w:type="dxa"/>
          </w:tcPr>
          <w:p w:rsidR="00C44237" w:rsidRPr="002B44D8" w:rsidRDefault="00C44237" w:rsidP="00973014">
            <w:r>
              <w:t>Administratīvo izmaksu monetārs novērtējums</w:t>
            </w:r>
          </w:p>
        </w:tc>
        <w:tc>
          <w:tcPr>
            <w:tcW w:w="6485" w:type="dxa"/>
          </w:tcPr>
          <w:p w:rsidR="00C44237" w:rsidRPr="00DB4477" w:rsidRDefault="00597310" w:rsidP="00597310">
            <w:pPr>
              <w:jc w:val="both"/>
            </w:pPr>
            <w:r>
              <w:t>Noteikumu p</w:t>
            </w:r>
            <w:r w:rsidR="00C44237">
              <w:t>rojekts šo jomu neskar</w:t>
            </w:r>
            <w:r w:rsidR="00A813F6">
              <w:t>, tā kā netiek ieviestas jaunas administratīvās procedūras.</w:t>
            </w:r>
          </w:p>
        </w:tc>
      </w:tr>
      <w:tr w:rsidR="00C44237" w:rsidRPr="00FB41DC" w:rsidTr="004E4BE0">
        <w:tc>
          <w:tcPr>
            <w:tcW w:w="648" w:type="dxa"/>
          </w:tcPr>
          <w:p w:rsidR="00C44237" w:rsidRPr="00FB41DC" w:rsidRDefault="00C44237" w:rsidP="00973014">
            <w:pPr>
              <w:jc w:val="center"/>
            </w:pPr>
            <w:r>
              <w:t>4</w:t>
            </w:r>
            <w:r w:rsidRPr="00FB41DC">
              <w:t>.</w:t>
            </w:r>
          </w:p>
        </w:tc>
        <w:tc>
          <w:tcPr>
            <w:tcW w:w="2154" w:type="dxa"/>
          </w:tcPr>
          <w:p w:rsidR="00C44237" w:rsidRPr="00FB41DC" w:rsidRDefault="00C44237" w:rsidP="00973014">
            <w:r w:rsidRPr="00FB41DC">
              <w:t>Cita informācija</w:t>
            </w:r>
          </w:p>
        </w:tc>
        <w:tc>
          <w:tcPr>
            <w:tcW w:w="6485" w:type="dxa"/>
          </w:tcPr>
          <w:p w:rsidR="00C44237" w:rsidRPr="00FB41DC" w:rsidRDefault="00C44237" w:rsidP="00973014">
            <w:pPr>
              <w:jc w:val="both"/>
            </w:pPr>
            <w:r>
              <w:t>Nav.</w:t>
            </w:r>
          </w:p>
        </w:tc>
      </w:tr>
    </w:tbl>
    <w:p w:rsidR="00C44237" w:rsidRDefault="00C44237" w:rsidP="00C44237"/>
    <w:p w:rsidR="00C44237" w:rsidRPr="00FB41DC" w:rsidRDefault="00C44237" w:rsidP="00C44237"/>
    <w:tbl>
      <w:tblPr>
        <w:tblW w:w="9396"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296"/>
        <w:gridCol w:w="6577"/>
      </w:tblGrid>
      <w:tr w:rsidR="00C44237" w:rsidRPr="00FB41DC" w:rsidTr="00973014">
        <w:trPr>
          <w:jc w:val="center"/>
        </w:trPr>
        <w:tc>
          <w:tcPr>
            <w:tcW w:w="9396" w:type="dxa"/>
            <w:gridSpan w:val="3"/>
          </w:tcPr>
          <w:p w:rsidR="00C44237" w:rsidRPr="00FB41DC" w:rsidRDefault="00C44237" w:rsidP="00973014">
            <w:pPr>
              <w:pStyle w:val="naisnod"/>
              <w:spacing w:before="0" w:after="0"/>
            </w:pPr>
            <w:r w:rsidRPr="00FB41DC">
              <w:t>V. Tiesību akta projekta atbilstība Latvijas Republikas starptautiskajām saistībām</w:t>
            </w:r>
          </w:p>
        </w:tc>
      </w:tr>
      <w:tr w:rsidR="00C44237" w:rsidRPr="0062273E" w:rsidTr="00973014">
        <w:trPr>
          <w:jc w:val="center"/>
        </w:trPr>
        <w:tc>
          <w:tcPr>
            <w:tcW w:w="523" w:type="dxa"/>
          </w:tcPr>
          <w:p w:rsidR="00C44237" w:rsidRPr="0062273E" w:rsidRDefault="00C44237" w:rsidP="00973014">
            <w:pPr>
              <w:pStyle w:val="naiskr"/>
              <w:tabs>
                <w:tab w:val="left" w:pos="2628"/>
              </w:tabs>
              <w:spacing w:before="0" w:after="0"/>
              <w:jc w:val="both"/>
            </w:pPr>
            <w:r w:rsidRPr="0062273E">
              <w:t>1.</w:t>
            </w:r>
          </w:p>
        </w:tc>
        <w:tc>
          <w:tcPr>
            <w:tcW w:w="2296" w:type="dxa"/>
          </w:tcPr>
          <w:p w:rsidR="00C44237" w:rsidRPr="0062273E" w:rsidRDefault="00C44237" w:rsidP="00973014">
            <w:pPr>
              <w:pStyle w:val="naiskr"/>
              <w:tabs>
                <w:tab w:val="left" w:pos="2628"/>
              </w:tabs>
              <w:spacing w:before="0" w:after="0"/>
              <w:jc w:val="both"/>
            </w:pPr>
            <w:r w:rsidRPr="0062273E">
              <w:t>Saistības pret Eiropas Savienību</w:t>
            </w:r>
          </w:p>
        </w:tc>
        <w:tc>
          <w:tcPr>
            <w:tcW w:w="6577" w:type="dxa"/>
          </w:tcPr>
          <w:p w:rsidR="00C44237" w:rsidRDefault="00C44237" w:rsidP="00973014">
            <w:pPr>
              <w:pStyle w:val="naisc"/>
              <w:spacing w:before="0" w:after="0"/>
              <w:jc w:val="both"/>
              <w:rPr>
                <w:rStyle w:val="Emphasis"/>
              </w:rPr>
            </w:pPr>
            <w:r>
              <w:rPr>
                <w:bCs/>
              </w:rPr>
              <w:t xml:space="preserve"> D</w:t>
            </w:r>
            <w:r w:rsidRPr="00FB1366">
              <w:rPr>
                <w:bCs/>
              </w:rPr>
              <w:t>irekt</w:t>
            </w:r>
            <w:r>
              <w:rPr>
                <w:bCs/>
              </w:rPr>
              <w:t>īva 2012/19/ES</w:t>
            </w:r>
            <w:r w:rsidRPr="00FB1366">
              <w:rPr>
                <w:bCs/>
              </w:rPr>
              <w:t xml:space="preserve"> </w:t>
            </w:r>
            <w:r w:rsidRPr="00E844FF">
              <w:rPr>
                <w:rStyle w:val="Strong"/>
                <w:b w:val="0"/>
              </w:rPr>
              <w:t>(</w:t>
            </w:r>
            <w:r>
              <w:rPr>
                <w:rStyle w:val="Emphasis"/>
              </w:rPr>
              <w:t>OV L 197, 24.7.2012., 38</w:t>
            </w:r>
            <w:r w:rsidRPr="0062273E">
              <w:rPr>
                <w:rStyle w:val="Emphasis"/>
              </w:rPr>
              <w:t>. lpp.</w:t>
            </w:r>
            <w:r w:rsidRPr="0062273E">
              <w:rPr>
                <w:rStyle w:val="Emphasis"/>
                <w:i w:val="0"/>
              </w:rPr>
              <w:t>)</w:t>
            </w:r>
            <w:r w:rsidRPr="00E844FF">
              <w:rPr>
                <w:rStyle w:val="Emphasis"/>
                <w:i w:val="0"/>
              </w:rPr>
              <w:t>;</w:t>
            </w:r>
          </w:p>
          <w:p w:rsidR="00C44237" w:rsidRPr="00BA241B" w:rsidRDefault="00C44237" w:rsidP="00973014">
            <w:pPr>
              <w:pStyle w:val="naisc"/>
              <w:spacing w:before="0" w:after="0"/>
              <w:jc w:val="both"/>
              <w:rPr>
                <w:i/>
                <w:iCs/>
              </w:rPr>
            </w:pPr>
          </w:p>
        </w:tc>
      </w:tr>
      <w:tr w:rsidR="00C44237" w:rsidRPr="00FB41DC" w:rsidTr="00973014">
        <w:trPr>
          <w:jc w:val="center"/>
        </w:trPr>
        <w:tc>
          <w:tcPr>
            <w:tcW w:w="523" w:type="dxa"/>
          </w:tcPr>
          <w:p w:rsidR="00C44237" w:rsidRPr="00FB41DC" w:rsidRDefault="00C44237" w:rsidP="00973014">
            <w:pPr>
              <w:pStyle w:val="naiskr"/>
              <w:tabs>
                <w:tab w:val="left" w:pos="2628"/>
              </w:tabs>
              <w:spacing w:before="0" w:after="0"/>
              <w:jc w:val="both"/>
            </w:pPr>
            <w:r w:rsidRPr="00FB41DC">
              <w:t>2.</w:t>
            </w:r>
          </w:p>
        </w:tc>
        <w:tc>
          <w:tcPr>
            <w:tcW w:w="2296" w:type="dxa"/>
          </w:tcPr>
          <w:p w:rsidR="00C44237" w:rsidRPr="00FB41DC" w:rsidRDefault="00C44237" w:rsidP="00973014">
            <w:pPr>
              <w:pStyle w:val="naiskr"/>
              <w:tabs>
                <w:tab w:val="left" w:pos="2628"/>
              </w:tabs>
              <w:spacing w:before="0" w:after="0"/>
              <w:jc w:val="both"/>
            </w:pPr>
            <w:r w:rsidRPr="00FB41DC">
              <w:t>Citas starptautiskās saistības</w:t>
            </w:r>
          </w:p>
        </w:tc>
        <w:tc>
          <w:tcPr>
            <w:tcW w:w="6577" w:type="dxa"/>
          </w:tcPr>
          <w:p w:rsidR="00C44237" w:rsidRPr="00FB41DC" w:rsidRDefault="00C44237" w:rsidP="00973014">
            <w:pPr>
              <w:pStyle w:val="naiskr"/>
              <w:tabs>
                <w:tab w:val="left" w:pos="2628"/>
              </w:tabs>
              <w:spacing w:before="0" w:after="0"/>
              <w:jc w:val="both"/>
            </w:pPr>
            <w:r>
              <w:t>Projekts šo jomu neskar.</w:t>
            </w:r>
          </w:p>
        </w:tc>
      </w:tr>
      <w:tr w:rsidR="00C44237" w:rsidRPr="00FB41DC" w:rsidTr="00973014">
        <w:trPr>
          <w:jc w:val="center"/>
        </w:trPr>
        <w:tc>
          <w:tcPr>
            <w:tcW w:w="523" w:type="dxa"/>
          </w:tcPr>
          <w:p w:rsidR="00C44237" w:rsidRPr="00FB41DC" w:rsidRDefault="00C44237" w:rsidP="00973014">
            <w:pPr>
              <w:pStyle w:val="naiskr"/>
              <w:tabs>
                <w:tab w:val="left" w:pos="2628"/>
              </w:tabs>
              <w:spacing w:before="0" w:after="0"/>
              <w:jc w:val="both"/>
            </w:pPr>
            <w:r w:rsidRPr="00FB41DC">
              <w:t>3.</w:t>
            </w:r>
          </w:p>
        </w:tc>
        <w:tc>
          <w:tcPr>
            <w:tcW w:w="2296" w:type="dxa"/>
          </w:tcPr>
          <w:p w:rsidR="00C44237" w:rsidRPr="00FB41DC" w:rsidRDefault="00C44237" w:rsidP="00973014">
            <w:pPr>
              <w:pStyle w:val="naiskr"/>
              <w:tabs>
                <w:tab w:val="left" w:pos="2628"/>
              </w:tabs>
              <w:spacing w:before="0" w:after="0"/>
              <w:jc w:val="both"/>
            </w:pPr>
            <w:r w:rsidRPr="00FB41DC">
              <w:t>Cita informācija</w:t>
            </w:r>
          </w:p>
        </w:tc>
        <w:tc>
          <w:tcPr>
            <w:tcW w:w="6577" w:type="dxa"/>
          </w:tcPr>
          <w:p w:rsidR="00C44237" w:rsidRPr="00FB41DC" w:rsidRDefault="00C44237" w:rsidP="00973014">
            <w:pPr>
              <w:pStyle w:val="naiskr"/>
              <w:tabs>
                <w:tab w:val="left" w:pos="2628"/>
              </w:tabs>
              <w:spacing w:before="0" w:after="0"/>
              <w:jc w:val="both"/>
            </w:pPr>
            <w:r>
              <w:t>Nav.</w:t>
            </w:r>
          </w:p>
        </w:tc>
      </w:tr>
    </w:tbl>
    <w:p w:rsidR="00C44237" w:rsidRPr="00FB41DC" w:rsidRDefault="00C44237" w:rsidP="00C44237">
      <w:pPr>
        <w:pStyle w:val="naisf"/>
        <w:spacing w:before="0" w:after="0"/>
        <w:ind w:firstLine="0"/>
      </w:pPr>
    </w:p>
    <w:tbl>
      <w:tblPr>
        <w:tblW w:w="9455"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6"/>
        <w:gridCol w:w="3118"/>
        <w:gridCol w:w="1418"/>
        <w:gridCol w:w="2033"/>
      </w:tblGrid>
      <w:tr w:rsidR="00C44237" w:rsidRPr="00FB41DC" w:rsidTr="00973014">
        <w:trPr>
          <w:trHeight w:val="523"/>
          <w:jc w:val="center"/>
        </w:trPr>
        <w:tc>
          <w:tcPr>
            <w:tcW w:w="9455" w:type="dxa"/>
            <w:gridSpan w:val="4"/>
            <w:vAlign w:val="center"/>
          </w:tcPr>
          <w:p w:rsidR="00C44237" w:rsidRPr="00FB41DC" w:rsidRDefault="00C44237" w:rsidP="00973014">
            <w:pPr>
              <w:pStyle w:val="naisnod"/>
              <w:spacing w:before="0" w:after="0"/>
            </w:pPr>
            <w:r w:rsidRPr="00FB41DC">
              <w:t>1.tabula</w:t>
            </w:r>
          </w:p>
          <w:p w:rsidR="00C44237" w:rsidRPr="00FB41DC" w:rsidRDefault="00C44237" w:rsidP="00973014">
            <w:pPr>
              <w:pStyle w:val="naisnod"/>
              <w:spacing w:before="0" w:after="0"/>
              <w:rPr>
                <w:i/>
              </w:rPr>
            </w:pPr>
            <w:r w:rsidRPr="00FB41DC">
              <w:t>Tiesību akta projekta atbilstība ES tiesību aktiem</w:t>
            </w:r>
          </w:p>
        </w:tc>
      </w:tr>
      <w:tr w:rsidR="00C44237" w:rsidRPr="00A977E6" w:rsidTr="000E6B16">
        <w:trPr>
          <w:trHeight w:val="1252"/>
          <w:jc w:val="center"/>
        </w:trPr>
        <w:tc>
          <w:tcPr>
            <w:tcW w:w="2886" w:type="dxa"/>
            <w:vAlign w:val="center"/>
          </w:tcPr>
          <w:p w:rsidR="00C44237" w:rsidRPr="00FB41DC" w:rsidRDefault="00C44237" w:rsidP="00973014">
            <w:pPr>
              <w:pStyle w:val="naiskr"/>
              <w:spacing w:before="0" w:after="0"/>
              <w:ind w:hanging="10"/>
              <w:jc w:val="both"/>
            </w:pPr>
            <w:r w:rsidRPr="00FB41DC">
              <w:t>Attiecīgā ES tiesību akta datums, numurs un nosaukums</w:t>
            </w:r>
          </w:p>
        </w:tc>
        <w:tc>
          <w:tcPr>
            <w:tcW w:w="6569" w:type="dxa"/>
            <w:gridSpan w:val="3"/>
            <w:vAlign w:val="center"/>
          </w:tcPr>
          <w:p w:rsidR="00C44237" w:rsidRPr="00A977E6" w:rsidRDefault="00C44237" w:rsidP="00973014">
            <w:pPr>
              <w:pStyle w:val="naisc"/>
              <w:spacing w:before="0" w:after="0"/>
              <w:jc w:val="both"/>
            </w:pPr>
            <w:r>
              <w:rPr>
                <w:bCs/>
              </w:rPr>
              <w:t>D</w:t>
            </w:r>
            <w:r w:rsidRPr="00FB1366">
              <w:rPr>
                <w:bCs/>
              </w:rPr>
              <w:t>irekt</w:t>
            </w:r>
            <w:r>
              <w:rPr>
                <w:bCs/>
              </w:rPr>
              <w:t>īva 2012/19/ES</w:t>
            </w:r>
            <w:r w:rsidRPr="00FB1366">
              <w:rPr>
                <w:bCs/>
              </w:rPr>
              <w:t xml:space="preserve"> </w:t>
            </w:r>
            <w:r w:rsidRPr="00E844FF">
              <w:rPr>
                <w:rStyle w:val="Strong"/>
                <w:b w:val="0"/>
              </w:rPr>
              <w:t>(</w:t>
            </w:r>
            <w:r>
              <w:rPr>
                <w:rStyle w:val="Emphasis"/>
              </w:rPr>
              <w:t>OV L 197, 24.7.2012., 38</w:t>
            </w:r>
            <w:r w:rsidRPr="0062273E">
              <w:rPr>
                <w:rStyle w:val="Emphasis"/>
              </w:rPr>
              <w:t>. lpp.</w:t>
            </w:r>
            <w:r w:rsidRPr="0062273E">
              <w:rPr>
                <w:rStyle w:val="Emphasis"/>
                <w:i w:val="0"/>
              </w:rPr>
              <w:t>)</w:t>
            </w:r>
          </w:p>
        </w:tc>
      </w:tr>
      <w:tr w:rsidR="00C44237" w:rsidRPr="00FB41DC" w:rsidTr="000E6B16">
        <w:trPr>
          <w:trHeight w:val="165"/>
          <w:jc w:val="center"/>
        </w:trPr>
        <w:tc>
          <w:tcPr>
            <w:tcW w:w="2886" w:type="dxa"/>
            <w:vAlign w:val="center"/>
          </w:tcPr>
          <w:p w:rsidR="00C44237" w:rsidRPr="00FB41DC" w:rsidRDefault="00C44237" w:rsidP="00973014">
            <w:pPr>
              <w:pStyle w:val="naiskr"/>
              <w:spacing w:before="0" w:after="0"/>
              <w:jc w:val="both"/>
            </w:pPr>
            <w:r w:rsidRPr="00FB41DC">
              <w:t>A</w:t>
            </w:r>
          </w:p>
        </w:tc>
        <w:tc>
          <w:tcPr>
            <w:tcW w:w="3118" w:type="dxa"/>
            <w:vAlign w:val="center"/>
          </w:tcPr>
          <w:p w:rsidR="00C44237" w:rsidRPr="00FB41DC" w:rsidRDefault="00C44237" w:rsidP="00973014">
            <w:pPr>
              <w:pStyle w:val="naiskr"/>
              <w:spacing w:before="0" w:after="0"/>
              <w:jc w:val="both"/>
            </w:pPr>
            <w:r w:rsidRPr="00FB41DC">
              <w:t>B</w:t>
            </w:r>
          </w:p>
        </w:tc>
        <w:tc>
          <w:tcPr>
            <w:tcW w:w="1418" w:type="dxa"/>
            <w:vAlign w:val="center"/>
          </w:tcPr>
          <w:p w:rsidR="00C44237" w:rsidRPr="00FB41DC" w:rsidRDefault="00C44237" w:rsidP="00973014">
            <w:pPr>
              <w:pStyle w:val="naiskr"/>
              <w:spacing w:before="0" w:after="0"/>
              <w:jc w:val="both"/>
            </w:pPr>
            <w:r w:rsidRPr="00FB41DC">
              <w:t>C</w:t>
            </w:r>
          </w:p>
        </w:tc>
        <w:tc>
          <w:tcPr>
            <w:tcW w:w="2033" w:type="dxa"/>
            <w:vAlign w:val="center"/>
          </w:tcPr>
          <w:p w:rsidR="00C44237" w:rsidRPr="00FB41DC" w:rsidRDefault="00C44237" w:rsidP="00973014">
            <w:pPr>
              <w:pStyle w:val="naiskr"/>
              <w:spacing w:before="0" w:after="0"/>
              <w:jc w:val="both"/>
            </w:pPr>
            <w:r w:rsidRPr="00FB41DC">
              <w:t>D</w:t>
            </w:r>
          </w:p>
        </w:tc>
      </w:tr>
      <w:tr w:rsidR="002F4EED" w:rsidTr="000E6B16">
        <w:trPr>
          <w:trHeight w:val="313"/>
          <w:jc w:val="center"/>
        </w:trPr>
        <w:tc>
          <w:tcPr>
            <w:tcW w:w="2886" w:type="dxa"/>
          </w:tcPr>
          <w:p w:rsidR="002F4EED" w:rsidRDefault="002F4EED" w:rsidP="00973014">
            <w:pPr>
              <w:pStyle w:val="naiskr"/>
              <w:spacing w:before="0" w:after="0"/>
              <w:jc w:val="both"/>
            </w:pPr>
            <w:r>
              <w:t>2.panta 1.daļas a)punkts</w:t>
            </w:r>
          </w:p>
        </w:tc>
        <w:tc>
          <w:tcPr>
            <w:tcW w:w="3118" w:type="dxa"/>
          </w:tcPr>
          <w:p w:rsidR="002F4EED" w:rsidRDefault="002F4EED" w:rsidP="00973014">
            <w:pPr>
              <w:pStyle w:val="naiskr"/>
              <w:spacing w:before="0" w:after="0"/>
              <w:jc w:val="both"/>
            </w:pPr>
            <w:r>
              <w:t>3</w:t>
            </w:r>
            <w:r w:rsidR="000D2F69">
              <w:t>6</w:t>
            </w:r>
            <w:r>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1.daļas b)punkts</w:t>
            </w:r>
          </w:p>
        </w:tc>
        <w:tc>
          <w:tcPr>
            <w:tcW w:w="3118" w:type="dxa"/>
          </w:tcPr>
          <w:p w:rsidR="002F4EED" w:rsidRDefault="002F4EED" w:rsidP="000D2F69">
            <w:pPr>
              <w:pStyle w:val="naiskr"/>
              <w:spacing w:before="0" w:after="0"/>
              <w:jc w:val="both"/>
            </w:pPr>
            <w:r>
              <w:t>3</w:t>
            </w:r>
            <w:r w:rsidR="000D2F69">
              <w:t>6.</w:t>
            </w:r>
            <w:r>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2.daļa</w:t>
            </w:r>
          </w:p>
        </w:tc>
        <w:tc>
          <w:tcPr>
            <w:tcW w:w="3118" w:type="dxa"/>
          </w:tcPr>
          <w:p w:rsidR="002F4EED" w:rsidRDefault="002F4EED" w:rsidP="00973014">
            <w:pPr>
              <w:pStyle w:val="naiskr"/>
              <w:spacing w:before="0" w:after="0"/>
              <w:jc w:val="both"/>
            </w:pPr>
          </w:p>
        </w:tc>
        <w:tc>
          <w:tcPr>
            <w:tcW w:w="1418" w:type="dxa"/>
          </w:tcPr>
          <w:p w:rsidR="002F4EED" w:rsidRDefault="002F4EED" w:rsidP="00973014">
            <w:pPr>
              <w:pStyle w:val="naiskr"/>
              <w:spacing w:before="0" w:after="0"/>
              <w:jc w:val="both"/>
            </w:pPr>
            <w:r>
              <w:t>Nav jāpārņem.</w:t>
            </w:r>
          </w:p>
        </w:tc>
        <w:tc>
          <w:tcPr>
            <w:tcW w:w="2033" w:type="dxa"/>
          </w:tcPr>
          <w:p w:rsidR="002F4EED" w:rsidRDefault="002F4EED" w:rsidP="00973014">
            <w:pPr>
              <w:pStyle w:val="naiskr"/>
              <w:spacing w:before="0" w:after="0"/>
              <w:jc w:val="both"/>
            </w:pPr>
            <w:r>
              <w:t>Attiecas uz direktīvas piemērošanas nosacījumiem</w:t>
            </w:r>
          </w:p>
        </w:tc>
      </w:tr>
      <w:tr w:rsidR="002F4EED" w:rsidTr="000E6B16">
        <w:trPr>
          <w:trHeight w:val="313"/>
          <w:jc w:val="center"/>
        </w:trPr>
        <w:tc>
          <w:tcPr>
            <w:tcW w:w="2886" w:type="dxa"/>
          </w:tcPr>
          <w:p w:rsidR="002F4EED" w:rsidRDefault="002F4EED" w:rsidP="00973014">
            <w:pPr>
              <w:pStyle w:val="naiskr"/>
              <w:spacing w:before="0" w:after="0"/>
              <w:jc w:val="both"/>
            </w:pPr>
            <w:r>
              <w:t>2.panta 3.daļas a)punkts</w:t>
            </w:r>
          </w:p>
        </w:tc>
        <w:tc>
          <w:tcPr>
            <w:tcW w:w="3118" w:type="dxa"/>
          </w:tcPr>
          <w:p w:rsidR="002F4EED" w:rsidRDefault="000D2F69" w:rsidP="00973014">
            <w:pPr>
              <w:pStyle w:val="naiskr"/>
              <w:spacing w:before="0" w:after="0"/>
              <w:jc w:val="both"/>
            </w:pPr>
            <w:r>
              <w:t>3</w:t>
            </w:r>
            <w:r w:rsidR="002F4EED">
              <w:t>.1.punkts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3.daļas b)punkts</w:t>
            </w:r>
          </w:p>
        </w:tc>
        <w:tc>
          <w:tcPr>
            <w:tcW w:w="3118" w:type="dxa"/>
          </w:tcPr>
          <w:p w:rsidR="002F4EED" w:rsidRDefault="000D2F69" w:rsidP="00973014">
            <w:pPr>
              <w:pStyle w:val="naiskr"/>
              <w:spacing w:before="0" w:after="0"/>
              <w:jc w:val="both"/>
            </w:pPr>
            <w:r>
              <w:t>3</w:t>
            </w:r>
            <w:r w:rsidR="002F4EED">
              <w:t>.2.punkts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3.daļas c)punkts</w:t>
            </w:r>
          </w:p>
        </w:tc>
        <w:tc>
          <w:tcPr>
            <w:tcW w:w="3118" w:type="dxa"/>
          </w:tcPr>
          <w:p w:rsidR="002F4EED" w:rsidRDefault="000D2F69" w:rsidP="00973014">
            <w:pPr>
              <w:pStyle w:val="naiskr"/>
              <w:spacing w:before="0" w:after="0"/>
              <w:jc w:val="both"/>
            </w:pPr>
            <w:r>
              <w:t>3</w:t>
            </w:r>
            <w:r w:rsidR="002F4EED">
              <w:t>.3.punkts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4.daļas a)punkts</w:t>
            </w:r>
          </w:p>
        </w:tc>
        <w:tc>
          <w:tcPr>
            <w:tcW w:w="3118" w:type="dxa"/>
          </w:tcPr>
          <w:p w:rsidR="002F4EED" w:rsidRDefault="000D2F69" w:rsidP="00973014">
            <w:pPr>
              <w:pStyle w:val="naiskr"/>
              <w:spacing w:before="0" w:after="0"/>
              <w:jc w:val="both"/>
            </w:pPr>
            <w:r>
              <w:t>37</w:t>
            </w:r>
            <w:r w:rsidR="002F4EED">
              <w:t>.2.punkts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4.daļas b)punkts</w:t>
            </w:r>
          </w:p>
        </w:tc>
        <w:tc>
          <w:tcPr>
            <w:tcW w:w="3118" w:type="dxa"/>
          </w:tcPr>
          <w:p w:rsidR="002F4EED" w:rsidRDefault="000D2F69" w:rsidP="00973014">
            <w:pPr>
              <w:pStyle w:val="naiskr"/>
              <w:spacing w:before="0" w:after="0"/>
              <w:jc w:val="both"/>
            </w:pPr>
            <w:r>
              <w:t>37</w:t>
            </w:r>
            <w:r w:rsidR="002F4EED">
              <w:t>.3.punkts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4.daļas c)punkts</w:t>
            </w:r>
          </w:p>
        </w:tc>
        <w:tc>
          <w:tcPr>
            <w:tcW w:w="3118" w:type="dxa"/>
          </w:tcPr>
          <w:p w:rsidR="002F4EED" w:rsidRDefault="000D2F69" w:rsidP="00973014">
            <w:pPr>
              <w:pStyle w:val="naiskr"/>
              <w:spacing w:before="0" w:after="0"/>
              <w:jc w:val="both"/>
            </w:pPr>
            <w:r>
              <w:t>37</w:t>
            </w:r>
            <w:r w:rsidR="002F4EED">
              <w:t>.4.punkts</w:t>
            </w:r>
          </w:p>
        </w:tc>
        <w:tc>
          <w:tcPr>
            <w:tcW w:w="1418" w:type="dxa"/>
          </w:tcPr>
          <w:p w:rsidR="002F4EED" w:rsidRDefault="002F4EED" w:rsidP="00E7779F">
            <w:pPr>
              <w:pStyle w:val="naiskr"/>
              <w:spacing w:before="0" w:after="0"/>
              <w:jc w:val="both"/>
            </w:pPr>
            <w:r>
              <w:t xml:space="preserve">Atbilst </w:t>
            </w:r>
            <w:r>
              <w:lastRenderedPageBreak/>
              <w:t xml:space="preserve">pilnībā. </w:t>
            </w:r>
          </w:p>
        </w:tc>
        <w:tc>
          <w:tcPr>
            <w:tcW w:w="2033" w:type="dxa"/>
          </w:tcPr>
          <w:p w:rsidR="002F4EED" w:rsidRDefault="002F4EED" w:rsidP="00E7779F">
            <w:pPr>
              <w:pStyle w:val="naiskr"/>
              <w:spacing w:before="0" w:after="0"/>
              <w:jc w:val="both"/>
            </w:pPr>
            <w:r>
              <w:lastRenderedPageBreak/>
              <w:t xml:space="preserve">Netiek noteiktas </w:t>
            </w:r>
            <w:r>
              <w:lastRenderedPageBreak/>
              <w:t>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lastRenderedPageBreak/>
              <w:t>2.panta 4.daļas d)punkts</w:t>
            </w:r>
          </w:p>
        </w:tc>
        <w:tc>
          <w:tcPr>
            <w:tcW w:w="3118" w:type="dxa"/>
          </w:tcPr>
          <w:p w:rsidR="002F4EED" w:rsidRDefault="000D2F69" w:rsidP="00973014">
            <w:pPr>
              <w:pStyle w:val="naiskr"/>
              <w:spacing w:before="0" w:after="0"/>
              <w:jc w:val="both"/>
            </w:pPr>
            <w:r>
              <w:t>37</w:t>
            </w:r>
            <w:r w:rsidR="002F4EED">
              <w:t>.5.punkts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4.daļas e)punkts</w:t>
            </w:r>
          </w:p>
        </w:tc>
        <w:tc>
          <w:tcPr>
            <w:tcW w:w="3118" w:type="dxa"/>
          </w:tcPr>
          <w:p w:rsidR="002F4EED" w:rsidRDefault="000D2F69" w:rsidP="00973014">
            <w:pPr>
              <w:pStyle w:val="naiskr"/>
              <w:spacing w:before="0" w:after="0"/>
              <w:jc w:val="both"/>
            </w:pPr>
            <w:r>
              <w:t>37</w:t>
            </w:r>
            <w:r w:rsidR="002F4EED">
              <w:t>.6.punkts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4.daļas f)punkts</w:t>
            </w:r>
          </w:p>
        </w:tc>
        <w:tc>
          <w:tcPr>
            <w:tcW w:w="3118" w:type="dxa"/>
          </w:tcPr>
          <w:p w:rsidR="002F4EED" w:rsidRDefault="000D2F69" w:rsidP="00973014">
            <w:pPr>
              <w:pStyle w:val="naiskr"/>
              <w:spacing w:before="0" w:after="0"/>
              <w:jc w:val="both"/>
            </w:pPr>
            <w:r>
              <w:t>37</w:t>
            </w:r>
            <w:r w:rsidR="002F4EED">
              <w:t>.7.punkts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4.daļas g)punkts</w:t>
            </w:r>
          </w:p>
        </w:tc>
        <w:tc>
          <w:tcPr>
            <w:tcW w:w="3118" w:type="dxa"/>
          </w:tcPr>
          <w:p w:rsidR="002F4EED" w:rsidRDefault="000D2F69" w:rsidP="00973014">
            <w:pPr>
              <w:pStyle w:val="naiskr"/>
              <w:spacing w:before="0" w:after="0"/>
              <w:jc w:val="both"/>
            </w:pPr>
            <w:r>
              <w:t>37</w:t>
            </w:r>
            <w:r w:rsidR="002F4EED">
              <w:t>.8.punkts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2.panta 5.daļa</w:t>
            </w:r>
          </w:p>
        </w:tc>
        <w:tc>
          <w:tcPr>
            <w:tcW w:w="3118" w:type="dxa"/>
          </w:tcPr>
          <w:p w:rsidR="002F4EED" w:rsidRDefault="002F4EED" w:rsidP="00973014">
            <w:pPr>
              <w:pStyle w:val="naiskr"/>
              <w:spacing w:before="0" w:after="0"/>
              <w:jc w:val="both"/>
            </w:pPr>
          </w:p>
        </w:tc>
        <w:tc>
          <w:tcPr>
            <w:tcW w:w="1418" w:type="dxa"/>
          </w:tcPr>
          <w:p w:rsidR="002F4EED" w:rsidRDefault="002F4EED" w:rsidP="00973014">
            <w:pPr>
              <w:pStyle w:val="naiskr"/>
              <w:spacing w:before="0" w:after="0"/>
              <w:jc w:val="both"/>
            </w:pPr>
            <w:r>
              <w:t>Nav jāpārņem</w:t>
            </w:r>
          </w:p>
        </w:tc>
        <w:tc>
          <w:tcPr>
            <w:tcW w:w="2033" w:type="dxa"/>
          </w:tcPr>
          <w:p w:rsidR="002F4EED" w:rsidRDefault="002F4EED" w:rsidP="00973014">
            <w:pPr>
              <w:pStyle w:val="naiskr"/>
              <w:spacing w:before="0" w:after="0"/>
              <w:jc w:val="both"/>
            </w:pPr>
            <w:r>
              <w:t>Attiecas uz Eiropas Komisijas pilnvarām</w:t>
            </w:r>
          </w:p>
        </w:tc>
      </w:tr>
      <w:tr w:rsidR="002F4EED" w:rsidTr="000E6B16">
        <w:trPr>
          <w:trHeight w:val="313"/>
          <w:jc w:val="center"/>
        </w:trPr>
        <w:tc>
          <w:tcPr>
            <w:tcW w:w="2886" w:type="dxa"/>
          </w:tcPr>
          <w:p w:rsidR="002F4EED" w:rsidRDefault="002F4EED" w:rsidP="00973014">
            <w:pPr>
              <w:pStyle w:val="naiskr"/>
              <w:spacing w:before="0" w:after="0"/>
              <w:jc w:val="both"/>
            </w:pPr>
            <w:r>
              <w:t>3.panta 1.daļas b)punkts</w:t>
            </w:r>
          </w:p>
        </w:tc>
        <w:tc>
          <w:tcPr>
            <w:tcW w:w="3118" w:type="dxa"/>
          </w:tcPr>
          <w:p w:rsidR="002F4EED" w:rsidRDefault="002F4EED" w:rsidP="00973014">
            <w:pPr>
              <w:pStyle w:val="naiskr"/>
              <w:spacing w:before="0" w:after="0"/>
              <w:jc w:val="both"/>
            </w:pPr>
            <w:r>
              <w:t>2.1.punkts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3.panta 1.daļas c)punkts</w:t>
            </w:r>
          </w:p>
        </w:tc>
        <w:tc>
          <w:tcPr>
            <w:tcW w:w="3118" w:type="dxa"/>
          </w:tcPr>
          <w:p w:rsidR="002F4EED" w:rsidRDefault="002F4EED" w:rsidP="00973014">
            <w:pPr>
              <w:pStyle w:val="naiskr"/>
              <w:spacing w:before="0" w:after="0"/>
              <w:jc w:val="both"/>
            </w:pPr>
            <w:r>
              <w:t>2.2.punkts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3.panta 1.daļas d)punkts</w:t>
            </w:r>
          </w:p>
        </w:tc>
        <w:tc>
          <w:tcPr>
            <w:tcW w:w="3118" w:type="dxa"/>
          </w:tcPr>
          <w:p w:rsidR="002F4EED" w:rsidRDefault="002F4EED" w:rsidP="00973014">
            <w:pPr>
              <w:pStyle w:val="naiskr"/>
              <w:spacing w:before="0" w:after="0"/>
              <w:jc w:val="both"/>
            </w:pPr>
            <w:r>
              <w:t>2.3.punkts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3.panta 1.daļas l)punkts</w:t>
            </w:r>
          </w:p>
        </w:tc>
        <w:tc>
          <w:tcPr>
            <w:tcW w:w="3118" w:type="dxa"/>
          </w:tcPr>
          <w:p w:rsidR="002F4EED" w:rsidRDefault="002F4EED" w:rsidP="00973014">
            <w:pPr>
              <w:pStyle w:val="naiskr"/>
              <w:spacing w:before="0" w:after="0"/>
              <w:jc w:val="both"/>
            </w:pPr>
            <w:r>
              <w:t>2.7.punkts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3.panta 1.daļas m)punkts</w:t>
            </w:r>
          </w:p>
        </w:tc>
        <w:tc>
          <w:tcPr>
            <w:tcW w:w="3118" w:type="dxa"/>
          </w:tcPr>
          <w:p w:rsidR="002F4EED" w:rsidRDefault="002F4EED" w:rsidP="00973014">
            <w:pPr>
              <w:pStyle w:val="naiskr"/>
              <w:spacing w:before="0" w:after="0"/>
              <w:jc w:val="both"/>
            </w:pPr>
            <w:r>
              <w:t>2.4.punkts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3.panta 1.daļas n)punkts</w:t>
            </w:r>
          </w:p>
        </w:tc>
        <w:tc>
          <w:tcPr>
            <w:tcW w:w="3118" w:type="dxa"/>
          </w:tcPr>
          <w:p w:rsidR="002F4EED" w:rsidRDefault="002F4EED" w:rsidP="00973014">
            <w:pPr>
              <w:pStyle w:val="naiskr"/>
              <w:spacing w:before="0" w:after="0"/>
              <w:jc w:val="both"/>
            </w:pPr>
            <w:r>
              <w:t>2.5.punkts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3.panta 1.daļas o)punkts</w:t>
            </w:r>
          </w:p>
        </w:tc>
        <w:tc>
          <w:tcPr>
            <w:tcW w:w="3118" w:type="dxa"/>
          </w:tcPr>
          <w:p w:rsidR="002F4EED" w:rsidRDefault="002F4EED" w:rsidP="00973014">
            <w:pPr>
              <w:pStyle w:val="naiskr"/>
              <w:spacing w:before="0" w:after="0"/>
              <w:jc w:val="both"/>
            </w:pPr>
            <w:r>
              <w:t>2.6.punkts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5.panta 1.daļa</w:t>
            </w:r>
          </w:p>
        </w:tc>
        <w:tc>
          <w:tcPr>
            <w:tcW w:w="3118" w:type="dxa"/>
          </w:tcPr>
          <w:p w:rsidR="002F4EED" w:rsidRDefault="000D2F69" w:rsidP="00973014">
            <w:pPr>
              <w:pStyle w:val="naiskr"/>
              <w:spacing w:before="0" w:after="0"/>
              <w:jc w:val="both"/>
            </w:pPr>
            <w:r>
              <w:t>8</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RPr="002F4EED" w:rsidTr="000E6B16">
        <w:trPr>
          <w:trHeight w:val="313"/>
          <w:jc w:val="center"/>
        </w:trPr>
        <w:tc>
          <w:tcPr>
            <w:tcW w:w="2886" w:type="dxa"/>
          </w:tcPr>
          <w:p w:rsidR="002F4EED" w:rsidRPr="00E31096" w:rsidRDefault="002F4EED" w:rsidP="00973014">
            <w:pPr>
              <w:pStyle w:val="naiskr"/>
              <w:spacing w:before="0" w:after="0"/>
              <w:jc w:val="both"/>
            </w:pPr>
            <w:r w:rsidRPr="00E31096">
              <w:t>5.panta 2.daļas a)punkts</w:t>
            </w:r>
          </w:p>
        </w:tc>
        <w:tc>
          <w:tcPr>
            <w:tcW w:w="3118" w:type="dxa"/>
          </w:tcPr>
          <w:p w:rsidR="002F4EED" w:rsidRPr="00E31096" w:rsidRDefault="000E6B16" w:rsidP="00973014">
            <w:pPr>
              <w:pStyle w:val="naiskr"/>
              <w:spacing w:before="0" w:after="0"/>
              <w:jc w:val="both"/>
            </w:pPr>
            <w:r w:rsidRPr="00E31096">
              <w:t xml:space="preserve">Direktīvas normas prasības pārņemtas Atkritumu apsaimniekošanas likuma 25.panta 1.daļa un </w:t>
            </w:r>
            <w:r w:rsidRPr="001D5D1E">
              <w:rPr>
                <w:color w:val="3F3F3F"/>
              </w:rPr>
              <w:t xml:space="preserve">Ministru kabineta 2009.gada 3.novembra noteikumi Nr.1294 </w:t>
            </w:r>
            <w:r>
              <w:rPr>
                <w:rStyle w:val="Strong"/>
                <w:b w:val="0"/>
              </w:rPr>
              <w:t>„</w:t>
            </w:r>
            <w:r w:rsidRPr="001D5D1E">
              <w:rPr>
                <w:rStyle w:val="Strong"/>
                <w:b w:val="0"/>
              </w:rPr>
              <w:t>Kārtība, kādā atbrīvo no dabas resursu nodokļa samaksas par videi kaitīgām precēm”</w:t>
            </w:r>
            <w:r>
              <w:rPr>
                <w:rStyle w:val="Strong"/>
                <w:b w:val="0"/>
              </w:rPr>
              <w:t xml:space="preserve"> 2.2.punkts.</w:t>
            </w:r>
          </w:p>
        </w:tc>
        <w:tc>
          <w:tcPr>
            <w:tcW w:w="1418" w:type="dxa"/>
          </w:tcPr>
          <w:p w:rsidR="002F4EED" w:rsidRPr="00E31096" w:rsidRDefault="00E31096" w:rsidP="00973014">
            <w:pPr>
              <w:pStyle w:val="naiskr"/>
              <w:spacing w:before="0" w:after="0"/>
              <w:jc w:val="both"/>
            </w:pPr>
            <w:r w:rsidRPr="00E31096">
              <w:t xml:space="preserve">Netiks pārņemts ar noteikumu projektu. </w:t>
            </w:r>
          </w:p>
        </w:tc>
        <w:tc>
          <w:tcPr>
            <w:tcW w:w="2033" w:type="dxa"/>
          </w:tcPr>
          <w:p w:rsidR="002F4EED" w:rsidRPr="002F4EED" w:rsidRDefault="000E6B16" w:rsidP="00973014">
            <w:pPr>
              <w:pStyle w:val="naiskr"/>
              <w:spacing w:before="0" w:after="0"/>
              <w:jc w:val="both"/>
              <w:rPr>
                <w:highlight w:val="yellow"/>
              </w:rPr>
            </w:pPr>
            <w:r>
              <w:t>Netiek noteiktas stingrākas prasības</w:t>
            </w:r>
            <w:r w:rsidRPr="00E31096" w:rsidDel="000E6B16">
              <w:t xml:space="preserve"> </w:t>
            </w:r>
          </w:p>
        </w:tc>
      </w:tr>
      <w:tr w:rsidR="002F4EED" w:rsidRPr="002F4EED" w:rsidTr="000E6B16">
        <w:trPr>
          <w:trHeight w:val="313"/>
          <w:jc w:val="center"/>
        </w:trPr>
        <w:tc>
          <w:tcPr>
            <w:tcW w:w="2886" w:type="dxa"/>
          </w:tcPr>
          <w:p w:rsidR="002F4EED" w:rsidRPr="00E31096" w:rsidRDefault="002F4EED" w:rsidP="00973014">
            <w:pPr>
              <w:pStyle w:val="naiskr"/>
              <w:spacing w:before="0" w:after="0"/>
              <w:jc w:val="both"/>
            </w:pPr>
            <w:r w:rsidRPr="00E31096">
              <w:t>5.panta 2.daļas b)punkts</w:t>
            </w:r>
          </w:p>
        </w:tc>
        <w:tc>
          <w:tcPr>
            <w:tcW w:w="3118" w:type="dxa"/>
          </w:tcPr>
          <w:p w:rsidR="002F4EED" w:rsidRPr="002F4EED" w:rsidRDefault="000E6B16" w:rsidP="00973014">
            <w:pPr>
              <w:pStyle w:val="naiskr"/>
              <w:spacing w:before="0" w:after="0"/>
              <w:jc w:val="both"/>
              <w:rPr>
                <w:highlight w:val="yellow"/>
              </w:rPr>
            </w:pPr>
            <w:r w:rsidRPr="00E31096">
              <w:t>Direktīvas normas prasības pārņemtas Atkritumu apsaimniekošanas likuma 26.panta 4.daļā</w:t>
            </w:r>
          </w:p>
        </w:tc>
        <w:tc>
          <w:tcPr>
            <w:tcW w:w="1418" w:type="dxa"/>
          </w:tcPr>
          <w:p w:rsidR="002F4EED" w:rsidRPr="002F4EED" w:rsidRDefault="00E31096" w:rsidP="00973014">
            <w:pPr>
              <w:pStyle w:val="naiskr"/>
              <w:spacing w:before="0" w:after="0"/>
              <w:jc w:val="both"/>
              <w:rPr>
                <w:highlight w:val="yellow"/>
              </w:rPr>
            </w:pPr>
            <w:r w:rsidRPr="00E31096">
              <w:t>Netiks pārņemts ar noteikumu projektu.</w:t>
            </w:r>
          </w:p>
        </w:tc>
        <w:tc>
          <w:tcPr>
            <w:tcW w:w="2033" w:type="dxa"/>
          </w:tcPr>
          <w:p w:rsidR="002F4EED" w:rsidRPr="002F4EED" w:rsidRDefault="000E6B16" w:rsidP="00973014">
            <w:pPr>
              <w:pStyle w:val="naiskr"/>
              <w:spacing w:before="0" w:after="0"/>
              <w:jc w:val="both"/>
              <w:rPr>
                <w:highlight w:val="yellow"/>
              </w:rPr>
            </w:pPr>
            <w:r>
              <w:t>Netiek noteiktas stingrākas prasības</w:t>
            </w:r>
            <w:r w:rsidRPr="00E31096" w:rsidDel="000E6B16">
              <w:t xml:space="preserve"> </w:t>
            </w:r>
          </w:p>
        </w:tc>
      </w:tr>
      <w:tr w:rsidR="002F4EED" w:rsidRPr="002F4EED" w:rsidTr="000E6B16">
        <w:trPr>
          <w:trHeight w:val="313"/>
          <w:jc w:val="center"/>
        </w:trPr>
        <w:tc>
          <w:tcPr>
            <w:tcW w:w="2886" w:type="dxa"/>
          </w:tcPr>
          <w:p w:rsidR="002F4EED" w:rsidRPr="00E31096" w:rsidRDefault="002F4EED" w:rsidP="00973014">
            <w:pPr>
              <w:pStyle w:val="naiskr"/>
              <w:spacing w:before="0" w:after="0"/>
              <w:jc w:val="both"/>
            </w:pPr>
            <w:r w:rsidRPr="00E31096">
              <w:t>5.panta 2.daļas c)punkts</w:t>
            </w:r>
          </w:p>
        </w:tc>
        <w:tc>
          <w:tcPr>
            <w:tcW w:w="3118" w:type="dxa"/>
          </w:tcPr>
          <w:p w:rsidR="002F4EED" w:rsidRPr="002F4EED" w:rsidRDefault="000E6B16" w:rsidP="00973014">
            <w:pPr>
              <w:pStyle w:val="naiskr"/>
              <w:spacing w:before="0" w:after="0"/>
              <w:jc w:val="both"/>
              <w:rPr>
                <w:highlight w:val="yellow"/>
              </w:rPr>
            </w:pPr>
            <w:r w:rsidRPr="00E31096">
              <w:t>Direktīvas normas prasības pārņemtas Atkritumu apsaimniekošanas likuma 26.panta 4.</w:t>
            </w:r>
            <w:r w:rsidRPr="00E31096">
              <w:rPr>
                <w:vertAlign w:val="superscript"/>
              </w:rPr>
              <w:t>1</w:t>
            </w:r>
            <w:r w:rsidRPr="00E31096">
              <w:t xml:space="preserve"> daļā</w:t>
            </w:r>
          </w:p>
        </w:tc>
        <w:tc>
          <w:tcPr>
            <w:tcW w:w="1418" w:type="dxa"/>
          </w:tcPr>
          <w:p w:rsidR="002F4EED" w:rsidRPr="002F4EED" w:rsidRDefault="00E31096" w:rsidP="00973014">
            <w:pPr>
              <w:pStyle w:val="naiskr"/>
              <w:spacing w:before="0" w:after="0"/>
              <w:jc w:val="both"/>
              <w:rPr>
                <w:highlight w:val="yellow"/>
              </w:rPr>
            </w:pPr>
            <w:r w:rsidRPr="00E31096">
              <w:t>Netiks pārņemts ar noteikumu projektu.</w:t>
            </w:r>
          </w:p>
        </w:tc>
        <w:tc>
          <w:tcPr>
            <w:tcW w:w="2033" w:type="dxa"/>
          </w:tcPr>
          <w:p w:rsidR="002F4EED" w:rsidRPr="002F4EED" w:rsidRDefault="000E6B16" w:rsidP="00973014">
            <w:pPr>
              <w:pStyle w:val="naiskr"/>
              <w:spacing w:before="0" w:after="0"/>
              <w:jc w:val="both"/>
              <w:rPr>
                <w:highlight w:val="yellow"/>
              </w:rPr>
            </w:pPr>
            <w:r>
              <w:t>Netiek noteiktas stingrākas prasības</w:t>
            </w:r>
            <w:r w:rsidRPr="00E31096" w:rsidDel="000E6B16">
              <w:t xml:space="preserve"> </w:t>
            </w:r>
          </w:p>
        </w:tc>
      </w:tr>
      <w:tr w:rsidR="002F4EED" w:rsidTr="000E6B16">
        <w:trPr>
          <w:trHeight w:val="313"/>
          <w:jc w:val="center"/>
        </w:trPr>
        <w:tc>
          <w:tcPr>
            <w:tcW w:w="2886" w:type="dxa"/>
          </w:tcPr>
          <w:p w:rsidR="002F4EED" w:rsidRPr="00E31096" w:rsidRDefault="002F4EED" w:rsidP="00973014">
            <w:pPr>
              <w:pStyle w:val="naiskr"/>
              <w:spacing w:before="0" w:after="0"/>
              <w:jc w:val="both"/>
            </w:pPr>
            <w:r w:rsidRPr="00E31096">
              <w:t>5.panta 2.daļas d)punkts</w:t>
            </w:r>
          </w:p>
        </w:tc>
        <w:tc>
          <w:tcPr>
            <w:tcW w:w="3118" w:type="dxa"/>
          </w:tcPr>
          <w:p w:rsidR="002F4EED" w:rsidRPr="002F4EED" w:rsidRDefault="000E6B16" w:rsidP="00973014">
            <w:pPr>
              <w:pStyle w:val="naiskr"/>
              <w:spacing w:before="0" w:after="0"/>
              <w:jc w:val="both"/>
              <w:rPr>
                <w:highlight w:val="yellow"/>
              </w:rPr>
            </w:pPr>
            <w:r w:rsidRPr="00E31096">
              <w:t>Direktīvas normas prasības pārņemtas Dabas resursu nodokļa likuma 9.panta 1.daļā</w:t>
            </w:r>
          </w:p>
        </w:tc>
        <w:tc>
          <w:tcPr>
            <w:tcW w:w="1418" w:type="dxa"/>
          </w:tcPr>
          <w:p w:rsidR="002F4EED" w:rsidRPr="002F4EED" w:rsidRDefault="00E31096" w:rsidP="00973014">
            <w:pPr>
              <w:pStyle w:val="naiskr"/>
              <w:spacing w:before="0" w:after="0"/>
              <w:jc w:val="both"/>
              <w:rPr>
                <w:highlight w:val="yellow"/>
              </w:rPr>
            </w:pPr>
            <w:r w:rsidRPr="00E31096">
              <w:t xml:space="preserve">Netiks pārņemts ar noteikumu </w:t>
            </w:r>
            <w:r w:rsidRPr="00E31096">
              <w:lastRenderedPageBreak/>
              <w:t>projektu.</w:t>
            </w:r>
          </w:p>
        </w:tc>
        <w:tc>
          <w:tcPr>
            <w:tcW w:w="2033" w:type="dxa"/>
          </w:tcPr>
          <w:p w:rsidR="002F4EED" w:rsidRDefault="000E6B16" w:rsidP="00973014">
            <w:pPr>
              <w:pStyle w:val="naiskr"/>
              <w:spacing w:before="0" w:after="0"/>
              <w:jc w:val="both"/>
            </w:pPr>
            <w:r>
              <w:lastRenderedPageBreak/>
              <w:t>Netiek noteiktas stingrākas prasības</w:t>
            </w:r>
            <w:r w:rsidRPr="00E31096" w:rsidDel="000E6B16">
              <w:t xml:space="preserve"> </w:t>
            </w:r>
          </w:p>
        </w:tc>
      </w:tr>
      <w:tr w:rsidR="002F4EED" w:rsidTr="000E6B16">
        <w:trPr>
          <w:trHeight w:val="313"/>
          <w:jc w:val="center"/>
        </w:trPr>
        <w:tc>
          <w:tcPr>
            <w:tcW w:w="2886" w:type="dxa"/>
          </w:tcPr>
          <w:p w:rsidR="002F4EED" w:rsidRDefault="002F4EED" w:rsidP="00973014">
            <w:pPr>
              <w:pStyle w:val="naiskr"/>
              <w:spacing w:before="0" w:after="0"/>
              <w:jc w:val="both"/>
            </w:pPr>
            <w:r>
              <w:lastRenderedPageBreak/>
              <w:t>5.panta 2.daļas e)punkts</w:t>
            </w:r>
          </w:p>
        </w:tc>
        <w:tc>
          <w:tcPr>
            <w:tcW w:w="3118" w:type="dxa"/>
          </w:tcPr>
          <w:p w:rsidR="002F4EED" w:rsidRDefault="000D2F69" w:rsidP="00973014">
            <w:pPr>
              <w:pStyle w:val="naiskr"/>
              <w:spacing w:before="0" w:after="0"/>
              <w:jc w:val="both"/>
            </w:pPr>
            <w:r>
              <w:t>10</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RPr="002F4EED" w:rsidTr="000E6B16">
        <w:trPr>
          <w:trHeight w:val="1151"/>
          <w:jc w:val="center"/>
        </w:trPr>
        <w:tc>
          <w:tcPr>
            <w:tcW w:w="2886" w:type="dxa"/>
          </w:tcPr>
          <w:p w:rsidR="002F4EED" w:rsidRPr="002F4EED" w:rsidRDefault="002F4EED" w:rsidP="00973014">
            <w:pPr>
              <w:pStyle w:val="naiskr"/>
              <w:spacing w:before="0" w:after="0"/>
              <w:jc w:val="both"/>
              <w:rPr>
                <w:highlight w:val="yellow"/>
              </w:rPr>
            </w:pPr>
            <w:r w:rsidRPr="00E31096">
              <w:t>5.panta 3.daļa</w:t>
            </w:r>
          </w:p>
        </w:tc>
        <w:tc>
          <w:tcPr>
            <w:tcW w:w="3118" w:type="dxa"/>
          </w:tcPr>
          <w:p w:rsidR="002F4EED" w:rsidRPr="002F4EED" w:rsidRDefault="000E6B16" w:rsidP="00973014">
            <w:pPr>
              <w:pStyle w:val="naiskr"/>
              <w:spacing w:before="0" w:after="0"/>
              <w:jc w:val="both"/>
              <w:rPr>
                <w:highlight w:val="yellow"/>
              </w:rPr>
            </w:pPr>
            <w:r w:rsidRPr="00E31096">
              <w:t>Direktīvas normas prasības pārņemtas</w:t>
            </w:r>
            <w:r>
              <w:t xml:space="preserve"> </w:t>
            </w:r>
            <w:r w:rsidRPr="00E31096">
              <w:t>ar Dabas resursu nodokļa likuma 9.panta 1.daļu</w:t>
            </w:r>
          </w:p>
        </w:tc>
        <w:tc>
          <w:tcPr>
            <w:tcW w:w="1418" w:type="dxa"/>
          </w:tcPr>
          <w:p w:rsidR="002F4EED" w:rsidRPr="002F4EED" w:rsidRDefault="00E31096" w:rsidP="00973014">
            <w:pPr>
              <w:pStyle w:val="naiskr"/>
              <w:spacing w:before="0" w:after="0"/>
              <w:jc w:val="both"/>
              <w:rPr>
                <w:highlight w:val="yellow"/>
              </w:rPr>
            </w:pPr>
            <w:r w:rsidRPr="00E31096">
              <w:t>Netiks pārņemts ar noteikumu projektu.</w:t>
            </w:r>
          </w:p>
        </w:tc>
        <w:tc>
          <w:tcPr>
            <w:tcW w:w="2033" w:type="dxa"/>
          </w:tcPr>
          <w:p w:rsidR="002F4EED" w:rsidRPr="002F4EED" w:rsidRDefault="000E6B16" w:rsidP="000E6B16">
            <w:pPr>
              <w:pStyle w:val="naiskr"/>
              <w:spacing w:before="0" w:after="0"/>
              <w:jc w:val="both"/>
              <w:rPr>
                <w:highlight w:val="yellow"/>
              </w:rPr>
            </w:pPr>
            <w:r>
              <w:t>Netiek noteiktas stingrākas prasības</w:t>
            </w:r>
            <w:r w:rsidRPr="00E31096">
              <w:t xml:space="preserve"> </w:t>
            </w:r>
          </w:p>
        </w:tc>
      </w:tr>
      <w:tr w:rsidR="002F4EED" w:rsidRPr="004E4BE0" w:rsidTr="000E6B16">
        <w:trPr>
          <w:trHeight w:val="313"/>
          <w:jc w:val="center"/>
        </w:trPr>
        <w:tc>
          <w:tcPr>
            <w:tcW w:w="2886" w:type="dxa"/>
          </w:tcPr>
          <w:p w:rsidR="002F4EED" w:rsidRPr="004E4BE0" w:rsidRDefault="002F4EED" w:rsidP="00973014">
            <w:pPr>
              <w:pStyle w:val="naiskr"/>
              <w:spacing w:before="0" w:after="0"/>
              <w:jc w:val="both"/>
            </w:pPr>
            <w:r w:rsidRPr="004E4BE0">
              <w:t>5.panta 4.daļa</w:t>
            </w:r>
          </w:p>
        </w:tc>
        <w:tc>
          <w:tcPr>
            <w:tcW w:w="3118" w:type="dxa"/>
          </w:tcPr>
          <w:p w:rsidR="002F4EED" w:rsidRPr="004E4BE0" w:rsidRDefault="002F4EED" w:rsidP="00973014">
            <w:pPr>
              <w:pStyle w:val="naiskr"/>
              <w:spacing w:before="0" w:after="0"/>
              <w:jc w:val="both"/>
            </w:pPr>
          </w:p>
        </w:tc>
        <w:tc>
          <w:tcPr>
            <w:tcW w:w="1418" w:type="dxa"/>
          </w:tcPr>
          <w:p w:rsidR="002F4EED" w:rsidRPr="004E4BE0" w:rsidRDefault="000C5ED7" w:rsidP="00973014">
            <w:pPr>
              <w:pStyle w:val="naiskr"/>
              <w:spacing w:before="0" w:after="0"/>
              <w:jc w:val="both"/>
            </w:pPr>
            <w:r w:rsidRPr="004E4BE0">
              <w:t>Nav pārņemts</w:t>
            </w:r>
          </w:p>
        </w:tc>
        <w:tc>
          <w:tcPr>
            <w:tcW w:w="2033" w:type="dxa"/>
          </w:tcPr>
          <w:p w:rsidR="002F4EED" w:rsidRPr="004E4BE0" w:rsidRDefault="002F4EED" w:rsidP="00973014">
            <w:pPr>
              <w:pStyle w:val="naiskr"/>
              <w:spacing w:before="0" w:after="0"/>
              <w:jc w:val="both"/>
            </w:pPr>
            <w:r w:rsidRPr="004E4BE0">
              <w:t>Direktīvas normā ietvertā rīcības brīvība dalībvalstīm nav izmantota.</w:t>
            </w:r>
          </w:p>
        </w:tc>
      </w:tr>
      <w:tr w:rsidR="002F4EED" w:rsidRPr="002F4EED" w:rsidTr="000E6B16">
        <w:trPr>
          <w:trHeight w:val="313"/>
          <w:jc w:val="center"/>
        </w:trPr>
        <w:tc>
          <w:tcPr>
            <w:tcW w:w="2886" w:type="dxa"/>
          </w:tcPr>
          <w:p w:rsidR="002F4EED" w:rsidRPr="002F4EED" w:rsidRDefault="002F4EED" w:rsidP="00973014">
            <w:pPr>
              <w:pStyle w:val="naiskr"/>
              <w:spacing w:before="0" w:after="0"/>
              <w:jc w:val="both"/>
              <w:rPr>
                <w:highlight w:val="yellow"/>
              </w:rPr>
            </w:pPr>
            <w:r w:rsidRPr="00E31096">
              <w:t>5.panta 5.daļa</w:t>
            </w:r>
          </w:p>
        </w:tc>
        <w:tc>
          <w:tcPr>
            <w:tcW w:w="3118" w:type="dxa"/>
          </w:tcPr>
          <w:p w:rsidR="002F4EED" w:rsidRPr="002F4EED" w:rsidRDefault="000E6B16" w:rsidP="00973014">
            <w:pPr>
              <w:pStyle w:val="naiskr"/>
              <w:spacing w:before="0" w:after="0"/>
              <w:jc w:val="both"/>
              <w:rPr>
                <w:highlight w:val="yellow"/>
              </w:rPr>
            </w:pPr>
            <w:r w:rsidRPr="00E31096">
              <w:t>Direktīvas normas prasības pārņemtas</w:t>
            </w:r>
            <w:r>
              <w:t xml:space="preserve"> </w:t>
            </w:r>
            <w:r w:rsidRPr="00E31096">
              <w:t>Atkritumu apsaimniekošanas likuma 26.panta 1.daļā.</w:t>
            </w:r>
          </w:p>
        </w:tc>
        <w:tc>
          <w:tcPr>
            <w:tcW w:w="1418" w:type="dxa"/>
          </w:tcPr>
          <w:p w:rsidR="002F4EED" w:rsidRPr="002F4EED" w:rsidRDefault="00E31096" w:rsidP="00973014">
            <w:pPr>
              <w:pStyle w:val="naiskr"/>
              <w:spacing w:before="0" w:after="0"/>
              <w:jc w:val="both"/>
              <w:rPr>
                <w:highlight w:val="yellow"/>
              </w:rPr>
            </w:pPr>
            <w:r w:rsidRPr="00E31096">
              <w:t>Netiks pārņemts ar noteikumu projektu.</w:t>
            </w:r>
          </w:p>
        </w:tc>
        <w:tc>
          <w:tcPr>
            <w:tcW w:w="2033" w:type="dxa"/>
          </w:tcPr>
          <w:p w:rsidR="002F4EED" w:rsidRPr="002F4EED" w:rsidRDefault="000E6B16" w:rsidP="00E31096">
            <w:pPr>
              <w:pStyle w:val="naiskr"/>
              <w:spacing w:before="0" w:after="0"/>
              <w:jc w:val="both"/>
              <w:rPr>
                <w:highlight w:val="yellow"/>
              </w:rPr>
            </w:pPr>
            <w:r>
              <w:t>Netiek noteiktas stingrākas prasības</w:t>
            </w:r>
            <w:r w:rsidRPr="00E31096" w:rsidDel="000E6B16">
              <w:t xml:space="preserve"> </w:t>
            </w:r>
          </w:p>
        </w:tc>
      </w:tr>
      <w:tr w:rsidR="002F4EED" w:rsidTr="000E6B16">
        <w:trPr>
          <w:trHeight w:val="313"/>
          <w:jc w:val="center"/>
        </w:trPr>
        <w:tc>
          <w:tcPr>
            <w:tcW w:w="2886" w:type="dxa"/>
          </w:tcPr>
          <w:p w:rsidR="002F4EED" w:rsidRPr="002F4EED" w:rsidRDefault="002F4EED" w:rsidP="00973014">
            <w:pPr>
              <w:pStyle w:val="naiskr"/>
              <w:spacing w:before="0" w:after="0"/>
              <w:jc w:val="both"/>
              <w:rPr>
                <w:highlight w:val="yellow"/>
              </w:rPr>
            </w:pPr>
            <w:r w:rsidRPr="000C5ED7">
              <w:t>6.panta 1.daļa</w:t>
            </w:r>
          </w:p>
        </w:tc>
        <w:tc>
          <w:tcPr>
            <w:tcW w:w="3118" w:type="dxa"/>
          </w:tcPr>
          <w:p w:rsidR="002F4EED" w:rsidRPr="002F4EED" w:rsidRDefault="00E14F60" w:rsidP="00973014">
            <w:pPr>
              <w:pStyle w:val="naiskr"/>
              <w:spacing w:before="0" w:after="0"/>
              <w:jc w:val="both"/>
              <w:rPr>
                <w:highlight w:val="yellow"/>
              </w:rPr>
            </w:pPr>
            <w:r w:rsidRPr="000C5ED7">
              <w:t>Atkritumu apsaimniekošanas likuma 26.panta 6.daļa</w:t>
            </w:r>
          </w:p>
        </w:tc>
        <w:tc>
          <w:tcPr>
            <w:tcW w:w="1418" w:type="dxa"/>
          </w:tcPr>
          <w:p w:rsidR="002F4EED" w:rsidRPr="000C5ED7" w:rsidRDefault="000C5ED7" w:rsidP="00973014">
            <w:pPr>
              <w:pStyle w:val="naiskr"/>
              <w:spacing w:before="0" w:after="0"/>
              <w:jc w:val="both"/>
            </w:pPr>
            <w:r w:rsidRPr="000C5ED7">
              <w:t>Atbilst pilnībā</w:t>
            </w:r>
          </w:p>
        </w:tc>
        <w:tc>
          <w:tcPr>
            <w:tcW w:w="2033" w:type="dxa"/>
          </w:tcPr>
          <w:p w:rsidR="002F4EED" w:rsidRPr="000C5ED7" w:rsidRDefault="00E14F60"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6.panta 2.daļa</w:t>
            </w:r>
          </w:p>
        </w:tc>
        <w:tc>
          <w:tcPr>
            <w:tcW w:w="3118" w:type="dxa"/>
          </w:tcPr>
          <w:p w:rsidR="002F4EED" w:rsidRDefault="00E14F60" w:rsidP="00973014">
            <w:pPr>
              <w:pStyle w:val="naiskr"/>
              <w:spacing w:before="0" w:after="0"/>
              <w:jc w:val="both"/>
            </w:pPr>
            <w:r>
              <w:t>9</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7.panta 1.daļas 1.rindkopa</w:t>
            </w:r>
          </w:p>
        </w:tc>
        <w:tc>
          <w:tcPr>
            <w:tcW w:w="3118" w:type="dxa"/>
          </w:tcPr>
          <w:p w:rsidR="002F4EED" w:rsidRDefault="00E14F60" w:rsidP="00973014">
            <w:pPr>
              <w:pStyle w:val="naiskr"/>
              <w:spacing w:before="0" w:after="0"/>
              <w:jc w:val="both"/>
            </w:pPr>
            <w:r>
              <w:t>40</w:t>
            </w:r>
            <w:r w:rsidR="002F4EED">
              <w:t>.1.punkts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7.panta 1.daļas 2.rindkopa</w:t>
            </w:r>
          </w:p>
        </w:tc>
        <w:tc>
          <w:tcPr>
            <w:tcW w:w="3118" w:type="dxa"/>
          </w:tcPr>
          <w:p w:rsidR="002F4EED" w:rsidRDefault="00E14F60" w:rsidP="00973014">
            <w:pPr>
              <w:pStyle w:val="naiskr"/>
              <w:spacing w:before="0" w:after="0"/>
              <w:jc w:val="both"/>
            </w:pPr>
            <w:r>
              <w:t>40</w:t>
            </w:r>
            <w:r w:rsidR="002F4EED">
              <w:t>.2.punkts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7.panta 1.daļas 3.rindkopa</w:t>
            </w:r>
          </w:p>
        </w:tc>
        <w:tc>
          <w:tcPr>
            <w:tcW w:w="3118" w:type="dxa"/>
          </w:tcPr>
          <w:p w:rsidR="002F4EED" w:rsidRDefault="00E14F60" w:rsidP="00973014">
            <w:pPr>
              <w:pStyle w:val="naiskr"/>
              <w:spacing w:before="0" w:after="0"/>
              <w:jc w:val="both"/>
            </w:pPr>
            <w:r>
              <w:t>39</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Pr="004E4BE0" w:rsidRDefault="002F4EED" w:rsidP="00973014">
            <w:pPr>
              <w:pStyle w:val="naiskr"/>
              <w:spacing w:before="0" w:after="0"/>
              <w:jc w:val="both"/>
            </w:pPr>
            <w:r w:rsidRPr="004E4BE0">
              <w:t>7.panta 1.daļas 4.rindkopa</w:t>
            </w:r>
          </w:p>
        </w:tc>
        <w:tc>
          <w:tcPr>
            <w:tcW w:w="3118" w:type="dxa"/>
          </w:tcPr>
          <w:p w:rsidR="002F4EED" w:rsidRPr="004E4BE0" w:rsidRDefault="002F4EED" w:rsidP="00973014">
            <w:pPr>
              <w:pStyle w:val="naiskr"/>
              <w:spacing w:before="0" w:after="0"/>
              <w:jc w:val="both"/>
            </w:pPr>
          </w:p>
        </w:tc>
        <w:tc>
          <w:tcPr>
            <w:tcW w:w="1418" w:type="dxa"/>
          </w:tcPr>
          <w:p w:rsidR="002F4EED" w:rsidRPr="004E4BE0" w:rsidRDefault="002F4EED" w:rsidP="00973014">
            <w:pPr>
              <w:pStyle w:val="naiskr"/>
              <w:spacing w:before="0" w:after="0"/>
              <w:jc w:val="both"/>
            </w:pPr>
            <w:r w:rsidRPr="004E4BE0">
              <w:t>Nav pārņemts.</w:t>
            </w:r>
          </w:p>
        </w:tc>
        <w:tc>
          <w:tcPr>
            <w:tcW w:w="2033" w:type="dxa"/>
          </w:tcPr>
          <w:p w:rsidR="002F4EED" w:rsidRDefault="002F4EED" w:rsidP="00973014">
            <w:pPr>
              <w:pStyle w:val="naiskr"/>
              <w:spacing w:before="0" w:after="0"/>
              <w:jc w:val="both"/>
            </w:pPr>
            <w:r w:rsidRPr="004E4BE0">
              <w:t>Direktīvas normā ietvertā rīcības brīvība dalībvalstīm nav izmantota.</w:t>
            </w:r>
          </w:p>
        </w:tc>
      </w:tr>
      <w:tr w:rsidR="002F4EED" w:rsidTr="000E6B16">
        <w:trPr>
          <w:trHeight w:val="313"/>
          <w:jc w:val="center"/>
        </w:trPr>
        <w:tc>
          <w:tcPr>
            <w:tcW w:w="2886" w:type="dxa"/>
          </w:tcPr>
          <w:p w:rsidR="002F4EED" w:rsidRDefault="002F4EED" w:rsidP="00973014">
            <w:pPr>
              <w:pStyle w:val="naiskr"/>
              <w:spacing w:before="0" w:after="0"/>
              <w:jc w:val="both"/>
            </w:pPr>
            <w:r>
              <w:t>7.panta 2.daļa</w:t>
            </w:r>
          </w:p>
        </w:tc>
        <w:tc>
          <w:tcPr>
            <w:tcW w:w="3118" w:type="dxa"/>
          </w:tcPr>
          <w:p w:rsidR="002F4EED" w:rsidRDefault="00E14F60" w:rsidP="00973014">
            <w:pPr>
              <w:pStyle w:val="naiskr"/>
              <w:spacing w:before="0" w:after="0"/>
              <w:jc w:val="both"/>
            </w:pPr>
            <w:r>
              <w:t>32</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7.panta 3.daļa</w:t>
            </w:r>
          </w:p>
        </w:tc>
        <w:tc>
          <w:tcPr>
            <w:tcW w:w="3118" w:type="dxa"/>
          </w:tcPr>
          <w:p w:rsidR="002F4EED" w:rsidRDefault="00E14F60" w:rsidP="00973014">
            <w:pPr>
              <w:pStyle w:val="naiskr"/>
              <w:spacing w:before="0" w:after="0"/>
              <w:jc w:val="both"/>
            </w:pPr>
            <w:r>
              <w:t>40</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7.panta 4.daļa</w:t>
            </w:r>
          </w:p>
        </w:tc>
        <w:tc>
          <w:tcPr>
            <w:tcW w:w="3118" w:type="dxa"/>
          </w:tcPr>
          <w:p w:rsidR="002F4EED" w:rsidRDefault="002F4EED" w:rsidP="00973014">
            <w:pPr>
              <w:pStyle w:val="naiskr"/>
              <w:spacing w:before="0" w:after="0"/>
              <w:jc w:val="both"/>
            </w:pPr>
          </w:p>
        </w:tc>
        <w:tc>
          <w:tcPr>
            <w:tcW w:w="1418" w:type="dxa"/>
          </w:tcPr>
          <w:p w:rsidR="002F4EED" w:rsidRDefault="002F4EED" w:rsidP="00973014">
            <w:pPr>
              <w:pStyle w:val="naiskr"/>
              <w:spacing w:before="0" w:after="0"/>
              <w:jc w:val="both"/>
            </w:pPr>
            <w:r>
              <w:t>Nav jāpārņem</w:t>
            </w:r>
          </w:p>
        </w:tc>
        <w:tc>
          <w:tcPr>
            <w:tcW w:w="2033" w:type="dxa"/>
          </w:tcPr>
          <w:p w:rsidR="002F4EED" w:rsidRDefault="002F4EED" w:rsidP="00973014">
            <w:pPr>
              <w:pStyle w:val="naiskr"/>
              <w:spacing w:before="0" w:after="0"/>
              <w:jc w:val="both"/>
            </w:pPr>
            <w:r>
              <w:t>Attiecas uz Eiropas Komisijas pilnvarām</w:t>
            </w:r>
          </w:p>
        </w:tc>
      </w:tr>
      <w:tr w:rsidR="002F4EED" w:rsidTr="000E6B16">
        <w:trPr>
          <w:trHeight w:val="313"/>
          <w:jc w:val="center"/>
        </w:trPr>
        <w:tc>
          <w:tcPr>
            <w:tcW w:w="2886" w:type="dxa"/>
          </w:tcPr>
          <w:p w:rsidR="002F4EED" w:rsidRDefault="002F4EED" w:rsidP="00973014">
            <w:pPr>
              <w:pStyle w:val="naiskr"/>
              <w:spacing w:before="0" w:after="0"/>
              <w:jc w:val="both"/>
            </w:pPr>
            <w:r>
              <w:t>7.panta 5.daļa</w:t>
            </w:r>
          </w:p>
        </w:tc>
        <w:tc>
          <w:tcPr>
            <w:tcW w:w="3118" w:type="dxa"/>
          </w:tcPr>
          <w:p w:rsidR="002F4EED" w:rsidRDefault="002F4EED" w:rsidP="00973014">
            <w:pPr>
              <w:pStyle w:val="naiskr"/>
              <w:spacing w:before="0" w:after="0"/>
              <w:jc w:val="both"/>
            </w:pPr>
          </w:p>
        </w:tc>
        <w:tc>
          <w:tcPr>
            <w:tcW w:w="1418" w:type="dxa"/>
          </w:tcPr>
          <w:p w:rsidR="002F4EED" w:rsidRDefault="002F4EED" w:rsidP="00973014">
            <w:pPr>
              <w:pStyle w:val="naiskr"/>
              <w:spacing w:before="0" w:after="0"/>
              <w:jc w:val="both"/>
            </w:pPr>
            <w:r>
              <w:t>Nav jāpārņem</w:t>
            </w:r>
          </w:p>
        </w:tc>
        <w:tc>
          <w:tcPr>
            <w:tcW w:w="2033" w:type="dxa"/>
          </w:tcPr>
          <w:p w:rsidR="002F4EED" w:rsidRDefault="002F4EED" w:rsidP="00973014">
            <w:pPr>
              <w:pStyle w:val="naiskr"/>
              <w:spacing w:before="0" w:after="0"/>
              <w:jc w:val="both"/>
            </w:pPr>
            <w:r>
              <w:t>Attiecas uz Eiropas Komisijas pilnvarām</w:t>
            </w:r>
          </w:p>
        </w:tc>
      </w:tr>
      <w:tr w:rsidR="002F4EED" w:rsidTr="000E6B16">
        <w:trPr>
          <w:trHeight w:val="313"/>
          <w:jc w:val="center"/>
        </w:trPr>
        <w:tc>
          <w:tcPr>
            <w:tcW w:w="2886" w:type="dxa"/>
          </w:tcPr>
          <w:p w:rsidR="002F4EED" w:rsidRDefault="002F4EED" w:rsidP="00973014">
            <w:pPr>
              <w:pStyle w:val="naiskr"/>
              <w:spacing w:before="0" w:after="0"/>
              <w:jc w:val="both"/>
            </w:pPr>
            <w:r>
              <w:t>7.panta 6.daļa</w:t>
            </w:r>
          </w:p>
        </w:tc>
        <w:tc>
          <w:tcPr>
            <w:tcW w:w="3118" w:type="dxa"/>
          </w:tcPr>
          <w:p w:rsidR="002F4EED" w:rsidRDefault="002F4EED" w:rsidP="00973014">
            <w:pPr>
              <w:pStyle w:val="naiskr"/>
              <w:spacing w:before="0" w:after="0"/>
              <w:jc w:val="both"/>
            </w:pPr>
          </w:p>
        </w:tc>
        <w:tc>
          <w:tcPr>
            <w:tcW w:w="1418" w:type="dxa"/>
          </w:tcPr>
          <w:p w:rsidR="002F4EED" w:rsidRDefault="002F4EED" w:rsidP="00973014">
            <w:pPr>
              <w:pStyle w:val="naiskr"/>
              <w:spacing w:before="0" w:after="0"/>
              <w:jc w:val="both"/>
            </w:pPr>
            <w:r>
              <w:t>Nav jāpārņem</w:t>
            </w:r>
          </w:p>
        </w:tc>
        <w:tc>
          <w:tcPr>
            <w:tcW w:w="2033" w:type="dxa"/>
          </w:tcPr>
          <w:p w:rsidR="002F4EED" w:rsidRDefault="002F4EED" w:rsidP="00973014">
            <w:pPr>
              <w:pStyle w:val="naiskr"/>
              <w:spacing w:before="0" w:after="0"/>
              <w:jc w:val="both"/>
            </w:pPr>
            <w:r>
              <w:t>Attiecas uz Eiropas Komisijas pilnvarām</w:t>
            </w:r>
          </w:p>
        </w:tc>
      </w:tr>
      <w:tr w:rsidR="002F4EED" w:rsidTr="000E6B16">
        <w:trPr>
          <w:trHeight w:val="313"/>
          <w:jc w:val="center"/>
        </w:trPr>
        <w:tc>
          <w:tcPr>
            <w:tcW w:w="2886" w:type="dxa"/>
          </w:tcPr>
          <w:p w:rsidR="002F4EED" w:rsidRDefault="002F4EED" w:rsidP="00973014">
            <w:pPr>
              <w:pStyle w:val="naiskr"/>
              <w:spacing w:before="0" w:after="0"/>
              <w:jc w:val="both"/>
            </w:pPr>
            <w:r>
              <w:t>7.panta 7.daļa</w:t>
            </w:r>
          </w:p>
        </w:tc>
        <w:tc>
          <w:tcPr>
            <w:tcW w:w="3118" w:type="dxa"/>
          </w:tcPr>
          <w:p w:rsidR="002F4EED" w:rsidRDefault="002F4EED" w:rsidP="00973014">
            <w:pPr>
              <w:pStyle w:val="naiskr"/>
              <w:spacing w:before="0" w:after="0"/>
              <w:jc w:val="both"/>
            </w:pPr>
          </w:p>
        </w:tc>
        <w:tc>
          <w:tcPr>
            <w:tcW w:w="1418" w:type="dxa"/>
          </w:tcPr>
          <w:p w:rsidR="002F4EED" w:rsidRDefault="002F4EED" w:rsidP="00973014">
            <w:pPr>
              <w:pStyle w:val="naiskr"/>
              <w:spacing w:before="0" w:after="0"/>
              <w:jc w:val="both"/>
            </w:pPr>
            <w:r>
              <w:t>Nav jāpārņem</w:t>
            </w:r>
          </w:p>
        </w:tc>
        <w:tc>
          <w:tcPr>
            <w:tcW w:w="2033" w:type="dxa"/>
          </w:tcPr>
          <w:p w:rsidR="002F4EED" w:rsidRDefault="002F4EED" w:rsidP="00973014">
            <w:pPr>
              <w:pStyle w:val="naiskr"/>
              <w:spacing w:before="0" w:after="0"/>
              <w:jc w:val="both"/>
            </w:pPr>
            <w:r>
              <w:t>Attiecas uz Eiropas Komisijas pilnvarām</w:t>
            </w:r>
          </w:p>
        </w:tc>
      </w:tr>
      <w:tr w:rsidR="002F4EED" w:rsidTr="000E6B16">
        <w:trPr>
          <w:trHeight w:val="313"/>
          <w:jc w:val="center"/>
        </w:trPr>
        <w:tc>
          <w:tcPr>
            <w:tcW w:w="2886" w:type="dxa"/>
          </w:tcPr>
          <w:p w:rsidR="002F4EED" w:rsidRDefault="002F4EED" w:rsidP="00973014">
            <w:pPr>
              <w:pStyle w:val="naiskr"/>
              <w:spacing w:before="0" w:after="0"/>
              <w:jc w:val="both"/>
            </w:pPr>
            <w:r>
              <w:t>8.panta 1.daļa</w:t>
            </w:r>
          </w:p>
        </w:tc>
        <w:tc>
          <w:tcPr>
            <w:tcW w:w="3118" w:type="dxa"/>
          </w:tcPr>
          <w:p w:rsidR="002F4EED" w:rsidRDefault="00E14F60" w:rsidP="00973014">
            <w:pPr>
              <w:pStyle w:val="naiskr"/>
              <w:spacing w:before="0" w:after="0"/>
              <w:jc w:val="both"/>
            </w:pPr>
            <w:r>
              <w:t>8</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8.panta 2.daļa</w:t>
            </w:r>
          </w:p>
        </w:tc>
        <w:tc>
          <w:tcPr>
            <w:tcW w:w="3118" w:type="dxa"/>
          </w:tcPr>
          <w:p w:rsidR="002F4EED" w:rsidRDefault="00E14F60" w:rsidP="00973014">
            <w:pPr>
              <w:pStyle w:val="naiskr"/>
              <w:spacing w:before="0" w:after="0"/>
              <w:jc w:val="both"/>
            </w:pPr>
            <w:r>
              <w:t>13</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Pr="001D5D1E" w:rsidRDefault="002F4EED" w:rsidP="00973014">
            <w:pPr>
              <w:pStyle w:val="naiskr"/>
              <w:spacing w:before="0" w:after="0"/>
              <w:jc w:val="both"/>
            </w:pPr>
            <w:r w:rsidRPr="001D5D1E">
              <w:lastRenderedPageBreak/>
              <w:t>8.panta 3.daļa</w:t>
            </w:r>
          </w:p>
        </w:tc>
        <w:tc>
          <w:tcPr>
            <w:tcW w:w="3118" w:type="dxa"/>
          </w:tcPr>
          <w:p w:rsidR="002F4EED" w:rsidRDefault="00E14F60" w:rsidP="00973014">
            <w:pPr>
              <w:pStyle w:val="naiskr"/>
              <w:spacing w:before="0" w:after="0"/>
              <w:jc w:val="both"/>
            </w:pPr>
            <w:r>
              <w:t>24</w:t>
            </w:r>
            <w:r w:rsidR="002F4EED" w:rsidRPr="001D5D1E">
              <w:t>.punkts</w:t>
            </w:r>
            <w:r>
              <w:t>,</w:t>
            </w:r>
          </w:p>
          <w:p w:rsidR="000E6B16" w:rsidRPr="001D5D1E" w:rsidRDefault="000E6B16" w:rsidP="00973014">
            <w:pPr>
              <w:pStyle w:val="naiskr"/>
              <w:spacing w:before="0" w:after="0"/>
              <w:jc w:val="both"/>
            </w:pPr>
            <w:r w:rsidRPr="001D5D1E">
              <w:t>Atkritumu apsaimniekošanas likuma 26.panta 1.daļa</w:t>
            </w:r>
          </w:p>
        </w:tc>
        <w:tc>
          <w:tcPr>
            <w:tcW w:w="1418" w:type="dxa"/>
          </w:tcPr>
          <w:p w:rsidR="002F4EED" w:rsidRPr="001D5D1E" w:rsidRDefault="001D5D1E" w:rsidP="00973014">
            <w:pPr>
              <w:pStyle w:val="naiskr"/>
              <w:spacing w:before="0" w:after="0"/>
              <w:jc w:val="both"/>
            </w:pPr>
            <w:r w:rsidRPr="001D5D1E">
              <w:t xml:space="preserve">Atbilst pilnībā. </w:t>
            </w:r>
          </w:p>
        </w:tc>
        <w:tc>
          <w:tcPr>
            <w:tcW w:w="2033" w:type="dxa"/>
          </w:tcPr>
          <w:p w:rsidR="002F4EED" w:rsidRDefault="000E6B16" w:rsidP="00973014">
            <w:pPr>
              <w:pStyle w:val="naiskr"/>
              <w:spacing w:before="0" w:after="0"/>
              <w:jc w:val="both"/>
            </w:pPr>
            <w:r>
              <w:t>Netiek noteiktas stingrākas prasības</w:t>
            </w:r>
            <w:r w:rsidRPr="00E31096" w:rsidDel="000E6B16">
              <w:t xml:space="preserve"> </w:t>
            </w:r>
          </w:p>
        </w:tc>
      </w:tr>
      <w:tr w:rsidR="002F4EED" w:rsidTr="000E6B16">
        <w:trPr>
          <w:trHeight w:val="313"/>
          <w:jc w:val="center"/>
        </w:trPr>
        <w:tc>
          <w:tcPr>
            <w:tcW w:w="2886" w:type="dxa"/>
          </w:tcPr>
          <w:p w:rsidR="002F4EED" w:rsidRDefault="002F4EED" w:rsidP="00973014">
            <w:pPr>
              <w:pStyle w:val="naiskr"/>
              <w:spacing w:before="0" w:after="0"/>
              <w:jc w:val="both"/>
            </w:pPr>
            <w:r>
              <w:t>8.panta 4.daļa</w:t>
            </w:r>
          </w:p>
        </w:tc>
        <w:tc>
          <w:tcPr>
            <w:tcW w:w="3118" w:type="dxa"/>
          </w:tcPr>
          <w:p w:rsidR="002F4EED" w:rsidRDefault="002F4EED" w:rsidP="00973014">
            <w:pPr>
              <w:pStyle w:val="naiskr"/>
              <w:spacing w:before="0" w:after="0"/>
              <w:jc w:val="both"/>
            </w:pPr>
          </w:p>
        </w:tc>
        <w:tc>
          <w:tcPr>
            <w:tcW w:w="1418" w:type="dxa"/>
          </w:tcPr>
          <w:p w:rsidR="002F4EED" w:rsidRDefault="002F4EED" w:rsidP="00E7779F">
            <w:pPr>
              <w:pStyle w:val="naiskr"/>
              <w:spacing w:before="0" w:after="0"/>
              <w:jc w:val="both"/>
            </w:pPr>
            <w:r>
              <w:t>Nav jāpārņem</w:t>
            </w:r>
          </w:p>
        </w:tc>
        <w:tc>
          <w:tcPr>
            <w:tcW w:w="2033" w:type="dxa"/>
          </w:tcPr>
          <w:p w:rsidR="002F4EED" w:rsidRDefault="002F4EED" w:rsidP="00E7779F">
            <w:pPr>
              <w:pStyle w:val="naiskr"/>
              <w:spacing w:before="0" w:after="0"/>
              <w:jc w:val="both"/>
            </w:pPr>
            <w:r>
              <w:t>Attiecas uz Eiropas Komisijas pilnvarām</w:t>
            </w:r>
          </w:p>
        </w:tc>
      </w:tr>
      <w:tr w:rsidR="002F4EED" w:rsidTr="000E6B16">
        <w:trPr>
          <w:trHeight w:val="313"/>
          <w:jc w:val="center"/>
        </w:trPr>
        <w:tc>
          <w:tcPr>
            <w:tcW w:w="2886" w:type="dxa"/>
          </w:tcPr>
          <w:p w:rsidR="002F4EED" w:rsidRPr="004E4BE0" w:rsidRDefault="002F4EED" w:rsidP="00973014">
            <w:pPr>
              <w:pStyle w:val="naiskr"/>
              <w:spacing w:before="0" w:after="0"/>
              <w:jc w:val="both"/>
            </w:pPr>
            <w:r w:rsidRPr="004E4BE0">
              <w:t>8.panta 5.daļa</w:t>
            </w:r>
          </w:p>
        </w:tc>
        <w:tc>
          <w:tcPr>
            <w:tcW w:w="3118" w:type="dxa"/>
          </w:tcPr>
          <w:p w:rsidR="002F4EED" w:rsidRPr="004E4BE0" w:rsidRDefault="002F4EED" w:rsidP="00973014">
            <w:pPr>
              <w:pStyle w:val="naiskr"/>
              <w:spacing w:before="0" w:after="0"/>
              <w:jc w:val="both"/>
            </w:pPr>
          </w:p>
        </w:tc>
        <w:tc>
          <w:tcPr>
            <w:tcW w:w="1418" w:type="dxa"/>
          </w:tcPr>
          <w:p w:rsidR="002F4EED" w:rsidRPr="004E4BE0" w:rsidRDefault="002F4EED" w:rsidP="00E7779F">
            <w:pPr>
              <w:pStyle w:val="naiskr"/>
              <w:spacing w:before="0" w:after="0"/>
              <w:jc w:val="both"/>
            </w:pPr>
            <w:r w:rsidRPr="004E4BE0">
              <w:t>Nav jāpārņem</w:t>
            </w:r>
          </w:p>
        </w:tc>
        <w:tc>
          <w:tcPr>
            <w:tcW w:w="2033" w:type="dxa"/>
          </w:tcPr>
          <w:p w:rsidR="002F4EED" w:rsidRDefault="002F4EED" w:rsidP="00E7779F">
            <w:pPr>
              <w:pStyle w:val="naiskr"/>
              <w:spacing w:before="0" w:after="0"/>
              <w:jc w:val="both"/>
            </w:pPr>
            <w:r w:rsidRPr="004E4BE0">
              <w:t>Attiecas uz Eiropas Komisijas pilnvarām. Direktīvas normā ietvertā rīcības brīvība dalībvalstīm nav izmantota.</w:t>
            </w:r>
          </w:p>
        </w:tc>
      </w:tr>
      <w:tr w:rsidR="002F4EED" w:rsidTr="000E6B16">
        <w:trPr>
          <w:trHeight w:val="313"/>
          <w:jc w:val="center"/>
        </w:trPr>
        <w:tc>
          <w:tcPr>
            <w:tcW w:w="2886" w:type="dxa"/>
          </w:tcPr>
          <w:p w:rsidR="002F4EED" w:rsidRPr="001D5D1E" w:rsidRDefault="002F4EED" w:rsidP="00973014">
            <w:pPr>
              <w:pStyle w:val="naiskr"/>
              <w:spacing w:before="0" w:after="0"/>
              <w:jc w:val="both"/>
            </w:pPr>
            <w:r w:rsidRPr="001D5D1E">
              <w:t>8.panta 6.daļa</w:t>
            </w:r>
          </w:p>
        </w:tc>
        <w:tc>
          <w:tcPr>
            <w:tcW w:w="3118" w:type="dxa"/>
          </w:tcPr>
          <w:p w:rsidR="002F4EED" w:rsidRPr="001D5D1E" w:rsidRDefault="000E6B16" w:rsidP="00973014">
            <w:pPr>
              <w:pStyle w:val="naiskr"/>
              <w:spacing w:before="0" w:after="0"/>
              <w:jc w:val="both"/>
            </w:pPr>
            <w:r w:rsidRPr="00E31096">
              <w:t>Direktīvas normas prasības pārņemtas</w:t>
            </w:r>
            <w:r>
              <w:t xml:space="preserve"> Ministru kabineta 2006.gada 31.janvāra noteikumu Nr.101 </w:t>
            </w:r>
            <w:r w:rsidRPr="001D5D1E">
              <w:t>„</w:t>
            </w:r>
            <w:r w:rsidRPr="001D5D1E">
              <w:rPr>
                <w:bCs/>
              </w:rPr>
              <w:t xml:space="preserve">Latvijas vides aizsardzības fonda padomes nolikums” </w:t>
            </w:r>
            <w:r>
              <w:rPr>
                <w:bCs/>
              </w:rPr>
              <w:t>4.14</w:t>
            </w:r>
            <w:r w:rsidRPr="001D5D1E">
              <w:rPr>
                <w:bCs/>
              </w:rPr>
              <w:t>.punkt</w:t>
            </w:r>
            <w:r>
              <w:rPr>
                <w:bCs/>
              </w:rPr>
              <w:t>ā</w:t>
            </w:r>
          </w:p>
        </w:tc>
        <w:tc>
          <w:tcPr>
            <w:tcW w:w="1418" w:type="dxa"/>
          </w:tcPr>
          <w:p w:rsidR="002F4EED" w:rsidRPr="001D5D1E" w:rsidRDefault="00E31096" w:rsidP="00973014">
            <w:pPr>
              <w:pStyle w:val="naiskr"/>
              <w:spacing w:before="0" w:after="0"/>
              <w:jc w:val="both"/>
            </w:pPr>
            <w:r w:rsidRPr="00E31096">
              <w:t>Netiks pārņemts ar noteikumu projektu.</w:t>
            </w:r>
          </w:p>
        </w:tc>
        <w:tc>
          <w:tcPr>
            <w:tcW w:w="2033" w:type="dxa"/>
          </w:tcPr>
          <w:p w:rsidR="002F4EED" w:rsidRDefault="000E6B16" w:rsidP="00973014">
            <w:pPr>
              <w:pStyle w:val="naiskr"/>
              <w:spacing w:before="0" w:after="0"/>
              <w:jc w:val="both"/>
            </w:pPr>
            <w:r>
              <w:t>Netiek noteiktas stingrākas prasības</w:t>
            </w:r>
            <w:r w:rsidRPr="00E31096" w:rsidDel="000E6B16">
              <w:t xml:space="preserve"> </w:t>
            </w:r>
          </w:p>
        </w:tc>
      </w:tr>
      <w:tr w:rsidR="002F4EED" w:rsidTr="000E6B16">
        <w:trPr>
          <w:trHeight w:val="313"/>
          <w:jc w:val="center"/>
        </w:trPr>
        <w:tc>
          <w:tcPr>
            <w:tcW w:w="2886" w:type="dxa"/>
          </w:tcPr>
          <w:p w:rsidR="002F4EED" w:rsidRDefault="002F4EED" w:rsidP="00973014">
            <w:pPr>
              <w:pStyle w:val="naiskr"/>
              <w:spacing w:before="0" w:after="0"/>
              <w:jc w:val="both"/>
            </w:pPr>
            <w:r>
              <w:t>10.panta 1.daļa</w:t>
            </w:r>
          </w:p>
        </w:tc>
        <w:tc>
          <w:tcPr>
            <w:tcW w:w="3118" w:type="dxa"/>
          </w:tcPr>
          <w:p w:rsidR="002F4EED" w:rsidRDefault="00E14F60" w:rsidP="00973014">
            <w:pPr>
              <w:pStyle w:val="naiskr"/>
              <w:spacing w:before="0" w:after="0"/>
              <w:jc w:val="both"/>
            </w:pPr>
            <w:r>
              <w:t>28</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10.panta 2.daļa</w:t>
            </w:r>
          </w:p>
        </w:tc>
        <w:tc>
          <w:tcPr>
            <w:tcW w:w="3118" w:type="dxa"/>
          </w:tcPr>
          <w:p w:rsidR="002F4EED" w:rsidRDefault="00E14F60" w:rsidP="00973014">
            <w:pPr>
              <w:pStyle w:val="naiskr"/>
              <w:spacing w:before="0" w:after="0"/>
              <w:jc w:val="both"/>
            </w:pPr>
            <w:r>
              <w:t>28</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10.panta 3.daļa</w:t>
            </w:r>
          </w:p>
        </w:tc>
        <w:tc>
          <w:tcPr>
            <w:tcW w:w="3118" w:type="dxa"/>
          </w:tcPr>
          <w:p w:rsidR="002F4EED" w:rsidRDefault="002F4EED" w:rsidP="00973014">
            <w:pPr>
              <w:pStyle w:val="naiskr"/>
              <w:spacing w:before="0" w:after="0"/>
              <w:jc w:val="both"/>
            </w:pPr>
          </w:p>
        </w:tc>
        <w:tc>
          <w:tcPr>
            <w:tcW w:w="1418" w:type="dxa"/>
          </w:tcPr>
          <w:p w:rsidR="002F4EED" w:rsidRDefault="002F4EED" w:rsidP="00E7779F">
            <w:pPr>
              <w:pStyle w:val="naiskr"/>
              <w:spacing w:before="0" w:after="0"/>
              <w:jc w:val="both"/>
            </w:pPr>
            <w:r>
              <w:t>Nav jāpārņem</w:t>
            </w:r>
          </w:p>
        </w:tc>
        <w:tc>
          <w:tcPr>
            <w:tcW w:w="2033" w:type="dxa"/>
          </w:tcPr>
          <w:p w:rsidR="002F4EED" w:rsidRDefault="002F4EED" w:rsidP="00E7779F">
            <w:pPr>
              <w:pStyle w:val="naiskr"/>
              <w:spacing w:before="0" w:after="0"/>
              <w:jc w:val="both"/>
            </w:pPr>
            <w:r>
              <w:t>Attiecas uz Eiropas Komisijas pilnvarām</w:t>
            </w:r>
          </w:p>
        </w:tc>
      </w:tr>
      <w:tr w:rsidR="002F4EED" w:rsidTr="000E6B16">
        <w:trPr>
          <w:trHeight w:val="313"/>
          <w:jc w:val="center"/>
        </w:trPr>
        <w:tc>
          <w:tcPr>
            <w:tcW w:w="2886" w:type="dxa"/>
          </w:tcPr>
          <w:p w:rsidR="002F4EED" w:rsidRDefault="002F4EED" w:rsidP="00973014">
            <w:pPr>
              <w:pStyle w:val="naiskr"/>
              <w:spacing w:before="0" w:after="0"/>
              <w:jc w:val="both"/>
            </w:pPr>
            <w:r>
              <w:t>11.panta 1.daļa</w:t>
            </w:r>
          </w:p>
        </w:tc>
        <w:tc>
          <w:tcPr>
            <w:tcW w:w="3118" w:type="dxa"/>
          </w:tcPr>
          <w:p w:rsidR="002F4EED" w:rsidRDefault="00E14F60" w:rsidP="00973014">
            <w:pPr>
              <w:pStyle w:val="naiskr"/>
              <w:spacing w:before="0" w:after="0"/>
              <w:jc w:val="both"/>
            </w:pPr>
            <w:r>
              <w:t>24</w:t>
            </w:r>
            <w:r w:rsidR="002F4EED">
              <w:t>.punkts, 4.pielikums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11.panta 2.daļa</w:t>
            </w:r>
          </w:p>
        </w:tc>
        <w:tc>
          <w:tcPr>
            <w:tcW w:w="3118" w:type="dxa"/>
          </w:tcPr>
          <w:p w:rsidR="002F4EED" w:rsidRDefault="00E14F60" w:rsidP="00973014">
            <w:pPr>
              <w:pStyle w:val="naiskr"/>
              <w:spacing w:before="0" w:after="0"/>
              <w:jc w:val="both"/>
            </w:pPr>
            <w:r>
              <w:t>25</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11.panta 3.daļa</w:t>
            </w:r>
          </w:p>
        </w:tc>
        <w:tc>
          <w:tcPr>
            <w:tcW w:w="3118" w:type="dxa"/>
          </w:tcPr>
          <w:p w:rsidR="002F4EED" w:rsidRDefault="002F4EED" w:rsidP="00973014">
            <w:pPr>
              <w:pStyle w:val="naiskr"/>
              <w:spacing w:before="0" w:after="0"/>
              <w:jc w:val="both"/>
            </w:pPr>
          </w:p>
        </w:tc>
        <w:tc>
          <w:tcPr>
            <w:tcW w:w="1418" w:type="dxa"/>
          </w:tcPr>
          <w:p w:rsidR="002F4EED" w:rsidRDefault="002F4EED" w:rsidP="00E7779F">
            <w:pPr>
              <w:pStyle w:val="naiskr"/>
              <w:spacing w:before="0" w:after="0"/>
              <w:jc w:val="both"/>
            </w:pPr>
            <w:r>
              <w:t>Nav jāpārņem</w:t>
            </w:r>
          </w:p>
        </w:tc>
        <w:tc>
          <w:tcPr>
            <w:tcW w:w="2033" w:type="dxa"/>
          </w:tcPr>
          <w:p w:rsidR="002F4EED" w:rsidRDefault="002F4EED" w:rsidP="00E7779F">
            <w:pPr>
              <w:pStyle w:val="naiskr"/>
              <w:spacing w:before="0" w:after="0"/>
              <w:jc w:val="both"/>
            </w:pPr>
            <w:r>
              <w:t>Attiecas uz Eiropas Komisijas pilnvarām</w:t>
            </w:r>
          </w:p>
        </w:tc>
      </w:tr>
      <w:tr w:rsidR="002F4EED" w:rsidTr="000E6B16">
        <w:trPr>
          <w:trHeight w:val="313"/>
          <w:jc w:val="center"/>
        </w:trPr>
        <w:tc>
          <w:tcPr>
            <w:tcW w:w="2886" w:type="dxa"/>
          </w:tcPr>
          <w:p w:rsidR="002F4EED" w:rsidRDefault="002F4EED" w:rsidP="00973014">
            <w:pPr>
              <w:pStyle w:val="naiskr"/>
              <w:spacing w:before="0" w:after="0"/>
              <w:jc w:val="both"/>
            </w:pPr>
            <w:r>
              <w:t>11.panta 4.daļas 1.ridnkopa</w:t>
            </w:r>
          </w:p>
        </w:tc>
        <w:tc>
          <w:tcPr>
            <w:tcW w:w="3118" w:type="dxa"/>
          </w:tcPr>
          <w:p w:rsidR="002F4EED" w:rsidRDefault="00E14F60" w:rsidP="00973014">
            <w:pPr>
              <w:pStyle w:val="naiskr"/>
              <w:spacing w:before="0" w:after="0"/>
              <w:jc w:val="both"/>
            </w:pPr>
            <w:r>
              <w:t>27</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11.panta 4.daļas 2.rindkopa</w:t>
            </w:r>
          </w:p>
        </w:tc>
        <w:tc>
          <w:tcPr>
            <w:tcW w:w="3118" w:type="dxa"/>
          </w:tcPr>
          <w:p w:rsidR="002F4EED" w:rsidRDefault="00E14F60" w:rsidP="00973014">
            <w:pPr>
              <w:pStyle w:val="naiskr"/>
              <w:spacing w:before="0" w:after="0"/>
              <w:jc w:val="both"/>
            </w:pPr>
            <w:r>
              <w:t>27</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Pr="002F4EED" w:rsidRDefault="002F4EED" w:rsidP="00973014">
            <w:pPr>
              <w:pStyle w:val="naiskr"/>
              <w:spacing w:before="0" w:after="0"/>
              <w:jc w:val="both"/>
              <w:rPr>
                <w:highlight w:val="yellow"/>
              </w:rPr>
            </w:pPr>
            <w:r w:rsidRPr="001D5D1E">
              <w:t>11.panta 5.daļa</w:t>
            </w:r>
          </w:p>
        </w:tc>
        <w:tc>
          <w:tcPr>
            <w:tcW w:w="3118" w:type="dxa"/>
          </w:tcPr>
          <w:p w:rsidR="002F4EED" w:rsidRPr="002F4EED" w:rsidRDefault="000E6B16" w:rsidP="00973014">
            <w:pPr>
              <w:pStyle w:val="naiskr"/>
              <w:spacing w:before="0" w:after="0"/>
              <w:jc w:val="both"/>
              <w:rPr>
                <w:highlight w:val="yellow"/>
              </w:rPr>
            </w:pPr>
            <w:r w:rsidRPr="00E31096">
              <w:t>Direktīvas normas prasības pārņemtas</w:t>
            </w:r>
            <w:r>
              <w:t xml:space="preserve"> Ministru kabineta 2006.gada 31.janvāra noteikumu Nr.101 </w:t>
            </w:r>
            <w:r w:rsidRPr="001D5D1E">
              <w:t>„</w:t>
            </w:r>
            <w:r w:rsidRPr="001D5D1E">
              <w:rPr>
                <w:bCs/>
              </w:rPr>
              <w:t>Latvijas vides aizsardzības fonda padomes nolikums” 4.15.punkt</w:t>
            </w:r>
            <w:r>
              <w:rPr>
                <w:bCs/>
              </w:rPr>
              <w:t>ā</w:t>
            </w:r>
          </w:p>
        </w:tc>
        <w:tc>
          <w:tcPr>
            <w:tcW w:w="1418" w:type="dxa"/>
          </w:tcPr>
          <w:p w:rsidR="002F4EED" w:rsidRPr="002F4EED" w:rsidRDefault="00E31096" w:rsidP="00973014">
            <w:pPr>
              <w:pStyle w:val="naiskr"/>
              <w:spacing w:before="0" w:after="0"/>
              <w:jc w:val="both"/>
              <w:rPr>
                <w:highlight w:val="yellow"/>
              </w:rPr>
            </w:pPr>
            <w:r w:rsidRPr="00E31096">
              <w:t>Netiks pārņemts ar noteikumu projektu.</w:t>
            </w:r>
          </w:p>
        </w:tc>
        <w:tc>
          <w:tcPr>
            <w:tcW w:w="2033" w:type="dxa"/>
          </w:tcPr>
          <w:p w:rsidR="002F4EED" w:rsidRPr="001D5D1E" w:rsidRDefault="000E6B16" w:rsidP="00A813F6">
            <w:pPr>
              <w:jc w:val="both"/>
              <w:rPr>
                <w:rFonts w:ascii="Arial" w:hAnsi="Arial" w:cs="Arial"/>
                <w:b/>
                <w:bCs/>
                <w:color w:val="414142"/>
                <w:sz w:val="35"/>
                <w:szCs w:val="35"/>
              </w:rPr>
            </w:pPr>
            <w:r>
              <w:t>Netiek noteiktas stingrākas prasības</w:t>
            </w:r>
            <w:r w:rsidRPr="00E31096" w:rsidDel="000E6B16">
              <w:t xml:space="preserve"> </w:t>
            </w:r>
          </w:p>
        </w:tc>
      </w:tr>
      <w:tr w:rsidR="002F4EED" w:rsidTr="000E6B16">
        <w:trPr>
          <w:trHeight w:val="313"/>
          <w:jc w:val="center"/>
        </w:trPr>
        <w:tc>
          <w:tcPr>
            <w:tcW w:w="2886" w:type="dxa"/>
          </w:tcPr>
          <w:p w:rsidR="002F4EED" w:rsidRDefault="002F4EED" w:rsidP="00973014">
            <w:pPr>
              <w:pStyle w:val="naiskr"/>
              <w:spacing w:before="0" w:after="0"/>
              <w:jc w:val="both"/>
            </w:pPr>
            <w:r>
              <w:t>11.panta 6.daļa</w:t>
            </w:r>
          </w:p>
        </w:tc>
        <w:tc>
          <w:tcPr>
            <w:tcW w:w="3118" w:type="dxa"/>
          </w:tcPr>
          <w:p w:rsidR="002F4EED" w:rsidRDefault="002F4EED" w:rsidP="00973014">
            <w:pPr>
              <w:pStyle w:val="naiskr"/>
              <w:spacing w:before="0" w:after="0"/>
              <w:jc w:val="both"/>
            </w:pPr>
          </w:p>
        </w:tc>
        <w:tc>
          <w:tcPr>
            <w:tcW w:w="1418" w:type="dxa"/>
          </w:tcPr>
          <w:p w:rsidR="002F4EED" w:rsidRDefault="002F4EED" w:rsidP="00E7779F">
            <w:pPr>
              <w:pStyle w:val="naiskr"/>
              <w:spacing w:before="0" w:after="0"/>
              <w:jc w:val="both"/>
            </w:pPr>
            <w:r>
              <w:t>Nav jāpārņem</w:t>
            </w:r>
          </w:p>
        </w:tc>
        <w:tc>
          <w:tcPr>
            <w:tcW w:w="2033" w:type="dxa"/>
          </w:tcPr>
          <w:p w:rsidR="002F4EED" w:rsidRDefault="002F4EED" w:rsidP="00E7779F">
            <w:pPr>
              <w:pStyle w:val="naiskr"/>
              <w:spacing w:before="0" w:after="0"/>
              <w:jc w:val="both"/>
            </w:pPr>
            <w:r>
              <w:t>Attiecas uz Eiropas Komisijas pilnvarām</w:t>
            </w:r>
          </w:p>
        </w:tc>
      </w:tr>
      <w:tr w:rsidR="002F4EED" w:rsidTr="000E6B16">
        <w:trPr>
          <w:trHeight w:val="313"/>
          <w:jc w:val="center"/>
        </w:trPr>
        <w:tc>
          <w:tcPr>
            <w:tcW w:w="2886" w:type="dxa"/>
          </w:tcPr>
          <w:p w:rsidR="002F4EED" w:rsidRPr="001D5D1E" w:rsidRDefault="002F4EED" w:rsidP="00973014">
            <w:pPr>
              <w:pStyle w:val="naiskr"/>
              <w:spacing w:before="0" w:after="0"/>
              <w:jc w:val="both"/>
            </w:pPr>
            <w:r w:rsidRPr="001D5D1E">
              <w:t>14.panta 1.daļa</w:t>
            </w:r>
          </w:p>
        </w:tc>
        <w:tc>
          <w:tcPr>
            <w:tcW w:w="3118" w:type="dxa"/>
          </w:tcPr>
          <w:p w:rsidR="002F4EED" w:rsidRPr="001D5D1E" w:rsidRDefault="000E6B16" w:rsidP="00973014">
            <w:pPr>
              <w:pStyle w:val="naiskr"/>
              <w:spacing w:before="0" w:after="0"/>
              <w:jc w:val="both"/>
            </w:pPr>
            <w:r w:rsidRPr="00E31096">
              <w:t xml:space="preserve">Direktīvas normas prasības </w:t>
            </w:r>
            <w:r w:rsidRPr="00E31096">
              <w:lastRenderedPageBreak/>
              <w:t>pārņemtas</w:t>
            </w:r>
            <w:r>
              <w:t xml:space="preserve"> Atkritumu apsaimniekošanas likuma 27.panta 4.daļā</w:t>
            </w:r>
          </w:p>
        </w:tc>
        <w:tc>
          <w:tcPr>
            <w:tcW w:w="1418" w:type="dxa"/>
          </w:tcPr>
          <w:p w:rsidR="002F4EED" w:rsidRPr="001D5D1E" w:rsidRDefault="00E31096" w:rsidP="00973014">
            <w:pPr>
              <w:pStyle w:val="naiskr"/>
              <w:spacing w:before="0" w:after="0"/>
              <w:jc w:val="both"/>
            </w:pPr>
            <w:r w:rsidRPr="00E31096">
              <w:lastRenderedPageBreak/>
              <w:t xml:space="preserve">Netiks </w:t>
            </w:r>
            <w:r w:rsidRPr="00E31096">
              <w:lastRenderedPageBreak/>
              <w:t>pārņemts ar noteikumu projektu.</w:t>
            </w:r>
          </w:p>
        </w:tc>
        <w:tc>
          <w:tcPr>
            <w:tcW w:w="2033" w:type="dxa"/>
          </w:tcPr>
          <w:p w:rsidR="002F4EED" w:rsidRDefault="000E6B16" w:rsidP="00973014">
            <w:pPr>
              <w:pStyle w:val="naiskr"/>
              <w:spacing w:before="0" w:after="0"/>
              <w:jc w:val="both"/>
            </w:pPr>
            <w:r>
              <w:lastRenderedPageBreak/>
              <w:t xml:space="preserve">Netiek noteiktas </w:t>
            </w:r>
            <w:r>
              <w:lastRenderedPageBreak/>
              <w:t>stingrākas prasības</w:t>
            </w:r>
            <w:r w:rsidRPr="00E31096" w:rsidDel="000E6B16">
              <w:t xml:space="preserve"> </w:t>
            </w:r>
          </w:p>
        </w:tc>
      </w:tr>
      <w:tr w:rsidR="002F4EED" w:rsidTr="000E6B16">
        <w:trPr>
          <w:trHeight w:val="313"/>
          <w:jc w:val="center"/>
        </w:trPr>
        <w:tc>
          <w:tcPr>
            <w:tcW w:w="2886" w:type="dxa"/>
          </w:tcPr>
          <w:p w:rsidR="002F4EED" w:rsidRDefault="002F4EED" w:rsidP="00973014">
            <w:pPr>
              <w:pStyle w:val="naiskr"/>
              <w:spacing w:before="0" w:after="0"/>
              <w:jc w:val="both"/>
            </w:pPr>
            <w:r>
              <w:lastRenderedPageBreak/>
              <w:t>14.panta 2.daļas a)punkts</w:t>
            </w:r>
          </w:p>
        </w:tc>
        <w:tc>
          <w:tcPr>
            <w:tcW w:w="3118" w:type="dxa"/>
          </w:tcPr>
          <w:p w:rsidR="002F4EED" w:rsidRDefault="00B53659" w:rsidP="00973014">
            <w:pPr>
              <w:pStyle w:val="naiskr"/>
              <w:spacing w:before="0" w:after="0"/>
              <w:jc w:val="both"/>
            </w:pPr>
            <w:r>
              <w:t>5</w:t>
            </w:r>
            <w:r w:rsidR="002F4EED">
              <w:t>.</w:t>
            </w:r>
            <w:r>
              <w:t>1.</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14.panta 2.daļas b)punkts</w:t>
            </w:r>
          </w:p>
        </w:tc>
        <w:tc>
          <w:tcPr>
            <w:tcW w:w="3118" w:type="dxa"/>
          </w:tcPr>
          <w:p w:rsidR="002F4EED" w:rsidRDefault="00B53659" w:rsidP="00973014">
            <w:pPr>
              <w:pStyle w:val="naiskr"/>
              <w:spacing w:before="0" w:after="0"/>
              <w:jc w:val="both"/>
            </w:pPr>
            <w:r>
              <w:t>4</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14.panta 2.daļas c)punkts</w:t>
            </w:r>
          </w:p>
        </w:tc>
        <w:tc>
          <w:tcPr>
            <w:tcW w:w="3118" w:type="dxa"/>
          </w:tcPr>
          <w:p w:rsidR="002F4EED" w:rsidRDefault="00B53659" w:rsidP="00973014">
            <w:pPr>
              <w:pStyle w:val="naiskr"/>
              <w:spacing w:before="0" w:after="0"/>
              <w:jc w:val="both"/>
            </w:pPr>
            <w:r>
              <w:t>5.2</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14.panta 2.daļas d)punkts</w:t>
            </w:r>
          </w:p>
        </w:tc>
        <w:tc>
          <w:tcPr>
            <w:tcW w:w="3118" w:type="dxa"/>
          </w:tcPr>
          <w:p w:rsidR="002F4EED" w:rsidRDefault="00B53659" w:rsidP="00973014">
            <w:pPr>
              <w:pStyle w:val="naiskr"/>
              <w:spacing w:before="0" w:after="0"/>
              <w:jc w:val="both"/>
            </w:pPr>
            <w:r>
              <w:t>5.3</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14.panta 2.daļas e)punkts</w:t>
            </w:r>
          </w:p>
        </w:tc>
        <w:tc>
          <w:tcPr>
            <w:tcW w:w="3118" w:type="dxa"/>
          </w:tcPr>
          <w:p w:rsidR="002F4EED" w:rsidRDefault="00B53659" w:rsidP="00973014">
            <w:pPr>
              <w:pStyle w:val="naiskr"/>
              <w:spacing w:before="0" w:after="0"/>
              <w:jc w:val="both"/>
            </w:pPr>
            <w:r>
              <w:t>5.4</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Pr="001D5D1E" w:rsidRDefault="002F4EED" w:rsidP="00973014">
            <w:pPr>
              <w:pStyle w:val="naiskr"/>
              <w:spacing w:before="0" w:after="0"/>
              <w:jc w:val="both"/>
            </w:pPr>
            <w:r w:rsidRPr="001D5D1E">
              <w:t>14.panta 3.daļa</w:t>
            </w:r>
          </w:p>
        </w:tc>
        <w:tc>
          <w:tcPr>
            <w:tcW w:w="3118" w:type="dxa"/>
          </w:tcPr>
          <w:p w:rsidR="002F4EED" w:rsidRPr="001D5D1E" w:rsidRDefault="000E6B16" w:rsidP="00973014">
            <w:pPr>
              <w:pStyle w:val="naiskr"/>
              <w:spacing w:before="0" w:after="0"/>
              <w:jc w:val="both"/>
            </w:pPr>
            <w:r w:rsidRPr="00E31096">
              <w:t>Direktīvas normas prasības pārņemtas</w:t>
            </w:r>
            <w:r>
              <w:t xml:space="preserve"> </w:t>
            </w:r>
            <w:r w:rsidRPr="001D5D1E">
              <w:rPr>
                <w:color w:val="3F3F3F"/>
              </w:rPr>
              <w:t xml:space="preserve">Ministru kabineta 2009.gada 3.novembra noteikumi Nr.1294 </w:t>
            </w:r>
            <w:r>
              <w:rPr>
                <w:rStyle w:val="Strong"/>
                <w:b w:val="0"/>
              </w:rPr>
              <w:t>„</w:t>
            </w:r>
            <w:r w:rsidRPr="001D5D1E">
              <w:rPr>
                <w:rStyle w:val="Strong"/>
                <w:b w:val="0"/>
              </w:rPr>
              <w:t>Kārtība, kādā atbrīvo no dabas resursu nodokļa samaksas par videi kaitīgām precēm” 2.punkt</w:t>
            </w:r>
            <w:r>
              <w:rPr>
                <w:rStyle w:val="Strong"/>
                <w:b w:val="0"/>
              </w:rPr>
              <w:t>ā</w:t>
            </w:r>
          </w:p>
        </w:tc>
        <w:tc>
          <w:tcPr>
            <w:tcW w:w="1418" w:type="dxa"/>
          </w:tcPr>
          <w:p w:rsidR="002F4EED" w:rsidRPr="001D5D1E" w:rsidRDefault="00E31096" w:rsidP="00973014">
            <w:pPr>
              <w:pStyle w:val="naiskr"/>
              <w:spacing w:before="0" w:after="0"/>
              <w:jc w:val="both"/>
            </w:pPr>
            <w:r w:rsidRPr="00E31096">
              <w:t>Netiks pārņemts ar noteikumu projektu.</w:t>
            </w:r>
          </w:p>
        </w:tc>
        <w:tc>
          <w:tcPr>
            <w:tcW w:w="2033" w:type="dxa"/>
          </w:tcPr>
          <w:p w:rsidR="002F4EED" w:rsidRPr="001D5D1E" w:rsidRDefault="00605FB0"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14.panta 4.daļa</w:t>
            </w:r>
          </w:p>
        </w:tc>
        <w:tc>
          <w:tcPr>
            <w:tcW w:w="3118" w:type="dxa"/>
          </w:tcPr>
          <w:p w:rsidR="002F4EED" w:rsidRDefault="00E14F60" w:rsidP="00973014">
            <w:pPr>
              <w:pStyle w:val="naiskr"/>
              <w:spacing w:before="0" w:after="0"/>
              <w:jc w:val="both"/>
            </w:pPr>
            <w:r>
              <w:t>6</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Pr="004E4BE0" w:rsidRDefault="002F4EED" w:rsidP="00973014">
            <w:pPr>
              <w:pStyle w:val="naiskr"/>
              <w:spacing w:before="0" w:after="0"/>
              <w:jc w:val="both"/>
            </w:pPr>
            <w:r w:rsidRPr="004E4BE0">
              <w:t>14.panta 5.daļa</w:t>
            </w:r>
          </w:p>
        </w:tc>
        <w:tc>
          <w:tcPr>
            <w:tcW w:w="3118" w:type="dxa"/>
          </w:tcPr>
          <w:p w:rsidR="002F4EED" w:rsidRPr="004E4BE0" w:rsidRDefault="00605FB0" w:rsidP="00973014">
            <w:pPr>
              <w:pStyle w:val="naiskr"/>
              <w:spacing w:before="0" w:after="0"/>
              <w:jc w:val="both"/>
            </w:pPr>
            <w:r>
              <w:t>5.punkts</w:t>
            </w:r>
          </w:p>
        </w:tc>
        <w:tc>
          <w:tcPr>
            <w:tcW w:w="1418" w:type="dxa"/>
          </w:tcPr>
          <w:p w:rsidR="002F4EED" w:rsidRPr="004E4BE0" w:rsidRDefault="00605FB0" w:rsidP="00973014">
            <w:pPr>
              <w:pStyle w:val="naiskr"/>
              <w:spacing w:before="0" w:after="0"/>
              <w:jc w:val="both"/>
            </w:pPr>
            <w:r>
              <w:t xml:space="preserve">Atbilst pilnībā. </w:t>
            </w:r>
          </w:p>
        </w:tc>
        <w:tc>
          <w:tcPr>
            <w:tcW w:w="2033" w:type="dxa"/>
          </w:tcPr>
          <w:p w:rsidR="002F4EED" w:rsidRDefault="00605FB0" w:rsidP="00605FB0">
            <w:pPr>
              <w:pStyle w:val="naiskr"/>
              <w:spacing w:before="0" w:after="0"/>
              <w:jc w:val="both"/>
            </w:pPr>
            <w:r>
              <w:t xml:space="preserve">Ir izmantota </w:t>
            </w:r>
            <w:r w:rsidR="002F4EED" w:rsidRPr="004E4BE0">
              <w:t xml:space="preserve">Direktīvas normā ietvertā </w:t>
            </w:r>
            <w:r>
              <w:t>rīcības brīvība noteikt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15.panta 1.daļa</w:t>
            </w:r>
          </w:p>
        </w:tc>
        <w:tc>
          <w:tcPr>
            <w:tcW w:w="3118" w:type="dxa"/>
          </w:tcPr>
          <w:p w:rsidR="002F4EED" w:rsidRDefault="00E14F60" w:rsidP="00973014">
            <w:pPr>
              <w:pStyle w:val="naiskr"/>
              <w:spacing w:before="0" w:after="0"/>
              <w:jc w:val="both"/>
            </w:pPr>
            <w:r>
              <w:t>7</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15.panta 2.daļa</w:t>
            </w:r>
          </w:p>
        </w:tc>
        <w:tc>
          <w:tcPr>
            <w:tcW w:w="3118" w:type="dxa"/>
          </w:tcPr>
          <w:p w:rsidR="002F4EED" w:rsidRDefault="00E14F60" w:rsidP="00973014">
            <w:pPr>
              <w:pStyle w:val="naiskr"/>
              <w:spacing w:before="0" w:after="0"/>
              <w:jc w:val="both"/>
            </w:pPr>
            <w:r>
              <w:t>6</w:t>
            </w:r>
            <w:r w:rsidR="000E6B16">
              <w:t xml:space="preserve">.punkts, </w:t>
            </w:r>
            <w:r w:rsidR="002F4EED">
              <w:t>3.pielikums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RPr="002F4EED" w:rsidTr="000E6B16">
        <w:trPr>
          <w:trHeight w:val="313"/>
          <w:jc w:val="center"/>
        </w:trPr>
        <w:tc>
          <w:tcPr>
            <w:tcW w:w="2886" w:type="dxa"/>
          </w:tcPr>
          <w:p w:rsidR="002F4EED" w:rsidRPr="008B5261" w:rsidRDefault="002F4EED" w:rsidP="00973014">
            <w:pPr>
              <w:pStyle w:val="naiskr"/>
              <w:spacing w:before="0" w:after="0"/>
              <w:jc w:val="both"/>
            </w:pPr>
            <w:r w:rsidRPr="008B5261">
              <w:t>16.panta 1.daļa</w:t>
            </w:r>
          </w:p>
        </w:tc>
        <w:tc>
          <w:tcPr>
            <w:tcW w:w="3118" w:type="dxa"/>
          </w:tcPr>
          <w:p w:rsidR="002F4EED" w:rsidRPr="008B5261" w:rsidRDefault="000E6B16" w:rsidP="00973014">
            <w:pPr>
              <w:pStyle w:val="naiskr"/>
              <w:spacing w:before="0" w:after="0"/>
              <w:jc w:val="both"/>
            </w:pPr>
            <w:r w:rsidRPr="00E31096">
              <w:t>Direktīvas normas prasības pārņemtas</w:t>
            </w:r>
            <w:r>
              <w:t xml:space="preserve"> </w:t>
            </w:r>
            <w:r w:rsidRPr="008B5261">
              <w:t>Ministru kabine</w:t>
            </w:r>
            <w:r>
              <w:t>ta 2011.gada 26.aprīļa noteikumos</w:t>
            </w:r>
            <w:r w:rsidRPr="008B5261">
              <w:t xml:space="preserve"> Nr.323</w:t>
            </w:r>
            <w:r w:rsidRPr="008B5261">
              <w:rPr>
                <w:rStyle w:val="Strong"/>
              </w:rPr>
              <w:t xml:space="preserve"> </w:t>
            </w:r>
            <w:r>
              <w:rPr>
                <w:rStyle w:val="Strong"/>
                <w:b w:val="0"/>
              </w:rPr>
              <w:t>„</w:t>
            </w:r>
            <w:r w:rsidRPr="008B5261">
              <w:rPr>
                <w:rStyle w:val="Strong"/>
                <w:b w:val="0"/>
              </w:rPr>
              <w:t>Noteikumi par elektrisko un elektronisko iekārtu ražotāju un bateriju vai akumulatoru ražotāju reģistrācijas kārtību un samaksu par datu uzturēšanu”</w:t>
            </w:r>
          </w:p>
        </w:tc>
        <w:tc>
          <w:tcPr>
            <w:tcW w:w="1418" w:type="dxa"/>
          </w:tcPr>
          <w:p w:rsidR="002F4EED" w:rsidRPr="008B5261" w:rsidRDefault="00E31096" w:rsidP="00973014">
            <w:pPr>
              <w:pStyle w:val="naiskr"/>
              <w:spacing w:before="0" w:after="0"/>
              <w:jc w:val="both"/>
            </w:pPr>
            <w:r w:rsidRPr="00E31096">
              <w:t>Netiks pārņemts ar noteikumu projektu.</w:t>
            </w:r>
          </w:p>
        </w:tc>
        <w:tc>
          <w:tcPr>
            <w:tcW w:w="2033" w:type="dxa"/>
          </w:tcPr>
          <w:p w:rsidR="002F4EED" w:rsidRPr="008B5261" w:rsidRDefault="000E6B16" w:rsidP="00A813F6">
            <w:pPr>
              <w:jc w:val="both"/>
            </w:pPr>
            <w:r>
              <w:t xml:space="preserve">Netiek noteiktas stingrākas prasības. </w:t>
            </w:r>
          </w:p>
        </w:tc>
      </w:tr>
      <w:tr w:rsidR="002F4EED" w:rsidTr="000E6B16">
        <w:trPr>
          <w:trHeight w:val="313"/>
          <w:jc w:val="center"/>
        </w:trPr>
        <w:tc>
          <w:tcPr>
            <w:tcW w:w="2886" w:type="dxa"/>
          </w:tcPr>
          <w:p w:rsidR="002F4EED" w:rsidRPr="008B5261" w:rsidRDefault="002F4EED" w:rsidP="00973014">
            <w:pPr>
              <w:pStyle w:val="naiskr"/>
              <w:spacing w:before="0" w:after="0"/>
              <w:jc w:val="both"/>
            </w:pPr>
            <w:r w:rsidRPr="008B5261">
              <w:t>16.panta 2.daļa</w:t>
            </w:r>
          </w:p>
        </w:tc>
        <w:tc>
          <w:tcPr>
            <w:tcW w:w="3118" w:type="dxa"/>
          </w:tcPr>
          <w:p w:rsidR="002F4EED" w:rsidRPr="008B5261" w:rsidRDefault="000E6B16" w:rsidP="00973014">
            <w:pPr>
              <w:pStyle w:val="naiskr"/>
              <w:spacing w:before="0" w:after="0"/>
              <w:jc w:val="both"/>
            </w:pPr>
            <w:r w:rsidRPr="00E31096">
              <w:t>Direktīvas normas prasības pārņemtas</w:t>
            </w:r>
            <w:r>
              <w:t xml:space="preserve"> </w:t>
            </w:r>
            <w:r w:rsidRPr="008B5261">
              <w:t>Ministru kabine</w:t>
            </w:r>
            <w:r>
              <w:t>ta 2011.gada 26.aprīļa noteikumos</w:t>
            </w:r>
            <w:r w:rsidRPr="008B5261">
              <w:t xml:space="preserve"> Nr.323</w:t>
            </w:r>
            <w:r w:rsidRPr="008B5261">
              <w:rPr>
                <w:rStyle w:val="Strong"/>
              </w:rPr>
              <w:t xml:space="preserve"> </w:t>
            </w:r>
            <w:r w:rsidRPr="001D5D1E">
              <w:rPr>
                <w:rStyle w:val="Strong"/>
                <w:b w:val="0"/>
              </w:rPr>
              <w:t>„</w:t>
            </w:r>
            <w:r w:rsidRPr="008B5261">
              <w:rPr>
                <w:rStyle w:val="Strong"/>
                <w:b w:val="0"/>
              </w:rPr>
              <w:t>Noteikumi par elektrisko un elektronisko iekārtu ražotāju un bateriju vai akumulatoru ražotāju reģistrācijas kārtību un samaksu par datu uzturēšanu</w:t>
            </w:r>
            <w:r>
              <w:rPr>
                <w:rStyle w:val="Strong"/>
                <w:b w:val="0"/>
              </w:rPr>
              <w:t>”</w:t>
            </w:r>
          </w:p>
        </w:tc>
        <w:tc>
          <w:tcPr>
            <w:tcW w:w="1418" w:type="dxa"/>
          </w:tcPr>
          <w:p w:rsidR="002F4EED" w:rsidRPr="008B5261" w:rsidRDefault="00E31096" w:rsidP="00973014">
            <w:pPr>
              <w:pStyle w:val="naiskr"/>
              <w:spacing w:before="0" w:after="0"/>
              <w:jc w:val="both"/>
            </w:pPr>
            <w:r w:rsidRPr="00E31096">
              <w:t>Netiks pārņemts ar noteikumu projektu.</w:t>
            </w:r>
          </w:p>
        </w:tc>
        <w:tc>
          <w:tcPr>
            <w:tcW w:w="2033" w:type="dxa"/>
          </w:tcPr>
          <w:p w:rsidR="002F4EED" w:rsidRPr="008B5261" w:rsidRDefault="000E6B16" w:rsidP="008B5261">
            <w:r>
              <w:t xml:space="preserve">Netiek noteiktas stingrākas prasības. </w:t>
            </w:r>
          </w:p>
        </w:tc>
      </w:tr>
      <w:tr w:rsidR="002F4EED" w:rsidTr="000E6B16">
        <w:trPr>
          <w:trHeight w:val="313"/>
          <w:jc w:val="center"/>
        </w:trPr>
        <w:tc>
          <w:tcPr>
            <w:tcW w:w="2886" w:type="dxa"/>
          </w:tcPr>
          <w:p w:rsidR="002F4EED" w:rsidRDefault="002F4EED" w:rsidP="00973014">
            <w:pPr>
              <w:pStyle w:val="naiskr"/>
              <w:spacing w:before="0" w:after="0"/>
              <w:jc w:val="both"/>
            </w:pPr>
            <w:r>
              <w:lastRenderedPageBreak/>
              <w:t>16.panta 3.daļa</w:t>
            </w:r>
          </w:p>
        </w:tc>
        <w:tc>
          <w:tcPr>
            <w:tcW w:w="3118" w:type="dxa"/>
          </w:tcPr>
          <w:p w:rsidR="002F4EED" w:rsidRDefault="002F4EED" w:rsidP="00973014">
            <w:pPr>
              <w:pStyle w:val="naiskr"/>
              <w:spacing w:before="0" w:after="0"/>
              <w:jc w:val="both"/>
            </w:pPr>
          </w:p>
        </w:tc>
        <w:tc>
          <w:tcPr>
            <w:tcW w:w="1418" w:type="dxa"/>
          </w:tcPr>
          <w:p w:rsidR="002F4EED" w:rsidRDefault="002F4EED" w:rsidP="00E7779F">
            <w:pPr>
              <w:pStyle w:val="naiskr"/>
              <w:spacing w:before="0" w:after="0"/>
              <w:jc w:val="both"/>
            </w:pPr>
            <w:r>
              <w:t>Nav jāpārņem</w:t>
            </w:r>
          </w:p>
        </w:tc>
        <w:tc>
          <w:tcPr>
            <w:tcW w:w="2033" w:type="dxa"/>
          </w:tcPr>
          <w:p w:rsidR="002F4EED" w:rsidRDefault="002F4EED" w:rsidP="00E7779F">
            <w:pPr>
              <w:pStyle w:val="naiskr"/>
              <w:spacing w:before="0" w:after="0"/>
              <w:jc w:val="both"/>
            </w:pPr>
            <w:r>
              <w:t>Attiecas uz Eiropas Komisijas pilnvarām</w:t>
            </w:r>
          </w:p>
        </w:tc>
      </w:tr>
      <w:tr w:rsidR="002F4EED" w:rsidTr="000E6B16">
        <w:trPr>
          <w:trHeight w:val="313"/>
          <w:jc w:val="center"/>
        </w:trPr>
        <w:tc>
          <w:tcPr>
            <w:tcW w:w="2886" w:type="dxa"/>
          </w:tcPr>
          <w:p w:rsidR="002F4EED" w:rsidRDefault="002F4EED" w:rsidP="00973014">
            <w:pPr>
              <w:pStyle w:val="naiskr"/>
              <w:spacing w:before="0" w:after="0"/>
              <w:jc w:val="both"/>
            </w:pPr>
            <w:r>
              <w:t>16.panta 4.daļa</w:t>
            </w:r>
          </w:p>
        </w:tc>
        <w:tc>
          <w:tcPr>
            <w:tcW w:w="3118" w:type="dxa"/>
          </w:tcPr>
          <w:p w:rsidR="002F4EED" w:rsidRDefault="00E14F60" w:rsidP="00973014">
            <w:pPr>
              <w:pStyle w:val="naiskr"/>
              <w:spacing w:before="0" w:after="0"/>
              <w:jc w:val="both"/>
            </w:pPr>
            <w:r>
              <w:t>32</w:t>
            </w:r>
            <w:r w:rsidR="002F4EED">
              <w:t xml:space="preserve">.punkts </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16.panta 5.daļa</w:t>
            </w:r>
          </w:p>
        </w:tc>
        <w:tc>
          <w:tcPr>
            <w:tcW w:w="3118" w:type="dxa"/>
          </w:tcPr>
          <w:p w:rsidR="002F4EED" w:rsidRDefault="00E14F60" w:rsidP="00973014">
            <w:pPr>
              <w:pStyle w:val="naiskr"/>
              <w:spacing w:before="0" w:after="0"/>
              <w:jc w:val="both"/>
            </w:pPr>
            <w:r>
              <w:t>33</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18.pants</w:t>
            </w:r>
          </w:p>
        </w:tc>
        <w:tc>
          <w:tcPr>
            <w:tcW w:w="3118" w:type="dxa"/>
          </w:tcPr>
          <w:p w:rsidR="002F4EED" w:rsidRDefault="00E14F60" w:rsidP="00973014">
            <w:pPr>
              <w:pStyle w:val="naiskr"/>
              <w:spacing w:before="0" w:after="0"/>
              <w:jc w:val="both"/>
            </w:pPr>
            <w:r>
              <w:t>34</w:t>
            </w:r>
            <w:r w:rsidR="002F4EED">
              <w:t>.punkts</w:t>
            </w:r>
          </w:p>
        </w:tc>
        <w:tc>
          <w:tcPr>
            <w:tcW w:w="1418" w:type="dxa"/>
          </w:tcPr>
          <w:p w:rsidR="002F4EED" w:rsidRDefault="002F4EED" w:rsidP="00E7779F">
            <w:pPr>
              <w:pStyle w:val="naiskr"/>
              <w:spacing w:before="0" w:after="0"/>
              <w:jc w:val="both"/>
            </w:pPr>
            <w:r>
              <w:t xml:space="preserve">Atbilst pilnībā. </w:t>
            </w:r>
          </w:p>
        </w:tc>
        <w:tc>
          <w:tcPr>
            <w:tcW w:w="2033" w:type="dxa"/>
          </w:tcPr>
          <w:p w:rsidR="002F4EED" w:rsidRDefault="002F4EED" w:rsidP="00E7779F">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1.pielikums</w:t>
            </w:r>
          </w:p>
        </w:tc>
        <w:tc>
          <w:tcPr>
            <w:tcW w:w="3118" w:type="dxa"/>
          </w:tcPr>
          <w:p w:rsidR="002F4EED" w:rsidRDefault="002F4EED" w:rsidP="00973014">
            <w:pPr>
              <w:pStyle w:val="naiskr"/>
              <w:spacing w:before="0" w:after="0"/>
              <w:jc w:val="both"/>
            </w:pPr>
            <w:r>
              <w:t>1.pielikums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2.pielikums</w:t>
            </w:r>
          </w:p>
        </w:tc>
        <w:tc>
          <w:tcPr>
            <w:tcW w:w="3118" w:type="dxa"/>
          </w:tcPr>
          <w:p w:rsidR="002F4EED" w:rsidRDefault="002F4EED" w:rsidP="00973014">
            <w:pPr>
              <w:pStyle w:val="naiskr"/>
              <w:spacing w:before="0" w:after="0"/>
              <w:jc w:val="both"/>
            </w:pPr>
            <w:r>
              <w:t>1.pielikums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3.pielikums</w:t>
            </w:r>
          </w:p>
        </w:tc>
        <w:tc>
          <w:tcPr>
            <w:tcW w:w="3118" w:type="dxa"/>
          </w:tcPr>
          <w:p w:rsidR="002F4EED" w:rsidRDefault="002F4EED" w:rsidP="00973014">
            <w:pPr>
              <w:pStyle w:val="naiskr"/>
              <w:spacing w:before="0" w:after="0"/>
              <w:jc w:val="both"/>
            </w:pPr>
            <w:r>
              <w:t>2.pielikums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4.pielikums</w:t>
            </w:r>
          </w:p>
        </w:tc>
        <w:tc>
          <w:tcPr>
            <w:tcW w:w="3118" w:type="dxa"/>
          </w:tcPr>
          <w:p w:rsidR="002F4EED" w:rsidRDefault="002F4EED" w:rsidP="00973014">
            <w:pPr>
              <w:pStyle w:val="naiskr"/>
              <w:spacing w:before="0" w:after="0"/>
              <w:jc w:val="both"/>
            </w:pPr>
            <w:r>
              <w:t>2.pielikums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5.pielikums</w:t>
            </w:r>
          </w:p>
        </w:tc>
        <w:tc>
          <w:tcPr>
            <w:tcW w:w="3118" w:type="dxa"/>
          </w:tcPr>
          <w:p w:rsidR="002F4EED" w:rsidRDefault="002F4EED" w:rsidP="00973014">
            <w:pPr>
              <w:pStyle w:val="naiskr"/>
              <w:spacing w:before="0" w:after="0"/>
              <w:jc w:val="both"/>
            </w:pPr>
            <w:r>
              <w:t>4.pielikums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7.pielikums</w:t>
            </w:r>
          </w:p>
        </w:tc>
        <w:tc>
          <w:tcPr>
            <w:tcW w:w="3118" w:type="dxa"/>
          </w:tcPr>
          <w:p w:rsidR="002F4EED" w:rsidRDefault="002F4EED" w:rsidP="00973014">
            <w:pPr>
              <w:pStyle w:val="naiskr"/>
              <w:spacing w:before="0" w:after="0"/>
              <w:jc w:val="both"/>
            </w:pPr>
            <w:r>
              <w:t>16.punkts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8.pielikuma 1.daļa</w:t>
            </w:r>
          </w:p>
        </w:tc>
        <w:tc>
          <w:tcPr>
            <w:tcW w:w="3118" w:type="dxa"/>
          </w:tcPr>
          <w:p w:rsidR="002F4EED" w:rsidRDefault="002F4EED" w:rsidP="00973014">
            <w:pPr>
              <w:pStyle w:val="naiskr"/>
              <w:spacing w:before="0" w:after="0"/>
              <w:jc w:val="both"/>
            </w:pPr>
            <w:r>
              <w:t>14.punkts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8.pielikuma 2.daļa</w:t>
            </w:r>
          </w:p>
        </w:tc>
        <w:tc>
          <w:tcPr>
            <w:tcW w:w="3118" w:type="dxa"/>
          </w:tcPr>
          <w:p w:rsidR="002F4EED" w:rsidRDefault="002F4EED" w:rsidP="00973014">
            <w:pPr>
              <w:pStyle w:val="naiskr"/>
              <w:spacing w:before="0" w:after="0"/>
              <w:jc w:val="both"/>
            </w:pPr>
            <w:r>
              <w:t>15.punkts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r w:rsidR="002F4EED" w:rsidTr="000E6B16">
        <w:trPr>
          <w:trHeight w:val="313"/>
          <w:jc w:val="center"/>
        </w:trPr>
        <w:tc>
          <w:tcPr>
            <w:tcW w:w="2886" w:type="dxa"/>
          </w:tcPr>
          <w:p w:rsidR="002F4EED" w:rsidRDefault="002F4EED" w:rsidP="00973014">
            <w:pPr>
              <w:pStyle w:val="naiskr"/>
              <w:spacing w:before="0" w:after="0"/>
              <w:jc w:val="both"/>
            </w:pPr>
            <w:r>
              <w:t>9.pielikums</w:t>
            </w:r>
          </w:p>
        </w:tc>
        <w:tc>
          <w:tcPr>
            <w:tcW w:w="3118" w:type="dxa"/>
          </w:tcPr>
          <w:p w:rsidR="002F4EED" w:rsidRDefault="002F4EED" w:rsidP="00973014">
            <w:pPr>
              <w:pStyle w:val="naiskr"/>
              <w:spacing w:before="0" w:after="0"/>
              <w:jc w:val="both"/>
            </w:pPr>
            <w:r>
              <w:t>3.pielikums</w:t>
            </w:r>
          </w:p>
        </w:tc>
        <w:tc>
          <w:tcPr>
            <w:tcW w:w="1418" w:type="dxa"/>
          </w:tcPr>
          <w:p w:rsidR="002F4EED" w:rsidRDefault="002F4EED" w:rsidP="00973014">
            <w:pPr>
              <w:pStyle w:val="naiskr"/>
              <w:spacing w:before="0" w:after="0"/>
              <w:jc w:val="both"/>
            </w:pPr>
            <w:r>
              <w:t xml:space="preserve">Atbilst pilnībā. </w:t>
            </w:r>
          </w:p>
        </w:tc>
        <w:tc>
          <w:tcPr>
            <w:tcW w:w="2033" w:type="dxa"/>
          </w:tcPr>
          <w:p w:rsidR="002F4EED" w:rsidRDefault="002F4EED" w:rsidP="00973014">
            <w:pPr>
              <w:pStyle w:val="naiskr"/>
              <w:spacing w:before="0" w:after="0"/>
              <w:jc w:val="both"/>
            </w:pPr>
            <w:r>
              <w:t>Netiek noteiktas stingrākas prasības</w:t>
            </w:r>
          </w:p>
        </w:tc>
      </w:tr>
    </w:tbl>
    <w:p w:rsidR="00C44237" w:rsidRDefault="00C44237" w:rsidP="00C44237">
      <w:pPr>
        <w:pStyle w:val="naisf"/>
        <w:spacing w:before="0" w:after="0"/>
        <w:ind w:firstLine="0"/>
      </w:pPr>
    </w:p>
    <w:tbl>
      <w:tblPr>
        <w:tblW w:w="952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2"/>
        <w:gridCol w:w="516"/>
        <w:gridCol w:w="4303"/>
        <w:gridCol w:w="3001"/>
      </w:tblGrid>
      <w:tr w:rsidR="00C44237" w:rsidRPr="006C4B9F" w:rsidTr="002E63A3">
        <w:trPr>
          <w:trHeight w:val="281"/>
          <w:tblCellSpacing w:w="0" w:type="dxa"/>
        </w:trPr>
        <w:tc>
          <w:tcPr>
            <w:tcW w:w="2218" w:type="dxa"/>
            <w:gridSpan w:val="2"/>
            <w:tcBorders>
              <w:top w:val="outset" w:sz="6" w:space="0" w:color="auto"/>
              <w:left w:val="outset" w:sz="6" w:space="0" w:color="auto"/>
              <w:bottom w:val="outset" w:sz="6" w:space="0" w:color="auto"/>
              <w:right w:val="outset" w:sz="6" w:space="0" w:color="auto"/>
            </w:tcBorders>
            <w:vAlign w:val="center"/>
          </w:tcPr>
          <w:p w:rsidR="00C44237" w:rsidRPr="006C4B9F" w:rsidRDefault="00C44237" w:rsidP="00973014">
            <w:pPr>
              <w:pStyle w:val="naiskr"/>
              <w:spacing w:before="0" w:after="0"/>
              <w:jc w:val="both"/>
            </w:pPr>
            <w:r w:rsidRPr="006C4B9F">
              <w:t> Kā ir izmantota ES tiesību aktā paredzētā rīcības brīvība dalībvalstij pārņemt vai ieviest noteiktas ES tiesību akta normas.</w:t>
            </w:r>
          </w:p>
          <w:p w:rsidR="00C44237" w:rsidRPr="006C4B9F" w:rsidRDefault="00C44237" w:rsidP="00973014">
            <w:pPr>
              <w:pStyle w:val="naiskr"/>
              <w:spacing w:before="0" w:after="0"/>
              <w:jc w:val="both"/>
            </w:pPr>
            <w:r w:rsidRPr="006C4B9F">
              <w:t>Kādēļ?</w:t>
            </w:r>
          </w:p>
        </w:tc>
        <w:tc>
          <w:tcPr>
            <w:tcW w:w="7304" w:type="dxa"/>
            <w:gridSpan w:val="2"/>
            <w:tcBorders>
              <w:top w:val="outset" w:sz="6" w:space="0" w:color="auto"/>
              <w:left w:val="outset" w:sz="6" w:space="0" w:color="auto"/>
              <w:bottom w:val="outset" w:sz="6" w:space="0" w:color="auto"/>
              <w:right w:val="outset" w:sz="6" w:space="0" w:color="auto"/>
            </w:tcBorders>
          </w:tcPr>
          <w:p w:rsidR="00897D24" w:rsidRDefault="00897D24" w:rsidP="00E31096">
            <w:pPr>
              <w:jc w:val="both"/>
            </w:pPr>
            <w:r>
              <w:t xml:space="preserve">Nav izmantota direktīvas 2012/19/ES 2.daļas pēdējā rindkopā noteiktā rīcības brīvība dalībvalstīm noteikt papildus prasības tādu EEIA apsaimniekošanai, kas nesatur būtiskus komponentus vai satur citus atkritumus, kas nav EEIA, tā kā minēto iekārtu atkritumus ir nepieciešams savākt un apsaimniekot, lai izpildītu direktīvā 2012/19/ES noteiktos EEIA savākšanas mērķus. </w:t>
            </w:r>
          </w:p>
          <w:p w:rsidR="002E63A3" w:rsidRDefault="002E63A3" w:rsidP="00E31096">
            <w:pPr>
              <w:jc w:val="both"/>
            </w:pPr>
            <w:r>
              <w:t>Direktīvas 2012/19/</w:t>
            </w:r>
            <w:r w:rsidRPr="002E63A3">
              <w:t xml:space="preserve">ES </w:t>
            </w:r>
            <w:r>
              <w:t>5.panta 4.daļā ietvertā rīcības brīvība dalībvalstīm noteikt dalīti savākto EEIA turpmāko nodošanu ražotājiem nav pārņemta, tā kā šāda prasība neatbilst Latvijas normatīvo aktu sistēmai.</w:t>
            </w:r>
          </w:p>
          <w:p w:rsidR="00E31096" w:rsidRDefault="002E63A3" w:rsidP="00E31096">
            <w:pPr>
              <w:jc w:val="both"/>
            </w:pPr>
            <w:r>
              <w:t>D</w:t>
            </w:r>
            <w:r w:rsidR="00E31096">
              <w:t>irektīvas 2012/19/ES</w:t>
            </w:r>
            <w:r>
              <w:t xml:space="preserve"> 7.panta 1.daļas 4.rindkopā ietvertā rīcības brīvība dalībvalstīm noteikt ambiciozākus EEIA savākšanas mērķus nekā direktīvā nav pārņemta, tā kā Latvijai Direktīvas 2012/19/ES 7.panta 3.daļā ir noteikti pārejas noteikumi EEIA savākšanas mērķu sasniegšanā.</w:t>
            </w:r>
          </w:p>
          <w:p w:rsidR="00E31096" w:rsidRDefault="00E31096" w:rsidP="00605FB0">
            <w:pPr>
              <w:jc w:val="both"/>
            </w:pPr>
            <w:r>
              <w:t>Direktīvas 2012/19/ES</w:t>
            </w:r>
            <w:r w:rsidR="00C44237">
              <w:t xml:space="preserve"> </w:t>
            </w:r>
            <w:r w:rsidR="002E63A3">
              <w:t xml:space="preserve">8.panta 5.daļā ietvertā rīcības brīvība dalībvalstīm noteikt minimālos kvalitātes standartus EEIA apstrādei nav pārņemta Latvijas normatīvajos aktos, tā kā </w:t>
            </w:r>
            <w:r w:rsidR="004E4BE0">
              <w:t>šādu standartu izstrāde nav lietderīga, ņemot vērā pilnvarojumu Eiropas Komisijai pieņemt šādus standartus.</w:t>
            </w:r>
          </w:p>
          <w:p w:rsidR="00C44237" w:rsidRPr="00605FB0" w:rsidRDefault="00C44237" w:rsidP="00605FB0">
            <w:pPr>
              <w:widowControl w:val="0"/>
              <w:jc w:val="both"/>
            </w:pPr>
            <w:r>
              <w:t xml:space="preserve">Direktīvas 2012/19/ES </w:t>
            </w:r>
            <w:r w:rsidR="00E31096" w:rsidRPr="002E63A3">
              <w:t>14.panta 5.daļa</w:t>
            </w:r>
            <w:r w:rsidR="00605FB0">
              <w:t>s prasības ir</w:t>
            </w:r>
            <w:r w:rsidR="004E4BE0">
              <w:t xml:space="preserve"> pārņemtas Latvijas normatīvajos aktos, tā kā </w:t>
            </w:r>
            <w:r w:rsidR="00605FB0">
              <w:t xml:space="preserve">attiecīgajai informācijai ir jābūt </w:t>
            </w:r>
            <w:r w:rsidR="00605FB0" w:rsidRPr="0006796D">
              <w:t xml:space="preserve">iekļautai </w:t>
            </w:r>
            <w:r w:rsidR="00605FB0">
              <w:t xml:space="preserve">EEI </w:t>
            </w:r>
            <w:r w:rsidR="00605FB0" w:rsidRPr="0006796D">
              <w:t xml:space="preserve">lietošanas instrukcijās, jo tikai tādā veidā būs iespējams pārliecināties, ka patērētājs šo informāciju ir saņēmis. Ja ekonomiskais operators būs </w:t>
            </w:r>
            <w:r w:rsidR="00605FB0" w:rsidRPr="0006796D">
              <w:lastRenderedPageBreak/>
              <w:t xml:space="preserve">izvēlējies sniegt informāciju tikai savā </w:t>
            </w:r>
            <w:proofErr w:type="spellStart"/>
            <w:r w:rsidR="00605FB0" w:rsidRPr="0006796D">
              <w:t>mājaslapā</w:t>
            </w:r>
            <w:proofErr w:type="spellEnd"/>
            <w:r w:rsidR="00605FB0" w:rsidRPr="0006796D">
              <w:t xml:space="preserve">, būs liela daļa patērētāju, kas to nesaņems, ņemot vērā, ka interneta pakalpojumi nav pieejami visām patērētāju grupām. </w:t>
            </w:r>
          </w:p>
        </w:tc>
      </w:tr>
      <w:tr w:rsidR="00C44237" w:rsidRPr="006C4B9F" w:rsidTr="002E63A3">
        <w:trPr>
          <w:trHeight w:val="913"/>
          <w:tblCellSpacing w:w="0" w:type="dxa"/>
        </w:trPr>
        <w:tc>
          <w:tcPr>
            <w:tcW w:w="6521" w:type="dxa"/>
            <w:gridSpan w:val="3"/>
            <w:tcBorders>
              <w:top w:val="outset" w:sz="6" w:space="0" w:color="auto"/>
              <w:left w:val="outset" w:sz="6" w:space="0" w:color="auto"/>
              <w:bottom w:val="outset" w:sz="6" w:space="0" w:color="auto"/>
              <w:right w:val="outset" w:sz="6" w:space="0" w:color="auto"/>
            </w:tcBorders>
            <w:vAlign w:val="center"/>
          </w:tcPr>
          <w:p w:rsidR="00C44237" w:rsidRPr="006C4B9F" w:rsidRDefault="00C44237" w:rsidP="00973014">
            <w:pPr>
              <w:pStyle w:val="naiskr"/>
              <w:spacing w:before="0" w:after="0"/>
              <w:jc w:val="both"/>
            </w:pPr>
            <w:r w:rsidRPr="006C4B9F">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01" w:type="dxa"/>
            <w:tcBorders>
              <w:top w:val="outset" w:sz="6" w:space="0" w:color="auto"/>
              <w:left w:val="outset" w:sz="6" w:space="0" w:color="auto"/>
              <w:bottom w:val="outset" w:sz="6" w:space="0" w:color="auto"/>
              <w:right w:val="outset" w:sz="6" w:space="0" w:color="auto"/>
            </w:tcBorders>
          </w:tcPr>
          <w:p w:rsidR="00C44237" w:rsidRPr="006C4B9F" w:rsidRDefault="00C44237" w:rsidP="00973014">
            <w:pPr>
              <w:pStyle w:val="naiskr"/>
              <w:spacing w:before="0" w:after="0"/>
            </w:pPr>
            <w:r w:rsidRPr="006C4B9F">
              <w:t> </w:t>
            </w:r>
            <w:r>
              <w:t>Projekts šo jomu neskar.</w:t>
            </w:r>
          </w:p>
        </w:tc>
      </w:tr>
      <w:tr w:rsidR="00C44237" w:rsidRPr="006C4B9F" w:rsidTr="002E63A3">
        <w:trPr>
          <w:trHeight w:val="579"/>
          <w:tblCellSpacing w:w="0" w:type="dxa"/>
        </w:trPr>
        <w:tc>
          <w:tcPr>
            <w:tcW w:w="1702" w:type="dxa"/>
            <w:tcBorders>
              <w:top w:val="outset" w:sz="6" w:space="0" w:color="auto"/>
              <w:left w:val="outset" w:sz="6" w:space="0" w:color="auto"/>
              <w:bottom w:val="outset" w:sz="6" w:space="0" w:color="auto"/>
              <w:right w:val="outset" w:sz="6" w:space="0" w:color="auto"/>
            </w:tcBorders>
          </w:tcPr>
          <w:p w:rsidR="00C44237" w:rsidRPr="006C4B9F" w:rsidRDefault="00C44237" w:rsidP="00973014">
            <w:pPr>
              <w:pStyle w:val="naiskr"/>
              <w:spacing w:before="0" w:after="0"/>
            </w:pPr>
            <w:r w:rsidRPr="006C4B9F">
              <w:t> Cita informācija</w:t>
            </w:r>
          </w:p>
        </w:tc>
        <w:tc>
          <w:tcPr>
            <w:tcW w:w="7820" w:type="dxa"/>
            <w:gridSpan w:val="3"/>
            <w:tcBorders>
              <w:top w:val="outset" w:sz="6" w:space="0" w:color="auto"/>
              <w:left w:val="outset" w:sz="6" w:space="0" w:color="auto"/>
              <w:bottom w:val="outset" w:sz="6" w:space="0" w:color="auto"/>
              <w:right w:val="outset" w:sz="6" w:space="0" w:color="auto"/>
            </w:tcBorders>
          </w:tcPr>
          <w:p w:rsidR="00C44237" w:rsidRPr="006C4B9F" w:rsidRDefault="00C44237" w:rsidP="00973014">
            <w:pPr>
              <w:pStyle w:val="naiskr"/>
              <w:spacing w:before="0" w:after="0"/>
              <w:jc w:val="both"/>
            </w:pPr>
            <w:r>
              <w:t xml:space="preserve">Informācija par Direktīvas 2012/19/ES pārējo normu transponēšanu ir pieejama </w:t>
            </w:r>
            <w:hyperlink r:id="rId10" w:history="1">
              <w:r w:rsidRPr="00E25330">
                <w:rPr>
                  <w:rStyle w:val="Hyperlink"/>
                </w:rPr>
                <w:t>http://www.mk.gov.lv/doc/2005/VARAMANOT_111113_AAL.2824.DOC</w:t>
              </w:r>
            </w:hyperlink>
            <w:r>
              <w:t xml:space="preserve"> </w:t>
            </w:r>
          </w:p>
          <w:p w:rsidR="00C44237" w:rsidRDefault="00C44237" w:rsidP="00973014">
            <w:pPr>
              <w:autoSpaceDE w:val="0"/>
              <w:autoSpaceDN w:val="0"/>
              <w:adjustRightInd w:val="0"/>
              <w:jc w:val="both"/>
              <w:rPr>
                <w:rFonts w:eastAsia="Calibri"/>
                <w:lang w:eastAsia="en-US"/>
              </w:rPr>
            </w:pPr>
          </w:p>
          <w:p w:rsidR="007D40C3" w:rsidRDefault="007D40C3" w:rsidP="00973014">
            <w:pPr>
              <w:autoSpaceDE w:val="0"/>
              <w:autoSpaceDN w:val="0"/>
              <w:adjustRightInd w:val="0"/>
              <w:jc w:val="both"/>
              <w:rPr>
                <w:color w:val="000000"/>
              </w:rPr>
            </w:pPr>
            <w:r w:rsidRPr="00206C66">
              <w:t xml:space="preserve">Direktīvas 2012/19/ES 5. panta otrās daļas e) punkta pirmais teikums pieļauj iespēju operatoram atteikties pieņemt tādus iekārtu atkritumus, kas </w:t>
            </w:r>
            <w:r w:rsidRPr="00206C66">
              <w:rPr>
                <w:color w:val="000000"/>
              </w:rPr>
              <w:t>piesārņojuma dēļ apdraud personāla drošību un veselību. Savukārt minētās normas otrais teikums nosaka, ka dalībvalstīm ir jānosaka specifiskas apsaimniekošanas prasības šādiem iekārtu atkritumiem. VARAM ieskatā netiek noteiktas stingrākas prasības nekā direktīvā, jo no minētās normas izriet pienākums noteikt jebkādas specifiskas prasības attiecīgo atkritumu apsaimniekošanai.</w:t>
            </w:r>
          </w:p>
          <w:p w:rsidR="0067149D" w:rsidRDefault="0067149D" w:rsidP="00973014">
            <w:pPr>
              <w:autoSpaceDE w:val="0"/>
              <w:autoSpaceDN w:val="0"/>
              <w:adjustRightInd w:val="0"/>
              <w:jc w:val="both"/>
              <w:rPr>
                <w:color w:val="000000"/>
              </w:rPr>
            </w:pPr>
          </w:p>
          <w:p w:rsidR="0067149D" w:rsidRDefault="0067149D" w:rsidP="00973014">
            <w:pPr>
              <w:autoSpaceDE w:val="0"/>
              <w:autoSpaceDN w:val="0"/>
              <w:adjustRightInd w:val="0"/>
              <w:jc w:val="both"/>
              <w:rPr>
                <w:color w:val="000000"/>
              </w:rPr>
            </w:pPr>
          </w:p>
          <w:p w:rsidR="0067149D" w:rsidRDefault="00703350" w:rsidP="0067149D">
            <w:pPr>
              <w:pStyle w:val="normal0"/>
              <w:rPr>
                <w:color w:val="000000"/>
                <w:sz w:val="24"/>
                <w:szCs w:val="24"/>
                <w:lang w:val="lv-LV"/>
              </w:rPr>
            </w:pPr>
            <w:r>
              <w:rPr>
                <w:sz w:val="24"/>
                <w:szCs w:val="24"/>
                <w:lang w:val="lv-LV"/>
              </w:rPr>
              <w:t>Noteikumu projekta 39</w:t>
            </w:r>
            <w:r w:rsidR="0067149D" w:rsidRPr="009F2952">
              <w:rPr>
                <w:sz w:val="24"/>
                <w:szCs w:val="24"/>
                <w:lang w:val="lv-LV"/>
              </w:rPr>
              <w:t xml:space="preserve">.punkts nosaka, ka </w:t>
            </w:r>
            <w:r w:rsidR="0067149D" w:rsidRPr="009F2952">
              <w:rPr>
                <w:rFonts w:eastAsiaTheme="minorHAnsi"/>
                <w:sz w:val="24"/>
                <w:szCs w:val="24"/>
                <w:lang w:val="lv-LV"/>
              </w:rPr>
              <w:t>līdz 2015.gada 31.decembrim mājsaimniecības EEIA savākšanas apjomam gadā jābūt vismaz četriem kilogramiem iekārtu atkritumu uz iedzīvotāju. Ar šo noteikumu punktu tiek pārņemta Direktīvas 7.panta 1.punkta 3.rindkopa, kur noteikts, ka</w:t>
            </w:r>
            <w:r w:rsidR="0067149D" w:rsidRPr="009F2952">
              <w:rPr>
                <w:color w:val="000000"/>
                <w:sz w:val="24"/>
                <w:szCs w:val="24"/>
                <w:lang w:val="lv-LV"/>
              </w:rPr>
              <w:t xml:space="preserve"> </w:t>
            </w:r>
            <w:r w:rsidR="0067149D">
              <w:rPr>
                <w:color w:val="000000"/>
                <w:sz w:val="24"/>
                <w:szCs w:val="24"/>
                <w:lang w:val="lv-LV"/>
              </w:rPr>
              <w:t>l</w:t>
            </w:r>
            <w:r w:rsidR="0067149D" w:rsidRPr="009F2952">
              <w:rPr>
                <w:color w:val="000000"/>
                <w:sz w:val="24"/>
                <w:szCs w:val="24"/>
                <w:lang w:val="lv-LV"/>
              </w:rPr>
              <w:t>īdz 2015. gada 31. decembrim turpina piemērot prasību, ka dalītas atkritumu savākšanas apjoms no privātām mājsaimniecībām ir vidēji vismaz četri kilogrami EEIA uz iedzīvotāju gadā vai arī tāds pats EEIA apjoms kā svars, kas šajā dalībvalstī vidēji tika savākts trīs iepriekšējos gados – atkarībā no tā, kurš no šiem abiem rādītājiem ir lielāks.</w:t>
            </w:r>
            <w:r w:rsidR="0067149D">
              <w:rPr>
                <w:color w:val="000000"/>
                <w:sz w:val="24"/>
                <w:szCs w:val="24"/>
                <w:lang w:val="lv-LV"/>
              </w:rPr>
              <w:t xml:space="preserve"> Atbilstoši Elektrisko un elektronisko iekārtu ražotāju reģistra sniegtajai informācijai, Latvijā uz vienu iedzīvotāju pēdējo trīs gadu laikā ir savākts šāds EEIA apjoms:</w:t>
            </w:r>
          </w:p>
          <w:p w:rsidR="0067149D" w:rsidRPr="002B38C1" w:rsidRDefault="0067149D" w:rsidP="0067149D">
            <w:pPr>
              <w:pStyle w:val="normal0"/>
              <w:spacing w:before="0"/>
              <w:rPr>
                <w:lang w:val="lv-LV"/>
              </w:rPr>
            </w:pPr>
          </w:p>
          <w:tbl>
            <w:tblPr>
              <w:tblW w:w="0" w:type="auto"/>
              <w:tblCellMar>
                <w:left w:w="0" w:type="dxa"/>
                <w:right w:w="0" w:type="dxa"/>
              </w:tblCellMar>
              <w:tblLook w:val="04A0"/>
            </w:tblPr>
            <w:tblGrid>
              <w:gridCol w:w="1196"/>
              <w:gridCol w:w="2254"/>
              <w:gridCol w:w="2268"/>
              <w:gridCol w:w="1418"/>
            </w:tblGrid>
            <w:tr w:rsidR="0067149D" w:rsidTr="0067149D">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Gads</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Savāktie EEI atkritumi (tonnas)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Kg uz vienu iedzīvotāju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Iedzīvotāju skaits*</w:t>
                  </w:r>
                </w:p>
              </w:tc>
            </w:tr>
            <w:tr w:rsidR="0067149D" w:rsidTr="0067149D">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2011.gads</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Arial" w:eastAsiaTheme="minorHAnsi" w:hAnsi="Arial" w:cs="Arial"/>
                      <w:sz w:val="20"/>
                      <w:szCs w:val="20"/>
                    </w:rPr>
                  </w:pPr>
                  <w:r>
                    <w:rPr>
                      <w:rFonts w:ascii="Arial" w:hAnsi="Arial" w:cs="Arial"/>
                      <w:sz w:val="20"/>
                      <w:szCs w:val="20"/>
                    </w:rPr>
                    <w:t>4641,07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2.25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rPr>
                      <w:rFonts w:ascii="Verdana" w:hAnsi="Verdana"/>
                      <w:color w:val="000000"/>
                      <w:sz w:val="18"/>
                      <w:szCs w:val="18"/>
                      <w:shd w:val="clear" w:color="auto" w:fill="FFFFFF"/>
                    </w:rPr>
                    <w:t>2 074 605</w:t>
                  </w:r>
                </w:p>
              </w:tc>
            </w:tr>
            <w:tr w:rsidR="0067149D" w:rsidTr="0067149D">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2012.gads</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Arial" w:eastAsiaTheme="minorHAnsi" w:hAnsi="Arial" w:cs="Arial"/>
                      <w:sz w:val="20"/>
                      <w:szCs w:val="20"/>
                    </w:rPr>
                  </w:pPr>
                  <w:r>
                    <w:rPr>
                      <w:rFonts w:ascii="Arial" w:hAnsi="Arial" w:cs="Arial"/>
                      <w:sz w:val="20"/>
                      <w:szCs w:val="20"/>
                    </w:rPr>
                    <w:t>4693,88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2.3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rPr>
                      <w:rFonts w:ascii="Verdana" w:hAnsi="Verdana"/>
                      <w:color w:val="000000"/>
                      <w:sz w:val="18"/>
                      <w:szCs w:val="18"/>
                      <w:shd w:val="clear" w:color="auto" w:fill="FFFFFF"/>
                    </w:rPr>
                    <w:t>2 044 813</w:t>
                  </w:r>
                </w:p>
              </w:tc>
            </w:tr>
            <w:tr w:rsidR="0067149D" w:rsidTr="0067149D">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2013.gads</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Arial" w:eastAsiaTheme="minorHAnsi" w:hAnsi="Arial" w:cs="Arial"/>
                      <w:sz w:val="20"/>
                      <w:szCs w:val="20"/>
                    </w:rPr>
                  </w:pPr>
                  <w:r>
                    <w:rPr>
                      <w:rFonts w:ascii="Arial" w:hAnsi="Arial" w:cs="Arial"/>
                      <w:sz w:val="20"/>
                      <w:szCs w:val="20"/>
                    </w:rPr>
                    <w:t xml:space="preserve">4053,38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7149D" w:rsidRDefault="0067149D" w:rsidP="0067149D">
                  <w:pPr>
                    <w:rPr>
                      <w:rFonts w:ascii="Calibri" w:eastAsiaTheme="minorHAnsi" w:hAnsi="Calibri"/>
                    </w:rPr>
                  </w:pPr>
                  <w:r>
                    <w:rPr>
                      <w:rFonts w:ascii="Verdana" w:hAnsi="Verdana"/>
                      <w:color w:val="000000"/>
                      <w:sz w:val="18"/>
                      <w:szCs w:val="18"/>
                      <w:shd w:val="clear" w:color="auto" w:fill="FFFFFF"/>
                    </w:rPr>
                    <w:t>2 023 825</w:t>
                  </w:r>
                </w:p>
              </w:tc>
            </w:tr>
          </w:tbl>
          <w:p w:rsidR="0067149D" w:rsidRPr="0067149D" w:rsidRDefault="0067149D" w:rsidP="0067149D">
            <w:pPr>
              <w:pStyle w:val="normal0"/>
              <w:spacing w:before="0"/>
              <w:rPr>
                <w:sz w:val="24"/>
                <w:szCs w:val="24"/>
                <w:lang w:val="lv-LV"/>
              </w:rPr>
            </w:pPr>
          </w:p>
          <w:p w:rsidR="0067149D" w:rsidRPr="009D3527" w:rsidRDefault="0067149D" w:rsidP="00703350">
            <w:pPr>
              <w:autoSpaceDE w:val="0"/>
              <w:autoSpaceDN w:val="0"/>
              <w:adjustRightInd w:val="0"/>
              <w:jc w:val="both"/>
              <w:rPr>
                <w:rFonts w:eastAsia="Calibri"/>
                <w:lang w:eastAsia="en-US"/>
              </w:rPr>
            </w:pPr>
            <w:r w:rsidRPr="0067149D">
              <w:t>Ja iepriekšējos trijos gados uz 1 iedzīvotāju gada laikā savāktais EEIA svars pārsniegtu 4 kilogramus, tad noteikumu projektā tiktu iekļauts attiecīgais rādītājs, kas pārsniedz 4 kilogramus. Tā kā Latvijā iepriekšējos trijos savāktais EEIA apjoms uz 1 iedzīvotāju ir mazāks nekā Direktīvas 2012/19/ES  7.panta 1.punkta 3.rindkopā noteiktais rādītājs – 4 kilogrami mājsaimniecības EEIA uz 1 iedzīvotāju, tad atbilstoši minētās direktīvas normas prasībām noteikumu projektā ir iekļauts EEIA savākšanas mērķis – 4 kilogrami mājsaimniecības EEIA uz 1 iedzīvotāju gadā, kas nav stingrāka prasība kā ir noteikts Direktīvā 2012/19/ES. Pie tam, pašreiz spēkā esošo MK noteikumu Nr.897 16.punktā ir noteikts, ka Mājsaimniecības elektrisko un elektronisko iekārtu atkritumu savākšanas apjomam gadā jābūt vismaz četriem kilogramiem atkritumu uz iedzīvotāju.</w:t>
            </w:r>
            <w:r>
              <w:t xml:space="preserve"> Tādejādi laika posmā no noteikumu pieņemšanas brīža līdz </w:t>
            </w:r>
            <w:r>
              <w:lastRenderedPageBreak/>
              <w:t xml:space="preserve">2016.gada 1.janvārim </w:t>
            </w:r>
            <w:r w:rsidR="00703350">
              <w:t xml:space="preserve">arī </w:t>
            </w:r>
            <w:r>
              <w:t>netiek noteiktas stingrākas prasības nekā pašreiz spēkā esošajos normatīvajos aktos.</w:t>
            </w:r>
          </w:p>
        </w:tc>
      </w:tr>
    </w:tbl>
    <w:p w:rsidR="00C44237" w:rsidRPr="006C4B9F" w:rsidRDefault="00C44237" w:rsidP="00C44237">
      <w:pPr>
        <w:pStyle w:val="naisf"/>
        <w:ind w:firstLine="0"/>
      </w:pP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375"/>
      </w:tblGrid>
      <w:tr w:rsidR="00C44237" w:rsidRPr="006C4B9F" w:rsidTr="00973014">
        <w:trPr>
          <w:trHeight w:val="792"/>
          <w:tblCellSpacing w:w="0" w:type="dxa"/>
        </w:trPr>
        <w:tc>
          <w:tcPr>
            <w:tcW w:w="9375" w:type="dxa"/>
            <w:tcBorders>
              <w:top w:val="outset" w:sz="6" w:space="0" w:color="auto"/>
              <w:left w:val="outset" w:sz="6" w:space="0" w:color="auto"/>
              <w:bottom w:val="outset" w:sz="6" w:space="0" w:color="auto"/>
              <w:right w:val="outset" w:sz="6" w:space="0" w:color="auto"/>
            </w:tcBorders>
            <w:vAlign w:val="center"/>
          </w:tcPr>
          <w:p w:rsidR="00C44237" w:rsidRPr="006C4B9F" w:rsidRDefault="00C44237" w:rsidP="00973014">
            <w:pPr>
              <w:pStyle w:val="naisnod"/>
              <w:spacing w:before="0" w:after="0"/>
            </w:pPr>
            <w:r w:rsidRPr="006C4B9F">
              <w:t> 2.tabula</w:t>
            </w:r>
          </w:p>
          <w:p w:rsidR="00C44237" w:rsidRPr="006C4B9F" w:rsidRDefault="00C44237" w:rsidP="00973014">
            <w:pPr>
              <w:pStyle w:val="naisnod"/>
              <w:spacing w:before="0" w:after="0"/>
            </w:pPr>
            <w:r w:rsidRPr="006C4B9F">
              <w:t>Ar tiesību akta projektu uzņemtās saistības, kas izriet no starptautiskajiem tiesību aktiem vai starptautiskas institūcijas vai organizācijas dokumentiem</w:t>
            </w:r>
          </w:p>
          <w:p w:rsidR="00C44237" w:rsidRPr="006C4B9F" w:rsidRDefault="00C44237" w:rsidP="00973014">
            <w:pPr>
              <w:pStyle w:val="naisnod"/>
              <w:spacing w:before="0" w:after="0"/>
            </w:pPr>
            <w:r w:rsidRPr="006C4B9F">
              <w:t>Pasākumi šo saistību izpildei</w:t>
            </w:r>
          </w:p>
        </w:tc>
      </w:tr>
      <w:tr w:rsidR="00C44237" w:rsidRPr="006C4B9F" w:rsidTr="00973014">
        <w:trPr>
          <w:trHeight w:val="792"/>
          <w:tblCellSpacing w:w="0" w:type="dxa"/>
        </w:trPr>
        <w:tc>
          <w:tcPr>
            <w:tcW w:w="9375" w:type="dxa"/>
            <w:tcBorders>
              <w:top w:val="outset" w:sz="6" w:space="0" w:color="auto"/>
              <w:left w:val="outset" w:sz="6" w:space="0" w:color="auto"/>
              <w:bottom w:val="outset" w:sz="6" w:space="0" w:color="auto"/>
              <w:right w:val="outset" w:sz="6" w:space="0" w:color="auto"/>
            </w:tcBorders>
            <w:vAlign w:val="center"/>
          </w:tcPr>
          <w:p w:rsidR="00C44237" w:rsidRPr="000F3435" w:rsidRDefault="00C44237" w:rsidP="00973014">
            <w:pPr>
              <w:pStyle w:val="naisnod"/>
              <w:spacing w:before="0" w:after="0"/>
              <w:rPr>
                <w:b w:val="0"/>
              </w:rPr>
            </w:pPr>
            <w:r w:rsidRPr="000F3435">
              <w:rPr>
                <w:b w:val="0"/>
              </w:rPr>
              <w:t>Projekts šo jomu neskar</w:t>
            </w:r>
          </w:p>
        </w:tc>
      </w:tr>
    </w:tbl>
    <w:p w:rsidR="00C44237" w:rsidRPr="00FB41DC" w:rsidRDefault="00C44237" w:rsidP="00C44237"/>
    <w:tbl>
      <w:tblPr>
        <w:tblW w:w="9472"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4568"/>
        <w:gridCol w:w="4419"/>
      </w:tblGrid>
      <w:tr w:rsidR="00C44237" w:rsidRPr="00FB41DC" w:rsidTr="00973014">
        <w:trPr>
          <w:jc w:val="center"/>
        </w:trPr>
        <w:tc>
          <w:tcPr>
            <w:tcW w:w="9472" w:type="dxa"/>
            <w:gridSpan w:val="3"/>
            <w:tcMar>
              <w:top w:w="57" w:type="dxa"/>
              <w:left w:w="57" w:type="dxa"/>
              <w:bottom w:w="57" w:type="dxa"/>
              <w:right w:w="57" w:type="dxa"/>
            </w:tcMar>
          </w:tcPr>
          <w:p w:rsidR="00C44237" w:rsidRPr="00FB41DC" w:rsidRDefault="00C44237" w:rsidP="00973014">
            <w:pPr>
              <w:pStyle w:val="naisnod"/>
              <w:spacing w:before="0" w:after="0"/>
              <w:ind w:left="57" w:right="57"/>
            </w:pPr>
            <w:r w:rsidRPr="00FB41DC">
              <w:t xml:space="preserve">VI. Sabiedrības līdzdalība un </w:t>
            </w:r>
            <w:r>
              <w:t>komunikācijas aktivitātes</w:t>
            </w:r>
          </w:p>
        </w:tc>
      </w:tr>
      <w:tr w:rsidR="00C44237" w:rsidRPr="00FB41DC" w:rsidTr="00973014">
        <w:trPr>
          <w:trHeight w:val="553"/>
          <w:jc w:val="center"/>
        </w:trPr>
        <w:tc>
          <w:tcPr>
            <w:tcW w:w="485" w:type="dxa"/>
            <w:tcMar>
              <w:top w:w="57" w:type="dxa"/>
              <w:left w:w="57" w:type="dxa"/>
              <w:bottom w:w="57" w:type="dxa"/>
              <w:right w:w="57" w:type="dxa"/>
            </w:tcMar>
          </w:tcPr>
          <w:p w:rsidR="00C44237" w:rsidRPr="00FB41DC" w:rsidRDefault="00C44237" w:rsidP="00973014">
            <w:pPr>
              <w:pStyle w:val="naiskr"/>
              <w:spacing w:before="0" w:after="0"/>
              <w:ind w:left="57" w:right="57"/>
              <w:rPr>
                <w:bCs/>
              </w:rPr>
            </w:pPr>
            <w:r w:rsidRPr="00FB41DC">
              <w:rPr>
                <w:bCs/>
              </w:rPr>
              <w:t>1.</w:t>
            </w:r>
          </w:p>
        </w:tc>
        <w:tc>
          <w:tcPr>
            <w:tcW w:w="4568" w:type="dxa"/>
            <w:tcMar>
              <w:top w:w="57" w:type="dxa"/>
              <w:left w:w="57" w:type="dxa"/>
              <w:bottom w:w="57" w:type="dxa"/>
              <w:right w:w="57" w:type="dxa"/>
            </w:tcMar>
          </w:tcPr>
          <w:p w:rsidR="00C44237" w:rsidRPr="00FB41DC" w:rsidRDefault="00C44237" w:rsidP="00973014">
            <w:pPr>
              <w:pStyle w:val="naiskr"/>
              <w:tabs>
                <w:tab w:val="left" w:pos="170"/>
              </w:tabs>
              <w:spacing w:before="0" w:after="0"/>
              <w:ind w:left="57" w:right="57"/>
            </w:pPr>
            <w:r>
              <w:t>Plānotās sabiedrības līdzdalības un komunikācijas aktivitātes saistībā ar projektu</w:t>
            </w:r>
          </w:p>
        </w:tc>
        <w:tc>
          <w:tcPr>
            <w:tcW w:w="4419" w:type="dxa"/>
            <w:tcMar>
              <w:top w:w="57" w:type="dxa"/>
              <w:left w:w="57" w:type="dxa"/>
              <w:bottom w:w="57" w:type="dxa"/>
              <w:right w:w="57" w:type="dxa"/>
            </w:tcMar>
          </w:tcPr>
          <w:p w:rsidR="00C44237" w:rsidRPr="00FB41DC" w:rsidRDefault="00C44237" w:rsidP="00597310">
            <w:pPr>
              <w:pStyle w:val="naiskr"/>
              <w:spacing w:before="0" w:after="0"/>
              <w:ind w:left="57" w:right="57"/>
              <w:jc w:val="both"/>
            </w:pPr>
            <w:r>
              <w:t>Noteikumu projekts no 2014.gada 10.aprīļa</w:t>
            </w:r>
            <w:r w:rsidRPr="009B45E5">
              <w:t xml:space="preserve"> </w:t>
            </w:r>
            <w:r>
              <w:t xml:space="preserve">ir pieejams </w:t>
            </w:r>
            <w:r w:rsidR="00597310">
              <w:t>VARAM</w:t>
            </w:r>
            <w:r>
              <w:t xml:space="preserve"> mājas lapā </w:t>
            </w:r>
            <w:hyperlink r:id="rId11" w:history="1">
              <w:r w:rsidRPr="00EB4802">
                <w:rPr>
                  <w:rStyle w:val="Hyperlink"/>
                </w:rPr>
                <w:t>www.varam.gov.lv</w:t>
              </w:r>
            </w:hyperlink>
            <w:r>
              <w:t>, līdz a</w:t>
            </w:r>
            <w:r w:rsidR="008B0A83">
              <w:t>r to ieinteresētajām personām bija</w:t>
            </w:r>
            <w:r>
              <w:t xml:space="preserve"> iespēja izteikt viedokli un sniegt priekšlikumus.</w:t>
            </w:r>
          </w:p>
        </w:tc>
      </w:tr>
      <w:tr w:rsidR="00C44237" w:rsidRPr="00FB41DC" w:rsidTr="00973014">
        <w:trPr>
          <w:trHeight w:val="339"/>
          <w:jc w:val="center"/>
        </w:trPr>
        <w:tc>
          <w:tcPr>
            <w:tcW w:w="485" w:type="dxa"/>
            <w:tcMar>
              <w:top w:w="57" w:type="dxa"/>
              <w:left w:w="57" w:type="dxa"/>
              <w:bottom w:w="57" w:type="dxa"/>
              <w:right w:w="57" w:type="dxa"/>
            </w:tcMar>
          </w:tcPr>
          <w:p w:rsidR="00C44237" w:rsidRPr="00FB41DC" w:rsidRDefault="00C44237" w:rsidP="00973014">
            <w:pPr>
              <w:pStyle w:val="naiskr"/>
              <w:spacing w:before="0" w:after="0"/>
              <w:ind w:left="57" w:right="57"/>
              <w:rPr>
                <w:bCs/>
              </w:rPr>
            </w:pPr>
            <w:r w:rsidRPr="00FB41DC">
              <w:rPr>
                <w:bCs/>
              </w:rPr>
              <w:t>2.</w:t>
            </w:r>
          </w:p>
        </w:tc>
        <w:tc>
          <w:tcPr>
            <w:tcW w:w="4568" w:type="dxa"/>
            <w:tcMar>
              <w:top w:w="57" w:type="dxa"/>
              <w:left w:w="57" w:type="dxa"/>
              <w:bottom w:w="57" w:type="dxa"/>
              <w:right w:w="57" w:type="dxa"/>
            </w:tcMar>
          </w:tcPr>
          <w:p w:rsidR="00C44237" w:rsidRPr="00FB41DC" w:rsidRDefault="00C44237" w:rsidP="00973014">
            <w:pPr>
              <w:pStyle w:val="naiskr"/>
              <w:spacing w:before="0" w:after="0"/>
              <w:ind w:left="57" w:right="57"/>
            </w:pPr>
            <w:r w:rsidRPr="00FB41DC">
              <w:t xml:space="preserve">Sabiedrības līdzdalība projekta izstrādē </w:t>
            </w:r>
          </w:p>
        </w:tc>
        <w:tc>
          <w:tcPr>
            <w:tcW w:w="4419" w:type="dxa"/>
            <w:tcMar>
              <w:top w:w="57" w:type="dxa"/>
              <w:left w:w="57" w:type="dxa"/>
              <w:bottom w:w="57" w:type="dxa"/>
              <w:right w:w="57" w:type="dxa"/>
            </w:tcMar>
          </w:tcPr>
          <w:p w:rsidR="00C44237" w:rsidRPr="00FB41DC" w:rsidRDefault="008B0A83" w:rsidP="00973014">
            <w:pPr>
              <w:pStyle w:val="naiskr"/>
              <w:spacing w:before="0" w:after="0"/>
              <w:ind w:left="57" w:right="57"/>
              <w:jc w:val="both"/>
            </w:pPr>
            <w:r>
              <w:t>LETERA</w:t>
            </w:r>
            <w:r>
              <w:rPr>
                <w:rFonts w:ascii="Arial" w:hAnsi="Arial" w:cs="Arial"/>
              </w:rPr>
              <w:t xml:space="preserve"> </w:t>
            </w:r>
            <w:r w:rsidRPr="00A12A18">
              <w:t>2014.gada 6.maija vēstulē Nr.3-2/12e ir sniegusi priekšlikumus par noteikumu projektu. Iztei</w:t>
            </w:r>
            <w:r>
              <w:t>ktie priekšlikumi ir ņemti vērā</w:t>
            </w:r>
            <w:r w:rsidR="00C44237">
              <w:t>.</w:t>
            </w:r>
          </w:p>
        </w:tc>
      </w:tr>
      <w:tr w:rsidR="00C44237" w:rsidRPr="00FB41DC" w:rsidTr="00973014">
        <w:trPr>
          <w:trHeight w:val="375"/>
          <w:jc w:val="center"/>
        </w:trPr>
        <w:tc>
          <w:tcPr>
            <w:tcW w:w="485" w:type="dxa"/>
            <w:tcMar>
              <w:top w:w="57" w:type="dxa"/>
              <w:left w:w="57" w:type="dxa"/>
              <w:bottom w:w="57" w:type="dxa"/>
              <w:right w:w="57" w:type="dxa"/>
            </w:tcMar>
          </w:tcPr>
          <w:p w:rsidR="00C44237" w:rsidRPr="00FB41DC" w:rsidRDefault="00C44237" w:rsidP="00973014">
            <w:pPr>
              <w:pStyle w:val="naiskr"/>
              <w:spacing w:before="0" w:after="0"/>
              <w:ind w:left="57" w:right="57"/>
              <w:rPr>
                <w:bCs/>
              </w:rPr>
            </w:pPr>
            <w:r w:rsidRPr="00FB41DC">
              <w:rPr>
                <w:bCs/>
              </w:rPr>
              <w:t>3.</w:t>
            </w:r>
          </w:p>
        </w:tc>
        <w:tc>
          <w:tcPr>
            <w:tcW w:w="4568" w:type="dxa"/>
            <w:tcMar>
              <w:top w:w="57" w:type="dxa"/>
              <w:left w:w="57" w:type="dxa"/>
              <w:bottom w:w="57" w:type="dxa"/>
              <w:right w:w="57" w:type="dxa"/>
            </w:tcMar>
          </w:tcPr>
          <w:p w:rsidR="00C44237" w:rsidRPr="00FB41DC" w:rsidRDefault="00C44237" w:rsidP="00973014">
            <w:pPr>
              <w:pStyle w:val="naiskr"/>
              <w:spacing w:before="0" w:after="0"/>
              <w:ind w:left="57" w:right="57"/>
            </w:pPr>
            <w:r w:rsidRPr="00FB41DC">
              <w:t xml:space="preserve">Sabiedrības līdzdalības rezultāti </w:t>
            </w:r>
          </w:p>
        </w:tc>
        <w:tc>
          <w:tcPr>
            <w:tcW w:w="4419" w:type="dxa"/>
            <w:tcMar>
              <w:top w:w="57" w:type="dxa"/>
              <w:left w:w="57" w:type="dxa"/>
              <w:bottom w:w="57" w:type="dxa"/>
              <w:right w:w="57" w:type="dxa"/>
            </w:tcMar>
          </w:tcPr>
          <w:p w:rsidR="00C44237" w:rsidRPr="00FB41DC" w:rsidRDefault="00C44237" w:rsidP="008B0A83">
            <w:pPr>
              <w:pStyle w:val="naiskr"/>
              <w:spacing w:before="0" w:after="0"/>
              <w:ind w:right="57"/>
              <w:jc w:val="both"/>
            </w:pPr>
            <w:r>
              <w:t xml:space="preserve">Saņemtie priekšlikumi pēc izvērtēšanas </w:t>
            </w:r>
            <w:r w:rsidR="008B0A83">
              <w:t>ir ņemti vērā.</w:t>
            </w:r>
          </w:p>
        </w:tc>
      </w:tr>
      <w:tr w:rsidR="00C44237" w:rsidRPr="00FB41DC" w:rsidTr="00973014">
        <w:trPr>
          <w:trHeight w:val="476"/>
          <w:jc w:val="center"/>
        </w:trPr>
        <w:tc>
          <w:tcPr>
            <w:tcW w:w="485" w:type="dxa"/>
            <w:tcMar>
              <w:top w:w="57" w:type="dxa"/>
              <w:left w:w="57" w:type="dxa"/>
              <w:bottom w:w="57" w:type="dxa"/>
              <w:right w:w="57" w:type="dxa"/>
            </w:tcMar>
          </w:tcPr>
          <w:p w:rsidR="00C44237" w:rsidRPr="00FB41DC" w:rsidRDefault="00C44237" w:rsidP="00973014">
            <w:pPr>
              <w:pStyle w:val="naiskr"/>
              <w:spacing w:before="0" w:after="0"/>
              <w:ind w:left="57" w:right="57"/>
              <w:rPr>
                <w:bCs/>
              </w:rPr>
            </w:pPr>
            <w:r>
              <w:rPr>
                <w:bCs/>
              </w:rPr>
              <w:t>4</w:t>
            </w:r>
            <w:r w:rsidRPr="00FB41DC">
              <w:rPr>
                <w:bCs/>
              </w:rPr>
              <w:t>.</w:t>
            </w:r>
          </w:p>
        </w:tc>
        <w:tc>
          <w:tcPr>
            <w:tcW w:w="4568" w:type="dxa"/>
            <w:tcMar>
              <w:top w:w="57" w:type="dxa"/>
              <w:left w:w="57" w:type="dxa"/>
              <w:bottom w:w="57" w:type="dxa"/>
              <w:right w:w="57" w:type="dxa"/>
            </w:tcMar>
          </w:tcPr>
          <w:p w:rsidR="00C44237" w:rsidRPr="00FB41DC" w:rsidRDefault="00C44237" w:rsidP="00973014">
            <w:pPr>
              <w:pStyle w:val="naiskr"/>
              <w:spacing w:before="0" w:after="0"/>
              <w:ind w:left="57" w:right="57"/>
            </w:pPr>
            <w:r w:rsidRPr="00FB41DC">
              <w:t>Cita informācija</w:t>
            </w:r>
          </w:p>
        </w:tc>
        <w:tc>
          <w:tcPr>
            <w:tcW w:w="4419" w:type="dxa"/>
            <w:tcMar>
              <w:top w:w="57" w:type="dxa"/>
              <w:left w:w="57" w:type="dxa"/>
              <w:bottom w:w="57" w:type="dxa"/>
              <w:right w:w="57" w:type="dxa"/>
            </w:tcMar>
          </w:tcPr>
          <w:p w:rsidR="00C44237" w:rsidRPr="00FB41DC" w:rsidRDefault="00C44237" w:rsidP="00973014">
            <w:pPr>
              <w:pStyle w:val="naiskr"/>
              <w:spacing w:before="0" w:after="0"/>
              <w:ind w:right="57"/>
              <w:jc w:val="both"/>
            </w:pPr>
            <w:r>
              <w:t>Nav.</w:t>
            </w:r>
          </w:p>
        </w:tc>
      </w:tr>
    </w:tbl>
    <w:p w:rsidR="00C44237" w:rsidRPr="00FB41DC" w:rsidRDefault="00C44237" w:rsidP="00C44237"/>
    <w:tbl>
      <w:tblPr>
        <w:tblW w:w="947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4570"/>
        <w:gridCol w:w="4418"/>
      </w:tblGrid>
      <w:tr w:rsidR="00C44237" w:rsidRPr="00FB41DC" w:rsidTr="00973014">
        <w:trPr>
          <w:jc w:val="center"/>
        </w:trPr>
        <w:tc>
          <w:tcPr>
            <w:tcW w:w="9474" w:type="dxa"/>
            <w:gridSpan w:val="3"/>
            <w:tcBorders>
              <w:top w:val="single" w:sz="4" w:space="0" w:color="auto"/>
            </w:tcBorders>
            <w:tcMar>
              <w:top w:w="57" w:type="dxa"/>
              <w:left w:w="57" w:type="dxa"/>
              <w:bottom w:w="57" w:type="dxa"/>
              <w:right w:w="57" w:type="dxa"/>
            </w:tcMar>
          </w:tcPr>
          <w:p w:rsidR="00C44237" w:rsidRPr="00FB41DC" w:rsidRDefault="00C44237" w:rsidP="00973014">
            <w:pPr>
              <w:pStyle w:val="naisnod"/>
              <w:spacing w:before="0" w:after="0"/>
              <w:ind w:left="57" w:right="57"/>
            </w:pPr>
            <w:r w:rsidRPr="00FB41DC">
              <w:t>VII. Tiesību akta projekta izpildes nodrošināšana un tās ietekme uz institūcijām</w:t>
            </w:r>
          </w:p>
        </w:tc>
      </w:tr>
      <w:tr w:rsidR="00C44237" w:rsidRPr="00FB41DC" w:rsidTr="00973014">
        <w:trPr>
          <w:trHeight w:val="427"/>
          <w:jc w:val="center"/>
        </w:trPr>
        <w:tc>
          <w:tcPr>
            <w:tcW w:w="486" w:type="dxa"/>
            <w:tcMar>
              <w:top w:w="57" w:type="dxa"/>
              <w:left w:w="57" w:type="dxa"/>
              <w:bottom w:w="57" w:type="dxa"/>
              <w:right w:w="57" w:type="dxa"/>
            </w:tcMar>
          </w:tcPr>
          <w:p w:rsidR="00C44237" w:rsidRPr="00FB41DC" w:rsidRDefault="00C44237" w:rsidP="00973014">
            <w:pPr>
              <w:pStyle w:val="naisnod"/>
              <w:spacing w:before="0" w:after="0"/>
              <w:ind w:left="57" w:right="57"/>
              <w:jc w:val="left"/>
              <w:rPr>
                <w:b w:val="0"/>
              </w:rPr>
            </w:pPr>
            <w:r w:rsidRPr="00FB41DC">
              <w:rPr>
                <w:b w:val="0"/>
              </w:rPr>
              <w:t>1.</w:t>
            </w:r>
          </w:p>
        </w:tc>
        <w:tc>
          <w:tcPr>
            <w:tcW w:w="4570" w:type="dxa"/>
            <w:tcMar>
              <w:top w:w="57" w:type="dxa"/>
              <w:left w:w="57" w:type="dxa"/>
              <w:bottom w:w="57" w:type="dxa"/>
              <w:right w:w="57" w:type="dxa"/>
            </w:tcMar>
          </w:tcPr>
          <w:p w:rsidR="00C44237" w:rsidRPr="00FB41DC" w:rsidRDefault="00C44237" w:rsidP="00973014">
            <w:pPr>
              <w:pStyle w:val="naisf"/>
              <w:spacing w:before="0" w:after="0"/>
              <w:ind w:left="57" w:right="57" w:firstLine="0"/>
              <w:jc w:val="left"/>
            </w:pPr>
            <w:r w:rsidRPr="00FB41DC">
              <w:t xml:space="preserve">Projekta izpildē iesaistītās institūcijas </w:t>
            </w:r>
          </w:p>
        </w:tc>
        <w:tc>
          <w:tcPr>
            <w:tcW w:w="4418" w:type="dxa"/>
            <w:tcMar>
              <w:top w:w="57" w:type="dxa"/>
              <w:left w:w="57" w:type="dxa"/>
              <w:bottom w:w="57" w:type="dxa"/>
              <w:right w:w="57" w:type="dxa"/>
            </w:tcMar>
          </w:tcPr>
          <w:p w:rsidR="00C44237" w:rsidRPr="00BA241B" w:rsidRDefault="00597310" w:rsidP="00973014">
            <w:pPr>
              <w:pStyle w:val="naisc"/>
              <w:spacing w:before="0" w:after="0"/>
              <w:jc w:val="both"/>
            </w:pPr>
            <w:r>
              <w:t>VARAM</w:t>
            </w:r>
            <w:r w:rsidR="00C44237">
              <w:t>, Valsts vides dienests, LETERA.</w:t>
            </w:r>
          </w:p>
        </w:tc>
      </w:tr>
      <w:tr w:rsidR="00C44237" w:rsidRPr="00FB41DC" w:rsidTr="00973014">
        <w:trPr>
          <w:trHeight w:val="463"/>
          <w:jc w:val="center"/>
        </w:trPr>
        <w:tc>
          <w:tcPr>
            <w:tcW w:w="486" w:type="dxa"/>
            <w:tcMar>
              <w:top w:w="57" w:type="dxa"/>
              <w:left w:w="57" w:type="dxa"/>
              <w:bottom w:w="57" w:type="dxa"/>
              <w:right w:w="57" w:type="dxa"/>
            </w:tcMar>
          </w:tcPr>
          <w:p w:rsidR="00C44237" w:rsidRPr="00FB41DC" w:rsidRDefault="00C44237" w:rsidP="00973014">
            <w:pPr>
              <w:pStyle w:val="naisnod"/>
              <w:spacing w:before="0" w:after="0"/>
              <w:ind w:left="57" w:right="57"/>
              <w:jc w:val="left"/>
              <w:rPr>
                <w:b w:val="0"/>
              </w:rPr>
            </w:pPr>
            <w:r w:rsidRPr="00FB41DC">
              <w:rPr>
                <w:b w:val="0"/>
              </w:rPr>
              <w:t>2.</w:t>
            </w:r>
          </w:p>
        </w:tc>
        <w:tc>
          <w:tcPr>
            <w:tcW w:w="4570" w:type="dxa"/>
            <w:tcMar>
              <w:top w:w="57" w:type="dxa"/>
              <w:left w:w="57" w:type="dxa"/>
              <w:bottom w:w="57" w:type="dxa"/>
              <w:right w:w="57" w:type="dxa"/>
            </w:tcMar>
          </w:tcPr>
          <w:p w:rsidR="00C44237" w:rsidRPr="00FB41DC" w:rsidRDefault="00C44237" w:rsidP="00973014">
            <w:pPr>
              <w:pStyle w:val="naisf"/>
              <w:spacing w:before="0" w:after="0"/>
              <w:ind w:left="57" w:right="57" w:firstLine="0"/>
              <w:jc w:val="left"/>
            </w:pPr>
            <w:r w:rsidRPr="00FB41DC">
              <w:t xml:space="preserve">Projekta izpildes ietekme uz pārvaldes funkcijām </w:t>
            </w:r>
            <w:r>
              <w:t>un institucionālo struktūru</w:t>
            </w:r>
          </w:p>
        </w:tc>
        <w:tc>
          <w:tcPr>
            <w:tcW w:w="4418" w:type="dxa"/>
            <w:tcMar>
              <w:top w:w="57" w:type="dxa"/>
              <w:left w:w="57" w:type="dxa"/>
              <w:bottom w:w="57" w:type="dxa"/>
              <w:right w:w="57" w:type="dxa"/>
            </w:tcMar>
          </w:tcPr>
          <w:p w:rsidR="00C44237" w:rsidRDefault="00C44237" w:rsidP="00973014">
            <w:pPr>
              <w:pStyle w:val="naisnod"/>
              <w:spacing w:before="0" w:after="0"/>
              <w:ind w:right="57"/>
              <w:jc w:val="left"/>
              <w:rPr>
                <w:b w:val="0"/>
              </w:rPr>
            </w:pPr>
            <w:r>
              <w:rPr>
                <w:b w:val="0"/>
              </w:rPr>
              <w:t>Noteikumu projekts neietekmē iesaistīto institūciju funkcijas un uzdevumus.</w:t>
            </w:r>
          </w:p>
          <w:p w:rsidR="00C44237" w:rsidRPr="00F862E3" w:rsidRDefault="00C44237" w:rsidP="00973014">
            <w:pPr>
              <w:pStyle w:val="naisnod"/>
              <w:spacing w:before="0" w:after="0"/>
              <w:ind w:right="57"/>
              <w:jc w:val="both"/>
              <w:rPr>
                <w:b w:val="0"/>
              </w:rPr>
            </w:pPr>
            <w:r>
              <w:rPr>
                <w:b w:val="0"/>
              </w:rPr>
              <w:t>Nav paredzēta jauno institūciju izveide/likvidēšana/reorganizēšana</w:t>
            </w:r>
          </w:p>
        </w:tc>
      </w:tr>
      <w:tr w:rsidR="00C44237" w:rsidRPr="00FB41DC" w:rsidTr="00973014">
        <w:trPr>
          <w:trHeight w:val="476"/>
          <w:jc w:val="center"/>
        </w:trPr>
        <w:tc>
          <w:tcPr>
            <w:tcW w:w="486" w:type="dxa"/>
            <w:tcMar>
              <w:top w:w="57" w:type="dxa"/>
              <w:left w:w="57" w:type="dxa"/>
              <w:bottom w:w="57" w:type="dxa"/>
              <w:right w:w="57" w:type="dxa"/>
            </w:tcMar>
          </w:tcPr>
          <w:p w:rsidR="00C44237" w:rsidRPr="00FB41DC" w:rsidRDefault="00C44237" w:rsidP="00973014">
            <w:pPr>
              <w:pStyle w:val="naiskr"/>
              <w:spacing w:before="0" w:after="0"/>
              <w:ind w:left="57" w:right="57"/>
            </w:pPr>
            <w:r>
              <w:t>3</w:t>
            </w:r>
            <w:r w:rsidRPr="00FB41DC">
              <w:t>.</w:t>
            </w:r>
          </w:p>
        </w:tc>
        <w:tc>
          <w:tcPr>
            <w:tcW w:w="4570" w:type="dxa"/>
            <w:tcMar>
              <w:top w:w="57" w:type="dxa"/>
              <w:left w:w="57" w:type="dxa"/>
              <w:bottom w:w="57" w:type="dxa"/>
              <w:right w:w="57" w:type="dxa"/>
            </w:tcMar>
          </w:tcPr>
          <w:p w:rsidR="00C44237" w:rsidRPr="00FB41DC" w:rsidRDefault="00C44237" w:rsidP="00973014">
            <w:pPr>
              <w:pStyle w:val="naiskr"/>
              <w:spacing w:before="0" w:after="0"/>
              <w:ind w:left="57" w:right="57"/>
            </w:pPr>
            <w:r w:rsidRPr="00FB41DC">
              <w:t>Cita informācija</w:t>
            </w:r>
          </w:p>
        </w:tc>
        <w:tc>
          <w:tcPr>
            <w:tcW w:w="4418" w:type="dxa"/>
            <w:tcMar>
              <w:top w:w="57" w:type="dxa"/>
              <w:left w:w="57" w:type="dxa"/>
              <w:bottom w:w="57" w:type="dxa"/>
              <w:right w:w="57" w:type="dxa"/>
            </w:tcMar>
          </w:tcPr>
          <w:p w:rsidR="00C44237" w:rsidRPr="00FB41DC" w:rsidRDefault="00C44237" w:rsidP="00973014">
            <w:pPr>
              <w:pStyle w:val="naiskr"/>
              <w:spacing w:before="0" w:after="0"/>
              <w:ind w:left="57" w:right="57"/>
            </w:pPr>
            <w:r>
              <w:t>Nav.</w:t>
            </w:r>
          </w:p>
        </w:tc>
      </w:tr>
    </w:tbl>
    <w:p w:rsidR="00C44237" w:rsidRDefault="00C44237" w:rsidP="00C44237">
      <w:pPr>
        <w:pStyle w:val="naisf"/>
        <w:spacing w:before="0" w:after="0"/>
        <w:ind w:firstLine="374"/>
        <w:rPr>
          <w:b/>
        </w:rPr>
      </w:pPr>
    </w:p>
    <w:p w:rsidR="00C44237" w:rsidRPr="00BD51DB" w:rsidRDefault="00C44237" w:rsidP="00C44237">
      <w:pPr>
        <w:pStyle w:val="tvhtml1"/>
        <w:jc w:val="both"/>
        <w:rPr>
          <w:rFonts w:ascii="Times New Roman" w:hAnsi="Times New Roman"/>
          <w:sz w:val="24"/>
          <w:szCs w:val="24"/>
          <w:lang w:val="lv-LV"/>
        </w:rPr>
      </w:pPr>
      <w:r>
        <w:rPr>
          <w:rFonts w:ascii="Times New Roman" w:hAnsi="Times New Roman"/>
          <w:b/>
          <w:sz w:val="24"/>
          <w:szCs w:val="24"/>
          <w:lang w:val="lv-LV"/>
        </w:rPr>
        <w:t xml:space="preserve">Anotācijas III un IV </w:t>
      </w:r>
      <w:r w:rsidRPr="008D0542">
        <w:rPr>
          <w:rFonts w:ascii="Times New Roman" w:hAnsi="Times New Roman"/>
          <w:b/>
          <w:sz w:val="24"/>
          <w:szCs w:val="24"/>
          <w:lang w:val="lv-LV"/>
        </w:rPr>
        <w:t xml:space="preserve">sadaļa - </w:t>
      </w:r>
      <w:r w:rsidRPr="008D0542">
        <w:rPr>
          <w:rFonts w:ascii="Times New Roman" w:hAnsi="Times New Roman"/>
          <w:sz w:val="24"/>
          <w:szCs w:val="24"/>
          <w:lang w:val="lv-LV"/>
        </w:rPr>
        <w:t>proje</w:t>
      </w:r>
      <w:r w:rsidRPr="008D0542">
        <w:rPr>
          <w:rFonts w:ascii="Times New Roman" w:hAnsi="Times New Roman"/>
          <w:iCs/>
          <w:sz w:val="24"/>
          <w:szCs w:val="24"/>
          <w:lang w:val="lv-LV"/>
        </w:rPr>
        <w:t>kts šo jomu neskar.</w:t>
      </w:r>
    </w:p>
    <w:p w:rsidR="00C44237" w:rsidRDefault="00C44237" w:rsidP="00C44237">
      <w:pPr>
        <w:pStyle w:val="naisf"/>
        <w:spacing w:before="0" w:after="0"/>
        <w:ind w:firstLine="374"/>
        <w:rPr>
          <w:b/>
        </w:rPr>
      </w:pPr>
    </w:p>
    <w:p w:rsidR="00C44237" w:rsidRDefault="00C44237" w:rsidP="00C44237">
      <w:pPr>
        <w:pStyle w:val="naisf"/>
        <w:spacing w:before="0" w:after="0"/>
        <w:ind w:firstLine="374"/>
        <w:rPr>
          <w:b/>
        </w:rPr>
      </w:pPr>
    </w:p>
    <w:p w:rsidR="00C44237" w:rsidRPr="004E4BE0" w:rsidRDefault="00C44237" w:rsidP="00C44237">
      <w:pPr>
        <w:pStyle w:val="tv2161"/>
        <w:spacing w:before="0" w:line="240" w:lineRule="auto"/>
        <w:ind w:firstLine="0"/>
        <w:jc w:val="both"/>
        <w:rPr>
          <w:rFonts w:ascii="Times New Roman" w:hAnsi="Times New Roman"/>
          <w:sz w:val="24"/>
          <w:szCs w:val="24"/>
        </w:rPr>
      </w:pPr>
      <w:r w:rsidRPr="004E4BE0">
        <w:rPr>
          <w:rFonts w:ascii="Times New Roman" w:hAnsi="Times New Roman"/>
          <w:sz w:val="24"/>
          <w:szCs w:val="24"/>
        </w:rPr>
        <w:t xml:space="preserve">Vides aizsardzības un </w:t>
      </w:r>
    </w:p>
    <w:p w:rsidR="00C44237" w:rsidRPr="004E4BE0" w:rsidRDefault="00C44237" w:rsidP="00C44237">
      <w:r w:rsidRPr="004E4BE0">
        <w:t>reģionālās attīstības ministrs</w:t>
      </w:r>
      <w:r w:rsidRPr="004E4BE0">
        <w:tab/>
      </w:r>
      <w:r w:rsidRPr="004E4BE0">
        <w:tab/>
      </w:r>
      <w:r w:rsidRPr="004E4BE0">
        <w:tab/>
      </w:r>
      <w:r w:rsidRPr="004E4BE0">
        <w:tab/>
      </w:r>
      <w:r w:rsidRPr="004E4BE0">
        <w:tab/>
      </w:r>
      <w:r w:rsidRPr="004E4BE0">
        <w:tab/>
      </w:r>
      <w:r w:rsidR="004E4BE0">
        <w:tab/>
      </w:r>
      <w:proofErr w:type="spellStart"/>
      <w:r w:rsidRPr="004E4BE0">
        <w:t>R.Naudiņš</w:t>
      </w:r>
      <w:proofErr w:type="spellEnd"/>
    </w:p>
    <w:p w:rsidR="00C44237" w:rsidRPr="004E4BE0" w:rsidRDefault="00C44237" w:rsidP="00C44237"/>
    <w:p w:rsidR="00C44237" w:rsidRPr="004E4BE0" w:rsidRDefault="00C44237" w:rsidP="00C44237">
      <w:r w:rsidRPr="004E4BE0">
        <w:tab/>
      </w:r>
    </w:p>
    <w:p w:rsidR="00C44237" w:rsidRPr="004E4BE0" w:rsidRDefault="00C44237" w:rsidP="00C44237"/>
    <w:p w:rsidR="00C44237" w:rsidRPr="004E4BE0" w:rsidRDefault="00C44237" w:rsidP="00C44237">
      <w:r w:rsidRPr="004E4BE0">
        <w:lastRenderedPageBreak/>
        <w:t>Iesniedzējs:</w:t>
      </w:r>
    </w:p>
    <w:p w:rsidR="00C44237" w:rsidRPr="004E4BE0" w:rsidRDefault="00C44237" w:rsidP="00C44237"/>
    <w:p w:rsidR="00C44237" w:rsidRPr="004E4BE0" w:rsidRDefault="00C44237" w:rsidP="00C44237">
      <w:pPr>
        <w:pStyle w:val="tv2161"/>
        <w:spacing w:before="0" w:line="240" w:lineRule="auto"/>
        <w:ind w:firstLine="0"/>
        <w:jc w:val="both"/>
        <w:rPr>
          <w:rFonts w:ascii="Times New Roman" w:hAnsi="Times New Roman"/>
          <w:sz w:val="24"/>
          <w:szCs w:val="24"/>
        </w:rPr>
      </w:pPr>
      <w:r w:rsidRPr="004E4BE0">
        <w:rPr>
          <w:rFonts w:ascii="Times New Roman" w:hAnsi="Times New Roman"/>
          <w:sz w:val="24"/>
          <w:szCs w:val="24"/>
        </w:rPr>
        <w:t xml:space="preserve">Vides aizsardzības un </w:t>
      </w:r>
    </w:p>
    <w:p w:rsidR="00C44237" w:rsidRPr="004E4BE0" w:rsidRDefault="00C44237" w:rsidP="00C44237">
      <w:r w:rsidRPr="004E4BE0">
        <w:t>reģionālās attīstības ministrs</w:t>
      </w:r>
      <w:r w:rsidRPr="004E4BE0">
        <w:tab/>
      </w:r>
      <w:r w:rsidRPr="004E4BE0">
        <w:tab/>
      </w:r>
      <w:r w:rsidRPr="004E4BE0">
        <w:tab/>
      </w:r>
      <w:r w:rsidRPr="004E4BE0">
        <w:tab/>
      </w:r>
      <w:r w:rsidRPr="004E4BE0">
        <w:tab/>
      </w:r>
      <w:r w:rsidRPr="004E4BE0">
        <w:tab/>
      </w:r>
      <w:r w:rsidR="004E4BE0">
        <w:tab/>
      </w:r>
      <w:proofErr w:type="spellStart"/>
      <w:r w:rsidRPr="004E4BE0">
        <w:t>R.Naudiņš</w:t>
      </w:r>
      <w:proofErr w:type="spellEnd"/>
    </w:p>
    <w:p w:rsidR="00C44237" w:rsidRPr="004E4BE0" w:rsidRDefault="00C44237" w:rsidP="00C44237"/>
    <w:p w:rsidR="00C44237" w:rsidRPr="004E4BE0" w:rsidRDefault="00C44237" w:rsidP="00C44237">
      <w:r w:rsidRPr="004E4BE0">
        <w:t>Vīza:</w:t>
      </w:r>
    </w:p>
    <w:p w:rsidR="00C44237" w:rsidRPr="004E4BE0" w:rsidRDefault="00C44237" w:rsidP="00C44237">
      <w:r w:rsidRPr="004E4BE0">
        <w:t>Valsts sekretārs</w:t>
      </w:r>
      <w:r w:rsidRPr="004E4BE0">
        <w:tab/>
      </w:r>
      <w:r w:rsidRPr="004E4BE0">
        <w:tab/>
      </w:r>
      <w:r w:rsidRPr="004E4BE0">
        <w:tab/>
      </w:r>
      <w:r w:rsidRPr="004E4BE0">
        <w:tab/>
      </w:r>
      <w:r w:rsidRPr="004E4BE0">
        <w:tab/>
      </w:r>
      <w:r w:rsidRPr="004E4BE0">
        <w:tab/>
      </w:r>
      <w:r w:rsidRPr="004E4BE0">
        <w:tab/>
      </w:r>
      <w:r w:rsidRPr="004E4BE0">
        <w:tab/>
        <w:t>G.Puķītis</w:t>
      </w:r>
    </w:p>
    <w:p w:rsidR="00C44237" w:rsidRPr="002C137E" w:rsidRDefault="00C44237" w:rsidP="00C44237">
      <w:pPr>
        <w:pStyle w:val="tv2131"/>
        <w:spacing w:before="0" w:line="240" w:lineRule="auto"/>
        <w:ind w:firstLine="0"/>
        <w:rPr>
          <w:rFonts w:ascii="Times New Roman" w:hAnsi="Times New Roman"/>
          <w:sz w:val="24"/>
          <w:szCs w:val="24"/>
          <w:lang w:val="lv-LV"/>
        </w:rPr>
      </w:pPr>
    </w:p>
    <w:p w:rsidR="00C44237" w:rsidRPr="004E4BE0" w:rsidRDefault="00C44237" w:rsidP="00C44237">
      <w:pPr>
        <w:pStyle w:val="tv2161"/>
        <w:spacing w:before="0" w:line="240" w:lineRule="auto"/>
        <w:ind w:firstLine="0"/>
        <w:jc w:val="both"/>
        <w:rPr>
          <w:rFonts w:ascii="Times New Roman" w:hAnsi="Times New Roman"/>
          <w:sz w:val="24"/>
          <w:szCs w:val="24"/>
        </w:rPr>
      </w:pPr>
      <w:bookmarkStart w:id="0" w:name="p2008"/>
      <w:bookmarkEnd w:id="0"/>
    </w:p>
    <w:p w:rsidR="00C44237" w:rsidRPr="00F01AAE" w:rsidRDefault="00C44237" w:rsidP="00C44237">
      <w:pPr>
        <w:pStyle w:val="tv2161"/>
        <w:spacing w:before="0" w:line="240" w:lineRule="auto"/>
        <w:ind w:firstLine="0"/>
        <w:jc w:val="both"/>
        <w:rPr>
          <w:rFonts w:ascii="Times New Roman" w:hAnsi="Times New Roman"/>
          <w:sz w:val="28"/>
          <w:szCs w:val="28"/>
        </w:rPr>
      </w:pPr>
      <w:r w:rsidRPr="00F01AAE">
        <w:rPr>
          <w:rFonts w:ascii="Times New Roman" w:hAnsi="Times New Roman"/>
          <w:sz w:val="28"/>
          <w:szCs w:val="28"/>
        </w:rPr>
        <w:t xml:space="preserve">                                                            </w:t>
      </w:r>
      <w:r w:rsidRPr="00F01AAE">
        <w:rPr>
          <w:rFonts w:ascii="Times New Roman" w:hAnsi="Times New Roman"/>
          <w:sz w:val="28"/>
          <w:szCs w:val="28"/>
        </w:rPr>
        <w:tab/>
        <w:t xml:space="preserve"> </w:t>
      </w:r>
    </w:p>
    <w:p w:rsidR="00C44237" w:rsidRPr="00507719" w:rsidRDefault="008B0A83" w:rsidP="00C44237">
      <w:pPr>
        <w:rPr>
          <w:sz w:val="20"/>
          <w:szCs w:val="20"/>
        </w:rPr>
      </w:pPr>
      <w:r>
        <w:rPr>
          <w:sz w:val="20"/>
          <w:szCs w:val="20"/>
        </w:rPr>
        <w:t>18</w:t>
      </w:r>
      <w:r w:rsidR="00C44237">
        <w:rPr>
          <w:sz w:val="20"/>
          <w:szCs w:val="20"/>
        </w:rPr>
        <w:t>.</w:t>
      </w:r>
      <w:r w:rsidR="00E14F60">
        <w:rPr>
          <w:sz w:val="20"/>
          <w:szCs w:val="20"/>
        </w:rPr>
        <w:t>06.</w:t>
      </w:r>
      <w:r w:rsidR="00C44237">
        <w:rPr>
          <w:sz w:val="20"/>
          <w:szCs w:val="20"/>
        </w:rPr>
        <w:t>2014</w:t>
      </w:r>
      <w:r w:rsidR="00C44237" w:rsidRPr="00507719">
        <w:rPr>
          <w:sz w:val="20"/>
          <w:szCs w:val="20"/>
        </w:rPr>
        <w:t>., 14:25</w:t>
      </w:r>
    </w:p>
    <w:p w:rsidR="00C44237" w:rsidRPr="00507719" w:rsidRDefault="008B0A83" w:rsidP="00C44237">
      <w:pPr>
        <w:tabs>
          <w:tab w:val="left" w:pos="3465"/>
        </w:tabs>
        <w:rPr>
          <w:sz w:val="20"/>
          <w:szCs w:val="20"/>
        </w:rPr>
      </w:pPr>
      <w:r>
        <w:rPr>
          <w:sz w:val="20"/>
          <w:szCs w:val="20"/>
        </w:rPr>
        <w:t>3196</w:t>
      </w:r>
      <w:r w:rsidR="00C44237" w:rsidRPr="00507719">
        <w:rPr>
          <w:sz w:val="20"/>
          <w:szCs w:val="20"/>
        </w:rPr>
        <w:tab/>
      </w:r>
    </w:p>
    <w:p w:rsidR="00C44237" w:rsidRPr="00507719" w:rsidRDefault="00C44237" w:rsidP="00C44237">
      <w:pPr>
        <w:rPr>
          <w:sz w:val="20"/>
          <w:szCs w:val="20"/>
        </w:rPr>
      </w:pPr>
      <w:r w:rsidRPr="00507719">
        <w:rPr>
          <w:sz w:val="20"/>
          <w:szCs w:val="20"/>
        </w:rPr>
        <w:t>I.Doniņa</w:t>
      </w:r>
    </w:p>
    <w:p w:rsidR="00C44237" w:rsidRPr="00507719" w:rsidRDefault="00C44237" w:rsidP="00C44237">
      <w:pPr>
        <w:rPr>
          <w:sz w:val="20"/>
          <w:szCs w:val="20"/>
        </w:rPr>
      </w:pPr>
      <w:r w:rsidRPr="00507719">
        <w:rPr>
          <w:sz w:val="20"/>
          <w:szCs w:val="20"/>
        </w:rPr>
        <w:t>6</w:t>
      </w:r>
      <w:smartTag w:uri="schemas-tilde-lv/tildestengine" w:element="phone">
        <w:smartTagPr>
          <w:attr w:name="phone_number" w:val="7026515"/>
        </w:smartTagPr>
        <w:r w:rsidRPr="00507719">
          <w:rPr>
            <w:sz w:val="20"/>
            <w:szCs w:val="20"/>
          </w:rPr>
          <w:t>7026515</w:t>
        </w:r>
      </w:smartTag>
      <w:r w:rsidRPr="00507719">
        <w:rPr>
          <w:sz w:val="20"/>
          <w:szCs w:val="20"/>
        </w:rPr>
        <w:t xml:space="preserve">; </w:t>
      </w:r>
      <w:hyperlink r:id="rId12" w:history="1">
        <w:r w:rsidRPr="00507719">
          <w:rPr>
            <w:rStyle w:val="Hyperlink"/>
            <w:sz w:val="20"/>
            <w:szCs w:val="20"/>
          </w:rPr>
          <w:t>ilze.donina@varam.gov.lv</w:t>
        </w:r>
      </w:hyperlink>
    </w:p>
    <w:p w:rsidR="00C44237" w:rsidRDefault="00C44237" w:rsidP="00C44237"/>
    <w:p w:rsidR="00C44237" w:rsidRDefault="00C44237" w:rsidP="00C44237"/>
    <w:p w:rsidR="00C44237" w:rsidRDefault="00C44237" w:rsidP="00C44237"/>
    <w:p w:rsidR="0017486A" w:rsidRDefault="0017486A"/>
    <w:sectPr w:rsidR="0017486A" w:rsidSect="004E4BE0">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15" w:rsidRDefault="003B7A15" w:rsidP="004E4BE0">
      <w:r>
        <w:separator/>
      </w:r>
    </w:p>
  </w:endnote>
  <w:endnote w:type="continuationSeparator" w:id="0">
    <w:p w:rsidR="003B7A15" w:rsidRDefault="003B7A15" w:rsidP="004E4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9D" w:rsidRPr="009D3527" w:rsidRDefault="008B0A83" w:rsidP="00A27CFF">
    <w:pPr>
      <w:pStyle w:val="Title"/>
      <w:jc w:val="both"/>
      <w:rPr>
        <w:b w:val="0"/>
      </w:rPr>
    </w:pPr>
    <w:r>
      <w:rPr>
        <w:b w:val="0"/>
      </w:rPr>
      <w:t>VARAMAnot_18</w:t>
    </w:r>
    <w:r w:rsidR="0067149D">
      <w:rPr>
        <w:b w:val="0"/>
      </w:rPr>
      <w:t>0614_EEIA</w:t>
    </w:r>
    <w:r w:rsidR="0067149D" w:rsidRPr="009D3527">
      <w:rPr>
        <w:b w:val="0"/>
      </w:rPr>
      <w:t>;</w:t>
    </w:r>
    <w:r w:rsidR="0067149D" w:rsidRPr="004E4BE0">
      <w:rPr>
        <w:bCs w:val="0"/>
      </w:rPr>
      <w:t xml:space="preserve"> </w:t>
    </w:r>
    <w:r w:rsidR="0067149D" w:rsidRPr="00A27CFF">
      <w:rPr>
        <w:b w:val="0"/>
      </w:rPr>
      <w:t>Ministru kabineta noteikumu projekts “Elektrisko un elektronisko iekārtu kategorijas un marķēšanas prasības un šo iekārtu atkritumu apsaimniekošanas prasības un kārtība”</w:t>
    </w:r>
    <w:r w:rsidR="0067149D" w:rsidRPr="009A0A70" w:rsidDel="009A0A70">
      <w:t xml:space="preserve"> </w:t>
    </w:r>
    <w:r w:rsidR="0067149D" w:rsidRPr="009D3527">
      <w:rPr>
        <w:b w:val="0"/>
      </w:rPr>
      <w:t xml:space="preserve">sākotnējās ietekmes novērtējuma </w:t>
    </w:r>
    <w:smartTag w:uri="schemas-tilde-lv/tildestengine" w:element="veidnes">
      <w:smartTagPr>
        <w:attr w:name="text" w:val="ziņojums"/>
        <w:attr w:name="baseform" w:val="ziņojums"/>
        <w:attr w:name="id" w:val="-1"/>
      </w:smartTagPr>
      <w:r w:rsidR="0067149D" w:rsidRPr="009D3527">
        <w:rPr>
          <w:b w:val="0"/>
        </w:rPr>
        <w:t>ziņojums</w:t>
      </w:r>
    </w:smartTag>
    <w:r w:rsidR="0067149D" w:rsidRPr="009D3527">
      <w:rPr>
        <w:b w:val="0"/>
      </w:rPr>
      <w:t xml:space="preserve"> (anotācija)</w:t>
    </w:r>
  </w:p>
  <w:p w:rsidR="0067149D" w:rsidRPr="009F5E0A" w:rsidRDefault="0067149D" w:rsidP="00973014">
    <w:pPr>
      <w:pStyle w:val="Title"/>
      <w:jc w:val="both"/>
      <w:rPr>
        <w:b w:val="0"/>
        <w:bCs w:val="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9D" w:rsidRPr="009D3527" w:rsidRDefault="008B0A83" w:rsidP="00973014">
    <w:pPr>
      <w:pStyle w:val="Title"/>
      <w:jc w:val="both"/>
      <w:rPr>
        <w:b w:val="0"/>
      </w:rPr>
    </w:pPr>
    <w:r>
      <w:rPr>
        <w:b w:val="0"/>
      </w:rPr>
      <w:t>VARAMAnot_18</w:t>
    </w:r>
    <w:r w:rsidR="0067149D">
      <w:rPr>
        <w:b w:val="0"/>
      </w:rPr>
      <w:t>0614_EEIA</w:t>
    </w:r>
    <w:r w:rsidR="0067149D" w:rsidRPr="009D3527">
      <w:rPr>
        <w:b w:val="0"/>
      </w:rPr>
      <w:t>;</w:t>
    </w:r>
    <w:r w:rsidR="0067149D" w:rsidRPr="004E4BE0">
      <w:rPr>
        <w:bCs w:val="0"/>
      </w:rPr>
      <w:t xml:space="preserve"> </w:t>
    </w:r>
    <w:r w:rsidR="0067149D" w:rsidRPr="009F2952">
      <w:rPr>
        <w:b w:val="0"/>
      </w:rPr>
      <w:t>Ministru kabineta noteikumu projekts “Elektrisko un elektronisko iekārtu kategorijas un marķēšanas prasības un šo iekārtu atkritumu apsaimniekošanas prasības un kārtība”</w:t>
    </w:r>
    <w:r w:rsidR="0067149D" w:rsidRPr="009A0A70" w:rsidDel="009A0A70">
      <w:t xml:space="preserve"> </w:t>
    </w:r>
    <w:r w:rsidR="0067149D" w:rsidRPr="009D3527">
      <w:rPr>
        <w:b w:val="0"/>
      </w:rPr>
      <w:t xml:space="preserve">sākotnējās ietekmes novērtējuma </w:t>
    </w:r>
    <w:smartTag w:uri="schemas-tilde-lv/tildestengine" w:element="veidnes">
      <w:smartTagPr>
        <w:attr w:name="text" w:val="ziņojums"/>
        <w:attr w:name="baseform" w:val="ziņojums"/>
        <w:attr w:name="id" w:val="-1"/>
      </w:smartTagPr>
      <w:r w:rsidR="0067149D" w:rsidRPr="009D3527">
        <w:rPr>
          <w:b w:val="0"/>
        </w:rPr>
        <w:t>ziņojums</w:t>
      </w:r>
    </w:smartTag>
    <w:r w:rsidR="0067149D" w:rsidRPr="009D3527">
      <w:rPr>
        <w:b w:val="0"/>
      </w:rPr>
      <w:t xml:space="preserve"> (anotācija)</w:t>
    </w:r>
  </w:p>
  <w:p w:rsidR="0067149D" w:rsidRPr="00A918C3" w:rsidRDefault="0067149D" w:rsidP="00973014">
    <w:pPr>
      <w:pStyle w:val="Title"/>
      <w:jc w:val="left"/>
      <w:rPr>
        <w:b w:val="0"/>
      </w:rPr>
    </w:pPr>
  </w:p>
  <w:p w:rsidR="0067149D" w:rsidRPr="0091577B" w:rsidRDefault="0067149D" w:rsidP="00973014">
    <w:pPr>
      <w:pStyle w:val="Title"/>
      <w:jc w:val="both"/>
      <w:rPr>
        <w:b w:val="0"/>
        <w:bCs w:val="0"/>
      </w:rPr>
    </w:pPr>
  </w:p>
  <w:p w:rsidR="0067149D" w:rsidRPr="00503A61" w:rsidRDefault="0067149D" w:rsidP="00973014">
    <w:pPr>
      <w:pStyle w:val="Title"/>
      <w:jc w:val="both"/>
      <w:rPr>
        <w:b w:val="0"/>
        <w:b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15" w:rsidRDefault="003B7A15" w:rsidP="004E4BE0">
      <w:r>
        <w:separator/>
      </w:r>
    </w:p>
  </w:footnote>
  <w:footnote w:type="continuationSeparator" w:id="0">
    <w:p w:rsidR="003B7A15" w:rsidRDefault="003B7A15" w:rsidP="004E4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9D" w:rsidRDefault="0067149D">
    <w:pPr>
      <w:pStyle w:val="Header"/>
    </w:pPr>
    <w:r w:rsidRPr="00013525">
      <w:rPr>
        <w:rStyle w:val="PageNumber"/>
      </w:rPr>
      <w:tab/>
      <w:t xml:space="preserve"> </w:t>
    </w:r>
    <w:r w:rsidR="00CD1ED6" w:rsidRPr="00013525">
      <w:rPr>
        <w:rStyle w:val="PageNumber"/>
      </w:rPr>
      <w:fldChar w:fldCharType="begin"/>
    </w:r>
    <w:r w:rsidRPr="00013525">
      <w:rPr>
        <w:rStyle w:val="PageNumber"/>
      </w:rPr>
      <w:instrText xml:space="preserve"> PAGE </w:instrText>
    </w:r>
    <w:r w:rsidR="00CD1ED6" w:rsidRPr="00013525">
      <w:rPr>
        <w:rStyle w:val="PageNumber"/>
      </w:rPr>
      <w:fldChar w:fldCharType="separate"/>
    </w:r>
    <w:r w:rsidR="00237B6B">
      <w:rPr>
        <w:rStyle w:val="PageNumber"/>
        <w:noProof/>
      </w:rPr>
      <w:t>13</w:t>
    </w:r>
    <w:r w:rsidR="00CD1ED6" w:rsidRPr="00013525">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5A91"/>
    <w:multiLevelType w:val="hybridMultilevel"/>
    <w:tmpl w:val="501CBFA8"/>
    <w:lvl w:ilvl="0" w:tplc="7BE20482">
      <w:start w:val="11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920C0"/>
    <w:multiLevelType w:val="hybridMultilevel"/>
    <w:tmpl w:val="1158A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3750EE5"/>
    <w:multiLevelType w:val="multilevel"/>
    <w:tmpl w:val="42B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4237"/>
    <w:rsid w:val="00076C98"/>
    <w:rsid w:val="00084E49"/>
    <w:rsid w:val="000C2FB6"/>
    <w:rsid w:val="000C5ED7"/>
    <w:rsid w:val="000D2F69"/>
    <w:rsid w:val="000E6B16"/>
    <w:rsid w:val="000F7297"/>
    <w:rsid w:val="00125DE1"/>
    <w:rsid w:val="00174708"/>
    <w:rsid w:val="0017486A"/>
    <w:rsid w:val="00197C1D"/>
    <w:rsid w:val="001D5D1E"/>
    <w:rsid w:val="00237B6B"/>
    <w:rsid w:val="002A18AF"/>
    <w:rsid w:val="002B38C1"/>
    <w:rsid w:val="002C137E"/>
    <w:rsid w:val="002E63A3"/>
    <w:rsid w:val="002F4EED"/>
    <w:rsid w:val="003456F6"/>
    <w:rsid w:val="0035749F"/>
    <w:rsid w:val="003621C7"/>
    <w:rsid w:val="00365AE9"/>
    <w:rsid w:val="00395865"/>
    <w:rsid w:val="003A3154"/>
    <w:rsid w:val="003B7A15"/>
    <w:rsid w:val="003E31F6"/>
    <w:rsid w:val="00403C58"/>
    <w:rsid w:val="004543EF"/>
    <w:rsid w:val="004A1939"/>
    <w:rsid w:val="004E4BE0"/>
    <w:rsid w:val="004F54A9"/>
    <w:rsid w:val="0051412C"/>
    <w:rsid w:val="00514ABE"/>
    <w:rsid w:val="005323AD"/>
    <w:rsid w:val="0058348F"/>
    <w:rsid w:val="00597310"/>
    <w:rsid w:val="00605FB0"/>
    <w:rsid w:val="00627771"/>
    <w:rsid w:val="0067149D"/>
    <w:rsid w:val="006D2A0E"/>
    <w:rsid w:val="006F7B7F"/>
    <w:rsid w:val="00703350"/>
    <w:rsid w:val="00743DBC"/>
    <w:rsid w:val="00755AEC"/>
    <w:rsid w:val="007C7E32"/>
    <w:rsid w:val="007D1733"/>
    <w:rsid w:val="007D40C3"/>
    <w:rsid w:val="00897D24"/>
    <w:rsid w:val="008B0A83"/>
    <w:rsid w:val="008B5261"/>
    <w:rsid w:val="008D0121"/>
    <w:rsid w:val="00973014"/>
    <w:rsid w:val="009B0937"/>
    <w:rsid w:val="009F2952"/>
    <w:rsid w:val="00A12159"/>
    <w:rsid w:val="00A27CFF"/>
    <w:rsid w:val="00A40C91"/>
    <w:rsid w:val="00A4538D"/>
    <w:rsid w:val="00A813F6"/>
    <w:rsid w:val="00AC642A"/>
    <w:rsid w:val="00AF5558"/>
    <w:rsid w:val="00B162CA"/>
    <w:rsid w:val="00B41B8A"/>
    <w:rsid w:val="00B53659"/>
    <w:rsid w:val="00B96BD5"/>
    <w:rsid w:val="00BB3D7D"/>
    <w:rsid w:val="00BB44C6"/>
    <w:rsid w:val="00BC4698"/>
    <w:rsid w:val="00BD239F"/>
    <w:rsid w:val="00C44237"/>
    <w:rsid w:val="00C51CBD"/>
    <w:rsid w:val="00C56EA0"/>
    <w:rsid w:val="00CD1ED6"/>
    <w:rsid w:val="00D64E59"/>
    <w:rsid w:val="00D905B5"/>
    <w:rsid w:val="00DB6A2B"/>
    <w:rsid w:val="00E14F60"/>
    <w:rsid w:val="00E31096"/>
    <w:rsid w:val="00E43412"/>
    <w:rsid w:val="00E62D12"/>
    <w:rsid w:val="00E7779F"/>
    <w:rsid w:val="00E8157F"/>
    <w:rsid w:val="00E838F2"/>
    <w:rsid w:val="00EA3C61"/>
    <w:rsid w:val="00EA6CBA"/>
    <w:rsid w:val="00F17AE5"/>
    <w:rsid w:val="00F65D0D"/>
    <w:rsid w:val="00FE0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metric2"/>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3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237"/>
    <w:pPr>
      <w:tabs>
        <w:tab w:val="center" w:pos="4153"/>
        <w:tab w:val="right" w:pos="8306"/>
      </w:tabs>
    </w:pPr>
  </w:style>
  <w:style w:type="character" w:customStyle="1" w:styleId="HeaderChar">
    <w:name w:val="Header Char"/>
    <w:basedOn w:val="DefaultParagraphFont"/>
    <w:link w:val="Header"/>
    <w:rsid w:val="00C44237"/>
    <w:rPr>
      <w:rFonts w:ascii="Times New Roman" w:eastAsia="Times New Roman" w:hAnsi="Times New Roman" w:cs="Times New Roman"/>
      <w:sz w:val="24"/>
      <w:szCs w:val="24"/>
      <w:lang w:val="lv-LV" w:eastAsia="lv-LV"/>
    </w:rPr>
  </w:style>
  <w:style w:type="paragraph" w:customStyle="1" w:styleId="naisf">
    <w:name w:val="naisf"/>
    <w:basedOn w:val="Normal"/>
    <w:rsid w:val="00C44237"/>
    <w:pPr>
      <w:spacing w:before="75" w:after="75"/>
      <w:ind w:firstLine="375"/>
      <w:jc w:val="both"/>
    </w:pPr>
  </w:style>
  <w:style w:type="character" w:styleId="PageNumber">
    <w:name w:val="page number"/>
    <w:basedOn w:val="DefaultParagraphFont"/>
    <w:rsid w:val="00C44237"/>
  </w:style>
  <w:style w:type="character" w:styleId="Hyperlink">
    <w:name w:val="Hyperlink"/>
    <w:basedOn w:val="DefaultParagraphFont"/>
    <w:rsid w:val="00C44237"/>
    <w:rPr>
      <w:rFonts w:cs="Times New Roman"/>
      <w:color w:val="0000FF"/>
      <w:u w:val="single"/>
    </w:rPr>
  </w:style>
  <w:style w:type="paragraph" w:customStyle="1" w:styleId="naisnod">
    <w:name w:val="naisnod"/>
    <w:basedOn w:val="Normal"/>
    <w:rsid w:val="00C44237"/>
    <w:pPr>
      <w:spacing w:before="150" w:after="150"/>
      <w:jc w:val="center"/>
    </w:pPr>
    <w:rPr>
      <w:b/>
      <w:bCs/>
    </w:rPr>
  </w:style>
  <w:style w:type="paragraph" w:customStyle="1" w:styleId="naiskr">
    <w:name w:val="naiskr"/>
    <w:basedOn w:val="Normal"/>
    <w:rsid w:val="00C44237"/>
    <w:pPr>
      <w:spacing w:before="75" w:after="75"/>
    </w:pPr>
  </w:style>
  <w:style w:type="paragraph" w:styleId="Title">
    <w:name w:val="Title"/>
    <w:basedOn w:val="Normal"/>
    <w:link w:val="TitleChar"/>
    <w:qFormat/>
    <w:rsid w:val="00C44237"/>
    <w:pPr>
      <w:jc w:val="center"/>
    </w:pPr>
    <w:rPr>
      <w:b/>
      <w:bCs/>
      <w:lang w:eastAsia="en-US"/>
    </w:rPr>
  </w:style>
  <w:style w:type="character" w:customStyle="1" w:styleId="TitleChar">
    <w:name w:val="Title Char"/>
    <w:basedOn w:val="DefaultParagraphFont"/>
    <w:link w:val="Title"/>
    <w:rsid w:val="00C44237"/>
    <w:rPr>
      <w:rFonts w:ascii="Times New Roman" w:eastAsia="Times New Roman" w:hAnsi="Times New Roman" w:cs="Times New Roman"/>
      <w:b/>
      <w:bCs/>
      <w:sz w:val="24"/>
      <w:szCs w:val="24"/>
      <w:lang w:val="lv-LV"/>
    </w:rPr>
  </w:style>
  <w:style w:type="paragraph" w:customStyle="1" w:styleId="naisc">
    <w:name w:val="naisc"/>
    <w:basedOn w:val="Normal"/>
    <w:rsid w:val="00C44237"/>
    <w:pPr>
      <w:spacing w:before="75" w:after="75"/>
      <w:jc w:val="center"/>
    </w:pPr>
  </w:style>
  <w:style w:type="character" w:styleId="Emphasis">
    <w:name w:val="Emphasis"/>
    <w:basedOn w:val="DefaultParagraphFont"/>
    <w:uiPriority w:val="20"/>
    <w:qFormat/>
    <w:rsid w:val="00C44237"/>
    <w:rPr>
      <w:i/>
      <w:iCs/>
    </w:rPr>
  </w:style>
  <w:style w:type="paragraph" w:customStyle="1" w:styleId="tvhtml1">
    <w:name w:val="tv_html1"/>
    <w:basedOn w:val="Normal"/>
    <w:rsid w:val="00C44237"/>
    <w:pPr>
      <w:spacing w:before="100" w:beforeAutospacing="1" w:line="360" w:lineRule="auto"/>
    </w:pPr>
    <w:rPr>
      <w:rFonts w:ascii="Verdana" w:hAnsi="Verdana"/>
      <w:sz w:val="18"/>
      <w:szCs w:val="18"/>
      <w:lang w:val="en-US" w:eastAsia="en-US"/>
    </w:rPr>
  </w:style>
  <w:style w:type="character" w:styleId="Strong">
    <w:name w:val="Strong"/>
    <w:basedOn w:val="DefaultParagraphFont"/>
    <w:uiPriority w:val="22"/>
    <w:qFormat/>
    <w:rsid w:val="00C44237"/>
    <w:rPr>
      <w:b/>
      <w:bCs/>
    </w:rPr>
  </w:style>
  <w:style w:type="paragraph" w:customStyle="1" w:styleId="tv2131">
    <w:name w:val="tv2131"/>
    <w:basedOn w:val="Normal"/>
    <w:rsid w:val="00C44237"/>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C44237"/>
    <w:pPr>
      <w:spacing w:before="240" w:line="360" w:lineRule="auto"/>
      <w:ind w:firstLine="259"/>
      <w:jc w:val="right"/>
    </w:pPr>
    <w:rPr>
      <w:rFonts w:ascii="Verdana" w:hAnsi="Verdana"/>
      <w:sz w:val="16"/>
      <w:szCs w:val="16"/>
      <w:lang w:eastAsia="en-US"/>
    </w:rPr>
  </w:style>
  <w:style w:type="paragraph" w:customStyle="1" w:styleId="normal0">
    <w:name w:val="normal"/>
    <w:basedOn w:val="Normal"/>
    <w:rsid w:val="00C44237"/>
    <w:pPr>
      <w:spacing w:before="120"/>
      <w:jc w:val="both"/>
    </w:pPr>
    <w:rPr>
      <w:sz w:val="18"/>
      <w:szCs w:val="18"/>
      <w:lang w:val="en-US" w:eastAsia="en-US"/>
    </w:rPr>
  </w:style>
  <w:style w:type="paragraph" w:styleId="ListParagraph">
    <w:name w:val="List Paragraph"/>
    <w:basedOn w:val="Normal"/>
    <w:uiPriority w:val="34"/>
    <w:qFormat/>
    <w:rsid w:val="00BC4698"/>
    <w:pPr>
      <w:ind w:left="720"/>
      <w:contextualSpacing/>
    </w:pPr>
  </w:style>
  <w:style w:type="paragraph" w:styleId="Footer">
    <w:name w:val="footer"/>
    <w:basedOn w:val="Normal"/>
    <w:link w:val="FooterChar"/>
    <w:uiPriority w:val="99"/>
    <w:semiHidden/>
    <w:unhideWhenUsed/>
    <w:rsid w:val="004E4BE0"/>
    <w:pPr>
      <w:tabs>
        <w:tab w:val="center" w:pos="4320"/>
        <w:tab w:val="right" w:pos="8640"/>
      </w:tabs>
    </w:pPr>
  </w:style>
  <w:style w:type="character" w:customStyle="1" w:styleId="FooterChar">
    <w:name w:val="Footer Char"/>
    <w:basedOn w:val="DefaultParagraphFont"/>
    <w:link w:val="Footer"/>
    <w:uiPriority w:val="99"/>
    <w:semiHidden/>
    <w:rsid w:val="004E4BE0"/>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E7779F"/>
    <w:rPr>
      <w:rFonts w:ascii="Tahoma" w:hAnsi="Tahoma" w:cs="Tahoma"/>
      <w:sz w:val="16"/>
      <w:szCs w:val="16"/>
    </w:rPr>
  </w:style>
  <w:style w:type="character" w:customStyle="1" w:styleId="BalloonTextChar">
    <w:name w:val="Balloon Text Char"/>
    <w:basedOn w:val="DefaultParagraphFont"/>
    <w:link w:val="BalloonText"/>
    <w:uiPriority w:val="99"/>
    <w:semiHidden/>
    <w:rsid w:val="00E7779F"/>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B162CA"/>
    <w:rPr>
      <w:sz w:val="16"/>
      <w:szCs w:val="16"/>
    </w:rPr>
  </w:style>
  <w:style w:type="paragraph" w:styleId="CommentText">
    <w:name w:val="annotation text"/>
    <w:basedOn w:val="Normal"/>
    <w:link w:val="CommentTextChar"/>
    <w:uiPriority w:val="99"/>
    <w:semiHidden/>
    <w:unhideWhenUsed/>
    <w:rsid w:val="00B162CA"/>
    <w:rPr>
      <w:sz w:val="20"/>
      <w:szCs w:val="20"/>
    </w:rPr>
  </w:style>
  <w:style w:type="character" w:customStyle="1" w:styleId="CommentTextChar">
    <w:name w:val="Comment Text Char"/>
    <w:basedOn w:val="DefaultParagraphFont"/>
    <w:link w:val="CommentText"/>
    <w:uiPriority w:val="99"/>
    <w:semiHidden/>
    <w:rsid w:val="00B162C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162CA"/>
    <w:rPr>
      <w:b/>
      <w:bCs/>
    </w:rPr>
  </w:style>
  <w:style w:type="character" w:customStyle="1" w:styleId="CommentSubjectChar">
    <w:name w:val="Comment Subject Char"/>
    <w:basedOn w:val="CommentTextChar"/>
    <w:link w:val="CommentSubject"/>
    <w:uiPriority w:val="99"/>
    <w:semiHidden/>
    <w:rsid w:val="00B162CA"/>
    <w:rPr>
      <w:b/>
      <w:bCs/>
    </w:rPr>
  </w:style>
  <w:style w:type="table" w:styleId="TableGrid">
    <w:name w:val="Table Grid"/>
    <w:basedOn w:val="TableNormal"/>
    <w:uiPriority w:val="59"/>
    <w:rsid w:val="00A12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881682">
      <w:bodyDiv w:val="1"/>
      <w:marLeft w:val="0"/>
      <w:marRight w:val="0"/>
      <w:marTop w:val="0"/>
      <w:marBottom w:val="0"/>
      <w:divBdr>
        <w:top w:val="none" w:sz="0" w:space="0" w:color="auto"/>
        <w:left w:val="none" w:sz="0" w:space="0" w:color="auto"/>
        <w:bottom w:val="none" w:sz="0" w:space="0" w:color="auto"/>
        <w:right w:val="none" w:sz="0" w:space="0" w:color="auto"/>
      </w:divBdr>
    </w:div>
    <w:div w:id="582642428">
      <w:bodyDiv w:val="1"/>
      <w:marLeft w:val="0"/>
      <w:marRight w:val="0"/>
      <w:marTop w:val="0"/>
      <w:marBottom w:val="0"/>
      <w:divBdr>
        <w:top w:val="none" w:sz="0" w:space="0" w:color="auto"/>
        <w:left w:val="none" w:sz="0" w:space="0" w:color="auto"/>
        <w:bottom w:val="none" w:sz="0" w:space="0" w:color="auto"/>
        <w:right w:val="none" w:sz="0" w:space="0" w:color="auto"/>
      </w:divBdr>
    </w:div>
    <w:div w:id="643661058">
      <w:bodyDiv w:val="1"/>
      <w:marLeft w:val="0"/>
      <w:marRight w:val="0"/>
      <w:marTop w:val="0"/>
      <w:marBottom w:val="0"/>
      <w:divBdr>
        <w:top w:val="none" w:sz="0" w:space="0" w:color="auto"/>
        <w:left w:val="none" w:sz="0" w:space="0" w:color="auto"/>
        <w:bottom w:val="none" w:sz="0" w:space="0" w:color="auto"/>
        <w:right w:val="none" w:sz="0" w:space="0" w:color="auto"/>
      </w:divBdr>
    </w:div>
    <w:div w:id="735393693">
      <w:bodyDiv w:val="1"/>
      <w:marLeft w:val="0"/>
      <w:marRight w:val="0"/>
      <w:marTop w:val="0"/>
      <w:marBottom w:val="0"/>
      <w:divBdr>
        <w:top w:val="none" w:sz="0" w:space="0" w:color="auto"/>
        <w:left w:val="none" w:sz="0" w:space="0" w:color="auto"/>
        <w:bottom w:val="none" w:sz="0" w:space="0" w:color="auto"/>
        <w:right w:val="none" w:sz="0" w:space="0" w:color="auto"/>
      </w:divBdr>
      <w:divsChild>
        <w:div w:id="990061221">
          <w:marLeft w:val="0"/>
          <w:marRight w:val="0"/>
          <w:marTop w:val="0"/>
          <w:marBottom w:val="0"/>
          <w:divBdr>
            <w:top w:val="none" w:sz="0" w:space="0" w:color="auto"/>
            <w:left w:val="none" w:sz="0" w:space="0" w:color="auto"/>
            <w:bottom w:val="none" w:sz="0" w:space="0" w:color="auto"/>
            <w:right w:val="none" w:sz="0" w:space="0" w:color="auto"/>
          </w:divBdr>
          <w:divsChild>
            <w:div w:id="15261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4649">
      <w:bodyDiv w:val="1"/>
      <w:marLeft w:val="0"/>
      <w:marRight w:val="0"/>
      <w:marTop w:val="0"/>
      <w:marBottom w:val="0"/>
      <w:divBdr>
        <w:top w:val="none" w:sz="0" w:space="0" w:color="auto"/>
        <w:left w:val="none" w:sz="0" w:space="0" w:color="auto"/>
        <w:bottom w:val="none" w:sz="0" w:space="0" w:color="auto"/>
        <w:right w:val="none" w:sz="0" w:space="0" w:color="auto"/>
      </w:divBdr>
      <w:divsChild>
        <w:div w:id="210846253">
          <w:marLeft w:val="0"/>
          <w:marRight w:val="0"/>
          <w:marTop w:val="0"/>
          <w:marBottom w:val="0"/>
          <w:divBdr>
            <w:top w:val="none" w:sz="0" w:space="0" w:color="auto"/>
            <w:left w:val="none" w:sz="0" w:space="0" w:color="auto"/>
            <w:bottom w:val="none" w:sz="0" w:space="0" w:color="auto"/>
            <w:right w:val="none" w:sz="0" w:space="0" w:color="auto"/>
          </w:divBdr>
          <w:divsChild>
            <w:div w:id="216824210">
              <w:marLeft w:val="0"/>
              <w:marRight w:val="0"/>
              <w:marTop w:val="0"/>
              <w:marBottom w:val="0"/>
              <w:divBdr>
                <w:top w:val="none" w:sz="0" w:space="0" w:color="auto"/>
                <w:left w:val="none" w:sz="0" w:space="0" w:color="auto"/>
                <w:bottom w:val="none" w:sz="0" w:space="0" w:color="auto"/>
                <w:right w:val="none" w:sz="0" w:space="0" w:color="auto"/>
              </w:divBdr>
              <w:divsChild>
                <w:div w:id="370426244">
                  <w:marLeft w:val="0"/>
                  <w:marRight w:val="0"/>
                  <w:marTop w:val="0"/>
                  <w:marBottom w:val="0"/>
                  <w:divBdr>
                    <w:top w:val="none" w:sz="0" w:space="0" w:color="auto"/>
                    <w:left w:val="none" w:sz="0" w:space="0" w:color="auto"/>
                    <w:bottom w:val="none" w:sz="0" w:space="0" w:color="auto"/>
                    <w:right w:val="none" w:sz="0" w:space="0" w:color="auto"/>
                  </w:divBdr>
                  <w:divsChild>
                    <w:div w:id="1741443201">
                      <w:marLeft w:val="0"/>
                      <w:marRight w:val="0"/>
                      <w:marTop w:val="0"/>
                      <w:marBottom w:val="0"/>
                      <w:divBdr>
                        <w:top w:val="none" w:sz="0" w:space="0" w:color="auto"/>
                        <w:left w:val="none" w:sz="0" w:space="0" w:color="auto"/>
                        <w:bottom w:val="none" w:sz="0" w:space="0" w:color="auto"/>
                        <w:right w:val="none" w:sz="0" w:space="0" w:color="auto"/>
                      </w:divBdr>
                      <w:divsChild>
                        <w:div w:id="1440678481">
                          <w:marLeft w:val="0"/>
                          <w:marRight w:val="0"/>
                          <w:marTop w:val="300"/>
                          <w:marBottom w:val="0"/>
                          <w:divBdr>
                            <w:top w:val="none" w:sz="0" w:space="0" w:color="auto"/>
                            <w:left w:val="none" w:sz="0" w:space="0" w:color="auto"/>
                            <w:bottom w:val="none" w:sz="0" w:space="0" w:color="auto"/>
                            <w:right w:val="none" w:sz="0" w:space="0" w:color="auto"/>
                          </w:divBdr>
                          <w:divsChild>
                            <w:div w:id="2420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40713">
      <w:bodyDiv w:val="1"/>
      <w:marLeft w:val="0"/>
      <w:marRight w:val="0"/>
      <w:marTop w:val="0"/>
      <w:marBottom w:val="0"/>
      <w:divBdr>
        <w:top w:val="none" w:sz="0" w:space="0" w:color="auto"/>
        <w:left w:val="none" w:sz="0" w:space="0" w:color="auto"/>
        <w:bottom w:val="none" w:sz="0" w:space="0" w:color="auto"/>
        <w:right w:val="none" w:sz="0" w:space="0" w:color="auto"/>
      </w:divBdr>
      <w:divsChild>
        <w:div w:id="1301957066">
          <w:marLeft w:val="0"/>
          <w:marRight w:val="0"/>
          <w:marTop w:val="0"/>
          <w:marBottom w:val="0"/>
          <w:divBdr>
            <w:top w:val="none" w:sz="0" w:space="0" w:color="auto"/>
            <w:left w:val="none" w:sz="0" w:space="0" w:color="auto"/>
            <w:bottom w:val="none" w:sz="0" w:space="0" w:color="auto"/>
            <w:right w:val="none" w:sz="0" w:space="0" w:color="auto"/>
          </w:divBdr>
          <w:divsChild>
            <w:div w:id="2100786656">
              <w:marLeft w:val="0"/>
              <w:marRight w:val="0"/>
              <w:marTop w:val="0"/>
              <w:marBottom w:val="0"/>
              <w:divBdr>
                <w:top w:val="none" w:sz="0" w:space="0" w:color="auto"/>
                <w:left w:val="none" w:sz="0" w:space="0" w:color="auto"/>
                <w:bottom w:val="none" w:sz="0" w:space="0" w:color="auto"/>
                <w:right w:val="none" w:sz="0" w:space="0" w:color="auto"/>
              </w:divBdr>
              <w:divsChild>
                <w:div w:id="1423993390">
                  <w:marLeft w:val="0"/>
                  <w:marRight w:val="0"/>
                  <w:marTop w:val="0"/>
                  <w:marBottom w:val="0"/>
                  <w:divBdr>
                    <w:top w:val="none" w:sz="0" w:space="0" w:color="auto"/>
                    <w:left w:val="none" w:sz="0" w:space="0" w:color="auto"/>
                    <w:bottom w:val="none" w:sz="0" w:space="0" w:color="auto"/>
                    <w:right w:val="none" w:sz="0" w:space="0" w:color="auto"/>
                  </w:divBdr>
                  <w:divsChild>
                    <w:div w:id="1572154543">
                      <w:marLeft w:val="0"/>
                      <w:marRight w:val="0"/>
                      <w:marTop w:val="0"/>
                      <w:marBottom w:val="0"/>
                      <w:divBdr>
                        <w:top w:val="none" w:sz="0" w:space="0" w:color="auto"/>
                        <w:left w:val="none" w:sz="0" w:space="0" w:color="auto"/>
                        <w:bottom w:val="none" w:sz="0" w:space="0" w:color="auto"/>
                        <w:right w:val="none" w:sz="0" w:space="0" w:color="auto"/>
                      </w:divBdr>
                      <w:divsChild>
                        <w:div w:id="2123383194">
                          <w:marLeft w:val="0"/>
                          <w:marRight w:val="0"/>
                          <w:marTop w:val="300"/>
                          <w:marBottom w:val="0"/>
                          <w:divBdr>
                            <w:top w:val="none" w:sz="0" w:space="0" w:color="auto"/>
                            <w:left w:val="none" w:sz="0" w:space="0" w:color="auto"/>
                            <w:bottom w:val="none" w:sz="0" w:space="0" w:color="auto"/>
                            <w:right w:val="none" w:sz="0" w:space="0" w:color="auto"/>
                          </w:divBdr>
                          <w:divsChild>
                            <w:div w:id="15133475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6939">
      <w:bodyDiv w:val="1"/>
      <w:marLeft w:val="0"/>
      <w:marRight w:val="0"/>
      <w:marTop w:val="0"/>
      <w:marBottom w:val="0"/>
      <w:divBdr>
        <w:top w:val="none" w:sz="0" w:space="0" w:color="auto"/>
        <w:left w:val="none" w:sz="0" w:space="0" w:color="auto"/>
        <w:bottom w:val="none" w:sz="0" w:space="0" w:color="auto"/>
        <w:right w:val="none" w:sz="0" w:space="0" w:color="auto"/>
      </w:divBdr>
    </w:div>
    <w:div w:id="1822503792">
      <w:bodyDiv w:val="1"/>
      <w:marLeft w:val="390"/>
      <w:marRight w:val="390"/>
      <w:marTop w:val="0"/>
      <w:marBottom w:val="0"/>
      <w:divBdr>
        <w:top w:val="none" w:sz="0" w:space="0" w:color="auto"/>
        <w:left w:val="none" w:sz="0" w:space="0" w:color="auto"/>
        <w:bottom w:val="none" w:sz="0" w:space="0" w:color="auto"/>
        <w:right w:val="none" w:sz="0" w:space="0" w:color="auto"/>
      </w:divBdr>
    </w:div>
    <w:div w:id="2027518143">
      <w:bodyDiv w:val="1"/>
      <w:marLeft w:val="0"/>
      <w:marRight w:val="0"/>
      <w:marTop w:val="0"/>
      <w:marBottom w:val="0"/>
      <w:divBdr>
        <w:top w:val="none" w:sz="0" w:space="0" w:color="auto"/>
        <w:left w:val="none" w:sz="0" w:space="0" w:color="auto"/>
        <w:bottom w:val="none" w:sz="0" w:space="0" w:color="auto"/>
        <w:right w:val="none" w:sz="0" w:space="0" w:color="auto"/>
      </w:divBdr>
    </w:div>
    <w:div w:id="20725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lajosta.lv/lat/elektrisko_un_elektronisko_iekartu_apsaimniekosana/ka_klut_par_ligumpartneri_/"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lze.donina@vara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ra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k.gov.lv/doc/2005/VARAMANOT_111113_AAL.2824.DOC" TargetMode="External"/><Relationship Id="rId4" Type="http://schemas.openxmlformats.org/officeDocument/2006/relationships/webSettings" Target="webSettings.xml"/><Relationship Id="rId9" Type="http://schemas.openxmlformats.org/officeDocument/2006/relationships/hyperlink" Target="http://www.zalais.lv/files/eei_tarifi_1_pielikums_eu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4014</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26845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Donina</dc:creator>
  <cp:keywords/>
  <dc:description/>
  <cp:lastModifiedBy>larisat</cp:lastModifiedBy>
  <cp:revision>3</cp:revision>
  <cp:lastPrinted>2014-04-10T12:00:00Z</cp:lastPrinted>
  <dcterms:created xsi:type="dcterms:W3CDTF">2014-06-18T13:14:00Z</dcterms:created>
  <dcterms:modified xsi:type="dcterms:W3CDTF">2014-06-26T11:27:00Z</dcterms:modified>
</cp:coreProperties>
</file>