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4C" w:rsidRPr="00BF5B3F" w:rsidRDefault="00516759" w:rsidP="00BF5B3F">
      <w:pPr>
        <w:pStyle w:val="naisc"/>
        <w:spacing w:before="0" w:after="0"/>
        <w:rPr>
          <w:sz w:val="28"/>
          <w:szCs w:val="28"/>
        </w:rPr>
      </w:pPr>
      <w:r>
        <w:rPr>
          <w:b/>
          <w:bCs/>
          <w:sz w:val="28"/>
          <w:szCs w:val="28"/>
        </w:rPr>
        <w:t>L</w:t>
      </w:r>
      <w:r w:rsidR="00287A3C">
        <w:rPr>
          <w:b/>
          <w:bCs/>
          <w:sz w:val="28"/>
          <w:szCs w:val="28"/>
        </w:rPr>
        <w:t>ikum</w:t>
      </w:r>
      <w:r w:rsidR="00B05A4C" w:rsidRPr="00A97A55">
        <w:rPr>
          <w:b/>
          <w:bCs/>
          <w:sz w:val="28"/>
          <w:szCs w:val="28"/>
        </w:rPr>
        <w:t>projekta </w:t>
      </w:r>
      <w:r w:rsidR="00B05A4C" w:rsidRPr="00BF5B3F">
        <w:rPr>
          <w:b/>
          <w:bCs/>
          <w:sz w:val="28"/>
          <w:szCs w:val="28"/>
        </w:rPr>
        <w:t>„</w:t>
      </w:r>
      <w:r w:rsidR="00287A3C">
        <w:rPr>
          <w:b/>
          <w:bCs/>
          <w:sz w:val="28"/>
          <w:szCs w:val="28"/>
        </w:rPr>
        <w:t xml:space="preserve">Grozījumi </w:t>
      </w:r>
      <w:r w:rsidR="00CD74A6">
        <w:rPr>
          <w:b/>
          <w:bCs/>
          <w:sz w:val="28"/>
          <w:szCs w:val="28"/>
        </w:rPr>
        <w:t>Ķ</w:t>
      </w:r>
      <w:r w:rsidR="00287A3C">
        <w:rPr>
          <w:b/>
          <w:bCs/>
          <w:sz w:val="28"/>
          <w:szCs w:val="28"/>
        </w:rPr>
        <w:t>īmisko vielu likumā</w:t>
      </w:r>
      <w:r w:rsidR="00B05A4C" w:rsidRPr="00BF5B3F">
        <w:rPr>
          <w:b/>
          <w:bCs/>
          <w:sz w:val="28"/>
          <w:szCs w:val="28"/>
        </w:rPr>
        <w:t xml:space="preserve">” sākotnējās ietekmes novērtējuma </w:t>
      </w:r>
      <w:smartTag w:uri="schemas-tilde-lv/tildestengine" w:element="currency2">
        <w:smartTagPr>
          <w:attr w:name="id" w:val="-1"/>
          <w:attr w:name="baseform" w:val="ziņojums"/>
          <w:attr w:name="text" w:val="ziņojums"/>
        </w:smartTagPr>
        <w:r w:rsidR="00B05A4C" w:rsidRPr="00BF5B3F">
          <w:rPr>
            <w:b/>
            <w:bCs/>
            <w:sz w:val="28"/>
            <w:szCs w:val="28"/>
          </w:rPr>
          <w:t>ziņojums</w:t>
        </w:r>
      </w:smartTag>
      <w:r w:rsidR="00B05A4C" w:rsidRPr="00BF5B3F">
        <w:rPr>
          <w:b/>
          <w:bCs/>
          <w:sz w:val="28"/>
          <w:szCs w:val="28"/>
        </w:rPr>
        <w:t xml:space="preserve"> (anotācija)</w:t>
      </w:r>
    </w:p>
    <w:p w:rsidR="00B05A4C" w:rsidRPr="00A97A55" w:rsidRDefault="00B05A4C" w:rsidP="00B05A4C">
      <w:pPr>
        <w:pStyle w:val="naisc"/>
      </w:pPr>
      <w:r w:rsidRPr="00A97A5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5"/>
        <w:gridCol w:w="2250"/>
        <w:gridCol w:w="6326"/>
      </w:tblGrid>
      <w:tr w:rsidR="00B05A4C" w:rsidRPr="00A97A55">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pStyle w:val="naisc"/>
              <w:rPr>
                <w:sz w:val="28"/>
                <w:szCs w:val="28"/>
              </w:rPr>
            </w:pPr>
            <w:r w:rsidRPr="00A9104B">
              <w:rPr>
                <w:b/>
                <w:bCs/>
                <w:sz w:val="28"/>
                <w:szCs w:val="28"/>
              </w:rPr>
              <w:t> I. Tiesību akta projekta izstrādes nepieciešamība</w:t>
            </w:r>
          </w:p>
        </w:tc>
      </w:tr>
      <w:tr w:rsidR="00B05A4C" w:rsidRPr="00A97A55">
        <w:trPr>
          <w:trHeight w:val="630"/>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lab"/>
              <w:ind w:left="75" w:right="105"/>
              <w:jc w:val="left"/>
              <w:rPr>
                <w:sz w:val="28"/>
                <w:szCs w:val="28"/>
              </w:rPr>
            </w:pPr>
            <w:r w:rsidRPr="00A9104B">
              <w:rPr>
                <w:sz w:val="28"/>
                <w:szCs w:val="28"/>
              </w:rPr>
              <w:t>Pamatojums</w:t>
            </w:r>
          </w:p>
        </w:tc>
        <w:tc>
          <w:tcPr>
            <w:tcW w:w="6326" w:type="dxa"/>
            <w:tcBorders>
              <w:top w:val="outset" w:sz="6" w:space="0" w:color="auto"/>
              <w:left w:val="outset" w:sz="6" w:space="0" w:color="auto"/>
              <w:bottom w:val="outset" w:sz="6" w:space="0" w:color="auto"/>
              <w:right w:val="outset" w:sz="6" w:space="0" w:color="auto"/>
            </w:tcBorders>
          </w:tcPr>
          <w:p w:rsidR="00B05A4C" w:rsidRPr="00A9104B" w:rsidRDefault="00287A3C" w:rsidP="006269A2">
            <w:pPr>
              <w:pStyle w:val="naiskr"/>
              <w:ind w:left="105" w:right="71"/>
              <w:jc w:val="both"/>
              <w:rPr>
                <w:sz w:val="28"/>
                <w:szCs w:val="28"/>
              </w:rPr>
            </w:pPr>
            <w:r>
              <w:rPr>
                <w:sz w:val="28"/>
                <w:szCs w:val="28"/>
              </w:rPr>
              <w:t xml:space="preserve">Likumprojekts „Grozījumi </w:t>
            </w:r>
            <w:r w:rsidR="00C348E6">
              <w:rPr>
                <w:sz w:val="28"/>
                <w:szCs w:val="28"/>
              </w:rPr>
              <w:t>Ķīmisko vielu likumā” izstrādāts</w:t>
            </w:r>
            <w:r>
              <w:rPr>
                <w:sz w:val="28"/>
                <w:szCs w:val="28"/>
              </w:rPr>
              <w:t xml:space="preserve">, lai </w:t>
            </w:r>
            <w:r w:rsidR="006269A2">
              <w:rPr>
                <w:sz w:val="28"/>
                <w:szCs w:val="28"/>
              </w:rPr>
              <w:t xml:space="preserve">likumu pielāgotu </w:t>
            </w:r>
            <w:r w:rsidR="006269A2" w:rsidRPr="006269A2">
              <w:rPr>
                <w:sz w:val="28"/>
                <w:szCs w:val="28"/>
              </w:rPr>
              <w:t>Eiropas Parlamenta un Padomes regula</w:t>
            </w:r>
            <w:r w:rsidR="006269A2">
              <w:rPr>
                <w:sz w:val="28"/>
                <w:szCs w:val="28"/>
              </w:rPr>
              <w:t>i</w:t>
            </w:r>
            <w:r w:rsidR="006269A2" w:rsidRPr="006269A2">
              <w:rPr>
                <w:sz w:val="28"/>
                <w:szCs w:val="28"/>
              </w:rPr>
              <w:t xml:space="preserve"> Nr.528/2012 par biocīdu piedāvāšanu tirgū un lietošanu (turpmāk – regula 528/2012)</w:t>
            </w:r>
            <w:r w:rsidR="006269A2">
              <w:rPr>
                <w:sz w:val="28"/>
                <w:szCs w:val="28"/>
              </w:rPr>
              <w:t xml:space="preserve"> un </w:t>
            </w:r>
            <w:r w:rsidR="006269A2" w:rsidRPr="006269A2">
              <w:rPr>
                <w:sz w:val="28"/>
                <w:szCs w:val="28"/>
              </w:rPr>
              <w:t>Eiropas Parlamenta un Padomes 2012.gada 4.jūlija regula</w:t>
            </w:r>
            <w:r w:rsidR="006269A2">
              <w:rPr>
                <w:sz w:val="28"/>
                <w:szCs w:val="28"/>
              </w:rPr>
              <w:t>i</w:t>
            </w:r>
            <w:r w:rsidR="006269A2" w:rsidRPr="006269A2">
              <w:rPr>
                <w:sz w:val="28"/>
                <w:szCs w:val="28"/>
              </w:rPr>
              <w:t xml:space="preserve"> Nr.649/2012 par bīstamo ķīmisko vielu eksportu un importu (turpmāk – regula 649/2012)</w:t>
            </w:r>
            <w:r w:rsidR="006269A2">
              <w:rPr>
                <w:sz w:val="28"/>
                <w:szCs w:val="28"/>
              </w:rPr>
              <w:t>.</w:t>
            </w:r>
          </w:p>
        </w:tc>
      </w:tr>
      <w:tr w:rsidR="00B05A4C" w:rsidRPr="00A97A55">
        <w:trPr>
          <w:trHeight w:val="472"/>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2250" w:type="dxa"/>
            <w:tcBorders>
              <w:top w:val="outset" w:sz="6" w:space="0" w:color="auto"/>
              <w:left w:val="outset" w:sz="6" w:space="0" w:color="auto"/>
              <w:bottom w:val="outset" w:sz="6" w:space="0" w:color="auto"/>
              <w:right w:val="outset" w:sz="6" w:space="0" w:color="auto"/>
            </w:tcBorders>
          </w:tcPr>
          <w:p w:rsidR="00E9776A" w:rsidRDefault="00B05A4C" w:rsidP="00E87C6A">
            <w:pPr>
              <w:pStyle w:val="naiskr"/>
              <w:ind w:left="75" w:right="105"/>
              <w:rPr>
                <w:sz w:val="28"/>
                <w:szCs w:val="28"/>
              </w:rPr>
            </w:pPr>
            <w:r w:rsidRPr="00A9104B">
              <w:rPr>
                <w:sz w:val="28"/>
                <w:szCs w:val="28"/>
              </w:rPr>
              <w:t>Pašreizējā situācija un problēmas</w:t>
            </w:r>
          </w:p>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E9776A" w:rsidRPr="00E9776A" w:rsidRDefault="00E9776A" w:rsidP="00E9776A"/>
          <w:p w:rsidR="00B05A4C" w:rsidRPr="00E9776A" w:rsidRDefault="00B05A4C" w:rsidP="00E9776A"/>
        </w:tc>
        <w:tc>
          <w:tcPr>
            <w:tcW w:w="6326" w:type="dxa"/>
            <w:tcBorders>
              <w:top w:val="outset" w:sz="6" w:space="0" w:color="auto"/>
              <w:left w:val="outset" w:sz="6" w:space="0" w:color="auto"/>
              <w:bottom w:val="outset" w:sz="6" w:space="0" w:color="auto"/>
              <w:right w:val="outset" w:sz="6" w:space="0" w:color="auto"/>
            </w:tcBorders>
          </w:tcPr>
          <w:p w:rsidR="008B6A30" w:rsidRPr="000B2208" w:rsidRDefault="008B6A30" w:rsidP="00ED5F51">
            <w:pPr>
              <w:pStyle w:val="NormalWeb"/>
              <w:spacing w:before="0" w:beforeAutospacing="0" w:after="0" w:afterAutospacing="0"/>
              <w:ind w:firstLine="345"/>
              <w:jc w:val="both"/>
              <w:rPr>
                <w:rFonts w:ascii="Times New Roman" w:hAnsi="Times New Roman"/>
                <w:sz w:val="28"/>
                <w:szCs w:val="28"/>
                <w:lang w:val="lv-LV"/>
              </w:rPr>
            </w:pPr>
            <w:r w:rsidRPr="009C0C18">
              <w:rPr>
                <w:rFonts w:ascii="Times New Roman" w:hAnsi="Times New Roman"/>
                <w:sz w:val="28"/>
                <w:szCs w:val="28"/>
                <w:lang w:val="lv-LV" w:eastAsia="lv-LV"/>
              </w:rPr>
              <w:t>Šobrīd Ķīmisko vielu likumā</w:t>
            </w:r>
            <w:r>
              <w:rPr>
                <w:rFonts w:ascii="Times New Roman" w:hAnsi="Times New Roman"/>
                <w:sz w:val="28"/>
                <w:szCs w:val="28"/>
                <w:lang w:val="lv-LV"/>
              </w:rPr>
              <w:t xml:space="preserve"> nav</w:t>
            </w:r>
            <w:r w:rsidRPr="009C0C18">
              <w:rPr>
                <w:rFonts w:ascii="Times New Roman" w:hAnsi="Times New Roman"/>
                <w:sz w:val="28"/>
                <w:szCs w:val="28"/>
                <w:lang w:val="lv-LV"/>
              </w:rPr>
              <w:t xml:space="preserve"> noteikts</w:t>
            </w:r>
            <w:r>
              <w:rPr>
                <w:rFonts w:ascii="Times New Roman" w:hAnsi="Times New Roman"/>
                <w:sz w:val="28"/>
                <w:szCs w:val="28"/>
                <w:lang w:val="lv-LV"/>
              </w:rPr>
              <w:t>, ka valsts sabiedrība ar ierobežotu atbildību „Latvijas Vides, ģeoloģijas un meteoroloģijas</w:t>
            </w:r>
            <w:r w:rsidR="00146B12">
              <w:rPr>
                <w:rFonts w:ascii="Times New Roman" w:hAnsi="Times New Roman"/>
                <w:sz w:val="28"/>
                <w:szCs w:val="28"/>
                <w:lang w:val="lv-LV"/>
              </w:rPr>
              <w:t xml:space="preserve"> centrs</w:t>
            </w:r>
            <w:r>
              <w:rPr>
                <w:rFonts w:ascii="Times New Roman" w:hAnsi="Times New Roman"/>
                <w:sz w:val="28"/>
                <w:szCs w:val="28"/>
                <w:lang w:val="lv-LV"/>
              </w:rPr>
              <w:t>” (turpmāk – centrs</w:t>
            </w:r>
            <w:r w:rsidR="000B2208">
              <w:rPr>
                <w:rFonts w:ascii="Times New Roman" w:hAnsi="Times New Roman"/>
                <w:sz w:val="28"/>
                <w:szCs w:val="28"/>
                <w:lang w:val="lv-LV"/>
              </w:rPr>
              <w:t>)</w:t>
            </w:r>
            <w:r w:rsidRPr="000B2208">
              <w:rPr>
                <w:rFonts w:ascii="Times New Roman" w:hAnsi="Times New Roman"/>
                <w:sz w:val="28"/>
                <w:szCs w:val="28"/>
                <w:lang w:val="lv-LV"/>
              </w:rPr>
              <w:t xml:space="preserve"> ir kompetentā</w:t>
            </w:r>
            <w:r w:rsidR="006269A2" w:rsidRPr="000B2208">
              <w:rPr>
                <w:rFonts w:ascii="Times New Roman" w:hAnsi="Times New Roman"/>
                <w:sz w:val="28"/>
                <w:szCs w:val="28"/>
                <w:lang w:val="lv-LV"/>
              </w:rPr>
              <w:t xml:space="preserve"> iestād</w:t>
            </w:r>
            <w:r w:rsidRPr="000B2208">
              <w:rPr>
                <w:rFonts w:ascii="Times New Roman" w:hAnsi="Times New Roman"/>
                <w:sz w:val="28"/>
                <w:szCs w:val="28"/>
                <w:lang w:val="lv-LV"/>
              </w:rPr>
              <w:t>e, kas darbojas saskaņā ar</w:t>
            </w:r>
            <w:r w:rsidR="006269A2" w:rsidRPr="000B2208">
              <w:rPr>
                <w:rFonts w:ascii="Times New Roman" w:hAnsi="Times New Roman"/>
                <w:sz w:val="28"/>
                <w:szCs w:val="28"/>
                <w:lang w:val="lv-LV"/>
              </w:rPr>
              <w:t xml:space="preserve"> </w:t>
            </w:r>
            <w:r w:rsidRPr="000B2208">
              <w:rPr>
                <w:rFonts w:ascii="Times New Roman" w:hAnsi="Times New Roman"/>
                <w:sz w:val="28"/>
                <w:szCs w:val="28"/>
                <w:lang w:val="lv-LV"/>
              </w:rPr>
              <w:t xml:space="preserve">regulu 528/2012 </w:t>
            </w:r>
            <w:r w:rsidR="006269A2" w:rsidRPr="000B2208">
              <w:rPr>
                <w:rFonts w:ascii="Times New Roman" w:hAnsi="Times New Roman"/>
                <w:sz w:val="28"/>
                <w:szCs w:val="28"/>
                <w:lang w:val="lv-LV"/>
              </w:rPr>
              <w:t xml:space="preserve">un </w:t>
            </w:r>
            <w:r w:rsidRPr="000B2208">
              <w:rPr>
                <w:rFonts w:ascii="Times New Roman" w:hAnsi="Times New Roman"/>
                <w:sz w:val="28"/>
                <w:szCs w:val="28"/>
                <w:lang w:val="lv-LV"/>
              </w:rPr>
              <w:t xml:space="preserve">regulu 649/2012, kā arī izveido un nodrošina </w:t>
            </w:r>
            <w:r w:rsidR="006269A2" w:rsidRPr="000B2208">
              <w:rPr>
                <w:rFonts w:ascii="Times New Roman" w:hAnsi="Times New Roman"/>
                <w:sz w:val="28"/>
                <w:szCs w:val="28"/>
                <w:lang w:val="lv-LV"/>
              </w:rPr>
              <w:t>palīdzības dienestu</w:t>
            </w:r>
            <w:r w:rsidRPr="000B2208">
              <w:rPr>
                <w:rFonts w:ascii="Times New Roman" w:hAnsi="Times New Roman"/>
                <w:sz w:val="28"/>
                <w:szCs w:val="28"/>
                <w:lang w:val="lv-LV"/>
              </w:rPr>
              <w:t xml:space="preserve"> saskaņā ar regulu 528/2012. </w:t>
            </w:r>
          </w:p>
          <w:p w:rsidR="004B10D1" w:rsidRPr="00B61B2A" w:rsidRDefault="000B2208" w:rsidP="004B10D1">
            <w:pPr>
              <w:pStyle w:val="NormalWeb"/>
              <w:spacing w:before="0" w:beforeAutospacing="0" w:after="0" w:afterAutospacing="0"/>
              <w:ind w:firstLine="345"/>
              <w:jc w:val="both"/>
              <w:rPr>
                <w:rFonts w:ascii="Times New Roman" w:hAnsi="Times New Roman"/>
                <w:sz w:val="28"/>
                <w:szCs w:val="28"/>
                <w:lang w:val="lv-LV"/>
              </w:rPr>
            </w:pPr>
            <w:r>
              <w:rPr>
                <w:rFonts w:ascii="Times New Roman" w:hAnsi="Times New Roman"/>
                <w:sz w:val="28"/>
                <w:szCs w:val="28"/>
                <w:lang w:val="lv-LV"/>
              </w:rPr>
              <w:t>T</w:t>
            </w:r>
            <w:r w:rsidRPr="000B2208">
              <w:rPr>
                <w:rFonts w:ascii="Times New Roman" w:hAnsi="Times New Roman"/>
                <w:sz w:val="28"/>
                <w:szCs w:val="28"/>
                <w:lang w:val="lv-LV"/>
              </w:rPr>
              <w:t>ā kā regula 528/2012 attiecas arī uz apstrādātiem izstrādājumi</w:t>
            </w:r>
            <w:r>
              <w:rPr>
                <w:rFonts w:ascii="Times New Roman" w:hAnsi="Times New Roman"/>
                <w:sz w:val="28"/>
                <w:szCs w:val="28"/>
                <w:lang w:val="lv-LV"/>
              </w:rPr>
              <w:t>em, tad nepieciešams papildināt, ka</w:t>
            </w:r>
            <w:r w:rsidRPr="000B2208">
              <w:rPr>
                <w:rFonts w:ascii="Times New Roman" w:hAnsi="Times New Roman"/>
                <w:sz w:val="28"/>
                <w:szCs w:val="28"/>
                <w:lang w:val="lv-LV"/>
              </w:rPr>
              <w:t xml:space="preserve"> Patērētāju tiesību aizsardzības centr</w:t>
            </w:r>
            <w:r w:rsidR="00146B12">
              <w:rPr>
                <w:rFonts w:ascii="Times New Roman" w:hAnsi="Times New Roman"/>
                <w:sz w:val="28"/>
                <w:szCs w:val="28"/>
                <w:lang w:val="lv-LV"/>
              </w:rPr>
              <w:t>s</w:t>
            </w:r>
            <w:r w:rsidRPr="000B2208">
              <w:rPr>
                <w:rFonts w:ascii="Times New Roman" w:hAnsi="Times New Roman"/>
                <w:sz w:val="28"/>
                <w:szCs w:val="28"/>
                <w:lang w:val="lv-LV"/>
              </w:rPr>
              <w:t xml:space="preserve"> </w:t>
            </w:r>
            <w:r w:rsidR="006269A2" w:rsidRPr="000B2208">
              <w:rPr>
                <w:rFonts w:ascii="Times New Roman" w:hAnsi="Times New Roman"/>
                <w:sz w:val="28"/>
                <w:szCs w:val="28"/>
                <w:lang w:val="lv-LV"/>
              </w:rPr>
              <w:t>kontrolē</w:t>
            </w:r>
            <w:r>
              <w:rPr>
                <w:rFonts w:ascii="Times New Roman" w:hAnsi="Times New Roman"/>
                <w:sz w:val="28"/>
                <w:szCs w:val="28"/>
                <w:lang w:val="lv-LV"/>
              </w:rPr>
              <w:t xml:space="preserve"> </w:t>
            </w:r>
            <w:r w:rsidR="00270DC1" w:rsidRPr="00C54531">
              <w:rPr>
                <w:rFonts w:ascii="Times New Roman" w:hAnsi="Times New Roman"/>
                <w:sz w:val="28"/>
                <w:szCs w:val="28"/>
                <w:lang w:val="lv-LV"/>
              </w:rPr>
              <w:t xml:space="preserve">ar biocīdiem </w:t>
            </w:r>
            <w:r w:rsidRPr="00C54531">
              <w:rPr>
                <w:rFonts w:ascii="Times New Roman" w:hAnsi="Times New Roman"/>
                <w:sz w:val="28"/>
                <w:szCs w:val="28"/>
                <w:lang w:val="lv-LV"/>
              </w:rPr>
              <w:t>apstrādātus</w:t>
            </w:r>
            <w:r w:rsidR="006269A2" w:rsidRPr="00C54531">
              <w:rPr>
                <w:rFonts w:ascii="Times New Roman" w:hAnsi="Times New Roman"/>
                <w:sz w:val="28"/>
                <w:szCs w:val="28"/>
                <w:lang w:val="lv-LV"/>
              </w:rPr>
              <w:t xml:space="preserve"> </w:t>
            </w:r>
            <w:r w:rsidR="00C50CA0" w:rsidRPr="00C54531">
              <w:rPr>
                <w:rFonts w:ascii="Times New Roman" w:hAnsi="Times New Roman"/>
                <w:sz w:val="28"/>
                <w:szCs w:val="28"/>
                <w:lang w:val="lv-LV"/>
              </w:rPr>
              <w:t xml:space="preserve">tirdzniecībā esošus </w:t>
            </w:r>
            <w:r w:rsidR="008B6A30" w:rsidRPr="00C54531">
              <w:rPr>
                <w:rFonts w:ascii="Times New Roman" w:hAnsi="Times New Roman"/>
                <w:sz w:val="28"/>
                <w:szCs w:val="28"/>
                <w:lang w:val="lv-LV"/>
              </w:rPr>
              <w:t>izstrādājumus</w:t>
            </w:r>
            <w:r w:rsidR="007969F9">
              <w:rPr>
                <w:rFonts w:ascii="Times New Roman" w:hAnsi="Times New Roman"/>
                <w:sz w:val="28"/>
                <w:szCs w:val="28"/>
                <w:lang w:val="lv-LV"/>
              </w:rPr>
              <w:t xml:space="preserve">, </w:t>
            </w:r>
            <w:r w:rsidR="007969F9" w:rsidRPr="009A0C8A">
              <w:rPr>
                <w:rFonts w:ascii="Times New Roman" w:hAnsi="Times New Roman"/>
                <w:sz w:val="28"/>
                <w:szCs w:val="28"/>
                <w:lang w:val="lv-LV"/>
              </w:rPr>
              <w:t>izņemot apstrādātus izstrādājumus</w:t>
            </w:r>
            <w:r w:rsidR="00C54630">
              <w:rPr>
                <w:rFonts w:ascii="Times New Roman" w:hAnsi="Times New Roman"/>
                <w:sz w:val="28"/>
                <w:szCs w:val="28"/>
                <w:lang w:val="lv-LV"/>
              </w:rPr>
              <w:t xml:space="preserve"> </w:t>
            </w:r>
            <w:r w:rsidR="00C54630" w:rsidRPr="00B61B2A">
              <w:rPr>
                <w:rFonts w:ascii="Times New Roman" w:hAnsi="Times New Roman"/>
                <w:sz w:val="28"/>
                <w:szCs w:val="28"/>
                <w:lang w:val="lv-LV"/>
              </w:rPr>
              <w:t>pārtikas aprites un veterinārajā jomā un izstrādājumus</w:t>
            </w:r>
            <w:r w:rsidR="007969F9" w:rsidRPr="00B61B2A">
              <w:rPr>
                <w:rFonts w:ascii="Times New Roman" w:hAnsi="Times New Roman"/>
                <w:sz w:val="28"/>
                <w:szCs w:val="28"/>
                <w:lang w:val="lv-LV"/>
              </w:rPr>
              <w:t>, kas ir vielas vai maisījumi.</w:t>
            </w:r>
            <w:r w:rsidR="00C54531" w:rsidRPr="00B61B2A">
              <w:rPr>
                <w:rFonts w:ascii="Times New Roman" w:hAnsi="Times New Roman"/>
                <w:sz w:val="28"/>
                <w:szCs w:val="28"/>
                <w:lang w:val="lv-LV"/>
              </w:rPr>
              <w:t xml:space="preserve"> </w:t>
            </w:r>
            <w:r w:rsidR="00C50CA0" w:rsidRPr="00B61B2A">
              <w:rPr>
                <w:rFonts w:ascii="Times New Roman" w:hAnsi="Times New Roman"/>
                <w:sz w:val="28"/>
                <w:szCs w:val="28"/>
                <w:lang w:val="lv-LV"/>
              </w:rPr>
              <w:t>Apstrādātos izstrādājumus kontrolē</w:t>
            </w:r>
            <w:r w:rsidR="008B6A30" w:rsidRPr="00B61B2A">
              <w:rPr>
                <w:rFonts w:ascii="Times New Roman" w:hAnsi="Times New Roman"/>
                <w:sz w:val="28"/>
                <w:szCs w:val="28"/>
                <w:lang w:val="lv-LV"/>
              </w:rPr>
              <w:t xml:space="preserve"> atbilstoš</w:t>
            </w:r>
            <w:r w:rsidRPr="00B61B2A">
              <w:rPr>
                <w:rFonts w:ascii="Times New Roman" w:hAnsi="Times New Roman"/>
                <w:sz w:val="28"/>
                <w:szCs w:val="28"/>
                <w:lang w:val="lv-LV"/>
              </w:rPr>
              <w:t>i</w:t>
            </w:r>
            <w:r w:rsidR="008B6A30" w:rsidRPr="00B61B2A">
              <w:rPr>
                <w:rFonts w:ascii="Times New Roman" w:hAnsi="Times New Roman"/>
                <w:sz w:val="28"/>
                <w:szCs w:val="28"/>
                <w:lang w:val="lv-LV"/>
              </w:rPr>
              <w:t xml:space="preserve"> </w:t>
            </w:r>
            <w:r w:rsidR="00F05D80" w:rsidRPr="00B61B2A">
              <w:rPr>
                <w:rFonts w:ascii="Times New Roman" w:hAnsi="Times New Roman"/>
                <w:sz w:val="28"/>
                <w:szCs w:val="28"/>
                <w:lang w:val="lv-LV"/>
              </w:rPr>
              <w:t>regulas</w:t>
            </w:r>
            <w:r w:rsidR="006269A2" w:rsidRPr="00B61B2A">
              <w:rPr>
                <w:rFonts w:ascii="Times New Roman" w:hAnsi="Times New Roman"/>
                <w:sz w:val="28"/>
                <w:szCs w:val="28"/>
                <w:lang w:val="lv-LV"/>
              </w:rPr>
              <w:t xml:space="preserve"> </w:t>
            </w:r>
            <w:r w:rsidRPr="00B61B2A">
              <w:rPr>
                <w:rFonts w:ascii="Times New Roman" w:hAnsi="Times New Roman"/>
                <w:sz w:val="28"/>
                <w:szCs w:val="28"/>
                <w:lang w:val="lv-LV"/>
              </w:rPr>
              <w:t>5</w:t>
            </w:r>
            <w:r w:rsidR="006269A2" w:rsidRPr="00B61B2A">
              <w:rPr>
                <w:rFonts w:ascii="Times New Roman" w:hAnsi="Times New Roman"/>
                <w:sz w:val="28"/>
                <w:szCs w:val="28"/>
                <w:lang w:val="lv-LV"/>
              </w:rPr>
              <w:t>28/2012</w:t>
            </w:r>
            <w:r w:rsidR="00F05D80" w:rsidRPr="00B61B2A">
              <w:rPr>
                <w:rFonts w:ascii="Times New Roman" w:hAnsi="Times New Roman"/>
                <w:sz w:val="28"/>
                <w:szCs w:val="28"/>
                <w:lang w:val="lv-LV"/>
              </w:rPr>
              <w:t xml:space="preserve"> 58.</w:t>
            </w:r>
            <w:r w:rsidR="004A073E" w:rsidRPr="00B61B2A">
              <w:rPr>
                <w:rFonts w:ascii="Times New Roman" w:hAnsi="Times New Roman"/>
                <w:sz w:val="28"/>
                <w:szCs w:val="28"/>
                <w:lang w:val="lv-LV"/>
              </w:rPr>
              <w:t>panta 3.punktam</w:t>
            </w:r>
            <w:r w:rsidR="006269A2" w:rsidRPr="00B61B2A">
              <w:rPr>
                <w:rFonts w:ascii="Times New Roman" w:hAnsi="Times New Roman"/>
                <w:sz w:val="28"/>
                <w:szCs w:val="28"/>
                <w:lang w:val="lv-LV"/>
              </w:rPr>
              <w:t>.</w:t>
            </w:r>
            <w:r w:rsidR="004B10D1" w:rsidRPr="00B61B2A">
              <w:rPr>
                <w:rFonts w:ascii="Times New Roman" w:hAnsi="Times New Roman"/>
                <w:sz w:val="28"/>
                <w:szCs w:val="28"/>
                <w:lang w:val="lv-LV"/>
              </w:rPr>
              <w:t xml:space="preserve"> </w:t>
            </w:r>
          </w:p>
          <w:p w:rsidR="006269A2" w:rsidRDefault="00B542F3" w:rsidP="004B10D1">
            <w:pPr>
              <w:pStyle w:val="NormalWeb"/>
              <w:spacing w:before="0" w:beforeAutospacing="0" w:after="0" w:afterAutospacing="0"/>
              <w:ind w:firstLine="345"/>
              <w:jc w:val="both"/>
              <w:rPr>
                <w:rFonts w:ascii="Times New Roman" w:hAnsi="Times New Roman"/>
                <w:sz w:val="28"/>
                <w:szCs w:val="28"/>
                <w:lang w:val="lv-LV"/>
              </w:rPr>
            </w:pPr>
            <w:r w:rsidRPr="00B542F3">
              <w:rPr>
                <w:rFonts w:ascii="Times New Roman" w:hAnsi="Times New Roman"/>
                <w:sz w:val="28"/>
                <w:szCs w:val="28"/>
                <w:lang w:val="lv-LV"/>
              </w:rPr>
              <w:t>Ar biocīdiem apstrādātus izstrādājumus ražošanā un profesionālā lietošanā</w:t>
            </w:r>
            <w:r>
              <w:rPr>
                <w:rFonts w:ascii="Times New Roman" w:hAnsi="Times New Roman"/>
                <w:sz w:val="28"/>
                <w:szCs w:val="28"/>
                <w:lang w:val="lv-LV"/>
              </w:rPr>
              <w:t xml:space="preserve"> kontrolēs Valsts vides dienests.</w:t>
            </w:r>
          </w:p>
          <w:p w:rsidR="009E704D" w:rsidRPr="00C15733" w:rsidRDefault="007969F9" w:rsidP="00D8746B">
            <w:pPr>
              <w:pStyle w:val="CommentText"/>
              <w:ind w:firstLine="329"/>
              <w:jc w:val="both"/>
              <w:rPr>
                <w:sz w:val="24"/>
                <w:szCs w:val="24"/>
              </w:rPr>
            </w:pPr>
            <w:r w:rsidRPr="009A0C8A">
              <w:rPr>
                <w:sz w:val="28"/>
                <w:szCs w:val="28"/>
              </w:rPr>
              <w:t xml:space="preserve">Biocīdus un apstrādātus izstrādājumus pārtikas un veterinārā </w:t>
            </w:r>
            <w:r w:rsidRPr="00136AE1">
              <w:rPr>
                <w:sz w:val="28"/>
                <w:szCs w:val="28"/>
              </w:rPr>
              <w:t xml:space="preserve">jomā </w:t>
            </w:r>
            <w:r w:rsidR="00B61B2A" w:rsidRPr="00136AE1">
              <w:rPr>
                <w:sz w:val="28"/>
                <w:szCs w:val="28"/>
              </w:rPr>
              <w:t>normatīvajos aktos noteiktajos uzraudzības objektos</w:t>
            </w:r>
            <w:r w:rsidR="00B61B2A">
              <w:rPr>
                <w:sz w:val="28"/>
                <w:szCs w:val="28"/>
              </w:rPr>
              <w:t xml:space="preserve"> </w:t>
            </w:r>
            <w:r w:rsidRPr="009A0C8A">
              <w:rPr>
                <w:sz w:val="28"/>
                <w:szCs w:val="28"/>
              </w:rPr>
              <w:t>kontrolēs Pārtikas un veterinārais dienests.</w:t>
            </w:r>
            <w:r w:rsidR="009A0C8A">
              <w:rPr>
                <w:b/>
                <w:sz w:val="28"/>
                <w:szCs w:val="28"/>
              </w:rPr>
              <w:t xml:space="preserve"> </w:t>
            </w:r>
            <w:r w:rsidR="009A0C8A" w:rsidRPr="00C15733">
              <w:rPr>
                <w:sz w:val="28"/>
                <w:szCs w:val="28"/>
              </w:rPr>
              <w:t>Pašlaik Pārtikas un veterinārais dienests kontrolē</w:t>
            </w:r>
            <w:r w:rsidR="008D5A5D" w:rsidRPr="00C15733">
              <w:rPr>
                <w:sz w:val="28"/>
                <w:szCs w:val="28"/>
              </w:rPr>
              <w:t>:</w:t>
            </w:r>
            <w:r w:rsidR="008D5A5D" w:rsidRPr="00C15733">
              <w:rPr>
                <w:sz w:val="24"/>
                <w:szCs w:val="24"/>
              </w:rPr>
              <w:t xml:space="preserve"> </w:t>
            </w:r>
          </w:p>
          <w:p w:rsidR="009E704D" w:rsidRPr="00C15733" w:rsidRDefault="008D5A5D" w:rsidP="00D8746B">
            <w:pPr>
              <w:pStyle w:val="CommentText"/>
              <w:ind w:firstLine="329"/>
              <w:jc w:val="both"/>
              <w:rPr>
                <w:sz w:val="28"/>
                <w:szCs w:val="28"/>
              </w:rPr>
            </w:pPr>
            <w:r w:rsidRPr="00C15733">
              <w:rPr>
                <w:sz w:val="28"/>
                <w:szCs w:val="28"/>
              </w:rPr>
              <w:t>1) pārtikas aprites uzņēmumus, kuros kontrolē biocīdu (tīrīšanas līdzekļu, kaitēkļu apkarošan</w:t>
            </w:r>
            <w:r w:rsidR="009E704D" w:rsidRPr="00C15733">
              <w:rPr>
                <w:sz w:val="28"/>
                <w:szCs w:val="28"/>
              </w:rPr>
              <w:t>a</w:t>
            </w:r>
            <w:r w:rsidRPr="00C15733">
              <w:rPr>
                <w:sz w:val="28"/>
                <w:szCs w:val="28"/>
              </w:rPr>
              <w:t xml:space="preserve">s līdzekļu) lietošanu, marķējumu; </w:t>
            </w:r>
          </w:p>
          <w:p w:rsidR="008D5A5D" w:rsidRPr="00C15733" w:rsidRDefault="008D5A5D" w:rsidP="00D8746B">
            <w:pPr>
              <w:pStyle w:val="CommentText"/>
              <w:ind w:firstLine="329"/>
              <w:jc w:val="both"/>
              <w:rPr>
                <w:sz w:val="28"/>
                <w:szCs w:val="28"/>
              </w:rPr>
            </w:pPr>
            <w:r w:rsidRPr="00C15733">
              <w:rPr>
                <w:sz w:val="28"/>
                <w:szCs w:val="28"/>
              </w:rPr>
              <w:t>2) materiālus</w:t>
            </w:r>
            <w:r w:rsidR="009E704D" w:rsidRPr="00C15733">
              <w:rPr>
                <w:sz w:val="28"/>
                <w:szCs w:val="28"/>
              </w:rPr>
              <w:t xml:space="preserve"> saskarē ar pārtiku</w:t>
            </w:r>
            <w:r w:rsidRPr="00C15733">
              <w:rPr>
                <w:sz w:val="28"/>
                <w:szCs w:val="28"/>
              </w:rPr>
              <w:t>, kuru kontroli veic to ražošanas, lietošanas un tirdzniecības vietās.</w:t>
            </w:r>
          </w:p>
          <w:p w:rsidR="007969F9" w:rsidRPr="00C15733" w:rsidRDefault="009A0C8A" w:rsidP="004B10D1">
            <w:pPr>
              <w:pStyle w:val="NormalWeb"/>
              <w:spacing w:before="0" w:beforeAutospacing="0" w:after="0" w:afterAutospacing="0"/>
              <w:ind w:firstLine="345"/>
              <w:jc w:val="both"/>
              <w:rPr>
                <w:rFonts w:ascii="Times New Roman" w:hAnsi="Times New Roman"/>
                <w:sz w:val="28"/>
                <w:szCs w:val="28"/>
                <w:lang w:val="lv-LV"/>
              </w:rPr>
            </w:pPr>
            <w:r w:rsidRPr="00C15733">
              <w:rPr>
                <w:rFonts w:ascii="Times New Roman" w:hAnsi="Times New Roman"/>
                <w:sz w:val="28"/>
                <w:szCs w:val="28"/>
                <w:lang w:val="lv-LV"/>
              </w:rPr>
              <w:t>Stājoties</w:t>
            </w:r>
            <w:r w:rsidR="004D7043" w:rsidRPr="00C15733">
              <w:rPr>
                <w:rFonts w:ascii="Times New Roman" w:hAnsi="Times New Roman"/>
                <w:sz w:val="28"/>
                <w:szCs w:val="28"/>
                <w:lang w:val="lv-LV"/>
              </w:rPr>
              <w:t xml:space="preserve"> spēkā</w:t>
            </w:r>
            <w:r w:rsidRPr="00C15733">
              <w:rPr>
                <w:rFonts w:ascii="Times New Roman" w:hAnsi="Times New Roman"/>
                <w:sz w:val="28"/>
                <w:szCs w:val="28"/>
                <w:lang w:val="lv-LV"/>
              </w:rPr>
              <w:t xml:space="preserve"> regulai 528/2012 ir nepieciešams noteikt uzraudzības iestādi, kas kontrolētu arī </w:t>
            </w:r>
            <w:r w:rsidR="001414E4" w:rsidRPr="00C15733">
              <w:rPr>
                <w:rFonts w:ascii="Times New Roman" w:hAnsi="Times New Roman"/>
                <w:sz w:val="28"/>
                <w:szCs w:val="28"/>
                <w:lang w:val="lv-LV"/>
              </w:rPr>
              <w:lastRenderedPageBreak/>
              <w:t>apstrādātu</w:t>
            </w:r>
            <w:r w:rsidR="004E374B" w:rsidRPr="00C15733">
              <w:rPr>
                <w:rFonts w:ascii="Times New Roman" w:hAnsi="Times New Roman"/>
                <w:sz w:val="28"/>
                <w:szCs w:val="28"/>
                <w:lang w:val="lv-LV"/>
              </w:rPr>
              <w:t>s</w:t>
            </w:r>
            <w:r w:rsidR="001414E4" w:rsidRPr="00C15733">
              <w:rPr>
                <w:rFonts w:ascii="Times New Roman" w:hAnsi="Times New Roman"/>
                <w:sz w:val="28"/>
                <w:szCs w:val="28"/>
                <w:lang w:val="lv-LV"/>
              </w:rPr>
              <w:t xml:space="preserve"> izstrādājumu</w:t>
            </w:r>
            <w:r w:rsidR="004E374B" w:rsidRPr="00C15733">
              <w:rPr>
                <w:rFonts w:ascii="Times New Roman" w:hAnsi="Times New Roman"/>
                <w:sz w:val="28"/>
                <w:szCs w:val="28"/>
                <w:lang w:val="lv-LV"/>
              </w:rPr>
              <w:t>s</w:t>
            </w:r>
            <w:r w:rsidR="001414E4" w:rsidRPr="00C15733">
              <w:rPr>
                <w:rFonts w:ascii="Times New Roman" w:hAnsi="Times New Roman"/>
                <w:sz w:val="28"/>
                <w:szCs w:val="28"/>
                <w:lang w:val="lv-LV"/>
              </w:rPr>
              <w:t xml:space="preserve"> pārtikas </w:t>
            </w:r>
            <w:r w:rsidR="00E46379" w:rsidRPr="00C15733">
              <w:rPr>
                <w:rFonts w:ascii="Times New Roman" w:hAnsi="Times New Roman"/>
                <w:sz w:val="28"/>
                <w:szCs w:val="28"/>
                <w:lang w:val="lv-LV"/>
              </w:rPr>
              <w:t xml:space="preserve">aprites </w:t>
            </w:r>
            <w:r w:rsidR="001414E4" w:rsidRPr="00C15733">
              <w:rPr>
                <w:rFonts w:ascii="Times New Roman" w:hAnsi="Times New Roman"/>
                <w:sz w:val="28"/>
                <w:szCs w:val="28"/>
                <w:lang w:val="lv-LV"/>
              </w:rPr>
              <w:t xml:space="preserve">jomā un </w:t>
            </w:r>
            <w:r w:rsidRPr="00C15733">
              <w:rPr>
                <w:rFonts w:ascii="Times New Roman" w:hAnsi="Times New Roman"/>
                <w:sz w:val="28"/>
                <w:szCs w:val="28"/>
                <w:lang w:val="lv-LV"/>
              </w:rPr>
              <w:t>veterinārās jomas bioc</w:t>
            </w:r>
            <w:r w:rsidR="0032284D" w:rsidRPr="00C15733">
              <w:rPr>
                <w:rFonts w:ascii="Times New Roman" w:hAnsi="Times New Roman"/>
                <w:sz w:val="28"/>
                <w:szCs w:val="28"/>
                <w:lang w:val="lv-LV"/>
              </w:rPr>
              <w:t>īdus un apstrādātus izstrādājumus.</w:t>
            </w:r>
          </w:p>
          <w:p w:rsidR="00B05A4C" w:rsidRPr="00ED5F51" w:rsidRDefault="000B2208" w:rsidP="004146B4">
            <w:pPr>
              <w:pStyle w:val="NormalWeb"/>
              <w:spacing w:before="0" w:beforeAutospacing="0" w:after="0" w:afterAutospacing="0"/>
              <w:ind w:firstLine="345"/>
              <w:jc w:val="both"/>
              <w:rPr>
                <w:rFonts w:ascii="Times New Roman" w:hAnsi="Times New Roman"/>
                <w:sz w:val="28"/>
                <w:szCs w:val="28"/>
                <w:lang w:val="lv-LV"/>
              </w:rPr>
            </w:pPr>
            <w:r>
              <w:rPr>
                <w:rFonts w:ascii="Times New Roman" w:hAnsi="Times New Roman"/>
                <w:sz w:val="28"/>
                <w:szCs w:val="28"/>
                <w:lang w:val="lv-LV"/>
              </w:rPr>
              <w:t xml:space="preserve">Likumprojektā arī veikti grozījumi, kas izriet no Eiropas Parlamenta un Padomes 2008.gada 16.decembra regulas Nr.1272/2008 par vielu un maisījumu klasificēšanu, marķēšanu un </w:t>
            </w:r>
            <w:r w:rsidR="00790583">
              <w:rPr>
                <w:rFonts w:ascii="Times New Roman" w:hAnsi="Times New Roman"/>
                <w:sz w:val="28"/>
                <w:szCs w:val="28"/>
                <w:lang w:val="lv-LV"/>
              </w:rPr>
              <w:t xml:space="preserve">iepakošanu </w:t>
            </w:r>
            <w:r>
              <w:rPr>
                <w:rFonts w:ascii="Times New Roman" w:hAnsi="Times New Roman"/>
                <w:sz w:val="28"/>
                <w:szCs w:val="28"/>
                <w:lang w:val="lv-LV"/>
              </w:rPr>
              <w:t>un ar ko groza un atceļ Direktīvas 67/548/EEK un 1999/45/EK un groza Regulu (EK) Nr.1907/2006</w:t>
            </w:r>
            <w:r w:rsidR="00544F2B">
              <w:rPr>
                <w:rFonts w:ascii="Times New Roman" w:hAnsi="Times New Roman"/>
                <w:sz w:val="28"/>
                <w:szCs w:val="28"/>
                <w:lang w:val="lv-LV"/>
              </w:rPr>
              <w:t xml:space="preserve"> (turpmāk – regula 1272/2008)</w:t>
            </w:r>
            <w:r>
              <w:rPr>
                <w:rFonts w:ascii="Times New Roman" w:hAnsi="Times New Roman"/>
                <w:sz w:val="28"/>
                <w:szCs w:val="28"/>
                <w:lang w:val="lv-LV"/>
              </w:rPr>
              <w:t xml:space="preserve">, </w:t>
            </w:r>
            <w:r w:rsidR="004146B4">
              <w:rPr>
                <w:rFonts w:ascii="Times New Roman" w:hAnsi="Times New Roman"/>
                <w:sz w:val="28"/>
                <w:szCs w:val="28"/>
                <w:lang w:val="lv-LV"/>
              </w:rPr>
              <w:t>t.i., papildināts ar termina „toksisks un ļoti toksisks” skaidrojumu atbilstoši regulā 1272/2008 lietotajām bīstamo ķīmisko vielu un maisījumu klasifikācijas klasēm.</w:t>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r w:rsidR="00B05A4C" w:rsidRPr="00ED5F51">
              <w:rPr>
                <w:i/>
                <w:vanish/>
                <w:lang w:val="lv-LV"/>
              </w:rPr>
              <w:pgNum/>
            </w:r>
          </w:p>
        </w:tc>
      </w:tr>
      <w:tr w:rsidR="00B05A4C" w:rsidRPr="00A97A55">
        <w:trPr>
          <w:trHeight w:val="1071"/>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lastRenderedPageBreak/>
              <w:t> 3.</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Saistītie politikas ietekmes novērtējumi un pētījumi</w:t>
            </w:r>
          </w:p>
        </w:tc>
        <w:tc>
          <w:tcPr>
            <w:tcW w:w="6326" w:type="dxa"/>
            <w:tcBorders>
              <w:top w:val="outset" w:sz="6" w:space="0" w:color="auto"/>
              <w:left w:val="outset" w:sz="6" w:space="0" w:color="auto"/>
              <w:bottom w:val="outset" w:sz="6" w:space="0" w:color="auto"/>
              <w:right w:val="outset" w:sz="6" w:space="0" w:color="auto"/>
            </w:tcBorders>
          </w:tcPr>
          <w:p w:rsidR="00B05A4C" w:rsidRPr="00A9104B" w:rsidRDefault="00B05A4C" w:rsidP="0001781D">
            <w:pPr>
              <w:pStyle w:val="naisf"/>
              <w:ind w:left="105" w:firstLine="0"/>
              <w:rPr>
                <w:sz w:val="28"/>
                <w:szCs w:val="28"/>
              </w:rPr>
            </w:pPr>
            <w:r w:rsidRPr="00A9104B">
              <w:rPr>
                <w:sz w:val="28"/>
                <w:szCs w:val="28"/>
              </w:rPr>
              <w:t>Nav attiecināms.</w:t>
            </w:r>
          </w:p>
        </w:tc>
      </w:tr>
      <w:tr w:rsidR="00B05A4C" w:rsidRPr="00A97A55">
        <w:trPr>
          <w:trHeight w:val="2136"/>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4.</w:t>
            </w:r>
          </w:p>
        </w:tc>
        <w:tc>
          <w:tcPr>
            <w:tcW w:w="2250" w:type="dxa"/>
            <w:tcBorders>
              <w:top w:val="outset" w:sz="6" w:space="0" w:color="auto"/>
              <w:left w:val="outset" w:sz="6" w:space="0" w:color="auto"/>
              <w:bottom w:val="outset" w:sz="6" w:space="0" w:color="auto"/>
              <w:right w:val="outset" w:sz="6" w:space="0" w:color="auto"/>
            </w:tcBorders>
          </w:tcPr>
          <w:p w:rsidR="0018113C" w:rsidRDefault="00B05A4C" w:rsidP="00E87C6A">
            <w:pPr>
              <w:pStyle w:val="naiskr"/>
              <w:ind w:left="75" w:right="105"/>
              <w:rPr>
                <w:sz w:val="28"/>
                <w:szCs w:val="28"/>
              </w:rPr>
            </w:pPr>
            <w:r w:rsidRPr="00A9104B">
              <w:rPr>
                <w:sz w:val="28"/>
                <w:szCs w:val="28"/>
              </w:rPr>
              <w:t>Tiesiskā regulējuma mērķis un būtība</w:t>
            </w:r>
          </w:p>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Pr="0018113C" w:rsidRDefault="0018113C" w:rsidP="0018113C"/>
          <w:p w:rsidR="0018113C" w:rsidRDefault="0018113C" w:rsidP="0018113C"/>
          <w:p w:rsidR="0018113C" w:rsidRDefault="0018113C" w:rsidP="0018113C"/>
          <w:p w:rsidR="00B05A4C" w:rsidRPr="0018113C" w:rsidRDefault="00B05A4C" w:rsidP="0018113C">
            <w:pPr>
              <w:jc w:val="center"/>
            </w:pPr>
          </w:p>
        </w:tc>
        <w:tc>
          <w:tcPr>
            <w:tcW w:w="6326" w:type="dxa"/>
            <w:tcBorders>
              <w:top w:val="outset" w:sz="6" w:space="0" w:color="auto"/>
              <w:left w:val="outset" w:sz="6" w:space="0" w:color="auto"/>
              <w:bottom w:val="outset" w:sz="6" w:space="0" w:color="auto"/>
              <w:right w:val="outset" w:sz="6" w:space="0" w:color="auto"/>
            </w:tcBorders>
          </w:tcPr>
          <w:p w:rsidR="00F03B91" w:rsidRDefault="00F03B91" w:rsidP="00F03B91">
            <w:pPr>
              <w:pStyle w:val="naisc"/>
              <w:spacing w:before="0" w:after="0"/>
              <w:ind w:right="71"/>
              <w:jc w:val="both"/>
              <w:rPr>
                <w:sz w:val="28"/>
                <w:szCs w:val="28"/>
              </w:rPr>
            </w:pPr>
            <w:r>
              <w:rPr>
                <w:sz w:val="28"/>
                <w:szCs w:val="28"/>
              </w:rPr>
              <w:t>Likumprojekta mērķis ir noteikt kompeten</w:t>
            </w:r>
            <w:r w:rsidR="00E42D33">
              <w:rPr>
                <w:sz w:val="28"/>
                <w:szCs w:val="28"/>
              </w:rPr>
              <w:t xml:space="preserve">to </w:t>
            </w:r>
            <w:r w:rsidR="00D8746B">
              <w:rPr>
                <w:sz w:val="28"/>
                <w:szCs w:val="28"/>
              </w:rPr>
              <w:t>iestādi, kas</w:t>
            </w:r>
            <w:r w:rsidR="00E42D33">
              <w:rPr>
                <w:sz w:val="28"/>
                <w:szCs w:val="28"/>
              </w:rPr>
              <w:t xml:space="preserve"> dalībvalstīm</w:t>
            </w:r>
            <w:r>
              <w:rPr>
                <w:sz w:val="28"/>
                <w:szCs w:val="28"/>
              </w:rPr>
              <w:t xml:space="preserve"> </w:t>
            </w:r>
            <w:r w:rsidR="00D8746B">
              <w:rPr>
                <w:sz w:val="28"/>
                <w:szCs w:val="28"/>
              </w:rPr>
              <w:t xml:space="preserve">ir </w:t>
            </w:r>
            <w:r>
              <w:rPr>
                <w:sz w:val="28"/>
                <w:szCs w:val="28"/>
              </w:rPr>
              <w:t>jānosaka saskaņā ar regulu</w:t>
            </w:r>
            <w:r w:rsidR="005C0B23">
              <w:rPr>
                <w:sz w:val="28"/>
                <w:szCs w:val="28"/>
              </w:rPr>
              <w:t xml:space="preserve"> 528/2012 </w:t>
            </w:r>
            <w:r>
              <w:rPr>
                <w:sz w:val="28"/>
                <w:szCs w:val="28"/>
              </w:rPr>
              <w:t>un regulu 649/2012.</w:t>
            </w:r>
          </w:p>
          <w:p w:rsidR="004146B4" w:rsidRDefault="004146B4" w:rsidP="00F03B91">
            <w:pPr>
              <w:pStyle w:val="naisc"/>
              <w:spacing w:before="0" w:after="0"/>
              <w:ind w:right="71"/>
              <w:jc w:val="both"/>
              <w:rPr>
                <w:sz w:val="28"/>
                <w:szCs w:val="28"/>
              </w:rPr>
            </w:pPr>
            <w:r>
              <w:rPr>
                <w:sz w:val="28"/>
                <w:szCs w:val="28"/>
              </w:rPr>
              <w:t>Likumprojekts paredz arī svītrot terminu „biocīdi”, jo šo terminu tagad skaidro regula 528/2012 un papildināt ar likumā jau lietota termina „toksiskas un ļoti toksiskas ķīmiskas vielas un maisījumi” skaidrojumu, kas ir atbilstošs regulā 1272/2008 lietotajām ķīmisko vielu un maisījumu klasifikācijas klasēm.</w:t>
            </w:r>
          </w:p>
          <w:p w:rsidR="00F03B91" w:rsidRDefault="00F03B91" w:rsidP="00F03B91">
            <w:pPr>
              <w:pStyle w:val="naisc"/>
              <w:spacing w:before="0" w:after="0"/>
              <w:ind w:right="71"/>
              <w:jc w:val="both"/>
              <w:rPr>
                <w:sz w:val="28"/>
                <w:szCs w:val="28"/>
              </w:rPr>
            </w:pPr>
            <w:r>
              <w:rPr>
                <w:sz w:val="28"/>
                <w:szCs w:val="28"/>
              </w:rPr>
              <w:t xml:space="preserve">Likumprojekts nosaka, ka centrs ir kompetentā iestāde gan regulai 528/2012, gan regulai </w:t>
            </w:r>
            <w:r w:rsidR="00544F2B">
              <w:rPr>
                <w:sz w:val="28"/>
                <w:szCs w:val="28"/>
              </w:rPr>
              <w:t>649/2012, kā arī veic regulas 528/2012 Palīdzības dienesta funkciju.</w:t>
            </w:r>
          </w:p>
          <w:p w:rsidR="00D26F3D" w:rsidRPr="00C54531" w:rsidRDefault="00544F2B" w:rsidP="0081082C">
            <w:pPr>
              <w:pStyle w:val="naisc"/>
              <w:spacing w:before="0" w:after="0"/>
              <w:ind w:right="71"/>
              <w:jc w:val="both"/>
              <w:rPr>
                <w:sz w:val="28"/>
                <w:szCs w:val="28"/>
              </w:rPr>
            </w:pPr>
            <w:r>
              <w:rPr>
                <w:sz w:val="28"/>
                <w:szCs w:val="28"/>
              </w:rPr>
              <w:t>Vēl likumprojekts paredz, ka Patērētāju tiesību aizsardzības centrs</w:t>
            </w:r>
            <w:r w:rsidR="00E42D33">
              <w:rPr>
                <w:sz w:val="28"/>
                <w:szCs w:val="28"/>
              </w:rPr>
              <w:t>,</w:t>
            </w:r>
            <w:r>
              <w:rPr>
                <w:sz w:val="28"/>
                <w:szCs w:val="28"/>
              </w:rPr>
              <w:t xml:space="preserve"> </w:t>
            </w:r>
            <w:r w:rsidR="00E42D33">
              <w:rPr>
                <w:sz w:val="28"/>
                <w:szCs w:val="28"/>
              </w:rPr>
              <w:t xml:space="preserve">papildus ķīmiskām vielām tirdzniecībā esošos izstrādājumos, </w:t>
            </w:r>
            <w:r w:rsidRPr="00270DC1">
              <w:rPr>
                <w:sz w:val="28"/>
                <w:szCs w:val="28"/>
              </w:rPr>
              <w:t>kontrolē arī</w:t>
            </w:r>
            <w:r w:rsidR="007D69EB" w:rsidRPr="00270DC1">
              <w:rPr>
                <w:sz w:val="28"/>
                <w:szCs w:val="28"/>
              </w:rPr>
              <w:t xml:space="preserve"> </w:t>
            </w:r>
            <w:r w:rsidR="007D69EB" w:rsidRPr="00C54531">
              <w:rPr>
                <w:sz w:val="28"/>
                <w:szCs w:val="28"/>
              </w:rPr>
              <w:t>tirdzniecībā esošus</w:t>
            </w:r>
            <w:r w:rsidRPr="00270DC1">
              <w:rPr>
                <w:sz w:val="28"/>
                <w:szCs w:val="28"/>
              </w:rPr>
              <w:t xml:space="preserve"> apstrādātus izstrādāju</w:t>
            </w:r>
            <w:r w:rsidR="0081082C" w:rsidRPr="00270DC1">
              <w:rPr>
                <w:sz w:val="28"/>
                <w:szCs w:val="28"/>
              </w:rPr>
              <w:t>mus</w:t>
            </w:r>
            <w:r w:rsidR="00EB029D">
              <w:rPr>
                <w:sz w:val="28"/>
                <w:szCs w:val="28"/>
              </w:rPr>
              <w:t xml:space="preserve">, </w:t>
            </w:r>
            <w:r w:rsidR="00EB029D" w:rsidRPr="00440A6D">
              <w:rPr>
                <w:sz w:val="28"/>
                <w:szCs w:val="28"/>
              </w:rPr>
              <w:t>kas nav vielas</w:t>
            </w:r>
            <w:r w:rsidR="00C54630">
              <w:rPr>
                <w:sz w:val="28"/>
                <w:szCs w:val="28"/>
              </w:rPr>
              <w:t>,</w:t>
            </w:r>
            <w:r w:rsidR="00C15733">
              <w:rPr>
                <w:sz w:val="28"/>
                <w:szCs w:val="28"/>
              </w:rPr>
              <w:t xml:space="preserve"> </w:t>
            </w:r>
            <w:r w:rsidR="00EB029D" w:rsidRPr="00440A6D">
              <w:rPr>
                <w:sz w:val="28"/>
                <w:szCs w:val="28"/>
              </w:rPr>
              <w:t>maisījumi</w:t>
            </w:r>
            <w:r w:rsidR="00C54630">
              <w:rPr>
                <w:sz w:val="28"/>
                <w:szCs w:val="28"/>
              </w:rPr>
              <w:t xml:space="preserve"> un </w:t>
            </w:r>
            <w:r w:rsidR="00C54630" w:rsidRPr="00B61B2A">
              <w:rPr>
                <w:sz w:val="28"/>
                <w:szCs w:val="28"/>
              </w:rPr>
              <w:t xml:space="preserve">nav pārtikas </w:t>
            </w:r>
            <w:r w:rsidR="00C15733" w:rsidRPr="00B61B2A">
              <w:rPr>
                <w:sz w:val="28"/>
                <w:szCs w:val="28"/>
              </w:rPr>
              <w:t>aprites</w:t>
            </w:r>
            <w:r w:rsidR="00C54630" w:rsidRPr="00B61B2A">
              <w:rPr>
                <w:sz w:val="28"/>
                <w:szCs w:val="28"/>
              </w:rPr>
              <w:t xml:space="preserve"> un veterinārās jomas izstrādājumi</w:t>
            </w:r>
            <w:r w:rsidR="00EB029D" w:rsidRPr="00B61B2A">
              <w:rPr>
                <w:sz w:val="28"/>
                <w:szCs w:val="28"/>
              </w:rPr>
              <w:t>,</w:t>
            </w:r>
            <w:r w:rsidR="0081082C" w:rsidRPr="00270DC1">
              <w:rPr>
                <w:sz w:val="28"/>
                <w:szCs w:val="28"/>
              </w:rPr>
              <w:t xml:space="preserve"> atbilstoši </w:t>
            </w:r>
            <w:r w:rsidR="009848E0" w:rsidRPr="00270DC1">
              <w:rPr>
                <w:sz w:val="28"/>
                <w:szCs w:val="28"/>
              </w:rPr>
              <w:t>regulai 528/201</w:t>
            </w:r>
            <w:r w:rsidR="00D8746B">
              <w:rPr>
                <w:sz w:val="28"/>
                <w:szCs w:val="28"/>
              </w:rPr>
              <w:t>2</w:t>
            </w:r>
            <w:r w:rsidR="009848E0" w:rsidRPr="00270DC1">
              <w:rPr>
                <w:sz w:val="28"/>
                <w:szCs w:val="28"/>
              </w:rPr>
              <w:t xml:space="preserve">, t.i., </w:t>
            </w:r>
            <w:r w:rsidR="009848E0" w:rsidRPr="00C54531">
              <w:rPr>
                <w:sz w:val="28"/>
                <w:szCs w:val="28"/>
              </w:rPr>
              <w:t>Patērētāju tiesību aizsardzības centrs</w:t>
            </w:r>
            <w:r w:rsidR="0081082C" w:rsidRPr="00C54531">
              <w:rPr>
                <w:sz w:val="28"/>
                <w:szCs w:val="28"/>
              </w:rPr>
              <w:t xml:space="preserve"> </w:t>
            </w:r>
            <w:r w:rsidR="009848E0" w:rsidRPr="00C54531">
              <w:rPr>
                <w:sz w:val="28"/>
                <w:szCs w:val="28"/>
              </w:rPr>
              <w:t xml:space="preserve">tirdzniecībā esošajiem ar biocīdiem apstrādātajiem izstrādājumiem kontrolēs marķējumu </w:t>
            </w:r>
            <w:r w:rsidR="00C54531" w:rsidRPr="00C54531">
              <w:rPr>
                <w:sz w:val="28"/>
                <w:szCs w:val="28"/>
              </w:rPr>
              <w:t xml:space="preserve">– vai norādītās aktīvās vielas, kas tiek izmantotas izstrādājumu izstrādei ir apstiprinātas vai iekļautas regulas 528/2012 I pielikumā un </w:t>
            </w:r>
            <w:r w:rsidR="009848E0" w:rsidRPr="00C54531">
              <w:rPr>
                <w:sz w:val="28"/>
                <w:szCs w:val="28"/>
              </w:rPr>
              <w:t>atbilstoši regulas 528/201</w:t>
            </w:r>
            <w:r w:rsidR="00D8746B">
              <w:rPr>
                <w:sz w:val="28"/>
                <w:szCs w:val="28"/>
              </w:rPr>
              <w:t>2</w:t>
            </w:r>
            <w:r w:rsidR="009848E0" w:rsidRPr="00C54531">
              <w:rPr>
                <w:sz w:val="28"/>
                <w:szCs w:val="28"/>
              </w:rPr>
              <w:t xml:space="preserve"> </w:t>
            </w:r>
            <w:r w:rsidR="00C54531" w:rsidRPr="00C54531">
              <w:rPr>
                <w:sz w:val="28"/>
                <w:szCs w:val="28"/>
              </w:rPr>
              <w:t>58.panta 3.punktam kontrolē</w:t>
            </w:r>
            <w:r w:rsidR="00081418">
              <w:rPr>
                <w:sz w:val="28"/>
                <w:szCs w:val="28"/>
              </w:rPr>
              <w:t>s</w:t>
            </w:r>
            <w:r w:rsidR="00D26F3D" w:rsidRPr="00C54531">
              <w:rPr>
                <w:sz w:val="28"/>
                <w:szCs w:val="28"/>
              </w:rPr>
              <w:t xml:space="preserve"> vai izstrādājuma marķējumā ir sniegta šāda informācija:</w:t>
            </w:r>
          </w:p>
          <w:p w:rsidR="00D26F3D" w:rsidRPr="00C54531" w:rsidRDefault="00D26F3D" w:rsidP="00270DC1">
            <w:pPr>
              <w:autoSpaceDE w:val="0"/>
              <w:autoSpaceDN w:val="0"/>
              <w:adjustRightInd w:val="0"/>
              <w:spacing w:before="60" w:after="60"/>
              <w:jc w:val="both"/>
              <w:rPr>
                <w:sz w:val="28"/>
                <w:szCs w:val="28"/>
              </w:rPr>
            </w:pPr>
            <w:r w:rsidRPr="00C54531">
              <w:rPr>
                <w:sz w:val="28"/>
                <w:szCs w:val="28"/>
              </w:rPr>
              <w:t xml:space="preserve">a) apzīmējums, kas norāda, ka apstrādātais izstrādājums </w:t>
            </w:r>
            <w:r w:rsidRPr="00C54531">
              <w:rPr>
                <w:sz w:val="28"/>
                <w:szCs w:val="28"/>
              </w:rPr>
              <w:lastRenderedPageBreak/>
              <w:t xml:space="preserve">satur biocīdus; </w:t>
            </w:r>
          </w:p>
          <w:p w:rsidR="00D26F3D" w:rsidRPr="00C54531" w:rsidRDefault="00D26F3D" w:rsidP="00270DC1">
            <w:pPr>
              <w:autoSpaceDE w:val="0"/>
              <w:autoSpaceDN w:val="0"/>
              <w:adjustRightInd w:val="0"/>
              <w:spacing w:before="60" w:after="60"/>
              <w:jc w:val="both"/>
              <w:rPr>
                <w:sz w:val="28"/>
                <w:szCs w:val="28"/>
              </w:rPr>
            </w:pPr>
            <w:r w:rsidRPr="00C54531">
              <w:rPr>
                <w:sz w:val="28"/>
                <w:szCs w:val="28"/>
              </w:rPr>
              <w:t xml:space="preserve">b) vajadzības gadījumā – biocīda īpašību, ko ieguvis apstrādātais izstrādājums; </w:t>
            </w:r>
          </w:p>
          <w:p w:rsidR="00D26F3D" w:rsidRPr="00C54531" w:rsidRDefault="00D26F3D" w:rsidP="00270DC1">
            <w:pPr>
              <w:autoSpaceDE w:val="0"/>
              <w:autoSpaceDN w:val="0"/>
              <w:adjustRightInd w:val="0"/>
              <w:spacing w:before="60" w:after="60"/>
              <w:jc w:val="both"/>
              <w:rPr>
                <w:sz w:val="28"/>
                <w:szCs w:val="28"/>
              </w:rPr>
            </w:pPr>
            <w:r w:rsidRPr="00C54531">
              <w:rPr>
                <w:sz w:val="28"/>
                <w:szCs w:val="28"/>
              </w:rPr>
              <w:t xml:space="preserve">c) neskarot Regulas (EK) Nr.1272/2008 24. pantu, visu biocīdos ietverto aktīvo vielu nosaukumus; </w:t>
            </w:r>
          </w:p>
          <w:p w:rsidR="00D26F3D" w:rsidRPr="00C54531" w:rsidRDefault="00D26F3D" w:rsidP="00270DC1">
            <w:pPr>
              <w:autoSpaceDE w:val="0"/>
              <w:autoSpaceDN w:val="0"/>
              <w:adjustRightInd w:val="0"/>
              <w:spacing w:before="60" w:after="60"/>
              <w:jc w:val="both"/>
              <w:rPr>
                <w:sz w:val="28"/>
                <w:szCs w:val="28"/>
              </w:rPr>
            </w:pPr>
            <w:r w:rsidRPr="00C54531">
              <w:rPr>
                <w:sz w:val="28"/>
                <w:szCs w:val="28"/>
              </w:rPr>
              <w:t xml:space="preserve">d) visu to </w:t>
            </w:r>
            <w:proofErr w:type="spellStart"/>
            <w:r w:rsidRPr="00C54531">
              <w:rPr>
                <w:sz w:val="28"/>
                <w:szCs w:val="28"/>
              </w:rPr>
              <w:t>nanomateriālu</w:t>
            </w:r>
            <w:proofErr w:type="spellEnd"/>
            <w:r w:rsidRPr="00C54531">
              <w:rPr>
                <w:sz w:val="28"/>
                <w:szCs w:val="28"/>
              </w:rPr>
              <w:t xml:space="preserve"> nosaukumus, kurus satur biocīdi, aiz tiem iekavās ierakstot vārdu “</w:t>
            </w:r>
            <w:proofErr w:type="spellStart"/>
            <w:r w:rsidRPr="00C54531">
              <w:rPr>
                <w:sz w:val="28"/>
                <w:szCs w:val="28"/>
              </w:rPr>
              <w:t>nano</w:t>
            </w:r>
            <w:proofErr w:type="spellEnd"/>
            <w:r w:rsidRPr="00C54531">
              <w:rPr>
                <w:sz w:val="28"/>
                <w:szCs w:val="28"/>
              </w:rPr>
              <w:t xml:space="preserve">”; </w:t>
            </w:r>
          </w:p>
          <w:p w:rsidR="00D26F3D" w:rsidRPr="00C54531" w:rsidRDefault="00D26F3D" w:rsidP="00270DC1">
            <w:pPr>
              <w:autoSpaceDE w:val="0"/>
              <w:autoSpaceDN w:val="0"/>
              <w:adjustRightInd w:val="0"/>
              <w:spacing w:before="60" w:after="60"/>
              <w:jc w:val="both"/>
              <w:rPr>
                <w:sz w:val="28"/>
                <w:szCs w:val="28"/>
              </w:rPr>
            </w:pPr>
            <w:r w:rsidRPr="00C54531">
              <w:rPr>
                <w:sz w:val="28"/>
                <w:szCs w:val="28"/>
              </w:rPr>
              <w:t xml:space="preserve">e) visus attiecīgos lietošanas norādījumus, tostarp nepieciešamos drošības pasākumus to biocīdu dēļ, ar kuriem apstrādātais izstrādājums ir apstrādāts vai kurus tas satur. </w:t>
            </w:r>
          </w:p>
          <w:p w:rsidR="00270DC1" w:rsidRDefault="00270DC1" w:rsidP="00270DC1">
            <w:pPr>
              <w:autoSpaceDE w:val="0"/>
              <w:autoSpaceDN w:val="0"/>
              <w:adjustRightInd w:val="0"/>
              <w:spacing w:before="60" w:after="60"/>
              <w:jc w:val="both"/>
              <w:rPr>
                <w:sz w:val="28"/>
                <w:szCs w:val="28"/>
              </w:rPr>
            </w:pPr>
            <w:r w:rsidRPr="00C54531">
              <w:rPr>
                <w:sz w:val="28"/>
                <w:szCs w:val="28"/>
              </w:rPr>
              <w:t xml:space="preserve">Vides aizsardzības un reģionālās attīstība </w:t>
            </w:r>
            <w:r w:rsidR="00A66C14">
              <w:rPr>
                <w:sz w:val="28"/>
                <w:szCs w:val="28"/>
              </w:rPr>
              <w:t xml:space="preserve">ministrija </w:t>
            </w:r>
            <w:r w:rsidRPr="00C54531">
              <w:rPr>
                <w:sz w:val="28"/>
                <w:szCs w:val="28"/>
              </w:rPr>
              <w:t>un tās padotībā esošās uzraudzības un kontroles iestādes kontrolēs arī ar biocīdiem apstrādātus izstrādājumus ražošanā un profesionālā lietošanā.</w:t>
            </w:r>
          </w:p>
          <w:p w:rsidR="0013503C" w:rsidRPr="00C15733" w:rsidRDefault="0013503C" w:rsidP="0013503C">
            <w:pPr>
              <w:autoSpaceDE w:val="0"/>
              <w:autoSpaceDN w:val="0"/>
              <w:adjustRightInd w:val="0"/>
              <w:spacing w:before="60" w:after="60"/>
              <w:jc w:val="both"/>
              <w:rPr>
                <w:sz w:val="28"/>
                <w:szCs w:val="28"/>
              </w:rPr>
            </w:pPr>
            <w:r w:rsidRPr="00C15733">
              <w:rPr>
                <w:sz w:val="28"/>
                <w:szCs w:val="28"/>
              </w:rPr>
              <w:t>Likumprojektā tiek noteikts arī, ka Pārtikas un veterinārais dienests kontrolēs biocīdus un apstrādātus izstrādājumus pārtikas aprites un veterinārajā jomā</w:t>
            </w:r>
            <w:r>
              <w:rPr>
                <w:sz w:val="28"/>
                <w:szCs w:val="28"/>
              </w:rPr>
              <w:t xml:space="preserve"> </w:t>
            </w:r>
            <w:r w:rsidRPr="00136AE1">
              <w:rPr>
                <w:sz w:val="28"/>
                <w:szCs w:val="28"/>
              </w:rPr>
              <w:t>normatīvajos aktos noteiktajos uzraudzības objektos.</w:t>
            </w:r>
          </w:p>
          <w:p w:rsidR="0000035E" w:rsidRPr="00C15733" w:rsidRDefault="0000035E" w:rsidP="0000035E">
            <w:pPr>
              <w:autoSpaceDE w:val="0"/>
              <w:autoSpaceDN w:val="0"/>
              <w:adjustRightInd w:val="0"/>
              <w:spacing w:before="60" w:after="60"/>
              <w:jc w:val="both"/>
              <w:rPr>
                <w:sz w:val="28"/>
                <w:szCs w:val="28"/>
              </w:rPr>
            </w:pPr>
            <w:r w:rsidRPr="00C15733">
              <w:rPr>
                <w:sz w:val="28"/>
                <w:szCs w:val="28"/>
              </w:rPr>
              <w:t>Pārtikas un veterinārais dienests</w:t>
            </w:r>
            <w:r w:rsidR="00A306FF" w:rsidRPr="00C15733">
              <w:rPr>
                <w:sz w:val="28"/>
                <w:szCs w:val="28"/>
              </w:rPr>
              <w:t xml:space="preserve"> savas kompetences ietvaros</w:t>
            </w:r>
            <w:r w:rsidRPr="00C15733">
              <w:rPr>
                <w:sz w:val="28"/>
                <w:szCs w:val="28"/>
              </w:rPr>
              <w:t>:</w:t>
            </w:r>
          </w:p>
          <w:p w:rsidR="0000035E" w:rsidRPr="00C15733" w:rsidRDefault="0000035E" w:rsidP="0000035E">
            <w:pPr>
              <w:autoSpaceDE w:val="0"/>
              <w:autoSpaceDN w:val="0"/>
              <w:adjustRightInd w:val="0"/>
              <w:spacing w:before="60" w:after="60"/>
              <w:jc w:val="both"/>
              <w:rPr>
                <w:sz w:val="28"/>
                <w:szCs w:val="28"/>
              </w:rPr>
            </w:pPr>
            <w:r w:rsidRPr="00C15733">
              <w:rPr>
                <w:sz w:val="28"/>
                <w:szCs w:val="28"/>
              </w:rPr>
              <w:t xml:space="preserve">1) pārtikas </w:t>
            </w:r>
            <w:r w:rsidR="00A306FF" w:rsidRPr="00C15733">
              <w:rPr>
                <w:sz w:val="28"/>
                <w:szCs w:val="28"/>
              </w:rPr>
              <w:t xml:space="preserve">aprites </w:t>
            </w:r>
            <w:r w:rsidRPr="00C15733">
              <w:rPr>
                <w:sz w:val="28"/>
                <w:szCs w:val="28"/>
              </w:rPr>
              <w:t>jomā kont</w:t>
            </w:r>
            <w:r w:rsidR="009E704D" w:rsidRPr="00C15733">
              <w:rPr>
                <w:sz w:val="28"/>
                <w:szCs w:val="28"/>
              </w:rPr>
              <w:t>rolēs biocīdus un ar tiem apstrā</w:t>
            </w:r>
            <w:r w:rsidRPr="00C15733">
              <w:rPr>
                <w:sz w:val="28"/>
                <w:szCs w:val="28"/>
              </w:rPr>
              <w:t xml:space="preserve">dātus izstrādājumus pārtikas </w:t>
            </w:r>
            <w:r w:rsidR="00771CF1" w:rsidRPr="00C15733">
              <w:rPr>
                <w:sz w:val="28"/>
                <w:szCs w:val="28"/>
              </w:rPr>
              <w:t>aprites</w:t>
            </w:r>
            <w:r w:rsidRPr="00C15733">
              <w:rPr>
                <w:sz w:val="28"/>
                <w:szCs w:val="28"/>
              </w:rPr>
              <w:t xml:space="preserve"> uzņēmumos, kas minēti Pārtikas aprites uzraudzības likumā</w:t>
            </w:r>
            <w:r w:rsidR="006B5053" w:rsidRPr="00C15733">
              <w:rPr>
                <w:sz w:val="28"/>
                <w:szCs w:val="28"/>
              </w:rPr>
              <w:t xml:space="preserve"> (neietverot galapatērētājam paredzēto biocīdu kontroli tirdzniecības vietās)</w:t>
            </w:r>
            <w:r w:rsidRPr="00C15733">
              <w:rPr>
                <w:sz w:val="28"/>
                <w:szCs w:val="28"/>
              </w:rPr>
              <w:t>;</w:t>
            </w:r>
          </w:p>
          <w:p w:rsidR="0000035E" w:rsidRPr="00C15733" w:rsidRDefault="0000035E" w:rsidP="0000035E">
            <w:pPr>
              <w:autoSpaceDE w:val="0"/>
              <w:autoSpaceDN w:val="0"/>
              <w:adjustRightInd w:val="0"/>
              <w:spacing w:before="60" w:after="60"/>
              <w:jc w:val="both"/>
              <w:rPr>
                <w:sz w:val="28"/>
                <w:szCs w:val="28"/>
              </w:rPr>
            </w:pPr>
            <w:r w:rsidRPr="00C15733">
              <w:rPr>
                <w:sz w:val="28"/>
                <w:szCs w:val="28"/>
              </w:rPr>
              <w:t>2) veterinārajā jomā kontrolēs regulas 528</w:t>
            </w:r>
            <w:r w:rsidR="009E704D" w:rsidRPr="00C15733">
              <w:rPr>
                <w:sz w:val="28"/>
                <w:szCs w:val="28"/>
              </w:rPr>
              <w:t>/2012 5.pielikuma 1.pamatgrupas</w:t>
            </w:r>
            <w:r w:rsidRPr="00C15733">
              <w:rPr>
                <w:sz w:val="28"/>
                <w:szCs w:val="28"/>
              </w:rPr>
              <w:t xml:space="preserve"> 3.produkta veidā (Veteri</w:t>
            </w:r>
            <w:r w:rsidR="0024110A" w:rsidRPr="00C15733">
              <w:rPr>
                <w:sz w:val="28"/>
                <w:szCs w:val="28"/>
              </w:rPr>
              <w:t>nārā higiēna) un 3.pamatgrupā (K</w:t>
            </w:r>
            <w:r w:rsidRPr="00C15733">
              <w:rPr>
                <w:sz w:val="28"/>
                <w:szCs w:val="28"/>
              </w:rPr>
              <w:t>aitēkļu kontroles līdzekļi) minēto</w:t>
            </w:r>
            <w:r w:rsidR="00D8746B" w:rsidRPr="00C15733">
              <w:rPr>
                <w:sz w:val="28"/>
                <w:szCs w:val="28"/>
              </w:rPr>
              <w:t>s</w:t>
            </w:r>
            <w:r w:rsidRPr="00C15733">
              <w:rPr>
                <w:sz w:val="28"/>
                <w:szCs w:val="28"/>
              </w:rPr>
              <w:t xml:space="preserve"> biocīdu</w:t>
            </w:r>
            <w:r w:rsidR="00A306FF" w:rsidRPr="00C15733">
              <w:rPr>
                <w:sz w:val="28"/>
                <w:szCs w:val="28"/>
              </w:rPr>
              <w:t>s</w:t>
            </w:r>
            <w:r w:rsidRPr="00C15733">
              <w:rPr>
                <w:sz w:val="28"/>
                <w:szCs w:val="28"/>
              </w:rPr>
              <w:t xml:space="preserve"> un</w:t>
            </w:r>
            <w:r w:rsidR="009E704D" w:rsidRPr="00C15733">
              <w:rPr>
                <w:sz w:val="28"/>
                <w:szCs w:val="28"/>
              </w:rPr>
              <w:t xml:space="preserve"> ar tiem apstr</w:t>
            </w:r>
            <w:r w:rsidRPr="00C15733">
              <w:rPr>
                <w:sz w:val="28"/>
                <w:szCs w:val="28"/>
              </w:rPr>
              <w:t>ādātu</w:t>
            </w:r>
            <w:r w:rsidR="00A306FF" w:rsidRPr="00C15733">
              <w:rPr>
                <w:sz w:val="28"/>
                <w:szCs w:val="28"/>
              </w:rPr>
              <w:t>s</w:t>
            </w:r>
            <w:r w:rsidRPr="00C15733">
              <w:rPr>
                <w:sz w:val="28"/>
                <w:szCs w:val="28"/>
              </w:rPr>
              <w:t xml:space="preserve"> izstrādājumu</w:t>
            </w:r>
            <w:r w:rsidR="00A306FF" w:rsidRPr="00C15733">
              <w:rPr>
                <w:sz w:val="28"/>
                <w:szCs w:val="28"/>
              </w:rPr>
              <w:t>s</w:t>
            </w:r>
            <w:r w:rsidRPr="00C15733">
              <w:rPr>
                <w:sz w:val="28"/>
                <w:szCs w:val="28"/>
              </w:rPr>
              <w:t xml:space="preserve"> </w:t>
            </w:r>
            <w:r w:rsidR="006B5053" w:rsidRPr="00C15733">
              <w:rPr>
                <w:sz w:val="28"/>
                <w:szCs w:val="28"/>
              </w:rPr>
              <w:t xml:space="preserve">Pārtikas un veterinārā dienesta </w:t>
            </w:r>
            <w:r w:rsidRPr="00C15733">
              <w:rPr>
                <w:sz w:val="28"/>
                <w:szCs w:val="28"/>
              </w:rPr>
              <w:t>uzraudzības objektos, kas minēti</w:t>
            </w:r>
            <w:proofErr w:type="gramStart"/>
            <w:r w:rsidRPr="00C15733">
              <w:rPr>
                <w:sz w:val="28"/>
                <w:szCs w:val="28"/>
              </w:rPr>
              <w:t xml:space="preserve">  </w:t>
            </w:r>
            <w:proofErr w:type="gramEnd"/>
            <w:r w:rsidRPr="00C15733">
              <w:rPr>
                <w:sz w:val="28"/>
                <w:szCs w:val="28"/>
              </w:rPr>
              <w:t>Veterinārmedicīnas likumā un</w:t>
            </w:r>
            <w:r w:rsidR="006B5053" w:rsidRPr="00C15733">
              <w:rPr>
                <w:sz w:val="28"/>
                <w:szCs w:val="28"/>
              </w:rPr>
              <w:t xml:space="preserve"> </w:t>
            </w:r>
            <w:r w:rsidRPr="00C15733">
              <w:rPr>
                <w:sz w:val="28"/>
                <w:szCs w:val="28"/>
              </w:rPr>
              <w:t xml:space="preserve"> Farmācijas likumā.</w:t>
            </w:r>
          </w:p>
          <w:p w:rsidR="0032284D" w:rsidRPr="00C15733" w:rsidRDefault="0032284D" w:rsidP="0032284D">
            <w:pPr>
              <w:pStyle w:val="naisc"/>
              <w:spacing w:before="0" w:after="0"/>
              <w:ind w:right="71"/>
              <w:jc w:val="both"/>
              <w:rPr>
                <w:sz w:val="28"/>
                <w:szCs w:val="28"/>
              </w:rPr>
            </w:pPr>
            <w:r w:rsidRPr="00C15733">
              <w:rPr>
                <w:sz w:val="28"/>
                <w:szCs w:val="28"/>
              </w:rPr>
              <w:t>Pārtikas un veterin</w:t>
            </w:r>
            <w:r w:rsidR="00FE61A0" w:rsidRPr="00C15733">
              <w:rPr>
                <w:sz w:val="28"/>
                <w:szCs w:val="28"/>
              </w:rPr>
              <w:t>ārais</w:t>
            </w:r>
            <w:r w:rsidRPr="00C15733">
              <w:rPr>
                <w:sz w:val="28"/>
                <w:szCs w:val="28"/>
              </w:rPr>
              <w:t xml:space="preserve"> dienests biocīdu kontroli veiks saskaņā regul</w:t>
            </w:r>
            <w:r w:rsidR="00FE61A0" w:rsidRPr="00C15733">
              <w:rPr>
                <w:sz w:val="28"/>
                <w:szCs w:val="28"/>
              </w:rPr>
              <w:t>as</w:t>
            </w:r>
            <w:r w:rsidRPr="00C15733">
              <w:rPr>
                <w:sz w:val="28"/>
                <w:szCs w:val="28"/>
              </w:rPr>
              <w:t xml:space="preserve"> 528/2012 </w:t>
            </w:r>
            <w:r w:rsidR="00E232B6" w:rsidRPr="00C15733">
              <w:rPr>
                <w:sz w:val="28"/>
                <w:szCs w:val="28"/>
              </w:rPr>
              <w:t xml:space="preserve">65.panta prasībām, kā arī 17.panta 1.punktā </w:t>
            </w:r>
            <w:r w:rsidRPr="00C15733">
              <w:rPr>
                <w:sz w:val="28"/>
                <w:szCs w:val="28"/>
              </w:rPr>
              <w:t>noteiktajām prasībām. Apstrādātiem izstrādājumiem nepieciešams kontrolēt marķējumu – vai norādītās aktīvās vielas, kas tiek izmantotas izstrādājumu apstrādei ir apstiprinātas vai iekļautas regulas 528/2012 I pielikumā un atbilstoši regulas 528/</w:t>
            </w:r>
            <w:r w:rsidR="0000035E" w:rsidRPr="00C15733">
              <w:rPr>
                <w:sz w:val="28"/>
                <w:szCs w:val="28"/>
              </w:rPr>
              <w:t xml:space="preserve">2012 </w:t>
            </w:r>
            <w:r w:rsidRPr="00C15733">
              <w:rPr>
                <w:sz w:val="28"/>
                <w:szCs w:val="28"/>
              </w:rPr>
              <w:t>58.panta</w:t>
            </w:r>
            <w:r w:rsidRPr="0032284D">
              <w:rPr>
                <w:b/>
                <w:sz w:val="28"/>
                <w:szCs w:val="28"/>
              </w:rPr>
              <w:t xml:space="preserve"> </w:t>
            </w:r>
            <w:r w:rsidRPr="00C15733">
              <w:rPr>
                <w:sz w:val="28"/>
                <w:szCs w:val="28"/>
              </w:rPr>
              <w:t>3.punktam kontrolēt vai izstrādājuma marķējumā ir sniegta šāda informācija:</w:t>
            </w:r>
          </w:p>
          <w:p w:rsidR="0032284D" w:rsidRPr="00C15733" w:rsidRDefault="0032284D" w:rsidP="0032284D">
            <w:pPr>
              <w:autoSpaceDE w:val="0"/>
              <w:autoSpaceDN w:val="0"/>
              <w:adjustRightInd w:val="0"/>
              <w:spacing w:before="60" w:after="60"/>
              <w:jc w:val="both"/>
              <w:rPr>
                <w:sz w:val="28"/>
                <w:szCs w:val="28"/>
              </w:rPr>
            </w:pPr>
            <w:r w:rsidRPr="00C15733">
              <w:rPr>
                <w:sz w:val="28"/>
                <w:szCs w:val="28"/>
              </w:rPr>
              <w:lastRenderedPageBreak/>
              <w:t xml:space="preserve">a) apzīmējums, kas norāda, ka apstrādātais izstrādājums satur biocīdus; </w:t>
            </w:r>
          </w:p>
          <w:p w:rsidR="0032284D" w:rsidRPr="00C15733" w:rsidRDefault="0032284D" w:rsidP="0032284D">
            <w:pPr>
              <w:autoSpaceDE w:val="0"/>
              <w:autoSpaceDN w:val="0"/>
              <w:adjustRightInd w:val="0"/>
              <w:spacing w:before="60" w:after="60"/>
              <w:jc w:val="both"/>
              <w:rPr>
                <w:sz w:val="28"/>
                <w:szCs w:val="28"/>
              </w:rPr>
            </w:pPr>
            <w:r w:rsidRPr="00C15733">
              <w:rPr>
                <w:sz w:val="28"/>
                <w:szCs w:val="28"/>
              </w:rPr>
              <w:t xml:space="preserve">b) vajadzības gadījumā – biocīda īpašību, ko ieguvis apstrādātais izstrādājums; </w:t>
            </w:r>
          </w:p>
          <w:p w:rsidR="0032284D" w:rsidRPr="00C15733" w:rsidRDefault="0032284D" w:rsidP="0032284D">
            <w:pPr>
              <w:autoSpaceDE w:val="0"/>
              <w:autoSpaceDN w:val="0"/>
              <w:adjustRightInd w:val="0"/>
              <w:spacing w:before="60" w:after="60"/>
              <w:jc w:val="both"/>
              <w:rPr>
                <w:sz w:val="28"/>
                <w:szCs w:val="28"/>
              </w:rPr>
            </w:pPr>
            <w:r w:rsidRPr="00C15733">
              <w:rPr>
                <w:sz w:val="28"/>
                <w:szCs w:val="28"/>
              </w:rPr>
              <w:t xml:space="preserve">c) neskarot Regulas (EK) Nr.1272/2008 24. pantu, visu biocīdos ietverto aktīvo vielu nosaukumus; </w:t>
            </w:r>
          </w:p>
          <w:p w:rsidR="0032284D" w:rsidRPr="00C15733" w:rsidRDefault="0032284D" w:rsidP="0032284D">
            <w:pPr>
              <w:autoSpaceDE w:val="0"/>
              <w:autoSpaceDN w:val="0"/>
              <w:adjustRightInd w:val="0"/>
              <w:spacing w:before="60" w:after="60"/>
              <w:jc w:val="both"/>
              <w:rPr>
                <w:sz w:val="28"/>
                <w:szCs w:val="28"/>
              </w:rPr>
            </w:pPr>
            <w:r w:rsidRPr="00C15733">
              <w:rPr>
                <w:sz w:val="28"/>
                <w:szCs w:val="28"/>
              </w:rPr>
              <w:t xml:space="preserve">d) visu to </w:t>
            </w:r>
            <w:proofErr w:type="spellStart"/>
            <w:r w:rsidRPr="00C15733">
              <w:rPr>
                <w:sz w:val="28"/>
                <w:szCs w:val="28"/>
              </w:rPr>
              <w:t>nanomateriālu</w:t>
            </w:r>
            <w:proofErr w:type="spellEnd"/>
            <w:r w:rsidRPr="00C15733">
              <w:rPr>
                <w:sz w:val="28"/>
                <w:szCs w:val="28"/>
              </w:rPr>
              <w:t xml:space="preserve"> nosaukumus, kurus satur biocīdi, aiz tiem iekavās ierakstot vārdu “</w:t>
            </w:r>
            <w:proofErr w:type="spellStart"/>
            <w:r w:rsidRPr="00C15733">
              <w:rPr>
                <w:sz w:val="28"/>
                <w:szCs w:val="28"/>
              </w:rPr>
              <w:t>nano</w:t>
            </w:r>
            <w:proofErr w:type="spellEnd"/>
            <w:r w:rsidRPr="00C15733">
              <w:rPr>
                <w:sz w:val="28"/>
                <w:szCs w:val="28"/>
              </w:rPr>
              <w:t xml:space="preserve">”; </w:t>
            </w:r>
          </w:p>
          <w:p w:rsidR="00340A15" w:rsidRDefault="0032284D" w:rsidP="00270DC1">
            <w:pPr>
              <w:autoSpaceDE w:val="0"/>
              <w:autoSpaceDN w:val="0"/>
              <w:adjustRightInd w:val="0"/>
              <w:spacing w:before="60" w:after="60"/>
              <w:jc w:val="both"/>
              <w:rPr>
                <w:sz w:val="28"/>
                <w:szCs w:val="28"/>
              </w:rPr>
            </w:pPr>
            <w:r w:rsidRPr="00C15733">
              <w:rPr>
                <w:sz w:val="28"/>
                <w:szCs w:val="28"/>
              </w:rPr>
              <w:t>e) visus attiecīgos lietošanas norādījumus, tostarp nepieciešamos drošības pasākumus to biocīdu dēļ, ar kuriem apstrādātais izstrādājums ir apstrādāts vai kurus tas satur.</w:t>
            </w:r>
          </w:p>
          <w:p w:rsidR="00340A15" w:rsidRPr="00136AE1" w:rsidRDefault="00340A15" w:rsidP="00340A15">
            <w:pPr>
              <w:jc w:val="both"/>
              <w:rPr>
                <w:sz w:val="28"/>
                <w:szCs w:val="28"/>
                <w:lang w:eastAsia="en-US"/>
              </w:rPr>
            </w:pPr>
            <w:r w:rsidRPr="00136AE1">
              <w:rPr>
                <w:sz w:val="28"/>
                <w:szCs w:val="28"/>
                <w:lang w:eastAsia="en-US"/>
              </w:rPr>
              <w:t xml:space="preserve">Attiecībā uz lietošanas norādījumu kontroli, PVD </w:t>
            </w:r>
            <w:r w:rsidR="002C7DA8" w:rsidRPr="00136AE1">
              <w:rPr>
                <w:sz w:val="28"/>
                <w:szCs w:val="28"/>
                <w:lang w:eastAsia="en-US"/>
              </w:rPr>
              <w:t xml:space="preserve">biocīdus </w:t>
            </w:r>
            <w:r w:rsidRPr="00136AE1">
              <w:rPr>
                <w:sz w:val="28"/>
                <w:szCs w:val="28"/>
                <w:lang w:eastAsia="en-US"/>
              </w:rPr>
              <w:t xml:space="preserve">pārtikas </w:t>
            </w:r>
            <w:r w:rsidR="002C7DA8" w:rsidRPr="00136AE1">
              <w:rPr>
                <w:sz w:val="28"/>
                <w:szCs w:val="28"/>
                <w:lang w:eastAsia="en-US"/>
              </w:rPr>
              <w:t xml:space="preserve">jomā </w:t>
            </w:r>
            <w:r w:rsidRPr="00136AE1">
              <w:rPr>
                <w:sz w:val="28"/>
                <w:szCs w:val="28"/>
                <w:lang w:eastAsia="en-US"/>
              </w:rPr>
              <w:t>kontrolē</w:t>
            </w:r>
            <w:r w:rsidR="0013503C" w:rsidRPr="00136AE1">
              <w:rPr>
                <w:sz w:val="28"/>
                <w:szCs w:val="28"/>
                <w:lang w:eastAsia="en-US"/>
              </w:rPr>
              <w:t>, izvērtējot atbilstošu biocīdu lietošanu,</w:t>
            </w:r>
            <w:r w:rsidR="002C7DA8" w:rsidRPr="00136AE1">
              <w:rPr>
                <w:sz w:val="28"/>
                <w:szCs w:val="28"/>
                <w:lang w:eastAsia="en-US"/>
              </w:rPr>
              <w:t xml:space="preserve"> un </w:t>
            </w:r>
            <w:r w:rsidRPr="00136AE1">
              <w:rPr>
                <w:sz w:val="28"/>
                <w:szCs w:val="28"/>
                <w:lang w:eastAsia="en-US"/>
              </w:rPr>
              <w:t>pārliecinās, vai šī viela ir atļauto aktīvo vielu sarakstā.</w:t>
            </w:r>
          </w:p>
          <w:p w:rsidR="00340A15" w:rsidRDefault="00340A15" w:rsidP="00270DC1">
            <w:pPr>
              <w:pStyle w:val="naisc"/>
              <w:spacing w:before="0" w:after="0"/>
              <w:ind w:right="71"/>
              <w:jc w:val="both"/>
              <w:rPr>
                <w:sz w:val="28"/>
                <w:szCs w:val="28"/>
              </w:rPr>
            </w:pPr>
          </w:p>
          <w:p w:rsidR="007D69EB" w:rsidRPr="00C54531" w:rsidRDefault="007D69EB" w:rsidP="00270DC1">
            <w:pPr>
              <w:pStyle w:val="naisc"/>
              <w:spacing w:before="0" w:after="0"/>
              <w:ind w:right="71"/>
              <w:jc w:val="both"/>
              <w:rPr>
                <w:sz w:val="28"/>
                <w:szCs w:val="28"/>
              </w:rPr>
            </w:pPr>
            <w:r w:rsidRPr="00C54531">
              <w:rPr>
                <w:sz w:val="28"/>
                <w:szCs w:val="28"/>
              </w:rPr>
              <w:t>Pašlaik Ķīmisko vielu likumā ir noteikts, ka:</w:t>
            </w:r>
          </w:p>
          <w:p w:rsidR="007D69EB" w:rsidRPr="00C54531" w:rsidRDefault="007D69EB" w:rsidP="00270DC1">
            <w:pPr>
              <w:pStyle w:val="naisc"/>
              <w:spacing w:before="0" w:after="0"/>
              <w:ind w:right="71"/>
              <w:jc w:val="both"/>
              <w:rPr>
                <w:sz w:val="28"/>
                <w:szCs w:val="28"/>
              </w:rPr>
            </w:pPr>
            <w:r w:rsidRPr="00C54531">
              <w:rPr>
                <w:sz w:val="28"/>
                <w:szCs w:val="28"/>
              </w:rPr>
              <w:t>- Veselības ministrija un tās padotībā esošās uzraudzības un kontroles iestādes kontrolē biocīdu laišanu tirgū un izplatīšanu;</w:t>
            </w:r>
          </w:p>
          <w:p w:rsidR="007D69EB" w:rsidRPr="00C54531" w:rsidRDefault="007D69EB" w:rsidP="0081082C">
            <w:pPr>
              <w:pStyle w:val="naisc"/>
              <w:spacing w:before="0" w:after="0"/>
              <w:ind w:right="71"/>
              <w:jc w:val="both"/>
              <w:rPr>
                <w:sz w:val="28"/>
                <w:szCs w:val="28"/>
              </w:rPr>
            </w:pPr>
            <w:r w:rsidRPr="00C54531">
              <w:rPr>
                <w:sz w:val="28"/>
                <w:szCs w:val="28"/>
              </w:rPr>
              <w:t>- Labklājības ministrija un tās padotībā esošās uzraudzības un kontroles iestādes kontrolē biocīdus darba vidē;</w:t>
            </w:r>
          </w:p>
          <w:p w:rsidR="00C50CA0" w:rsidRDefault="007D69EB" w:rsidP="0081082C">
            <w:pPr>
              <w:pStyle w:val="naisc"/>
              <w:spacing w:before="0" w:after="0"/>
              <w:ind w:right="71"/>
              <w:jc w:val="both"/>
              <w:rPr>
                <w:sz w:val="28"/>
                <w:szCs w:val="28"/>
              </w:rPr>
            </w:pPr>
            <w:r w:rsidRPr="00C54531">
              <w:rPr>
                <w:sz w:val="28"/>
                <w:szCs w:val="28"/>
              </w:rPr>
              <w:t>- Vides aizsardzības un reģionālās attīstības ministrija un tās padotībā esošās uzraudzības un kontroles iestādes kontrolē biocīdus ražoš</w:t>
            </w:r>
            <w:r w:rsidR="00C50CA0" w:rsidRPr="00C54531">
              <w:rPr>
                <w:sz w:val="28"/>
                <w:szCs w:val="28"/>
              </w:rPr>
              <w:t>anā un profesionālajā l</w:t>
            </w:r>
            <w:r w:rsidR="00C54531">
              <w:rPr>
                <w:sz w:val="28"/>
                <w:szCs w:val="28"/>
              </w:rPr>
              <w:t>ietošanā;</w:t>
            </w:r>
          </w:p>
          <w:p w:rsidR="00C54531" w:rsidRPr="00B61B2A" w:rsidRDefault="00C54531" w:rsidP="0081082C">
            <w:pPr>
              <w:pStyle w:val="naisc"/>
              <w:spacing w:before="0" w:after="0"/>
              <w:ind w:right="71"/>
              <w:jc w:val="both"/>
              <w:rPr>
                <w:sz w:val="28"/>
                <w:szCs w:val="28"/>
              </w:rPr>
            </w:pPr>
            <w:r>
              <w:rPr>
                <w:sz w:val="28"/>
                <w:szCs w:val="28"/>
              </w:rPr>
              <w:t>- Patērētāju tiesību aizsardzības centrs kontrolē ķīmiskās vielas tirdzniecībā esošajos izstrādājumos</w:t>
            </w:r>
            <w:r w:rsidR="004A073E">
              <w:rPr>
                <w:sz w:val="28"/>
                <w:szCs w:val="28"/>
              </w:rPr>
              <w:t xml:space="preserve"> </w:t>
            </w:r>
            <w:r w:rsidR="004A073E" w:rsidRPr="00B61B2A">
              <w:rPr>
                <w:sz w:val="28"/>
                <w:szCs w:val="28"/>
              </w:rPr>
              <w:t>saskaņā ar Eiropas Parlamenta un Padomes 2006.gada 18.decembra Regulu Nr.1907/2006, kas attiecas uz ķimikāliju reģistrēšanu, vērtēšanu, licencēšanu un ierobežošanu (REACH)</w:t>
            </w:r>
            <w:r w:rsidRPr="00B61B2A">
              <w:rPr>
                <w:sz w:val="28"/>
                <w:szCs w:val="28"/>
              </w:rPr>
              <w:t>.</w:t>
            </w:r>
          </w:p>
          <w:p w:rsidR="007D69EB" w:rsidRPr="00C54531" w:rsidRDefault="007D69EB" w:rsidP="0081082C">
            <w:pPr>
              <w:pStyle w:val="naisc"/>
              <w:spacing w:before="0" w:after="0"/>
              <w:ind w:right="71"/>
              <w:jc w:val="both"/>
              <w:rPr>
                <w:sz w:val="28"/>
                <w:szCs w:val="28"/>
              </w:rPr>
            </w:pPr>
          </w:p>
          <w:p w:rsidR="004703AD" w:rsidRDefault="005E7E11" w:rsidP="0081082C">
            <w:pPr>
              <w:pStyle w:val="naisc"/>
              <w:spacing w:before="0" w:after="0"/>
              <w:ind w:right="71"/>
              <w:jc w:val="both"/>
              <w:rPr>
                <w:sz w:val="28"/>
                <w:szCs w:val="28"/>
              </w:rPr>
            </w:pPr>
            <w:r>
              <w:rPr>
                <w:sz w:val="28"/>
                <w:szCs w:val="28"/>
              </w:rPr>
              <w:t xml:space="preserve">Likumprojekts arī paredz pārejas periodu </w:t>
            </w:r>
            <w:r w:rsidR="004146B4">
              <w:rPr>
                <w:sz w:val="28"/>
                <w:szCs w:val="28"/>
              </w:rPr>
              <w:t>terminam „toksiskas un ļoti toksiskas ķīmiskās vielas”</w:t>
            </w:r>
            <w:r>
              <w:rPr>
                <w:sz w:val="28"/>
                <w:szCs w:val="28"/>
              </w:rPr>
              <w:t xml:space="preserve">, jo regula 1272/2008 </w:t>
            </w:r>
            <w:r w:rsidR="001F03EE">
              <w:rPr>
                <w:sz w:val="28"/>
                <w:szCs w:val="28"/>
              </w:rPr>
              <w:t>nosaka</w:t>
            </w:r>
            <w:r>
              <w:rPr>
                <w:sz w:val="28"/>
                <w:szCs w:val="28"/>
              </w:rPr>
              <w:t xml:space="preserve"> atšķirīgus pārejas periodus </w:t>
            </w:r>
            <w:r w:rsidR="001F03EE">
              <w:rPr>
                <w:sz w:val="28"/>
                <w:szCs w:val="28"/>
              </w:rPr>
              <w:t xml:space="preserve">ķīmisko </w:t>
            </w:r>
            <w:r>
              <w:rPr>
                <w:sz w:val="28"/>
                <w:szCs w:val="28"/>
              </w:rPr>
              <w:t>vielu un maisījumu klasifikācijai. Pilnībā jaunā klasifikācija maisījumiem stāsies spēkā 2015.gada 1.jūnijā.</w:t>
            </w:r>
          </w:p>
          <w:p w:rsidR="00007A37" w:rsidRPr="00C15733" w:rsidRDefault="00007A37" w:rsidP="0081082C">
            <w:pPr>
              <w:pStyle w:val="naisc"/>
              <w:spacing w:before="0" w:after="0"/>
              <w:ind w:right="71"/>
              <w:jc w:val="both"/>
              <w:rPr>
                <w:sz w:val="28"/>
                <w:szCs w:val="28"/>
              </w:rPr>
            </w:pPr>
            <w:r w:rsidRPr="00C15733">
              <w:rPr>
                <w:sz w:val="28"/>
                <w:szCs w:val="28"/>
              </w:rPr>
              <w:t xml:space="preserve">Likumprojekts paredz arī pārejas periodu apstrādātu izstrādājumu kontrolei, kas būs Patērētāju tiesību </w:t>
            </w:r>
            <w:r w:rsidRPr="00C15733">
              <w:rPr>
                <w:sz w:val="28"/>
                <w:szCs w:val="28"/>
              </w:rPr>
              <w:lastRenderedPageBreak/>
              <w:t>aizsardzības centram un Pārtikas un veterinārām dienestam jāveic no 2015.gada 1.septembra.</w:t>
            </w:r>
          </w:p>
          <w:p w:rsidR="0081082C" w:rsidRPr="00A9104B" w:rsidRDefault="0081082C" w:rsidP="0081082C">
            <w:pPr>
              <w:pStyle w:val="naisc"/>
              <w:spacing w:before="0" w:after="0"/>
              <w:ind w:right="71"/>
              <w:jc w:val="both"/>
              <w:rPr>
                <w:sz w:val="28"/>
                <w:szCs w:val="28"/>
              </w:rPr>
            </w:pPr>
            <w:r>
              <w:rPr>
                <w:sz w:val="28"/>
                <w:szCs w:val="28"/>
              </w:rPr>
              <w:t xml:space="preserve">Likumprojektā svītrota atsauce uz </w:t>
            </w:r>
            <w:r w:rsidRPr="009A7392">
              <w:rPr>
                <w:sz w:val="28"/>
                <w:szCs w:val="28"/>
              </w:rPr>
              <w:t xml:space="preserve">Eiropas Parlamenta un Padomes 1998. gada 16. februāra direktīvu </w:t>
            </w:r>
            <w:hyperlink r:id="rId8" w:tgtFrame="_blank" w:history="1">
              <w:r w:rsidRPr="009A7392">
                <w:rPr>
                  <w:sz w:val="28"/>
                  <w:szCs w:val="28"/>
                </w:rPr>
                <w:t>98/8/EK</w:t>
              </w:r>
            </w:hyperlink>
            <w:r w:rsidRPr="009A7392">
              <w:rPr>
                <w:sz w:val="28"/>
                <w:szCs w:val="28"/>
              </w:rPr>
              <w:t xml:space="preserve"> par </w:t>
            </w:r>
            <w:proofErr w:type="spellStart"/>
            <w:r w:rsidRPr="009A7392">
              <w:rPr>
                <w:sz w:val="28"/>
                <w:szCs w:val="28"/>
              </w:rPr>
              <w:t>biocīdo</w:t>
            </w:r>
            <w:proofErr w:type="spellEnd"/>
            <w:r w:rsidRPr="009A7392">
              <w:rPr>
                <w:sz w:val="28"/>
                <w:szCs w:val="28"/>
              </w:rPr>
              <w:t xml:space="preserve"> produktu laišanu tirgū (turpmāk – direktīva Nr. 98/8/EK)</w:t>
            </w:r>
            <w:r>
              <w:rPr>
                <w:sz w:val="28"/>
                <w:szCs w:val="28"/>
              </w:rPr>
              <w:t xml:space="preserve">, jo direktīva ir aizstāta ar regulu 528/2012 un Ministru kabineta 2003.gada 15.aprīļa noteikumi Nr.184 „Prasības darbībām ar biocīdiem” ir zaudējuši spēku līdz ar Ministru kabineta 2013.gada 27.augusta noteikumiem Nr.628 „Prasības attiecībā uz darbībām ar biocīdiem”. </w:t>
            </w:r>
          </w:p>
        </w:tc>
      </w:tr>
      <w:tr w:rsidR="00B05A4C" w:rsidRPr="00A97A55">
        <w:trPr>
          <w:trHeight w:val="476"/>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lastRenderedPageBreak/>
              <w:t> 5.</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Projekta izstrādē iesaistītās institūcijas</w:t>
            </w:r>
          </w:p>
        </w:tc>
        <w:tc>
          <w:tcPr>
            <w:tcW w:w="6326" w:type="dxa"/>
            <w:tcBorders>
              <w:top w:val="outset" w:sz="6" w:space="0" w:color="auto"/>
              <w:left w:val="outset" w:sz="6" w:space="0" w:color="auto"/>
              <w:bottom w:val="outset" w:sz="6" w:space="0" w:color="auto"/>
              <w:right w:val="outset" w:sz="6" w:space="0" w:color="auto"/>
            </w:tcBorders>
          </w:tcPr>
          <w:p w:rsidR="00B05A4C" w:rsidRPr="00A9104B" w:rsidRDefault="00B05A4C" w:rsidP="00C60B00">
            <w:pPr>
              <w:pStyle w:val="naiskr"/>
              <w:ind w:left="105" w:right="71"/>
              <w:jc w:val="both"/>
              <w:rPr>
                <w:sz w:val="28"/>
                <w:szCs w:val="28"/>
              </w:rPr>
            </w:pPr>
            <w:r w:rsidRPr="00A9104B">
              <w:rPr>
                <w:rFonts w:eastAsia="EUAlbertina-Bold-Identity-H"/>
                <w:sz w:val="28"/>
                <w:szCs w:val="28"/>
              </w:rPr>
              <w:t>Valsts sabiedrība ar ierobežotu atbildību „</w:t>
            </w:r>
            <w:r w:rsidRPr="00A9104B">
              <w:rPr>
                <w:sz w:val="28"/>
                <w:szCs w:val="28"/>
              </w:rPr>
              <w:t xml:space="preserve">Latvijas Vides, ģeoloģijas un </w:t>
            </w:r>
            <w:r w:rsidR="005773CA">
              <w:rPr>
                <w:sz w:val="28"/>
                <w:szCs w:val="28"/>
              </w:rPr>
              <w:t>meteoroloģijas centrs”</w:t>
            </w:r>
            <w:r w:rsidR="0032284D">
              <w:rPr>
                <w:sz w:val="28"/>
                <w:szCs w:val="28"/>
              </w:rPr>
              <w:t>, Pārtikas un veterinārais dienests, Patērētāju tiesību aizsardzības centrs, Zemkopības ministrija, Ekonomikas ministrija.</w:t>
            </w:r>
          </w:p>
        </w:tc>
      </w:tr>
      <w:tr w:rsidR="00B05A4C" w:rsidRPr="00A97A55" w:rsidTr="00BE0035">
        <w:trPr>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6.</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Iemesli, kādēļ netika nodrošināta sabiedrības līdzdalība</w:t>
            </w:r>
          </w:p>
        </w:tc>
        <w:tc>
          <w:tcPr>
            <w:tcW w:w="6326" w:type="dxa"/>
            <w:tcBorders>
              <w:top w:val="outset" w:sz="6" w:space="0" w:color="auto"/>
              <w:left w:val="outset" w:sz="6" w:space="0" w:color="auto"/>
              <w:bottom w:val="outset" w:sz="6" w:space="0" w:color="auto"/>
              <w:right w:val="outset" w:sz="6" w:space="0" w:color="auto"/>
            </w:tcBorders>
          </w:tcPr>
          <w:p w:rsidR="00B05A4C" w:rsidRPr="00A9104B" w:rsidRDefault="00B05A4C" w:rsidP="0001781D">
            <w:pPr>
              <w:pStyle w:val="naiskr"/>
              <w:ind w:left="105"/>
              <w:rPr>
                <w:sz w:val="28"/>
                <w:szCs w:val="28"/>
              </w:rPr>
            </w:pPr>
            <w:r w:rsidRPr="00A9104B">
              <w:rPr>
                <w:sz w:val="28"/>
                <w:szCs w:val="28"/>
              </w:rPr>
              <w:t>Nav attiecināms.</w:t>
            </w:r>
          </w:p>
        </w:tc>
      </w:tr>
      <w:tr w:rsidR="00B05A4C" w:rsidRPr="007969F9">
        <w:trPr>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7969F9" w:rsidRDefault="00B05A4C" w:rsidP="00B05A4C">
            <w:pPr>
              <w:pStyle w:val="naiskr"/>
              <w:rPr>
                <w:sz w:val="28"/>
                <w:szCs w:val="28"/>
              </w:rPr>
            </w:pPr>
            <w:r w:rsidRPr="007969F9">
              <w:rPr>
                <w:b/>
                <w:sz w:val="28"/>
                <w:szCs w:val="28"/>
              </w:rPr>
              <w:t> </w:t>
            </w:r>
            <w:r w:rsidRPr="007969F9">
              <w:rPr>
                <w:sz w:val="28"/>
                <w:szCs w:val="28"/>
              </w:rPr>
              <w:t>7.</w:t>
            </w:r>
          </w:p>
        </w:tc>
        <w:tc>
          <w:tcPr>
            <w:tcW w:w="2250" w:type="dxa"/>
            <w:tcBorders>
              <w:top w:val="outset" w:sz="6" w:space="0" w:color="auto"/>
              <w:left w:val="outset" w:sz="6" w:space="0" w:color="auto"/>
              <w:bottom w:val="outset" w:sz="6" w:space="0" w:color="auto"/>
              <w:right w:val="outset" w:sz="6" w:space="0" w:color="auto"/>
            </w:tcBorders>
          </w:tcPr>
          <w:p w:rsidR="00B05A4C" w:rsidRPr="007969F9" w:rsidRDefault="00B05A4C" w:rsidP="00E87C6A">
            <w:pPr>
              <w:pStyle w:val="naiskr"/>
              <w:ind w:left="75" w:right="105"/>
              <w:rPr>
                <w:sz w:val="28"/>
                <w:szCs w:val="28"/>
              </w:rPr>
            </w:pPr>
            <w:r w:rsidRPr="007969F9">
              <w:rPr>
                <w:sz w:val="28"/>
                <w:szCs w:val="28"/>
              </w:rPr>
              <w:t>Cita informācija</w:t>
            </w:r>
          </w:p>
        </w:tc>
        <w:tc>
          <w:tcPr>
            <w:tcW w:w="6326" w:type="dxa"/>
            <w:tcBorders>
              <w:top w:val="outset" w:sz="6" w:space="0" w:color="auto"/>
              <w:left w:val="outset" w:sz="6" w:space="0" w:color="auto"/>
              <w:bottom w:val="outset" w:sz="6" w:space="0" w:color="auto"/>
              <w:right w:val="outset" w:sz="6" w:space="0" w:color="auto"/>
            </w:tcBorders>
          </w:tcPr>
          <w:p w:rsidR="00C50CA0" w:rsidRPr="00B61B2A" w:rsidRDefault="004A073E" w:rsidP="0018113C">
            <w:pPr>
              <w:pStyle w:val="naiskr"/>
              <w:ind w:left="105"/>
              <w:jc w:val="both"/>
              <w:rPr>
                <w:rFonts w:eastAsia="EUAlbertina-Bold-Identity-H"/>
                <w:sz w:val="28"/>
                <w:szCs w:val="28"/>
              </w:rPr>
            </w:pPr>
            <w:r w:rsidRPr="00B61B2A">
              <w:rPr>
                <w:rFonts w:eastAsia="EUAlbertina-Bold-Identity-H"/>
                <w:sz w:val="28"/>
                <w:szCs w:val="28"/>
              </w:rPr>
              <w:t>Ja ar biocīdiem apstrādātu izstrādājumu uzraudzībai netiks piešķirti valsts budžeta līdzekļi, nebūs iespējams veikt apstrādātu izstrādājumu testēšanu, lai pārliecinātos par Regulas 528/2012 prasību ievērošanu.</w:t>
            </w:r>
          </w:p>
          <w:p w:rsidR="0032284D" w:rsidRPr="00C15733" w:rsidRDefault="0032284D" w:rsidP="0000035E">
            <w:pPr>
              <w:pStyle w:val="naiskr"/>
              <w:ind w:left="105"/>
              <w:jc w:val="both"/>
              <w:rPr>
                <w:rFonts w:eastAsia="EUAlbertina-Bold-Identity-H"/>
                <w:sz w:val="28"/>
                <w:szCs w:val="28"/>
              </w:rPr>
            </w:pPr>
            <w:r w:rsidRPr="00C15733">
              <w:rPr>
                <w:rFonts w:eastAsia="EUAlbertina-Bold-Identity-H"/>
                <w:sz w:val="28"/>
                <w:szCs w:val="28"/>
              </w:rPr>
              <w:t>Pārtikas un veterināram dienestam biocīdu un apstrādātu izstrādājumu kontrole veterinārajā jomā</w:t>
            </w:r>
            <w:r w:rsidR="00384B84" w:rsidRPr="00C15733">
              <w:rPr>
                <w:rFonts w:eastAsia="EUAlbertina-Bold-Identity-H"/>
                <w:sz w:val="28"/>
                <w:szCs w:val="28"/>
              </w:rPr>
              <w:t xml:space="preserve"> ir jauna kompetence, tādēļ Pārtikas un veterinārajam dienestam </w:t>
            </w:r>
            <w:r w:rsidR="0000035E" w:rsidRPr="00C15733">
              <w:rPr>
                <w:rFonts w:eastAsia="EUAlbertina-Bold-Identity-H"/>
                <w:sz w:val="28"/>
                <w:szCs w:val="28"/>
              </w:rPr>
              <w:t>būs</w:t>
            </w:r>
            <w:r w:rsidR="00384B84" w:rsidRPr="00C15733">
              <w:rPr>
                <w:rFonts w:eastAsia="EUAlbertina-Bold-Identity-H"/>
                <w:sz w:val="28"/>
                <w:szCs w:val="28"/>
              </w:rPr>
              <w:t xml:space="preserve"> ierobežotas </w:t>
            </w:r>
            <w:r w:rsidR="0000035E" w:rsidRPr="00C15733">
              <w:rPr>
                <w:rFonts w:eastAsia="EUAlbertina-Bold-Identity-H"/>
                <w:sz w:val="28"/>
                <w:szCs w:val="28"/>
              </w:rPr>
              <w:t>biocīdu un apstrādātu izstrādājumu</w:t>
            </w:r>
            <w:r w:rsidR="009E704D" w:rsidRPr="00C15733">
              <w:rPr>
                <w:rFonts w:eastAsia="EUAlbertina-Bold-Identity-H"/>
                <w:sz w:val="28"/>
                <w:szCs w:val="28"/>
              </w:rPr>
              <w:t xml:space="preserve"> kontroles iespējas,</w:t>
            </w:r>
            <w:r w:rsidR="00A306FF" w:rsidRPr="00C15733">
              <w:rPr>
                <w:rFonts w:eastAsia="EUAlbertina-Bold-Identity-H"/>
                <w:sz w:val="28"/>
                <w:szCs w:val="28"/>
              </w:rPr>
              <w:t xml:space="preserve"> </w:t>
            </w:r>
            <w:r w:rsidR="0000035E" w:rsidRPr="00C15733">
              <w:rPr>
                <w:rFonts w:eastAsia="EUAlbertina-Bold-Identity-H"/>
                <w:sz w:val="28"/>
                <w:szCs w:val="28"/>
              </w:rPr>
              <w:t>ja netiks piešķirti valsts budžeta līdzekļi šim mērķim</w:t>
            </w:r>
            <w:r w:rsidR="00384B84" w:rsidRPr="00C15733">
              <w:rPr>
                <w:rFonts w:eastAsia="EUAlbertina-Bold-Identity-H"/>
                <w:sz w:val="28"/>
                <w:szCs w:val="28"/>
              </w:rPr>
              <w:t>.</w:t>
            </w:r>
            <w:r w:rsidR="006B5053" w:rsidRPr="00C15733">
              <w:rPr>
                <w:rFonts w:eastAsia="EUAlbertina-Bold-Identity-H"/>
                <w:color w:val="FF0000"/>
                <w:sz w:val="28"/>
                <w:szCs w:val="28"/>
              </w:rPr>
              <w:t xml:space="preserve"> </w:t>
            </w:r>
            <w:r w:rsidR="006B5053" w:rsidRPr="00C15733">
              <w:rPr>
                <w:rFonts w:eastAsia="EUAlbertina-Bold-Identity-H"/>
                <w:sz w:val="28"/>
                <w:szCs w:val="28"/>
              </w:rPr>
              <w:t>Jau esošai biocīdu uzraudzībai pārtikas</w:t>
            </w:r>
            <w:r w:rsidR="00A306FF" w:rsidRPr="00C15733">
              <w:rPr>
                <w:rFonts w:eastAsia="EUAlbertina-Bold-Identity-H"/>
                <w:sz w:val="28"/>
                <w:szCs w:val="28"/>
              </w:rPr>
              <w:t xml:space="preserve"> aprites</w:t>
            </w:r>
            <w:r w:rsidR="006B5053" w:rsidRPr="00C15733">
              <w:rPr>
                <w:rFonts w:eastAsia="EUAlbertina-Bold-Identity-H"/>
                <w:sz w:val="28"/>
                <w:szCs w:val="28"/>
              </w:rPr>
              <w:t xml:space="preserve"> jomā Pārtikas un veterinārajam dienestam finanšu līdzekļi nav piešķirti.</w:t>
            </w:r>
          </w:p>
        </w:tc>
      </w:tr>
    </w:tbl>
    <w:p w:rsidR="00B05A4C" w:rsidRPr="007969F9" w:rsidRDefault="00B05A4C" w:rsidP="00BE0035">
      <w:pPr>
        <w:pStyle w:val="naisf"/>
        <w:ind w:firstLine="0"/>
        <w:rPr>
          <w:b/>
        </w:rPr>
      </w:pPr>
    </w:p>
    <w:tbl>
      <w:tblPr>
        <w:tblW w:w="9168" w:type="dxa"/>
        <w:tblCellSpacing w:w="0" w:type="dxa"/>
        <w:tblInd w:w="-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74"/>
        <w:gridCol w:w="2181"/>
        <w:gridCol w:w="6513"/>
      </w:tblGrid>
      <w:tr w:rsidR="00B05A4C" w:rsidRPr="007969F9" w:rsidTr="00B75891">
        <w:trPr>
          <w:trHeight w:val="584"/>
          <w:tblCellSpacing w:w="0" w:type="dxa"/>
        </w:trPr>
        <w:tc>
          <w:tcPr>
            <w:tcW w:w="9168" w:type="dxa"/>
            <w:gridSpan w:val="3"/>
            <w:tcBorders>
              <w:top w:val="outset" w:sz="6" w:space="0" w:color="auto"/>
              <w:left w:val="outset" w:sz="6" w:space="0" w:color="auto"/>
              <w:bottom w:val="outset" w:sz="6" w:space="0" w:color="auto"/>
              <w:right w:val="outset" w:sz="6" w:space="0" w:color="auto"/>
            </w:tcBorders>
            <w:vAlign w:val="center"/>
          </w:tcPr>
          <w:p w:rsidR="00B05A4C" w:rsidRPr="007969F9" w:rsidRDefault="00B05A4C" w:rsidP="00B05A4C">
            <w:pPr>
              <w:pStyle w:val="naisnod"/>
              <w:rPr>
                <w:sz w:val="28"/>
                <w:szCs w:val="28"/>
              </w:rPr>
            </w:pPr>
            <w:r w:rsidRPr="007969F9">
              <w:rPr>
                <w:sz w:val="28"/>
                <w:szCs w:val="28"/>
              </w:rPr>
              <w:t> II. Tiesību akta projekta ietekme uz sabiedrību</w:t>
            </w:r>
          </w:p>
        </w:tc>
      </w:tr>
      <w:tr w:rsidR="00B05A4C" w:rsidRPr="00A97A55" w:rsidTr="00B75891">
        <w:trPr>
          <w:trHeight w:val="467"/>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FF4E1E" w:rsidP="00FF4E1E">
            <w:pPr>
              <w:pStyle w:val="naiskr"/>
              <w:ind w:left="126" w:right="105"/>
              <w:rPr>
                <w:sz w:val="28"/>
                <w:szCs w:val="28"/>
              </w:rPr>
            </w:pPr>
            <w:r w:rsidRPr="00A9104B">
              <w:rPr>
                <w:sz w:val="28"/>
                <w:szCs w:val="28"/>
              </w:rPr>
              <w:t xml:space="preserve">Sabiedrības </w:t>
            </w:r>
            <w:r w:rsidR="00B05A4C" w:rsidRPr="00A9104B">
              <w:rPr>
                <w:sz w:val="28"/>
                <w:szCs w:val="28"/>
              </w:rPr>
              <w:t>mērķgrupa</w:t>
            </w:r>
          </w:p>
        </w:tc>
        <w:tc>
          <w:tcPr>
            <w:tcW w:w="6513" w:type="dxa"/>
            <w:tcBorders>
              <w:top w:val="outset" w:sz="6" w:space="0" w:color="auto"/>
              <w:left w:val="outset" w:sz="6" w:space="0" w:color="auto"/>
              <w:bottom w:val="outset" w:sz="6" w:space="0" w:color="auto"/>
              <w:right w:val="outset" w:sz="6" w:space="0" w:color="auto"/>
            </w:tcBorders>
          </w:tcPr>
          <w:p w:rsidR="00B05A4C" w:rsidRPr="00AA2C74" w:rsidRDefault="00B4143D" w:rsidP="0000035E">
            <w:pPr>
              <w:autoSpaceDE w:val="0"/>
              <w:autoSpaceDN w:val="0"/>
              <w:adjustRightInd w:val="0"/>
              <w:ind w:left="105"/>
              <w:jc w:val="both"/>
              <w:rPr>
                <w:bCs/>
                <w:sz w:val="28"/>
                <w:szCs w:val="28"/>
              </w:rPr>
            </w:pPr>
            <w:r>
              <w:rPr>
                <w:bCs/>
                <w:sz w:val="28"/>
                <w:szCs w:val="28"/>
              </w:rPr>
              <w:t xml:space="preserve">Personas, kas izvieto tirgū </w:t>
            </w:r>
            <w:r w:rsidR="004B10D1">
              <w:rPr>
                <w:bCs/>
                <w:sz w:val="28"/>
                <w:szCs w:val="28"/>
              </w:rPr>
              <w:t>biocīdus un ar biocīdiem apstrādātus izstrādājumus</w:t>
            </w:r>
            <w:r w:rsidR="00F835C0">
              <w:rPr>
                <w:bCs/>
                <w:sz w:val="28"/>
                <w:szCs w:val="28"/>
              </w:rPr>
              <w:t xml:space="preserve">, </w:t>
            </w:r>
            <w:r w:rsidR="00F835C0" w:rsidRPr="00C15733">
              <w:rPr>
                <w:bCs/>
                <w:sz w:val="28"/>
                <w:szCs w:val="28"/>
              </w:rPr>
              <w:t>tai skaitā pārtikas un veterinārā jomā darbojošās.</w:t>
            </w:r>
          </w:p>
        </w:tc>
      </w:tr>
      <w:tr w:rsidR="00B05A4C" w:rsidRPr="00A97A55" w:rsidTr="00B75891">
        <w:trPr>
          <w:trHeight w:val="522"/>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ight="105"/>
              <w:rPr>
                <w:sz w:val="28"/>
                <w:szCs w:val="28"/>
              </w:rPr>
            </w:pPr>
            <w:r w:rsidRPr="00A9104B">
              <w:rPr>
                <w:sz w:val="28"/>
                <w:szCs w:val="28"/>
              </w:rPr>
              <w:t xml:space="preserve">Citas sabiedrības </w:t>
            </w:r>
            <w:r w:rsidRPr="00A9104B">
              <w:rPr>
                <w:sz w:val="28"/>
                <w:szCs w:val="28"/>
              </w:rPr>
              <w:lastRenderedPageBreak/>
              <w:t>grupas (bez mērķgrupas), kuras tiesiskais regulējums arī ietekmē vai varētu ietekmēt</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lastRenderedPageBreak/>
              <w:t> Nav attiecināms.</w:t>
            </w:r>
          </w:p>
        </w:tc>
      </w:tr>
      <w:tr w:rsidR="00B05A4C" w:rsidRPr="00A97A55" w:rsidTr="00B75891">
        <w:trPr>
          <w:trHeight w:val="516"/>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lastRenderedPageBreak/>
              <w:t> 3.</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ight="105"/>
              <w:rPr>
                <w:sz w:val="28"/>
                <w:szCs w:val="28"/>
              </w:rPr>
            </w:pPr>
            <w:r w:rsidRPr="00A9104B">
              <w:rPr>
                <w:sz w:val="28"/>
                <w:szCs w:val="28"/>
              </w:rPr>
              <w:t>Tiesiskā regulējuma finansiālā ietekme</w:t>
            </w:r>
          </w:p>
        </w:tc>
        <w:tc>
          <w:tcPr>
            <w:tcW w:w="6513" w:type="dxa"/>
            <w:tcBorders>
              <w:top w:val="outset" w:sz="6" w:space="0" w:color="auto"/>
              <w:left w:val="outset" w:sz="6" w:space="0" w:color="auto"/>
              <w:bottom w:val="outset" w:sz="6" w:space="0" w:color="auto"/>
              <w:right w:val="outset" w:sz="6" w:space="0" w:color="auto"/>
            </w:tcBorders>
          </w:tcPr>
          <w:p w:rsidR="00D74A51" w:rsidRPr="00B542F3" w:rsidRDefault="00B75891" w:rsidP="00D74A51">
            <w:pPr>
              <w:pStyle w:val="naiskr"/>
              <w:ind w:left="105" w:right="138"/>
              <w:jc w:val="both"/>
              <w:rPr>
                <w:sz w:val="28"/>
                <w:szCs w:val="28"/>
              </w:rPr>
            </w:pPr>
            <w:r>
              <w:rPr>
                <w:sz w:val="28"/>
                <w:szCs w:val="28"/>
              </w:rPr>
              <w:t>Nav attiecināms</w:t>
            </w:r>
          </w:p>
        </w:tc>
      </w:tr>
      <w:tr w:rsidR="00B05A4C" w:rsidRPr="00A97A55" w:rsidTr="00B75891">
        <w:trPr>
          <w:trHeight w:val="516"/>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4.</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ight="105"/>
              <w:rPr>
                <w:sz w:val="28"/>
                <w:szCs w:val="28"/>
              </w:rPr>
            </w:pPr>
            <w:r w:rsidRPr="00A9104B">
              <w:rPr>
                <w:sz w:val="28"/>
                <w:szCs w:val="28"/>
              </w:rPr>
              <w:t>Tiesiskā regulējuma nefinansiālā ietekme</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4143D" w:rsidP="00FF4E1E">
            <w:pPr>
              <w:pStyle w:val="naiskr"/>
              <w:ind w:left="105" w:right="138"/>
              <w:jc w:val="both"/>
              <w:rPr>
                <w:sz w:val="28"/>
                <w:szCs w:val="28"/>
              </w:rPr>
            </w:pPr>
            <w:r w:rsidRPr="00A9104B">
              <w:rPr>
                <w:sz w:val="28"/>
                <w:szCs w:val="28"/>
              </w:rPr>
              <w:t>Nav attiecināms.</w:t>
            </w:r>
          </w:p>
        </w:tc>
      </w:tr>
      <w:tr w:rsidR="00B05A4C" w:rsidRPr="00A97A55" w:rsidTr="00B75891">
        <w:trPr>
          <w:trHeight w:val="530"/>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5.</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ight="105"/>
              <w:rPr>
                <w:sz w:val="28"/>
                <w:szCs w:val="28"/>
              </w:rPr>
            </w:pPr>
            <w:r w:rsidRPr="00A9104B">
              <w:rPr>
                <w:sz w:val="28"/>
                <w:szCs w:val="28"/>
              </w:rPr>
              <w:t>Administratīvās procedūras raksturojums</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4143D" w:rsidP="00FF4E1E">
            <w:pPr>
              <w:pStyle w:val="naisf"/>
              <w:ind w:left="105" w:right="138" w:firstLine="0"/>
              <w:rPr>
                <w:sz w:val="28"/>
                <w:szCs w:val="28"/>
              </w:rPr>
            </w:pPr>
            <w:r w:rsidRPr="00A9104B">
              <w:rPr>
                <w:sz w:val="28"/>
                <w:szCs w:val="28"/>
              </w:rPr>
              <w:t>Nav attiecināms.</w:t>
            </w:r>
          </w:p>
        </w:tc>
      </w:tr>
      <w:tr w:rsidR="00B05A4C" w:rsidRPr="00A97A55" w:rsidTr="00B75891">
        <w:trPr>
          <w:trHeight w:val="357"/>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6.</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Pr>
                <w:sz w:val="28"/>
                <w:szCs w:val="28"/>
              </w:rPr>
            </w:pPr>
            <w:r w:rsidRPr="00A9104B">
              <w:rPr>
                <w:sz w:val="28"/>
                <w:szCs w:val="28"/>
              </w:rPr>
              <w:t>Administratīvo izmaksu monetārs novērtējums</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05" w:right="138"/>
              <w:rPr>
                <w:sz w:val="28"/>
                <w:szCs w:val="28"/>
              </w:rPr>
            </w:pPr>
            <w:r w:rsidRPr="00A9104B">
              <w:rPr>
                <w:sz w:val="28"/>
                <w:szCs w:val="28"/>
              </w:rPr>
              <w:t>Nav attiecināms.</w:t>
            </w:r>
          </w:p>
        </w:tc>
      </w:tr>
      <w:tr w:rsidR="00B05A4C" w:rsidRPr="00A97A55" w:rsidTr="00B75891">
        <w:trPr>
          <w:trHeight w:val="144"/>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7.</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Pr>
                <w:sz w:val="28"/>
                <w:szCs w:val="28"/>
              </w:rPr>
            </w:pPr>
            <w:r w:rsidRPr="00A9104B">
              <w:rPr>
                <w:sz w:val="28"/>
                <w:szCs w:val="28"/>
              </w:rPr>
              <w:t>Cita informācija</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05" w:right="138"/>
              <w:rPr>
                <w:sz w:val="28"/>
                <w:szCs w:val="28"/>
              </w:rPr>
            </w:pPr>
            <w:r w:rsidRPr="00A9104B">
              <w:rPr>
                <w:sz w:val="28"/>
                <w:szCs w:val="28"/>
              </w:rPr>
              <w:t> Nav.</w:t>
            </w:r>
          </w:p>
        </w:tc>
      </w:tr>
    </w:tbl>
    <w:p w:rsidR="00B05A4C" w:rsidRPr="00A97A55" w:rsidRDefault="00B05A4C" w:rsidP="00BE0035">
      <w:pPr>
        <w:pStyle w:val="naisnod"/>
        <w:spacing w:before="0" w:after="0"/>
      </w:pPr>
    </w:p>
    <w:p w:rsidR="009D54D6" w:rsidRDefault="009D54D6" w:rsidP="009D54D6">
      <w:pPr>
        <w:jc w:val="center"/>
        <w:rPr>
          <w:b/>
          <w:bCs/>
          <w:sz w:val="28"/>
          <w:szCs w:val="28"/>
        </w:rPr>
      </w:pPr>
      <w:r w:rsidRPr="00A9104B">
        <w:rPr>
          <w:b/>
          <w:sz w:val="28"/>
          <w:szCs w:val="28"/>
        </w:rPr>
        <w:t xml:space="preserve">Anotācijas </w:t>
      </w:r>
      <w:r w:rsidR="00B75891">
        <w:rPr>
          <w:b/>
          <w:sz w:val="28"/>
          <w:szCs w:val="28"/>
        </w:rPr>
        <w:t xml:space="preserve">III </w:t>
      </w:r>
      <w:r w:rsidRPr="00A9104B">
        <w:rPr>
          <w:b/>
          <w:sz w:val="28"/>
          <w:szCs w:val="28"/>
        </w:rPr>
        <w:t xml:space="preserve">sadaļa </w:t>
      </w:r>
      <w:r w:rsidRPr="00A9104B">
        <w:rPr>
          <w:b/>
          <w:bCs/>
          <w:sz w:val="28"/>
          <w:szCs w:val="28"/>
        </w:rPr>
        <w:t>– projekts šīs jomas neskar.</w:t>
      </w:r>
    </w:p>
    <w:tbl>
      <w:tblPr>
        <w:tblW w:w="508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974"/>
        <w:gridCol w:w="5264"/>
      </w:tblGrid>
      <w:tr w:rsidR="00F835C0" w:rsidRPr="00131638" w:rsidTr="00EF77CB">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F835C0" w:rsidRPr="00131638" w:rsidRDefault="00F835C0" w:rsidP="00F835C0">
            <w:pPr>
              <w:pStyle w:val="naiskr"/>
              <w:ind w:left="126"/>
              <w:rPr>
                <w:b/>
                <w:sz w:val="28"/>
                <w:szCs w:val="28"/>
              </w:rPr>
            </w:pPr>
            <w:r w:rsidRPr="00131638">
              <w:rPr>
                <w:b/>
                <w:sz w:val="28"/>
                <w:szCs w:val="28"/>
              </w:rPr>
              <w:t>IV. Kāda var būt normatīvā akta ietekme uz spēkā esošo tiesību normu sistēmu</w:t>
            </w:r>
          </w:p>
        </w:tc>
      </w:tr>
      <w:tr w:rsidR="00F835C0" w:rsidRPr="00131638" w:rsidTr="00EF77CB">
        <w:tc>
          <w:tcPr>
            <w:tcW w:w="2151" w:type="pct"/>
            <w:tcBorders>
              <w:top w:val="outset" w:sz="6" w:space="0" w:color="000000"/>
              <w:left w:val="outset" w:sz="6" w:space="0" w:color="000000"/>
              <w:bottom w:val="outset" w:sz="6" w:space="0" w:color="000000"/>
              <w:right w:val="outset" w:sz="6" w:space="0" w:color="000000"/>
            </w:tcBorders>
            <w:hideMark/>
          </w:tcPr>
          <w:p w:rsidR="00F835C0" w:rsidRPr="00131638" w:rsidRDefault="00F835C0" w:rsidP="00F835C0">
            <w:pPr>
              <w:pStyle w:val="naiskr"/>
              <w:ind w:left="126"/>
              <w:rPr>
                <w:sz w:val="28"/>
                <w:szCs w:val="28"/>
              </w:rPr>
            </w:pPr>
            <w:r w:rsidRPr="00131638">
              <w:rPr>
                <w:sz w:val="28"/>
                <w:szCs w:val="28"/>
              </w:rPr>
              <w:t xml:space="preserve">1. 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2849" w:type="pct"/>
            <w:tcBorders>
              <w:top w:val="outset" w:sz="6" w:space="0" w:color="000000"/>
              <w:left w:val="outset" w:sz="6" w:space="0" w:color="000000"/>
              <w:bottom w:val="outset" w:sz="6" w:space="0" w:color="000000"/>
              <w:right w:val="outset" w:sz="6" w:space="0" w:color="000000"/>
            </w:tcBorders>
            <w:hideMark/>
          </w:tcPr>
          <w:p w:rsidR="00F835C0" w:rsidRPr="00C15733" w:rsidRDefault="00F835C0" w:rsidP="009E704D">
            <w:pPr>
              <w:jc w:val="both"/>
              <w:rPr>
                <w:color w:val="414142"/>
                <w:sz w:val="28"/>
                <w:szCs w:val="28"/>
              </w:rPr>
            </w:pPr>
            <w:r w:rsidRPr="00C15733">
              <w:rPr>
                <w:sz w:val="28"/>
                <w:szCs w:val="28"/>
              </w:rPr>
              <w:t>Nepieciešams grozīt</w:t>
            </w:r>
            <w:r w:rsidR="0000035E" w:rsidRPr="00C15733">
              <w:rPr>
                <w:bCs/>
                <w:color w:val="414142"/>
                <w:sz w:val="28"/>
                <w:szCs w:val="28"/>
              </w:rPr>
              <w:t xml:space="preserve"> </w:t>
            </w:r>
            <w:r w:rsidR="0000035E" w:rsidRPr="00C15733">
              <w:rPr>
                <w:bCs/>
                <w:sz w:val="28"/>
                <w:szCs w:val="28"/>
              </w:rPr>
              <w:t xml:space="preserve">Ministru kabineta </w:t>
            </w:r>
            <w:r w:rsidR="0000035E" w:rsidRPr="00C15733">
              <w:rPr>
                <w:sz w:val="28"/>
                <w:szCs w:val="28"/>
              </w:rPr>
              <w:t xml:space="preserve">2005.gada 22.februāra </w:t>
            </w:r>
            <w:r w:rsidR="0000035E" w:rsidRPr="00C15733">
              <w:rPr>
                <w:bCs/>
                <w:sz w:val="28"/>
                <w:szCs w:val="28"/>
              </w:rPr>
              <w:t>noteikumus Nr.142</w:t>
            </w:r>
            <w:r w:rsidR="0000035E" w:rsidRPr="00C15733">
              <w:rPr>
                <w:sz w:val="28"/>
                <w:szCs w:val="28"/>
              </w:rPr>
              <w:br/>
            </w:r>
            <w:r w:rsidR="0000035E" w:rsidRPr="00C15733">
              <w:rPr>
                <w:bCs/>
                <w:sz w:val="28"/>
                <w:szCs w:val="28"/>
              </w:rPr>
              <w:t>„Pārtikas un veterinārā dienesta nolikums”</w:t>
            </w:r>
            <w:r w:rsidRPr="00C15733">
              <w:rPr>
                <w:sz w:val="28"/>
                <w:szCs w:val="28"/>
              </w:rPr>
              <w:t xml:space="preserve">, </w:t>
            </w:r>
            <w:r w:rsidR="00440A6D" w:rsidRPr="00C15733">
              <w:rPr>
                <w:sz w:val="28"/>
                <w:szCs w:val="28"/>
              </w:rPr>
              <w:t xml:space="preserve">papildinot </w:t>
            </w:r>
            <w:r w:rsidR="000628B7" w:rsidRPr="00C15733">
              <w:rPr>
                <w:sz w:val="28"/>
                <w:szCs w:val="28"/>
              </w:rPr>
              <w:t xml:space="preserve">to </w:t>
            </w:r>
            <w:r w:rsidR="00440A6D" w:rsidRPr="00C15733">
              <w:rPr>
                <w:sz w:val="28"/>
                <w:szCs w:val="28"/>
              </w:rPr>
              <w:t xml:space="preserve">ar </w:t>
            </w:r>
            <w:r w:rsidR="000628B7" w:rsidRPr="00C15733">
              <w:rPr>
                <w:sz w:val="28"/>
                <w:szCs w:val="28"/>
              </w:rPr>
              <w:t xml:space="preserve">Pārtikas un veterinārā dienesta kompetenci </w:t>
            </w:r>
            <w:r w:rsidR="00440A6D" w:rsidRPr="00C15733">
              <w:rPr>
                <w:sz w:val="28"/>
                <w:szCs w:val="28"/>
              </w:rPr>
              <w:t>biocīdu un apstrādātu izstrādājumu uzraudzīb</w:t>
            </w:r>
            <w:r w:rsidR="000628B7" w:rsidRPr="00C15733">
              <w:rPr>
                <w:sz w:val="28"/>
                <w:szCs w:val="28"/>
              </w:rPr>
              <w:t>as jomā atbilstoši regulai 528</w:t>
            </w:r>
            <w:r w:rsidR="00440A6D" w:rsidRPr="00C15733">
              <w:rPr>
                <w:sz w:val="28"/>
                <w:szCs w:val="28"/>
              </w:rPr>
              <w:t xml:space="preserve">/2012. </w:t>
            </w:r>
            <w:r w:rsidR="000628B7" w:rsidRPr="00C15733">
              <w:rPr>
                <w:sz w:val="28"/>
                <w:szCs w:val="28"/>
              </w:rPr>
              <w:t>Nepieciešamos grozījumus nolikumā veiks</w:t>
            </w:r>
            <w:r w:rsidRPr="00C15733">
              <w:rPr>
                <w:sz w:val="28"/>
                <w:szCs w:val="28"/>
              </w:rPr>
              <w:t xml:space="preserve"> Zemkopības ministrija pēc likumprojekta pieņemšanas Saeimā.</w:t>
            </w:r>
          </w:p>
        </w:tc>
      </w:tr>
      <w:tr w:rsidR="00F835C0" w:rsidRPr="00131638" w:rsidTr="00EF77CB">
        <w:tc>
          <w:tcPr>
            <w:tcW w:w="2151" w:type="pct"/>
            <w:tcBorders>
              <w:top w:val="outset" w:sz="6" w:space="0" w:color="000000"/>
              <w:left w:val="outset" w:sz="6" w:space="0" w:color="000000"/>
              <w:bottom w:val="outset" w:sz="6" w:space="0" w:color="000000"/>
              <w:right w:val="outset" w:sz="6" w:space="0" w:color="000000"/>
            </w:tcBorders>
            <w:hideMark/>
          </w:tcPr>
          <w:p w:rsidR="00F835C0" w:rsidRPr="00131638" w:rsidRDefault="00F835C0" w:rsidP="00F835C0">
            <w:pPr>
              <w:pStyle w:val="naiskr"/>
              <w:ind w:left="126"/>
              <w:rPr>
                <w:sz w:val="28"/>
                <w:szCs w:val="28"/>
              </w:rPr>
            </w:pPr>
            <w:r w:rsidRPr="00131638">
              <w:rPr>
                <w:sz w:val="28"/>
                <w:szCs w:val="28"/>
              </w:rPr>
              <w:lastRenderedPageBreak/>
              <w:t>2. Cita informācija</w:t>
            </w:r>
          </w:p>
        </w:tc>
        <w:tc>
          <w:tcPr>
            <w:tcW w:w="2849" w:type="pct"/>
            <w:tcBorders>
              <w:top w:val="outset" w:sz="6" w:space="0" w:color="000000"/>
              <w:left w:val="outset" w:sz="6" w:space="0" w:color="000000"/>
              <w:bottom w:val="outset" w:sz="6" w:space="0" w:color="000000"/>
              <w:right w:val="outset" w:sz="6" w:space="0" w:color="000000"/>
            </w:tcBorders>
            <w:hideMark/>
          </w:tcPr>
          <w:p w:rsidR="00F835C0" w:rsidRPr="00131638" w:rsidRDefault="00F835C0" w:rsidP="002B5635">
            <w:pPr>
              <w:spacing w:before="100" w:beforeAutospacing="1" w:after="100" w:afterAutospacing="1" w:line="360" w:lineRule="auto"/>
              <w:ind w:firstLine="300"/>
              <w:rPr>
                <w:rFonts w:ascii="Arial" w:hAnsi="Arial" w:cs="Arial"/>
                <w:color w:val="414142"/>
              </w:rPr>
            </w:pPr>
            <w:r w:rsidRPr="00131638">
              <w:rPr>
                <w:rFonts w:ascii="Arial" w:hAnsi="Arial" w:cs="Arial"/>
                <w:color w:val="414142"/>
                <w:sz w:val="15"/>
                <w:szCs w:val="15"/>
              </w:rPr>
              <w:t> </w:t>
            </w:r>
            <w:r w:rsidRPr="00F835C0">
              <w:rPr>
                <w:sz w:val="28"/>
                <w:szCs w:val="28"/>
              </w:rPr>
              <w:t>Nav.</w:t>
            </w:r>
          </w:p>
        </w:tc>
      </w:tr>
    </w:tbl>
    <w:p w:rsidR="009D54D6" w:rsidRPr="00A9104B" w:rsidRDefault="009D54D6" w:rsidP="00F835C0">
      <w:pPr>
        <w:pStyle w:val="naisnod"/>
        <w:spacing w:before="0" w:after="0"/>
        <w:jc w:val="left"/>
        <w:rPr>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5"/>
        <w:gridCol w:w="2640"/>
        <w:gridCol w:w="6060"/>
      </w:tblGrid>
      <w:tr w:rsidR="00B05A4C" w:rsidRPr="00A9104B">
        <w:trPr>
          <w:tblCellSpacing w:w="0" w:type="dxa"/>
        </w:trPr>
        <w:tc>
          <w:tcPr>
            <w:tcW w:w="9195" w:type="dxa"/>
            <w:gridSpan w:val="3"/>
            <w:tcBorders>
              <w:top w:val="outset" w:sz="6" w:space="0" w:color="auto"/>
              <w:left w:val="outset" w:sz="6" w:space="0" w:color="auto"/>
              <w:bottom w:val="outset" w:sz="6" w:space="0" w:color="auto"/>
            </w:tcBorders>
          </w:tcPr>
          <w:p w:rsidR="00B05A4C" w:rsidRPr="00A9104B" w:rsidRDefault="00B05A4C" w:rsidP="00B05A4C">
            <w:pPr>
              <w:pStyle w:val="naisnod"/>
              <w:rPr>
                <w:sz w:val="28"/>
                <w:szCs w:val="28"/>
              </w:rPr>
            </w:pPr>
            <w:r w:rsidRPr="00A9104B">
              <w:rPr>
                <w:sz w:val="28"/>
                <w:szCs w:val="28"/>
              </w:rPr>
              <w:t> V. Tiesību akta projekta atbilstība Latvijas Republikas starptautiskajām saistībām</w:t>
            </w:r>
          </w:p>
        </w:tc>
      </w:tr>
      <w:tr w:rsidR="00B05A4C" w:rsidRPr="00A97A55">
        <w:trPr>
          <w:tblCellSpacing w:w="0" w:type="dxa"/>
        </w:trPr>
        <w:tc>
          <w:tcPr>
            <w:tcW w:w="49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2640" w:type="dxa"/>
            <w:tcBorders>
              <w:top w:val="outset" w:sz="6" w:space="0" w:color="auto"/>
              <w:left w:val="outset" w:sz="6" w:space="0" w:color="auto"/>
              <w:bottom w:val="outset" w:sz="6" w:space="0" w:color="auto"/>
              <w:right w:val="outset" w:sz="6" w:space="0" w:color="auto"/>
            </w:tcBorders>
          </w:tcPr>
          <w:p w:rsidR="00B05A4C" w:rsidRPr="00A9104B" w:rsidRDefault="009D54D6" w:rsidP="009D54D6">
            <w:pPr>
              <w:pStyle w:val="naiskr"/>
              <w:ind w:left="105"/>
              <w:rPr>
                <w:sz w:val="28"/>
                <w:szCs w:val="28"/>
              </w:rPr>
            </w:pPr>
            <w:r w:rsidRPr="00A9104B">
              <w:rPr>
                <w:sz w:val="28"/>
                <w:szCs w:val="28"/>
              </w:rPr>
              <w:t xml:space="preserve">Saistības pret Eiropas </w:t>
            </w:r>
            <w:r w:rsidR="00B05A4C" w:rsidRPr="00A9104B">
              <w:rPr>
                <w:sz w:val="28"/>
                <w:szCs w:val="28"/>
              </w:rPr>
              <w:t>Savienību</w:t>
            </w:r>
          </w:p>
        </w:tc>
        <w:tc>
          <w:tcPr>
            <w:tcW w:w="6060" w:type="dxa"/>
            <w:tcBorders>
              <w:top w:val="outset" w:sz="6" w:space="0" w:color="auto"/>
              <w:left w:val="outset" w:sz="6" w:space="0" w:color="auto"/>
              <w:bottom w:val="outset" w:sz="6" w:space="0" w:color="auto"/>
              <w:right w:val="outset" w:sz="6" w:space="0" w:color="auto"/>
            </w:tcBorders>
          </w:tcPr>
          <w:p w:rsidR="00B4143D" w:rsidRDefault="00B4143D" w:rsidP="00B4143D">
            <w:pPr>
              <w:pStyle w:val="NormalWeb"/>
              <w:spacing w:before="0" w:beforeAutospacing="0" w:after="0" w:afterAutospacing="0"/>
              <w:ind w:firstLine="720"/>
              <w:jc w:val="both"/>
              <w:rPr>
                <w:rFonts w:ascii="Times New Roman" w:hAnsi="Times New Roman"/>
                <w:sz w:val="28"/>
                <w:szCs w:val="28"/>
                <w:lang w:val="lv-LV"/>
              </w:rPr>
            </w:pPr>
            <w:r w:rsidRPr="00B4143D">
              <w:rPr>
                <w:rFonts w:ascii="Times New Roman" w:hAnsi="Times New Roman"/>
                <w:sz w:val="28"/>
                <w:szCs w:val="28"/>
                <w:lang w:val="lv-LV"/>
              </w:rPr>
              <w:t>Eiropas Parlamenta un Padomes 2012.gada 22.maija regula (ES) Nr.528/2012 par biocīdu</w:t>
            </w:r>
            <w:r>
              <w:rPr>
                <w:rFonts w:ascii="Times New Roman" w:hAnsi="Times New Roman"/>
                <w:sz w:val="28"/>
                <w:szCs w:val="28"/>
                <w:lang w:val="lv-LV"/>
              </w:rPr>
              <w:t xml:space="preserve"> piedāvāšanu tirgū un lietošanu;</w:t>
            </w:r>
          </w:p>
          <w:p w:rsidR="00B4143D" w:rsidRPr="00B4143D" w:rsidRDefault="00B4143D" w:rsidP="00B4143D">
            <w:pPr>
              <w:pStyle w:val="NormalWeb"/>
              <w:spacing w:before="0" w:beforeAutospacing="0" w:after="0" w:afterAutospacing="0"/>
              <w:ind w:firstLine="720"/>
              <w:jc w:val="both"/>
              <w:rPr>
                <w:rFonts w:ascii="Times New Roman" w:hAnsi="Times New Roman"/>
                <w:sz w:val="28"/>
                <w:szCs w:val="28"/>
                <w:lang w:val="lv-LV"/>
              </w:rPr>
            </w:pPr>
            <w:r w:rsidRPr="00B4143D">
              <w:rPr>
                <w:rFonts w:ascii="Times New Roman" w:hAnsi="Times New Roman"/>
                <w:sz w:val="28"/>
                <w:szCs w:val="28"/>
                <w:lang w:val="lv-LV"/>
              </w:rPr>
              <w:t>Eiropas Parlamenta un Padomes 2012.gada 4.jūlija regula</w:t>
            </w:r>
            <w:r>
              <w:rPr>
                <w:rFonts w:ascii="Times New Roman" w:hAnsi="Times New Roman"/>
                <w:sz w:val="28"/>
                <w:szCs w:val="28"/>
                <w:lang w:val="lv-LV"/>
              </w:rPr>
              <w:t xml:space="preserve"> (ES)</w:t>
            </w:r>
            <w:r w:rsidRPr="00B4143D">
              <w:rPr>
                <w:rFonts w:ascii="Times New Roman" w:hAnsi="Times New Roman"/>
                <w:sz w:val="28"/>
                <w:szCs w:val="28"/>
                <w:lang w:val="lv-LV"/>
              </w:rPr>
              <w:t xml:space="preserve"> Nr.649/2012 par bīstamo ķī</w:t>
            </w:r>
            <w:r w:rsidR="00E42D33">
              <w:rPr>
                <w:rFonts w:ascii="Times New Roman" w:hAnsi="Times New Roman"/>
                <w:sz w:val="28"/>
                <w:szCs w:val="28"/>
                <w:lang w:val="lv-LV"/>
              </w:rPr>
              <w:t>misko vielu eksportu un importu.</w:t>
            </w:r>
          </w:p>
        </w:tc>
      </w:tr>
      <w:tr w:rsidR="00B05A4C" w:rsidRPr="00A97A55">
        <w:trPr>
          <w:tblCellSpacing w:w="0" w:type="dxa"/>
        </w:trPr>
        <w:tc>
          <w:tcPr>
            <w:tcW w:w="49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2640" w:type="dxa"/>
            <w:tcBorders>
              <w:top w:val="outset" w:sz="6" w:space="0" w:color="auto"/>
              <w:left w:val="outset" w:sz="6" w:space="0" w:color="auto"/>
              <w:bottom w:val="outset" w:sz="6" w:space="0" w:color="auto"/>
              <w:right w:val="outset" w:sz="6" w:space="0" w:color="auto"/>
            </w:tcBorders>
          </w:tcPr>
          <w:p w:rsidR="00B05A4C" w:rsidRPr="00A9104B" w:rsidRDefault="00837AEE" w:rsidP="00837AEE">
            <w:pPr>
              <w:pStyle w:val="naiskr"/>
              <w:ind w:left="105"/>
              <w:rPr>
                <w:sz w:val="28"/>
                <w:szCs w:val="28"/>
              </w:rPr>
            </w:pPr>
            <w:r w:rsidRPr="00A9104B">
              <w:rPr>
                <w:sz w:val="28"/>
                <w:szCs w:val="28"/>
              </w:rPr>
              <w:t xml:space="preserve">Citas starptautiskās </w:t>
            </w:r>
            <w:r w:rsidR="00B05A4C" w:rsidRPr="00A9104B">
              <w:rPr>
                <w:sz w:val="28"/>
                <w:szCs w:val="28"/>
              </w:rPr>
              <w:t>saistības</w:t>
            </w:r>
          </w:p>
        </w:tc>
        <w:tc>
          <w:tcPr>
            <w:tcW w:w="6060" w:type="dxa"/>
            <w:tcBorders>
              <w:top w:val="outset" w:sz="6" w:space="0" w:color="auto"/>
              <w:left w:val="outset" w:sz="6" w:space="0" w:color="auto"/>
              <w:bottom w:val="outset" w:sz="6" w:space="0" w:color="auto"/>
              <w:right w:val="outset" w:sz="6" w:space="0" w:color="auto"/>
            </w:tcBorders>
          </w:tcPr>
          <w:p w:rsidR="00B05A4C" w:rsidRPr="00A9104B" w:rsidRDefault="00837AEE" w:rsidP="00B05A4C">
            <w:pPr>
              <w:pStyle w:val="naiskr"/>
              <w:rPr>
                <w:sz w:val="28"/>
                <w:szCs w:val="28"/>
              </w:rPr>
            </w:pPr>
            <w:r w:rsidRPr="00A9104B">
              <w:rPr>
                <w:sz w:val="28"/>
                <w:szCs w:val="28"/>
              </w:rPr>
              <w:t xml:space="preserve"> </w:t>
            </w:r>
            <w:r w:rsidR="00B05A4C" w:rsidRPr="00A9104B">
              <w:rPr>
                <w:sz w:val="28"/>
                <w:szCs w:val="28"/>
              </w:rPr>
              <w:t>Nav attiecināms.</w:t>
            </w:r>
          </w:p>
        </w:tc>
      </w:tr>
      <w:tr w:rsidR="00B05A4C" w:rsidRPr="00A97A55">
        <w:trPr>
          <w:tblCellSpacing w:w="0" w:type="dxa"/>
        </w:trPr>
        <w:tc>
          <w:tcPr>
            <w:tcW w:w="49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3.</w:t>
            </w:r>
          </w:p>
        </w:tc>
        <w:tc>
          <w:tcPr>
            <w:tcW w:w="2640" w:type="dxa"/>
            <w:tcBorders>
              <w:top w:val="outset" w:sz="6" w:space="0" w:color="auto"/>
              <w:left w:val="outset" w:sz="6" w:space="0" w:color="auto"/>
              <w:bottom w:val="outset" w:sz="6" w:space="0" w:color="auto"/>
              <w:right w:val="outset" w:sz="6" w:space="0" w:color="auto"/>
            </w:tcBorders>
          </w:tcPr>
          <w:p w:rsidR="00B05A4C" w:rsidRPr="00A9104B" w:rsidRDefault="00B05A4C" w:rsidP="00837AEE">
            <w:pPr>
              <w:pStyle w:val="naiskr"/>
              <w:ind w:left="105"/>
              <w:rPr>
                <w:sz w:val="28"/>
                <w:szCs w:val="28"/>
              </w:rPr>
            </w:pPr>
            <w:r w:rsidRPr="00A9104B">
              <w:rPr>
                <w:sz w:val="28"/>
                <w:szCs w:val="28"/>
              </w:rPr>
              <w:t>Cita informācija</w:t>
            </w:r>
          </w:p>
        </w:tc>
        <w:tc>
          <w:tcPr>
            <w:tcW w:w="6060"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Nav.</w:t>
            </w:r>
          </w:p>
        </w:tc>
      </w:tr>
    </w:tbl>
    <w:p w:rsidR="00B05A4C" w:rsidRPr="00A97A55" w:rsidRDefault="00B05A4C" w:rsidP="00BE0035">
      <w:pPr>
        <w:pStyle w:val="naisf"/>
      </w:pPr>
      <w:r w:rsidRPr="00A97A5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97"/>
        <w:gridCol w:w="1780"/>
        <w:gridCol w:w="638"/>
        <w:gridCol w:w="2146"/>
        <w:gridCol w:w="2740"/>
      </w:tblGrid>
      <w:tr w:rsidR="00B05A4C" w:rsidRPr="00A97A55">
        <w:trPr>
          <w:trHeight w:val="523"/>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E0035">
            <w:pPr>
              <w:pStyle w:val="naisnod"/>
              <w:spacing w:before="0" w:after="0"/>
              <w:rPr>
                <w:sz w:val="28"/>
                <w:szCs w:val="28"/>
              </w:rPr>
            </w:pPr>
            <w:r w:rsidRPr="00A9104B">
              <w:rPr>
                <w:sz w:val="28"/>
                <w:szCs w:val="28"/>
              </w:rPr>
              <w:t> 1.tabula</w:t>
            </w:r>
          </w:p>
          <w:p w:rsidR="00B05A4C" w:rsidRPr="00A9104B" w:rsidRDefault="00B05A4C" w:rsidP="00BE0035">
            <w:pPr>
              <w:pStyle w:val="naisnod"/>
              <w:spacing w:before="0" w:after="0"/>
              <w:rPr>
                <w:sz w:val="28"/>
                <w:szCs w:val="28"/>
              </w:rPr>
            </w:pPr>
            <w:r w:rsidRPr="00A9104B">
              <w:rPr>
                <w:sz w:val="28"/>
                <w:szCs w:val="28"/>
              </w:rPr>
              <w:t>Tiesību akta projekta atbilstība ES tiesību aktiem</w:t>
            </w:r>
          </w:p>
        </w:tc>
      </w:tr>
      <w:tr w:rsidR="00B05A4C" w:rsidRPr="00A97A55" w:rsidTr="00867ABA">
        <w:trPr>
          <w:tblCellSpacing w:w="0" w:type="dxa"/>
        </w:trPr>
        <w:tc>
          <w:tcPr>
            <w:tcW w:w="1797" w:type="dxa"/>
            <w:tcBorders>
              <w:top w:val="outset" w:sz="6" w:space="0" w:color="auto"/>
              <w:left w:val="outset" w:sz="6" w:space="0" w:color="auto"/>
              <w:bottom w:val="outset" w:sz="6" w:space="0" w:color="auto"/>
              <w:right w:val="outset" w:sz="6" w:space="0" w:color="auto"/>
            </w:tcBorders>
          </w:tcPr>
          <w:p w:rsidR="00B05A4C" w:rsidRPr="00A9104B" w:rsidRDefault="006710E5" w:rsidP="006710E5">
            <w:pPr>
              <w:pStyle w:val="naisc"/>
              <w:ind w:left="120"/>
              <w:jc w:val="left"/>
              <w:rPr>
                <w:sz w:val="28"/>
                <w:szCs w:val="28"/>
              </w:rPr>
            </w:pPr>
            <w:r w:rsidRPr="00A9104B">
              <w:rPr>
                <w:sz w:val="28"/>
                <w:szCs w:val="28"/>
              </w:rPr>
              <w:t xml:space="preserve">Attiecīgā ES tiesību akta datums, numurs </w:t>
            </w:r>
            <w:r w:rsidR="00B05A4C" w:rsidRPr="00A9104B">
              <w:rPr>
                <w:sz w:val="28"/>
                <w:szCs w:val="28"/>
              </w:rPr>
              <w:t>un nosaukums</w:t>
            </w:r>
          </w:p>
        </w:tc>
        <w:tc>
          <w:tcPr>
            <w:tcW w:w="7304" w:type="dxa"/>
            <w:gridSpan w:val="4"/>
            <w:tcBorders>
              <w:top w:val="outset" w:sz="6" w:space="0" w:color="auto"/>
              <w:left w:val="outset" w:sz="6" w:space="0" w:color="auto"/>
              <w:bottom w:val="outset" w:sz="6" w:space="0" w:color="auto"/>
              <w:right w:val="outset" w:sz="6" w:space="0" w:color="auto"/>
            </w:tcBorders>
            <w:vAlign w:val="center"/>
          </w:tcPr>
          <w:p w:rsidR="00B4143D" w:rsidRPr="00B4143D" w:rsidRDefault="00B4143D" w:rsidP="00B4143D">
            <w:pPr>
              <w:pStyle w:val="NormalWeb"/>
              <w:spacing w:before="0" w:beforeAutospacing="0" w:after="0" w:afterAutospacing="0"/>
              <w:ind w:firstLine="720"/>
              <w:jc w:val="both"/>
              <w:rPr>
                <w:rFonts w:ascii="Times New Roman" w:hAnsi="Times New Roman"/>
                <w:sz w:val="28"/>
                <w:szCs w:val="28"/>
                <w:lang w:val="lv-LV"/>
              </w:rPr>
            </w:pPr>
            <w:r w:rsidRPr="00B4143D">
              <w:rPr>
                <w:rFonts w:ascii="Times New Roman" w:hAnsi="Times New Roman"/>
                <w:sz w:val="28"/>
                <w:szCs w:val="28"/>
                <w:lang w:val="lv-LV"/>
              </w:rPr>
              <w:t>Eiropas Parlamenta un Padomes 2012.gada 22.maija regula (ES) Nr.528/2012 par biocīdu piedāvāšanu tirgū un lietošanu (Oficiālais Vēstnesis 27.06.2012. L167)</w:t>
            </w:r>
            <w:r>
              <w:rPr>
                <w:rFonts w:ascii="Times New Roman" w:hAnsi="Times New Roman"/>
                <w:sz w:val="28"/>
                <w:szCs w:val="28"/>
                <w:lang w:val="lv-LV"/>
              </w:rPr>
              <w:t>;</w:t>
            </w:r>
          </w:p>
          <w:p w:rsidR="003F7617" w:rsidRPr="00827526" w:rsidRDefault="00B4143D" w:rsidP="00B4143D">
            <w:pPr>
              <w:pStyle w:val="NormalWeb"/>
              <w:spacing w:before="0" w:beforeAutospacing="0" w:after="0" w:afterAutospacing="0"/>
              <w:ind w:firstLine="720"/>
              <w:jc w:val="both"/>
              <w:rPr>
                <w:rFonts w:ascii="Times New Roman" w:hAnsi="Times New Roman"/>
                <w:sz w:val="28"/>
                <w:szCs w:val="28"/>
                <w:lang w:val="lv-LV" w:eastAsia="lv-LV"/>
              </w:rPr>
            </w:pPr>
            <w:r w:rsidRPr="00B4143D">
              <w:rPr>
                <w:rFonts w:ascii="Times New Roman" w:hAnsi="Times New Roman"/>
                <w:sz w:val="28"/>
                <w:szCs w:val="28"/>
                <w:lang w:val="lv-LV"/>
              </w:rPr>
              <w:t>Eiropas Parlamenta un Padomes 2012.gada 4.jūlija regula</w:t>
            </w:r>
            <w:r>
              <w:rPr>
                <w:rFonts w:ascii="Times New Roman" w:hAnsi="Times New Roman"/>
                <w:sz w:val="28"/>
                <w:szCs w:val="28"/>
                <w:lang w:val="lv-LV"/>
              </w:rPr>
              <w:t xml:space="preserve"> (ES)</w:t>
            </w:r>
            <w:r w:rsidRPr="00B4143D">
              <w:rPr>
                <w:rFonts w:ascii="Times New Roman" w:hAnsi="Times New Roman"/>
                <w:sz w:val="28"/>
                <w:szCs w:val="28"/>
                <w:lang w:val="lv-LV"/>
              </w:rPr>
              <w:t xml:space="preserve"> Nr.649/2012 par bīstamo ķīmisko vielu eksportu un importu (Oficiālais Vēstnesis 27.0</w:t>
            </w:r>
            <w:r>
              <w:rPr>
                <w:rFonts w:ascii="Times New Roman" w:hAnsi="Times New Roman"/>
                <w:sz w:val="28"/>
                <w:szCs w:val="28"/>
                <w:lang w:val="lv-LV"/>
              </w:rPr>
              <w:t>7</w:t>
            </w:r>
            <w:r w:rsidRPr="00B4143D">
              <w:rPr>
                <w:rFonts w:ascii="Times New Roman" w:hAnsi="Times New Roman"/>
                <w:sz w:val="28"/>
                <w:szCs w:val="28"/>
                <w:lang w:val="lv-LV"/>
              </w:rPr>
              <w:t>.2012. L</w:t>
            </w:r>
            <w:r>
              <w:rPr>
                <w:rFonts w:ascii="Times New Roman" w:hAnsi="Times New Roman"/>
                <w:sz w:val="28"/>
                <w:szCs w:val="28"/>
                <w:lang w:val="lv-LV"/>
              </w:rPr>
              <w:t>201</w:t>
            </w:r>
            <w:r w:rsidRPr="00B4143D">
              <w:rPr>
                <w:rFonts w:ascii="Times New Roman" w:hAnsi="Times New Roman"/>
                <w:sz w:val="28"/>
                <w:szCs w:val="28"/>
                <w:lang w:val="lv-LV"/>
              </w:rPr>
              <w:t>)</w:t>
            </w:r>
          </w:p>
        </w:tc>
      </w:tr>
      <w:tr w:rsidR="00B05A4C" w:rsidRPr="00A97A55">
        <w:trPr>
          <w:trHeight w:val="163"/>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rPr>
                <w:sz w:val="28"/>
                <w:szCs w:val="28"/>
              </w:rPr>
            </w:pPr>
            <w:r w:rsidRPr="00A9104B">
              <w:rPr>
                <w:sz w:val="28"/>
                <w:szCs w:val="28"/>
              </w:rPr>
              <w:t>  </w:t>
            </w:r>
          </w:p>
        </w:tc>
      </w:tr>
      <w:tr w:rsidR="00B05A4C" w:rsidRPr="00A97A55">
        <w:trPr>
          <w:trHeight w:val="1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jc w:val="center"/>
              <w:rPr>
                <w:sz w:val="28"/>
                <w:szCs w:val="28"/>
              </w:rPr>
            </w:pPr>
            <w:r w:rsidRPr="00A9104B">
              <w:rPr>
                <w:sz w:val="28"/>
                <w:szCs w:val="28"/>
              </w:rPr>
              <w:t>A</w:t>
            </w:r>
          </w:p>
        </w:tc>
        <w:tc>
          <w:tcPr>
            <w:tcW w:w="1780" w:type="dxa"/>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jc w:val="center"/>
              <w:rPr>
                <w:sz w:val="28"/>
                <w:szCs w:val="28"/>
              </w:rPr>
            </w:pPr>
            <w:r w:rsidRPr="00A9104B">
              <w:rPr>
                <w:sz w:val="28"/>
                <w:szCs w:val="28"/>
              </w:rPr>
              <w:t>B</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jc w:val="center"/>
              <w:rPr>
                <w:sz w:val="28"/>
                <w:szCs w:val="28"/>
              </w:rPr>
            </w:pPr>
            <w:r w:rsidRPr="00A9104B">
              <w:rPr>
                <w:sz w:val="28"/>
                <w:szCs w:val="28"/>
              </w:rPr>
              <w:t>C</w:t>
            </w:r>
          </w:p>
        </w:tc>
        <w:tc>
          <w:tcPr>
            <w:tcW w:w="2740" w:type="dxa"/>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jc w:val="center"/>
              <w:rPr>
                <w:sz w:val="28"/>
                <w:szCs w:val="28"/>
              </w:rPr>
            </w:pPr>
            <w:r w:rsidRPr="00A9104B">
              <w:rPr>
                <w:sz w:val="28"/>
                <w:szCs w:val="28"/>
              </w:rPr>
              <w:t>D</w:t>
            </w:r>
          </w:p>
        </w:tc>
      </w:tr>
      <w:tr w:rsidR="00B542F3" w:rsidRPr="00A97A55" w:rsidTr="003E05A3">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B542F3" w:rsidRDefault="00B542F3" w:rsidP="00785732">
            <w:pPr>
              <w:jc w:val="center"/>
              <w:rPr>
                <w:sz w:val="28"/>
                <w:szCs w:val="28"/>
              </w:rPr>
            </w:pPr>
            <w:r>
              <w:rPr>
                <w:sz w:val="28"/>
                <w:szCs w:val="28"/>
              </w:rPr>
              <w:t>Regulas 528/2012 3.panta 1.a) punkts</w:t>
            </w:r>
          </w:p>
        </w:tc>
        <w:tc>
          <w:tcPr>
            <w:tcW w:w="1780" w:type="dxa"/>
            <w:tcBorders>
              <w:top w:val="outset" w:sz="6" w:space="0" w:color="auto"/>
              <w:left w:val="outset" w:sz="6" w:space="0" w:color="auto"/>
              <w:bottom w:val="outset" w:sz="6" w:space="0" w:color="auto"/>
              <w:right w:val="outset" w:sz="6" w:space="0" w:color="auto"/>
            </w:tcBorders>
            <w:vAlign w:val="center"/>
          </w:tcPr>
          <w:p w:rsidR="00B542F3" w:rsidRDefault="00B542F3" w:rsidP="00785732">
            <w:pPr>
              <w:jc w:val="center"/>
              <w:rPr>
                <w:sz w:val="28"/>
                <w:szCs w:val="28"/>
              </w:rPr>
            </w:pPr>
            <w:r>
              <w:rPr>
                <w:sz w:val="28"/>
                <w:szCs w:val="28"/>
              </w:rPr>
              <w:t>Likumprojekta 1.panta pirmā daļa</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B542F3" w:rsidRPr="00A9104B" w:rsidRDefault="00B542F3" w:rsidP="003E05A3">
            <w:pPr>
              <w:jc w:val="center"/>
              <w:rPr>
                <w:sz w:val="28"/>
                <w:szCs w:val="28"/>
              </w:rPr>
            </w:pPr>
          </w:p>
        </w:tc>
        <w:tc>
          <w:tcPr>
            <w:tcW w:w="2740" w:type="dxa"/>
            <w:tcBorders>
              <w:top w:val="outset" w:sz="6" w:space="0" w:color="auto"/>
              <w:left w:val="outset" w:sz="6" w:space="0" w:color="auto"/>
              <w:bottom w:val="outset" w:sz="6" w:space="0" w:color="auto"/>
              <w:right w:val="outset" w:sz="6" w:space="0" w:color="auto"/>
            </w:tcBorders>
            <w:vAlign w:val="center"/>
          </w:tcPr>
          <w:p w:rsidR="00B542F3" w:rsidRPr="00A9104B" w:rsidRDefault="00B542F3" w:rsidP="003E05A3">
            <w:pPr>
              <w:jc w:val="center"/>
              <w:rPr>
                <w:sz w:val="28"/>
                <w:szCs w:val="28"/>
              </w:rPr>
            </w:pPr>
          </w:p>
        </w:tc>
      </w:tr>
      <w:tr w:rsidR="00B542F3" w:rsidRPr="00A97A55" w:rsidTr="003E05A3">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B542F3" w:rsidRPr="00A9104B" w:rsidRDefault="00B542F3" w:rsidP="00785732">
            <w:pPr>
              <w:jc w:val="center"/>
              <w:rPr>
                <w:sz w:val="28"/>
                <w:szCs w:val="28"/>
              </w:rPr>
            </w:pPr>
            <w:r>
              <w:rPr>
                <w:sz w:val="28"/>
                <w:szCs w:val="28"/>
              </w:rPr>
              <w:t xml:space="preserve">Regulas 528/2012 81.panta 1.un 2.punkts Regulas 649/2012 4.pants </w:t>
            </w:r>
          </w:p>
        </w:tc>
        <w:tc>
          <w:tcPr>
            <w:tcW w:w="1780" w:type="dxa"/>
            <w:tcBorders>
              <w:top w:val="outset" w:sz="6" w:space="0" w:color="auto"/>
              <w:left w:val="outset" w:sz="6" w:space="0" w:color="auto"/>
              <w:bottom w:val="outset" w:sz="6" w:space="0" w:color="auto"/>
              <w:right w:val="outset" w:sz="6" w:space="0" w:color="auto"/>
            </w:tcBorders>
            <w:vAlign w:val="center"/>
          </w:tcPr>
          <w:p w:rsidR="00B542F3" w:rsidRPr="00A9104B" w:rsidRDefault="00B542F3" w:rsidP="00785732">
            <w:pPr>
              <w:jc w:val="center"/>
              <w:rPr>
                <w:sz w:val="28"/>
                <w:szCs w:val="28"/>
              </w:rPr>
            </w:pPr>
            <w:r>
              <w:rPr>
                <w:sz w:val="28"/>
                <w:szCs w:val="28"/>
              </w:rPr>
              <w:t>Likumprojekta 3.pants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B542F3" w:rsidRPr="00A9104B" w:rsidRDefault="00B542F3" w:rsidP="003E05A3">
            <w:pPr>
              <w:jc w:val="center"/>
              <w:rPr>
                <w:sz w:val="28"/>
                <w:szCs w:val="28"/>
              </w:rPr>
            </w:pPr>
            <w:r w:rsidRPr="00A9104B">
              <w:rPr>
                <w:sz w:val="28"/>
                <w:szCs w:val="28"/>
              </w:rPr>
              <w:t>Pilnībā pārņemta</w:t>
            </w:r>
          </w:p>
        </w:tc>
        <w:tc>
          <w:tcPr>
            <w:tcW w:w="2740" w:type="dxa"/>
            <w:tcBorders>
              <w:top w:val="outset" w:sz="6" w:space="0" w:color="auto"/>
              <w:left w:val="outset" w:sz="6" w:space="0" w:color="auto"/>
              <w:bottom w:val="outset" w:sz="6" w:space="0" w:color="auto"/>
              <w:right w:val="outset" w:sz="6" w:space="0" w:color="auto"/>
            </w:tcBorders>
            <w:vAlign w:val="center"/>
          </w:tcPr>
          <w:p w:rsidR="00B542F3" w:rsidRPr="00A9104B" w:rsidRDefault="00B542F3" w:rsidP="003E05A3">
            <w:pPr>
              <w:jc w:val="center"/>
              <w:rPr>
                <w:sz w:val="28"/>
                <w:szCs w:val="28"/>
              </w:rPr>
            </w:pPr>
            <w:r w:rsidRPr="00A9104B">
              <w:rPr>
                <w:sz w:val="28"/>
                <w:szCs w:val="28"/>
              </w:rPr>
              <w:t>Nav attiecināms</w:t>
            </w:r>
          </w:p>
        </w:tc>
      </w:tr>
      <w:tr w:rsidR="003F7617" w:rsidRPr="00A97A55" w:rsidTr="00BE0035">
        <w:trPr>
          <w:trHeight w:val="579"/>
          <w:tblCellSpacing w:w="0" w:type="dxa"/>
        </w:trPr>
        <w:tc>
          <w:tcPr>
            <w:tcW w:w="4215" w:type="dxa"/>
            <w:gridSpan w:val="3"/>
            <w:tcBorders>
              <w:top w:val="outset" w:sz="6" w:space="0" w:color="auto"/>
              <w:left w:val="outset" w:sz="6" w:space="0" w:color="auto"/>
              <w:bottom w:val="outset" w:sz="6" w:space="0" w:color="auto"/>
              <w:right w:val="outset" w:sz="6" w:space="0" w:color="auto"/>
            </w:tcBorders>
            <w:vAlign w:val="center"/>
          </w:tcPr>
          <w:p w:rsidR="003F7617" w:rsidRPr="00A9104B" w:rsidRDefault="009D54D6" w:rsidP="009D54D6">
            <w:pPr>
              <w:ind w:left="120" w:right="105"/>
              <w:jc w:val="both"/>
              <w:rPr>
                <w:sz w:val="28"/>
                <w:szCs w:val="28"/>
              </w:rPr>
            </w:pPr>
            <w:r w:rsidRPr="00A9104B">
              <w:rPr>
                <w:sz w:val="28"/>
                <w:szCs w:val="28"/>
              </w:rPr>
              <w:t xml:space="preserve">Kā ir izmantota ES tiesību aktā </w:t>
            </w:r>
            <w:r w:rsidR="003F7617" w:rsidRPr="00A9104B">
              <w:rPr>
                <w:sz w:val="28"/>
                <w:szCs w:val="28"/>
              </w:rPr>
              <w:t>paredzētā rīcības brīvība dalībvalstij pārņemt vai ieviest noteiktas ES tiesību akta normas.</w:t>
            </w:r>
          </w:p>
          <w:p w:rsidR="003F7617" w:rsidRPr="00A9104B" w:rsidRDefault="003F7617" w:rsidP="009D54D6">
            <w:pPr>
              <w:ind w:left="120" w:right="105"/>
              <w:jc w:val="both"/>
              <w:rPr>
                <w:sz w:val="28"/>
                <w:szCs w:val="28"/>
              </w:rPr>
            </w:pPr>
            <w:r w:rsidRPr="00A9104B">
              <w:rPr>
                <w:sz w:val="28"/>
                <w:szCs w:val="28"/>
              </w:rPr>
              <w:t>Kādēļ?</w:t>
            </w:r>
          </w:p>
        </w:tc>
        <w:tc>
          <w:tcPr>
            <w:tcW w:w="4886" w:type="dxa"/>
            <w:gridSpan w:val="2"/>
            <w:tcBorders>
              <w:top w:val="outset" w:sz="6" w:space="0" w:color="auto"/>
              <w:left w:val="outset" w:sz="6" w:space="0" w:color="auto"/>
              <w:bottom w:val="outset" w:sz="6" w:space="0" w:color="auto"/>
              <w:right w:val="outset" w:sz="6" w:space="0" w:color="auto"/>
            </w:tcBorders>
            <w:shd w:val="clear" w:color="auto" w:fill="auto"/>
          </w:tcPr>
          <w:p w:rsidR="003F7617" w:rsidRPr="00A9104B" w:rsidRDefault="003F7617" w:rsidP="009D54D6">
            <w:pPr>
              <w:ind w:left="105"/>
              <w:jc w:val="both"/>
              <w:rPr>
                <w:sz w:val="28"/>
                <w:szCs w:val="28"/>
              </w:rPr>
            </w:pPr>
            <w:r w:rsidRPr="00A9104B">
              <w:rPr>
                <w:sz w:val="28"/>
                <w:szCs w:val="28"/>
              </w:rPr>
              <w:t>Nav attiecināms.</w:t>
            </w:r>
          </w:p>
        </w:tc>
      </w:tr>
      <w:tr w:rsidR="003F7617" w:rsidRPr="00A97A55" w:rsidTr="00BE0035">
        <w:trPr>
          <w:tblCellSpacing w:w="0" w:type="dxa"/>
        </w:trPr>
        <w:tc>
          <w:tcPr>
            <w:tcW w:w="4215" w:type="dxa"/>
            <w:gridSpan w:val="3"/>
            <w:tcBorders>
              <w:top w:val="outset" w:sz="6" w:space="0" w:color="auto"/>
              <w:left w:val="outset" w:sz="6" w:space="0" w:color="auto"/>
              <w:bottom w:val="outset" w:sz="6" w:space="0" w:color="auto"/>
              <w:right w:val="outset" w:sz="6" w:space="0" w:color="auto"/>
            </w:tcBorders>
          </w:tcPr>
          <w:p w:rsidR="003F7617" w:rsidRPr="00A9104B" w:rsidRDefault="003F7617" w:rsidP="009D54D6">
            <w:pPr>
              <w:ind w:left="120" w:right="105"/>
              <w:jc w:val="both"/>
              <w:rPr>
                <w:sz w:val="28"/>
                <w:szCs w:val="28"/>
              </w:rPr>
            </w:pPr>
            <w:r w:rsidRPr="00A9104B">
              <w:rPr>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86" w:type="dxa"/>
            <w:gridSpan w:val="2"/>
            <w:tcBorders>
              <w:top w:val="outset" w:sz="6" w:space="0" w:color="auto"/>
              <w:left w:val="outset" w:sz="6" w:space="0" w:color="auto"/>
              <w:bottom w:val="outset" w:sz="6" w:space="0" w:color="auto"/>
              <w:right w:val="outset" w:sz="6" w:space="0" w:color="auto"/>
            </w:tcBorders>
          </w:tcPr>
          <w:p w:rsidR="003F7617" w:rsidRPr="00A9104B" w:rsidRDefault="003F7617" w:rsidP="009D54D6">
            <w:pPr>
              <w:ind w:left="105"/>
              <w:jc w:val="both"/>
              <w:rPr>
                <w:sz w:val="28"/>
                <w:szCs w:val="28"/>
              </w:rPr>
            </w:pPr>
            <w:r w:rsidRPr="00A9104B">
              <w:rPr>
                <w:sz w:val="28"/>
                <w:szCs w:val="28"/>
              </w:rPr>
              <w:t>Nav attiecināms.</w:t>
            </w:r>
          </w:p>
        </w:tc>
      </w:tr>
      <w:tr w:rsidR="003F7617" w:rsidRPr="00A97A55" w:rsidTr="00BE0035">
        <w:trPr>
          <w:tblCellSpacing w:w="0" w:type="dxa"/>
        </w:trPr>
        <w:tc>
          <w:tcPr>
            <w:tcW w:w="4215" w:type="dxa"/>
            <w:gridSpan w:val="3"/>
            <w:tcBorders>
              <w:top w:val="outset" w:sz="6" w:space="0" w:color="auto"/>
              <w:left w:val="outset" w:sz="6" w:space="0" w:color="auto"/>
              <w:bottom w:val="outset" w:sz="6" w:space="0" w:color="auto"/>
              <w:right w:val="outset" w:sz="6" w:space="0" w:color="auto"/>
            </w:tcBorders>
            <w:vAlign w:val="center"/>
          </w:tcPr>
          <w:p w:rsidR="003F7617" w:rsidRPr="00A9104B" w:rsidRDefault="003F7617" w:rsidP="009D54D6">
            <w:pPr>
              <w:ind w:left="120" w:right="105"/>
              <w:jc w:val="both"/>
              <w:rPr>
                <w:sz w:val="28"/>
                <w:szCs w:val="28"/>
              </w:rPr>
            </w:pPr>
            <w:r w:rsidRPr="00A9104B">
              <w:rPr>
                <w:sz w:val="28"/>
                <w:szCs w:val="28"/>
              </w:rPr>
              <w:t>Cita informācija</w:t>
            </w:r>
          </w:p>
          <w:p w:rsidR="003F7617" w:rsidRPr="00A9104B" w:rsidRDefault="003F7617" w:rsidP="009D54D6">
            <w:pPr>
              <w:ind w:left="120" w:right="105"/>
              <w:jc w:val="both"/>
              <w:rPr>
                <w:sz w:val="28"/>
                <w:szCs w:val="28"/>
              </w:rPr>
            </w:pPr>
          </w:p>
        </w:tc>
        <w:tc>
          <w:tcPr>
            <w:tcW w:w="4886" w:type="dxa"/>
            <w:gridSpan w:val="2"/>
            <w:tcBorders>
              <w:top w:val="outset" w:sz="6" w:space="0" w:color="auto"/>
              <w:left w:val="outset" w:sz="6" w:space="0" w:color="auto"/>
              <w:bottom w:val="outset" w:sz="6" w:space="0" w:color="auto"/>
              <w:right w:val="outset" w:sz="6" w:space="0" w:color="auto"/>
            </w:tcBorders>
            <w:vAlign w:val="center"/>
          </w:tcPr>
          <w:p w:rsidR="003F7617" w:rsidRPr="00A9104B" w:rsidRDefault="003F7617" w:rsidP="009D54D6">
            <w:pPr>
              <w:pStyle w:val="naisf"/>
              <w:spacing w:before="0" w:after="0"/>
              <w:ind w:firstLine="0"/>
              <w:rPr>
                <w:sz w:val="28"/>
                <w:szCs w:val="28"/>
              </w:rPr>
            </w:pPr>
          </w:p>
        </w:tc>
      </w:tr>
    </w:tbl>
    <w:p w:rsidR="00B05A4C" w:rsidRPr="00A97A55" w:rsidRDefault="00B05A4C" w:rsidP="00BE0035">
      <w:pPr>
        <w:pStyle w:val="naisf"/>
        <w:spacing w:before="0" w:after="0"/>
        <w:ind w:firstLine="0"/>
        <w:jc w:val="center"/>
        <w:rPr>
          <w:b/>
        </w:rPr>
      </w:pPr>
    </w:p>
    <w:p w:rsidR="00FC3D03" w:rsidRPr="00A9104B" w:rsidRDefault="00FC3D03" w:rsidP="00FC3D03">
      <w:pPr>
        <w:jc w:val="center"/>
        <w:rPr>
          <w:b/>
          <w:bCs/>
          <w:sz w:val="28"/>
          <w:szCs w:val="28"/>
        </w:rPr>
      </w:pPr>
      <w:r w:rsidRPr="00A9104B">
        <w:rPr>
          <w:b/>
          <w:sz w:val="28"/>
          <w:szCs w:val="28"/>
        </w:rPr>
        <w:t>Anotācijas V sadaļas 2.tabula</w:t>
      </w:r>
      <w:r w:rsidRPr="00A9104B">
        <w:rPr>
          <w:b/>
          <w:bCs/>
          <w:sz w:val="28"/>
          <w:szCs w:val="28"/>
        </w:rPr>
        <w:t xml:space="preserve"> – projekts šo jomu neskar.</w:t>
      </w:r>
    </w:p>
    <w:p w:rsidR="00FC3D03" w:rsidRPr="00A97A55" w:rsidRDefault="00FC3D03" w:rsidP="00BE0035">
      <w:pPr>
        <w:pStyle w:val="naisf"/>
        <w:spacing w:before="0" w:after="0"/>
        <w:ind w:firstLine="0"/>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857"/>
        <w:gridCol w:w="4741"/>
      </w:tblGrid>
      <w:tr w:rsidR="00B05A4C" w:rsidRPr="00A97A55">
        <w:trPr>
          <w:tblCellSpacing w:w="0" w:type="dxa"/>
        </w:trPr>
        <w:tc>
          <w:tcPr>
            <w:tcW w:w="10410" w:type="dxa"/>
            <w:gridSpan w:val="3"/>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c"/>
              <w:rPr>
                <w:sz w:val="28"/>
                <w:szCs w:val="28"/>
              </w:rPr>
            </w:pPr>
            <w:r w:rsidRPr="00A9104B">
              <w:rPr>
                <w:b/>
                <w:bCs/>
                <w:sz w:val="28"/>
                <w:szCs w:val="28"/>
              </w:rPr>
              <w:t> VI. Sabiedrības līdzdalība un šīs līdzdalības rezultāti</w:t>
            </w:r>
          </w:p>
        </w:tc>
      </w:tr>
      <w:tr w:rsidR="00B05A4C" w:rsidRPr="00A97A55">
        <w:trPr>
          <w:trHeight w:val="553"/>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9F00D8" w:rsidP="009F00D8">
            <w:pPr>
              <w:pStyle w:val="naiskr"/>
              <w:ind w:left="66" w:right="71"/>
              <w:jc w:val="both"/>
              <w:rPr>
                <w:sz w:val="28"/>
                <w:szCs w:val="28"/>
              </w:rPr>
            </w:pPr>
            <w:r w:rsidRPr="00A9104B">
              <w:rPr>
                <w:sz w:val="28"/>
                <w:szCs w:val="28"/>
              </w:rPr>
              <w:t xml:space="preserve">Komentāru sniegšanai noteikumu projekts </w:t>
            </w:r>
            <w:r w:rsidR="00B05A4C" w:rsidRPr="00A9104B">
              <w:rPr>
                <w:sz w:val="28"/>
                <w:szCs w:val="28"/>
              </w:rPr>
              <w:t xml:space="preserve">ievietots Vides aizsardzības un reģionālās attīstības ministrijas </w:t>
            </w:r>
            <w:r w:rsidRPr="00A9104B">
              <w:rPr>
                <w:sz w:val="28"/>
                <w:szCs w:val="28"/>
              </w:rPr>
              <w:t>tīmekļa vietnē</w:t>
            </w:r>
            <w:r w:rsidR="00B05A4C" w:rsidRPr="00A9104B">
              <w:rPr>
                <w:sz w:val="28"/>
                <w:szCs w:val="28"/>
              </w:rPr>
              <w:t xml:space="preserve"> </w:t>
            </w:r>
            <w:hyperlink r:id="rId9" w:history="1">
              <w:r w:rsidR="00924597" w:rsidRPr="00A9104B">
                <w:rPr>
                  <w:rStyle w:val="Hyperlink"/>
                  <w:sz w:val="28"/>
                  <w:szCs w:val="28"/>
                </w:rPr>
                <w:t>www.varam.gov.lv</w:t>
              </w:r>
            </w:hyperlink>
            <w:r w:rsidRPr="00A9104B">
              <w:rPr>
                <w:sz w:val="28"/>
                <w:szCs w:val="28"/>
              </w:rPr>
              <w:t>,</w:t>
            </w:r>
            <w:r w:rsidR="00B05A4C" w:rsidRPr="00A9104B">
              <w:rPr>
                <w:sz w:val="28"/>
                <w:szCs w:val="28"/>
              </w:rPr>
              <w:t xml:space="preserve"> </w:t>
            </w:r>
            <w:r w:rsidRPr="00A9104B">
              <w:rPr>
                <w:iCs/>
                <w:sz w:val="28"/>
                <w:szCs w:val="28"/>
              </w:rPr>
              <w:t>sadaļā Normatīvo aktu projekti vides aizsardzības jomā</w:t>
            </w:r>
            <w:r w:rsidR="00B05A4C" w:rsidRPr="00A9104B">
              <w:rPr>
                <w:sz w:val="28"/>
                <w:szCs w:val="28"/>
              </w:rPr>
              <w:t>.</w:t>
            </w:r>
          </w:p>
        </w:tc>
      </w:tr>
      <w:tr w:rsidR="00B05A4C" w:rsidRPr="00A97A55">
        <w:trPr>
          <w:trHeight w:val="339"/>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Sabiedrības līdzdalība projekta izstrādē</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66" w:right="71"/>
              <w:rPr>
                <w:sz w:val="28"/>
                <w:szCs w:val="28"/>
              </w:rPr>
            </w:pPr>
            <w:r w:rsidRPr="00A9104B">
              <w:rPr>
                <w:sz w:val="28"/>
                <w:szCs w:val="28"/>
              </w:rPr>
              <w:t>Nav attiecināms.</w:t>
            </w:r>
          </w:p>
        </w:tc>
      </w:tr>
      <w:tr w:rsidR="00B05A4C" w:rsidRPr="00A97A55">
        <w:trPr>
          <w:trHeight w:val="375"/>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Sabiedrības līdzdalības rezultāti</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66" w:right="71"/>
              <w:rPr>
                <w:sz w:val="28"/>
                <w:szCs w:val="28"/>
              </w:rPr>
            </w:pPr>
            <w:r w:rsidRPr="00A9104B">
              <w:rPr>
                <w:sz w:val="28"/>
                <w:szCs w:val="28"/>
              </w:rPr>
              <w:t>Nav attiecināms.</w:t>
            </w:r>
          </w:p>
        </w:tc>
      </w:tr>
      <w:tr w:rsidR="00B05A4C" w:rsidRPr="00A97A55">
        <w:trPr>
          <w:trHeight w:val="397"/>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Saeimas un ekspertu līdzdalība</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66" w:right="71"/>
              <w:rPr>
                <w:sz w:val="28"/>
                <w:szCs w:val="28"/>
              </w:rPr>
            </w:pPr>
            <w:r w:rsidRPr="00A9104B">
              <w:rPr>
                <w:sz w:val="28"/>
                <w:szCs w:val="28"/>
              </w:rPr>
              <w:t>Nav attiecināms.</w:t>
            </w:r>
          </w:p>
        </w:tc>
      </w:tr>
      <w:tr w:rsidR="00B05A4C" w:rsidRPr="00A97A55" w:rsidTr="00BE0035">
        <w:trPr>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Cita informācija</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66" w:right="71"/>
              <w:rPr>
                <w:sz w:val="28"/>
                <w:szCs w:val="28"/>
              </w:rPr>
            </w:pPr>
            <w:r w:rsidRPr="00A9104B">
              <w:rPr>
                <w:sz w:val="28"/>
                <w:szCs w:val="28"/>
              </w:rPr>
              <w:t>Nav.</w:t>
            </w:r>
          </w:p>
        </w:tc>
      </w:tr>
    </w:tbl>
    <w:p w:rsidR="00B05A4C" w:rsidRPr="00A97A55" w:rsidRDefault="00B05A4C" w:rsidP="00B05A4C">
      <w:pPr>
        <w:pStyle w:val="naisf"/>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5"/>
        <w:gridCol w:w="3940"/>
        <w:gridCol w:w="4656"/>
      </w:tblGrid>
      <w:tr w:rsidR="00B05A4C" w:rsidRPr="00A97A55">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c"/>
              <w:rPr>
                <w:sz w:val="28"/>
                <w:szCs w:val="28"/>
              </w:rPr>
            </w:pPr>
            <w:r w:rsidRPr="00A9104B">
              <w:rPr>
                <w:b/>
                <w:bCs/>
                <w:sz w:val="28"/>
                <w:szCs w:val="28"/>
              </w:rPr>
              <w:t> VII. Tiesību akta projekta izpildes nodrošināšana un tās ietekme uz institūcijām</w:t>
            </w:r>
          </w:p>
        </w:tc>
      </w:tr>
      <w:tr w:rsidR="00B05A4C" w:rsidRPr="00A97A55">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0E449E">
            <w:pPr>
              <w:pStyle w:val="naiskr"/>
              <w:ind w:left="126" w:right="71"/>
              <w:jc w:val="both"/>
              <w:rPr>
                <w:sz w:val="28"/>
                <w:szCs w:val="28"/>
              </w:rPr>
            </w:pPr>
            <w:r w:rsidRPr="00A9104B">
              <w:rPr>
                <w:sz w:val="28"/>
                <w:szCs w:val="28"/>
              </w:rPr>
              <w:t>Vides aizsardzības un reģionālās attīstības ministrija, centrs</w:t>
            </w:r>
            <w:r w:rsidR="000E449E">
              <w:rPr>
                <w:sz w:val="28"/>
                <w:szCs w:val="28"/>
              </w:rPr>
              <w:t>, Pārtikas un veterinārais dienests, Zemkopības ministrija, Patērētāju tiesību aizsardzības centrs, Ekonomikas ministrija.</w:t>
            </w:r>
          </w:p>
        </w:tc>
      </w:tr>
      <w:tr w:rsidR="00B05A4C" w:rsidRPr="00A97A55">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B05A4C" w:rsidRPr="00954076" w:rsidRDefault="000E449E" w:rsidP="00A306FF">
            <w:pPr>
              <w:pStyle w:val="naiskr"/>
              <w:ind w:left="126" w:right="71"/>
              <w:jc w:val="both"/>
              <w:rPr>
                <w:sz w:val="28"/>
                <w:szCs w:val="28"/>
              </w:rPr>
            </w:pPr>
            <w:r w:rsidRPr="00954076">
              <w:rPr>
                <w:sz w:val="28"/>
                <w:szCs w:val="28"/>
              </w:rPr>
              <w:t xml:space="preserve">Pārtikas un veterinārā dienesta funkcijas tiek paplašinātas attiecībā uz </w:t>
            </w:r>
            <w:r w:rsidR="0000035E" w:rsidRPr="00954076">
              <w:rPr>
                <w:sz w:val="28"/>
                <w:szCs w:val="28"/>
              </w:rPr>
              <w:t>apstrādātu izstrādājumu kontroli pārtikas</w:t>
            </w:r>
            <w:r w:rsidR="00796EC3" w:rsidRPr="00954076">
              <w:rPr>
                <w:sz w:val="28"/>
                <w:szCs w:val="28"/>
              </w:rPr>
              <w:t xml:space="preserve"> </w:t>
            </w:r>
            <w:r w:rsidR="00A306FF" w:rsidRPr="00954076">
              <w:rPr>
                <w:sz w:val="28"/>
                <w:szCs w:val="28"/>
              </w:rPr>
              <w:t xml:space="preserve">aprites </w:t>
            </w:r>
            <w:r w:rsidR="0000035E" w:rsidRPr="00954076">
              <w:rPr>
                <w:sz w:val="28"/>
                <w:szCs w:val="28"/>
              </w:rPr>
              <w:t xml:space="preserve">jomā un </w:t>
            </w:r>
            <w:r w:rsidRPr="00954076">
              <w:rPr>
                <w:sz w:val="28"/>
                <w:szCs w:val="28"/>
              </w:rPr>
              <w:t xml:space="preserve">biocīdu un apstrādātu izstrādājumu kontroli </w:t>
            </w:r>
            <w:r w:rsidRPr="00954076">
              <w:rPr>
                <w:sz w:val="28"/>
                <w:szCs w:val="28"/>
              </w:rPr>
              <w:lastRenderedPageBreak/>
              <w:t>veterinār</w:t>
            </w:r>
            <w:r w:rsidR="00796EC3" w:rsidRPr="00954076">
              <w:rPr>
                <w:sz w:val="28"/>
                <w:szCs w:val="28"/>
              </w:rPr>
              <w:t>aj</w:t>
            </w:r>
            <w:r w:rsidRPr="00954076">
              <w:rPr>
                <w:sz w:val="28"/>
                <w:szCs w:val="28"/>
              </w:rPr>
              <w:t>ā jomā.</w:t>
            </w:r>
          </w:p>
          <w:p w:rsidR="00C54630" w:rsidRPr="00B13AE0" w:rsidRDefault="00C54630" w:rsidP="00C54630">
            <w:pPr>
              <w:pStyle w:val="naiskr"/>
              <w:ind w:left="126" w:right="71"/>
              <w:jc w:val="both"/>
              <w:rPr>
                <w:sz w:val="28"/>
                <w:szCs w:val="28"/>
              </w:rPr>
            </w:pPr>
            <w:r w:rsidRPr="00B13AE0">
              <w:rPr>
                <w:sz w:val="28"/>
                <w:szCs w:val="28"/>
              </w:rPr>
              <w:t>Patērētāju tiesību aizsardzības centra funkcijas tiek paplašinātas attiecībā uz ar biocīdiem apstrādātu izstrādājumu uzraudzību.</w:t>
            </w:r>
          </w:p>
        </w:tc>
      </w:tr>
      <w:tr w:rsidR="00B05A4C" w:rsidRPr="00A97A55">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lastRenderedPageBreak/>
              <w:t> 3.</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izpildes ietekme uz pārvaldes institucionālo struktūru.</w:t>
            </w:r>
          </w:p>
          <w:p w:rsidR="00B05A4C" w:rsidRPr="00A9104B" w:rsidRDefault="00B05A4C" w:rsidP="009D54D6">
            <w:pPr>
              <w:pStyle w:val="naiskr"/>
              <w:ind w:left="97" w:right="78"/>
              <w:jc w:val="both"/>
              <w:rPr>
                <w:sz w:val="28"/>
                <w:szCs w:val="28"/>
              </w:rPr>
            </w:pPr>
            <w:r w:rsidRPr="00A9104B">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rPr>
                <w:sz w:val="28"/>
                <w:szCs w:val="28"/>
              </w:rPr>
            </w:pPr>
            <w:r w:rsidRPr="00A9104B">
              <w:rPr>
                <w:sz w:val="28"/>
                <w:szCs w:val="28"/>
              </w:rPr>
              <w:t>Noteikumu izpildei nav nepieciešams radīt jaunas institūcijas.</w:t>
            </w:r>
          </w:p>
        </w:tc>
      </w:tr>
      <w:tr w:rsidR="00B05A4C" w:rsidRPr="00A97A55">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izpildes ietekme uz pārvaldes institucionālo struktūru.</w:t>
            </w:r>
          </w:p>
          <w:p w:rsidR="00B05A4C" w:rsidRPr="00A9104B" w:rsidRDefault="00B05A4C" w:rsidP="009D54D6">
            <w:pPr>
              <w:pStyle w:val="naiskr"/>
              <w:ind w:left="97" w:right="78"/>
              <w:jc w:val="both"/>
              <w:rPr>
                <w:sz w:val="28"/>
                <w:szCs w:val="28"/>
              </w:rPr>
            </w:pPr>
            <w:r w:rsidRPr="00A9104B">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rPr>
                <w:sz w:val="28"/>
                <w:szCs w:val="28"/>
              </w:rPr>
            </w:pPr>
            <w:r w:rsidRPr="00A9104B">
              <w:rPr>
                <w:sz w:val="28"/>
                <w:szCs w:val="28"/>
              </w:rPr>
              <w:t>Noteikumu izpildei nav nepieciešams likvidēt esošās institūcijas.</w:t>
            </w:r>
          </w:p>
        </w:tc>
      </w:tr>
      <w:tr w:rsidR="00B05A4C" w:rsidRPr="00A97A55">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izpildes ietekme uz pārvaldes institucionālo struktūru.</w:t>
            </w:r>
          </w:p>
          <w:p w:rsidR="00B05A4C" w:rsidRPr="00A9104B" w:rsidRDefault="00B05A4C" w:rsidP="009D54D6">
            <w:pPr>
              <w:pStyle w:val="naiskr"/>
              <w:ind w:left="97" w:right="78"/>
              <w:jc w:val="both"/>
              <w:rPr>
                <w:sz w:val="28"/>
                <w:szCs w:val="28"/>
              </w:rPr>
            </w:pPr>
            <w:r w:rsidRPr="00A9104B">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rPr>
                <w:sz w:val="28"/>
                <w:szCs w:val="28"/>
              </w:rPr>
            </w:pPr>
            <w:r w:rsidRPr="00A9104B">
              <w:rPr>
                <w:sz w:val="28"/>
                <w:szCs w:val="28"/>
              </w:rPr>
              <w:t>Noteikumu izpildei nav nepieciešams reorganizēt esošās institūcijas.</w:t>
            </w:r>
          </w:p>
        </w:tc>
      </w:tr>
      <w:tr w:rsidR="00B05A4C" w:rsidRPr="00A97A55">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rPr>
                <w:sz w:val="28"/>
                <w:szCs w:val="28"/>
              </w:rPr>
            </w:pPr>
            <w:r w:rsidRPr="00A9104B">
              <w:rPr>
                <w:sz w:val="28"/>
                <w:szCs w:val="28"/>
              </w:rPr>
              <w:t>Nav.</w:t>
            </w:r>
          </w:p>
        </w:tc>
      </w:tr>
    </w:tbl>
    <w:p w:rsidR="00B05A4C" w:rsidRPr="00C66F91" w:rsidRDefault="00B05A4C" w:rsidP="00C66F91">
      <w:pPr>
        <w:pStyle w:val="naisf"/>
        <w:ind w:firstLine="0"/>
      </w:pPr>
    </w:p>
    <w:p w:rsidR="00C46ED6" w:rsidRPr="00A9104B" w:rsidRDefault="00C46ED6" w:rsidP="00C46ED6">
      <w:pPr>
        <w:spacing w:after="120"/>
        <w:ind w:left="720"/>
        <w:rPr>
          <w:b/>
          <w:sz w:val="28"/>
          <w:szCs w:val="28"/>
        </w:rPr>
      </w:pPr>
      <w:r w:rsidRPr="00A9104B">
        <w:rPr>
          <w:b/>
          <w:sz w:val="28"/>
          <w:szCs w:val="28"/>
        </w:rPr>
        <w:t>Iesniedzējs:</w:t>
      </w:r>
    </w:p>
    <w:p w:rsidR="00C46ED6" w:rsidRPr="00A9104B" w:rsidRDefault="00C46ED6" w:rsidP="007516C4">
      <w:pPr>
        <w:ind w:left="720"/>
        <w:rPr>
          <w:sz w:val="28"/>
          <w:szCs w:val="28"/>
        </w:rPr>
      </w:pPr>
      <w:r w:rsidRPr="00A9104B">
        <w:rPr>
          <w:sz w:val="28"/>
          <w:szCs w:val="28"/>
        </w:rPr>
        <w:t xml:space="preserve">Vides aizsardzības un </w:t>
      </w:r>
    </w:p>
    <w:p w:rsidR="00C46ED6" w:rsidRPr="00A9104B" w:rsidRDefault="00C46ED6" w:rsidP="007516C4">
      <w:pPr>
        <w:ind w:left="720"/>
        <w:rPr>
          <w:sz w:val="28"/>
          <w:szCs w:val="28"/>
        </w:rPr>
      </w:pPr>
      <w:r w:rsidRPr="00A9104B">
        <w:rPr>
          <w:sz w:val="28"/>
          <w:szCs w:val="28"/>
        </w:rPr>
        <w:t>reģi</w:t>
      </w:r>
      <w:r w:rsidR="007516C4">
        <w:rPr>
          <w:sz w:val="28"/>
          <w:szCs w:val="28"/>
        </w:rPr>
        <w:t>onālās attīstības ministrs</w:t>
      </w:r>
      <w:r w:rsidR="007516C4">
        <w:rPr>
          <w:sz w:val="28"/>
          <w:szCs w:val="28"/>
        </w:rPr>
        <w:tab/>
      </w:r>
      <w:r w:rsidR="007516C4">
        <w:rPr>
          <w:sz w:val="28"/>
          <w:szCs w:val="28"/>
        </w:rPr>
        <w:tab/>
      </w:r>
      <w:r w:rsidR="007516C4">
        <w:rPr>
          <w:sz w:val="28"/>
          <w:szCs w:val="28"/>
        </w:rPr>
        <w:tab/>
      </w:r>
      <w:r w:rsidR="007516C4">
        <w:rPr>
          <w:sz w:val="28"/>
          <w:szCs w:val="28"/>
        </w:rPr>
        <w:tab/>
      </w:r>
      <w:r w:rsidR="007516C4">
        <w:rPr>
          <w:sz w:val="28"/>
          <w:szCs w:val="28"/>
        </w:rPr>
        <w:tab/>
      </w:r>
      <w:proofErr w:type="spellStart"/>
      <w:r w:rsidR="00474306">
        <w:rPr>
          <w:sz w:val="28"/>
          <w:szCs w:val="28"/>
        </w:rPr>
        <w:t>R.Naudiņš</w:t>
      </w:r>
      <w:proofErr w:type="spellEnd"/>
    </w:p>
    <w:p w:rsidR="007516C4" w:rsidRPr="00A9104B" w:rsidRDefault="007516C4" w:rsidP="00C46ED6">
      <w:pPr>
        <w:ind w:left="720"/>
        <w:rPr>
          <w:b/>
          <w:sz w:val="28"/>
          <w:szCs w:val="28"/>
        </w:rPr>
      </w:pPr>
    </w:p>
    <w:p w:rsidR="00C46ED6" w:rsidRPr="00A9104B" w:rsidRDefault="00C46ED6" w:rsidP="00C46ED6">
      <w:pPr>
        <w:spacing w:after="120"/>
        <w:ind w:left="720"/>
        <w:rPr>
          <w:sz w:val="28"/>
          <w:szCs w:val="28"/>
        </w:rPr>
      </w:pPr>
      <w:r w:rsidRPr="00A9104B">
        <w:rPr>
          <w:b/>
          <w:sz w:val="28"/>
          <w:szCs w:val="28"/>
        </w:rPr>
        <w:t>Vīza:</w:t>
      </w:r>
      <w:r w:rsidRPr="00A9104B">
        <w:rPr>
          <w:sz w:val="28"/>
          <w:szCs w:val="28"/>
        </w:rPr>
        <w:t xml:space="preserve"> </w:t>
      </w:r>
    </w:p>
    <w:p w:rsidR="00CE726C" w:rsidRDefault="00474306" w:rsidP="004B10D1">
      <w:pPr>
        <w:spacing w:after="120"/>
        <w:ind w:left="720"/>
        <w:rPr>
          <w:sz w:val="28"/>
          <w:szCs w:val="28"/>
        </w:rPr>
      </w:pPr>
      <w:r>
        <w:rPr>
          <w:sz w:val="28"/>
          <w:szCs w:val="28"/>
        </w:rPr>
        <w:t>valsts sekretārs</w:t>
      </w:r>
      <w:r w:rsidR="00C46ED6" w:rsidRPr="00A9104B">
        <w:rPr>
          <w:sz w:val="28"/>
          <w:szCs w:val="28"/>
        </w:rPr>
        <w:tab/>
      </w:r>
      <w:r w:rsidR="00C46ED6" w:rsidRPr="00A9104B">
        <w:rPr>
          <w:sz w:val="28"/>
          <w:szCs w:val="28"/>
        </w:rPr>
        <w:tab/>
      </w:r>
      <w:r w:rsidR="00C46ED6" w:rsidRPr="00A9104B">
        <w:rPr>
          <w:sz w:val="28"/>
          <w:szCs w:val="28"/>
        </w:rPr>
        <w:tab/>
      </w:r>
      <w:r w:rsidR="00C46ED6" w:rsidRPr="00A9104B">
        <w:rPr>
          <w:sz w:val="28"/>
          <w:szCs w:val="28"/>
        </w:rPr>
        <w:tab/>
      </w:r>
      <w:r w:rsidR="00C46ED6" w:rsidRPr="00A9104B">
        <w:rPr>
          <w:sz w:val="28"/>
          <w:szCs w:val="28"/>
        </w:rPr>
        <w:tab/>
      </w:r>
      <w:r w:rsidR="00C46ED6" w:rsidRPr="00A9104B">
        <w:rPr>
          <w:sz w:val="28"/>
          <w:szCs w:val="28"/>
        </w:rPr>
        <w:tab/>
      </w:r>
      <w:r w:rsidR="00C46ED6" w:rsidRPr="00A9104B">
        <w:rPr>
          <w:sz w:val="28"/>
          <w:szCs w:val="28"/>
        </w:rPr>
        <w:tab/>
      </w:r>
      <w:r>
        <w:rPr>
          <w:sz w:val="28"/>
          <w:szCs w:val="28"/>
        </w:rPr>
        <w:t>G.Puķītis</w:t>
      </w:r>
    </w:p>
    <w:p w:rsidR="00CE726C" w:rsidRDefault="00CE726C" w:rsidP="00B05A4C">
      <w:pPr>
        <w:pStyle w:val="BodyTextIndent"/>
        <w:tabs>
          <w:tab w:val="left" w:pos="0"/>
          <w:tab w:val="left" w:pos="1701"/>
          <w:tab w:val="left" w:pos="6521"/>
        </w:tabs>
        <w:spacing w:after="0"/>
        <w:ind w:left="0"/>
        <w:rPr>
          <w:sz w:val="28"/>
          <w:szCs w:val="28"/>
        </w:rPr>
      </w:pPr>
    </w:p>
    <w:p w:rsidR="00954076" w:rsidRDefault="00954076" w:rsidP="00B05A4C">
      <w:pPr>
        <w:pStyle w:val="BodyTextIndent"/>
        <w:tabs>
          <w:tab w:val="left" w:pos="0"/>
          <w:tab w:val="left" w:pos="1701"/>
          <w:tab w:val="left" w:pos="6521"/>
        </w:tabs>
        <w:spacing w:after="0"/>
        <w:ind w:left="0"/>
        <w:rPr>
          <w:sz w:val="28"/>
          <w:szCs w:val="28"/>
        </w:rPr>
      </w:pPr>
    </w:p>
    <w:p w:rsidR="00954076" w:rsidRDefault="00954076" w:rsidP="00B05A4C">
      <w:pPr>
        <w:pStyle w:val="BodyTextIndent"/>
        <w:tabs>
          <w:tab w:val="left" w:pos="0"/>
          <w:tab w:val="left" w:pos="1701"/>
          <w:tab w:val="left" w:pos="6521"/>
        </w:tabs>
        <w:spacing w:after="0"/>
        <w:ind w:left="0"/>
        <w:rPr>
          <w:sz w:val="28"/>
          <w:szCs w:val="28"/>
        </w:rPr>
      </w:pPr>
    </w:p>
    <w:p w:rsidR="00954076" w:rsidRDefault="00954076" w:rsidP="00B05A4C">
      <w:pPr>
        <w:pStyle w:val="BodyTextIndent"/>
        <w:tabs>
          <w:tab w:val="left" w:pos="0"/>
          <w:tab w:val="left" w:pos="1701"/>
          <w:tab w:val="left" w:pos="6521"/>
        </w:tabs>
        <w:spacing w:after="0"/>
        <w:ind w:left="0"/>
        <w:rPr>
          <w:sz w:val="28"/>
          <w:szCs w:val="28"/>
        </w:rPr>
      </w:pPr>
    </w:p>
    <w:p w:rsidR="00954076" w:rsidRPr="00A97A55" w:rsidRDefault="00954076" w:rsidP="00B05A4C">
      <w:pPr>
        <w:pStyle w:val="BodyTextIndent"/>
        <w:tabs>
          <w:tab w:val="left" w:pos="0"/>
          <w:tab w:val="left" w:pos="1701"/>
          <w:tab w:val="left" w:pos="6521"/>
        </w:tabs>
        <w:spacing w:after="0"/>
        <w:ind w:left="0"/>
        <w:rPr>
          <w:sz w:val="28"/>
          <w:szCs w:val="28"/>
        </w:rPr>
      </w:pPr>
    </w:p>
    <w:p w:rsidR="0003544C" w:rsidRPr="00A97A55" w:rsidRDefault="00F74D5A" w:rsidP="007516C4">
      <w:pPr>
        <w:pStyle w:val="BodyTextIndent"/>
        <w:tabs>
          <w:tab w:val="left" w:pos="6521"/>
        </w:tabs>
        <w:spacing w:after="0"/>
        <w:ind w:left="0"/>
      </w:pPr>
      <w:r w:rsidRPr="00A97A55">
        <w:fldChar w:fldCharType="begin"/>
      </w:r>
      <w:r w:rsidR="0003544C" w:rsidRPr="00A97A55">
        <w:instrText xml:space="preserve"> TIME \@ "dd.MM.yyyy H:mm" </w:instrText>
      </w:r>
      <w:r w:rsidRPr="00A97A55">
        <w:fldChar w:fldCharType="separate"/>
      </w:r>
      <w:r w:rsidR="00516759">
        <w:rPr>
          <w:noProof/>
        </w:rPr>
        <w:t>29.05.2014 7:17</w:t>
      </w:r>
      <w:r w:rsidRPr="00A97A55">
        <w:fldChar w:fldCharType="end"/>
      </w:r>
    </w:p>
    <w:p w:rsidR="00B05A4C" w:rsidRDefault="00973B1B" w:rsidP="007516C4">
      <w:pPr>
        <w:pStyle w:val="BodyTextIndent"/>
        <w:tabs>
          <w:tab w:val="left" w:pos="6521"/>
        </w:tabs>
        <w:spacing w:after="0"/>
        <w:ind w:left="0"/>
      </w:pPr>
      <w:r>
        <w:t>1735</w:t>
      </w:r>
    </w:p>
    <w:p w:rsidR="007516C4" w:rsidRDefault="007516C4" w:rsidP="007516C4">
      <w:pPr>
        <w:pStyle w:val="BodyTextIndent"/>
        <w:tabs>
          <w:tab w:val="left" w:pos="6521"/>
        </w:tabs>
        <w:spacing w:after="0"/>
        <w:ind w:left="0"/>
      </w:pPr>
      <w:r>
        <w:t>D.Jirgensone</w:t>
      </w:r>
    </w:p>
    <w:p w:rsidR="00E51BC8" w:rsidRDefault="009416F9" w:rsidP="007516C4">
      <w:pPr>
        <w:pStyle w:val="BodyTextIndent"/>
        <w:tabs>
          <w:tab w:val="left" w:pos="6521"/>
        </w:tabs>
        <w:spacing w:after="0"/>
        <w:ind w:left="0"/>
      </w:pPr>
      <w:r>
        <w:t xml:space="preserve">67026514, </w:t>
      </w:r>
      <w:r w:rsidR="007516C4">
        <w:t>Dagnija.Jirgensone@varam.gov.lv</w:t>
      </w:r>
    </w:p>
    <w:p w:rsidR="00E51BC8" w:rsidRPr="00E51BC8" w:rsidRDefault="00E51BC8" w:rsidP="00E51BC8"/>
    <w:p w:rsidR="00E51BC8" w:rsidRPr="00E51BC8" w:rsidRDefault="00E51BC8" w:rsidP="00E51BC8"/>
    <w:p w:rsidR="00E51BC8" w:rsidRPr="00E51BC8" w:rsidRDefault="00E51BC8" w:rsidP="00E51BC8"/>
    <w:p w:rsidR="00E51BC8" w:rsidRPr="00E51BC8" w:rsidRDefault="00E51BC8" w:rsidP="00E51BC8"/>
    <w:p w:rsidR="00E51BC8" w:rsidRPr="00E51BC8" w:rsidRDefault="00E51BC8" w:rsidP="00E51BC8">
      <w:pPr>
        <w:tabs>
          <w:tab w:val="left" w:pos="1790"/>
        </w:tabs>
      </w:pPr>
      <w:r>
        <w:tab/>
      </w:r>
    </w:p>
    <w:p w:rsidR="007516C4" w:rsidRPr="00E51BC8" w:rsidRDefault="007516C4" w:rsidP="00E51BC8">
      <w:bookmarkStart w:id="0" w:name="_GoBack"/>
      <w:bookmarkEnd w:id="0"/>
    </w:p>
    <w:sectPr w:rsidR="007516C4" w:rsidRPr="00E51BC8" w:rsidSect="00B05A4C">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43" w:rsidRDefault="00841043">
      <w:r>
        <w:separator/>
      </w:r>
    </w:p>
  </w:endnote>
  <w:endnote w:type="continuationSeparator" w:id="0">
    <w:p w:rsidR="00841043" w:rsidRDefault="00841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0" w:rsidRDefault="00EE7830">
    <w:pPr>
      <w:pStyle w:val="Footer"/>
    </w:pPr>
    <w:r>
      <w:t>VARAM</w:t>
    </w:r>
    <w:r w:rsidR="00973B1B">
      <w:t>Anot_27</w:t>
    </w:r>
    <w:r w:rsidR="00C15733">
      <w:t>0514</w:t>
    </w:r>
    <w:r>
      <w:t>; Likumprojekta „Grozījumi Ķīmisko vielu likumā”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0" w:rsidRPr="001C03B8" w:rsidRDefault="00EE7830" w:rsidP="001C03B8">
    <w:pPr>
      <w:pStyle w:val="Footer"/>
    </w:pPr>
    <w:r>
      <w:t>VARAM</w:t>
    </w:r>
    <w:r w:rsidR="00E9776A">
      <w:t>Anot_2</w:t>
    </w:r>
    <w:r w:rsidR="00973B1B">
      <w:t>7</w:t>
    </w:r>
    <w:r w:rsidR="00C15733">
      <w:t>0514</w:t>
    </w:r>
    <w:r>
      <w:t>; Likumprojekta „Grozījumi Ķīmisko vielu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43" w:rsidRDefault="00841043">
      <w:r>
        <w:separator/>
      </w:r>
    </w:p>
  </w:footnote>
  <w:footnote w:type="continuationSeparator" w:id="0">
    <w:p w:rsidR="00841043" w:rsidRDefault="00841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0" w:rsidRDefault="00F74D5A" w:rsidP="00B05A4C">
    <w:pPr>
      <w:pStyle w:val="Header"/>
      <w:framePr w:wrap="around" w:vAnchor="text" w:hAnchor="margin" w:xAlign="center" w:y="1"/>
      <w:rPr>
        <w:rStyle w:val="PageNumber"/>
      </w:rPr>
    </w:pPr>
    <w:r>
      <w:rPr>
        <w:rStyle w:val="PageNumber"/>
      </w:rPr>
      <w:fldChar w:fldCharType="begin"/>
    </w:r>
    <w:r w:rsidR="00EE7830">
      <w:rPr>
        <w:rStyle w:val="PageNumber"/>
      </w:rPr>
      <w:instrText xml:space="preserve">PAGE  </w:instrText>
    </w:r>
    <w:r>
      <w:rPr>
        <w:rStyle w:val="PageNumber"/>
      </w:rPr>
      <w:fldChar w:fldCharType="end"/>
    </w:r>
  </w:p>
  <w:p w:rsidR="00EE7830" w:rsidRDefault="00EE7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0" w:rsidRDefault="00F74D5A" w:rsidP="00B05A4C">
    <w:pPr>
      <w:pStyle w:val="Header"/>
      <w:framePr w:wrap="around" w:vAnchor="text" w:hAnchor="margin" w:xAlign="center" w:y="1"/>
      <w:rPr>
        <w:rStyle w:val="PageNumber"/>
      </w:rPr>
    </w:pPr>
    <w:r>
      <w:rPr>
        <w:rStyle w:val="PageNumber"/>
      </w:rPr>
      <w:fldChar w:fldCharType="begin"/>
    </w:r>
    <w:r w:rsidR="00EE7830">
      <w:rPr>
        <w:rStyle w:val="PageNumber"/>
      </w:rPr>
      <w:instrText xml:space="preserve">PAGE  </w:instrText>
    </w:r>
    <w:r>
      <w:rPr>
        <w:rStyle w:val="PageNumber"/>
      </w:rPr>
      <w:fldChar w:fldCharType="separate"/>
    </w:r>
    <w:r w:rsidR="00516759">
      <w:rPr>
        <w:rStyle w:val="PageNumber"/>
        <w:noProof/>
      </w:rPr>
      <w:t>9</w:t>
    </w:r>
    <w:r>
      <w:rPr>
        <w:rStyle w:val="PageNumber"/>
      </w:rPr>
      <w:fldChar w:fldCharType="end"/>
    </w:r>
  </w:p>
  <w:p w:rsidR="00EE7830" w:rsidRDefault="00EE7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C572A"/>
    <w:multiLevelType w:val="multilevel"/>
    <w:tmpl w:val="4810E832"/>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F3858FE"/>
    <w:multiLevelType w:val="multilevel"/>
    <w:tmpl w:val="A474A092"/>
    <w:lvl w:ilvl="0">
      <w:numFmt w:val="bullet"/>
      <w:lvlText w:val="-"/>
      <w:lvlJc w:val="left"/>
      <w:pPr>
        <w:ind w:left="360" w:hanging="360"/>
      </w:pPr>
      <w:rPr>
        <w:rFonts w:ascii="Times New Roman" w:eastAsia="Calibri"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B05A4C"/>
    <w:rsid w:val="0000035E"/>
    <w:rsid w:val="00000F02"/>
    <w:rsid w:val="00005CD1"/>
    <w:rsid w:val="00007A37"/>
    <w:rsid w:val="0001781D"/>
    <w:rsid w:val="0003544C"/>
    <w:rsid w:val="00043C54"/>
    <w:rsid w:val="000611CE"/>
    <w:rsid w:val="00061B3A"/>
    <w:rsid w:val="000628B7"/>
    <w:rsid w:val="00065D02"/>
    <w:rsid w:val="00066E5E"/>
    <w:rsid w:val="00071B5B"/>
    <w:rsid w:val="00081418"/>
    <w:rsid w:val="00084B31"/>
    <w:rsid w:val="000A1764"/>
    <w:rsid w:val="000A2984"/>
    <w:rsid w:val="000B2208"/>
    <w:rsid w:val="000B5C49"/>
    <w:rsid w:val="000C1B5F"/>
    <w:rsid w:val="000E449E"/>
    <w:rsid w:val="000E44B6"/>
    <w:rsid w:val="000F0105"/>
    <w:rsid w:val="000F1D08"/>
    <w:rsid w:val="00113E23"/>
    <w:rsid w:val="00124B05"/>
    <w:rsid w:val="001330E5"/>
    <w:rsid w:val="0013503C"/>
    <w:rsid w:val="00136AE1"/>
    <w:rsid w:val="001414E4"/>
    <w:rsid w:val="0014600D"/>
    <w:rsid w:val="00146B12"/>
    <w:rsid w:val="001676D7"/>
    <w:rsid w:val="00167E4C"/>
    <w:rsid w:val="0017013D"/>
    <w:rsid w:val="0017506A"/>
    <w:rsid w:val="0018113C"/>
    <w:rsid w:val="001837DA"/>
    <w:rsid w:val="00185545"/>
    <w:rsid w:val="0018635E"/>
    <w:rsid w:val="00190D2A"/>
    <w:rsid w:val="001A7C6C"/>
    <w:rsid w:val="001B364E"/>
    <w:rsid w:val="001C03B8"/>
    <w:rsid w:val="001D0AFE"/>
    <w:rsid w:val="001D20E2"/>
    <w:rsid w:val="001D639C"/>
    <w:rsid w:val="001F03EE"/>
    <w:rsid w:val="001F41F4"/>
    <w:rsid w:val="001F656D"/>
    <w:rsid w:val="0021212E"/>
    <w:rsid w:val="00214848"/>
    <w:rsid w:val="00215231"/>
    <w:rsid w:val="0021765F"/>
    <w:rsid w:val="00224EA3"/>
    <w:rsid w:val="0022537D"/>
    <w:rsid w:val="00230394"/>
    <w:rsid w:val="00232F2C"/>
    <w:rsid w:val="0023349F"/>
    <w:rsid w:val="002353B5"/>
    <w:rsid w:val="002403D0"/>
    <w:rsid w:val="0024110A"/>
    <w:rsid w:val="002417D9"/>
    <w:rsid w:val="00242530"/>
    <w:rsid w:val="00245E81"/>
    <w:rsid w:val="002503D1"/>
    <w:rsid w:val="00255431"/>
    <w:rsid w:val="0026429F"/>
    <w:rsid w:val="00270DC1"/>
    <w:rsid w:val="00273B96"/>
    <w:rsid w:val="00276D69"/>
    <w:rsid w:val="00287A3C"/>
    <w:rsid w:val="002A000E"/>
    <w:rsid w:val="002C7DA8"/>
    <w:rsid w:val="002D2254"/>
    <w:rsid w:val="002D2C0C"/>
    <w:rsid w:val="00317546"/>
    <w:rsid w:val="0032284D"/>
    <w:rsid w:val="00324F0A"/>
    <w:rsid w:val="0033589A"/>
    <w:rsid w:val="00340A15"/>
    <w:rsid w:val="00342869"/>
    <w:rsid w:val="00360C6A"/>
    <w:rsid w:val="003650C8"/>
    <w:rsid w:val="003724D5"/>
    <w:rsid w:val="003754FC"/>
    <w:rsid w:val="00384B84"/>
    <w:rsid w:val="003957D8"/>
    <w:rsid w:val="003A3EC1"/>
    <w:rsid w:val="003A61FA"/>
    <w:rsid w:val="003B09BB"/>
    <w:rsid w:val="003B4421"/>
    <w:rsid w:val="003E05A3"/>
    <w:rsid w:val="003E0AC6"/>
    <w:rsid w:val="003F7617"/>
    <w:rsid w:val="00406396"/>
    <w:rsid w:val="004135E4"/>
    <w:rsid w:val="004146B4"/>
    <w:rsid w:val="00415C7B"/>
    <w:rsid w:val="00440A6D"/>
    <w:rsid w:val="0045213C"/>
    <w:rsid w:val="004703AD"/>
    <w:rsid w:val="00474306"/>
    <w:rsid w:val="00485351"/>
    <w:rsid w:val="004A073E"/>
    <w:rsid w:val="004B10D1"/>
    <w:rsid w:val="004C0993"/>
    <w:rsid w:val="004C252B"/>
    <w:rsid w:val="004C4F5E"/>
    <w:rsid w:val="004D5648"/>
    <w:rsid w:val="004D7043"/>
    <w:rsid w:val="004D74E3"/>
    <w:rsid w:val="004E287D"/>
    <w:rsid w:val="004E374B"/>
    <w:rsid w:val="004F42D8"/>
    <w:rsid w:val="0050212E"/>
    <w:rsid w:val="00516759"/>
    <w:rsid w:val="00537333"/>
    <w:rsid w:val="00544F2B"/>
    <w:rsid w:val="00547F5D"/>
    <w:rsid w:val="00553F87"/>
    <w:rsid w:val="0056792D"/>
    <w:rsid w:val="00574698"/>
    <w:rsid w:val="0057597C"/>
    <w:rsid w:val="005773CA"/>
    <w:rsid w:val="00577B09"/>
    <w:rsid w:val="005813FF"/>
    <w:rsid w:val="005954A6"/>
    <w:rsid w:val="005A4541"/>
    <w:rsid w:val="005A78EF"/>
    <w:rsid w:val="005C0B23"/>
    <w:rsid w:val="005C394B"/>
    <w:rsid w:val="005C3EC3"/>
    <w:rsid w:val="005C76E1"/>
    <w:rsid w:val="005D7E55"/>
    <w:rsid w:val="005E008F"/>
    <w:rsid w:val="005E7E11"/>
    <w:rsid w:val="00602F00"/>
    <w:rsid w:val="00603B09"/>
    <w:rsid w:val="006150B6"/>
    <w:rsid w:val="006157F2"/>
    <w:rsid w:val="00615B4B"/>
    <w:rsid w:val="006269A2"/>
    <w:rsid w:val="00645A20"/>
    <w:rsid w:val="006523E3"/>
    <w:rsid w:val="00657BEA"/>
    <w:rsid w:val="006710E5"/>
    <w:rsid w:val="00674DC5"/>
    <w:rsid w:val="00695614"/>
    <w:rsid w:val="006A05CB"/>
    <w:rsid w:val="006A7837"/>
    <w:rsid w:val="006B5053"/>
    <w:rsid w:val="006D51A8"/>
    <w:rsid w:val="006E2802"/>
    <w:rsid w:val="006E548A"/>
    <w:rsid w:val="006F2F2C"/>
    <w:rsid w:val="00700FAE"/>
    <w:rsid w:val="007054B1"/>
    <w:rsid w:val="007230BD"/>
    <w:rsid w:val="0074571C"/>
    <w:rsid w:val="007516C4"/>
    <w:rsid w:val="00771CF1"/>
    <w:rsid w:val="0077779E"/>
    <w:rsid w:val="00785732"/>
    <w:rsid w:val="00790583"/>
    <w:rsid w:val="00795964"/>
    <w:rsid w:val="007969F9"/>
    <w:rsid w:val="00796EC3"/>
    <w:rsid w:val="007C02DD"/>
    <w:rsid w:val="007C2442"/>
    <w:rsid w:val="007C32B7"/>
    <w:rsid w:val="007C395C"/>
    <w:rsid w:val="007C53E5"/>
    <w:rsid w:val="007D69EB"/>
    <w:rsid w:val="008027D1"/>
    <w:rsid w:val="008071DC"/>
    <w:rsid w:val="0081082C"/>
    <w:rsid w:val="008154D9"/>
    <w:rsid w:val="00821C02"/>
    <w:rsid w:val="00827526"/>
    <w:rsid w:val="008300D5"/>
    <w:rsid w:val="00837AEE"/>
    <w:rsid w:val="00841043"/>
    <w:rsid w:val="00843F38"/>
    <w:rsid w:val="00864795"/>
    <w:rsid w:val="0086586E"/>
    <w:rsid w:val="0086687B"/>
    <w:rsid w:val="00866A0E"/>
    <w:rsid w:val="00867ABA"/>
    <w:rsid w:val="00873C34"/>
    <w:rsid w:val="00876F01"/>
    <w:rsid w:val="00876FEA"/>
    <w:rsid w:val="00880665"/>
    <w:rsid w:val="008879B4"/>
    <w:rsid w:val="00887FBE"/>
    <w:rsid w:val="00893F7E"/>
    <w:rsid w:val="008B1A6E"/>
    <w:rsid w:val="008B6A30"/>
    <w:rsid w:val="008C2C80"/>
    <w:rsid w:val="008C48FE"/>
    <w:rsid w:val="008C5ACB"/>
    <w:rsid w:val="008D5A5D"/>
    <w:rsid w:val="008E4022"/>
    <w:rsid w:val="008F1303"/>
    <w:rsid w:val="008F79A1"/>
    <w:rsid w:val="00907C00"/>
    <w:rsid w:val="009117A8"/>
    <w:rsid w:val="00917122"/>
    <w:rsid w:val="00924597"/>
    <w:rsid w:val="00937F58"/>
    <w:rsid w:val="009416F9"/>
    <w:rsid w:val="00954076"/>
    <w:rsid w:val="0096148A"/>
    <w:rsid w:val="009672A8"/>
    <w:rsid w:val="00973B1B"/>
    <w:rsid w:val="009848E0"/>
    <w:rsid w:val="009A0C8A"/>
    <w:rsid w:val="009A1DC5"/>
    <w:rsid w:val="009A2875"/>
    <w:rsid w:val="009A3917"/>
    <w:rsid w:val="009A4CB6"/>
    <w:rsid w:val="009C0C18"/>
    <w:rsid w:val="009C311E"/>
    <w:rsid w:val="009C3620"/>
    <w:rsid w:val="009C6540"/>
    <w:rsid w:val="009D2266"/>
    <w:rsid w:val="009D3417"/>
    <w:rsid w:val="009D529F"/>
    <w:rsid w:val="009D54D6"/>
    <w:rsid w:val="009E704D"/>
    <w:rsid w:val="009F00D8"/>
    <w:rsid w:val="009F5165"/>
    <w:rsid w:val="00A10217"/>
    <w:rsid w:val="00A306FF"/>
    <w:rsid w:val="00A36AA9"/>
    <w:rsid w:val="00A51E43"/>
    <w:rsid w:val="00A63573"/>
    <w:rsid w:val="00A66C14"/>
    <w:rsid w:val="00A77BBE"/>
    <w:rsid w:val="00A9104B"/>
    <w:rsid w:val="00A97A55"/>
    <w:rsid w:val="00AA2C74"/>
    <w:rsid w:val="00AB0AEF"/>
    <w:rsid w:val="00AB4B4F"/>
    <w:rsid w:val="00AB53A8"/>
    <w:rsid w:val="00AB7508"/>
    <w:rsid w:val="00AC5EE0"/>
    <w:rsid w:val="00AD54A4"/>
    <w:rsid w:val="00B04956"/>
    <w:rsid w:val="00B05A4C"/>
    <w:rsid w:val="00B07834"/>
    <w:rsid w:val="00B10EBB"/>
    <w:rsid w:val="00B13AE0"/>
    <w:rsid w:val="00B26129"/>
    <w:rsid w:val="00B342AD"/>
    <w:rsid w:val="00B34EA8"/>
    <w:rsid w:val="00B3742F"/>
    <w:rsid w:val="00B4143D"/>
    <w:rsid w:val="00B45052"/>
    <w:rsid w:val="00B542F3"/>
    <w:rsid w:val="00B60305"/>
    <w:rsid w:val="00B61B2A"/>
    <w:rsid w:val="00B75891"/>
    <w:rsid w:val="00B9704D"/>
    <w:rsid w:val="00BA05D6"/>
    <w:rsid w:val="00BC0E08"/>
    <w:rsid w:val="00BC2464"/>
    <w:rsid w:val="00BC66DC"/>
    <w:rsid w:val="00BE0035"/>
    <w:rsid w:val="00BE6AA7"/>
    <w:rsid w:val="00BF0024"/>
    <w:rsid w:val="00BF5B3F"/>
    <w:rsid w:val="00BF5BF2"/>
    <w:rsid w:val="00C15733"/>
    <w:rsid w:val="00C21E55"/>
    <w:rsid w:val="00C348E6"/>
    <w:rsid w:val="00C3545F"/>
    <w:rsid w:val="00C36DDB"/>
    <w:rsid w:val="00C46ED6"/>
    <w:rsid w:val="00C50CA0"/>
    <w:rsid w:val="00C54531"/>
    <w:rsid w:val="00C54630"/>
    <w:rsid w:val="00C5497A"/>
    <w:rsid w:val="00C554BC"/>
    <w:rsid w:val="00C60B00"/>
    <w:rsid w:val="00C60C26"/>
    <w:rsid w:val="00C63D26"/>
    <w:rsid w:val="00C66F91"/>
    <w:rsid w:val="00C71FF5"/>
    <w:rsid w:val="00C77EF9"/>
    <w:rsid w:val="00C9084D"/>
    <w:rsid w:val="00C90A1B"/>
    <w:rsid w:val="00C93772"/>
    <w:rsid w:val="00C93B90"/>
    <w:rsid w:val="00CA6445"/>
    <w:rsid w:val="00CB6568"/>
    <w:rsid w:val="00CC578C"/>
    <w:rsid w:val="00CC5E7D"/>
    <w:rsid w:val="00CD079A"/>
    <w:rsid w:val="00CD2E97"/>
    <w:rsid w:val="00CD50B9"/>
    <w:rsid w:val="00CD74A6"/>
    <w:rsid w:val="00CD7F30"/>
    <w:rsid w:val="00CE726C"/>
    <w:rsid w:val="00D1169F"/>
    <w:rsid w:val="00D177EE"/>
    <w:rsid w:val="00D23FC8"/>
    <w:rsid w:val="00D268D7"/>
    <w:rsid w:val="00D26F3D"/>
    <w:rsid w:val="00D370A5"/>
    <w:rsid w:val="00D4193C"/>
    <w:rsid w:val="00D4710E"/>
    <w:rsid w:val="00D47E38"/>
    <w:rsid w:val="00D707E9"/>
    <w:rsid w:val="00D74A51"/>
    <w:rsid w:val="00D7634D"/>
    <w:rsid w:val="00D84E9A"/>
    <w:rsid w:val="00D8746B"/>
    <w:rsid w:val="00D955E7"/>
    <w:rsid w:val="00DA1BD9"/>
    <w:rsid w:val="00DB4B4A"/>
    <w:rsid w:val="00DB7683"/>
    <w:rsid w:val="00DD4837"/>
    <w:rsid w:val="00DE2722"/>
    <w:rsid w:val="00DF3E30"/>
    <w:rsid w:val="00E232B6"/>
    <w:rsid w:val="00E24E66"/>
    <w:rsid w:val="00E42D33"/>
    <w:rsid w:val="00E46379"/>
    <w:rsid w:val="00E50E89"/>
    <w:rsid w:val="00E51BC8"/>
    <w:rsid w:val="00E5609C"/>
    <w:rsid w:val="00E56DE3"/>
    <w:rsid w:val="00E60200"/>
    <w:rsid w:val="00E61D75"/>
    <w:rsid w:val="00E636B9"/>
    <w:rsid w:val="00E73F85"/>
    <w:rsid w:val="00E8349B"/>
    <w:rsid w:val="00E87C6A"/>
    <w:rsid w:val="00E96ACB"/>
    <w:rsid w:val="00E9776A"/>
    <w:rsid w:val="00EA4349"/>
    <w:rsid w:val="00EB029D"/>
    <w:rsid w:val="00EB70DC"/>
    <w:rsid w:val="00EC5E50"/>
    <w:rsid w:val="00ED5F51"/>
    <w:rsid w:val="00EE77F7"/>
    <w:rsid w:val="00EE7830"/>
    <w:rsid w:val="00EF70A7"/>
    <w:rsid w:val="00EF77CB"/>
    <w:rsid w:val="00F010CD"/>
    <w:rsid w:val="00F03B91"/>
    <w:rsid w:val="00F05D80"/>
    <w:rsid w:val="00F11EB2"/>
    <w:rsid w:val="00F16C55"/>
    <w:rsid w:val="00F2232D"/>
    <w:rsid w:val="00F41E3E"/>
    <w:rsid w:val="00F5348A"/>
    <w:rsid w:val="00F567A2"/>
    <w:rsid w:val="00F57B47"/>
    <w:rsid w:val="00F73EE3"/>
    <w:rsid w:val="00F74D5A"/>
    <w:rsid w:val="00F8031A"/>
    <w:rsid w:val="00F81325"/>
    <w:rsid w:val="00F8333B"/>
    <w:rsid w:val="00F835C0"/>
    <w:rsid w:val="00F87293"/>
    <w:rsid w:val="00FA300A"/>
    <w:rsid w:val="00FA482F"/>
    <w:rsid w:val="00FB3050"/>
    <w:rsid w:val="00FC2164"/>
    <w:rsid w:val="00FC3D03"/>
    <w:rsid w:val="00FC65ED"/>
    <w:rsid w:val="00FC7589"/>
    <w:rsid w:val="00FD060D"/>
    <w:rsid w:val="00FE0B1F"/>
    <w:rsid w:val="00FE5992"/>
    <w:rsid w:val="00FE61A0"/>
    <w:rsid w:val="00FF183F"/>
    <w:rsid w:val="00FF3DCD"/>
    <w:rsid w:val="00FF4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05A4C"/>
    <w:pPr>
      <w:spacing w:before="75" w:after="75"/>
      <w:ind w:firstLine="375"/>
      <w:jc w:val="both"/>
    </w:pPr>
  </w:style>
  <w:style w:type="paragraph" w:customStyle="1" w:styleId="naisnod">
    <w:name w:val="naisnod"/>
    <w:basedOn w:val="Normal"/>
    <w:rsid w:val="00B05A4C"/>
    <w:pPr>
      <w:spacing w:before="150" w:after="150"/>
      <w:jc w:val="center"/>
    </w:pPr>
    <w:rPr>
      <w:b/>
      <w:bCs/>
    </w:rPr>
  </w:style>
  <w:style w:type="paragraph" w:customStyle="1" w:styleId="naislab">
    <w:name w:val="naislab"/>
    <w:basedOn w:val="Normal"/>
    <w:rsid w:val="00B05A4C"/>
    <w:pPr>
      <w:spacing w:before="75" w:after="75"/>
      <w:jc w:val="right"/>
    </w:pPr>
  </w:style>
  <w:style w:type="paragraph" w:customStyle="1" w:styleId="naiskr">
    <w:name w:val="naiskr"/>
    <w:basedOn w:val="Normal"/>
    <w:rsid w:val="00B05A4C"/>
    <w:pPr>
      <w:spacing w:before="75" w:after="75"/>
    </w:pPr>
  </w:style>
  <w:style w:type="paragraph" w:customStyle="1" w:styleId="naisc">
    <w:name w:val="naisc"/>
    <w:basedOn w:val="Normal"/>
    <w:rsid w:val="00B05A4C"/>
    <w:pPr>
      <w:spacing w:before="75" w:after="75"/>
      <w:jc w:val="center"/>
    </w:pPr>
  </w:style>
  <w:style w:type="character" w:styleId="Hyperlink">
    <w:name w:val="Hyperlink"/>
    <w:rsid w:val="00B05A4C"/>
    <w:rPr>
      <w:color w:val="0000FF"/>
      <w:u w:val="single"/>
    </w:rPr>
  </w:style>
  <w:style w:type="paragraph" w:styleId="BodyTextIndent3">
    <w:name w:val="Body Text Indent 3"/>
    <w:basedOn w:val="Normal"/>
    <w:link w:val="BodyTextIndent3Char"/>
    <w:rsid w:val="00B05A4C"/>
    <w:pPr>
      <w:spacing w:after="120"/>
      <w:ind w:left="283"/>
    </w:pPr>
    <w:rPr>
      <w:sz w:val="16"/>
      <w:szCs w:val="16"/>
      <w:lang w:val="en-US" w:eastAsia="en-US"/>
    </w:rPr>
  </w:style>
  <w:style w:type="paragraph" w:styleId="BodyTextIndent">
    <w:name w:val="Body Text Indent"/>
    <w:basedOn w:val="Normal"/>
    <w:link w:val="BodyTextIndentChar"/>
    <w:rsid w:val="00B05A4C"/>
    <w:pPr>
      <w:spacing w:after="120"/>
      <w:ind w:left="283"/>
    </w:pPr>
  </w:style>
  <w:style w:type="character" w:customStyle="1" w:styleId="BodyTextIndentChar">
    <w:name w:val="Body Text Indent Char"/>
    <w:link w:val="BodyTextIndent"/>
    <w:semiHidden/>
    <w:locked/>
    <w:rsid w:val="00B05A4C"/>
    <w:rPr>
      <w:sz w:val="24"/>
      <w:szCs w:val="24"/>
      <w:lang w:val="lv-LV" w:eastAsia="lv-LV" w:bidi="ar-SA"/>
    </w:rPr>
  </w:style>
  <w:style w:type="character" w:customStyle="1" w:styleId="BodyTextIndent3Char">
    <w:name w:val="Body Text Indent 3 Char"/>
    <w:link w:val="BodyTextIndent3"/>
    <w:semiHidden/>
    <w:locked/>
    <w:rsid w:val="00B05A4C"/>
    <w:rPr>
      <w:sz w:val="16"/>
      <w:szCs w:val="16"/>
      <w:lang w:val="en-US" w:eastAsia="en-US" w:bidi="ar-SA"/>
    </w:rPr>
  </w:style>
  <w:style w:type="table" w:styleId="TableGrid">
    <w:name w:val="Table Grid"/>
    <w:basedOn w:val="TableNormal"/>
    <w:rsid w:val="00B05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05A4C"/>
    <w:pPr>
      <w:tabs>
        <w:tab w:val="center" w:pos="4153"/>
        <w:tab w:val="right" w:pos="8306"/>
      </w:tabs>
    </w:pPr>
  </w:style>
  <w:style w:type="character" w:styleId="PageNumber">
    <w:name w:val="page number"/>
    <w:basedOn w:val="DefaultParagraphFont"/>
    <w:rsid w:val="00B05A4C"/>
  </w:style>
  <w:style w:type="paragraph" w:styleId="Footer">
    <w:name w:val="footer"/>
    <w:basedOn w:val="Normal"/>
    <w:rsid w:val="00B05A4C"/>
    <w:pPr>
      <w:tabs>
        <w:tab w:val="center" w:pos="4153"/>
        <w:tab w:val="right" w:pos="8306"/>
      </w:tabs>
    </w:pPr>
  </w:style>
  <w:style w:type="paragraph" w:customStyle="1" w:styleId="Default">
    <w:name w:val="Default"/>
    <w:rsid w:val="00190D2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90D2A"/>
    <w:rPr>
      <w:rFonts w:cs="Times New Roman"/>
      <w:color w:val="auto"/>
    </w:rPr>
  </w:style>
  <w:style w:type="paragraph" w:customStyle="1" w:styleId="CM4">
    <w:name w:val="CM4"/>
    <w:basedOn w:val="Default"/>
    <w:next w:val="Default"/>
    <w:uiPriority w:val="99"/>
    <w:rsid w:val="00190D2A"/>
    <w:rPr>
      <w:rFonts w:cs="Times New Roman"/>
      <w:color w:val="auto"/>
    </w:rPr>
  </w:style>
  <w:style w:type="character" w:styleId="CommentReference">
    <w:name w:val="annotation reference"/>
    <w:semiHidden/>
    <w:rsid w:val="007C395C"/>
    <w:rPr>
      <w:sz w:val="16"/>
      <w:szCs w:val="16"/>
    </w:rPr>
  </w:style>
  <w:style w:type="paragraph" w:styleId="CommentText">
    <w:name w:val="annotation text"/>
    <w:basedOn w:val="Normal"/>
    <w:link w:val="CommentTextChar"/>
    <w:semiHidden/>
    <w:rsid w:val="007C395C"/>
    <w:rPr>
      <w:sz w:val="20"/>
      <w:szCs w:val="20"/>
    </w:rPr>
  </w:style>
  <w:style w:type="paragraph" w:styleId="CommentSubject">
    <w:name w:val="annotation subject"/>
    <w:basedOn w:val="CommentText"/>
    <w:next w:val="CommentText"/>
    <w:semiHidden/>
    <w:rsid w:val="007C395C"/>
    <w:rPr>
      <w:b/>
      <w:bCs/>
    </w:rPr>
  </w:style>
  <w:style w:type="paragraph" w:styleId="BalloonText">
    <w:name w:val="Balloon Text"/>
    <w:basedOn w:val="Normal"/>
    <w:semiHidden/>
    <w:rsid w:val="007C395C"/>
    <w:rPr>
      <w:rFonts w:ascii="Tahoma" w:hAnsi="Tahoma" w:cs="Tahoma"/>
      <w:sz w:val="16"/>
      <w:szCs w:val="16"/>
    </w:rPr>
  </w:style>
  <w:style w:type="paragraph" w:styleId="NormalWeb">
    <w:name w:val="Normal (Web)"/>
    <w:basedOn w:val="Normal"/>
    <w:rsid w:val="006A05CB"/>
    <w:pPr>
      <w:spacing w:before="100" w:beforeAutospacing="1" w:after="100" w:afterAutospacing="1"/>
    </w:pPr>
    <w:rPr>
      <w:rFonts w:ascii="Verdana" w:hAnsi="Verdana"/>
      <w:sz w:val="18"/>
      <w:szCs w:val="18"/>
      <w:lang w:val="en-US" w:eastAsia="en-US"/>
    </w:rPr>
  </w:style>
  <w:style w:type="character" w:customStyle="1" w:styleId="DagnijaJ">
    <w:name w:val="DagnijaJ"/>
    <w:semiHidden/>
    <w:rsid w:val="008F1303"/>
    <w:rPr>
      <w:rFonts w:ascii="Arial" w:hAnsi="Arial" w:cs="Arial"/>
      <w:color w:val="000080"/>
      <w:sz w:val="20"/>
      <w:szCs w:val="20"/>
    </w:rPr>
  </w:style>
  <w:style w:type="paragraph" w:customStyle="1" w:styleId="CM3">
    <w:name w:val="CM3"/>
    <w:basedOn w:val="Default"/>
    <w:next w:val="Default"/>
    <w:uiPriority w:val="99"/>
    <w:rsid w:val="00D26F3D"/>
    <w:rPr>
      <w:rFonts w:cs="Arial Unicode MS"/>
      <w:color w:val="auto"/>
      <w:lang w:bidi="lo-LA"/>
    </w:rPr>
  </w:style>
  <w:style w:type="character" w:customStyle="1" w:styleId="CommentTextChar">
    <w:name w:val="Comment Text Char"/>
    <w:basedOn w:val="DefaultParagraphFont"/>
    <w:link w:val="CommentText"/>
    <w:semiHidden/>
    <w:rsid w:val="008D5A5D"/>
  </w:style>
  <w:style w:type="paragraph" w:customStyle="1" w:styleId="doc-ti2">
    <w:name w:val="doc-ti2"/>
    <w:basedOn w:val="Normal"/>
    <w:rsid w:val="00FF3DCD"/>
    <w:pPr>
      <w:spacing w:before="240" w:after="120" w:line="312" w:lineRule="atLeast"/>
      <w:jc w:val="center"/>
    </w:pPr>
    <w:rPr>
      <w:b/>
      <w:bCs/>
    </w:rPr>
  </w:style>
</w:styles>
</file>

<file path=word/webSettings.xml><?xml version="1.0" encoding="utf-8"?>
<w:webSettings xmlns:r="http://schemas.openxmlformats.org/officeDocument/2006/relationships" xmlns:w="http://schemas.openxmlformats.org/wordprocessingml/2006/main">
  <w:divs>
    <w:div w:id="68382182">
      <w:bodyDiv w:val="1"/>
      <w:marLeft w:val="0"/>
      <w:marRight w:val="0"/>
      <w:marTop w:val="0"/>
      <w:marBottom w:val="0"/>
      <w:divBdr>
        <w:top w:val="none" w:sz="0" w:space="0" w:color="auto"/>
        <w:left w:val="none" w:sz="0" w:space="0" w:color="auto"/>
        <w:bottom w:val="none" w:sz="0" w:space="0" w:color="auto"/>
        <w:right w:val="none" w:sz="0" w:space="0" w:color="auto"/>
      </w:divBdr>
    </w:div>
    <w:div w:id="687411884">
      <w:bodyDiv w:val="1"/>
      <w:marLeft w:val="0"/>
      <w:marRight w:val="0"/>
      <w:marTop w:val="0"/>
      <w:marBottom w:val="0"/>
      <w:divBdr>
        <w:top w:val="none" w:sz="0" w:space="0" w:color="auto"/>
        <w:left w:val="none" w:sz="0" w:space="0" w:color="auto"/>
        <w:bottom w:val="none" w:sz="0" w:space="0" w:color="auto"/>
        <w:right w:val="none" w:sz="0" w:space="0" w:color="auto"/>
      </w:divBdr>
    </w:div>
    <w:div w:id="994990914">
      <w:bodyDiv w:val="1"/>
      <w:marLeft w:val="0"/>
      <w:marRight w:val="0"/>
      <w:marTop w:val="0"/>
      <w:marBottom w:val="0"/>
      <w:divBdr>
        <w:top w:val="none" w:sz="0" w:space="0" w:color="auto"/>
        <w:left w:val="none" w:sz="0" w:space="0" w:color="auto"/>
        <w:bottom w:val="none" w:sz="0" w:space="0" w:color="auto"/>
        <w:right w:val="none" w:sz="0" w:space="0" w:color="auto"/>
      </w:divBdr>
      <w:divsChild>
        <w:div w:id="1748114302">
          <w:marLeft w:val="0"/>
          <w:marRight w:val="0"/>
          <w:marTop w:val="0"/>
          <w:marBottom w:val="0"/>
          <w:divBdr>
            <w:top w:val="none" w:sz="0" w:space="0" w:color="auto"/>
            <w:left w:val="none" w:sz="0" w:space="0" w:color="auto"/>
            <w:bottom w:val="none" w:sz="0" w:space="0" w:color="auto"/>
            <w:right w:val="none" w:sz="0" w:space="0" w:color="auto"/>
          </w:divBdr>
          <w:divsChild>
            <w:div w:id="2118526468">
              <w:marLeft w:val="0"/>
              <w:marRight w:val="0"/>
              <w:marTop w:val="0"/>
              <w:marBottom w:val="0"/>
              <w:divBdr>
                <w:top w:val="none" w:sz="0" w:space="0" w:color="auto"/>
                <w:left w:val="none" w:sz="0" w:space="0" w:color="auto"/>
                <w:bottom w:val="none" w:sz="0" w:space="0" w:color="auto"/>
                <w:right w:val="none" w:sz="0" w:space="0" w:color="auto"/>
              </w:divBdr>
              <w:divsChild>
                <w:div w:id="823592874">
                  <w:marLeft w:val="0"/>
                  <w:marRight w:val="0"/>
                  <w:marTop w:val="0"/>
                  <w:marBottom w:val="0"/>
                  <w:divBdr>
                    <w:top w:val="none" w:sz="0" w:space="0" w:color="auto"/>
                    <w:left w:val="none" w:sz="0" w:space="0" w:color="auto"/>
                    <w:bottom w:val="none" w:sz="0" w:space="0" w:color="auto"/>
                    <w:right w:val="none" w:sz="0" w:space="0" w:color="auto"/>
                  </w:divBdr>
                  <w:divsChild>
                    <w:div w:id="570234225">
                      <w:marLeft w:val="0"/>
                      <w:marRight w:val="0"/>
                      <w:marTop w:val="0"/>
                      <w:marBottom w:val="0"/>
                      <w:divBdr>
                        <w:top w:val="none" w:sz="0" w:space="0" w:color="auto"/>
                        <w:left w:val="none" w:sz="0" w:space="0" w:color="auto"/>
                        <w:bottom w:val="none" w:sz="0" w:space="0" w:color="auto"/>
                        <w:right w:val="none" w:sz="0" w:space="0" w:color="auto"/>
                      </w:divBdr>
                      <w:divsChild>
                        <w:div w:id="103042069">
                          <w:marLeft w:val="0"/>
                          <w:marRight w:val="0"/>
                          <w:marTop w:val="0"/>
                          <w:marBottom w:val="0"/>
                          <w:divBdr>
                            <w:top w:val="none" w:sz="0" w:space="0" w:color="auto"/>
                            <w:left w:val="none" w:sz="0" w:space="0" w:color="auto"/>
                            <w:bottom w:val="none" w:sz="0" w:space="0" w:color="auto"/>
                            <w:right w:val="none" w:sz="0" w:space="0" w:color="auto"/>
                          </w:divBdr>
                          <w:divsChild>
                            <w:div w:id="489177434">
                              <w:marLeft w:val="0"/>
                              <w:marRight w:val="0"/>
                              <w:marTop w:val="480"/>
                              <w:marBottom w:val="240"/>
                              <w:divBdr>
                                <w:top w:val="none" w:sz="0" w:space="0" w:color="auto"/>
                                <w:left w:val="none" w:sz="0" w:space="0" w:color="auto"/>
                                <w:bottom w:val="none" w:sz="0" w:space="0" w:color="auto"/>
                                <w:right w:val="none" w:sz="0" w:space="0" w:color="auto"/>
                              </w:divBdr>
                            </w:div>
                            <w:div w:id="102629382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468790">
      <w:bodyDiv w:val="1"/>
      <w:marLeft w:val="0"/>
      <w:marRight w:val="0"/>
      <w:marTop w:val="0"/>
      <w:marBottom w:val="0"/>
      <w:divBdr>
        <w:top w:val="none" w:sz="0" w:space="0" w:color="auto"/>
        <w:left w:val="none" w:sz="0" w:space="0" w:color="auto"/>
        <w:bottom w:val="none" w:sz="0" w:space="0" w:color="auto"/>
        <w:right w:val="none" w:sz="0" w:space="0" w:color="auto"/>
      </w:divBdr>
      <w:divsChild>
        <w:div w:id="1886329814">
          <w:marLeft w:val="0"/>
          <w:marRight w:val="0"/>
          <w:marTop w:val="0"/>
          <w:marBottom w:val="0"/>
          <w:divBdr>
            <w:top w:val="none" w:sz="0" w:space="0" w:color="auto"/>
            <w:left w:val="none" w:sz="0" w:space="0" w:color="auto"/>
            <w:bottom w:val="none" w:sz="0" w:space="0" w:color="auto"/>
            <w:right w:val="none" w:sz="0" w:space="0" w:color="auto"/>
          </w:divBdr>
          <w:divsChild>
            <w:div w:id="1344282085">
              <w:marLeft w:val="0"/>
              <w:marRight w:val="0"/>
              <w:marTop w:val="0"/>
              <w:marBottom w:val="0"/>
              <w:divBdr>
                <w:top w:val="none" w:sz="0" w:space="0" w:color="auto"/>
                <w:left w:val="none" w:sz="0" w:space="0" w:color="auto"/>
                <w:bottom w:val="none" w:sz="0" w:space="0" w:color="auto"/>
                <w:right w:val="none" w:sz="0" w:space="0" w:color="auto"/>
              </w:divBdr>
              <w:divsChild>
                <w:div w:id="1847286999">
                  <w:marLeft w:val="0"/>
                  <w:marRight w:val="0"/>
                  <w:marTop w:val="0"/>
                  <w:marBottom w:val="0"/>
                  <w:divBdr>
                    <w:top w:val="none" w:sz="0" w:space="0" w:color="auto"/>
                    <w:left w:val="none" w:sz="0" w:space="0" w:color="auto"/>
                    <w:bottom w:val="none" w:sz="0" w:space="0" w:color="auto"/>
                    <w:right w:val="none" w:sz="0" w:space="0" w:color="auto"/>
                  </w:divBdr>
                  <w:divsChild>
                    <w:div w:id="1226598503">
                      <w:marLeft w:val="1"/>
                      <w:marRight w:val="0"/>
                      <w:marTop w:val="0"/>
                      <w:marBottom w:val="0"/>
                      <w:divBdr>
                        <w:top w:val="none" w:sz="0" w:space="0" w:color="auto"/>
                        <w:left w:val="none" w:sz="0" w:space="0" w:color="auto"/>
                        <w:bottom w:val="none" w:sz="0" w:space="0" w:color="auto"/>
                        <w:right w:val="none" w:sz="0" w:space="0" w:color="auto"/>
                      </w:divBdr>
                      <w:divsChild>
                        <w:div w:id="469444769">
                          <w:marLeft w:val="0"/>
                          <w:marRight w:val="0"/>
                          <w:marTop w:val="0"/>
                          <w:marBottom w:val="0"/>
                          <w:divBdr>
                            <w:top w:val="none" w:sz="0" w:space="0" w:color="auto"/>
                            <w:left w:val="none" w:sz="0" w:space="0" w:color="auto"/>
                            <w:bottom w:val="none" w:sz="0" w:space="0" w:color="auto"/>
                            <w:right w:val="none" w:sz="0" w:space="0" w:color="auto"/>
                          </w:divBdr>
                          <w:divsChild>
                            <w:div w:id="1736203978">
                              <w:marLeft w:val="0"/>
                              <w:marRight w:val="0"/>
                              <w:marTop w:val="0"/>
                              <w:marBottom w:val="360"/>
                              <w:divBdr>
                                <w:top w:val="none" w:sz="0" w:space="0" w:color="auto"/>
                                <w:left w:val="none" w:sz="0" w:space="0" w:color="auto"/>
                                <w:bottom w:val="none" w:sz="0" w:space="0" w:color="auto"/>
                                <w:right w:val="none" w:sz="0" w:space="0" w:color="auto"/>
                              </w:divBdr>
                              <w:divsChild>
                                <w:div w:id="1624845064">
                                  <w:marLeft w:val="0"/>
                                  <w:marRight w:val="0"/>
                                  <w:marTop w:val="0"/>
                                  <w:marBottom w:val="0"/>
                                  <w:divBdr>
                                    <w:top w:val="none" w:sz="0" w:space="0" w:color="auto"/>
                                    <w:left w:val="none" w:sz="0" w:space="0" w:color="auto"/>
                                    <w:bottom w:val="none" w:sz="0" w:space="0" w:color="auto"/>
                                    <w:right w:val="none" w:sz="0" w:space="0" w:color="auto"/>
                                  </w:divBdr>
                                  <w:divsChild>
                                    <w:div w:id="2601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8L0008: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D264B-3A3F-47C1-B844-4A81101E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2186</Words>
  <Characters>12462</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likumprojektam "Grozījumi Ķīmisko vielu likumā"</vt:lpstr>
      <vt:lpstr>likumprojektam "Grozījumi Ķīmisko vielu likumā"</vt:lpstr>
    </vt:vector>
  </TitlesOfParts>
  <Company/>
  <LinksUpToDate>false</LinksUpToDate>
  <CharactersWithSpaces>14619</CharactersWithSpaces>
  <SharedDoc>false</SharedDoc>
  <HLinks>
    <vt:vector size="12" baseType="variant">
      <vt:variant>
        <vt:i4>1048649</vt:i4>
      </vt:variant>
      <vt:variant>
        <vt:i4>3</vt:i4>
      </vt:variant>
      <vt:variant>
        <vt:i4>0</vt:i4>
      </vt:variant>
      <vt:variant>
        <vt:i4>5</vt:i4>
      </vt:variant>
      <vt:variant>
        <vt:lpwstr>http://www.varam.gov.lv/</vt:lpwstr>
      </vt:variant>
      <vt:variant>
        <vt:lpwstr/>
      </vt:variant>
      <vt:variant>
        <vt:i4>3801207</vt:i4>
      </vt:variant>
      <vt:variant>
        <vt:i4>0</vt:i4>
      </vt:variant>
      <vt:variant>
        <vt:i4>0</vt:i4>
      </vt:variant>
      <vt:variant>
        <vt:i4>5</vt:i4>
      </vt:variant>
      <vt:variant>
        <vt:lpwstr>http://eur-lex.europa.eu/LexUriServ/LexUriServ.do?uri=CELEX:31998L0008:LV:HTML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likumprojektam "Grozījumi Ķīmisko vielu likumā"</dc:title>
  <dc:subject>Anotācija</dc:subject>
  <dc:creator>D.Jirgensone</dc:creator>
  <dc:description>t.67026514_x000d_
e-pasts: Dagnija.Jirgensone@varam.gov.lv</dc:description>
  <cp:lastModifiedBy>larisat</cp:lastModifiedBy>
  <cp:revision>4</cp:revision>
  <cp:lastPrinted>2014-05-27T06:07:00Z</cp:lastPrinted>
  <dcterms:created xsi:type="dcterms:W3CDTF">2014-05-27T06:06:00Z</dcterms:created>
  <dcterms:modified xsi:type="dcterms:W3CDTF">2014-05-29T04:17:00Z</dcterms:modified>
</cp:coreProperties>
</file>