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26" w:rsidRPr="007E59F3" w:rsidRDefault="00991826" w:rsidP="00F0174B">
      <w:pPr>
        <w:jc w:val="center"/>
        <w:rPr>
          <w:b/>
          <w:sz w:val="28"/>
          <w:szCs w:val="28"/>
        </w:rPr>
      </w:pPr>
      <w:r w:rsidRPr="007E59F3">
        <w:rPr>
          <w:b/>
          <w:sz w:val="28"/>
          <w:szCs w:val="28"/>
        </w:rPr>
        <w:t>Tiesību akta projekta sākotnējās ietekmes novērtējuma ziņojums par</w:t>
      </w:r>
      <w:r w:rsidR="00F0174B" w:rsidRPr="007E59F3">
        <w:rPr>
          <w:b/>
          <w:sz w:val="28"/>
          <w:szCs w:val="28"/>
        </w:rPr>
        <w:t xml:space="preserve"> </w:t>
      </w:r>
      <w:r w:rsidRPr="007E59F3">
        <w:rPr>
          <w:b/>
          <w:sz w:val="28"/>
          <w:szCs w:val="28"/>
        </w:rPr>
        <w:t>Ministru kabineta noteikumu projektu „Būvniecībā radušos atkritumu un to pārvadājumu uzskaites kārtība”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2410"/>
        <w:gridCol w:w="6903"/>
        <w:gridCol w:w="42"/>
      </w:tblGrid>
      <w:tr w:rsidR="00991826" w:rsidRPr="007E59F3" w:rsidTr="00CC3EF8">
        <w:tc>
          <w:tcPr>
            <w:tcW w:w="9644" w:type="dxa"/>
            <w:gridSpan w:val="4"/>
            <w:vAlign w:val="center"/>
          </w:tcPr>
          <w:p w:rsidR="00991826" w:rsidRPr="007E59F3" w:rsidRDefault="00991826" w:rsidP="007513F8">
            <w:pPr>
              <w:pStyle w:val="naisnod"/>
              <w:spacing w:before="0" w:after="0"/>
            </w:pPr>
            <w:r w:rsidRPr="007E59F3">
              <w:rPr>
                <w:sz w:val="22"/>
                <w:szCs w:val="22"/>
              </w:rPr>
              <w:t>I. Tiesību akta projekta izstrādes nepieciešamība</w:t>
            </w:r>
          </w:p>
        </w:tc>
      </w:tr>
      <w:tr w:rsidR="00991826" w:rsidRPr="007E59F3" w:rsidTr="00CC3EF8">
        <w:trPr>
          <w:gridAfter w:val="1"/>
          <w:wAfter w:w="42" w:type="dxa"/>
          <w:trHeight w:val="630"/>
        </w:trPr>
        <w:tc>
          <w:tcPr>
            <w:tcW w:w="289" w:type="dxa"/>
          </w:tcPr>
          <w:p w:rsidR="00991826" w:rsidRPr="007E59F3" w:rsidRDefault="00991826" w:rsidP="007513F8">
            <w:pPr>
              <w:pStyle w:val="naiskr"/>
              <w:spacing w:before="0" w:after="0"/>
            </w:pPr>
            <w:r w:rsidRPr="007E59F3">
              <w:rPr>
                <w:sz w:val="22"/>
                <w:szCs w:val="22"/>
              </w:rPr>
              <w:t>1.</w:t>
            </w:r>
          </w:p>
        </w:tc>
        <w:tc>
          <w:tcPr>
            <w:tcW w:w="2410" w:type="dxa"/>
          </w:tcPr>
          <w:p w:rsidR="00991826" w:rsidRPr="007E59F3" w:rsidRDefault="00991826" w:rsidP="007513F8">
            <w:pPr>
              <w:pStyle w:val="naiskr"/>
              <w:spacing w:before="0" w:after="0"/>
              <w:ind w:hanging="10"/>
            </w:pPr>
            <w:r w:rsidRPr="007E59F3">
              <w:rPr>
                <w:sz w:val="22"/>
                <w:szCs w:val="22"/>
              </w:rPr>
              <w:t>Pamatojums</w:t>
            </w:r>
          </w:p>
        </w:tc>
        <w:tc>
          <w:tcPr>
            <w:tcW w:w="6903" w:type="dxa"/>
          </w:tcPr>
          <w:p w:rsidR="00991826" w:rsidRPr="007E59F3" w:rsidRDefault="00F0174B" w:rsidP="00462F7A">
            <w:pPr>
              <w:ind w:left="142" w:right="142"/>
              <w:jc w:val="both"/>
              <w:rPr>
                <w:noProof/>
              </w:rPr>
            </w:pPr>
            <w:r w:rsidRPr="007E59F3">
              <w:rPr>
                <w:sz w:val="22"/>
                <w:szCs w:val="22"/>
              </w:rPr>
              <w:t>Noteikumu projekts izstrādāt</w:t>
            </w:r>
            <w:r w:rsidR="00A848FD" w:rsidRPr="007E59F3">
              <w:rPr>
                <w:sz w:val="22"/>
                <w:szCs w:val="22"/>
              </w:rPr>
              <w:t>s</w:t>
            </w:r>
            <w:r w:rsidRPr="007E59F3">
              <w:rPr>
                <w:sz w:val="22"/>
                <w:szCs w:val="22"/>
              </w:rPr>
              <w:t xml:space="preserve"> pamatojoties uz Atkritumu apsaimniekošanas likuma </w:t>
            </w:r>
            <w:r w:rsidRPr="007E59F3">
              <w:rPr>
                <w:noProof/>
                <w:sz w:val="22"/>
                <w:szCs w:val="22"/>
              </w:rPr>
              <w:t xml:space="preserve">17.panta </w:t>
            </w:r>
            <w:r w:rsidR="00462F7A" w:rsidRPr="007E59F3">
              <w:rPr>
                <w:noProof/>
                <w:sz w:val="22"/>
                <w:szCs w:val="22"/>
              </w:rPr>
              <w:t>devīto un</w:t>
            </w:r>
            <w:r w:rsidRPr="007E59F3">
              <w:rPr>
                <w:noProof/>
                <w:sz w:val="22"/>
                <w:szCs w:val="22"/>
              </w:rPr>
              <w:t xml:space="preserve"> desmito daļu.</w:t>
            </w:r>
          </w:p>
        </w:tc>
      </w:tr>
      <w:tr w:rsidR="00991826" w:rsidRPr="007E59F3" w:rsidTr="00CC3EF8">
        <w:trPr>
          <w:gridAfter w:val="1"/>
          <w:wAfter w:w="42" w:type="dxa"/>
          <w:trHeight w:val="472"/>
        </w:trPr>
        <w:tc>
          <w:tcPr>
            <w:tcW w:w="289" w:type="dxa"/>
          </w:tcPr>
          <w:p w:rsidR="00991826" w:rsidRPr="007E59F3" w:rsidRDefault="00991826" w:rsidP="007513F8">
            <w:pPr>
              <w:pStyle w:val="naiskr"/>
              <w:spacing w:before="0" w:after="0"/>
            </w:pPr>
            <w:r w:rsidRPr="007E59F3">
              <w:rPr>
                <w:sz w:val="22"/>
                <w:szCs w:val="22"/>
              </w:rPr>
              <w:t>2.</w:t>
            </w:r>
          </w:p>
        </w:tc>
        <w:tc>
          <w:tcPr>
            <w:tcW w:w="2410" w:type="dxa"/>
          </w:tcPr>
          <w:p w:rsidR="00991826" w:rsidRPr="007E59F3" w:rsidRDefault="00991826" w:rsidP="007513F8">
            <w:pPr>
              <w:pStyle w:val="naiskr"/>
              <w:tabs>
                <w:tab w:val="left" w:pos="170"/>
              </w:tabs>
              <w:spacing w:before="0" w:after="0"/>
            </w:pPr>
            <w:r w:rsidRPr="007E59F3">
              <w:rPr>
                <w:sz w:val="22"/>
                <w:szCs w:val="22"/>
              </w:rPr>
              <w:t>Pašreizējā situācija un problēmas</w:t>
            </w:r>
          </w:p>
        </w:tc>
        <w:tc>
          <w:tcPr>
            <w:tcW w:w="6903" w:type="dxa"/>
          </w:tcPr>
          <w:p w:rsidR="00991826" w:rsidRPr="007E59F3" w:rsidRDefault="00F0174B" w:rsidP="009506B2">
            <w:pPr>
              <w:ind w:left="142" w:right="142"/>
              <w:jc w:val="both"/>
            </w:pPr>
            <w:r w:rsidRPr="007E59F3">
              <w:rPr>
                <w:sz w:val="22"/>
                <w:szCs w:val="22"/>
              </w:rPr>
              <w:t xml:space="preserve">Pašreiz Latvijā nav pilnībā izveidota sistēma, lai varētu nodrošināt precīzu būvniecībā radušos atkritumu uzskaiti un šo atkritumu pārvadājumu uzskaiti. Rezultātā vides aizsardzības kontrolējošām iestādēm nav iespējams nodrošināt tādu būvniecības atkritumu savākšanas un pārvadāšanas kontroli, lai nepieļautu vides aizsardzības prasībām neatbilstošu būvniecības atkritumu apsaimniekošanu un šo atkritumu nelegālu apglabāšanu tam neparedzētās vietās, tādejādi izraisot vides piesārņojumu, ainavu degradāciju un vides kvalitātes pasliktināšanos. </w:t>
            </w:r>
          </w:p>
          <w:p w:rsidR="0097336D" w:rsidRPr="007E59F3" w:rsidRDefault="0097336D" w:rsidP="009506B2">
            <w:pPr>
              <w:ind w:left="142" w:right="142"/>
              <w:jc w:val="both"/>
              <w:rPr>
                <w:iCs/>
              </w:rPr>
            </w:pPr>
            <w:r w:rsidRPr="007E59F3">
              <w:rPr>
                <w:iCs/>
                <w:sz w:val="22"/>
                <w:szCs w:val="22"/>
              </w:rPr>
              <w:t>Pamatojoties starp Vides aizsardzības un reģionālās attīstības ministriju (turpmāk – VARAM) un Latvijas Vides, ģeoloģijas un meteoroloģijas centu (turpmāk – LVĢMC) noslēgtā „Atsevišķu pārvaldes uzdevumu deleģēšanas līguma” (02.01.2013) nosacījumiem, VARAM pilnvaro LVĢMC kā būvniecībā radušos atkritumu un to pārvadājumu uzskaites sistēmas pārzini.</w:t>
            </w:r>
          </w:p>
          <w:p w:rsidR="00D6279E" w:rsidRPr="007E59F3" w:rsidRDefault="00CE1BE5" w:rsidP="00B22A18">
            <w:pPr>
              <w:tabs>
                <w:tab w:val="left" w:pos="763"/>
              </w:tabs>
              <w:ind w:left="141"/>
              <w:jc w:val="both"/>
            </w:pPr>
            <w:r w:rsidRPr="007E59F3">
              <w:rPr>
                <w:sz w:val="22"/>
                <w:szCs w:val="22"/>
              </w:rPr>
              <w:t>Valsts vides dienests un tā 8 reģionālās vides pārvaldes veic atkritumu apsaimniekotāju pārbaudes atbilstoši Vides aizsardzības likumam, Atkritumu apsaimniekošanas likumam un uz tā pamata izdotajiem Ministru kabineta noteikumiem, un atbilstoši likumam „Par piesārņojumu”.   Atkritumu apsaimniekošanas komersantu, kuriem izsniegtas atļaujas A vai B kategorijas piesārņojošas darbības veikšanai, kontroles biežums ir noteikts Valsts vides dienesta 2011.gada 11.marta iekšējos noteikumos Nr.2 „Uzņēmumu kontroles biežuma novērtēšanas kritēriji:</w:t>
            </w:r>
          </w:p>
          <w:p w:rsidR="00D6279E" w:rsidRPr="007E59F3" w:rsidRDefault="00CE1BE5" w:rsidP="00C43A48">
            <w:pPr>
              <w:numPr>
                <w:ilvl w:val="0"/>
                <w:numId w:val="7"/>
              </w:numPr>
              <w:tabs>
                <w:tab w:val="left" w:pos="763"/>
              </w:tabs>
              <w:ind w:left="1134"/>
              <w:jc w:val="both"/>
            </w:pPr>
            <w:r w:rsidRPr="007E59F3">
              <w:rPr>
                <w:sz w:val="22"/>
                <w:szCs w:val="22"/>
              </w:rPr>
              <w:t>A kategorijas uzņēmumos – 1 reizi gadā;</w:t>
            </w:r>
          </w:p>
          <w:p w:rsidR="00D6279E" w:rsidRPr="007E59F3" w:rsidRDefault="00CE1BE5" w:rsidP="00C43A48">
            <w:pPr>
              <w:numPr>
                <w:ilvl w:val="0"/>
                <w:numId w:val="7"/>
              </w:numPr>
              <w:tabs>
                <w:tab w:val="left" w:pos="763"/>
              </w:tabs>
              <w:ind w:left="1134"/>
              <w:jc w:val="both"/>
            </w:pPr>
            <w:r w:rsidRPr="007E59F3">
              <w:rPr>
                <w:sz w:val="22"/>
                <w:szCs w:val="22"/>
              </w:rPr>
              <w:t>B kategorijas uzņēmumo</w:t>
            </w:r>
            <w:r w:rsidR="00B22A18" w:rsidRPr="007E59F3">
              <w:rPr>
                <w:sz w:val="22"/>
                <w:szCs w:val="22"/>
              </w:rPr>
              <w:t>s</w:t>
            </w:r>
            <w:r w:rsidRPr="007E59F3">
              <w:rPr>
                <w:sz w:val="22"/>
                <w:szCs w:val="22"/>
              </w:rPr>
              <w:t xml:space="preserve"> – 2 reizes gadā;</w:t>
            </w:r>
          </w:p>
          <w:p w:rsidR="00D6279E" w:rsidRPr="007E59F3" w:rsidRDefault="00CE1BE5" w:rsidP="00C43A48">
            <w:pPr>
              <w:numPr>
                <w:ilvl w:val="0"/>
                <w:numId w:val="7"/>
              </w:numPr>
              <w:tabs>
                <w:tab w:val="left" w:pos="763"/>
              </w:tabs>
              <w:ind w:left="1134"/>
              <w:jc w:val="both"/>
            </w:pPr>
            <w:r w:rsidRPr="007E59F3">
              <w:rPr>
                <w:sz w:val="22"/>
                <w:szCs w:val="22"/>
              </w:rPr>
              <w:t>C kategorijas uzņēmumos – 1 reizi 2-4 gados.</w:t>
            </w:r>
          </w:p>
          <w:p w:rsidR="00D6279E" w:rsidRPr="007E59F3" w:rsidRDefault="00CE1BE5" w:rsidP="00B22A18">
            <w:pPr>
              <w:tabs>
                <w:tab w:val="left" w:pos="763"/>
              </w:tabs>
              <w:ind w:left="141"/>
              <w:jc w:val="both"/>
            </w:pPr>
            <w:r w:rsidRPr="007E59F3">
              <w:rPr>
                <w:sz w:val="22"/>
                <w:szCs w:val="22"/>
              </w:rPr>
              <w:t>Inspekcijas plāno, ņemot vērā iekārtu vecumu, ražošanas avāriju biežumu, sezonālu uzņēmuma darbības raksturu, uzņēmuma atrašanās vietu (piemēram, aizsargājama dabas teritorija, dzīvojamā zona, aizsargjoslas), regulāras sūdzības, uzņēmuma darbībai ir augsts piesārņojuma līmenis, ir notikusi operatora maiņa, veiktā monitoringa rezultāti uzrāda piesārņojuma līmeņa sistemātisku pārsniegšanu, u.c.). Plānotās pārbaudes iedala pēc veicamo pārbaužu apjoma un mērķa:</w:t>
            </w:r>
          </w:p>
          <w:p w:rsidR="00D6279E" w:rsidRPr="007E59F3" w:rsidRDefault="00CE1BE5" w:rsidP="00B22A18">
            <w:pPr>
              <w:pStyle w:val="ListParagraph"/>
              <w:numPr>
                <w:ilvl w:val="0"/>
                <w:numId w:val="8"/>
              </w:numPr>
              <w:jc w:val="both"/>
            </w:pPr>
            <w:r w:rsidRPr="007E59F3">
              <w:rPr>
                <w:sz w:val="22"/>
                <w:szCs w:val="22"/>
              </w:rPr>
              <w:t>integrētās pārbaudes;</w:t>
            </w:r>
          </w:p>
          <w:p w:rsidR="00D6279E" w:rsidRPr="007E59F3" w:rsidRDefault="00CE1BE5" w:rsidP="00B22A18">
            <w:pPr>
              <w:pStyle w:val="ListParagraph"/>
              <w:numPr>
                <w:ilvl w:val="0"/>
                <w:numId w:val="8"/>
              </w:numPr>
              <w:jc w:val="both"/>
            </w:pPr>
            <w:r w:rsidRPr="007E59F3">
              <w:rPr>
                <w:sz w:val="22"/>
                <w:szCs w:val="22"/>
              </w:rPr>
              <w:t>tematiskās pārbaudes;</w:t>
            </w:r>
          </w:p>
          <w:p w:rsidR="00B22A18" w:rsidRPr="007E59F3" w:rsidRDefault="00B22A18" w:rsidP="00B22A18">
            <w:pPr>
              <w:numPr>
                <w:ilvl w:val="0"/>
                <w:numId w:val="8"/>
              </w:numPr>
              <w:tabs>
                <w:tab w:val="left" w:pos="763"/>
              </w:tabs>
              <w:jc w:val="both"/>
            </w:pPr>
            <w:r w:rsidRPr="007E59F3">
              <w:rPr>
                <w:sz w:val="22"/>
                <w:szCs w:val="22"/>
              </w:rPr>
              <w:t xml:space="preserve">uzraudzības jeb uzdotā rīkojuma pārbaudes. </w:t>
            </w:r>
          </w:p>
          <w:p w:rsidR="00D6279E" w:rsidRPr="007E59F3" w:rsidRDefault="00CE1BE5" w:rsidP="00B22A18">
            <w:pPr>
              <w:tabs>
                <w:tab w:val="left" w:pos="763"/>
              </w:tabs>
              <w:ind w:left="141"/>
              <w:jc w:val="both"/>
            </w:pPr>
            <w:r w:rsidRPr="007E59F3">
              <w:rPr>
                <w:sz w:val="22"/>
                <w:szCs w:val="22"/>
              </w:rPr>
              <w:t>2010.gadā saskaņā ar Atkritumu apsaimniekošanas likumu Valsts vides dienesta</w:t>
            </w:r>
            <w:r w:rsidR="00A62881" w:rsidRPr="007E59F3">
              <w:rPr>
                <w:sz w:val="22"/>
                <w:szCs w:val="22"/>
              </w:rPr>
              <w:t xml:space="preserve"> (turpmāk – VVD)</w:t>
            </w:r>
            <w:r w:rsidRPr="007E59F3">
              <w:rPr>
                <w:sz w:val="22"/>
                <w:szCs w:val="22"/>
              </w:rPr>
              <w:t xml:space="preserve"> inspektori veikuši 329 sadzīves atkritumu apsaimniekošanas pārbaudes un 155 bīstamo atkritumu apsaimniekošanas pārbaudes uzņēmumos, uz kuriem neattiecas Ministru kabineta </w:t>
            </w:r>
            <w:r w:rsidRPr="007E59F3">
              <w:rPr>
                <w:bCs/>
                <w:sz w:val="22"/>
                <w:szCs w:val="22"/>
              </w:rPr>
              <w:t>2010.gada 30.novembra noteikumi Nr.1082 „Kārtība, kādā piesakāmas A, B un C kategorijas piesārņojošās darbības un izsniedzamas atļaujas A un B kategorijas piesārņojošo darbību veikšanai”.</w:t>
            </w:r>
          </w:p>
          <w:p w:rsidR="00D6279E" w:rsidRPr="007E59F3" w:rsidRDefault="00CE1BE5" w:rsidP="00B22A18">
            <w:pPr>
              <w:ind w:left="141" w:right="142"/>
              <w:jc w:val="both"/>
              <w:rPr>
                <w:iCs/>
              </w:rPr>
            </w:pPr>
            <w:r w:rsidRPr="007E59F3">
              <w:rPr>
                <w:sz w:val="22"/>
                <w:szCs w:val="22"/>
              </w:rPr>
              <w:t xml:space="preserve">2011.gadā Valsts vides dienesta inspektori ir veikuši 282 sadzīves atkritumu apsaimniekošanas pārbaudes un 109 bīstamo atkritumu apsaimniekošanas pārbaudes uzņēmumos, uz kuriem neattiecas Ministru </w:t>
            </w:r>
            <w:r w:rsidRPr="007E59F3">
              <w:rPr>
                <w:sz w:val="22"/>
                <w:szCs w:val="22"/>
              </w:rPr>
              <w:lastRenderedPageBreak/>
              <w:t xml:space="preserve">kabineta </w:t>
            </w:r>
            <w:r w:rsidRPr="007E59F3">
              <w:rPr>
                <w:bCs/>
                <w:sz w:val="22"/>
                <w:szCs w:val="22"/>
              </w:rPr>
              <w:t xml:space="preserve">2010.gada 30.novembra noteikumi Nr.1082 „Kārtība, kādā piesakāmas A, B un C kategorijas piesārņojošās darbības un izsniedzamas atļaujas A un B kategorijas piesārņojošo darbību veikšanai”. </w:t>
            </w:r>
            <w:r w:rsidRPr="007E59F3">
              <w:rPr>
                <w:sz w:val="22"/>
                <w:szCs w:val="22"/>
              </w:rPr>
              <w:t xml:space="preserve">Savukārt 2012.gadā Valsts vides dienesta inspektori ir veikuši </w:t>
            </w:r>
            <w:r w:rsidRPr="007E59F3">
              <w:rPr>
                <w:bCs/>
                <w:sz w:val="22"/>
                <w:szCs w:val="22"/>
              </w:rPr>
              <w:t>236</w:t>
            </w:r>
            <w:r w:rsidRPr="007E59F3">
              <w:rPr>
                <w:sz w:val="22"/>
                <w:szCs w:val="22"/>
              </w:rPr>
              <w:t xml:space="preserve"> sadzīves atkritumu apsaimniekošanas pārbaudes un </w:t>
            </w:r>
            <w:r w:rsidRPr="007E59F3">
              <w:rPr>
                <w:bCs/>
                <w:sz w:val="22"/>
                <w:szCs w:val="22"/>
              </w:rPr>
              <w:t>88</w:t>
            </w:r>
            <w:r w:rsidRPr="007E59F3">
              <w:rPr>
                <w:sz w:val="22"/>
                <w:szCs w:val="22"/>
              </w:rPr>
              <w:t xml:space="preserve"> bīstamo atkritumu apsaimniekošanas pārbaudes uzņēmumos, uz kuriem neattiecas Ministru kabineta 2010.gada 30.novembra MK noteikumi Nr.1082 „Kārtība, kādā piesakāmas A, B un C kategorijas piesārņojošās darbības un izsniedzamas atļaujas A un B kategorijas piesārņojošo darbību veikšanai”.</w:t>
            </w:r>
          </w:p>
          <w:p w:rsidR="00C2595F" w:rsidRPr="007E59F3" w:rsidRDefault="00B53E77" w:rsidP="00C43A48">
            <w:pPr>
              <w:ind w:left="142" w:right="142"/>
              <w:jc w:val="both"/>
            </w:pPr>
            <w:r w:rsidRPr="007E59F3">
              <w:rPr>
                <w:sz w:val="22"/>
                <w:szCs w:val="22"/>
              </w:rPr>
              <w:t>Saskaņā ar Latvijas Administratīvo pārkāpumu kodeksa 84.panta pirmo daļu, par vides informācijas slēpšanu vai tās atspoguļošanu sagrozītā veidā uzliek naudas sodu fiziskajām personām vai valdes loceklim no simt piecdesmit līdz tūkstoš latiem, atņemot valdes loceklim tiesības ieņemt noteiktus amatus komercsabiedrībās vai bez tā</w:t>
            </w:r>
            <w:r w:rsidR="00C702D9" w:rsidRPr="007E59F3">
              <w:rPr>
                <w:sz w:val="22"/>
                <w:szCs w:val="22"/>
              </w:rPr>
              <w:t>.</w:t>
            </w:r>
          </w:p>
        </w:tc>
      </w:tr>
      <w:tr w:rsidR="00991826" w:rsidRPr="007E59F3" w:rsidTr="00CC3EF8">
        <w:trPr>
          <w:gridAfter w:val="1"/>
          <w:wAfter w:w="42" w:type="dxa"/>
          <w:trHeight w:val="1071"/>
        </w:trPr>
        <w:tc>
          <w:tcPr>
            <w:tcW w:w="289" w:type="dxa"/>
          </w:tcPr>
          <w:p w:rsidR="00991826" w:rsidRPr="007E59F3" w:rsidRDefault="00991826" w:rsidP="007513F8">
            <w:pPr>
              <w:pStyle w:val="naiskr"/>
              <w:spacing w:before="0" w:after="0"/>
            </w:pPr>
            <w:r w:rsidRPr="007E59F3">
              <w:rPr>
                <w:sz w:val="22"/>
                <w:szCs w:val="22"/>
              </w:rPr>
              <w:lastRenderedPageBreak/>
              <w:t>3.</w:t>
            </w:r>
          </w:p>
        </w:tc>
        <w:tc>
          <w:tcPr>
            <w:tcW w:w="2410" w:type="dxa"/>
          </w:tcPr>
          <w:p w:rsidR="00991826" w:rsidRPr="007E59F3" w:rsidRDefault="00991826" w:rsidP="007513F8">
            <w:pPr>
              <w:pStyle w:val="naiskr"/>
              <w:spacing w:before="0" w:after="0"/>
            </w:pPr>
            <w:r w:rsidRPr="007E59F3">
              <w:rPr>
                <w:sz w:val="22"/>
                <w:szCs w:val="22"/>
              </w:rPr>
              <w:t>Saistītie politikas ietekmes novērtējumi un pētījumi</w:t>
            </w:r>
          </w:p>
        </w:tc>
        <w:tc>
          <w:tcPr>
            <w:tcW w:w="6903" w:type="dxa"/>
          </w:tcPr>
          <w:p w:rsidR="00991826" w:rsidRPr="007E59F3" w:rsidRDefault="009506B2" w:rsidP="008855A8">
            <w:pPr>
              <w:pStyle w:val="FootnoteText"/>
              <w:ind w:left="142" w:right="142"/>
              <w:rPr>
                <w:sz w:val="22"/>
                <w:szCs w:val="22"/>
              </w:rPr>
            </w:pPr>
            <w:r w:rsidRPr="007E59F3">
              <w:rPr>
                <w:sz w:val="22"/>
                <w:szCs w:val="22"/>
              </w:rPr>
              <w:t>Atkritumu apsaimniekošanas valsts plāns 2013.-2020.gadam (apstiprināts ar 2012.gada 21.marta Ministru kabineta rīkojumu Nr. 100 </w:t>
            </w:r>
            <w:hyperlink r:id="rId8" w:tgtFrame="_blank" w:history="1">
              <w:r w:rsidRPr="007E59F3">
                <w:rPr>
                  <w:rStyle w:val="Strong"/>
                  <w:b w:val="0"/>
                  <w:sz w:val="22"/>
                  <w:szCs w:val="22"/>
                </w:rPr>
                <w:t>"Par Atkritumu apsaimniekošanas valsts plānu 2013.-2020.gadam"</w:t>
              </w:r>
            </w:hyperlink>
            <w:r w:rsidRPr="007E59F3">
              <w:rPr>
                <w:sz w:val="22"/>
                <w:szCs w:val="22"/>
              </w:rPr>
              <w:t>) un plāna ietekmes uz vidi stratēģiskā novērtējuma vides pārskats (</w:t>
            </w:r>
            <w:r w:rsidRPr="007E59F3">
              <w:rPr>
                <w:sz w:val="22"/>
                <w:szCs w:val="22"/>
                <w:u w:val="single"/>
              </w:rPr>
              <w:t>http://www.varam.gov.lv/lat/likumdosana/normativo_aktu_projekti/?doc=16430</w:t>
            </w:r>
            <w:r w:rsidRPr="007E59F3">
              <w:rPr>
                <w:sz w:val="22"/>
                <w:szCs w:val="22"/>
              </w:rPr>
              <w:t>).</w:t>
            </w:r>
          </w:p>
        </w:tc>
      </w:tr>
      <w:tr w:rsidR="00991826" w:rsidRPr="007E59F3" w:rsidTr="00CC3EF8">
        <w:trPr>
          <w:gridAfter w:val="1"/>
          <w:wAfter w:w="42" w:type="dxa"/>
          <w:trHeight w:val="384"/>
        </w:trPr>
        <w:tc>
          <w:tcPr>
            <w:tcW w:w="289" w:type="dxa"/>
          </w:tcPr>
          <w:p w:rsidR="00991826" w:rsidRPr="007E59F3" w:rsidRDefault="00991826" w:rsidP="007513F8">
            <w:pPr>
              <w:pStyle w:val="naiskr"/>
              <w:spacing w:before="0" w:after="0"/>
            </w:pPr>
            <w:r w:rsidRPr="007E59F3">
              <w:rPr>
                <w:sz w:val="22"/>
                <w:szCs w:val="22"/>
              </w:rPr>
              <w:t>4.</w:t>
            </w:r>
          </w:p>
        </w:tc>
        <w:tc>
          <w:tcPr>
            <w:tcW w:w="2410" w:type="dxa"/>
          </w:tcPr>
          <w:p w:rsidR="00991826" w:rsidRPr="007E59F3" w:rsidRDefault="00991826" w:rsidP="007513F8">
            <w:pPr>
              <w:pStyle w:val="naiskr"/>
              <w:spacing w:before="0" w:after="0"/>
            </w:pPr>
            <w:r w:rsidRPr="007E59F3">
              <w:rPr>
                <w:sz w:val="22"/>
                <w:szCs w:val="22"/>
              </w:rPr>
              <w:t>Tiesiskā regulējuma mērķis un būtība</w:t>
            </w:r>
          </w:p>
        </w:tc>
        <w:tc>
          <w:tcPr>
            <w:tcW w:w="6903" w:type="dxa"/>
          </w:tcPr>
          <w:p w:rsidR="009506B2" w:rsidRPr="007E59F3" w:rsidRDefault="009506B2" w:rsidP="009506B2">
            <w:pPr>
              <w:ind w:left="153" w:right="142"/>
              <w:jc w:val="both"/>
            </w:pPr>
            <w:r w:rsidRPr="007E59F3">
              <w:rPr>
                <w:sz w:val="22"/>
                <w:szCs w:val="22"/>
              </w:rPr>
              <w:t>Noteikumu projekts nosaka kārtību, kādā tiks veikta būvniecībā radušos atkritumu uzskaite un būvniecībā radušos atkritumu pārvadājumu uzskaite.</w:t>
            </w:r>
            <w:r w:rsidR="00023D1C" w:rsidRPr="007E59F3">
              <w:rPr>
                <w:sz w:val="22"/>
                <w:szCs w:val="22"/>
              </w:rPr>
              <w:t xml:space="preserve"> </w:t>
            </w:r>
            <w:r w:rsidR="00360404" w:rsidRPr="007E59F3">
              <w:rPr>
                <w:sz w:val="22"/>
                <w:szCs w:val="22"/>
              </w:rPr>
              <w:t>Noteikumu projekts nav attiecināms un fiziskām personām – atkritumu radītājiem.</w:t>
            </w:r>
          </w:p>
          <w:p w:rsidR="009506B2" w:rsidRPr="007E59F3" w:rsidRDefault="009506B2" w:rsidP="009506B2">
            <w:pPr>
              <w:ind w:left="142" w:right="142"/>
              <w:jc w:val="both"/>
            </w:pPr>
            <w:r w:rsidRPr="007E59F3">
              <w:rPr>
                <w:sz w:val="22"/>
                <w:szCs w:val="22"/>
              </w:rPr>
              <w:t xml:space="preserve">Vienlaicīgi būvniecības atkritumu uzskaites sistēmas pilnveidošana uzlabos Atkritumu apsaimniekošanas valsts plānā 2013.-2020.gadam un Direktīvas 2008/98/EK 11.panta 2.daļā noteikto mērķu attiecībā uz būvniecībā radušos atkritumu reģenerāciju uzlabošanu. Jāatzīmē, ka no Direktīvas neizriet dalībvalsts pienākums veidot atsevišķu būvniecības atkritumu un to pārvadājumu uzskaites sistēmu, tomēr Direktīva uzliek dalībvalstīm pienākumu nodrošināt attiecīgo mērķu sasniegšanu, neierobežojot to rīcības brīvību mērķu sasniegšanai izmantojamo risinājumu izvēlē. Būvniecības atkritumu un to pārvadājumu uzskaitei nepieciešamā uzskaites sistēma tiktu veidota kā daļa no bīstamo atkritumu pārvadājumu uzskaites sistēmas, lai pēc iespējas mazinātu privātpersonām radīto ievērojamo papildus administratīvo un finansiālo slogu. </w:t>
            </w:r>
          </w:p>
          <w:p w:rsidR="00991826" w:rsidRPr="007E59F3" w:rsidRDefault="009506B2" w:rsidP="00D64494">
            <w:pPr>
              <w:pStyle w:val="naiskr"/>
              <w:spacing w:before="0" w:after="0"/>
              <w:ind w:left="153" w:right="142"/>
              <w:jc w:val="both"/>
            </w:pPr>
            <w:r w:rsidRPr="007E59F3">
              <w:rPr>
                <w:sz w:val="22"/>
                <w:szCs w:val="22"/>
              </w:rPr>
              <w:t>Uzskaites sistēma nedublēs jau citas esošās atkritumu un to pārvadājumu uzskaite</w:t>
            </w:r>
            <w:r w:rsidR="00D64494" w:rsidRPr="007E59F3">
              <w:rPr>
                <w:sz w:val="22"/>
                <w:szCs w:val="22"/>
              </w:rPr>
              <w:t xml:space="preserve">s sistēmas. Sagatavotajā noteikumu projektā ir </w:t>
            </w:r>
            <w:r w:rsidRPr="007E59F3">
              <w:rPr>
                <w:sz w:val="22"/>
                <w:szCs w:val="22"/>
              </w:rPr>
              <w:t>pievērsta īpaša uzmanība tam, lai komersantiem nerastos pienākums vienus un tos pašus atkritumus un to pārvadājumus deklarēt atkārtoti, tā kā daļa no būvniecības atkritumiem ir bīstamie atkritumi atbilstoši normatīvajiem aktiem par atkritumu klasifikatoru un īpašībām, kas padara atkritumus bīstamus</w:t>
            </w:r>
            <w:r w:rsidR="00D64494" w:rsidRPr="007E59F3">
              <w:rPr>
                <w:sz w:val="22"/>
                <w:szCs w:val="22"/>
              </w:rPr>
              <w:t>, tie būvniecībā radušos atkritumu un to pārvadājumu uzskaites sistēmā nebūs jādeklarē, jo tie tiek deklarēti jau Bīstamo atkritumu pārvadājumu uzskaites sistēmā</w:t>
            </w:r>
            <w:r w:rsidRPr="007E59F3">
              <w:rPr>
                <w:sz w:val="22"/>
                <w:szCs w:val="22"/>
              </w:rPr>
              <w:t>.</w:t>
            </w:r>
          </w:p>
          <w:p w:rsidR="006444F1" w:rsidRPr="007E59F3" w:rsidRDefault="006444F1" w:rsidP="00356F4F">
            <w:pPr>
              <w:ind w:left="141" w:right="99"/>
              <w:jc w:val="both"/>
            </w:pPr>
            <w:r w:rsidRPr="007E59F3">
              <w:rPr>
                <w:sz w:val="22"/>
                <w:szCs w:val="22"/>
              </w:rPr>
              <w:t>Noteikumu projekta noteiktais sistēmas lietotāju loks ierobežots līdz atkritumu apsaimniekotājiem – pārvadātājiem tāpēc, ka:</w:t>
            </w:r>
          </w:p>
          <w:p w:rsidR="006444F1" w:rsidRPr="007E59F3" w:rsidRDefault="006444F1" w:rsidP="00356F4F">
            <w:pPr>
              <w:pStyle w:val="ListParagraph"/>
              <w:numPr>
                <w:ilvl w:val="0"/>
                <w:numId w:val="10"/>
              </w:numPr>
              <w:ind w:right="99"/>
              <w:jc w:val="both"/>
            </w:pPr>
            <w:r w:rsidRPr="007E59F3">
              <w:rPr>
                <w:sz w:val="22"/>
                <w:szCs w:val="22"/>
              </w:rPr>
              <w:t>fiziskām personām – būvniecības atkritumu radītājām vai īpašniecēm – ir ierobežotas iespējas, kompetences un prasmes noteikt, vai radītie atkritumi ir piemēroti pārstrādei vai apglabāšanai. Līdz ar to attiecīgā uzskaite tiktu veikta kļūdaini, apdraudot kopējo ievadīto datu precizitāti un patiesumu. Vienlaikus norādām, ka lielākoties privātpersonas būvniecībā radušos atkritumus paši nenogādā uz pārstrādes vai noglabāšanas vietā, bet gan izmanto komersantu piedāvāto pakalpojumu;</w:t>
            </w:r>
          </w:p>
          <w:p w:rsidR="006444F1" w:rsidRPr="007E59F3" w:rsidRDefault="006444F1" w:rsidP="00356F4F">
            <w:pPr>
              <w:pStyle w:val="naiskr"/>
              <w:numPr>
                <w:ilvl w:val="0"/>
                <w:numId w:val="10"/>
              </w:numPr>
              <w:spacing w:before="0" w:after="0"/>
              <w:ind w:right="99"/>
              <w:jc w:val="both"/>
            </w:pPr>
            <w:r w:rsidRPr="007E59F3">
              <w:rPr>
                <w:sz w:val="22"/>
                <w:szCs w:val="22"/>
              </w:rPr>
              <w:t>Lai novērstu sistēmā ievadītās informācijas pārklāšanos.</w:t>
            </w:r>
          </w:p>
          <w:p w:rsidR="0055511D" w:rsidRPr="007E59F3" w:rsidRDefault="0055511D" w:rsidP="00356F4F">
            <w:pPr>
              <w:ind w:left="141" w:right="99"/>
              <w:jc w:val="both"/>
            </w:pPr>
            <w:r w:rsidRPr="007E59F3">
              <w:rPr>
                <w:sz w:val="22"/>
                <w:szCs w:val="22"/>
              </w:rPr>
              <w:t>Noteikumu projekts paredz, ka Būvniecībā radušos atkritumu pārvadājumu elektroniskai reģistrācijai un uzskaitei valsts teritorijā izmanto būvniecībā radušos atkritumu pārvadājumu uzskaites valsts informācijas sistēmu (turpmāk – sistēma).</w:t>
            </w:r>
          </w:p>
          <w:p w:rsidR="00360404" w:rsidRPr="007E59F3" w:rsidRDefault="00360404" w:rsidP="00356F4F">
            <w:pPr>
              <w:ind w:left="141" w:right="99"/>
              <w:jc w:val="both"/>
            </w:pPr>
            <w:r w:rsidRPr="007E59F3">
              <w:rPr>
                <w:sz w:val="22"/>
                <w:szCs w:val="22"/>
              </w:rPr>
              <w:t>Būvniecībā radušos atkritumu radītājam vai apsaimniekotājam (</w:t>
            </w:r>
            <w:r w:rsidR="0059015F" w:rsidRPr="007E59F3">
              <w:rPr>
                <w:sz w:val="22"/>
                <w:szCs w:val="22"/>
              </w:rPr>
              <w:t>tas nav jādara</w:t>
            </w:r>
            <w:r w:rsidRPr="007E59F3">
              <w:rPr>
                <w:sz w:val="22"/>
                <w:szCs w:val="22"/>
              </w:rPr>
              <w:t xml:space="preserve"> būvniecības atkritumu pārvadātāj</w:t>
            </w:r>
            <w:r w:rsidR="0059015F" w:rsidRPr="007E59F3">
              <w:rPr>
                <w:sz w:val="22"/>
                <w:szCs w:val="22"/>
              </w:rPr>
              <w:t>am</w:t>
            </w:r>
            <w:r w:rsidRPr="007E59F3">
              <w:rPr>
                <w:sz w:val="22"/>
                <w:szCs w:val="22"/>
              </w:rPr>
              <w:t>),</w:t>
            </w:r>
            <w:r w:rsidR="0059015F" w:rsidRPr="007E59F3">
              <w:rPr>
                <w:sz w:val="22"/>
                <w:szCs w:val="22"/>
              </w:rPr>
              <w:t xml:space="preserve"> ir jān</w:t>
            </w:r>
            <w:r w:rsidRPr="007E59F3">
              <w:rPr>
                <w:sz w:val="22"/>
                <w:szCs w:val="22"/>
              </w:rPr>
              <w:t>odrošina būvniecībā radušos atkritumu uzskaiti īpašā žurnālā papīra vai elektroniskā veidā</w:t>
            </w:r>
            <w:r w:rsidR="00537C18" w:rsidRPr="007E59F3">
              <w:rPr>
                <w:sz w:val="22"/>
                <w:szCs w:val="22"/>
              </w:rPr>
              <w:t xml:space="preserve"> (noteikumu projekta 1.pielikums)</w:t>
            </w:r>
            <w:r w:rsidRPr="007E59F3">
              <w:rPr>
                <w:sz w:val="22"/>
                <w:szCs w:val="22"/>
              </w:rPr>
              <w:t>.</w:t>
            </w:r>
            <w:r w:rsidR="00537C18" w:rsidRPr="007E59F3">
              <w:rPr>
                <w:sz w:val="22"/>
                <w:szCs w:val="22"/>
              </w:rPr>
              <w:t xml:space="preserve"> Šāda </w:t>
            </w:r>
            <w:r w:rsidR="0059015F" w:rsidRPr="007E59F3">
              <w:rPr>
                <w:sz w:val="22"/>
                <w:szCs w:val="22"/>
              </w:rPr>
              <w:t>darbība nepieciešama, lai Valsts vides dienesta pārstāvjiem būtu iespēja veikt attiecīgas pārbaudes, nodrošinot pārvadājamo būvniecības atkritumu izcelsmes vietas un daudzuma datu atbilstību būvniecībā radušos atkritumu uzskaite un pārvadājumu sistēmā ievadītajiem datiem.</w:t>
            </w:r>
          </w:p>
          <w:p w:rsidR="0055511D" w:rsidRPr="007E59F3" w:rsidRDefault="00B22A18" w:rsidP="00356F4F">
            <w:pPr>
              <w:ind w:left="141" w:right="99"/>
              <w:jc w:val="both"/>
            </w:pPr>
            <w:r w:rsidRPr="007E59F3">
              <w:rPr>
                <w:sz w:val="22"/>
                <w:szCs w:val="22"/>
              </w:rPr>
              <w:t>Sistēmas administratīvais darbības modelis ir šāds – s</w:t>
            </w:r>
            <w:r w:rsidR="0055511D" w:rsidRPr="007E59F3">
              <w:rPr>
                <w:sz w:val="22"/>
                <w:szCs w:val="22"/>
              </w:rPr>
              <w:t>istēmas pārzinis reģistrē attiecīgo sistēmas lietotāju, piešķirot tam lietotājvārdu un paroli, pamatojoties uz attiecīgās iestādes vadītāja vai komersanta rakstisku iesniegumu.</w:t>
            </w:r>
          </w:p>
          <w:p w:rsidR="0055511D" w:rsidRPr="007E59F3" w:rsidRDefault="0055511D" w:rsidP="0055511D">
            <w:pPr>
              <w:pStyle w:val="naiskr"/>
              <w:spacing w:before="0" w:after="0"/>
              <w:ind w:left="153" w:right="142"/>
              <w:jc w:val="both"/>
            </w:pPr>
            <w:r w:rsidRPr="007E59F3">
              <w:rPr>
                <w:sz w:val="22"/>
                <w:szCs w:val="22"/>
              </w:rPr>
              <w:t>Sistēmas pārzinis, izmantojot internetu, nodrošina sistēmas lietotājam iespēju sistēmā elektroniski aizpildīt būvniecībā radušos atkritumu pārvadājumu kartes – pavadzīmes (turpmāk – pavadzīme) veidlapu (2.pielikums), kā arī iespēju sekot līdzi sistēmas aprēķinātajai bilancei (atkritumu daudzumam, kas atrodas pie lietotāja) par sistēmas lietotāja veiktajiem pārvadājumiem. Noteikumu projekts nenosaka kārtību, kādā veidā (papīra vai elek</w:t>
            </w:r>
            <w:r w:rsidR="00E369BE" w:rsidRPr="007E59F3">
              <w:rPr>
                <w:sz w:val="22"/>
                <w:szCs w:val="22"/>
              </w:rPr>
              <w:t>tr</w:t>
            </w:r>
            <w:r w:rsidRPr="007E59F3">
              <w:rPr>
                <w:sz w:val="22"/>
                <w:szCs w:val="22"/>
              </w:rPr>
              <w:t>oniski) tiek noformētas pavadzīmes atkritumu pārvadājumam no atkritumu nosūtītāja līdz atkritumu saņēmējam, tomēr noteikum</w:t>
            </w:r>
            <w:r w:rsidR="00B22A18" w:rsidRPr="007E59F3">
              <w:rPr>
                <w:sz w:val="22"/>
                <w:szCs w:val="22"/>
              </w:rPr>
              <w:t>u projektā</w:t>
            </w:r>
            <w:r w:rsidRPr="007E59F3">
              <w:rPr>
                <w:sz w:val="22"/>
                <w:szCs w:val="22"/>
              </w:rPr>
              <w:t xml:space="preserve"> tiek noteiktas vienveidīgas prasības pavadzīmē iekļaujamai informācijai, lai nodrošinātu gan atkritumu pārvadājumos iesaistītajām personām, gan valsts un pašvaldību iestādēm, kuras normatīvajos aktos noteikto funkciju izpildei izmanto sistēmā iekļauto informāciju, ir pieejama visa nepieciešamā informācija par attiecīgo atkritumu pārvadājumu.</w:t>
            </w:r>
            <w:r w:rsidR="00360404" w:rsidRPr="007E59F3">
              <w:rPr>
                <w:b/>
                <w:sz w:val="28"/>
                <w:szCs w:val="28"/>
              </w:rPr>
              <w:t xml:space="preserve"> </w:t>
            </w:r>
            <w:r w:rsidR="00360404" w:rsidRPr="007E59F3">
              <w:rPr>
                <w:sz w:val="22"/>
                <w:szCs w:val="22"/>
              </w:rPr>
              <w:t>Sistēmas lietotājs ir atbildīgs par savlaicīgu un patiesu datu ievadīšanu sistēmā. Ja sistēmas lietotājs nepiekrīt sistēmas uzskaitītajai informācijai, tas 30 dienu laikā par to rakstiski paziņo sistēmas pārzinim. Sistēmas pārzinis nodrošina informācijas labojumu</w:t>
            </w:r>
            <w:r w:rsidR="00C67AE0" w:rsidRPr="007E59F3">
              <w:rPr>
                <w:sz w:val="22"/>
                <w:szCs w:val="22"/>
              </w:rPr>
              <w:t xml:space="preserve"> </w:t>
            </w:r>
            <w:r w:rsidR="00430097" w:rsidRPr="007E59F3">
              <w:rPr>
                <w:sz w:val="22"/>
                <w:szCs w:val="22"/>
              </w:rPr>
              <w:t>desmit</w:t>
            </w:r>
            <w:r w:rsidR="00C67AE0" w:rsidRPr="007E59F3">
              <w:rPr>
                <w:sz w:val="22"/>
                <w:szCs w:val="22"/>
              </w:rPr>
              <w:t xml:space="preserve"> darbadienu laikā</w:t>
            </w:r>
            <w:r w:rsidR="00360404" w:rsidRPr="007E59F3">
              <w:rPr>
                <w:sz w:val="22"/>
                <w:szCs w:val="22"/>
              </w:rPr>
              <w:t>.</w:t>
            </w:r>
          </w:p>
          <w:p w:rsidR="00B22A18" w:rsidRPr="007E59F3" w:rsidRDefault="00B22A18" w:rsidP="0055511D">
            <w:pPr>
              <w:pStyle w:val="naiskr"/>
              <w:spacing w:before="0" w:after="0"/>
              <w:ind w:left="153" w:right="142"/>
              <w:jc w:val="both"/>
            </w:pPr>
            <w:r w:rsidRPr="007E59F3">
              <w:rPr>
                <w:sz w:val="22"/>
                <w:szCs w:val="22"/>
              </w:rPr>
              <w:t>Būvniecībā radušos atkritumu radītājam vai apsaimniekotājam ir pienākums, pārvadājot un uzglabājot būvniecībā radušos atkritumus, tos marķēt un iepakot atbilstoši normatīvajiem aktiem par kravu pārvadājumiem.</w:t>
            </w:r>
          </w:p>
          <w:p w:rsidR="00BA36F3" w:rsidRPr="007E59F3" w:rsidRDefault="00BA36F3" w:rsidP="00760919">
            <w:pPr>
              <w:pStyle w:val="naiskr"/>
              <w:spacing w:before="0" w:after="0"/>
              <w:ind w:left="153" w:right="142"/>
              <w:jc w:val="both"/>
            </w:pPr>
            <w:r w:rsidRPr="007E59F3">
              <w:rPr>
                <w:noProof/>
                <w:sz w:val="22"/>
                <w:szCs w:val="22"/>
              </w:rPr>
              <w:t xml:space="preserve">Pamatojoties uz Atkritumu apsaimniekošanas likuma 17.panta desmitās daļas deleģējumu,  Būvniecībā radušos atkritumu un to pārvadājumu uzskaites sistēmas darbības sākums plānots 2014.gada </w:t>
            </w:r>
            <w:r w:rsidR="0045283F" w:rsidRPr="007E59F3">
              <w:rPr>
                <w:noProof/>
                <w:sz w:val="22"/>
                <w:szCs w:val="22"/>
              </w:rPr>
              <w:t>1.</w:t>
            </w:r>
            <w:r w:rsidR="00760919" w:rsidRPr="007E59F3">
              <w:rPr>
                <w:noProof/>
                <w:sz w:val="22"/>
                <w:szCs w:val="22"/>
              </w:rPr>
              <w:t>maijā</w:t>
            </w:r>
            <w:r w:rsidR="0045283F" w:rsidRPr="007E59F3">
              <w:rPr>
                <w:noProof/>
                <w:sz w:val="22"/>
                <w:szCs w:val="22"/>
              </w:rPr>
              <w:t>.</w:t>
            </w:r>
          </w:p>
        </w:tc>
      </w:tr>
      <w:tr w:rsidR="00991826" w:rsidRPr="007E59F3" w:rsidTr="00CC3EF8">
        <w:trPr>
          <w:gridAfter w:val="1"/>
          <w:wAfter w:w="42" w:type="dxa"/>
          <w:trHeight w:val="476"/>
        </w:trPr>
        <w:tc>
          <w:tcPr>
            <w:tcW w:w="289" w:type="dxa"/>
          </w:tcPr>
          <w:p w:rsidR="00991826" w:rsidRPr="007E59F3" w:rsidRDefault="00991826" w:rsidP="007513F8">
            <w:pPr>
              <w:pStyle w:val="naiskr"/>
              <w:spacing w:before="0" w:after="0"/>
            </w:pPr>
            <w:r w:rsidRPr="007E59F3">
              <w:rPr>
                <w:sz w:val="22"/>
                <w:szCs w:val="22"/>
              </w:rPr>
              <w:t>5.</w:t>
            </w:r>
          </w:p>
        </w:tc>
        <w:tc>
          <w:tcPr>
            <w:tcW w:w="2410" w:type="dxa"/>
          </w:tcPr>
          <w:p w:rsidR="00991826" w:rsidRPr="007E59F3" w:rsidRDefault="00991826" w:rsidP="007513F8">
            <w:pPr>
              <w:pStyle w:val="naiskr"/>
              <w:spacing w:before="0" w:after="0"/>
            </w:pPr>
            <w:r w:rsidRPr="007E59F3">
              <w:rPr>
                <w:sz w:val="22"/>
                <w:szCs w:val="22"/>
              </w:rPr>
              <w:t>Projekta izstrādē iesaistītās institūcijas</w:t>
            </w:r>
          </w:p>
        </w:tc>
        <w:tc>
          <w:tcPr>
            <w:tcW w:w="6903" w:type="dxa"/>
          </w:tcPr>
          <w:p w:rsidR="00265BBC" w:rsidRPr="007E59F3" w:rsidRDefault="00265BBC" w:rsidP="00B853AC">
            <w:pPr>
              <w:pStyle w:val="naiskr"/>
              <w:spacing w:before="0" w:after="0"/>
              <w:ind w:left="142" w:right="142"/>
              <w:rPr>
                <w:iCs/>
              </w:rPr>
            </w:pPr>
            <w:r w:rsidRPr="007E59F3">
              <w:rPr>
                <w:iCs/>
                <w:sz w:val="22"/>
                <w:szCs w:val="22"/>
              </w:rPr>
              <w:t>Latvijas Vides, ģeo</w:t>
            </w:r>
            <w:r w:rsidR="00B853AC" w:rsidRPr="007E59F3">
              <w:rPr>
                <w:iCs/>
                <w:sz w:val="22"/>
                <w:szCs w:val="22"/>
              </w:rPr>
              <w:t>loģijas un meteoroloģijas cents</w:t>
            </w:r>
          </w:p>
        </w:tc>
      </w:tr>
      <w:tr w:rsidR="00991826" w:rsidRPr="007E59F3" w:rsidTr="00CC3EF8">
        <w:trPr>
          <w:gridAfter w:val="1"/>
          <w:wAfter w:w="42" w:type="dxa"/>
          <w:trHeight w:val="805"/>
        </w:trPr>
        <w:tc>
          <w:tcPr>
            <w:tcW w:w="289" w:type="dxa"/>
          </w:tcPr>
          <w:p w:rsidR="00991826" w:rsidRPr="007E59F3" w:rsidRDefault="00991826" w:rsidP="007513F8">
            <w:pPr>
              <w:pStyle w:val="naiskr"/>
              <w:spacing w:before="0" w:after="0"/>
            </w:pPr>
            <w:r w:rsidRPr="007E59F3">
              <w:rPr>
                <w:sz w:val="22"/>
                <w:szCs w:val="22"/>
              </w:rPr>
              <w:t>6.</w:t>
            </w:r>
          </w:p>
        </w:tc>
        <w:tc>
          <w:tcPr>
            <w:tcW w:w="2410" w:type="dxa"/>
          </w:tcPr>
          <w:p w:rsidR="00991826" w:rsidRPr="007E59F3" w:rsidRDefault="00991826" w:rsidP="007513F8">
            <w:pPr>
              <w:pStyle w:val="naiskr"/>
              <w:spacing w:before="0" w:after="0"/>
              <w:rPr>
                <w:i/>
              </w:rPr>
            </w:pPr>
            <w:r w:rsidRPr="007E59F3">
              <w:rPr>
                <w:sz w:val="22"/>
                <w:szCs w:val="22"/>
              </w:rPr>
              <w:t>Iemesli, kādēļ netika nodrošināta sabiedrības līdzdalība</w:t>
            </w:r>
          </w:p>
        </w:tc>
        <w:tc>
          <w:tcPr>
            <w:tcW w:w="6903" w:type="dxa"/>
          </w:tcPr>
          <w:p w:rsidR="00991826" w:rsidRPr="007E59F3" w:rsidRDefault="00FE53AA" w:rsidP="009506B2">
            <w:pPr>
              <w:pStyle w:val="FootnoteText"/>
              <w:ind w:left="142" w:right="142"/>
              <w:rPr>
                <w:sz w:val="22"/>
                <w:szCs w:val="22"/>
              </w:rPr>
            </w:pPr>
            <w:r w:rsidRPr="007E59F3">
              <w:rPr>
                <w:sz w:val="22"/>
                <w:szCs w:val="22"/>
              </w:rPr>
              <w:t>Nav.</w:t>
            </w:r>
          </w:p>
        </w:tc>
      </w:tr>
      <w:tr w:rsidR="00991826" w:rsidRPr="007E59F3" w:rsidTr="00CC3EF8">
        <w:trPr>
          <w:gridAfter w:val="1"/>
          <w:wAfter w:w="42" w:type="dxa"/>
        </w:trPr>
        <w:tc>
          <w:tcPr>
            <w:tcW w:w="289" w:type="dxa"/>
          </w:tcPr>
          <w:p w:rsidR="00991826" w:rsidRPr="007E59F3" w:rsidRDefault="00991826" w:rsidP="007513F8">
            <w:pPr>
              <w:pStyle w:val="naiskr"/>
              <w:spacing w:before="0" w:after="0"/>
            </w:pPr>
            <w:r w:rsidRPr="007E59F3">
              <w:rPr>
                <w:sz w:val="22"/>
                <w:szCs w:val="22"/>
              </w:rPr>
              <w:t>7.</w:t>
            </w:r>
          </w:p>
        </w:tc>
        <w:tc>
          <w:tcPr>
            <w:tcW w:w="2410" w:type="dxa"/>
          </w:tcPr>
          <w:p w:rsidR="00991826" w:rsidRPr="007E59F3" w:rsidRDefault="00991826" w:rsidP="007513F8">
            <w:pPr>
              <w:pStyle w:val="naiskr"/>
              <w:spacing w:before="0" w:after="0"/>
            </w:pPr>
            <w:r w:rsidRPr="007E59F3">
              <w:rPr>
                <w:sz w:val="22"/>
                <w:szCs w:val="22"/>
              </w:rPr>
              <w:t>Cita informācija</w:t>
            </w:r>
          </w:p>
        </w:tc>
        <w:tc>
          <w:tcPr>
            <w:tcW w:w="6903" w:type="dxa"/>
          </w:tcPr>
          <w:p w:rsidR="00991826" w:rsidRPr="007E59F3" w:rsidRDefault="00FE53AA" w:rsidP="009506B2">
            <w:pPr>
              <w:pStyle w:val="naiskr"/>
              <w:spacing w:before="0" w:after="0"/>
              <w:ind w:left="142" w:right="142"/>
            </w:pPr>
            <w:r w:rsidRPr="007E59F3">
              <w:rPr>
                <w:sz w:val="22"/>
                <w:szCs w:val="22"/>
              </w:rPr>
              <w:t>Nav.</w:t>
            </w:r>
          </w:p>
        </w:tc>
      </w:tr>
    </w:tbl>
    <w:p w:rsidR="00991826" w:rsidRPr="007E59F3" w:rsidRDefault="00991826" w:rsidP="00991826">
      <w:pPr>
        <w:pStyle w:val="naisf"/>
        <w:spacing w:before="0" w:after="0"/>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835"/>
        <w:gridCol w:w="5812"/>
      </w:tblGrid>
      <w:tr w:rsidR="00991826" w:rsidRPr="007E59F3" w:rsidTr="00A85BC1">
        <w:tc>
          <w:tcPr>
            <w:tcW w:w="9219" w:type="dxa"/>
            <w:gridSpan w:val="3"/>
            <w:vAlign w:val="center"/>
          </w:tcPr>
          <w:p w:rsidR="00991826" w:rsidRPr="007E59F3" w:rsidRDefault="00991826" w:rsidP="00A85BC1">
            <w:pPr>
              <w:pStyle w:val="naisnod"/>
              <w:spacing w:before="0" w:after="0"/>
            </w:pPr>
            <w:r w:rsidRPr="007E59F3">
              <w:t>II. Tiesību akta projekta ietekme uz sabiedrību</w:t>
            </w:r>
          </w:p>
        </w:tc>
      </w:tr>
      <w:tr w:rsidR="00FE53AA" w:rsidRPr="007E59F3" w:rsidTr="00A85BC1">
        <w:trPr>
          <w:trHeight w:val="467"/>
        </w:trPr>
        <w:tc>
          <w:tcPr>
            <w:tcW w:w="572" w:type="dxa"/>
          </w:tcPr>
          <w:p w:rsidR="00FE53AA" w:rsidRPr="007E59F3" w:rsidRDefault="00FE53AA" w:rsidP="00A85BC1">
            <w:pPr>
              <w:pStyle w:val="naiskr"/>
              <w:spacing w:before="0" w:after="0"/>
            </w:pPr>
            <w:r w:rsidRPr="007E59F3">
              <w:rPr>
                <w:sz w:val="22"/>
                <w:szCs w:val="22"/>
              </w:rPr>
              <w:t>1.</w:t>
            </w:r>
          </w:p>
        </w:tc>
        <w:tc>
          <w:tcPr>
            <w:tcW w:w="2835" w:type="dxa"/>
          </w:tcPr>
          <w:p w:rsidR="00FE53AA" w:rsidRPr="007E59F3" w:rsidRDefault="00FE53AA" w:rsidP="00A85BC1">
            <w:pPr>
              <w:pStyle w:val="naiskr"/>
              <w:spacing w:before="0" w:after="0"/>
            </w:pPr>
            <w:r w:rsidRPr="007E59F3">
              <w:rPr>
                <w:sz w:val="22"/>
                <w:szCs w:val="22"/>
              </w:rPr>
              <w:t>Sabiedrības mērķgrupa</w:t>
            </w:r>
          </w:p>
        </w:tc>
        <w:tc>
          <w:tcPr>
            <w:tcW w:w="5812" w:type="dxa"/>
          </w:tcPr>
          <w:p w:rsidR="00FE53AA" w:rsidRPr="007E59F3" w:rsidRDefault="00FE53AA" w:rsidP="00A85BC1">
            <w:pPr>
              <w:pStyle w:val="naiskr"/>
              <w:spacing w:before="0" w:after="0"/>
              <w:ind w:left="142" w:right="113"/>
              <w:jc w:val="both"/>
            </w:pPr>
            <w:r w:rsidRPr="007E59F3">
              <w:rPr>
                <w:sz w:val="22"/>
                <w:szCs w:val="22"/>
              </w:rPr>
              <w:t>Noteikumu projektā noteiktās prasības attiecas uz atkritumu apsaimniekošanas komersantiem, kuri nodarbojas ar būvniecības atkritumu apsaimniekošanu, kā arī komersantiem - būvniecīb</w:t>
            </w:r>
            <w:r w:rsidR="00A848FD" w:rsidRPr="007E59F3">
              <w:rPr>
                <w:sz w:val="22"/>
                <w:szCs w:val="22"/>
              </w:rPr>
              <w:t>ā</w:t>
            </w:r>
            <w:r w:rsidRPr="007E59F3">
              <w:rPr>
                <w:sz w:val="22"/>
                <w:szCs w:val="22"/>
              </w:rPr>
              <w:t xml:space="preserve"> radušos atkritumu radītājiem. </w:t>
            </w:r>
          </w:p>
          <w:p w:rsidR="00CB314B" w:rsidRPr="007E59F3" w:rsidRDefault="00CB314B" w:rsidP="00CB314B">
            <w:pPr>
              <w:pStyle w:val="naiskr"/>
              <w:spacing w:before="0" w:after="0"/>
              <w:ind w:left="142" w:right="113"/>
              <w:jc w:val="both"/>
            </w:pPr>
            <w:r w:rsidRPr="007E59F3">
              <w:rPr>
                <w:sz w:val="22"/>
                <w:szCs w:val="22"/>
              </w:rPr>
              <w:t xml:space="preserve">Plānotais sistēmas lietotāju skaits ir </w:t>
            </w:r>
            <w:r w:rsidR="00BB0CD1" w:rsidRPr="007E59F3">
              <w:rPr>
                <w:sz w:val="22"/>
                <w:szCs w:val="22"/>
              </w:rPr>
              <w:t>1</w:t>
            </w:r>
            <w:r w:rsidRPr="007E59F3">
              <w:rPr>
                <w:sz w:val="22"/>
                <w:szCs w:val="22"/>
              </w:rPr>
              <w:t>30 būvniecībā radušos atkritumu apsaimniekotāji – pārvadātāji.</w:t>
            </w:r>
          </w:p>
        </w:tc>
      </w:tr>
      <w:tr w:rsidR="00FE53AA" w:rsidRPr="007E59F3" w:rsidTr="00A85BC1">
        <w:trPr>
          <w:trHeight w:val="523"/>
        </w:trPr>
        <w:tc>
          <w:tcPr>
            <w:tcW w:w="572" w:type="dxa"/>
          </w:tcPr>
          <w:p w:rsidR="00FE53AA" w:rsidRPr="007E59F3" w:rsidRDefault="00FE53AA" w:rsidP="00A85BC1">
            <w:pPr>
              <w:pStyle w:val="naiskr"/>
              <w:spacing w:before="0" w:after="0"/>
            </w:pPr>
            <w:r w:rsidRPr="007E59F3">
              <w:rPr>
                <w:sz w:val="22"/>
                <w:szCs w:val="22"/>
              </w:rPr>
              <w:t>2.</w:t>
            </w:r>
          </w:p>
        </w:tc>
        <w:tc>
          <w:tcPr>
            <w:tcW w:w="2835" w:type="dxa"/>
          </w:tcPr>
          <w:p w:rsidR="00FE53AA" w:rsidRPr="007E59F3" w:rsidRDefault="00FE53AA" w:rsidP="00A85BC1">
            <w:pPr>
              <w:pStyle w:val="naiskr"/>
              <w:spacing w:before="0" w:after="0"/>
            </w:pPr>
            <w:r w:rsidRPr="007E59F3">
              <w:rPr>
                <w:sz w:val="22"/>
                <w:szCs w:val="22"/>
              </w:rPr>
              <w:t>Citas sabiedrības grupas (bez mērķgrupas), kuras tiesiskais regulējums arī ietekmē vai varētu ietekmēt</w:t>
            </w:r>
          </w:p>
        </w:tc>
        <w:tc>
          <w:tcPr>
            <w:tcW w:w="5812" w:type="dxa"/>
          </w:tcPr>
          <w:p w:rsidR="00FE53AA" w:rsidRPr="007E59F3" w:rsidRDefault="00FE53AA" w:rsidP="00A85BC1">
            <w:pPr>
              <w:ind w:left="142" w:right="113"/>
              <w:jc w:val="both"/>
            </w:pPr>
            <w:r w:rsidRPr="007E59F3">
              <w:rPr>
                <w:sz w:val="22"/>
                <w:szCs w:val="22"/>
              </w:rPr>
              <w:t>Nav attiecināms.</w:t>
            </w:r>
          </w:p>
        </w:tc>
      </w:tr>
      <w:tr w:rsidR="00E2346D" w:rsidRPr="007E59F3" w:rsidTr="00A85BC1">
        <w:trPr>
          <w:trHeight w:val="517"/>
        </w:trPr>
        <w:tc>
          <w:tcPr>
            <w:tcW w:w="572" w:type="dxa"/>
          </w:tcPr>
          <w:p w:rsidR="00E2346D" w:rsidRPr="007E59F3" w:rsidRDefault="00E2346D" w:rsidP="00A85BC1">
            <w:pPr>
              <w:pStyle w:val="naiskr"/>
              <w:spacing w:before="0" w:after="0"/>
            </w:pPr>
            <w:r w:rsidRPr="007E59F3">
              <w:rPr>
                <w:sz w:val="22"/>
                <w:szCs w:val="22"/>
              </w:rPr>
              <w:t>3.</w:t>
            </w:r>
          </w:p>
        </w:tc>
        <w:tc>
          <w:tcPr>
            <w:tcW w:w="2835" w:type="dxa"/>
          </w:tcPr>
          <w:p w:rsidR="00E2346D" w:rsidRPr="007E59F3" w:rsidRDefault="00E2346D" w:rsidP="00A85BC1">
            <w:pPr>
              <w:pStyle w:val="naiskr"/>
              <w:spacing w:before="0" w:after="0"/>
            </w:pPr>
            <w:r w:rsidRPr="007E59F3">
              <w:rPr>
                <w:sz w:val="22"/>
                <w:szCs w:val="22"/>
              </w:rPr>
              <w:t>Tiesiskā regulējuma finansiālā ietekme</w:t>
            </w:r>
          </w:p>
        </w:tc>
        <w:tc>
          <w:tcPr>
            <w:tcW w:w="5812" w:type="dxa"/>
          </w:tcPr>
          <w:p w:rsidR="00561AC4" w:rsidRPr="007E59F3" w:rsidRDefault="00561AC4" w:rsidP="00967867">
            <w:pPr>
              <w:ind w:left="142" w:right="113"/>
              <w:jc w:val="both"/>
            </w:pPr>
            <w:r w:rsidRPr="007E59F3">
              <w:t>Saskaņā ar Atkritumu apsaimniekošanas likuma 1.panta 4.punktu būvniecības atkritumi ir uzskatāmi par ražošanas atkritumiem. Saskaņā ar Atkritumu apsaimniekošanas likuma 39.panta pirmo daļu maksu par bīstamo vai ražošanas atkritumu savākšanu, pārvadāšanu, pārkraušanu, uzglabāšanu, reģenerāciju vai ražošanas atkritumu apglabāšanu sadzīves atkritumu poligonā nosaka, bīstamo vai ražošanas atkritumu radītājam vai valdītājam vienojoties ar atkritumu apsaimniekotāju, kas veic attiecīgās atkritumu apsaimniekošanas darbības.</w:t>
            </w:r>
          </w:p>
          <w:p w:rsidR="00967867" w:rsidRPr="007E59F3" w:rsidRDefault="00967867" w:rsidP="00967867">
            <w:pPr>
              <w:ind w:left="142" w:right="113"/>
              <w:jc w:val="both"/>
              <w:rPr>
                <w:bCs/>
              </w:rPr>
            </w:pPr>
            <w:r w:rsidRPr="007E59F3">
              <w:rPr>
                <w:sz w:val="22"/>
                <w:szCs w:val="22"/>
              </w:rPr>
              <w:t>Maksu par būvniecībā radušos atkritumu un to pārvadājumu uzskaiti</w:t>
            </w:r>
            <w:r w:rsidRPr="007E59F3">
              <w:rPr>
                <w:bCs/>
                <w:sz w:val="22"/>
                <w:szCs w:val="22"/>
              </w:rPr>
              <w:t xml:space="preserve"> </w:t>
            </w:r>
            <w:r w:rsidRPr="007E59F3">
              <w:rPr>
                <w:sz w:val="22"/>
                <w:szCs w:val="22"/>
              </w:rPr>
              <w:t xml:space="preserve">persona, kura veic būvniecības atkritumu pārvadājumus, </w:t>
            </w:r>
            <w:r w:rsidRPr="007E59F3">
              <w:rPr>
                <w:bCs/>
                <w:sz w:val="22"/>
                <w:szCs w:val="22"/>
              </w:rPr>
              <w:t xml:space="preserve">maksā </w:t>
            </w:r>
            <w:r w:rsidRPr="007E59F3">
              <w:rPr>
                <w:sz w:val="22"/>
                <w:szCs w:val="22"/>
              </w:rPr>
              <w:t xml:space="preserve">valsts kapitālsabiedrībai </w:t>
            </w:r>
            <w:r w:rsidR="00B853AC" w:rsidRPr="007E59F3">
              <w:rPr>
                <w:sz w:val="22"/>
                <w:szCs w:val="22"/>
              </w:rPr>
              <w:t>LVĢMC</w:t>
            </w:r>
            <w:r w:rsidRPr="007E59F3">
              <w:rPr>
                <w:sz w:val="22"/>
                <w:szCs w:val="22"/>
              </w:rPr>
              <w:t>. Minēto maksu veidos:</w:t>
            </w:r>
          </w:p>
          <w:p w:rsidR="00967867" w:rsidRPr="007E59F3" w:rsidRDefault="00967867" w:rsidP="00967867">
            <w:pPr>
              <w:pStyle w:val="ListParagraph"/>
              <w:numPr>
                <w:ilvl w:val="0"/>
                <w:numId w:val="1"/>
              </w:numPr>
              <w:ind w:left="426"/>
              <w:jc w:val="both"/>
            </w:pPr>
            <w:r w:rsidRPr="007E59F3">
              <w:rPr>
                <w:sz w:val="22"/>
                <w:szCs w:val="22"/>
              </w:rPr>
              <w:t xml:space="preserve">ikgadējā maksa par būvniecībā radušos atkritumu pārvadājumu uzskaiti neatkarīgi no tā, cik mēnešus gadā persona izmanto sistēmu, – </w:t>
            </w:r>
            <w:r w:rsidR="0045283F" w:rsidRPr="007E59F3">
              <w:rPr>
                <w:sz w:val="22"/>
                <w:szCs w:val="22"/>
              </w:rPr>
              <w:t xml:space="preserve">472 </w:t>
            </w:r>
            <w:r w:rsidRPr="007E59F3">
              <w:rPr>
                <w:i/>
                <w:sz w:val="22"/>
                <w:szCs w:val="22"/>
              </w:rPr>
              <w:t>euro</w:t>
            </w:r>
            <w:r w:rsidRPr="007E59F3">
              <w:rPr>
                <w:sz w:val="22"/>
                <w:szCs w:val="22"/>
              </w:rPr>
              <w:t xml:space="preserve"> (+</w:t>
            </w:r>
            <w:r w:rsidR="009B5C86" w:rsidRPr="007E59F3">
              <w:rPr>
                <w:sz w:val="22"/>
                <w:szCs w:val="22"/>
              </w:rPr>
              <w:t xml:space="preserve"> pievienotās vērtības nodoklis (turpmāk – </w:t>
            </w:r>
            <w:r w:rsidRPr="007E59F3">
              <w:rPr>
                <w:sz w:val="22"/>
                <w:szCs w:val="22"/>
              </w:rPr>
              <w:t>PVN</w:t>
            </w:r>
            <w:r w:rsidR="009B5C86" w:rsidRPr="007E59F3">
              <w:rPr>
                <w:sz w:val="22"/>
                <w:szCs w:val="22"/>
              </w:rPr>
              <w:t>)</w:t>
            </w:r>
            <w:r w:rsidRPr="007E59F3">
              <w:rPr>
                <w:sz w:val="22"/>
                <w:szCs w:val="22"/>
              </w:rPr>
              <w:t>)</w:t>
            </w:r>
            <w:r w:rsidR="00EF7F3D" w:rsidRPr="007E59F3">
              <w:rPr>
                <w:sz w:val="22"/>
                <w:szCs w:val="22"/>
              </w:rPr>
              <w:t>. Detalizēts maksas veidojošais aprēķins 1.pielikumā</w:t>
            </w:r>
            <w:r w:rsidRPr="007E59F3">
              <w:rPr>
                <w:sz w:val="22"/>
                <w:szCs w:val="22"/>
              </w:rPr>
              <w:t>;</w:t>
            </w:r>
          </w:p>
          <w:p w:rsidR="00967867" w:rsidRPr="007E59F3" w:rsidRDefault="00967867" w:rsidP="00967867">
            <w:pPr>
              <w:pStyle w:val="naisf"/>
              <w:numPr>
                <w:ilvl w:val="0"/>
                <w:numId w:val="1"/>
              </w:numPr>
              <w:spacing w:before="0" w:after="0"/>
              <w:ind w:left="426" w:right="72"/>
            </w:pPr>
            <w:r w:rsidRPr="007E59F3">
              <w:rPr>
                <w:sz w:val="22"/>
                <w:szCs w:val="22"/>
              </w:rPr>
              <w:t>maksa par katru sistēmā reģistrēto pavadzīmi – 1.4</w:t>
            </w:r>
            <w:r w:rsidR="00760919" w:rsidRPr="007E59F3">
              <w:rPr>
                <w:sz w:val="22"/>
                <w:szCs w:val="22"/>
              </w:rPr>
              <w:t>3</w:t>
            </w:r>
            <w:r w:rsidRPr="007E59F3">
              <w:rPr>
                <w:sz w:val="22"/>
                <w:szCs w:val="22"/>
              </w:rPr>
              <w:t xml:space="preserve"> </w:t>
            </w:r>
            <w:r w:rsidRPr="007E59F3">
              <w:rPr>
                <w:i/>
                <w:sz w:val="22"/>
                <w:szCs w:val="22"/>
              </w:rPr>
              <w:t xml:space="preserve">euro </w:t>
            </w:r>
            <w:r w:rsidRPr="007E59F3">
              <w:rPr>
                <w:sz w:val="22"/>
                <w:szCs w:val="22"/>
              </w:rPr>
              <w:t>(+PVN) par katru pavadzīmi.</w:t>
            </w:r>
            <w:r w:rsidR="00EF7F3D" w:rsidRPr="007E59F3">
              <w:rPr>
                <w:sz w:val="22"/>
                <w:szCs w:val="22"/>
              </w:rPr>
              <w:t xml:space="preserve">  Detalizēts maksas veidojošais aprēķins 2.pielikumā.</w:t>
            </w:r>
          </w:p>
          <w:p w:rsidR="00967867" w:rsidRPr="007E59F3" w:rsidRDefault="00967867" w:rsidP="00107DC3">
            <w:pPr>
              <w:spacing w:before="60"/>
              <w:ind w:left="72" w:right="72"/>
              <w:jc w:val="both"/>
              <w:rPr>
                <w:bCs/>
              </w:rPr>
            </w:pPr>
            <w:r w:rsidRPr="007E59F3">
              <w:rPr>
                <w:bCs/>
                <w:sz w:val="22"/>
                <w:szCs w:val="22"/>
              </w:rPr>
              <w:t>Plānotais pavadzīmju skaits gadā ir 10 000</w:t>
            </w:r>
            <w:r w:rsidR="00107DC3" w:rsidRPr="007E59F3">
              <w:rPr>
                <w:bCs/>
                <w:sz w:val="22"/>
                <w:szCs w:val="22"/>
              </w:rPr>
              <w:t xml:space="preserve">. </w:t>
            </w:r>
            <w:r w:rsidRPr="007E59F3">
              <w:rPr>
                <w:bCs/>
                <w:sz w:val="22"/>
                <w:szCs w:val="22"/>
              </w:rPr>
              <w:t xml:space="preserve">Kopējais maksas apmērs </w:t>
            </w:r>
            <w:r w:rsidRPr="007E59F3">
              <w:rPr>
                <w:sz w:val="22"/>
                <w:szCs w:val="22"/>
              </w:rPr>
              <w:t xml:space="preserve">par </w:t>
            </w:r>
            <w:r w:rsidR="00107DC3" w:rsidRPr="007E59F3">
              <w:rPr>
                <w:sz w:val="22"/>
                <w:szCs w:val="22"/>
              </w:rPr>
              <w:t>būvniecībā radušos atkritumu un to pārvadājumu uzskaiti</w:t>
            </w:r>
            <w:r w:rsidR="00107DC3" w:rsidRPr="007E59F3">
              <w:rPr>
                <w:bCs/>
                <w:sz w:val="22"/>
                <w:szCs w:val="22"/>
              </w:rPr>
              <w:t xml:space="preserve"> </w:t>
            </w:r>
            <w:r w:rsidRPr="007E59F3">
              <w:rPr>
                <w:bCs/>
                <w:sz w:val="22"/>
                <w:szCs w:val="22"/>
              </w:rPr>
              <w:t xml:space="preserve">konkrētam komersantam būs atkarīgs no viņa darbības intensitātes. Jo vairāk </w:t>
            </w:r>
            <w:r w:rsidR="002D588F" w:rsidRPr="007E59F3">
              <w:rPr>
                <w:bCs/>
                <w:sz w:val="22"/>
                <w:szCs w:val="22"/>
              </w:rPr>
              <w:t>būvniecībā radušos</w:t>
            </w:r>
            <w:r w:rsidRPr="007E59F3">
              <w:rPr>
                <w:bCs/>
                <w:sz w:val="22"/>
                <w:szCs w:val="22"/>
              </w:rPr>
              <w:t xml:space="preserve"> atkritumu pārvadājumi tiks veikti, jo lielāka būs faktiskā maksa.</w:t>
            </w:r>
          </w:p>
          <w:p w:rsidR="00967867" w:rsidRPr="007E59F3" w:rsidRDefault="00967867" w:rsidP="00967867">
            <w:pPr>
              <w:spacing w:before="60"/>
              <w:ind w:left="72" w:right="72"/>
              <w:jc w:val="both"/>
            </w:pPr>
            <w:r w:rsidRPr="007E59F3">
              <w:rPr>
                <w:sz w:val="22"/>
                <w:szCs w:val="22"/>
              </w:rPr>
              <w:t xml:space="preserve"> PVN nosaka saskaņā ar </w:t>
            </w:r>
            <w:r w:rsidR="00A848FD" w:rsidRPr="007E59F3">
              <w:rPr>
                <w:sz w:val="22"/>
                <w:szCs w:val="22"/>
              </w:rPr>
              <w:t>Pievienotās vērtības nodokļa likumu</w:t>
            </w:r>
            <w:r w:rsidRPr="007E59F3">
              <w:rPr>
                <w:sz w:val="22"/>
                <w:szCs w:val="22"/>
              </w:rPr>
              <w:t>.</w:t>
            </w:r>
          </w:p>
          <w:p w:rsidR="00967867" w:rsidRPr="007E59F3" w:rsidRDefault="00967867" w:rsidP="00967867">
            <w:pPr>
              <w:ind w:left="142" w:right="113"/>
              <w:jc w:val="both"/>
              <w:rPr>
                <w:rStyle w:val="Strong"/>
                <w:b w:val="0"/>
              </w:rPr>
            </w:pPr>
            <w:r w:rsidRPr="007E59F3">
              <w:rPr>
                <w:sz w:val="22"/>
                <w:szCs w:val="22"/>
              </w:rPr>
              <w:t xml:space="preserve">Cenrādis sastādīts tā, ka ņemot vērā reģistrējamo pavadzīmju apjomus ir paredzēts iekasēt tikpat daudz līdzekļus, </w:t>
            </w:r>
            <w:r w:rsidR="004007D4" w:rsidRPr="007E59F3">
              <w:rPr>
                <w:sz w:val="22"/>
                <w:szCs w:val="22"/>
              </w:rPr>
              <w:t>kas nepieciešami sistēmas uzturēšanai līdzīgi,</w:t>
            </w:r>
            <w:r w:rsidR="00107DC3" w:rsidRPr="007E59F3">
              <w:rPr>
                <w:sz w:val="22"/>
                <w:szCs w:val="22"/>
              </w:rPr>
              <w:t xml:space="preserve"> kā tas tiek organizēts</w:t>
            </w:r>
            <w:r w:rsidR="00107DC3" w:rsidRPr="007E59F3">
              <w:rPr>
                <w:rStyle w:val="Strong"/>
                <w:b w:val="0"/>
                <w:sz w:val="22"/>
                <w:szCs w:val="22"/>
              </w:rPr>
              <w:t xml:space="preserve"> bīstamo atkritumu uzskaites un pārvadājumu uzskaites sistēmā</w:t>
            </w:r>
            <w:r w:rsidRPr="007E59F3">
              <w:rPr>
                <w:sz w:val="22"/>
                <w:szCs w:val="22"/>
              </w:rPr>
              <w:t xml:space="preserve">. </w:t>
            </w:r>
          </w:p>
          <w:p w:rsidR="00561AC4" w:rsidRPr="007E59F3" w:rsidRDefault="00E2346D" w:rsidP="00561AC4">
            <w:pPr>
              <w:ind w:left="142" w:right="113"/>
              <w:jc w:val="both"/>
              <w:rPr>
                <w:bCs/>
              </w:rPr>
            </w:pPr>
            <w:r w:rsidRPr="007E59F3">
              <w:rPr>
                <w:rStyle w:val="Strong"/>
                <w:b w:val="0"/>
                <w:sz w:val="22"/>
                <w:szCs w:val="22"/>
              </w:rPr>
              <w:t xml:space="preserve">Būvniecības atkritumu pārvadājumu uzskaites sistēmas izveides izmaksas ir 20 000 latu. </w:t>
            </w:r>
            <w:r w:rsidRPr="007E59F3">
              <w:rPr>
                <w:sz w:val="22"/>
                <w:szCs w:val="22"/>
              </w:rPr>
              <w:t xml:space="preserve">2013.gada 10.septembra Ministru kabineta sēdē tika atbalstīta būvniecības atkritumu un to pārvadājumu uzskaites sistēmas izveide un </w:t>
            </w:r>
            <w:r w:rsidRPr="007E59F3">
              <w:rPr>
                <w:rStyle w:val="Strong"/>
                <w:b w:val="0"/>
                <w:sz w:val="22"/>
                <w:szCs w:val="22"/>
              </w:rPr>
              <w:t>sistēmas izveidei piešķirti valsts budžeta līdzekļi no neparedzētajiem gadījumiem</w:t>
            </w:r>
            <w:r w:rsidR="0040043E" w:rsidRPr="007E59F3">
              <w:rPr>
                <w:rStyle w:val="Strong"/>
                <w:b w:val="0"/>
                <w:sz w:val="22"/>
                <w:szCs w:val="22"/>
              </w:rPr>
              <w:t xml:space="preserve"> (</w:t>
            </w:r>
            <w:r w:rsidR="0040043E" w:rsidRPr="007E59F3">
              <w:rPr>
                <w:sz w:val="22"/>
                <w:szCs w:val="22"/>
              </w:rPr>
              <w:t>2013.gada 11.septembra Ministru kabineta rīkojums Nr.414 (prot. Nr.48, 57.§) „Par finanšu līdzekļu piešķiršanu no valsts budžeta programmas „Līdzekļi neparedzētiem</w:t>
            </w:r>
            <w:r w:rsidR="008B3F64" w:rsidRPr="007E59F3">
              <w:rPr>
                <w:sz w:val="22"/>
                <w:szCs w:val="22"/>
              </w:rPr>
              <w:t xml:space="preserve"> gadījumiem</w:t>
            </w:r>
            <w:r w:rsidR="0040043E" w:rsidRPr="007E59F3">
              <w:rPr>
                <w:sz w:val="22"/>
                <w:szCs w:val="22"/>
              </w:rPr>
              <w:t>””)</w:t>
            </w:r>
            <w:r w:rsidRPr="007E59F3">
              <w:rPr>
                <w:rStyle w:val="Strong"/>
                <w:b w:val="0"/>
                <w:sz w:val="22"/>
                <w:szCs w:val="22"/>
              </w:rPr>
              <w:t>.</w:t>
            </w:r>
          </w:p>
        </w:tc>
      </w:tr>
      <w:tr w:rsidR="00E2346D" w:rsidRPr="007E59F3" w:rsidTr="00A85BC1">
        <w:trPr>
          <w:trHeight w:val="517"/>
        </w:trPr>
        <w:tc>
          <w:tcPr>
            <w:tcW w:w="572" w:type="dxa"/>
          </w:tcPr>
          <w:p w:rsidR="00E2346D" w:rsidRPr="007E59F3" w:rsidRDefault="00E2346D" w:rsidP="00A85BC1">
            <w:pPr>
              <w:pStyle w:val="naiskr"/>
              <w:spacing w:before="0" w:after="0"/>
            </w:pPr>
            <w:r w:rsidRPr="007E59F3">
              <w:rPr>
                <w:sz w:val="22"/>
                <w:szCs w:val="22"/>
              </w:rPr>
              <w:t>4.</w:t>
            </w:r>
          </w:p>
        </w:tc>
        <w:tc>
          <w:tcPr>
            <w:tcW w:w="2835" w:type="dxa"/>
          </w:tcPr>
          <w:p w:rsidR="00E2346D" w:rsidRPr="007E59F3" w:rsidRDefault="00E2346D" w:rsidP="00A85BC1">
            <w:pPr>
              <w:pStyle w:val="naiskr"/>
              <w:spacing w:before="0" w:after="0"/>
            </w:pPr>
            <w:r w:rsidRPr="007E59F3">
              <w:rPr>
                <w:sz w:val="22"/>
                <w:szCs w:val="22"/>
              </w:rPr>
              <w:t>Tiesiskā regulējuma nefinansiālā ietekme</w:t>
            </w:r>
          </w:p>
        </w:tc>
        <w:tc>
          <w:tcPr>
            <w:tcW w:w="5812" w:type="dxa"/>
          </w:tcPr>
          <w:p w:rsidR="00E2346D" w:rsidRPr="007E59F3" w:rsidRDefault="000F6588" w:rsidP="00A85BC1">
            <w:pPr>
              <w:pStyle w:val="naiskr"/>
              <w:spacing w:before="0" w:after="0"/>
              <w:ind w:left="142" w:right="113"/>
            </w:pPr>
            <w:r w:rsidRPr="007E59F3">
              <w:rPr>
                <w:iCs/>
                <w:sz w:val="22"/>
                <w:szCs w:val="22"/>
              </w:rPr>
              <w:t>Nav attiecināms.</w:t>
            </w:r>
          </w:p>
        </w:tc>
      </w:tr>
      <w:tr w:rsidR="00E2346D" w:rsidRPr="007E59F3" w:rsidTr="00A85BC1">
        <w:trPr>
          <w:trHeight w:val="531"/>
        </w:trPr>
        <w:tc>
          <w:tcPr>
            <w:tcW w:w="572" w:type="dxa"/>
          </w:tcPr>
          <w:p w:rsidR="00E2346D" w:rsidRPr="007E59F3" w:rsidRDefault="00E2346D" w:rsidP="00A85BC1">
            <w:pPr>
              <w:pStyle w:val="naiskr"/>
              <w:spacing w:before="0" w:after="0"/>
            </w:pPr>
            <w:r w:rsidRPr="007E59F3">
              <w:rPr>
                <w:sz w:val="22"/>
                <w:szCs w:val="22"/>
              </w:rPr>
              <w:t>5.</w:t>
            </w:r>
          </w:p>
        </w:tc>
        <w:tc>
          <w:tcPr>
            <w:tcW w:w="2835" w:type="dxa"/>
          </w:tcPr>
          <w:p w:rsidR="00E2346D" w:rsidRPr="007E59F3" w:rsidRDefault="00E2346D" w:rsidP="00A85BC1">
            <w:pPr>
              <w:pStyle w:val="naiskr"/>
              <w:spacing w:before="0" w:after="0"/>
            </w:pPr>
            <w:r w:rsidRPr="007E59F3">
              <w:rPr>
                <w:sz w:val="22"/>
                <w:szCs w:val="22"/>
              </w:rPr>
              <w:t>Administratīvās procedūras raksturojums</w:t>
            </w:r>
          </w:p>
        </w:tc>
        <w:tc>
          <w:tcPr>
            <w:tcW w:w="5812" w:type="dxa"/>
          </w:tcPr>
          <w:p w:rsidR="00BB0CD1" w:rsidRPr="007E59F3" w:rsidRDefault="00967867" w:rsidP="00BB0CD1">
            <w:pPr>
              <w:ind w:left="142" w:right="113"/>
              <w:jc w:val="both"/>
              <w:rPr>
                <w:bCs/>
                <w:color w:val="000000"/>
              </w:rPr>
            </w:pPr>
            <w:r w:rsidRPr="007E59F3">
              <w:rPr>
                <w:sz w:val="22"/>
                <w:szCs w:val="22"/>
              </w:rPr>
              <w:t xml:space="preserve">VARAM norāda, ka noteikumu projekts nosaka būvniecības atkritumu un to pārvadājumu uzskaites kārtību, kura līdzināsies Ministru kabineta 2011.gada 21.jūnija noteikumos Nr.484 </w:t>
            </w:r>
            <w:r w:rsidRPr="007E59F3">
              <w:rPr>
                <w:color w:val="000000"/>
                <w:sz w:val="22"/>
                <w:szCs w:val="22"/>
              </w:rPr>
              <w:t>„</w:t>
            </w:r>
            <w:r w:rsidRPr="007E59F3">
              <w:rPr>
                <w:rStyle w:val="Strong"/>
                <w:b w:val="0"/>
                <w:color w:val="000000"/>
                <w:sz w:val="22"/>
                <w:szCs w:val="22"/>
              </w:rPr>
              <w:t>Bīstamo atkritumu uzskaites, identifikācijas, uzglabāšanas, iepakošanas, marķēšanas un pārvadājumu uzskaites kārtība” noteiktajai bīstamo atkritumu uzskaites un pārvadājumu uzskaites kārtībai.</w:t>
            </w:r>
          </w:p>
        </w:tc>
      </w:tr>
      <w:tr w:rsidR="00E2346D" w:rsidRPr="007E59F3" w:rsidTr="00A85BC1">
        <w:trPr>
          <w:trHeight w:val="357"/>
        </w:trPr>
        <w:tc>
          <w:tcPr>
            <w:tcW w:w="572" w:type="dxa"/>
          </w:tcPr>
          <w:p w:rsidR="00E2346D" w:rsidRPr="007E59F3" w:rsidRDefault="00E2346D" w:rsidP="00A85BC1">
            <w:pPr>
              <w:pStyle w:val="naiskr"/>
              <w:spacing w:before="0" w:after="0"/>
            </w:pPr>
            <w:r w:rsidRPr="007E59F3">
              <w:rPr>
                <w:sz w:val="22"/>
                <w:szCs w:val="22"/>
              </w:rPr>
              <w:t>6.</w:t>
            </w:r>
          </w:p>
        </w:tc>
        <w:tc>
          <w:tcPr>
            <w:tcW w:w="2835" w:type="dxa"/>
          </w:tcPr>
          <w:p w:rsidR="00E2346D" w:rsidRPr="007E59F3" w:rsidRDefault="00E2346D" w:rsidP="00A85BC1">
            <w:pPr>
              <w:pStyle w:val="naiskr"/>
              <w:spacing w:before="0" w:after="0"/>
            </w:pPr>
            <w:r w:rsidRPr="007E59F3">
              <w:rPr>
                <w:sz w:val="22"/>
                <w:szCs w:val="22"/>
              </w:rPr>
              <w:t>Administratīvo izmaksu monetārs novērtējums</w:t>
            </w:r>
          </w:p>
        </w:tc>
        <w:tc>
          <w:tcPr>
            <w:tcW w:w="5812" w:type="dxa"/>
          </w:tcPr>
          <w:p w:rsidR="00E2346D" w:rsidRPr="007E59F3" w:rsidRDefault="00967867" w:rsidP="00BB0CD1">
            <w:pPr>
              <w:pStyle w:val="naiskr"/>
              <w:spacing w:before="0" w:after="0"/>
              <w:ind w:left="142" w:right="113"/>
            </w:pPr>
            <w:r w:rsidRPr="007E59F3">
              <w:rPr>
                <w:rStyle w:val="Strong"/>
                <w:b w:val="0"/>
                <w:sz w:val="22"/>
                <w:szCs w:val="22"/>
              </w:rPr>
              <w:t xml:space="preserve">Pakalpojuma kopējās izmaksas sastāda EUR </w:t>
            </w:r>
            <w:r w:rsidR="00BB0CD1" w:rsidRPr="007E59F3">
              <w:rPr>
                <w:rStyle w:val="Strong"/>
                <w:b w:val="0"/>
                <w:sz w:val="22"/>
                <w:szCs w:val="22"/>
              </w:rPr>
              <w:t>69 734</w:t>
            </w:r>
            <w:r w:rsidR="00BB0CD1" w:rsidRPr="007E59F3">
              <w:rPr>
                <w:b/>
                <w:sz w:val="22"/>
                <w:szCs w:val="22"/>
              </w:rPr>
              <w:t xml:space="preserve">  </w:t>
            </w:r>
            <w:r w:rsidRPr="007E59F3">
              <w:rPr>
                <w:rStyle w:val="Strong"/>
                <w:b w:val="0"/>
                <w:sz w:val="22"/>
                <w:szCs w:val="22"/>
              </w:rPr>
              <w:t>-</w:t>
            </w:r>
            <w:r w:rsidRPr="007E59F3">
              <w:rPr>
                <w:b/>
                <w:sz w:val="22"/>
                <w:szCs w:val="22"/>
              </w:rPr>
              <w:t xml:space="preserve"> </w:t>
            </w:r>
            <w:r w:rsidRPr="007E59F3">
              <w:rPr>
                <w:rStyle w:val="Strong"/>
                <w:b w:val="0"/>
                <w:sz w:val="22"/>
                <w:szCs w:val="22"/>
              </w:rPr>
              <w:t>attiecīgi arī plānotie ienākumi sastāda EUR </w:t>
            </w:r>
            <w:r w:rsidR="00BB0CD1" w:rsidRPr="007E59F3">
              <w:rPr>
                <w:rStyle w:val="Strong"/>
                <w:b w:val="0"/>
                <w:sz w:val="22"/>
                <w:szCs w:val="22"/>
              </w:rPr>
              <w:t>69 734</w:t>
            </w:r>
            <w:r w:rsidR="00BB0CD1" w:rsidRPr="007E59F3">
              <w:rPr>
                <w:sz w:val="22"/>
                <w:szCs w:val="22"/>
              </w:rPr>
              <w:t xml:space="preserve">  </w:t>
            </w:r>
            <w:r w:rsidRPr="007E59F3">
              <w:rPr>
                <w:sz w:val="22"/>
                <w:szCs w:val="22"/>
              </w:rPr>
              <w:t xml:space="preserve">(gada maksas EUR </w:t>
            </w:r>
            <w:r w:rsidR="0045283F" w:rsidRPr="007E59F3">
              <w:rPr>
                <w:sz w:val="22"/>
                <w:szCs w:val="22"/>
              </w:rPr>
              <w:t xml:space="preserve">61 360 </w:t>
            </w:r>
            <w:r w:rsidRPr="007E59F3">
              <w:rPr>
                <w:sz w:val="22"/>
                <w:szCs w:val="22"/>
              </w:rPr>
              <w:t>(lietotāji  </w:t>
            </w:r>
            <w:r w:rsidR="00BB0CD1" w:rsidRPr="007E59F3">
              <w:rPr>
                <w:sz w:val="22"/>
                <w:szCs w:val="22"/>
              </w:rPr>
              <w:t>1</w:t>
            </w:r>
            <w:r w:rsidRPr="007E59F3">
              <w:rPr>
                <w:sz w:val="22"/>
                <w:szCs w:val="22"/>
              </w:rPr>
              <w:t xml:space="preserve">30 x EUR </w:t>
            </w:r>
            <w:r w:rsidR="0045283F" w:rsidRPr="007E59F3">
              <w:rPr>
                <w:sz w:val="22"/>
                <w:szCs w:val="22"/>
              </w:rPr>
              <w:t>472</w:t>
            </w:r>
            <w:r w:rsidRPr="007E59F3">
              <w:rPr>
                <w:sz w:val="22"/>
                <w:szCs w:val="22"/>
              </w:rPr>
              <w:t>) un EUR 14 </w:t>
            </w:r>
            <w:r w:rsidR="008A3E29" w:rsidRPr="007E59F3">
              <w:rPr>
                <w:sz w:val="22"/>
                <w:szCs w:val="22"/>
              </w:rPr>
              <w:t>300 (pavadzīmes  10000 x EUR 1.43</w:t>
            </w:r>
            <w:r w:rsidRPr="007E59F3">
              <w:rPr>
                <w:sz w:val="22"/>
                <w:szCs w:val="22"/>
              </w:rPr>
              <w:t>)).</w:t>
            </w:r>
          </w:p>
          <w:p w:rsidR="001C1A8A" w:rsidRPr="007E59F3" w:rsidRDefault="001C1A8A" w:rsidP="00E369BE">
            <w:pPr>
              <w:pStyle w:val="naiskr"/>
              <w:spacing w:before="0" w:after="0"/>
              <w:ind w:left="142" w:right="113"/>
              <w:jc w:val="both"/>
            </w:pPr>
            <w:r w:rsidRPr="007E59F3">
              <w:rPr>
                <w:sz w:val="22"/>
                <w:szCs w:val="22"/>
              </w:rPr>
              <w:t>Saskaņā ar Ministru kabineta 2009.gada 15.decembra instrukciju „Tiesību akta projekta sākotnējās ietekmes izvērtēšanas kārtība” 26.punktu noteikumu projekta radītās administratīvās izmaksas netiek norādītas, tā kā noteikumu projekts negroza vai neaizstāj tiesību aktus, kam pēc instrukcijas spēkā stāšanās ir novērtētas administratīvās izmaksas (naudas izteiksmē)</w:t>
            </w:r>
            <w:r w:rsidR="00C053B8" w:rsidRPr="007E59F3">
              <w:rPr>
                <w:sz w:val="22"/>
                <w:szCs w:val="22"/>
              </w:rPr>
              <w:t>.</w:t>
            </w:r>
          </w:p>
        </w:tc>
      </w:tr>
      <w:tr w:rsidR="00E2346D" w:rsidRPr="007E59F3" w:rsidTr="00A85BC1">
        <w:tc>
          <w:tcPr>
            <w:tcW w:w="572" w:type="dxa"/>
          </w:tcPr>
          <w:p w:rsidR="00E2346D" w:rsidRPr="007E59F3" w:rsidRDefault="00E2346D" w:rsidP="00A85BC1">
            <w:pPr>
              <w:pStyle w:val="naiskr"/>
              <w:spacing w:before="0" w:after="0"/>
            </w:pPr>
            <w:r w:rsidRPr="007E59F3">
              <w:rPr>
                <w:sz w:val="22"/>
                <w:szCs w:val="22"/>
              </w:rPr>
              <w:t>7.</w:t>
            </w:r>
          </w:p>
        </w:tc>
        <w:tc>
          <w:tcPr>
            <w:tcW w:w="2835" w:type="dxa"/>
          </w:tcPr>
          <w:p w:rsidR="00E2346D" w:rsidRPr="007E59F3" w:rsidRDefault="00E2346D" w:rsidP="00A85BC1">
            <w:pPr>
              <w:pStyle w:val="naiskr"/>
              <w:spacing w:before="0" w:after="0"/>
            </w:pPr>
            <w:r w:rsidRPr="007E59F3">
              <w:rPr>
                <w:sz w:val="22"/>
                <w:szCs w:val="22"/>
              </w:rPr>
              <w:t>Cita informācija</w:t>
            </w:r>
          </w:p>
        </w:tc>
        <w:tc>
          <w:tcPr>
            <w:tcW w:w="5812" w:type="dxa"/>
          </w:tcPr>
          <w:p w:rsidR="00E2346D" w:rsidRPr="007E59F3" w:rsidRDefault="000F6588" w:rsidP="00A85BC1">
            <w:pPr>
              <w:pStyle w:val="naiskr"/>
              <w:spacing w:before="0" w:after="0"/>
              <w:ind w:left="142" w:right="113"/>
            </w:pPr>
            <w:r w:rsidRPr="007E59F3">
              <w:rPr>
                <w:sz w:val="22"/>
                <w:szCs w:val="22"/>
              </w:rPr>
              <w:t>Nav.</w:t>
            </w:r>
          </w:p>
        </w:tc>
      </w:tr>
    </w:tbl>
    <w:p w:rsidR="00991826" w:rsidRPr="007E59F3" w:rsidRDefault="00991826" w:rsidP="00991826">
      <w:pPr>
        <w:pStyle w:val="naiskr"/>
        <w:tabs>
          <w:tab w:val="left" w:pos="2628"/>
        </w:tabs>
        <w:spacing w:before="0" w:after="0"/>
        <w:rPr>
          <w:i/>
          <w:sz w:val="22"/>
          <w:szCs w:val="22"/>
        </w:rPr>
      </w:pPr>
    </w:p>
    <w:tbl>
      <w:tblPr>
        <w:tblW w:w="970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E361F4" w:rsidRPr="007E59F3" w:rsidTr="00C053B8">
        <w:trPr>
          <w:jc w:val="center"/>
        </w:trPr>
        <w:tc>
          <w:tcPr>
            <w:tcW w:w="9706" w:type="dxa"/>
          </w:tcPr>
          <w:p w:rsidR="00E361F4" w:rsidRPr="007E59F3" w:rsidRDefault="00E361F4" w:rsidP="00E361F4">
            <w:pPr>
              <w:pStyle w:val="naisnod"/>
              <w:spacing w:before="0" w:after="0"/>
            </w:pPr>
            <w:r w:rsidRPr="007E59F3">
              <w:t>III. Tiesību akta projekta ietekme uz valsts un pašvaldību budžetiem</w:t>
            </w:r>
          </w:p>
        </w:tc>
      </w:tr>
      <w:tr w:rsidR="00E361F4" w:rsidRPr="007E59F3" w:rsidTr="00C053B8">
        <w:trPr>
          <w:jc w:val="center"/>
        </w:trPr>
        <w:tc>
          <w:tcPr>
            <w:tcW w:w="9706" w:type="dxa"/>
          </w:tcPr>
          <w:p w:rsidR="00E361F4" w:rsidRPr="007E59F3" w:rsidRDefault="00E361F4" w:rsidP="009C3B6A">
            <w:pPr>
              <w:pStyle w:val="naiskr"/>
              <w:tabs>
                <w:tab w:val="left" w:pos="2628"/>
              </w:tabs>
              <w:spacing w:before="0" w:after="0"/>
              <w:jc w:val="center"/>
              <w:rPr>
                <w:iCs/>
              </w:rPr>
            </w:pPr>
            <w:r w:rsidRPr="007E59F3">
              <w:rPr>
                <w:iCs/>
              </w:rPr>
              <w:t>Nav attiecināms.</w:t>
            </w:r>
          </w:p>
        </w:tc>
      </w:tr>
    </w:tbl>
    <w:p w:rsidR="00E361F4" w:rsidRPr="007E59F3" w:rsidRDefault="00E361F4" w:rsidP="00991826">
      <w:pPr>
        <w:pStyle w:val="naiskr"/>
        <w:tabs>
          <w:tab w:val="left" w:pos="2628"/>
        </w:tabs>
        <w:spacing w:before="0" w:after="0"/>
        <w:rPr>
          <w:i/>
          <w:sz w:val="22"/>
          <w:szCs w:val="22"/>
        </w:rPr>
      </w:pPr>
    </w:p>
    <w:p w:rsidR="00E361F4" w:rsidRPr="007E59F3" w:rsidRDefault="00E361F4" w:rsidP="00991826">
      <w:pPr>
        <w:pStyle w:val="naiskr"/>
        <w:tabs>
          <w:tab w:val="left" w:pos="2628"/>
        </w:tabs>
        <w:spacing w:before="0" w:after="0"/>
        <w:rPr>
          <w:i/>
          <w:sz w:val="22"/>
          <w:szCs w:val="22"/>
        </w:rPr>
      </w:pPr>
    </w:p>
    <w:tbl>
      <w:tblPr>
        <w:tblW w:w="970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6"/>
      </w:tblGrid>
      <w:tr w:rsidR="00991826" w:rsidRPr="007E59F3" w:rsidTr="00C053B8">
        <w:trPr>
          <w:jc w:val="center"/>
        </w:trPr>
        <w:tc>
          <w:tcPr>
            <w:tcW w:w="9706" w:type="dxa"/>
          </w:tcPr>
          <w:p w:rsidR="00991826" w:rsidRPr="007E59F3" w:rsidRDefault="00991826" w:rsidP="007513F8">
            <w:pPr>
              <w:pStyle w:val="naisnod"/>
              <w:spacing w:before="0" w:after="0"/>
            </w:pPr>
            <w:r w:rsidRPr="007E59F3">
              <w:t>IV. Tiesību akta projekta ietekme uz spēkā esošo tiesību normu sistēmu</w:t>
            </w:r>
          </w:p>
        </w:tc>
      </w:tr>
      <w:tr w:rsidR="00A85BC1" w:rsidRPr="007E59F3" w:rsidTr="00C053B8">
        <w:trPr>
          <w:jc w:val="center"/>
        </w:trPr>
        <w:tc>
          <w:tcPr>
            <w:tcW w:w="9706" w:type="dxa"/>
          </w:tcPr>
          <w:p w:rsidR="00A85BC1" w:rsidRPr="007E59F3" w:rsidRDefault="00A85BC1" w:rsidP="00A85BC1">
            <w:pPr>
              <w:pStyle w:val="naiskr"/>
              <w:tabs>
                <w:tab w:val="left" w:pos="2628"/>
              </w:tabs>
              <w:spacing w:before="0" w:after="0"/>
              <w:jc w:val="center"/>
              <w:rPr>
                <w:iCs/>
              </w:rPr>
            </w:pPr>
            <w:r w:rsidRPr="007E59F3">
              <w:rPr>
                <w:iCs/>
              </w:rPr>
              <w:t>Nav attiecināms.</w:t>
            </w:r>
          </w:p>
        </w:tc>
      </w:tr>
    </w:tbl>
    <w:p w:rsidR="00991826" w:rsidRPr="007E59F3" w:rsidRDefault="00991826" w:rsidP="00991826">
      <w:pPr>
        <w:ind w:firstLine="720"/>
        <w:jc w:val="both"/>
        <w:rPr>
          <w:sz w:val="28"/>
          <w:szCs w:val="28"/>
        </w:rPr>
      </w:pPr>
    </w:p>
    <w:tbl>
      <w:tblPr>
        <w:tblW w:w="95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4"/>
      </w:tblGrid>
      <w:tr w:rsidR="00D0265B" w:rsidRPr="007E59F3" w:rsidTr="00C053B8">
        <w:trPr>
          <w:jc w:val="center"/>
        </w:trPr>
        <w:tc>
          <w:tcPr>
            <w:tcW w:w="9564" w:type="dxa"/>
          </w:tcPr>
          <w:p w:rsidR="00D0265B" w:rsidRPr="007E59F3" w:rsidRDefault="00D0265B" w:rsidP="00D0265B">
            <w:pPr>
              <w:pStyle w:val="naisnod"/>
              <w:spacing w:before="0" w:after="0"/>
            </w:pPr>
            <w:r w:rsidRPr="007E59F3">
              <w:t>V. Tiesību akta projekta atbilstība Latvijas Republikas starptautiskajām saistībām</w:t>
            </w:r>
          </w:p>
        </w:tc>
      </w:tr>
      <w:tr w:rsidR="00D0265B" w:rsidRPr="007E59F3" w:rsidTr="00C053B8">
        <w:trPr>
          <w:jc w:val="center"/>
        </w:trPr>
        <w:tc>
          <w:tcPr>
            <w:tcW w:w="9564" w:type="dxa"/>
          </w:tcPr>
          <w:p w:rsidR="00D0265B" w:rsidRPr="007E59F3" w:rsidRDefault="00D0265B" w:rsidP="009C3B6A">
            <w:pPr>
              <w:pStyle w:val="naiskr"/>
              <w:tabs>
                <w:tab w:val="left" w:pos="2628"/>
              </w:tabs>
              <w:spacing w:before="0" w:after="0"/>
              <w:jc w:val="center"/>
              <w:rPr>
                <w:iCs/>
              </w:rPr>
            </w:pPr>
            <w:r w:rsidRPr="007E59F3">
              <w:rPr>
                <w:iCs/>
              </w:rPr>
              <w:t>Nav attiecināms.</w:t>
            </w:r>
          </w:p>
        </w:tc>
      </w:tr>
    </w:tbl>
    <w:p w:rsidR="00991826" w:rsidRPr="007E59F3" w:rsidRDefault="00991826" w:rsidP="00991826"/>
    <w:tbl>
      <w:tblPr>
        <w:tblStyle w:val="TableGrid"/>
        <w:tblW w:w="9039" w:type="dxa"/>
        <w:tblLook w:val="04A0"/>
      </w:tblPr>
      <w:tblGrid>
        <w:gridCol w:w="381"/>
        <w:gridCol w:w="2627"/>
        <w:gridCol w:w="6031"/>
      </w:tblGrid>
      <w:tr w:rsidR="00A62881" w:rsidRPr="007E59F3" w:rsidTr="004007D4">
        <w:tc>
          <w:tcPr>
            <w:tcW w:w="9039" w:type="dxa"/>
            <w:gridSpan w:val="3"/>
          </w:tcPr>
          <w:p w:rsidR="00A62881" w:rsidRPr="007E59F3" w:rsidRDefault="00A62881" w:rsidP="00A62881">
            <w:pPr>
              <w:jc w:val="center"/>
              <w:rPr>
                <w:b/>
              </w:rPr>
            </w:pPr>
            <w:r w:rsidRPr="007E59F3">
              <w:rPr>
                <w:b/>
              </w:rPr>
              <w:t>VI. Sabiedrības līdzdalība un šīs līdzdalības rezultāti</w:t>
            </w:r>
          </w:p>
        </w:tc>
      </w:tr>
      <w:tr w:rsidR="00A62881" w:rsidRPr="007E59F3" w:rsidTr="004007D4">
        <w:tc>
          <w:tcPr>
            <w:tcW w:w="381" w:type="dxa"/>
          </w:tcPr>
          <w:p w:rsidR="00A62881" w:rsidRPr="007E59F3" w:rsidRDefault="00A62881" w:rsidP="00991826">
            <w:r w:rsidRPr="007E59F3">
              <w:t>1.</w:t>
            </w:r>
          </w:p>
        </w:tc>
        <w:tc>
          <w:tcPr>
            <w:tcW w:w="2627" w:type="dxa"/>
          </w:tcPr>
          <w:p w:rsidR="00A62881" w:rsidRPr="007E59F3" w:rsidRDefault="00A62881" w:rsidP="00991826">
            <w:r w:rsidRPr="007E59F3">
              <w:t>Plānotās sabiedrības līdzdalības un komunikācijas aktivitātes saistībā ar projektu</w:t>
            </w:r>
          </w:p>
        </w:tc>
        <w:tc>
          <w:tcPr>
            <w:tcW w:w="6031" w:type="dxa"/>
          </w:tcPr>
          <w:p w:rsidR="00A62881" w:rsidRPr="007E59F3" w:rsidRDefault="00A62881" w:rsidP="00A62881">
            <w:pPr>
              <w:pStyle w:val="naisf"/>
              <w:spacing w:before="0" w:after="0"/>
              <w:ind w:firstLine="0"/>
            </w:pPr>
            <w:r w:rsidRPr="007E59F3">
              <w:t xml:space="preserve">Noteikumu projekts un tā anotācija ir ievietota VARAM tīmekļa vietnē </w:t>
            </w:r>
            <w:hyperlink r:id="rId9" w:history="1">
              <w:r w:rsidRPr="007E59F3">
                <w:rPr>
                  <w:rStyle w:val="Hyperlink"/>
                </w:rPr>
                <w:t>www.varam.gov.lv</w:t>
              </w:r>
            </w:hyperlink>
            <w:r w:rsidRPr="007E59F3">
              <w:t xml:space="preserve"> sadaļā „Normatīvie akti/Normatīvo aktu projekti/Normatīvo aktu projekti vides aizsardzības jomā”. Ir nodrošināta iespēja visiem interesentiem iepazīties ar noteikumu projektu.</w:t>
            </w:r>
          </w:p>
        </w:tc>
      </w:tr>
      <w:tr w:rsidR="00A62881" w:rsidRPr="007E59F3" w:rsidTr="004007D4">
        <w:tc>
          <w:tcPr>
            <w:tcW w:w="381" w:type="dxa"/>
          </w:tcPr>
          <w:p w:rsidR="00A62881" w:rsidRPr="007E59F3" w:rsidRDefault="00A62881" w:rsidP="00991826">
            <w:r w:rsidRPr="007E59F3">
              <w:t>2.</w:t>
            </w:r>
          </w:p>
        </w:tc>
        <w:tc>
          <w:tcPr>
            <w:tcW w:w="2627" w:type="dxa"/>
          </w:tcPr>
          <w:p w:rsidR="00A62881" w:rsidRPr="007E59F3" w:rsidRDefault="00A62881" w:rsidP="00991826">
            <w:r w:rsidRPr="007E59F3">
              <w:t>Sabiedrības līdzdalība projekta izstrādē</w:t>
            </w:r>
          </w:p>
        </w:tc>
        <w:tc>
          <w:tcPr>
            <w:tcW w:w="6031" w:type="dxa"/>
          </w:tcPr>
          <w:p w:rsidR="00A62881" w:rsidRPr="007E59F3" w:rsidRDefault="00A62881" w:rsidP="008A5C81">
            <w:pPr>
              <w:jc w:val="both"/>
            </w:pPr>
            <w:r w:rsidRPr="007E59F3">
              <w:t>Noteikumu projekta izstrādes gaitā tika veiktas konsultācijas ar LVĢMC</w:t>
            </w:r>
            <w:r w:rsidR="00897927" w:rsidRPr="007E59F3">
              <w:t xml:space="preserve"> un</w:t>
            </w:r>
            <w:r w:rsidRPr="007E59F3">
              <w:t xml:space="preserve"> VVD</w:t>
            </w:r>
            <w:r w:rsidR="00897927" w:rsidRPr="007E59F3">
              <w:t>. Projekta apspriešanā ir piedalījušies atsevišķi</w:t>
            </w:r>
            <w:r w:rsidRPr="007E59F3">
              <w:t xml:space="preserve"> </w:t>
            </w:r>
            <w:r w:rsidR="00897927" w:rsidRPr="007E59F3">
              <w:t xml:space="preserve">biedrības </w:t>
            </w:r>
            <w:r w:rsidR="008657E4" w:rsidRPr="007E59F3">
              <w:t>„</w:t>
            </w:r>
            <w:r w:rsidRPr="007E59F3">
              <w:t xml:space="preserve">Latvijas atkritumu saimniecības uzņēmumu </w:t>
            </w:r>
            <w:r w:rsidR="008A5C81" w:rsidRPr="007E59F3">
              <w:t>asociācija</w:t>
            </w:r>
            <w:r w:rsidR="008657E4" w:rsidRPr="007E59F3">
              <w:t>”</w:t>
            </w:r>
            <w:r w:rsidR="008A5C81" w:rsidRPr="007E59F3">
              <w:t xml:space="preserve"> </w:t>
            </w:r>
            <w:r w:rsidR="005C257A" w:rsidRPr="007E59F3">
              <w:t>(turpmāk – LASUA)</w:t>
            </w:r>
            <w:r w:rsidR="00897927" w:rsidRPr="007E59F3">
              <w:t xml:space="preserve"> biedri</w:t>
            </w:r>
            <w:r w:rsidRPr="007E59F3">
              <w:t>.</w:t>
            </w:r>
          </w:p>
        </w:tc>
      </w:tr>
      <w:tr w:rsidR="00A62881" w:rsidRPr="007E59F3" w:rsidTr="004007D4">
        <w:tc>
          <w:tcPr>
            <w:tcW w:w="381" w:type="dxa"/>
          </w:tcPr>
          <w:p w:rsidR="00A62881" w:rsidRPr="007E59F3" w:rsidRDefault="00A62881" w:rsidP="00991826">
            <w:r w:rsidRPr="007E59F3">
              <w:t>3.</w:t>
            </w:r>
          </w:p>
        </w:tc>
        <w:tc>
          <w:tcPr>
            <w:tcW w:w="2627" w:type="dxa"/>
          </w:tcPr>
          <w:p w:rsidR="00A62881" w:rsidRPr="007E59F3" w:rsidRDefault="00A62881" w:rsidP="00991826">
            <w:r w:rsidRPr="007E59F3">
              <w:t>Sabiedrības līdzdalības rezultāti</w:t>
            </w:r>
          </w:p>
        </w:tc>
        <w:tc>
          <w:tcPr>
            <w:tcW w:w="6031" w:type="dxa"/>
          </w:tcPr>
          <w:p w:rsidR="00C43A48" w:rsidRPr="007E59F3" w:rsidRDefault="005C257A" w:rsidP="00C43A48">
            <w:pPr>
              <w:jc w:val="both"/>
            </w:pPr>
            <w:r w:rsidRPr="007E59F3">
              <w:t>LVĢMC un VVD ir paudis atbalstu būvniecībā radušos atkritumu pārvadājumu uzskaites sistēmas ieviešanai.</w:t>
            </w:r>
          </w:p>
          <w:p w:rsidR="008A5C81" w:rsidRPr="007E59F3" w:rsidRDefault="005C257A" w:rsidP="008A5C81">
            <w:pPr>
              <w:jc w:val="both"/>
            </w:pPr>
            <w:r w:rsidRPr="007E59F3">
              <w:t>LASUA ir iesniegusi VARAM savu viedokli par izstrādāto noteikumu projektu, kurā norāda par nepieciešamību veikt plašāku nozares speciālistu iesaisti noteikumu projekta izstrādes</w:t>
            </w:r>
            <w:r w:rsidR="00C43A48" w:rsidRPr="007E59F3">
              <w:t xml:space="preserve"> gaitā</w:t>
            </w:r>
            <w:r w:rsidRPr="007E59F3">
              <w:t>, kā arī izsaka bažas par</w:t>
            </w:r>
            <w:r w:rsidR="008A5C81" w:rsidRPr="007E59F3">
              <w:t>:</w:t>
            </w:r>
          </w:p>
          <w:p w:rsidR="008A5C81" w:rsidRPr="007E59F3" w:rsidRDefault="008A5C81" w:rsidP="008A5C81">
            <w:pPr>
              <w:jc w:val="both"/>
            </w:pPr>
            <w:r w:rsidRPr="007E59F3">
              <w:t>1.</w:t>
            </w:r>
            <w:r w:rsidR="005C257A" w:rsidRPr="007E59F3">
              <w:t>pakalpojuma finansiālā sadārdzinājuma risku</w:t>
            </w:r>
            <w:r w:rsidR="004C7BF8" w:rsidRPr="007E59F3">
              <w:t xml:space="preserve"> un prognozēto sistēmas lietotāju skaita neatbilstību reālajai situācijai</w:t>
            </w:r>
            <w:r w:rsidR="005C257A" w:rsidRPr="007E59F3">
              <w:t>. VARAM ir daļēji ņēmusi vērā LASUA iebildumus</w:t>
            </w:r>
            <w:r w:rsidR="00BF216F" w:rsidRPr="007E59F3">
              <w:t>,</w:t>
            </w:r>
            <w:r w:rsidR="005C257A" w:rsidRPr="007E59F3">
              <w:t xml:space="preserve"> papildinot noteikumu projekta sākotnējās ietekmes ziņojuma II. s</w:t>
            </w:r>
            <w:r w:rsidR="00BF216F" w:rsidRPr="007E59F3">
              <w:t xml:space="preserve">adaļā iekļauto informāciju ar </w:t>
            </w:r>
            <w:r w:rsidR="008B6AD9" w:rsidRPr="007E59F3">
              <w:t xml:space="preserve">diviem pielikumiem par būvniecībā radušos atkritumu </w:t>
            </w:r>
            <w:r w:rsidR="003C0BF5" w:rsidRPr="007E59F3">
              <w:t xml:space="preserve">un to </w:t>
            </w:r>
            <w:r w:rsidR="008B6AD9" w:rsidRPr="007E59F3">
              <w:t xml:space="preserve">pārvadājumu uzskaites sistēmas lietošanas </w:t>
            </w:r>
            <w:r w:rsidR="003C0BF5" w:rsidRPr="007E59F3">
              <w:t xml:space="preserve">ikgadējās </w:t>
            </w:r>
            <w:r w:rsidR="008B6AD9" w:rsidRPr="007E59F3">
              <w:t>maksas aprēķinu un ar aprēķinu par vien</w:t>
            </w:r>
            <w:r w:rsidR="003C0BF5" w:rsidRPr="007E59F3">
              <w:t>as</w:t>
            </w:r>
            <w:r w:rsidR="008B6AD9" w:rsidRPr="007E59F3">
              <w:t xml:space="preserve"> reģistrētas pavadzīmes maks</w:t>
            </w:r>
            <w:r w:rsidR="003C0BF5" w:rsidRPr="007E59F3">
              <w:t>u</w:t>
            </w:r>
            <w:r w:rsidR="00DD64F5" w:rsidRPr="007E59F3">
              <w:t xml:space="preserve">. </w:t>
            </w:r>
            <w:r w:rsidR="00085B84" w:rsidRPr="007E59F3">
              <w:t>A</w:t>
            </w:r>
            <w:r w:rsidR="00DD64F5" w:rsidRPr="007E59F3">
              <w:t>prēķins balstīts uz VVD sniegto informāciju par izdotajām atļaujām būvniecībā radušos atkritumu pārvadāšanai un transportēšanai, līdz ar to uzskatāms par atbilstošu</w:t>
            </w:r>
            <w:r w:rsidRPr="007E59F3">
              <w:t>;</w:t>
            </w:r>
          </w:p>
          <w:p w:rsidR="00A62881" w:rsidRPr="007E59F3" w:rsidRDefault="008A5C81" w:rsidP="004C7BF8">
            <w:pPr>
              <w:jc w:val="both"/>
            </w:pPr>
            <w:r w:rsidRPr="007E59F3">
              <w:t xml:space="preserve">2. </w:t>
            </w:r>
            <w:r w:rsidR="00044B7C" w:rsidRPr="007E59F3">
              <w:t xml:space="preserve">neiespējamu (reālu) sistēmā iesaistīto komersantu kontroli saimnieciskās darbības veikšanas vietā, kuru </w:t>
            </w:r>
            <w:r w:rsidR="008657E4" w:rsidRPr="007E59F3">
              <w:t xml:space="preserve">vajadzētu </w:t>
            </w:r>
            <w:r w:rsidR="00044B7C" w:rsidRPr="007E59F3">
              <w:t>veikt</w:t>
            </w:r>
            <w:r w:rsidR="008657E4" w:rsidRPr="007E59F3">
              <w:t xml:space="preserve"> arī</w:t>
            </w:r>
            <w:r w:rsidR="00044B7C" w:rsidRPr="007E59F3">
              <w:t xml:space="preserve"> pašvaldīb</w:t>
            </w:r>
            <w:r w:rsidR="008657E4" w:rsidRPr="007E59F3">
              <w:t>u būvvaldēm</w:t>
            </w:r>
            <w:r w:rsidR="00044B7C" w:rsidRPr="007E59F3">
              <w:t xml:space="preserve"> un Valsts policija</w:t>
            </w:r>
            <w:r w:rsidR="008657E4" w:rsidRPr="007E59F3">
              <w:t>i</w:t>
            </w:r>
            <w:r w:rsidR="00044B7C" w:rsidRPr="007E59F3">
              <w:t xml:space="preserve">. </w:t>
            </w:r>
            <w:r w:rsidR="00CF17E6" w:rsidRPr="007E59F3">
              <w:t xml:space="preserve">Šie jautājumi nav noteikumu projektā iekļaujami, ievērojot </w:t>
            </w:r>
            <w:r w:rsidR="004C7BF8" w:rsidRPr="007E59F3">
              <w:t xml:space="preserve">Atkritumu apsaimniekošanas likuma </w:t>
            </w:r>
            <w:r w:rsidR="00CF17E6" w:rsidRPr="007E59F3">
              <w:t>doto deleģējumu</w:t>
            </w:r>
            <w:r w:rsidR="008657E4" w:rsidRPr="007E59F3">
              <w:t xml:space="preserve"> noteikumiem</w:t>
            </w:r>
            <w:r w:rsidR="00CF17E6" w:rsidRPr="007E59F3">
              <w:t xml:space="preserve">. Jautājumi, kas attiecas uz pašvaldību iesaisti </w:t>
            </w:r>
            <w:r w:rsidR="00085B84" w:rsidRPr="007E59F3">
              <w:t>būvniecības atkritumu aprites kontrolē</w:t>
            </w:r>
            <w:r w:rsidR="00CF17E6" w:rsidRPr="007E59F3">
              <w:t xml:space="preserve">, ir risināmi ar būvniecības tiesību aktiem. </w:t>
            </w:r>
            <w:r w:rsidR="00085B84" w:rsidRPr="007E59F3">
              <w:t xml:space="preserve">Turpmāk ir risināma </w:t>
            </w:r>
            <w:r w:rsidR="00044B7C" w:rsidRPr="007E59F3">
              <w:t>pašvaldīb</w:t>
            </w:r>
            <w:r w:rsidR="00085B84" w:rsidRPr="007E59F3">
              <w:t>u</w:t>
            </w:r>
            <w:r w:rsidR="00044B7C" w:rsidRPr="007E59F3">
              <w:t xml:space="preserve"> un Valsts policij</w:t>
            </w:r>
            <w:r w:rsidR="00085B84" w:rsidRPr="007E59F3">
              <w:t>as iesaiste</w:t>
            </w:r>
            <w:r w:rsidR="00044B7C" w:rsidRPr="007E59F3">
              <w:t xml:space="preserve"> vides </w:t>
            </w:r>
            <w:r w:rsidR="00DD64F5" w:rsidRPr="007E59F3">
              <w:t>kontroles</w:t>
            </w:r>
            <w:r w:rsidR="004C7BF8" w:rsidRPr="007E59F3">
              <w:t>, tai skaitā būvniecības atkritumu aprites,</w:t>
            </w:r>
            <w:r w:rsidR="00DD64F5" w:rsidRPr="007E59F3">
              <w:t xml:space="preserve"> </w:t>
            </w:r>
            <w:r w:rsidR="004C7BF8" w:rsidRPr="007E59F3">
              <w:t xml:space="preserve">pasākumu </w:t>
            </w:r>
            <w:r w:rsidR="00085B84" w:rsidRPr="007E59F3">
              <w:t>nodrošināšanā</w:t>
            </w:r>
            <w:r w:rsidR="004C7BF8" w:rsidRPr="007E59F3">
              <w:t>.</w:t>
            </w:r>
          </w:p>
        </w:tc>
      </w:tr>
      <w:tr w:rsidR="00A62881" w:rsidRPr="007E59F3" w:rsidTr="004007D4">
        <w:tc>
          <w:tcPr>
            <w:tcW w:w="381" w:type="dxa"/>
          </w:tcPr>
          <w:p w:rsidR="00A62881" w:rsidRPr="007E59F3" w:rsidRDefault="00A62881" w:rsidP="00991826">
            <w:r w:rsidRPr="007E59F3">
              <w:t>4.</w:t>
            </w:r>
          </w:p>
        </w:tc>
        <w:tc>
          <w:tcPr>
            <w:tcW w:w="2627" w:type="dxa"/>
          </w:tcPr>
          <w:p w:rsidR="00A62881" w:rsidRPr="007E59F3" w:rsidRDefault="00A62881" w:rsidP="00991826">
            <w:r w:rsidRPr="007E59F3">
              <w:t>Cita informācija</w:t>
            </w:r>
          </w:p>
        </w:tc>
        <w:tc>
          <w:tcPr>
            <w:tcW w:w="6031" w:type="dxa"/>
          </w:tcPr>
          <w:p w:rsidR="00A62881" w:rsidRPr="007E59F3" w:rsidRDefault="00A62881" w:rsidP="00991826">
            <w:r w:rsidRPr="007E59F3">
              <w:t>Nav.</w:t>
            </w:r>
          </w:p>
        </w:tc>
      </w:tr>
    </w:tbl>
    <w:p w:rsidR="00A62881" w:rsidRPr="007E59F3" w:rsidRDefault="00A62881" w:rsidP="00991826"/>
    <w:p w:rsidR="00991826" w:rsidRPr="007E59F3" w:rsidRDefault="00991826" w:rsidP="00A62881">
      <w:pPr>
        <w:pStyle w:val="naisf"/>
        <w:spacing w:before="0" w:after="0"/>
        <w:ind w:firstLine="0"/>
        <w:rPr>
          <w:sz w:val="28"/>
          <w:szCs w:val="28"/>
        </w:rPr>
      </w:pPr>
    </w:p>
    <w:tbl>
      <w:tblPr>
        <w:tblW w:w="927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3595"/>
        <w:gridCol w:w="5302"/>
      </w:tblGrid>
      <w:tr w:rsidR="00991826" w:rsidRPr="007E59F3" w:rsidTr="00CC3EF8">
        <w:tc>
          <w:tcPr>
            <w:tcW w:w="9271" w:type="dxa"/>
            <w:gridSpan w:val="3"/>
            <w:tcBorders>
              <w:top w:val="single" w:sz="4" w:space="0" w:color="auto"/>
            </w:tcBorders>
          </w:tcPr>
          <w:p w:rsidR="00991826" w:rsidRPr="007E59F3" w:rsidRDefault="00991826" w:rsidP="007513F8">
            <w:pPr>
              <w:pStyle w:val="naisnod"/>
              <w:spacing w:before="0" w:after="0"/>
              <w:ind w:left="57" w:right="57"/>
            </w:pPr>
            <w:r w:rsidRPr="007E59F3">
              <w:t>VII. Tiesību akta projekta izpildes nodrošināšana un tās ietekme uz institūcijām</w:t>
            </w:r>
          </w:p>
        </w:tc>
      </w:tr>
      <w:tr w:rsidR="00CC3EF8" w:rsidRPr="007E59F3" w:rsidTr="00CC3EF8">
        <w:trPr>
          <w:trHeight w:val="427"/>
        </w:trPr>
        <w:tc>
          <w:tcPr>
            <w:tcW w:w="374" w:type="dxa"/>
          </w:tcPr>
          <w:p w:rsidR="00CC3EF8" w:rsidRPr="007E59F3" w:rsidRDefault="00CC3EF8" w:rsidP="007513F8">
            <w:pPr>
              <w:pStyle w:val="naisnod"/>
              <w:spacing w:before="0" w:after="0"/>
              <w:ind w:left="57" w:right="57"/>
              <w:jc w:val="left"/>
              <w:rPr>
                <w:b w:val="0"/>
              </w:rPr>
            </w:pPr>
            <w:r w:rsidRPr="007E59F3">
              <w:rPr>
                <w:b w:val="0"/>
                <w:sz w:val="22"/>
                <w:szCs w:val="22"/>
              </w:rPr>
              <w:t>1.</w:t>
            </w:r>
          </w:p>
        </w:tc>
        <w:tc>
          <w:tcPr>
            <w:tcW w:w="3595" w:type="dxa"/>
          </w:tcPr>
          <w:p w:rsidR="00CC3EF8" w:rsidRPr="007E59F3" w:rsidRDefault="00CC3EF8" w:rsidP="007513F8">
            <w:pPr>
              <w:pStyle w:val="naisf"/>
              <w:spacing w:before="0" w:after="0"/>
              <w:ind w:left="57" w:right="57" w:firstLine="0"/>
              <w:jc w:val="left"/>
            </w:pPr>
            <w:r w:rsidRPr="007E59F3">
              <w:rPr>
                <w:sz w:val="22"/>
                <w:szCs w:val="22"/>
              </w:rPr>
              <w:t xml:space="preserve">Projekta izpildē iesaistītās institūcijas </w:t>
            </w:r>
          </w:p>
        </w:tc>
        <w:tc>
          <w:tcPr>
            <w:tcW w:w="5302" w:type="dxa"/>
          </w:tcPr>
          <w:p w:rsidR="00CC3EF8" w:rsidRPr="007E59F3" w:rsidRDefault="00452901" w:rsidP="007513F8">
            <w:pPr>
              <w:pStyle w:val="naisnod"/>
              <w:spacing w:before="0" w:after="0"/>
              <w:ind w:left="57" w:right="57"/>
              <w:jc w:val="both"/>
              <w:rPr>
                <w:b w:val="0"/>
              </w:rPr>
            </w:pPr>
            <w:r w:rsidRPr="007E59F3">
              <w:rPr>
                <w:b w:val="0"/>
                <w:sz w:val="22"/>
                <w:szCs w:val="22"/>
              </w:rPr>
              <w:t>LVĢMC</w:t>
            </w:r>
          </w:p>
        </w:tc>
      </w:tr>
      <w:tr w:rsidR="00CC3EF8" w:rsidRPr="007E59F3" w:rsidTr="00CC3EF8">
        <w:trPr>
          <w:trHeight w:val="463"/>
        </w:trPr>
        <w:tc>
          <w:tcPr>
            <w:tcW w:w="374" w:type="dxa"/>
          </w:tcPr>
          <w:p w:rsidR="00CC3EF8" w:rsidRPr="007E59F3" w:rsidRDefault="00CC3EF8" w:rsidP="007513F8">
            <w:pPr>
              <w:pStyle w:val="naisnod"/>
              <w:spacing w:before="0" w:after="0"/>
              <w:ind w:left="57" w:right="57"/>
              <w:jc w:val="left"/>
              <w:rPr>
                <w:b w:val="0"/>
              </w:rPr>
            </w:pPr>
            <w:r w:rsidRPr="007E59F3">
              <w:rPr>
                <w:b w:val="0"/>
                <w:sz w:val="22"/>
                <w:szCs w:val="22"/>
              </w:rPr>
              <w:t>2.</w:t>
            </w:r>
          </w:p>
        </w:tc>
        <w:tc>
          <w:tcPr>
            <w:tcW w:w="3595" w:type="dxa"/>
          </w:tcPr>
          <w:p w:rsidR="00CC3EF8" w:rsidRPr="007E59F3" w:rsidRDefault="00CC3EF8" w:rsidP="007513F8">
            <w:pPr>
              <w:pStyle w:val="naisf"/>
              <w:spacing w:before="0" w:after="0"/>
              <w:ind w:left="57" w:right="57" w:firstLine="0"/>
              <w:jc w:val="left"/>
            </w:pPr>
            <w:r w:rsidRPr="007E59F3">
              <w:rPr>
                <w:sz w:val="22"/>
                <w:szCs w:val="22"/>
              </w:rPr>
              <w:t xml:space="preserve">Projekta izpildes ietekme uz pārvaldes funkcijām </w:t>
            </w:r>
          </w:p>
        </w:tc>
        <w:tc>
          <w:tcPr>
            <w:tcW w:w="5302" w:type="dxa"/>
          </w:tcPr>
          <w:p w:rsidR="00CC3EF8" w:rsidRPr="007E59F3" w:rsidRDefault="00452901" w:rsidP="00CC3EF8">
            <w:pPr>
              <w:pStyle w:val="naisnod"/>
              <w:spacing w:before="0" w:after="0"/>
              <w:ind w:left="57" w:right="57"/>
              <w:jc w:val="both"/>
              <w:rPr>
                <w:b w:val="0"/>
              </w:rPr>
            </w:pPr>
            <w:r w:rsidRPr="007E59F3">
              <w:rPr>
                <w:b w:val="0"/>
                <w:sz w:val="22"/>
                <w:szCs w:val="22"/>
              </w:rPr>
              <w:t>Nav paredzama noteikumu projekta ietekme uz pārvaldes funkcijām.</w:t>
            </w:r>
          </w:p>
        </w:tc>
      </w:tr>
      <w:tr w:rsidR="00CC3EF8" w:rsidRPr="007E59F3" w:rsidTr="00CC3EF8">
        <w:trPr>
          <w:trHeight w:val="725"/>
        </w:trPr>
        <w:tc>
          <w:tcPr>
            <w:tcW w:w="374" w:type="dxa"/>
          </w:tcPr>
          <w:p w:rsidR="00CC3EF8" w:rsidRPr="007E59F3" w:rsidRDefault="00CC3EF8" w:rsidP="007513F8">
            <w:pPr>
              <w:pStyle w:val="naisnod"/>
              <w:spacing w:before="0" w:after="0"/>
              <w:ind w:left="57" w:right="57"/>
              <w:jc w:val="left"/>
              <w:rPr>
                <w:b w:val="0"/>
              </w:rPr>
            </w:pPr>
            <w:r w:rsidRPr="007E59F3">
              <w:rPr>
                <w:b w:val="0"/>
                <w:sz w:val="22"/>
                <w:szCs w:val="22"/>
              </w:rPr>
              <w:t>3.</w:t>
            </w:r>
          </w:p>
        </w:tc>
        <w:tc>
          <w:tcPr>
            <w:tcW w:w="3595" w:type="dxa"/>
          </w:tcPr>
          <w:p w:rsidR="00CC3EF8" w:rsidRPr="007E59F3" w:rsidRDefault="00CC3EF8" w:rsidP="007513F8">
            <w:pPr>
              <w:pStyle w:val="naisf"/>
              <w:spacing w:before="0" w:after="0"/>
              <w:ind w:left="57" w:right="57" w:firstLine="0"/>
              <w:jc w:val="left"/>
            </w:pPr>
            <w:r w:rsidRPr="007E59F3">
              <w:rPr>
                <w:sz w:val="22"/>
                <w:szCs w:val="22"/>
              </w:rPr>
              <w:t>Projekta izpildes ietekme uz pārvaldes institucionālo struktūru.</w:t>
            </w:r>
          </w:p>
          <w:p w:rsidR="00CC3EF8" w:rsidRPr="007E59F3" w:rsidRDefault="00CC3EF8" w:rsidP="007513F8">
            <w:pPr>
              <w:pStyle w:val="naisf"/>
              <w:spacing w:before="0" w:after="0"/>
              <w:ind w:left="57" w:right="57" w:firstLine="0"/>
              <w:jc w:val="left"/>
            </w:pPr>
            <w:r w:rsidRPr="007E59F3">
              <w:rPr>
                <w:sz w:val="22"/>
                <w:szCs w:val="22"/>
              </w:rPr>
              <w:t>Jaunu institūciju izveide</w:t>
            </w:r>
          </w:p>
        </w:tc>
        <w:tc>
          <w:tcPr>
            <w:tcW w:w="5302" w:type="dxa"/>
          </w:tcPr>
          <w:p w:rsidR="00CC3EF8" w:rsidRPr="007E59F3" w:rsidRDefault="00CC3EF8" w:rsidP="007513F8">
            <w:pPr>
              <w:pStyle w:val="naisnod"/>
              <w:spacing w:before="0" w:after="0"/>
              <w:ind w:left="57" w:right="57"/>
              <w:jc w:val="both"/>
              <w:rPr>
                <w:b w:val="0"/>
              </w:rPr>
            </w:pPr>
            <w:r w:rsidRPr="007E59F3">
              <w:rPr>
                <w:b w:val="0"/>
                <w:sz w:val="22"/>
                <w:szCs w:val="22"/>
              </w:rPr>
              <w:t xml:space="preserve">Jaunu institūciju izveide nav paredzēta. </w:t>
            </w:r>
          </w:p>
          <w:p w:rsidR="00CC3EF8" w:rsidRPr="007E59F3" w:rsidRDefault="00CC3EF8" w:rsidP="007513F8">
            <w:pPr>
              <w:pStyle w:val="naisnod"/>
              <w:spacing w:before="0" w:after="0"/>
              <w:ind w:left="57" w:right="57"/>
              <w:jc w:val="both"/>
              <w:rPr>
                <w:b w:val="0"/>
                <w:strike/>
              </w:rPr>
            </w:pPr>
          </w:p>
        </w:tc>
      </w:tr>
      <w:tr w:rsidR="00CC3EF8" w:rsidRPr="007E59F3" w:rsidTr="00CC3EF8">
        <w:trPr>
          <w:trHeight w:val="780"/>
        </w:trPr>
        <w:tc>
          <w:tcPr>
            <w:tcW w:w="374" w:type="dxa"/>
          </w:tcPr>
          <w:p w:rsidR="00CC3EF8" w:rsidRPr="007E59F3" w:rsidRDefault="00CC3EF8" w:rsidP="007513F8">
            <w:pPr>
              <w:pStyle w:val="naisnod"/>
              <w:spacing w:before="0" w:after="0"/>
              <w:ind w:left="57" w:right="57"/>
              <w:jc w:val="left"/>
              <w:rPr>
                <w:b w:val="0"/>
              </w:rPr>
            </w:pPr>
            <w:r w:rsidRPr="007E59F3">
              <w:rPr>
                <w:b w:val="0"/>
                <w:sz w:val="22"/>
                <w:szCs w:val="22"/>
              </w:rPr>
              <w:t>4.</w:t>
            </w:r>
          </w:p>
        </w:tc>
        <w:tc>
          <w:tcPr>
            <w:tcW w:w="3595" w:type="dxa"/>
          </w:tcPr>
          <w:p w:rsidR="00CC3EF8" w:rsidRPr="007E59F3" w:rsidRDefault="00CC3EF8" w:rsidP="007513F8">
            <w:pPr>
              <w:pStyle w:val="naisf"/>
              <w:spacing w:before="0" w:after="0"/>
              <w:ind w:left="57" w:right="57" w:firstLine="0"/>
              <w:jc w:val="left"/>
            </w:pPr>
            <w:r w:rsidRPr="007E59F3">
              <w:rPr>
                <w:sz w:val="22"/>
                <w:szCs w:val="22"/>
              </w:rPr>
              <w:t>Projekta izpildes ietekme uz pārvaldes institucionālo struktūru.</w:t>
            </w:r>
          </w:p>
          <w:p w:rsidR="00CC3EF8" w:rsidRPr="007E59F3" w:rsidRDefault="00CC3EF8" w:rsidP="007513F8">
            <w:pPr>
              <w:pStyle w:val="naisf"/>
              <w:spacing w:before="0" w:after="0"/>
              <w:ind w:left="57" w:right="57" w:firstLine="0"/>
              <w:jc w:val="left"/>
            </w:pPr>
            <w:r w:rsidRPr="007E59F3">
              <w:rPr>
                <w:sz w:val="22"/>
                <w:szCs w:val="22"/>
              </w:rPr>
              <w:t>Esošu institūciju likvidācija</w:t>
            </w:r>
          </w:p>
        </w:tc>
        <w:tc>
          <w:tcPr>
            <w:tcW w:w="5302" w:type="dxa"/>
          </w:tcPr>
          <w:p w:rsidR="00CC3EF8" w:rsidRPr="007E59F3" w:rsidRDefault="00CC3EF8" w:rsidP="007513F8">
            <w:pPr>
              <w:pStyle w:val="naisnod"/>
              <w:spacing w:before="0" w:after="0"/>
              <w:ind w:left="57" w:right="57"/>
              <w:jc w:val="both"/>
              <w:rPr>
                <w:b w:val="0"/>
              </w:rPr>
            </w:pPr>
            <w:r w:rsidRPr="007E59F3">
              <w:rPr>
                <w:b w:val="0"/>
                <w:sz w:val="22"/>
                <w:szCs w:val="22"/>
              </w:rPr>
              <w:t>Esošo institūciju likvidācija nav paredzēta.</w:t>
            </w:r>
          </w:p>
        </w:tc>
      </w:tr>
      <w:tr w:rsidR="00CC3EF8" w:rsidRPr="007E59F3" w:rsidTr="00CC3EF8">
        <w:trPr>
          <w:trHeight w:val="703"/>
        </w:trPr>
        <w:tc>
          <w:tcPr>
            <w:tcW w:w="374" w:type="dxa"/>
          </w:tcPr>
          <w:p w:rsidR="00CC3EF8" w:rsidRPr="007E59F3" w:rsidRDefault="00CC3EF8" w:rsidP="007513F8">
            <w:pPr>
              <w:pStyle w:val="naisnod"/>
              <w:spacing w:before="0" w:after="0"/>
              <w:ind w:left="57" w:right="57"/>
              <w:jc w:val="left"/>
              <w:rPr>
                <w:b w:val="0"/>
              </w:rPr>
            </w:pPr>
            <w:r w:rsidRPr="007E59F3">
              <w:rPr>
                <w:b w:val="0"/>
                <w:sz w:val="22"/>
                <w:szCs w:val="22"/>
              </w:rPr>
              <w:t>5.</w:t>
            </w:r>
          </w:p>
        </w:tc>
        <w:tc>
          <w:tcPr>
            <w:tcW w:w="3595" w:type="dxa"/>
          </w:tcPr>
          <w:p w:rsidR="00CC3EF8" w:rsidRPr="007E59F3" w:rsidRDefault="00CC3EF8" w:rsidP="007513F8">
            <w:pPr>
              <w:pStyle w:val="naisf"/>
              <w:spacing w:before="0" w:after="0"/>
              <w:ind w:left="57" w:right="57" w:firstLine="0"/>
              <w:jc w:val="left"/>
            </w:pPr>
            <w:r w:rsidRPr="007E59F3">
              <w:rPr>
                <w:sz w:val="22"/>
                <w:szCs w:val="22"/>
              </w:rPr>
              <w:t>Projekta izpildes ietekme uz pārvaldes institucionālo struktūru.</w:t>
            </w:r>
          </w:p>
          <w:p w:rsidR="00CC3EF8" w:rsidRPr="007E59F3" w:rsidRDefault="00CC3EF8" w:rsidP="007513F8">
            <w:pPr>
              <w:pStyle w:val="naisf"/>
              <w:spacing w:before="0" w:after="0"/>
              <w:ind w:left="57" w:right="57" w:firstLine="0"/>
              <w:jc w:val="left"/>
            </w:pPr>
            <w:r w:rsidRPr="007E59F3">
              <w:rPr>
                <w:sz w:val="22"/>
                <w:szCs w:val="22"/>
              </w:rPr>
              <w:t>Esošu institūciju reorganizācija</w:t>
            </w:r>
          </w:p>
        </w:tc>
        <w:tc>
          <w:tcPr>
            <w:tcW w:w="5302" w:type="dxa"/>
          </w:tcPr>
          <w:p w:rsidR="00CC3EF8" w:rsidRPr="007E59F3" w:rsidRDefault="00CC3EF8" w:rsidP="007513F8">
            <w:pPr>
              <w:pStyle w:val="naisnod"/>
              <w:spacing w:before="0" w:after="0"/>
              <w:ind w:left="57" w:right="57"/>
              <w:jc w:val="both"/>
              <w:rPr>
                <w:b w:val="0"/>
              </w:rPr>
            </w:pPr>
            <w:r w:rsidRPr="007E59F3">
              <w:rPr>
                <w:b w:val="0"/>
                <w:sz w:val="22"/>
                <w:szCs w:val="22"/>
              </w:rPr>
              <w:t>Esošo institūciju reorganizācija nav paredzēta.</w:t>
            </w:r>
          </w:p>
        </w:tc>
      </w:tr>
      <w:tr w:rsidR="00CC3EF8" w:rsidRPr="007E59F3" w:rsidTr="00CC3EF8">
        <w:trPr>
          <w:trHeight w:val="476"/>
        </w:trPr>
        <w:tc>
          <w:tcPr>
            <w:tcW w:w="374" w:type="dxa"/>
          </w:tcPr>
          <w:p w:rsidR="00CC3EF8" w:rsidRPr="007E59F3" w:rsidRDefault="00CC3EF8" w:rsidP="007513F8">
            <w:pPr>
              <w:pStyle w:val="naiskr"/>
              <w:spacing w:before="0" w:after="0"/>
              <w:ind w:left="57" w:right="57"/>
            </w:pPr>
            <w:r w:rsidRPr="007E59F3">
              <w:rPr>
                <w:sz w:val="22"/>
                <w:szCs w:val="22"/>
              </w:rPr>
              <w:t>6.</w:t>
            </w:r>
          </w:p>
        </w:tc>
        <w:tc>
          <w:tcPr>
            <w:tcW w:w="3595" w:type="dxa"/>
          </w:tcPr>
          <w:p w:rsidR="00CC3EF8" w:rsidRPr="007E59F3" w:rsidRDefault="00CC3EF8" w:rsidP="007513F8">
            <w:pPr>
              <w:pStyle w:val="naiskr"/>
              <w:spacing w:before="0" w:after="0"/>
              <w:ind w:left="57" w:right="57"/>
            </w:pPr>
            <w:r w:rsidRPr="007E59F3">
              <w:rPr>
                <w:sz w:val="22"/>
                <w:szCs w:val="22"/>
              </w:rPr>
              <w:t>Cita informācija</w:t>
            </w:r>
          </w:p>
        </w:tc>
        <w:tc>
          <w:tcPr>
            <w:tcW w:w="5302" w:type="dxa"/>
          </w:tcPr>
          <w:p w:rsidR="00CC3EF8" w:rsidRPr="007E59F3" w:rsidRDefault="00CC3EF8" w:rsidP="00452901">
            <w:pPr>
              <w:pStyle w:val="naisnod"/>
              <w:spacing w:before="0" w:after="0"/>
              <w:ind w:left="57" w:right="57"/>
              <w:jc w:val="both"/>
              <w:rPr>
                <w:b w:val="0"/>
              </w:rPr>
            </w:pPr>
            <w:r w:rsidRPr="007E59F3">
              <w:rPr>
                <w:b w:val="0"/>
                <w:sz w:val="22"/>
                <w:szCs w:val="22"/>
              </w:rPr>
              <w:t>Nav.</w:t>
            </w:r>
          </w:p>
        </w:tc>
      </w:tr>
    </w:tbl>
    <w:p w:rsidR="00EF0877" w:rsidRPr="007E59F3" w:rsidRDefault="00EF0877"/>
    <w:p w:rsidR="00EF0877" w:rsidRPr="007E59F3" w:rsidRDefault="00EF0877" w:rsidP="00EF0877"/>
    <w:p w:rsidR="00E369BE" w:rsidRPr="007E59F3" w:rsidRDefault="00E369BE" w:rsidP="00E369BE">
      <w:pPr>
        <w:tabs>
          <w:tab w:val="left" w:pos="6521"/>
        </w:tabs>
        <w:jc w:val="both"/>
      </w:pPr>
      <w:r w:rsidRPr="007E59F3">
        <w:t xml:space="preserve">Vides aizsardzības un </w:t>
      </w:r>
    </w:p>
    <w:p w:rsidR="00E369BE" w:rsidRPr="007E59F3" w:rsidRDefault="00E369BE" w:rsidP="00E369BE">
      <w:pPr>
        <w:tabs>
          <w:tab w:val="left" w:pos="6521"/>
        </w:tabs>
        <w:jc w:val="both"/>
      </w:pPr>
      <w:r w:rsidRPr="007E59F3">
        <w:t>reģi</w:t>
      </w:r>
      <w:r w:rsidR="00430097" w:rsidRPr="007E59F3">
        <w:t xml:space="preserve">onālās attīstības </w:t>
      </w:r>
      <w:r w:rsidRPr="007E59F3">
        <w:t>ministrs</w:t>
      </w:r>
      <w:r w:rsidRPr="007E59F3">
        <w:tab/>
      </w:r>
      <w:r w:rsidRPr="007E59F3">
        <w:tab/>
      </w:r>
      <w:r w:rsidR="00430097" w:rsidRPr="007E59F3">
        <w:t>E. Cilinskis</w:t>
      </w:r>
    </w:p>
    <w:p w:rsidR="00EF0877" w:rsidRPr="007E59F3" w:rsidRDefault="00EF0877" w:rsidP="00EF0877"/>
    <w:p w:rsidR="00EF0877" w:rsidRPr="007E59F3" w:rsidRDefault="00EF0877" w:rsidP="00EF0877"/>
    <w:p w:rsidR="00EF0877" w:rsidRPr="007E59F3" w:rsidRDefault="00EF0877" w:rsidP="00EF0877">
      <w:pPr>
        <w:rPr>
          <w:b/>
        </w:rPr>
      </w:pPr>
      <w:r w:rsidRPr="007E59F3">
        <w:rPr>
          <w:b/>
        </w:rPr>
        <w:t>Vīza:</w:t>
      </w:r>
    </w:p>
    <w:p w:rsidR="008A3E29" w:rsidRPr="007E59F3" w:rsidRDefault="007E59F3" w:rsidP="008A3E29">
      <w:r w:rsidRPr="007E59F3">
        <w:t>Valsts sekretārs                                                                                               G.Puķītis</w:t>
      </w:r>
    </w:p>
    <w:p w:rsidR="00EF0877" w:rsidRPr="007E59F3" w:rsidRDefault="00775FC7" w:rsidP="008A3E29">
      <w:r w:rsidRPr="007E59F3">
        <w:tab/>
      </w:r>
      <w:r w:rsidRPr="007E59F3">
        <w:tab/>
      </w:r>
      <w:r w:rsidRPr="007E59F3">
        <w:tab/>
      </w:r>
      <w:r w:rsidR="008A3E29" w:rsidRPr="007E59F3">
        <w:t xml:space="preserve">                                   </w:t>
      </w:r>
    </w:p>
    <w:p w:rsidR="00EF0877" w:rsidRPr="007E59F3" w:rsidRDefault="00EF0877" w:rsidP="00EF0877"/>
    <w:p w:rsidR="00EF0877" w:rsidRPr="007E59F3" w:rsidRDefault="00EF0877" w:rsidP="00EF0877">
      <w:bookmarkStart w:id="0" w:name="_GoBack"/>
      <w:bookmarkEnd w:id="0"/>
    </w:p>
    <w:p w:rsidR="00EF0877" w:rsidRPr="007E59F3" w:rsidRDefault="008A3E29" w:rsidP="00EF0877">
      <w:pPr>
        <w:rPr>
          <w:sz w:val="20"/>
          <w:szCs w:val="20"/>
        </w:rPr>
      </w:pPr>
      <w:r w:rsidRPr="007E59F3">
        <w:rPr>
          <w:sz w:val="20"/>
          <w:szCs w:val="20"/>
        </w:rPr>
        <w:t>04</w:t>
      </w:r>
      <w:r w:rsidR="00C16D93" w:rsidRPr="007E59F3">
        <w:rPr>
          <w:sz w:val="20"/>
          <w:szCs w:val="20"/>
        </w:rPr>
        <w:t>.</w:t>
      </w:r>
      <w:r w:rsidR="00C43A48" w:rsidRPr="007E59F3">
        <w:rPr>
          <w:sz w:val="20"/>
          <w:szCs w:val="20"/>
        </w:rPr>
        <w:t>0</w:t>
      </w:r>
      <w:r w:rsidRPr="007E59F3">
        <w:rPr>
          <w:sz w:val="20"/>
          <w:szCs w:val="20"/>
        </w:rPr>
        <w:t>3</w:t>
      </w:r>
      <w:r w:rsidR="00C16D93" w:rsidRPr="007E59F3">
        <w:rPr>
          <w:sz w:val="20"/>
          <w:szCs w:val="20"/>
        </w:rPr>
        <w:t>.</w:t>
      </w:r>
      <w:r w:rsidR="00EF0877" w:rsidRPr="007E59F3">
        <w:rPr>
          <w:sz w:val="20"/>
          <w:szCs w:val="20"/>
        </w:rPr>
        <w:t>201</w:t>
      </w:r>
      <w:r w:rsidR="00C43A48" w:rsidRPr="007E59F3">
        <w:rPr>
          <w:sz w:val="20"/>
          <w:szCs w:val="20"/>
        </w:rPr>
        <w:t>4</w:t>
      </w:r>
      <w:r w:rsidR="00EF0877" w:rsidRPr="007E59F3">
        <w:rPr>
          <w:sz w:val="20"/>
          <w:szCs w:val="20"/>
        </w:rPr>
        <w:t>., 1</w:t>
      </w:r>
      <w:r w:rsidR="006D7E25" w:rsidRPr="007E59F3">
        <w:rPr>
          <w:sz w:val="20"/>
          <w:szCs w:val="20"/>
        </w:rPr>
        <w:t>1</w:t>
      </w:r>
      <w:r w:rsidR="00EF0877" w:rsidRPr="007E59F3">
        <w:rPr>
          <w:sz w:val="20"/>
          <w:szCs w:val="20"/>
        </w:rPr>
        <w:t>:</w:t>
      </w:r>
      <w:r w:rsidR="004720AD" w:rsidRPr="007E59F3">
        <w:rPr>
          <w:sz w:val="20"/>
          <w:szCs w:val="20"/>
        </w:rPr>
        <w:t>4</w:t>
      </w:r>
      <w:r w:rsidR="00EF0877" w:rsidRPr="007E59F3">
        <w:rPr>
          <w:sz w:val="20"/>
          <w:szCs w:val="20"/>
        </w:rPr>
        <w:t>5</w:t>
      </w:r>
    </w:p>
    <w:p w:rsidR="00EF0877" w:rsidRPr="007E59F3" w:rsidRDefault="00775FC7" w:rsidP="00EF0877">
      <w:pPr>
        <w:rPr>
          <w:sz w:val="20"/>
          <w:szCs w:val="20"/>
        </w:rPr>
      </w:pPr>
      <w:r w:rsidRPr="007E59F3">
        <w:rPr>
          <w:sz w:val="20"/>
          <w:szCs w:val="20"/>
        </w:rPr>
        <w:t>1998</w:t>
      </w:r>
    </w:p>
    <w:p w:rsidR="00EF0877" w:rsidRPr="007E59F3" w:rsidRDefault="00EF0877" w:rsidP="00EF0877">
      <w:pPr>
        <w:rPr>
          <w:sz w:val="20"/>
          <w:szCs w:val="20"/>
        </w:rPr>
      </w:pPr>
      <w:r w:rsidRPr="007E59F3">
        <w:rPr>
          <w:sz w:val="20"/>
          <w:szCs w:val="20"/>
        </w:rPr>
        <w:t>M. Buša</w:t>
      </w:r>
    </w:p>
    <w:p w:rsidR="00EF0877" w:rsidRPr="007E59F3" w:rsidRDefault="00EF0877" w:rsidP="00EF0877">
      <w:r w:rsidRPr="007E59F3">
        <w:rPr>
          <w:sz w:val="20"/>
          <w:szCs w:val="20"/>
        </w:rPr>
        <w:t xml:space="preserve">67026569, </w:t>
      </w:r>
      <w:hyperlink r:id="rId10" w:history="1">
        <w:r w:rsidRPr="007E59F3">
          <w:rPr>
            <w:rStyle w:val="Hyperlink"/>
            <w:sz w:val="20"/>
            <w:szCs w:val="20"/>
          </w:rPr>
          <w:t>madara.busa@varam.gov.lv</w:t>
        </w:r>
      </w:hyperlink>
    </w:p>
    <w:sectPr w:rsidR="00EF0877" w:rsidRPr="007E59F3" w:rsidSect="00193596">
      <w:footerReference w:type="default" r:id="rId11"/>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9C" w:rsidRDefault="0015619C" w:rsidP="000547A0">
      <w:r>
        <w:separator/>
      </w:r>
    </w:p>
  </w:endnote>
  <w:endnote w:type="continuationSeparator" w:id="0">
    <w:p w:rsidR="0015619C" w:rsidRDefault="0015619C" w:rsidP="0005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A0" w:rsidRPr="000547A0" w:rsidRDefault="000547A0" w:rsidP="000547A0">
    <w:pPr>
      <w:pStyle w:val="Footer"/>
      <w:jc w:val="both"/>
      <w:rPr>
        <w:sz w:val="22"/>
        <w:szCs w:val="22"/>
      </w:rPr>
    </w:pPr>
    <w:r w:rsidRPr="000547A0">
      <w:rPr>
        <w:sz w:val="22"/>
        <w:szCs w:val="22"/>
      </w:rPr>
      <w:t>VARANAnot_buvn_</w:t>
    </w:r>
    <w:r w:rsidR="008A3E29">
      <w:rPr>
        <w:sz w:val="22"/>
        <w:szCs w:val="22"/>
      </w:rPr>
      <w:t>0403</w:t>
    </w:r>
    <w:r w:rsidR="00AB3E12">
      <w:rPr>
        <w:sz w:val="22"/>
        <w:szCs w:val="22"/>
      </w:rPr>
      <w:t>14</w:t>
    </w:r>
    <w:r w:rsidRPr="000547A0">
      <w:rPr>
        <w:sz w:val="22"/>
        <w:szCs w:val="22"/>
      </w:rPr>
      <w:t>; Tiesību akta projekta sākotnējās ietekmes novērtējuma ziņojums par Ministru kabineta noteikumu projektu „Būvniecībā radušos atkritumu un to pārvadājumu uzskaites kārtība” (anotācija)</w:t>
    </w:r>
  </w:p>
  <w:p w:rsidR="000547A0" w:rsidRDefault="00054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9C" w:rsidRDefault="0015619C" w:rsidP="000547A0">
      <w:r>
        <w:separator/>
      </w:r>
    </w:p>
  </w:footnote>
  <w:footnote w:type="continuationSeparator" w:id="0">
    <w:p w:rsidR="0015619C" w:rsidRDefault="0015619C" w:rsidP="00054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518"/>
    <w:multiLevelType w:val="hybridMultilevel"/>
    <w:tmpl w:val="9CAE59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3059DA"/>
    <w:multiLevelType w:val="hybridMultilevel"/>
    <w:tmpl w:val="4F1EBFCA"/>
    <w:lvl w:ilvl="0" w:tplc="3424CDB0">
      <w:start w:val="1"/>
      <w:numFmt w:val="decimal"/>
      <w:lvlText w:val="%1."/>
      <w:lvlJc w:val="left"/>
      <w:pPr>
        <w:ind w:left="432" w:hanging="360"/>
      </w:pPr>
    </w:lvl>
    <w:lvl w:ilvl="1" w:tplc="04260019">
      <w:start w:val="1"/>
      <w:numFmt w:val="lowerLetter"/>
      <w:lvlText w:val="%2."/>
      <w:lvlJc w:val="left"/>
      <w:pPr>
        <w:ind w:left="1152" w:hanging="360"/>
      </w:pPr>
    </w:lvl>
    <w:lvl w:ilvl="2" w:tplc="0426001B">
      <w:start w:val="1"/>
      <w:numFmt w:val="lowerRoman"/>
      <w:lvlText w:val="%3."/>
      <w:lvlJc w:val="right"/>
      <w:pPr>
        <w:ind w:left="1872" w:hanging="180"/>
      </w:pPr>
    </w:lvl>
    <w:lvl w:ilvl="3" w:tplc="0426000F">
      <w:start w:val="1"/>
      <w:numFmt w:val="decimal"/>
      <w:lvlText w:val="%4."/>
      <w:lvlJc w:val="left"/>
      <w:pPr>
        <w:ind w:left="2592" w:hanging="360"/>
      </w:pPr>
    </w:lvl>
    <w:lvl w:ilvl="4" w:tplc="04260019">
      <w:start w:val="1"/>
      <w:numFmt w:val="lowerLetter"/>
      <w:lvlText w:val="%5."/>
      <w:lvlJc w:val="left"/>
      <w:pPr>
        <w:ind w:left="3312" w:hanging="360"/>
      </w:pPr>
    </w:lvl>
    <w:lvl w:ilvl="5" w:tplc="0426001B">
      <w:start w:val="1"/>
      <w:numFmt w:val="lowerRoman"/>
      <w:lvlText w:val="%6."/>
      <w:lvlJc w:val="right"/>
      <w:pPr>
        <w:ind w:left="4032" w:hanging="180"/>
      </w:pPr>
    </w:lvl>
    <w:lvl w:ilvl="6" w:tplc="0426000F">
      <w:start w:val="1"/>
      <w:numFmt w:val="decimal"/>
      <w:lvlText w:val="%7."/>
      <w:lvlJc w:val="left"/>
      <w:pPr>
        <w:ind w:left="4752" w:hanging="360"/>
      </w:pPr>
    </w:lvl>
    <w:lvl w:ilvl="7" w:tplc="04260019">
      <w:start w:val="1"/>
      <w:numFmt w:val="lowerLetter"/>
      <w:lvlText w:val="%8."/>
      <w:lvlJc w:val="left"/>
      <w:pPr>
        <w:ind w:left="5472" w:hanging="360"/>
      </w:pPr>
    </w:lvl>
    <w:lvl w:ilvl="8" w:tplc="0426001B">
      <w:start w:val="1"/>
      <w:numFmt w:val="lowerRoman"/>
      <w:lvlText w:val="%9."/>
      <w:lvlJc w:val="right"/>
      <w:pPr>
        <w:ind w:left="6192" w:hanging="180"/>
      </w:pPr>
    </w:lvl>
  </w:abstractNum>
  <w:abstractNum w:abstractNumId="2">
    <w:nsid w:val="1C436CE2"/>
    <w:multiLevelType w:val="hybridMultilevel"/>
    <w:tmpl w:val="EDBE42F2"/>
    <w:lvl w:ilvl="0" w:tplc="0426000F">
      <w:start w:val="1"/>
      <w:numFmt w:val="decimal"/>
      <w:lvlText w:val="%1."/>
      <w:lvlJc w:val="left"/>
      <w:pPr>
        <w:ind w:left="861" w:hanging="360"/>
      </w:p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3">
    <w:nsid w:val="2B0F1BE5"/>
    <w:multiLevelType w:val="multilevel"/>
    <w:tmpl w:val="70F49940"/>
    <w:numStyleLink w:val="Style1"/>
  </w:abstractNum>
  <w:abstractNum w:abstractNumId="4">
    <w:nsid w:val="2DEB4791"/>
    <w:multiLevelType w:val="multilevel"/>
    <w:tmpl w:val="0426001D"/>
    <w:numStyleLink w:val="Style2"/>
  </w:abstractNum>
  <w:abstractNum w:abstractNumId="5">
    <w:nsid w:val="2F700B5A"/>
    <w:multiLevelType w:val="hybridMultilevel"/>
    <w:tmpl w:val="EAFE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54728"/>
    <w:multiLevelType w:val="multilevel"/>
    <w:tmpl w:val="70F499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E344AF"/>
    <w:multiLevelType w:val="multilevel"/>
    <w:tmpl w:val="0426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8D87232"/>
    <w:multiLevelType w:val="hybridMultilevel"/>
    <w:tmpl w:val="502AC676"/>
    <w:lvl w:ilvl="0" w:tplc="C0CCC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D2D7378"/>
    <w:multiLevelType w:val="hybridMultilevel"/>
    <w:tmpl w:val="978C63CC"/>
    <w:lvl w:ilvl="0" w:tplc="AC886C1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num>
  <w:num w:numId="7">
    <w:abstractNumId w:val="4"/>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991826"/>
    <w:rsid w:val="00007F0D"/>
    <w:rsid w:val="00023D1C"/>
    <w:rsid w:val="00044B7C"/>
    <w:rsid w:val="000530BB"/>
    <w:rsid w:val="000547A0"/>
    <w:rsid w:val="00055830"/>
    <w:rsid w:val="00085B84"/>
    <w:rsid w:val="000D7E8B"/>
    <w:rsid w:val="000E4510"/>
    <w:rsid w:val="000F6588"/>
    <w:rsid w:val="00107DC3"/>
    <w:rsid w:val="00113162"/>
    <w:rsid w:val="0015619C"/>
    <w:rsid w:val="00171FAC"/>
    <w:rsid w:val="001838AD"/>
    <w:rsid w:val="00184866"/>
    <w:rsid w:val="00193596"/>
    <w:rsid w:val="001B1831"/>
    <w:rsid w:val="001C1A8A"/>
    <w:rsid w:val="001F3B39"/>
    <w:rsid w:val="00202A28"/>
    <w:rsid w:val="00265BBC"/>
    <w:rsid w:val="00274921"/>
    <w:rsid w:val="00275288"/>
    <w:rsid w:val="002A279D"/>
    <w:rsid w:val="002D588F"/>
    <w:rsid w:val="00356F4F"/>
    <w:rsid w:val="00360404"/>
    <w:rsid w:val="003C0BF5"/>
    <w:rsid w:val="0040043E"/>
    <w:rsid w:val="004007D4"/>
    <w:rsid w:val="00430097"/>
    <w:rsid w:val="0045283F"/>
    <w:rsid w:val="00452901"/>
    <w:rsid w:val="00462F7A"/>
    <w:rsid w:val="004720AD"/>
    <w:rsid w:val="004C7BF8"/>
    <w:rsid w:val="00505441"/>
    <w:rsid w:val="00537C18"/>
    <w:rsid w:val="00554FFD"/>
    <w:rsid w:val="0055511D"/>
    <w:rsid w:val="00561AC4"/>
    <w:rsid w:val="0059015F"/>
    <w:rsid w:val="005C257A"/>
    <w:rsid w:val="00637763"/>
    <w:rsid w:val="00643F4E"/>
    <w:rsid w:val="006444F1"/>
    <w:rsid w:val="0067666D"/>
    <w:rsid w:val="006D7E25"/>
    <w:rsid w:val="00760919"/>
    <w:rsid w:val="0076749C"/>
    <w:rsid w:val="00775FC7"/>
    <w:rsid w:val="007E59F3"/>
    <w:rsid w:val="0084605A"/>
    <w:rsid w:val="008657E4"/>
    <w:rsid w:val="008855A8"/>
    <w:rsid w:val="00897927"/>
    <w:rsid w:val="008A3E29"/>
    <w:rsid w:val="008A5C81"/>
    <w:rsid w:val="008B3F64"/>
    <w:rsid w:val="008B6AD9"/>
    <w:rsid w:val="00903C8E"/>
    <w:rsid w:val="00942A72"/>
    <w:rsid w:val="009506B2"/>
    <w:rsid w:val="00952B8A"/>
    <w:rsid w:val="00954A6C"/>
    <w:rsid w:val="009574BB"/>
    <w:rsid w:val="00967867"/>
    <w:rsid w:val="0097336D"/>
    <w:rsid w:val="00991826"/>
    <w:rsid w:val="009A02F8"/>
    <w:rsid w:val="009B5352"/>
    <w:rsid w:val="009B5C86"/>
    <w:rsid w:val="00A60B3D"/>
    <w:rsid w:val="00A62881"/>
    <w:rsid w:val="00A63583"/>
    <w:rsid w:val="00A653BC"/>
    <w:rsid w:val="00A66CC6"/>
    <w:rsid w:val="00A848FD"/>
    <w:rsid w:val="00A85BC1"/>
    <w:rsid w:val="00A97F61"/>
    <w:rsid w:val="00AB3E12"/>
    <w:rsid w:val="00B22A18"/>
    <w:rsid w:val="00B53E77"/>
    <w:rsid w:val="00B83B95"/>
    <w:rsid w:val="00B853AC"/>
    <w:rsid w:val="00BA36F3"/>
    <w:rsid w:val="00BB0CD1"/>
    <w:rsid w:val="00BC32FF"/>
    <w:rsid w:val="00BF216F"/>
    <w:rsid w:val="00C053B8"/>
    <w:rsid w:val="00C16D93"/>
    <w:rsid w:val="00C2595F"/>
    <w:rsid w:val="00C43A48"/>
    <w:rsid w:val="00C67AE0"/>
    <w:rsid w:val="00C702D9"/>
    <w:rsid w:val="00CB314B"/>
    <w:rsid w:val="00CC3EF8"/>
    <w:rsid w:val="00CE1BE5"/>
    <w:rsid w:val="00CF17E6"/>
    <w:rsid w:val="00D0265B"/>
    <w:rsid w:val="00D6279E"/>
    <w:rsid w:val="00D64494"/>
    <w:rsid w:val="00DD64F5"/>
    <w:rsid w:val="00E2346D"/>
    <w:rsid w:val="00E361F4"/>
    <w:rsid w:val="00E369BE"/>
    <w:rsid w:val="00EF0877"/>
    <w:rsid w:val="00EF7F3D"/>
    <w:rsid w:val="00F0174B"/>
    <w:rsid w:val="00F71A8C"/>
    <w:rsid w:val="00FB3175"/>
    <w:rsid w:val="00FE53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91826"/>
    <w:pPr>
      <w:spacing w:before="75" w:after="75"/>
      <w:ind w:firstLine="375"/>
      <w:jc w:val="both"/>
    </w:pPr>
  </w:style>
  <w:style w:type="paragraph" w:customStyle="1" w:styleId="naisnod">
    <w:name w:val="naisnod"/>
    <w:basedOn w:val="Normal"/>
    <w:rsid w:val="00991826"/>
    <w:pPr>
      <w:spacing w:before="150" w:after="150"/>
      <w:jc w:val="center"/>
    </w:pPr>
    <w:rPr>
      <w:b/>
      <w:bCs/>
    </w:rPr>
  </w:style>
  <w:style w:type="paragraph" w:customStyle="1" w:styleId="naislab">
    <w:name w:val="naislab"/>
    <w:basedOn w:val="Normal"/>
    <w:rsid w:val="00991826"/>
    <w:pPr>
      <w:spacing w:before="75" w:after="75"/>
      <w:jc w:val="right"/>
    </w:pPr>
  </w:style>
  <w:style w:type="paragraph" w:customStyle="1" w:styleId="naiskr">
    <w:name w:val="naiskr"/>
    <w:basedOn w:val="Normal"/>
    <w:rsid w:val="00991826"/>
    <w:pPr>
      <w:spacing w:before="75" w:after="75"/>
    </w:pPr>
  </w:style>
  <w:style w:type="paragraph" w:styleId="FootnoteText">
    <w:name w:val="footnote text"/>
    <w:basedOn w:val="Normal"/>
    <w:link w:val="FootnoteTextChar"/>
    <w:semiHidden/>
    <w:rsid w:val="00991826"/>
    <w:rPr>
      <w:sz w:val="20"/>
      <w:szCs w:val="20"/>
    </w:rPr>
  </w:style>
  <w:style w:type="character" w:customStyle="1" w:styleId="FootnoteTextChar">
    <w:name w:val="Footnote Text Char"/>
    <w:basedOn w:val="DefaultParagraphFont"/>
    <w:link w:val="FootnoteText"/>
    <w:semiHidden/>
    <w:rsid w:val="00991826"/>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0174B"/>
    <w:pPr>
      <w:tabs>
        <w:tab w:val="center" w:pos="4153"/>
        <w:tab w:val="right" w:pos="8306"/>
      </w:tabs>
    </w:pPr>
  </w:style>
  <w:style w:type="character" w:customStyle="1" w:styleId="FooterChar">
    <w:name w:val="Footer Char"/>
    <w:basedOn w:val="DefaultParagraphFont"/>
    <w:link w:val="Footer"/>
    <w:uiPriority w:val="99"/>
    <w:rsid w:val="00F0174B"/>
    <w:rPr>
      <w:rFonts w:ascii="Times New Roman" w:eastAsia="Times New Roman" w:hAnsi="Times New Roman" w:cs="Times New Roman"/>
      <w:sz w:val="24"/>
      <w:szCs w:val="24"/>
      <w:lang w:eastAsia="lv-LV"/>
    </w:rPr>
  </w:style>
  <w:style w:type="character" w:styleId="Strong">
    <w:name w:val="Strong"/>
    <w:qFormat/>
    <w:rsid w:val="009506B2"/>
    <w:rPr>
      <w:b/>
      <w:bCs/>
    </w:rPr>
  </w:style>
  <w:style w:type="character" w:styleId="Hyperlink">
    <w:name w:val="Hyperlink"/>
    <w:rsid w:val="00EF0877"/>
    <w:rPr>
      <w:rFonts w:cs="Times New Roman"/>
      <w:color w:val="0000FF"/>
      <w:u w:val="single"/>
    </w:rPr>
  </w:style>
  <w:style w:type="paragraph" w:styleId="Header">
    <w:name w:val="header"/>
    <w:basedOn w:val="Normal"/>
    <w:link w:val="HeaderChar"/>
    <w:uiPriority w:val="99"/>
    <w:unhideWhenUsed/>
    <w:rsid w:val="000547A0"/>
    <w:pPr>
      <w:tabs>
        <w:tab w:val="center" w:pos="4153"/>
        <w:tab w:val="right" w:pos="8306"/>
      </w:tabs>
    </w:pPr>
  </w:style>
  <w:style w:type="character" w:customStyle="1" w:styleId="HeaderChar">
    <w:name w:val="Header Char"/>
    <w:basedOn w:val="DefaultParagraphFont"/>
    <w:link w:val="Header"/>
    <w:uiPriority w:val="99"/>
    <w:rsid w:val="000547A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547A0"/>
    <w:rPr>
      <w:rFonts w:ascii="Tahoma" w:hAnsi="Tahoma" w:cs="Tahoma"/>
      <w:sz w:val="16"/>
      <w:szCs w:val="16"/>
    </w:rPr>
  </w:style>
  <w:style w:type="character" w:customStyle="1" w:styleId="BalloonTextChar">
    <w:name w:val="Balloon Text Char"/>
    <w:basedOn w:val="DefaultParagraphFont"/>
    <w:link w:val="BalloonText"/>
    <w:uiPriority w:val="99"/>
    <w:semiHidden/>
    <w:rsid w:val="000547A0"/>
    <w:rPr>
      <w:rFonts w:ascii="Tahoma" w:eastAsia="Times New Roman" w:hAnsi="Tahoma" w:cs="Tahoma"/>
      <w:sz w:val="16"/>
      <w:szCs w:val="16"/>
      <w:lang w:eastAsia="lv-LV"/>
    </w:rPr>
  </w:style>
  <w:style w:type="paragraph" w:styleId="ListParagraph">
    <w:name w:val="List Paragraph"/>
    <w:basedOn w:val="Normal"/>
    <w:uiPriority w:val="34"/>
    <w:qFormat/>
    <w:rsid w:val="001B1831"/>
    <w:pPr>
      <w:ind w:left="720"/>
      <w:contextualSpacing/>
    </w:pPr>
  </w:style>
  <w:style w:type="character" w:styleId="CommentReference">
    <w:name w:val="annotation reference"/>
    <w:basedOn w:val="DefaultParagraphFont"/>
    <w:uiPriority w:val="99"/>
    <w:semiHidden/>
    <w:unhideWhenUsed/>
    <w:rsid w:val="00452901"/>
    <w:rPr>
      <w:sz w:val="16"/>
      <w:szCs w:val="16"/>
    </w:rPr>
  </w:style>
  <w:style w:type="paragraph" w:styleId="CommentText">
    <w:name w:val="annotation text"/>
    <w:basedOn w:val="Normal"/>
    <w:link w:val="CommentTextChar"/>
    <w:uiPriority w:val="99"/>
    <w:semiHidden/>
    <w:unhideWhenUsed/>
    <w:rsid w:val="00452901"/>
    <w:rPr>
      <w:sz w:val="20"/>
      <w:szCs w:val="20"/>
    </w:rPr>
  </w:style>
  <w:style w:type="character" w:customStyle="1" w:styleId="CommentTextChar">
    <w:name w:val="Comment Text Char"/>
    <w:basedOn w:val="DefaultParagraphFont"/>
    <w:link w:val="CommentText"/>
    <w:uiPriority w:val="99"/>
    <w:semiHidden/>
    <w:rsid w:val="004529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2901"/>
    <w:rPr>
      <w:b/>
      <w:bCs/>
    </w:rPr>
  </w:style>
  <w:style w:type="character" w:customStyle="1" w:styleId="CommentSubjectChar">
    <w:name w:val="Comment Subject Char"/>
    <w:basedOn w:val="CommentTextChar"/>
    <w:link w:val="CommentSubject"/>
    <w:uiPriority w:val="99"/>
    <w:semiHidden/>
    <w:rsid w:val="00452901"/>
    <w:rPr>
      <w:rFonts w:ascii="Times New Roman" w:eastAsia="Times New Roman" w:hAnsi="Times New Roman" w:cs="Times New Roman"/>
      <w:b/>
      <w:bCs/>
      <w:sz w:val="20"/>
      <w:szCs w:val="20"/>
      <w:lang w:eastAsia="lv-LV"/>
    </w:rPr>
  </w:style>
  <w:style w:type="numbering" w:customStyle="1" w:styleId="Style1">
    <w:name w:val="Style1"/>
    <w:uiPriority w:val="99"/>
    <w:rsid w:val="00171FAC"/>
    <w:pPr>
      <w:numPr>
        <w:numId w:val="5"/>
      </w:numPr>
    </w:pPr>
  </w:style>
  <w:style w:type="numbering" w:customStyle="1" w:styleId="Style2">
    <w:name w:val="Style2"/>
    <w:uiPriority w:val="99"/>
    <w:rsid w:val="00171FAC"/>
    <w:pPr>
      <w:numPr>
        <w:numId w:val="6"/>
      </w:numPr>
    </w:pPr>
  </w:style>
  <w:style w:type="table" w:styleId="TableGrid">
    <w:name w:val="Table Grid"/>
    <w:basedOn w:val="TableNormal"/>
    <w:uiPriority w:val="59"/>
    <w:rsid w:val="00A6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91826"/>
    <w:pPr>
      <w:spacing w:before="75" w:after="75"/>
      <w:ind w:firstLine="375"/>
      <w:jc w:val="both"/>
    </w:pPr>
  </w:style>
  <w:style w:type="paragraph" w:customStyle="1" w:styleId="naisnod">
    <w:name w:val="naisnod"/>
    <w:basedOn w:val="Normal"/>
    <w:rsid w:val="00991826"/>
    <w:pPr>
      <w:spacing w:before="150" w:after="150"/>
      <w:jc w:val="center"/>
    </w:pPr>
    <w:rPr>
      <w:b/>
      <w:bCs/>
    </w:rPr>
  </w:style>
  <w:style w:type="paragraph" w:customStyle="1" w:styleId="naislab">
    <w:name w:val="naislab"/>
    <w:basedOn w:val="Normal"/>
    <w:rsid w:val="00991826"/>
    <w:pPr>
      <w:spacing w:before="75" w:after="75"/>
      <w:jc w:val="right"/>
    </w:pPr>
  </w:style>
  <w:style w:type="paragraph" w:customStyle="1" w:styleId="naiskr">
    <w:name w:val="naiskr"/>
    <w:basedOn w:val="Normal"/>
    <w:rsid w:val="00991826"/>
    <w:pPr>
      <w:spacing w:before="75" w:after="75"/>
    </w:pPr>
  </w:style>
  <w:style w:type="paragraph" w:styleId="FootnoteText">
    <w:name w:val="footnote text"/>
    <w:basedOn w:val="Normal"/>
    <w:link w:val="FootnoteTextChar"/>
    <w:semiHidden/>
    <w:rsid w:val="00991826"/>
    <w:rPr>
      <w:sz w:val="20"/>
      <w:szCs w:val="20"/>
    </w:rPr>
  </w:style>
  <w:style w:type="character" w:customStyle="1" w:styleId="FootnoteTextChar">
    <w:name w:val="Footnote Text Char"/>
    <w:basedOn w:val="DefaultParagraphFont"/>
    <w:link w:val="FootnoteText"/>
    <w:semiHidden/>
    <w:rsid w:val="00991826"/>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0174B"/>
    <w:pPr>
      <w:tabs>
        <w:tab w:val="center" w:pos="4153"/>
        <w:tab w:val="right" w:pos="8306"/>
      </w:tabs>
    </w:pPr>
  </w:style>
  <w:style w:type="character" w:customStyle="1" w:styleId="FooterChar">
    <w:name w:val="Footer Char"/>
    <w:basedOn w:val="DefaultParagraphFont"/>
    <w:link w:val="Footer"/>
    <w:uiPriority w:val="99"/>
    <w:rsid w:val="00F0174B"/>
    <w:rPr>
      <w:rFonts w:ascii="Times New Roman" w:eastAsia="Times New Roman" w:hAnsi="Times New Roman" w:cs="Times New Roman"/>
      <w:sz w:val="24"/>
      <w:szCs w:val="24"/>
      <w:lang w:eastAsia="lv-LV"/>
    </w:rPr>
  </w:style>
  <w:style w:type="character" w:styleId="Strong">
    <w:name w:val="Strong"/>
    <w:qFormat/>
    <w:rsid w:val="009506B2"/>
    <w:rPr>
      <w:b/>
      <w:bCs/>
    </w:rPr>
  </w:style>
  <w:style w:type="character" w:styleId="Hyperlink">
    <w:name w:val="Hyperlink"/>
    <w:rsid w:val="00EF0877"/>
    <w:rPr>
      <w:rFonts w:cs="Times New Roman"/>
      <w:color w:val="0000FF"/>
      <w:u w:val="single"/>
    </w:rPr>
  </w:style>
  <w:style w:type="paragraph" w:styleId="Header">
    <w:name w:val="header"/>
    <w:basedOn w:val="Normal"/>
    <w:link w:val="HeaderChar"/>
    <w:uiPriority w:val="99"/>
    <w:unhideWhenUsed/>
    <w:rsid w:val="000547A0"/>
    <w:pPr>
      <w:tabs>
        <w:tab w:val="center" w:pos="4153"/>
        <w:tab w:val="right" w:pos="8306"/>
      </w:tabs>
    </w:pPr>
  </w:style>
  <w:style w:type="character" w:customStyle="1" w:styleId="HeaderChar">
    <w:name w:val="Header Char"/>
    <w:basedOn w:val="DefaultParagraphFont"/>
    <w:link w:val="Header"/>
    <w:uiPriority w:val="99"/>
    <w:rsid w:val="000547A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547A0"/>
    <w:rPr>
      <w:rFonts w:ascii="Tahoma" w:hAnsi="Tahoma" w:cs="Tahoma"/>
      <w:sz w:val="16"/>
      <w:szCs w:val="16"/>
    </w:rPr>
  </w:style>
  <w:style w:type="character" w:customStyle="1" w:styleId="BalloonTextChar">
    <w:name w:val="Balloon Text Char"/>
    <w:basedOn w:val="DefaultParagraphFont"/>
    <w:link w:val="BalloonText"/>
    <w:uiPriority w:val="99"/>
    <w:semiHidden/>
    <w:rsid w:val="000547A0"/>
    <w:rPr>
      <w:rFonts w:ascii="Tahoma" w:eastAsia="Times New Roman" w:hAnsi="Tahoma" w:cs="Tahoma"/>
      <w:sz w:val="16"/>
      <w:szCs w:val="16"/>
      <w:lang w:eastAsia="lv-LV"/>
    </w:rPr>
  </w:style>
  <w:style w:type="paragraph" w:styleId="ListParagraph">
    <w:name w:val="List Paragraph"/>
    <w:basedOn w:val="Normal"/>
    <w:uiPriority w:val="34"/>
    <w:qFormat/>
    <w:rsid w:val="001B1831"/>
    <w:pPr>
      <w:ind w:left="720"/>
      <w:contextualSpacing/>
    </w:pPr>
  </w:style>
  <w:style w:type="character" w:styleId="CommentReference">
    <w:name w:val="annotation reference"/>
    <w:basedOn w:val="DefaultParagraphFont"/>
    <w:uiPriority w:val="99"/>
    <w:semiHidden/>
    <w:unhideWhenUsed/>
    <w:rsid w:val="00452901"/>
    <w:rPr>
      <w:sz w:val="16"/>
      <w:szCs w:val="16"/>
    </w:rPr>
  </w:style>
  <w:style w:type="paragraph" w:styleId="CommentText">
    <w:name w:val="annotation text"/>
    <w:basedOn w:val="Normal"/>
    <w:link w:val="CommentTextChar"/>
    <w:uiPriority w:val="99"/>
    <w:semiHidden/>
    <w:unhideWhenUsed/>
    <w:rsid w:val="00452901"/>
    <w:rPr>
      <w:sz w:val="20"/>
      <w:szCs w:val="20"/>
    </w:rPr>
  </w:style>
  <w:style w:type="character" w:customStyle="1" w:styleId="CommentTextChar">
    <w:name w:val="Comment Text Char"/>
    <w:basedOn w:val="DefaultParagraphFont"/>
    <w:link w:val="CommentText"/>
    <w:uiPriority w:val="99"/>
    <w:semiHidden/>
    <w:rsid w:val="004529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2901"/>
    <w:rPr>
      <w:b/>
      <w:bCs/>
    </w:rPr>
  </w:style>
  <w:style w:type="character" w:customStyle="1" w:styleId="CommentSubjectChar">
    <w:name w:val="Comment Subject Char"/>
    <w:basedOn w:val="CommentTextChar"/>
    <w:link w:val="CommentSubject"/>
    <w:uiPriority w:val="99"/>
    <w:semiHidden/>
    <w:rsid w:val="00452901"/>
    <w:rPr>
      <w:rFonts w:ascii="Times New Roman" w:eastAsia="Times New Roman" w:hAnsi="Times New Roman" w:cs="Times New Roman"/>
      <w:b/>
      <w:bCs/>
      <w:sz w:val="20"/>
      <w:szCs w:val="20"/>
      <w:lang w:eastAsia="lv-LV"/>
    </w:rPr>
  </w:style>
  <w:style w:type="numbering" w:customStyle="1" w:styleId="Style1">
    <w:name w:val="Style1"/>
    <w:uiPriority w:val="99"/>
    <w:pPr>
      <w:numPr>
        <w:numId w:val="5"/>
      </w:numPr>
    </w:pPr>
  </w:style>
  <w:style w:type="numbering" w:customStyle="1" w:styleId="Style2">
    <w:name w:val="Style2"/>
    <w:uiPriority w:val="99"/>
    <w:pPr>
      <w:numPr>
        <w:numId w:val="6"/>
      </w:numPr>
    </w:pPr>
  </w:style>
  <w:style w:type="table" w:styleId="TableGrid">
    <w:name w:val="Table Grid"/>
    <w:basedOn w:val="TableNormal"/>
    <w:uiPriority w:val="59"/>
    <w:rsid w:val="00A6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123950">
      <w:bodyDiv w:val="1"/>
      <w:marLeft w:val="0"/>
      <w:marRight w:val="0"/>
      <w:marTop w:val="0"/>
      <w:marBottom w:val="0"/>
      <w:divBdr>
        <w:top w:val="none" w:sz="0" w:space="0" w:color="auto"/>
        <w:left w:val="none" w:sz="0" w:space="0" w:color="auto"/>
        <w:bottom w:val="none" w:sz="0" w:space="0" w:color="auto"/>
        <w:right w:val="none" w:sz="0" w:space="0" w:color="auto"/>
      </w:divBdr>
    </w:div>
    <w:div w:id="581908982">
      <w:bodyDiv w:val="1"/>
      <w:marLeft w:val="0"/>
      <w:marRight w:val="0"/>
      <w:marTop w:val="0"/>
      <w:marBottom w:val="0"/>
      <w:divBdr>
        <w:top w:val="none" w:sz="0" w:space="0" w:color="auto"/>
        <w:left w:val="none" w:sz="0" w:space="0" w:color="auto"/>
        <w:bottom w:val="none" w:sz="0" w:space="0" w:color="auto"/>
        <w:right w:val="none" w:sz="0" w:space="0" w:color="auto"/>
      </w:divBdr>
    </w:div>
    <w:div w:id="1608466996">
      <w:bodyDiv w:val="1"/>
      <w:marLeft w:val="0"/>
      <w:marRight w:val="0"/>
      <w:marTop w:val="0"/>
      <w:marBottom w:val="0"/>
      <w:divBdr>
        <w:top w:val="none" w:sz="0" w:space="0" w:color="auto"/>
        <w:left w:val="none" w:sz="0" w:space="0" w:color="auto"/>
        <w:bottom w:val="none" w:sz="0" w:space="0" w:color="auto"/>
        <w:right w:val="none" w:sz="0" w:space="0" w:color="auto"/>
      </w:divBdr>
    </w:div>
    <w:div w:id="19233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56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dara.bus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6F47-ADA0-42DA-A7F3-43D9DFB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2</cp:revision>
  <cp:lastPrinted>2014-03-06T12:44:00Z</cp:lastPrinted>
  <dcterms:created xsi:type="dcterms:W3CDTF">2014-03-13T11:28:00Z</dcterms:created>
  <dcterms:modified xsi:type="dcterms:W3CDTF">2014-03-13T11:28:00Z</dcterms:modified>
  <cp:contentStatus/>
</cp:coreProperties>
</file>