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11" w:rsidRPr="004F20A3" w:rsidRDefault="00D94EE5" w:rsidP="00CA28A9">
      <w:pPr>
        <w:spacing w:before="120" w:after="120"/>
        <w:jc w:val="center"/>
        <w:rPr>
          <w:b/>
          <w:i/>
          <w:iCs/>
          <w:sz w:val="28"/>
          <w:szCs w:val="28"/>
        </w:rPr>
      </w:pPr>
      <w:bookmarkStart w:id="0" w:name="OLE_LINK1"/>
      <w:bookmarkStart w:id="1" w:name="OLE_LINK2"/>
      <w:r w:rsidRPr="00FC0E52">
        <w:rPr>
          <w:sz w:val="28"/>
          <w:szCs w:val="28"/>
        </w:rPr>
        <w:t>Ministru kabineta noteikumu projekta</w:t>
      </w:r>
      <w:r w:rsidRPr="00FC0E52">
        <w:rPr>
          <w:b/>
          <w:sz w:val="28"/>
          <w:szCs w:val="28"/>
        </w:rPr>
        <w:t xml:space="preserve"> </w:t>
      </w:r>
      <w:r>
        <w:rPr>
          <w:b/>
          <w:sz w:val="28"/>
          <w:szCs w:val="28"/>
        </w:rPr>
        <w:t>„</w:t>
      </w:r>
      <w:r w:rsidRPr="00C6563F">
        <w:rPr>
          <w:b/>
          <w:sz w:val="28"/>
          <w:szCs w:val="28"/>
        </w:rPr>
        <w:t>Grozījumi Ministru kabineta 2013.gada 26.februāra noteikumos Nr.112 „Emisijas kvotu piešķiršanas kārtība stacionāro tehnoloģisko iekārtu operatoriem”</w:t>
      </w:r>
      <w:r>
        <w:rPr>
          <w:b/>
          <w:sz w:val="28"/>
          <w:szCs w:val="28"/>
        </w:rPr>
        <w:t xml:space="preserve">” </w:t>
      </w:r>
      <w:r w:rsidRPr="00FC0E52">
        <w:rPr>
          <w:sz w:val="28"/>
          <w:szCs w:val="28"/>
        </w:rPr>
        <w:t>sākotnējās ietekmes novērtējuma ziņojums</w:t>
      </w:r>
      <w:r>
        <w:rPr>
          <w:sz w:val="28"/>
          <w:szCs w:val="28"/>
        </w:rPr>
        <w:t xml:space="preserve"> </w:t>
      </w:r>
      <w:r w:rsidRPr="00345A7B">
        <w:rPr>
          <w:sz w:val="28"/>
          <w:szCs w:val="28"/>
        </w:rPr>
        <w:t>(anotācija)</w:t>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16"/>
        <w:gridCol w:w="1857"/>
        <w:gridCol w:w="7083"/>
      </w:tblGrid>
      <w:tr w:rsidR="00D94EE5" w:rsidRPr="00D040B3" w:rsidTr="008B2E31">
        <w:tc>
          <w:tcPr>
            <w:tcW w:w="9356" w:type="dxa"/>
            <w:gridSpan w:val="3"/>
            <w:vAlign w:val="center"/>
          </w:tcPr>
          <w:bookmarkEnd w:id="0"/>
          <w:bookmarkEnd w:id="1"/>
          <w:p w:rsidR="00D94EE5" w:rsidRPr="00D040B3" w:rsidRDefault="00D94EE5" w:rsidP="0045163C">
            <w:pPr>
              <w:pStyle w:val="naisnod"/>
              <w:spacing w:before="0" w:after="60"/>
              <w:rPr>
                <w:color w:val="000000" w:themeColor="text1"/>
              </w:rPr>
            </w:pPr>
            <w:r w:rsidRPr="00D040B3">
              <w:rPr>
                <w:color w:val="000000" w:themeColor="text1"/>
              </w:rPr>
              <w:t>I. Tiesību akta projekta izstrādes nepieciešamība</w:t>
            </w:r>
          </w:p>
        </w:tc>
      </w:tr>
      <w:tr w:rsidR="00D94EE5" w:rsidRPr="00D040B3" w:rsidTr="008B2E31">
        <w:trPr>
          <w:trHeight w:val="630"/>
        </w:trPr>
        <w:tc>
          <w:tcPr>
            <w:tcW w:w="416" w:type="dxa"/>
          </w:tcPr>
          <w:p w:rsidR="00D94EE5" w:rsidRPr="00D040B3" w:rsidRDefault="00D94EE5" w:rsidP="0045163C">
            <w:pPr>
              <w:pStyle w:val="naiskr"/>
              <w:spacing w:before="0" w:after="60"/>
              <w:jc w:val="center"/>
              <w:rPr>
                <w:color w:val="000000" w:themeColor="text1"/>
              </w:rPr>
            </w:pPr>
            <w:r w:rsidRPr="00D040B3">
              <w:rPr>
                <w:color w:val="000000" w:themeColor="text1"/>
              </w:rPr>
              <w:t>1.</w:t>
            </w:r>
          </w:p>
        </w:tc>
        <w:tc>
          <w:tcPr>
            <w:tcW w:w="1857" w:type="dxa"/>
          </w:tcPr>
          <w:p w:rsidR="00D94EE5" w:rsidRPr="00D040B3" w:rsidRDefault="00D94EE5" w:rsidP="0045163C">
            <w:pPr>
              <w:pStyle w:val="naiskr"/>
              <w:spacing w:before="0" w:after="60"/>
              <w:ind w:hanging="10"/>
              <w:rPr>
                <w:color w:val="000000" w:themeColor="text1"/>
              </w:rPr>
            </w:pPr>
            <w:r w:rsidRPr="00D040B3">
              <w:rPr>
                <w:color w:val="000000" w:themeColor="text1"/>
              </w:rPr>
              <w:t>Pamatojums</w:t>
            </w:r>
          </w:p>
          <w:p w:rsidR="00D94EE5" w:rsidRPr="00D040B3" w:rsidRDefault="00D94EE5" w:rsidP="0045163C">
            <w:pPr>
              <w:tabs>
                <w:tab w:val="left" w:pos="1035"/>
              </w:tabs>
              <w:spacing w:after="60"/>
              <w:rPr>
                <w:color w:val="000000" w:themeColor="text1"/>
              </w:rPr>
            </w:pPr>
          </w:p>
        </w:tc>
        <w:tc>
          <w:tcPr>
            <w:tcW w:w="7083" w:type="dxa"/>
            <w:tcMar>
              <w:left w:w="28" w:type="dxa"/>
              <w:right w:w="28" w:type="dxa"/>
            </w:tcMar>
          </w:tcPr>
          <w:p w:rsidR="00D94EE5" w:rsidRPr="00D040B3" w:rsidRDefault="00D94EE5" w:rsidP="0000562A">
            <w:pPr>
              <w:pStyle w:val="naiskr"/>
              <w:spacing w:before="0" w:after="60"/>
              <w:ind w:firstLine="188"/>
              <w:jc w:val="both"/>
              <w:rPr>
                <w:color w:val="000000" w:themeColor="text1"/>
              </w:rPr>
            </w:pPr>
            <w:r w:rsidRPr="00D040B3">
              <w:rPr>
                <w:color w:val="000000" w:themeColor="text1"/>
              </w:rPr>
              <w:t xml:space="preserve">Ministru kabineta noteikumu projekts „Grozījumi Ministru kabineta 2013.gada 26.februāra noteikumos Nr.112 „Emisijas kvotu piešķiršanas kārtība stacionāro tehnoloģisko iekārtu operatoriem”” (turpmāk – noteikumu projekts) ir sagatavots saskaņā ar </w:t>
            </w:r>
            <w:r w:rsidRPr="00D040B3">
              <w:rPr>
                <w:iCs/>
                <w:color w:val="000000" w:themeColor="text1"/>
              </w:rPr>
              <w:t>likuma „Par piesārņojumu” 32.</w:t>
            </w:r>
            <w:r w:rsidRPr="00D040B3">
              <w:rPr>
                <w:iCs/>
                <w:color w:val="000000" w:themeColor="text1"/>
                <w:vertAlign w:val="superscript"/>
              </w:rPr>
              <w:t>2</w:t>
            </w:r>
            <w:r w:rsidRPr="00D040B3">
              <w:rPr>
                <w:iCs/>
                <w:color w:val="000000" w:themeColor="text1"/>
              </w:rPr>
              <w:t xml:space="preserve"> panta astoto daļu.</w:t>
            </w:r>
          </w:p>
        </w:tc>
      </w:tr>
      <w:tr w:rsidR="00D94EE5" w:rsidRPr="00D040B3" w:rsidTr="008B2E31">
        <w:trPr>
          <w:trHeight w:val="472"/>
        </w:trPr>
        <w:tc>
          <w:tcPr>
            <w:tcW w:w="416" w:type="dxa"/>
          </w:tcPr>
          <w:p w:rsidR="00D94EE5" w:rsidRPr="00D040B3" w:rsidRDefault="00D94EE5" w:rsidP="0045163C">
            <w:pPr>
              <w:pStyle w:val="HTMLPreformatted"/>
              <w:spacing w:after="60"/>
              <w:jc w:val="center"/>
              <w:rPr>
                <w:rFonts w:ascii="Times New Roman" w:hAnsi="Times New Roman" w:cs="Times New Roman"/>
                <w:color w:val="000000" w:themeColor="text1"/>
                <w:sz w:val="24"/>
                <w:szCs w:val="24"/>
              </w:rPr>
            </w:pPr>
            <w:r w:rsidRPr="00D040B3">
              <w:rPr>
                <w:rFonts w:ascii="Times New Roman" w:hAnsi="Times New Roman" w:cs="Times New Roman"/>
                <w:color w:val="000000" w:themeColor="text1"/>
                <w:sz w:val="24"/>
                <w:szCs w:val="24"/>
              </w:rPr>
              <w:t>2.</w:t>
            </w:r>
          </w:p>
        </w:tc>
        <w:tc>
          <w:tcPr>
            <w:tcW w:w="1857" w:type="dxa"/>
          </w:tcPr>
          <w:p w:rsidR="00D94EE5" w:rsidRPr="00D040B3" w:rsidRDefault="004618FD" w:rsidP="0045163C">
            <w:pPr>
              <w:pStyle w:val="HTMLPreformatted"/>
              <w:tabs>
                <w:tab w:val="left" w:pos="170"/>
              </w:tabs>
              <w:spacing w:after="60"/>
              <w:rPr>
                <w:rFonts w:ascii="Times New Roman" w:hAnsi="Times New Roman" w:cs="Times New Roman"/>
                <w:color w:val="000000" w:themeColor="text1"/>
                <w:sz w:val="24"/>
                <w:szCs w:val="24"/>
              </w:rPr>
            </w:pPr>
            <w:r w:rsidRPr="00D040B3">
              <w:rPr>
                <w:rFonts w:ascii="Times New Roman" w:hAnsi="Times New Roman" w:cs="Times New Roman"/>
                <w:color w:val="000000" w:themeColor="text1"/>
                <w:sz w:val="24"/>
                <w:szCs w:val="24"/>
              </w:rPr>
              <w:t>Pašreizējā situācija un problēmas, kuru risināšanai tiesību akta projekts izstrādāts, tiesiskā regulējuma mērķis un būtība</w:t>
            </w:r>
          </w:p>
        </w:tc>
        <w:tc>
          <w:tcPr>
            <w:tcW w:w="7083" w:type="dxa"/>
            <w:tcMar>
              <w:left w:w="28" w:type="dxa"/>
              <w:right w:w="28" w:type="dxa"/>
            </w:tcMar>
          </w:tcPr>
          <w:p w:rsidR="00AB04BB" w:rsidRPr="00AB04BB" w:rsidRDefault="00AB04BB" w:rsidP="008156A9">
            <w:pPr>
              <w:pStyle w:val="naiskr"/>
              <w:spacing w:before="0" w:after="60"/>
              <w:ind w:firstLine="170"/>
              <w:jc w:val="both"/>
              <w:rPr>
                <w:i/>
                <w:color w:val="000000" w:themeColor="text1"/>
              </w:rPr>
            </w:pPr>
            <w:r w:rsidRPr="00AB04BB">
              <w:rPr>
                <w:i/>
                <w:color w:val="000000" w:themeColor="text1"/>
              </w:rPr>
              <w:t>Pašreizējā situācija un problēmas</w:t>
            </w:r>
          </w:p>
          <w:p w:rsidR="00AB04BB" w:rsidRDefault="009C1D0D" w:rsidP="008156A9">
            <w:pPr>
              <w:pStyle w:val="naiskr"/>
              <w:spacing w:before="0" w:after="60"/>
              <w:ind w:firstLine="170"/>
              <w:jc w:val="both"/>
              <w:rPr>
                <w:color w:val="000000" w:themeColor="text1"/>
              </w:rPr>
            </w:pPr>
            <w:r>
              <w:rPr>
                <w:color w:val="000000" w:themeColor="text1"/>
              </w:rPr>
              <w:t xml:space="preserve">1) </w:t>
            </w:r>
            <w:r w:rsidR="008156A9">
              <w:rPr>
                <w:color w:val="000000" w:themeColor="text1"/>
              </w:rPr>
              <w:t>Saskaņā ar likuma „Par piesārņojumu” 32.</w:t>
            </w:r>
            <w:r w:rsidR="008156A9" w:rsidRPr="009C1D0D">
              <w:rPr>
                <w:color w:val="000000" w:themeColor="text1"/>
                <w:vertAlign w:val="superscript"/>
              </w:rPr>
              <w:t>2</w:t>
            </w:r>
            <w:r w:rsidR="008156A9">
              <w:rPr>
                <w:color w:val="000000" w:themeColor="text1"/>
              </w:rPr>
              <w:t xml:space="preserve"> panta sesto daļu v</w:t>
            </w:r>
            <w:r w:rsidR="008156A9" w:rsidRPr="008156A9">
              <w:rPr>
                <w:color w:val="000000" w:themeColor="text1"/>
              </w:rPr>
              <w:t xml:space="preserve">alsts sabiedrība ar ierobežotu atbildību </w:t>
            </w:r>
            <w:r w:rsidR="008156A9">
              <w:rPr>
                <w:color w:val="000000" w:themeColor="text1"/>
              </w:rPr>
              <w:t>„</w:t>
            </w:r>
            <w:r w:rsidR="008156A9" w:rsidRPr="008156A9">
              <w:rPr>
                <w:color w:val="000000" w:themeColor="text1"/>
              </w:rPr>
              <w:t>Latvijas Vides, ģeoloģijas un meteoroloģijas centrs</w:t>
            </w:r>
            <w:r w:rsidR="008156A9">
              <w:rPr>
                <w:color w:val="000000" w:themeColor="text1"/>
              </w:rPr>
              <w:t>” (turpmāk – valsts administrators)</w:t>
            </w:r>
            <w:r w:rsidR="008156A9" w:rsidRPr="008156A9">
              <w:rPr>
                <w:color w:val="000000" w:themeColor="text1"/>
              </w:rPr>
              <w:t xml:space="preserve"> </w:t>
            </w:r>
            <w:r w:rsidR="008156A9" w:rsidRPr="008156A9">
              <w:rPr>
                <w:color w:val="000000" w:themeColor="text1"/>
                <w:u w:val="single"/>
              </w:rPr>
              <w:t>katru gadu līdz 28.februārim</w:t>
            </w:r>
            <w:r w:rsidR="008156A9" w:rsidRPr="008156A9">
              <w:rPr>
                <w:color w:val="000000" w:themeColor="text1"/>
              </w:rPr>
              <w:t xml:space="preserve"> emisijas reģistrā sadala emisijas kvotas</w:t>
            </w:r>
            <w:r w:rsidR="008156A9">
              <w:rPr>
                <w:color w:val="000000" w:themeColor="text1"/>
              </w:rPr>
              <w:t xml:space="preserve"> operatora un gaisa kuģu operatora kontos, ievērojot </w:t>
            </w:r>
            <w:r w:rsidR="008156A9" w:rsidRPr="008156A9">
              <w:rPr>
                <w:color w:val="000000" w:themeColor="text1"/>
              </w:rPr>
              <w:t xml:space="preserve">Eiropas Komisijas apstiprināto iekārtu sarakstu, Vides aizsardzības un reģionālās attīstības ministrijas lēmumus un </w:t>
            </w:r>
            <w:r w:rsidR="008156A9" w:rsidRPr="008156A9">
              <w:rPr>
                <w:color w:val="000000" w:themeColor="text1"/>
                <w:u w:val="single"/>
              </w:rPr>
              <w:t>Eiropas Savienības tiesību aktus emisijas kvotu sadales jomā</w:t>
            </w:r>
            <w:r w:rsidR="008156A9" w:rsidRPr="008156A9">
              <w:rPr>
                <w:color w:val="000000" w:themeColor="text1"/>
              </w:rPr>
              <w:t xml:space="preserve"> un emisijas kvotu izsoļu jomā. </w:t>
            </w:r>
            <w:r w:rsidR="008156A9">
              <w:rPr>
                <w:color w:val="000000" w:themeColor="text1"/>
              </w:rPr>
              <w:t>Tādējādi tiek noteikts, ka valsts administrators sadala emisijas kvotas līdz 28.februārim, un šī sadale ir jāveic saskaņā ar nosacījumiem, kuri ir noteikti</w:t>
            </w:r>
            <w:r w:rsidR="008156A9">
              <w:t xml:space="preserve"> </w:t>
            </w:r>
            <w:r w:rsidR="008156A9">
              <w:rPr>
                <w:color w:val="000000" w:themeColor="text1"/>
              </w:rPr>
              <w:t>Eiropas Savienības tiesību akto</w:t>
            </w:r>
            <w:r w:rsidR="008156A9" w:rsidRPr="008156A9">
              <w:rPr>
                <w:color w:val="000000" w:themeColor="text1"/>
              </w:rPr>
              <w:t>s emisijas kvotu sadales</w:t>
            </w:r>
            <w:r w:rsidR="00AB04BB">
              <w:rPr>
                <w:color w:val="000000" w:themeColor="text1"/>
              </w:rPr>
              <w:t xml:space="preserve"> jomā. Lai nodrošinātu likuma „Par piesārņojumu” un </w:t>
            </w:r>
            <w:r w:rsidR="00AB04BB" w:rsidRPr="00AB04BB">
              <w:rPr>
                <w:color w:val="000000" w:themeColor="text1"/>
              </w:rPr>
              <w:t>Eiropas Savienības tiesību aktus emisijas kvotu sadales</w:t>
            </w:r>
            <w:r w:rsidR="00AB04BB">
              <w:rPr>
                <w:color w:val="000000" w:themeColor="text1"/>
              </w:rPr>
              <w:t xml:space="preserve"> jomā izpildi, </w:t>
            </w:r>
            <w:r w:rsidR="00AB04BB" w:rsidRPr="00D040B3">
              <w:rPr>
                <w:iCs/>
                <w:color w:val="000000" w:themeColor="text1"/>
              </w:rPr>
              <w:t>Ministru kabineta 2013.gada 26.februāra noteikumos Nr.112 „Emisijas kvotu piešķiršanas kārtība stacionāro tehnoloģisko iekārtu operatoriem”</w:t>
            </w:r>
            <w:r w:rsidR="00AB04BB">
              <w:rPr>
                <w:iCs/>
                <w:color w:val="000000" w:themeColor="text1"/>
              </w:rPr>
              <w:t xml:space="preserve"> (turpmāk – noteikumi Nr.112) tika iekļauts nosacījums, ka </w:t>
            </w:r>
            <w:r w:rsidR="00AB04BB" w:rsidRPr="00D040B3">
              <w:rPr>
                <w:color w:val="000000" w:themeColor="text1"/>
              </w:rPr>
              <w:t>Vides aizsardzības un reģionālās attīstības ministrija var pieņemt lēmumu par likuma „Par piesārņojumu” 32.</w:t>
            </w:r>
            <w:r w:rsidR="00AB04BB" w:rsidRPr="00D040B3">
              <w:rPr>
                <w:color w:val="000000" w:themeColor="text1"/>
                <w:vertAlign w:val="superscript"/>
              </w:rPr>
              <w:t>2</w:t>
            </w:r>
            <w:r w:rsidR="00AB04BB" w:rsidRPr="00D040B3">
              <w:rPr>
                <w:color w:val="000000" w:themeColor="text1"/>
              </w:rPr>
              <w:t xml:space="preserve"> panta sestajā daļā minētās emisijas kvotu sadales atlikšanu</w:t>
            </w:r>
            <w:r w:rsidR="00AB04BB">
              <w:rPr>
                <w:color w:val="000000" w:themeColor="text1"/>
              </w:rPr>
              <w:t xml:space="preserve">, ja </w:t>
            </w:r>
            <w:r w:rsidR="00AB04BB" w:rsidRPr="00D040B3">
              <w:rPr>
                <w:color w:val="000000" w:themeColor="text1"/>
              </w:rPr>
              <w:t xml:space="preserve">Vides aizsardzības un </w:t>
            </w:r>
            <w:r w:rsidR="00AB04BB">
              <w:rPr>
                <w:color w:val="000000" w:themeColor="text1"/>
              </w:rPr>
              <w:t xml:space="preserve">reģionālās attīstības ministrijā ir saņemts iesniegums emisijas kvotu apjoma grozījumiem, tādējādi nodrošinot, ka stacionāro tehnoloģisko iekārtu operatoriem netiek piešķirts neatbilstošs un nepamatots emisijas kvotu apjoms. Tomēr tas nozīmē, ka </w:t>
            </w:r>
            <w:r w:rsidR="00AB04BB" w:rsidRPr="00D040B3">
              <w:rPr>
                <w:color w:val="000000" w:themeColor="text1"/>
              </w:rPr>
              <w:t>Vides aizsardzības un reģionālās attīstības ministrija</w:t>
            </w:r>
            <w:r w:rsidR="00AB04BB">
              <w:rPr>
                <w:color w:val="000000" w:themeColor="text1"/>
              </w:rPr>
              <w:t xml:space="preserve"> var pieņemt šo lēmumu </w:t>
            </w:r>
            <w:r w:rsidR="00AB04BB">
              <w:rPr>
                <w:color w:val="000000" w:themeColor="text1"/>
                <w:u w:val="single"/>
              </w:rPr>
              <w:t>tikai</w:t>
            </w:r>
            <w:r w:rsidR="00AB04BB">
              <w:rPr>
                <w:color w:val="000000" w:themeColor="text1"/>
              </w:rPr>
              <w:t xml:space="preserve">, ja ir saņemts iepriekšminētais iesniegums emisijas kvotu apjoma grozījumiem, lai gan </w:t>
            </w:r>
            <w:r w:rsidR="00AB04BB" w:rsidRPr="00D040B3">
              <w:rPr>
                <w:color w:val="000000" w:themeColor="text1"/>
              </w:rPr>
              <w:t>Vides aizsardzības un reģionālās attīstības ministrija ir jau saskārusies ar situāciju, kad operators kādu iemeslu dēļ vilcinās iesniegt</w:t>
            </w:r>
            <w:r w:rsidR="00AB04BB">
              <w:rPr>
                <w:color w:val="000000" w:themeColor="text1"/>
              </w:rPr>
              <w:t xml:space="preserve"> šo iesniegumu, kā rezultātā operatora nepamatotās rīcības dēļ viņam tiek piešķirtas emisijas kvotas pilnā apjomā, lai gan saskaņā ar noteikumiem Nr.112 un </w:t>
            </w:r>
            <w:r w:rsidR="00AB04BB" w:rsidRPr="00AB04BB">
              <w:rPr>
                <w:color w:val="000000" w:themeColor="text1"/>
              </w:rPr>
              <w:t>Eiropas Savienības tiesību akt</w:t>
            </w:r>
            <w:r w:rsidR="00AB04BB">
              <w:rPr>
                <w:color w:val="000000" w:themeColor="text1"/>
              </w:rPr>
              <w:t>iem</w:t>
            </w:r>
            <w:r w:rsidR="00AB04BB" w:rsidRPr="00AB04BB">
              <w:rPr>
                <w:color w:val="000000" w:themeColor="text1"/>
              </w:rPr>
              <w:t xml:space="preserve"> emisijas kvotu sadales jomā </w:t>
            </w:r>
            <w:r w:rsidR="00AB04BB">
              <w:rPr>
                <w:color w:val="000000" w:themeColor="text1"/>
              </w:rPr>
              <w:t>šim operatoram emisijas kvotu apjoms ir jāsamazina.</w:t>
            </w:r>
          </w:p>
          <w:p w:rsidR="00AB04BB" w:rsidRDefault="009C1D0D" w:rsidP="00AB04BB">
            <w:pPr>
              <w:pStyle w:val="naiskr"/>
              <w:spacing w:before="0" w:after="60"/>
              <w:ind w:firstLine="170"/>
              <w:jc w:val="both"/>
              <w:rPr>
                <w:color w:val="000000" w:themeColor="text1"/>
              </w:rPr>
            </w:pPr>
            <w:r>
              <w:rPr>
                <w:color w:val="000000" w:themeColor="text1"/>
              </w:rPr>
              <w:t xml:space="preserve">2) </w:t>
            </w:r>
            <w:r w:rsidR="00AB04BB" w:rsidRPr="00D040B3">
              <w:rPr>
                <w:color w:val="000000" w:themeColor="text1"/>
              </w:rPr>
              <w:t>Eiropas Komisija 2013.gada 18.decembrī pieņēma lēmumu Nr. 2014/9/ES, ar ko groza lēmumu 2010/2/ES un 2011/278/ES attiecībā uz nozarēm un apakšnozarēm, kurās pastāv būtisks oglekļa dioksīda emisiju pārvirzes risks</w:t>
            </w:r>
            <w:r w:rsidR="00AB04BB">
              <w:rPr>
                <w:color w:val="000000" w:themeColor="text1"/>
              </w:rPr>
              <w:t xml:space="preserve"> (turpmāk – Lēmums Nr. 2014/9/ES)</w:t>
            </w:r>
            <w:r w:rsidR="00AB04BB" w:rsidRPr="00D040B3">
              <w:rPr>
                <w:color w:val="000000" w:themeColor="text1"/>
              </w:rPr>
              <w:t>. Saskaņā ar šo lēmumu ir papildināts oglekļa dioksīda pārvirzes riskam pakļauto nozaru saraksts</w:t>
            </w:r>
            <w:r w:rsidR="00AB04BB">
              <w:rPr>
                <w:color w:val="000000" w:themeColor="text1"/>
              </w:rPr>
              <w:t xml:space="preserve"> un ir grozīts Eiropas Komisijas 2011.gada 27.aprīļa lēmuma</w:t>
            </w:r>
            <w:r>
              <w:rPr>
                <w:color w:val="000000" w:themeColor="text1"/>
              </w:rPr>
              <w:t xml:space="preserve"> Nr.2011/278/ES</w:t>
            </w:r>
            <w:r w:rsidR="00AB04BB">
              <w:rPr>
                <w:color w:val="000000" w:themeColor="text1"/>
              </w:rPr>
              <w:t xml:space="preserve">, </w:t>
            </w:r>
            <w:r w:rsidR="00AB04BB" w:rsidRPr="00AB04BB">
              <w:rPr>
                <w:color w:val="000000" w:themeColor="text1"/>
              </w:rPr>
              <w:t>ar kuru visā Savienībā nosaka pagaidu noteikumus saskaņotai bezmaksas emisiju kvotu sadalei atbilstoši 10.a pantam Eiropas Parlamenta un Padomes Direktīvā 2003/87/EK</w:t>
            </w:r>
            <w:r>
              <w:rPr>
                <w:color w:val="000000" w:themeColor="text1"/>
              </w:rPr>
              <w:t xml:space="preserve"> (turpmāk – Lēmums Nr.2011/278/ES)</w:t>
            </w:r>
            <w:r w:rsidR="00AB04BB">
              <w:rPr>
                <w:color w:val="000000" w:themeColor="text1"/>
              </w:rPr>
              <w:t xml:space="preserve"> I pielikums attiecībā uz produkta </w:t>
            </w:r>
            <w:proofErr w:type="spellStart"/>
            <w:r w:rsidR="00AB04BB">
              <w:rPr>
                <w:color w:val="000000" w:themeColor="text1"/>
              </w:rPr>
              <w:t>līmeņatzīmju</w:t>
            </w:r>
            <w:proofErr w:type="spellEnd"/>
            <w:r w:rsidR="00AB04BB">
              <w:rPr>
                <w:color w:val="000000" w:themeColor="text1"/>
              </w:rPr>
              <w:t xml:space="preserve"> </w:t>
            </w:r>
            <w:proofErr w:type="spellStart"/>
            <w:r w:rsidR="00AB04BB">
              <w:rPr>
                <w:color w:val="000000" w:themeColor="text1"/>
              </w:rPr>
              <w:t>apakšiekārtām</w:t>
            </w:r>
            <w:proofErr w:type="spellEnd"/>
            <w:r w:rsidR="00AB04BB">
              <w:rPr>
                <w:color w:val="000000" w:themeColor="text1"/>
              </w:rPr>
              <w:t xml:space="preserve"> piemēroto o</w:t>
            </w:r>
            <w:r w:rsidR="00AB04BB" w:rsidRPr="00AB04BB">
              <w:rPr>
                <w:color w:val="000000" w:themeColor="text1"/>
              </w:rPr>
              <w:t xml:space="preserve">glekļa </w:t>
            </w:r>
            <w:r w:rsidR="00AB04BB">
              <w:rPr>
                <w:color w:val="000000" w:themeColor="text1"/>
              </w:rPr>
              <w:t>dioksīda emisiju pārvirzes riska statusu.</w:t>
            </w:r>
          </w:p>
          <w:p w:rsidR="00A00FEF" w:rsidRPr="00D040B3" w:rsidRDefault="00A00FEF" w:rsidP="00AB04BB">
            <w:pPr>
              <w:pStyle w:val="naiskr"/>
              <w:spacing w:before="0" w:after="60"/>
              <w:ind w:firstLine="170"/>
              <w:jc w:val="both"/>
              <w:rPr>
                <w:color w:val="000000" w:themeColor="text1"/>
              </w:rPr>
            </w:pPr>
            <w:r>
              <w:rPr>
                <w:color w:val="000000" w:themeColor="text1"/>
              </w:rPr>
              <w:t xml:space="preserve">Šobrīd ar noteikumiem Nr.112 ir noteikts, ka šīm produkta </w:t>
            </w:r>
            <w:proofErr w:type="spellStart"/>
            <w:r>
              <w:rPr>
                <w:color w:val="000000" w:themeColor="text1"/>
              </w:rPr>
              <w:t>līmeņatzīmes</w:t>
            </w:r>
            <w:proofErr w:type="spellEnd"/>
            <w:r>
              <w:rPr>
                <w:color w:val="000000" w:themeColor="text1"/>
              </w:rPr>
              <w:t xml:space="preserve"> </w:t>
            </w:r>
            <w:proofErr w:type="spellStart"/>
            <w:r>
              <w:rPr>
                <w:color w:val="000000" w:themeColor="text1"/>
              </w:rPr>
              <w:t>apakšiekārtām</w:t>
            </w:r>
            <w:proofErr w:type="spellEnd"/>
            <w:r>
              <w:rPr>
                <w:color w:val="000000" w:themeColor="text1"/>
              </w:rPr>
              <w:t xml:space="preserve"> emisijas kvotu piešķīrumam ir jāpiemēro samazinājuma koeficienti.</w:t>
            </w:r>
          </w:p>
          <w:p w:rsidR="009C1D0D" w:rsidRPr="00AB04BB" w:rsidRDefault="009C1D0D" w:rsidP="009C1D0D">
            <w:pPr>
              <w:pStyle w:val="naiskr"/>
              <w:spacing w:before="0" w:after="60"/>
              <w:ind w:firstLine="170"/>
              <w:jc w:val="both"/>
              <w:rPr>
                <w:i/>
                <w:color w:val="000000" w:themeColor="text1"/>
              </w:rPr>
            </w:pPr>
            <w:r w:rsidRPr="00AB04BB">
              <w:rPr>
                <w:i/>
                <w:color w:val="000000" w:themeColor="text1"/>
              </w:rPr>
              <w:t>Noteikumu projekta mērķis</w:t>
            </w:r>
          </w:p>
          <w:p w:rsidR="009C1D0D" w:rsidRDefault="009C1D0D" w:rsidP="009C1D0D">
            <w:pPr>
              <w:pStyle w:val="naiskr"/>
              <w:spacing w:before="0" w:after="60"/>
              <w:jc w:val="both"/>
              <w:rPr>
                <w:color w:val="000000" w:themeColor="text1"/>
              </w:rPr>
            </w:pPr>
            <w:r>
              <w:rPr>
                <w:color w:val="000000" w:themeColor="text1"/>
              </w:rPr>
              <w:t>Ar noteikumu projektu tiek:</w:t>
            </w:r>
          </w:p>
          <w:p w:rsidR="009C1D0D" w:rsidRPr="00D040B3" w:rsidRDefault="009C1D0D" w:rsidP="009C1D0D">
            <w:pPr>
              <w:pStyle w:val="naiskr"/>
              <w:numPr>
                <w:ilvl w:val="0"/>
                <w:numId w:val="27"/>
              </w:numPr>
              <w:spacing w:before="0" w:after="60"/>
              <w:ind w:left="341" w:hanging="284"/>
              <w:jc w:val="both"/>
              <w:rPr>
                <w:color w:val="000000" w:themeColor="text1"/>
              </w:rPr>
            </w:pPr>
            <w:r>
              <w:rPr>
                <w:color w:val="000000" w:themeColor="text1"/>
              </w:rPr>
              <w:t>noteikts, ka operatoram obligāti ir jāiesniedz</w:t>
            </w:r>
            <w:r>
              <w:t xml:space="preserve"> </w:t>
            </w:r>
            <w:r w:rsidRPr="00801659">
              <w:rPr>
                <w:color w:val="000000" w:themeColor="text1"/>
              </w:rPr>
              <w:t>Vides aizsardzības un reģionālās attīstīb</w:t>
            </w:r>
            <w:r>
              <w:rPr>
                <w:color w:val="000000" w:themeColor="text1"/>
              </w:rPr>
              <w:t>as ministrijā informācija par savas iekārtas darbības līmeņa un ražošanas jaudas izmaiņām;</w:t>
            </w:r>
          </w:p>
          <w:p w:rsidR="009C1D0D" w:rsidRDefault="009C1D0D" w:rsidP="009C1D0D">
            <w:pPr>
              <w:pStyle w:val="naiskr"/>
              <w:numPr>
                <w:ilvl w:val="0"/>
                <w:numId w:val="27"/>
              </w:numPr>
              <w:spacing w:before="0" w:after="60"/>
              <w:ind w:left="341" w:hanging="284"/>
              <w:jc w:val="both"/>
              <w:rPr>
                <w:color w:val="000000" w:themeColor="text1"/>
              </w:rPr>
            </w:pPr>
            <w:r w:rsidRPr="00D040B3">
              <w:rPr>
                <w:color w:val="000000" w:themeColor="text1"/>
              </w:rPr>
              <w:t>noteikt</w:t>
            </w:r>
            <w:r>
              <w:rPr>
                <w:color w:val="000000" w:themeColor="text1"/>
              </w:rPr>
              <w:t>s</w:t>
            </w:r>
            <w:r w:rsidRPr="00D040B3">
              <w:rPr>
                <w:color w:val="000000" w:themeColor="text1"/>
              </w:rPr>
              <w:t>, ka Vides aizsardzības un reģionālās attīstības ministrija var pieņemt lēmumu par emisijas kvotu sadales atlikšanu arī pēc ministrijas veiktā izvērtējuma, ja secina, ka emisijas kvotu piešķīrums ir jāsamazina</w:t>
            </w:r>
            <w:r>
              <w:rPr>
                <w:color w:val="000000" w:themeColor="text1"/>
              </w:rPr>
              <w:t>, kā arī ņemot vērā informāciju, kura operatoram ir obligāti jāiesniedz, kā arī, ņemot vērā operatoru sniegto informāciju par savas iekārtas darbības līmeņa un ražošanas jaudas izmaiņām (pirms operatora iesnieguma emisijas kvotu apjoma grozījumiem iesniegšanas);</w:t>
            </w:r>
          </w:p>
          <w:p w:rsidR="009C1D0D" w:rsidRDefault="009C1D0D" w:rsidP="009C1D0D">
            <w:pPr>
              <w:pStyle w:val="naiskr"/>
              <w:numPr>
                <w:ilvl w:val="0"/>
                <w:numId w:val="27"/>
              </w:numPr>
              <w:spacing w:before="0" w:after="60"/>
              <w:ind w:left="341" w:hanging="284"/>
              <w:jc w:val="both"/>
              <w:rPr>
                <w:color w:val="000000" w:themeColor="text1"/>
              </w:rPr>
            </w:pPr>
            <w:r w:rsidRPr="00D040B3">
              <w:rPr>
                <w:color w:val="000000" w:themeColor="text1"/>
              </w:rPr>
              <w:t xml:space="preserve">noteikumu Nr.112 3.pielikumā trim produkta </w:t>
            </w:r>
            <w:proofErr w:type="spellStart"/>
            <w:r w:rsidRPr="00D040B3">
              <w:rPr>
                <w:color w:val="000000" w:themeColor="text1"/>
              </w:rPr>
              <w:t>līmeņatzīmēm</w:t>
            </w:r>
            <w:proofErr w:type="spellEnd"/>
            <w:r w:rsidRPr="00D040B3">
              <w:rPr>
                <w:color w:val="000000" w:themeColor="text1"/>
              </w:rPr>
              <w:t xml:space="preserve"> </w:t>
            </w:r>
            <w:r>
              <w:rPr>
                <w:color w:val="000000" w:themeColor="text1"/>
              </w:rPr>
              <w:t xml:space="preserve">tiek </w:t>
            </w:r>
            <w:r w:rsidRPr="00D040B3">
              <w:rPr>
                <w:color w:val="000000" w:themeColor="text1"/>
              </w:rPr>
              <w:t>mainīt</w:t>
            </w:r>
            <w:r>
              <w:rPr>
                <w:color w:val="000000" w:themeColor="text1"/>
              </w:rPr>
              <w:t>s</w:t>
            </w:r>
            <w:r w:rsidRPr="00D040B3">
              <w:rPr>
                <w:color w:val="000000" w:themeColor="text1"/>
              </w:rPr>
              <w:t xml:space="preserve"> būtiska oglekļa dioksīda pārvirzes riska statusu.</w:t>
            </w:r>
          </w:p>
          <w:p w:rsidR="00AB04BB" w:rsidRDefault="00AB04BB" w:rsidP="00777267">
            <w:pPr>
              <w:pStyle w:val="naiskr"/>
              <w:spacing w:before="0" w:after="60"/>
              <w:ind w:firstLine="170"/>
              <w:jc w:val="both"/>
              <w:rPr>
                <w:color w:val="000000" w:themeColor="text1"/>
              </w:rPr>
            </w:pPr>
            <w:r w:rsidRPr="00AB04BB">
              <w:rPr>
                <w:i/>
                <w:color w:val="000000" w:themeColor="text1"/>
              </w:rPr>
              <w:t>Problēmu risināšana ar noteikumu projektu</w:t>
            </w:r>
            <w:r>
              <w:rPr>
                <w:color w:val="000000" w:themeColor="text1"/>
              </w:rPr>
              <w:t xml:space="preserve"> </w:t>
            </w:r>
          </w:p>
          <w:p w:rsidR="009C1D0D" w:rsidRDefault="009C1D0D" w:rsidP="00777267">
            <w:pPr>
              <w:pStyle w:val="naiskr"/>
              <w:spacing w:before="0" w:after="60"/>
              <w:ind w:firstLine="170"/>
              <w:jc w:val="both"/>
              <w:rPr>
                <w:color w:val="000000" w:themeColor="text1"/>
              </w:rPr>
            </w:pPr>
            <w:r>
              <w:rPr>
                <w:color w:val="000000" w:themeColor="text1"/>
              </w:rPr>
              <w:t xml:space="preserve">1) </w:t>
            </w:r>
            <w:r w:rsidR="00C34209">
              <w:rPr>
                <w:color w:val="000000" w:themeColor="text1"/>
              </w:rPr>
              <w:t>Ar noteikumu projektu ti</w:t>
            </w:r>
            <w:r w:rsidR="001E2B32">
              <w:rPr>
                <w:color w:val="000000" w:themeColor="text1"/>
              </w:rPr>
              <w:t>e</w:t>
            </w:r>
            <w:r>
              <w:rPr>
                <w:color w:val="000000" w:themeColor="text1"/>
              </w:rPr>
              <w:t xml:space="preserve">k nodrošināts, ka valsts administrators atliek emisijas kvotu piešķiršanu operatoram, ja </w:t>
            </w:r>
            <w:r w:rsidRPr="00D040B3">
              <w:rPr>
                <w:color w:val="000000" w:themeColor="text1"/>
              </w:rPr>
              <w:t>Vides aizsardzības un reģionālās attīstības ministrija</w:t>
            </w:r>
            <w:r>
              <w:rPr>
                <w:color w:val="000000" w:themeColor="text1"/>
              </w:rPr>
              <w:t xml:space="preserve">i ir informācija, ka attiecīgā operatora iekārtā ir veiktas tādas darbības vai jaudas izmaiņas, kuras var </w:t>
            </w:r>
            <w:proofErr w:type="spellStart"/>
            <w:r>
              <w:rPr>
                <w:color w:val="000000" w:themeColor="text1"/>
              </w:rPr>
              <w:t>rezultēties</w:t>
            </w:r>
            <w:proofErr w:type="spellEnd"/>
            <w:r>
              <w:rPr>
                <w:color w:val="000000" w:themeColor="text1"/>
              </w:rPr>
              <w:t xml:space="preserve"> emisijas kvotu apjoma samazināšanā. </w:t>
            </w:r>
            <w:r w:rsidRPr="00D040B3">
              <w:rPr>
                <w:color w:val="000000" w:themeColor="text1"/>
              </w:rPr>
              <w:t>Vides aizsardzības un reģionālās attīstības ministrija</w:t>
            </w:r>
            <w:r>
              <w:rPr>
                <w:color w:val="000000" w:themeColor="text1"/>
              </w:rPr>
              <w:t xml:space="preserve"> šo informāciju iegūst, veicot pastāvīgu operatora datu izvērtēšanu, ņemot vērā operatora iesniegtos verificētos ikgadējos emisiju ziņojumus vai citu operatora sniegto informāciju, kā arī ņemot vērā operatoru sniegto informāciju par savas iekārtas darbības līmeņa un ražošanas jaudas izmaiņām. </w:t>
            </w:r>
            <w:r w:rsidRPr="00D040B3">
              <w:rPr>
                <w:color w:val="000000" w:themeColor="text1"/>
              </w:rPr>
              <w:t>Vides aizsardzības un reģionālās attīstības ministrija</w:t>
            </w:r>
            <w:r>
              <w:rPr>
                <w:color w:val="000000" w:themeColor="text1"/>
              </w:rPr>
              <w:t xml:space="preserve"> var pieņemt lēmumu par emisijas kvotu sadales atlikšanu arī, ja operators šādu informāciju nav sniedzis un tādējādi pārkāpis noteikumos Nr.112 iekļautos nosacījumus. Tādējādi tiek nodrošināts, ka operatoram netiek piešķirts operatora iekārtās veiktajām darbībām un to izmaiņām neatbilstošs emisijas kvotu apjoms. Noteikumu projektā iekļaujot nosacījumu, ka operatoram katru gadu līdz 20.janvārim ir jāsniedz informācija par savas iekārtas darbības līmeņa un ražošanas jaudas izmaiņām, tiek pārņemtas Lēmuma Nr.2011/278/ES normas.</w:t>
            </w:r>
          </w:p>
          <w:p w:rsidR="00777267" w:rsidRDefault="009C1D0D" w:rsidP="009C1D0D">
            <w:pPr>
              <w:pStyle w:val="naiskr"/>
              <w:spacing w:before="0" w:after="60"/>
              <w:ind w:firstLine="170"/>
              <w:jc w:val="both"/>
              <w:rPr>
                <w:color w:val="000000" w:themeColor="text1"/>
              </w:rPr>
            </w:pPr>
            <w:r>
              <w:rPr>
                <w:color w:val="000000" w:themeColor="text1"/>
              </w:rPr>
              <w:t xml:space="preserve">2) </w:t>
            </w:r>
            <w:r w:rsidR="00777267">
              <w:rPr>
                <w:color w:val="000000" w:themeColor="text1"/>
              </w:rPr>
              <w:t>Ar noteikumu projektu ti</w:t>
            </w:r>
            <w:r w:rsidR="001E2B32">
              <w:rPr>
                <w:color w:val="000000" w:themeColor="text1"/>
              </w:rPr>
              <w:t>e</w:t>
            </w:r>
            <w:r w:rsidR="00777267">
              <w:rPr>
                <w:color w:val="000000" w:themeColor="text1"/>
              </w:rPr>
              <w:t xml:space="preserve">k noteikts arī atbilstošais nozīmīgam oglekļa dioksīda pārvirzes riskam pakļautās nozares statuss trijām produkta </w:t>
            </w:r>
            <w:proofErr w:type="spellStart"/>
            <w:r w:rsidR="00777267">
              <w:rPr>
                <w:color w:val="000000" w:themeColor="text1"/>
              </w:rPr>
              <w:t>līmeņatzīmes</w:t>
            </w:r>
            <w:proofErr w:type="spellEnd"/>
            <w:r w:rsidR="00777267">
              <w:rPr>
                <w:color w:val="000000" w:themeColor="text1"/>
              </w:rPr>
              <w:t xml:space="preserve"> </w:t>
            </w:r>
            <w:proofErr w:type="spellStart"/>
            <w:r w:rsidR="00777267">
              <w:rPr>
                <w:color w:val="000000" w:themeColor="text1"/>
              </w:rPr>
              <w:t>apakšiekārtām</w:t>
            </w:r>
            <w:proofErr w:type="spellEnd"/>
            <w:r w:rsidR="00777267">
              <w:rPr>
                <w:color w:val="000000" w:themeColor="text1"/>
              </w:rPr>
              <w:t>, tādējādi nosakot, ka šīm iekārtām emisijas kvotu piešķiršana atbilst Eiropas Savienības tiesību aktiem emisijas kvotu sadales jomā.</w:t>
            </w:r>
            <w:r>
              <w:rPr>
                <w:color w:val="000000" w:themeColor="text1"/>
              </w:rPr>
              <w:t xml:space="preserve"> </w:t>
            </w:r>
            <w:r w:rsidR="00A00FEF">
              <w:rPr>
                <w:color w:val="000000" w:themeColor="text1"/>
              </w:rPr>
              <w:t xml:space="preserve">Ar noteikumu projektu tiek noteikts, ka šīm trim produkta </w:t>
            </w:r>
            <w:proofErr w:type="spellStart"/>
            <w:r w:rsidR="00A00FEF">
              <w:rPr>
                <w:color w:val="000000" w:themeColor="text1"/>
              </w:rPr>
              <w:t>līmeņatzīmes</w:t>
            </w:r>
            <w:proofErr w:type="spellEnd"/>
            <w:r w:rsidR="00A00FEF">
              <w:rPr>
                <w:color w:val="000000" w:themeColor="text1"/>
              </w:rPr>
              <w:t xml:space="preserve"> </w:t>
            </w:r>
            <w:proofErr w:type="spellStart"/>
            <w:r w:rsidR="00A00FEF">
              <w:rPr>
                <w:color w:val="000000" w:themeColor="text1"/>
              </w:rPr>
              <w:t>apakšiekārtām</w:t>
            </w:r>
            <w:proofErr w:type="spellEnd"/>
            <w:r w:rsidR="00A00FEF">
              <w:rPr>
                <w:color w:val="000000" w:themeColor="text1"/>
              </w:rPr>
              <w:t xml:space="preserve"> emisijas kvotas tiek piešķirtas pilnā apjomā, nepiemērojot samazinājuma koeficientus.</w:t>
            </w:r>
          </w:p>
          <w:p w:rsidR="002A7EAC" w:rsidRPr="0064568B" w:rsidRDefault="00483F91" w:rsidP="009C1D0D">
            <w:pPr>
              <w:pStyle w:val="naiskr"/>
              <w:spacing w:before="0" w:after="60"/>
              <w:ind w:firstLine="170"/>
              <w:jc w:val="both"/>
              <w:rPr>
                <w:i/>
                <w:color w:val="000000" w:themeColor="text1"/>
              </w:rPr>
            </w:pPr>
            <w:r w:rsidRPr="0064568B">
              <w:rPr>
                <w:i/>
                <w:color w:val="000000" w:themeColor="text1"/>
              </w:rPr>
              <w:t>Tiesiskās paļāvības nodrošināšana</w:t>
            </w:r>
          </w:p>
          <w:p w:rsidR="00483F91" w:rsidRDefault="00483F91" w:rsidP="005438E3">
            <w:pPr>
              <w:pStyle w:val="naiskr"/>
              <w:spacing w:before="0" w:after="60"/>
              <w:ind w:firstLine="170"/>
              <w:jc w:val="both"/>
              <w:rPr>
                <w:color w:val="000000" w:themeColor="text1"/>
              </w:rPr>
            </w:pPr>
            <w:r>
              <w:rPr>
                <w:color w:val="000000" w:themeColor="text1"/>
              </w:rPr>
              <w:t xml:space="preserve">Lai samazinātu </w:t>
            </w:r>
            <w:r w:rsidR="00CE6CD3">
              <w:rPr>
                <w:color w:val="000000" w:themeColor="text1"/>
              </w:rPr>
              <w:t xml:space="preserve">risku, ka </w:t>
            </w:r>
            <w:r w:rsidR="00CE6CD3" w:rsidRPr="00D040B3">
              <w:rPr>
                <w:color w:val="000000" w:themeColor="text1"/>
              </w:rPr>
              <w:t>Vides aizsardzības un reģionālās attīstības ministrija</w:t>
            </w:r>
            <w:r w:rsidR="00CE6CD3">
              <w:rPr>
                <w:color w:val="000000" w:themeColor="text1"/>
              </w:rPr>
              <w:t xml:space="preserve"> pieņemtā lēmuma par emisijas kvotu sadales atlikšanas dēļ </w:t>
            </w:r>
            <w:r>
              <w:rPr>
                <w:color w:val="000000" w:themeColor="text1"/>
              </w:rPr>
              <w:t>operatora</w:t>
            </w:r>
            <w:r w:rsidR="00CE6CD3">
              <w:rPr>
                <w:color w:val="000000" w:themeColor="text1"/>
              </w:rPr>
              <w:t>m</w:t>
            </w:r>
            <w:r>
              <w:rPr>
                <w:color w:val="000000" w:themeColor="text1"/>
              </w:rPr>
              <w:t xml:space="preserve"> </w:t>
            </w:r>
            <w:r w:rsidR="00CE6CD3">
              <w:rPr>
                <w:color w:val="000000" w:themeColor="text1"/>
              </w:rPr>
              <w:t>ir problēmas veikt emisijas kvotu nodošanu līdz katra gada 30.aprīlim, noteikumu projekt</w:t>
            </w:r>
            <w:r w:rsidR="0030774D">
              <w:rPr>
                <w:color w:val="000000" w:themeColor="text1"/>
              </w:rPr>
              <w:t xml:space="preserve">ā </w:t>
            </w:r>
            <w:r w:rsidR="0064568B">
              <w:rPr>
                <w:color w:val="000000" w:themeColor="text1"/>
              </w:rPr>
              <w:t xml:space="preserve">ir noteikts, ka </w:t>
            </w:r>
            <w:r w:rsidR="0064568B" w:rsidRPr="00D040B3">
              <w:rPr>
                <w:color w:val="000000" w:themeColor="text1"/>
              </w:rPr>
              <w:t>Vides aizsardzības un reģionālās attīstības ministrija</w:t>
            </w:r>
            <w:r w:rsidR="0064568B">
              <w:rPr>
                <w:color w:val="000000" w:themeColor="text1"/>
              </w:rPr>
              <w:t>, pieņemot lēmumu</w:t>
            </w:r>
            <w:r>
              <w:rPr>
                <w:color w:val="000000" w:themeColor="text1"/>
              </w:rPr>
              <w:t xml:space="preserve"> </w:t>
            </w:r>
            <w:r w:rsidR="002E4657">
              <w:rPr>
                <w:color w:val="000000" w:themeColor="text1"/>
              </w:rPr>
              <w:t>nodrošina</w:t>
            </w:r>
            <w:r w:rsidR="002E4657" w:rsidRPr="002E4657">
              <w:rPr>
                <w:color w:val="000000" w:themeColor="text1"/>
              </w:rPr>
              <w:t>, ka netiek būtiski samazinātas operatora iespējas veikt normatīvajos aktos par piesārņojumu noteikto emisijas kvotu nodošanu</w:t>
            </w:r>
            <w:r w:rsidR="002E4657">
              <w:rPr>
                <w:color w:val="000000" w:themeColor="text1"/>
              </w:rPr>
              <w:t xml:space="preserve"> – </w:t>
            </w:r>
            <w:r w:rsidR="002E4657" w:rsidRPr="00D040B3">
              <w:rPr>
                <w:color w:val="000000" w:themeColor="text1"/>
              </w:rPr>
              <w:t>Vides aizsardzības un reģionālās attīstības ministrija</w:t>
            </w:r>
            <w:r w:rsidR="002E4657">
              <w:rPr>
                <w:color w:val="000000" w:themeColor="text1"/>
              </w:rPr>
              <w:t>s lēmumā tiek noteikts, ka tas ir spēkā līdz 30.aprīlim (emisijas kvotu nodošanas termiņš).</w:t>
            </w:r>
          </w:p>
          <w:p w:rsidR="0030774D" w:rsidRPr="00D040B3" w:rsidRDefault="0030774D" w:rsidP="00A00FEF">
            <w:pPr>
              <w:pStyle w:val="naiskr"/>
              <w:spacing w:before="0" w:after="60"/>
              <w:ind w:firstLine="170"/>
              <w:jc w:val="both"/>
              <w:rPr>
                <w:color w:val="000000" w:themeColor="text1"/>
              </w:rPr>
            </w:pPr>
            <w:r>
              <w:rPr>
                <w:color w:val="000000" w:themeColor="text1"/>
              </w:rPr>
              <w:t xml:space="preserve">Attiecībā uz oglekļa dioksīda pārvirzes riska piemērošanu, noteikumu projektā ir iekļauta atsauce, ka statusa maiņas nosacījumi tiek piemēroti </w:t>
            </w:r>
            <w:r w:rsidR="00A00FEF">
              <w:rPr>
                <w:color w:val="000000" w:themeColor="text1"/>
              </w:rPr>
              <w:t xml:space="preserve">sākot ar </w:t>
            </w:r>
            <w:r>
              <w:rPr>
                <w:color w:val="000000" w:themeColor="text1"/>
              </w:rPr>
              <w:t>2014.gad</w:t>
            </w:r>
            <w:r w:rsidR="00A00FEF">
              <w:rPr>
                <w:color w:val="000000" w:themeColor="text1"/>
              </w:rPr>
              <w:t>u, t.i., attiecas tikai uz emisijas kvotu piešķīrumu, kurš tiek piešķirts sākot ar 2014.gadu</w:t>
            </w:r>
            <w:r>
              <w:rPr>
                <w:color w:val="000000" w:themeColor="text1"/>
              </w:rPr>
              <w:t>.</w:t>
            </w:r>
          </w:p>
        </w:tc>
      </w:tr>
      <w:tr w:rsidR="00D94EE5" w:rsidRPr="00D040B3" w:rsidTr="008B2E31">
        <w:trPr>
          <w:trHeight w:val="476"/>
        </w:trPr>
        <w:tc>
          <w:tcPr>
            <w:tcW w:w="416" w:type="dxa"/>
          </w:tcPr>
          <w:p w:rsidR="00D94EE5" w:rsidRPr="00D040B3" w:rsidRDefault="004618FD" w:rsidP="0045163C">
            <w:pPr>
              <w:pStyle w:val="naiskr"/>
              <w:spacing w:before="0" w:after="60"/>
              <w:jc w:val="center"/>
              <w:rPr>
                <w:color w:val="000000" w:themeColor="text1"/>
              </w:rPr>
            </w:pPr>
            <w:r w:rsidRPr="00D040B3">
              <w:rPr>
                <w:color w:val="000000" w:themeColor="text1"/>
              </w:rPr>
              <w:t>3.</w:t>
            </w:r>
          </w:p>
        </w:tc>
        <w:tc>
          <w:tcPr>
            <w:tcW w:w="1857" w:type="dxa"/>
          </w:tcPr>
          <w:p w:rsidR="00D94EE5" w:rsidRPr="00D040B3" w:rsidRDefault="00D94EE5" w:rsidP="0045163C">
            <w:pPr>
              <w:pStyle w:val="naiskr"/>
              <w:spacing w:before="0" w:after="60"/>
              <w:rPr>
                <w:color w:val="000000" w:themeColor="text1"/>
              </w:rPr>
            </w:pPr>
            <w:r w:rsidRPr="00D040B3">
              <w:rPr>
                <w:color w:val="000000" w:themeColor="text1"/>
              </w:rPr>
              <w:t>Projekta izstrādē iesaistītās institūcijas</w:t>
            </w:r>
          </w:p>
        </w:tc>
        <w:tc>
          <w:tcPr>
            <w:tcW w:w="7083" w:type="dxa"/>
          </w:tcPr>
          <w:p w:rsidR="00D94EE5" w:rsidRPr="00777267" w:rsidRDefault="00D94EE5" w:rsidP="00777267">
            <w:pPr>
              <w:pStyle w:val="naiskr"/>
              <w:spacing w:before="0" w:after="60"/>
              <w:ind w:firstLine="235"/>
              <w:rPr>
                <w:iCs/>
                <w:color w:val="000000" w:themeColor="text1"/>
              </w:rPr>
            </w:pPr>
            <w:r w:rsidRPr="00D040B3">
              <w:rPr>
                <w:iCs/>
                <w:color w:val="000000" w:themeColor="text1"/>
              </w:rPr>
              <w:t>Vides aizsardzības un reģionālās attīstības ministrija</w:t>
            </w:r>
            <w:r w:rsidR="00777267">
              <w:rPr>
                <w:iCs/>
                <w:color w:val="000000" w:themeColor="text1"/>
              </w:rPr>
              <w:t>.</w:t>
            </w:r>
          </w:p>
        </w:tc>
      </w:tr>
      <w:tr w:rsidR="00D94EE5" w:rsidRPr="00D040B3" w:rsidTr="008B2E31">
        <w:tc>
          <w:tcPr>
            <w:tcW w:w="416" w:type="dxa"/>
          </w:tcPr>
          <w:p w:rsidR="00D94EE5" w:rsidRPr="00D040B3" w:rsidRDefault="004618FD" w:rsidP="0045163C">
            <w:pPr>
              <w:pStyle w:val="naiskr"/>
              <w:spacing w:before="0" w:after="60"/>
              <w:jc w:val="center"/>
              <w:rPr>
                <w:color w:val="000000" w:themeColor="text1"/>
              </w:rPr>
            </w:pPr>
            <w:r w:rsidRPr="00D040B3">
              <w:rPr>
                <w:color w:val="000000" w:themeColor="text1"/>
              </w:rPr>
              <w:t>4</w:t>
            </w:r>
            <w:r w:rsidR="00D94EE5" w:rsidRPr="00D040B3">
              <w:rPr>
                <w:color w:val="000000" w:themeColor="text1"/>
              </w:rPr>
              <w:t>.</w:t>
            </w:r>
          </w:p>
        </w:tc>
        <w:tc>
          <w:tcPr>
            <w:tcW w:w="1857" w:type="dxa"/>
          </w:tcPr>
          <w:p w:rsidR="00D94EE5" w:rsidRPr="00D040B3" w:rsidRDefault="00D94EE5" w:rsidP="0045163C">
            <w:pPr>
              <w:pStyle w:val="naiskr"/>
              <w:spacing w:before="0" w:after="60"/>
              <w:rPr>
                <w:color w:val="000000" w:themeColor="text1"/>
              </w:rPr>
            </w:pPr>
            <w:r w:rsidRPr="00D040B3">
              <w:rPr>
                <w:color w:val="000000" w:themeColor="text1"/>
              </w:rPr>
              <w:t>Cita informācija</w:t>
            </w:r>
          </w:p>
        </w:tc>
        <w:tc>
          <w:tcPr>
            <w:tcW w:w="7083" w:type="dxa"/>
          </w:tcPr>
          <w:p w:rsidR="00D94EE5" w:rsidRPr="00D040B3" w:rsidRDefault="00D94EE5" w:rsidP="0045163C">
            <w:pPr>
              <w:pStyle w:val="naiskr"/>
              <w:spacing w:before="0" w:after="60"/>
              <w:ind w:firstLine="283"/>
              <w:rPr>
                <w:color w:val="000000" w:themeColor="text1"/>
              </w:rPr>
            </w:pPr>
            <w:r w:rsidRPr="00D040B3">
              <w:rPr>
                <w:color w:val="000000" w:themeColor="text1"/>
              </w:rPr>
              <w:t>Nav</w:t>
            </w:r>
          </w:p>
        </w:tc>
      </w:tr>
    </w:tbl>
    <w:p w:rsidR="0000562A" w:rsidRDefault="0000562A" w:rsidP="00777267">
      <w:pPr>
        <w:spacing w:before="120" w:after="120"/>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2900"/>
        <w:gridCol w:w="5988"/>
      </w:tblGrid>
      <w:tr w:rsidR="00C02911" w:rsidRPr="0045163C" w:rsidTr="000166E1">
        <w:trPr>
          <w:trHeight w:val="55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1268" w:rsidRPr="004225C8" w:rsidRDefault="00C02911" w:rsidP="0045163C">
            <w:pPr>
              <w:spacing w:after="60"/>
              <w:jc w:val="center"/>
              <w:rPr>
                <w:b/>
                <w:bCs/>
                <w:color w:val="000000" w:themeColor="text1"/>
              </w:rPr>
            </w:pPr>
            <w:r w:rsidRPr="004225C8">
              <w:rPr>
                <w:b/>
                <w:bCs/>
                <w:color w:val="000000" w:themeColor="text1"/>
              </w:rPr>
              <w:t>II. Tiesību akta projekta ietekme uz sabiedrību, tautsaimniecības attīstību un administratīvo slogu</w:t>
            </w:r>
          </w:p>
        </w:tc>
      </w:tr>
      <w:tr w:rsidR="00C02911" w:rsidRPr="0045163C" w:rsidTr="000166E1">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1.</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02911" w:rsidRPr="0045163C" w:rsidRDefault="00C02911" w:rsidP="0045163C">
            <w:pPr>
              <w:pStyle w:val="naiskr"/>
              <w:numPr>
                <w:ilvl w:val="0"/>
                <w:numId w:val="25"/>
              </w:numPr>
              <w:spacing w:before="0" w:after="60"/>
              <w:ind w:left="399"/>
              <w:jc w:val="both"/>
              <w:rPr>
                <w:rStyle w:val="apple-style-span"/>
                <w:b/>
                <w:bCs/>
                <w:color w:val="000000" w:themeColor="text1"/>
                <w:shd w:val="clear" w:color="auto" w:fill="FFFFFF"/>
              </w:rPr>
            </w:pPr>
            <w:r w:rsidRPr="0045163C">
              <w:rPr>
                <w:iCs/>
                <w:color w:val="000000" w:themeColor="text1"/>
              </w:rPr>
              <w:t xml:space="preserve">Latvijas emisijas kvotu tirdzniecības sistēmas </w:t>
            </w:r>
            <w:r w:rsidR="0000562A">
              <w:rPr>
                <w:iCs/>
                <w:color w:val="000000" w:themeColor="text1"/>
              </w:rPr>
              <w:t xml:space="preserve">67 </w:t>
            </w:r>
            <w:r w:rsidRPr="0045163C">
              <w:rPr>
                <w:iCs/>
                <w:color w:val="000000" w:themeColor="text1"/>
              </w:rPr>
              <w:t>operatori, kuri veic kādu no likuma „Par piesārņojumu” 2.pielikumā minētajām darbībām un kuriem ir izsniegtas siltumnīcefekta gāzu emisijas atļaujas</w:t>
            </w:r>
            <w:r w:rsidRPr="0045163C">
              <w:rPr>
                <w:rStyle w:val="apple-style-span"/>
                <w:color w:val="000000" w:themeColor="text1"/>
                <w:shd w:val="clear" w:color="auto" w:fill="FFFFFF"/>
              </w:rPr>
              <w:t>;</w:t>
            </w:r>
          </w:p>
          <w:p w:rsidR="00C02911" w:rsidRPr="0045163C" w:rsidRDefault="00C02911" w:rsidP="0045163C">
            <w:pPr>
              <w:pStyle w:val="ListParagraph"/>
              <w:numPr>
                <w:ilvl w:val="0"/>
                <w:numId w:val="25"/>
              </w:numPr>
              <w:spacing w:after="60"/>
              <w:ind w:left="399"/>
              <w:contextualSpacing w:val="0"/>
              <w:rPr>
                <w:color w:val="000000" w:themeColor="text1"/>
                <w:sz w:val="24"/>
                <w:szCs w:val="24"/>
                <w:lang w:eastAsia="lv-LV"/>
              </w:rPr>
            </w:pPr>
            <w:r w:rsidRPr="0045163C">
              <w:rPr>
                <w:rStyle w:val="apple-style-span"/>
                <w:color w:val="000000" w:themeColor="text1"/>
                <w:sz w:val="24"/>
                <w:szCs w:val="24"/>
                <w:shd w:val="clear" w:color="auto" w:fill="FFFFFF"/>
              </w:rPr>
              <w:t xml:space="preserve">Kādā no Eiropas Savienības dalībvalstīm </w:t>
            </w:r>
            <w:r w:rsidRPr="0045163C">
              <w:rPr>
                <w:color w:val="000000" w:themeColor="text1"/>
                <w:sz w:val="24"/>
                <w:szCs w:val="24"/>
              </w:rPr>
              <w:t xml:space="preserve">atbilstības novērtēšanas institūcijā </w:t>
            </w:r>
            <w:r w:rsidRPr="0045163C">
              <w:rPr>
                <w:rStyle w:val="apple-style-span"/>
                <w:color w:val="000000" w:themeColor="text1"/>
                <w:sz w:val="24"/>
                <w:szCs w:val="24"/>
                <w:shd w:val="clear" w:color="auto" w:fill="FFFFFF"/>
              </w:rPr>
              <w:t>vai Latvijā akreditēti</w:t>
            </w:r>
            <w:r w:rsidRPr="0045163C">
              <w:rPr>
                <w:color w:val="000000" w:themeColor="text1"/>
                <w:sz w:val="24"/>
                <w:szCs w:val="24"/>
              </w:rPr>
              <w:t xml:space="preserve"> verificētāji.</w:t>
            </w:r>
          </w:p>
        </w:tc>
      </w:tr>
      <w:tr w:rsidR="00C02911" w:rsidRPr="0045163C"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2.</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02911" w:rsidRPr="004225C8" w:rsidRDefault="000D48E9" w:rsidP="0045163C">
            <w:pPr>
              <w:spacing w:after="60"/>
              <w:rPr>
                <w:color w:val="000000" w:themeColor="text1"/>
              </w:rPr>
            </w:pPr>
            <w:r w:rsidRPr="0045163C">
              <w:rPr>
                <w:color w:val="000000" w:themeColor="text1"/>
              </w:rPr>
              <w:t>Projekts šo jomu neskar.</w:t>
            </w:r>
          </w:p>
        </w:tc>
      </w:tr>
      <w:tr w:rsidR="00C02911" w:rsidRPr="0045163C"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3.</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5163C">
              <w:rPr>
                <w:color w:val="000000" w:themeColor="text1"/>
              </w:rPr>
              <w:t>Projekts šo jomu neskar.</w:t>
            </w:r>
          </w:p>
        </w:tc>
      </w:tr>
      <w:tr w:rsidR="00C02911" w:rsidRPr="0045163C" w:rsidTr="000166E1">
        <w:trPr>
          <w:trHeight w:val="34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4.</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B1268" w:rsidRPr="004225C8" w:rsidRDefault="00C02911" w:rsidP="0045163C">
            <w:pPr>
              <w:spacing w:after="60"/>
              <w:rPr>
                <w:color w:val="000000" w:themeColor="text1"/>
              </w:rPr>
            </w:pPr>
            <w:r w:rsidRPr="0045163C">
              <w:rPr>
                <w:color w:val="000000" w:themeColor="text1"/>
              </w:rPr>
              <w:t>Nav</w:t>
            </w:r>
          </w:p>
        </w:tc>
      </w:tr>
    </w:tbl>
    <w:p w:rsidR="007B1268" w:rsidRPr="00FB4812" w:rsidRDefault="007B1268" w:rsidP="00801659">
      <w:pPr>
        <w:pStyle w:val="naisf"/>
        <w:spacing w:before="120" w:after="120"/>
        <w:ind w:firstLine="374"/>
        <w:jc w:val="center"/>
        <w:rPr>
          <w:b/>
        </w:rPr>
      </w:pPr>
    </w:p>
    <w:tbl>
      <w:tblPr>
        <w:tblW w:w="9356" w:type="dxa"/>
        <w:jc w:val="center"/>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555"/>
        <w:gridCol w:w="2565"/>
        <w:gridCol w:w="6236"/>
      </w:tblGrid>
      <w:tr w:rsidR="007B1268" w:rsidRPr="00FB4812" w:rsidTr="007B1268">
        <w:trPr>
          <w:jc w:val="center"/>
        </w:trPr>
        <w:tc>
          <w:tcPr>
            <w:tcW w:w="9356" w:type="dxa"/>
            <w:gridSpan w:val="3"/>
            <w:tcBorders>
              <w:top w:val="outset" w:sz="6" w:space="0" w:color="auto"/>
              <w:bottom w:val="outset" w:sz="6" w:space="0" w:color="auto"/>
            </w:tcBorders>
            <w:vAlign w:val="center"/>
          </w:tcPr>
          <w:p w:rsidR="007B1268" w:rsidRPr="00FB4812" w:rsidRDefault="007B1268" w:rsidP="007B1268">
            <w:pPr>
              <w:jc w:val="center"/>
              <w:rPr>
                <w:b/>
              </w:rPr>
            </w:pPr>
            <w:r w:rsidRPr="00FB4812">
              <w:rPr>
                <w:b/>
              </w:rPr>
              <w:t>V. Tiesību akta projekta atbilstība Latvijas Republikas starptautiskajām saistībām</w:t>
            </w:r>
          </w:p>
        </w:tc>
      </w:tr>
      <w:tr w:rsidR="007B1268" w:rsidRPr="00FB4812" w:rsidTr="007B1268">
        <w:trPr>
          <w:jc w:val="center"/>
        </w:trPr>
        <w:tc>
          <w:tcPr>
            <w:tcW w:w="555" w:type="dxa"/>
            <w:tcBorders>
              <w:top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1.</w:t>
            </w:r>
          </w:p>
        </w:tc>
        <w:tc>
          <w:tcPr>
            <w:tcW w:w="2565" w:type="dxa"/>
            <w:tcBorders>
              <w:top w:val="outset" w:sz="6" w:space="0" w:color="auto"/>
              <w:left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Saistības pret Eiropas Savienību</w:t>
            </w:r>
          </w:p>
        </w:tc>
        <w:tc>
          <w:tcPr>
            <w:tcW w:w="6236" w:type="dxa"/>
            <w:tcBorders>
              <w:top w:val="outset" w:sz="6" w:space="0" w:color="auto"/>
              <w:left w:val="outset" w:sz="6" w:space="0" w:color="auto"/>
              <w:bottom w:val="outset" w:sz="6" w:space="0" w:color="auto"/>
            </w:tcBorders>
          </w:tcPr>
          <w:p w:rsidR="007B1268" w:rsidRPr="00FB4812" w:rsidRDefault="007B1268" w:rsidP="007B1268">
            <w:pPr>
              <w:autoSpaceDE w:val="0"/>
              <w:autoSpaceDN w:val="0"/>
              <w:adjustRightInd w:val="0"/>
              <w:spacing w:after="60"/>
              <w:ind w:firstLine="256"/>
              <w:jc w:val="both"/>
            </w:pPr>
            <w:r w:rsidRPr="00FB4812">
              <w:rPr>
                <w:sz w:val="22"/>
                <w:szCs w:val="22"/>
              </w:rPr>
              <w:t>Normatīvā akta projekts sagatavots, ievērojot šādus Eiropas Savienības tiesību aktus:</w:t>
            </w:r>
          </w:p>
          <w:p w:rsidR="007B1268" w:rsidRPr="008B7AFC" w:rsidRDefault="007B1268" w:rsidP="007B1268">
            <w:pPr>
              <w:pStyle w:val="ListParagraph"/>
              <w:numPr>
                <w:ilvl w:val="0"/>
                <w:numId w:val="21"/>
              </w:numPr>
              <w:autoSpaceDE w:val="0"/>
              <w:autoSpaceDN w:val="0"/>
              <w:adjustRightInd w:val="0"/>
              <w:spacing w:after="60"/>
              <w:contextualSpacing w:val="0"/>
              <w:rPr>
                <w:sz w:val="22"/>
                <w:szCs w:val="22"/>
              </w:rPr>
            </w:pPr>
            <w:r w:rsidRPr="00FB4812">
              <w:rPr>
                <w:sz w:val="22"/>
                <w:szCs w:val="22"/>
              </w:rPr>
              <w:t xml:space="preserve">Eiropas Komisijas 2011.gada 27.aprīļa </w:t>
            </w:r>
            <w:r w:rsidR="00C46997">
              <w:rPr>
                <w:sz w:val="22"/>
                <w:szCs w:val="22"/>
              </w:rPr>
              <w:t>l</w:t>
            </w:r>
            <w:r w:rsidRPr="00FB4812">
              <w:rPr>
                <w:sz w:val="22"/>
                <w:szCs w:val="22"/>
              </w:rPr>
              <w:t xml:space="preserve">ēmums Nr.2011/278/ES, </w:t>
            </w:r>
            <w:r w:rsidRPr="00FB4812">
              <w:rPr>
                <w:bCs/>
                <w:color w:val="000000"/>
                <w:sz w:val="22"/>
                <w:szCs w:val="22"/>
              </w:rPr>
              <w:t>ar kuru visā Savienībā nosaka pagaidu noteikumus saskaņotai bezmaksas emisiju kvotu sadalei atbilstoši 10.a pantam Eiropas Parlamenta un Padomes Direktīvā 2003/87/EK</w:t>
            </w:r>
            <w:r w:rsidR="008B7AFC">
              <w:rPr>
                <w:bCs/>
                <w:sz w:val="22"/>
                <w:szCs w:val="22"/>
              </w:rPr>
              <w:t>;</w:t>
            </w:r>
          </w:p>
          <w:p w:rsidR="008B7AFC" w:rsidRPr="00FB4812" w:rsidRDefault="008B7AFC" w:rsidP="007B1268">
            <w:pPr>
              <w:pStyle w:val="ListParagraph"/>
              <w:numPr>
                <w:ilvl w:val="0"/>
                <w:numId w:val="21"/>
              </w:numPr>
              <w:autoSpaceDE w:val="0"/>
              <w:autoSpaceDN w:val="0"/>
              <w:adjustRightInd w:val="0"/>
              <w:spacing w:after="60"/>
              <w:contextualSpacing w:val="0"/>
              <w:rPr>
                <w:sz w:val="22"/>
                <w:szCs w:val="22"/>
              </w:rPr>
            </w:pPr>
            <w:r w:rsidRPr="00FB4812">
              <w:rPr>
                <w:color w:val="000000"/>
                <w:sz w:val="22"/>
                <w:szCs w:val="22"/>
                <w:shd w:val="clear" w:color="auto" w:fill="FFFFFF"/>
              </w:rPr>
              <w:t>Eiropas Komisijas 201</w:t>
            </w:r>
            <w:r>
              <w:rPr>
                <w:color w:val="000000"/>
                <w:sz w:val="22"/>
                <w:szCs w:val="22"/>
                <w:shd w:val="clear" w:color="auto" w:fill="FFFFFF"/>
              </w:rPr>
              <w:t>3</w:t>
            </w:r>
            <w:r w:rsidRPr="00FB4812">
              <w:rPr>
                <w:color w:val="000000"/>
                <w:sz w:val="22"/>
                <w:szCs w:val="22"/>
                <w:shd w:val="clear" w:color="auto" w:fill="FFFFFF"/>
              </w:rPr>
              <w:t xml:space="preserve">.gada </w:t>
            </w:r>
            <w:r>
              <w:rPr>
                <w:color w:val="000000"/>
                <w:sz w:val="22"/>
                <w:szCs w:val="22"/>
                <w:shd w:val="clear" w:color="auto" w:fill="FFFFFF"/>
              </w:rPr>
              <w:t>18.decembra lēmums Nr.2014/9/ES, ar ko groza Lēmumu 2010/2/ES un 2011/278/ES attiecībā uz nozarēm un apakšnozarēm, kurās pastāv būtisks oglekļa dioksīda emisiju pārvirzes risks.</w:t>
            </w:r>
          </w:p>
          <w:p w:rsidR="007B1268" w:rsidRPr="00FB4812" w:rsidRDefault="007B1268" w:rsidP="007B1268">
            <w:pPr>
              <w:autoSpaceDE w:val="0"/>
              <w:autoSpaceDN w:val="0"/>
              <w:adjustRightInd w:val="0"/>
              <w:spacing w:after="60"/>
              <w:jc w:val="both"/>
            </w:pPr>
            <w:r w:rsidRPr="00FB4812">
              <w:rPr>
                <w:bCs/>
                <w:sz w:val="22"/>
                <w:szCs w:val="22"/>
              </w:rPr>
              <w:t>Pārņemti tie Eiropas Savienības tiesību akta panti, kas attiecas uz emisijas kvotu piešķiršanu jaunām iekārtām un emisijas kvotu apjoma grozījumiem.</w:t>
            </w:r>
          </w:p>
        </w:tc>
      </w:tr>
      <w:tr w:rsidR="007B1268" w:rsidRPr="00FB4812" w:rsidTr="007B1268">
        <w:trPr>
          <w:jc w:val="center"/>
        </w:trPr>
        <w:tc>
          <w:tcPr>
            <w:tcW w:w="555" w:type="dxa"/>
            <w:tcBorders>
              <w:top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2.</w:t>
            </w:r>
          </w:p>
        </w:tc>
        <w:tc>
          <w:tcPr>
            <w:tcW w:w="2565" w:type="dxa"/>
            <w:tcBorders>
              <w:top w:val="outset" w:sz="6" w:space="0" w:color="auto"/>
              <w:left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Citas starptautiskās saistības</w:t>
            </w:r>
          </w:p>
        </w:tc>
        <w:tc>
          <w:tcPr>
            <w:tcW w:w="6236" w:type="dxa"/>
            <w:tcBorders>
              <w:top w:val="outset" w:sz="6" w:space="0" w:color="auto"/>
              <w:left w:val="outset" w:sz="6" w:space="0" w:color="auto"/>
              <w:bottom w:val="outset" w:sz="6" w:space="0" w:color="auto"/>
            </w:tcBorders>
          </w:tcPr>
          <w:p w:rsidR="007B1268" w:rsidRPr="00FB4812" w:rsidRDefault="007B1268" w:rsidP="007B1268">
            <w:pPr>
              <w:ind w:left="57" w:firstLine="199"/>
            </w:pPr>
            <w:r w:rsidRPr="00FB4812">
              <w:rPr>
                <w:color w:val="000000"/>
                <w:sz w:val="22"/>
                <w:szCs w:val="22"/>
                <w:lang w:eastAsia="en-US"/>
              </w:rPr>
              <w:t>Projekts šo jomu neskar</w:t>
            </w:r>
          </w:p>
        </w:tc>
      </w:tr>
      <w:tr w:rsidR="007B1268" w:rsidRPr="00FB4812" w:rsidTr="007B1268">
        <w:trPr>
          <w:jc w:val="center"/>
        </w:trPr>
        <w:tc>
          <w:tcPr>
            <w:tcW w:w="555" w:type="dxa"/>
            <w:tcBorders>
              <w:top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3.</w:t>
            </w:r>
          </w:p>
        </w:tc>
        <w:tc>
          <w:tcPr>
            <w:tcW w:w="2565" w:type="dxa"/>
            <w:tcBorders>
              <w:top w:val="outset" w:sz="6" w:space="0" w:color="auto"/>
              <w:left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Cita informācija</w:t>
            </w:r>
          </w:p>
        </w:tc>
        <w:tc>
          <w:tcPr>
            <w:tcW w:w="6236" w:type="dxa"/>
            <w:tcBorders>
              <w:top w:val="outset" w:sz="6" w:space="0" w:color="auto"/>
              <w:left w:val="outset" w:sz="6" w:space="0" w:color="auto"/>
              <w:bottom w:val="outset" w:sz="6" w:space="0" w:color="auto"/>
            </w:tcBorders>
          </w:tcPr>
          <w:p w:rsidR="007B1268" w:rsidRPr="00FB4812" w:rsidRDefault="007B1268" w:rsidP="007B1268">
            <w:pPr>
              <w:ind w:left="57" w:firstLine="199"/>
            </w:pPr>
            <w:r w:rsidRPr="00FB4812">
              <w:rPr>
                <w:sz w:val="22"/>
                <w:szCs w:val="22"/>
              </w:rPr>
              <w:t>Nav</w:t>
            </w:r>
          </w:p>
        </w:tc>
      </w:tr>
    </w:tbl>
    <w:p w:rsidR="007B1268" w:rsidRPr="007D1A29" w:rsidRDefault="007B1268" w:rsidP="007B1268">
      <w:pPr>
        <w:spacing w:before="120" w:after="120"/>
        <w:rPr>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2725"/>
        <w:gridCol w:w="1952"/>
        <w:gridCol w:w="2983"/>
      </w:tblGrid>
      <w:tr w:rsidR="007B1268" w:rsidRPr="00FB4812" w:rsidTr="00BA7AAE">
        <w:trPr>
          <w:trHeight w:val="284"/>
          <w:jc w:val="center"/>
        </w:trPr>
        <w:tc>
          <w:tcPr>
            <w:tcW w:w="9356" w:type="dxa"/>
            <w:gridSpan w:val="4"/>
          </w:tcPr>
          <w:p w:rsidR="007B1268" w:rsidRPr="00FB4812" w:rsidRDefault="007B1268" w:rsidP="007B1268">
            <w:pPr>
              <w:jc w:val="center"/>
              <w:rPr>
                <w:b/>
              </w:rPr>
            </w:pPr>
            <w:r w:rsidRPr="00FB4812">
              <w:rPr>
                <w:b/>
              </w:rPr>
              <w:t>1.tabula</w:t>
            </w:r>
          </w:p>
          <w:p w:rsidR="007B1268" w:rsidRPr="00FB4812" w:rsidRDefault="007B1268" w:rsidP="007B1268">
            <w:pPr>
              <w:ind w:left="57"/>
              <w:jc w:val="center"/>
            </w:pPr>
            <w:r w:rsidRPr="00FB4812">
              <w:rPr>
                <w:b/>
              </w:rPr>
              <w:t>Tiesību akta projekta atbilstība ES tiesību aktiem</w:t>
            </w:r>
          </w:p>
        </w:tc>
      </w:tr>
      <w:tr w:rsidR="007B1268" w:rsidRPr="00FB4812" w:rsidTr="00BA7AAE">
        <w:trPr>
          <w:trHeight w:val="284"/>
          <w:jc w:val="center"/>
        </w:trPr>
        <w:tc>
          <w:tcPr>
            <w:tcW w:w="1696" w:type="dxa"/>
          </w:tcPr>
          <w:p w:rsidR="007B1268" w:rsidRPr="00FB4812" w:rsidRDefault="007B1268" w:rsidP="007B1268">
            <w:r w:rsidRPr="00FB4812">
              <w:rPr>
                <w:sz w:val="22"/>
                <w:szCs w:val="22"/>
              </w:rPr>
              <w:t>Attiecīgā Eiropas Savienības tiesību akta datums, numurs un nosaukums</w:t>
            </w:r>
          </w:p>
        </w:tc>
        <w:tc>
          <w:tcPr>
            <w:tcW w:w="7660" w:type="dxa"/>
            <w:gridSpan w:val="3"/>
          </w:tcPr>
          <w:p w:rsidR="007B1268" w:rsidRPr="00FB4812" w:rsidRDefault="007B1268" w:rsidP="007B1268">
            <w:pPr>
              <w:autoSpaceDE w:val="0"/>
              <w:autoSpaceDN w:val="0"/>
              <w:adjustRightInd w:val="0"/>
              <w:ind w:firstLine="289"/>
              <w:jc w:val="both"/>
              <w:rPr>
                <w:color w:val="000000"/>
                <w:shd w:val="clear" w:color="auto" w:fill="FFFFFF"/>
              </w:rPr>
            </w:pPr>
            <w:r w:rsidRPr="00FB4812">
              <w:rPr>
                <w:color w:val="000000"/>
                <w:sz w:val="22"/>
                <w:szCs w:val="22"/>
                <w:shd w:val="clear" w:color="auto" w:fill="FFFFFF"/>
              </w:rPr>
              <w:t>Eiropas Komisijas 2011.gada 27.aprīļa lēmuma Nr.2011/278/ES, ar kuru visā Savienībā nosaka pagaidu noteikumus saskaņotai bezmaksas emisiju kvotu sadalei atbilstoši 10.a pantam Eiropas Parlamenta un Padomes Direktīvā 2003/87/EK.</w:t>
            </w:r>
          </w:p>
        </w:tc>
      </w:tr>
      <w:tr w:rsidR="007B1268" w:rsidRPr="00FB4812" w:rsidTr="00BA7AAE">
        <w:trPr>
          <w:trHeight w:val="284"/>
          <w:jc w:val="center"/>
        </w:trPr>
        <w:tc>
          <w:tcPr>
            <w:tcW w:w="1696" w:type="dxa"/>
          </w:tcPr>
          <w:p w:rsidR="007B1268" w:rsidRPr="00FB4812" w:rsidRDefault="007B1268" w:rsidP="007B1268">
            <w:pPr>
              <w:jc w:val="center"/>
            </w:pPr>
            <w:r w:rsidRPr="00FB4812">
              <w:rPr>
                <w:sz w:val="22"/>
                <w:szCs w:val="22"/>
              </w:rPr>
              <w:t>A</w:t>
            </w:r>
          </w:p>
        </w:tc>
        <w:tc>
          <w:tcPr>
            <w:tcW w:w="2725" w:type="dxa"/>
          </w:tcPr>
          <w:p w:rsidR="007B1268" w:rsidRPr="00FB4812" w:rsidRDefault="007B1268" w:rsidP="007B1268">
            <w:pPr>
              <w:ind w:left="57"/>
              <w:jc w:val="center"/>
            </w:pPr>
            <w:r w:rsidRPr="00FB4812">
              <w:rPr>
                <w:sz w:val="22"/>
                <w:szCs w:val="22"/>
              </w:rPr>
              <w:t>B</w:t>
            </w:r>
          </w:p>
        </w:tc>
        <w:tc>
          <w:tcPr>
            <w:tcW w:w="1952" w:type="dxa"/>
          </w:tcPr>
          <w:p w:rsidR="007B1268" w:rsidRPr="00FB4812" w:rsidRDefault="007B1268" w:rsidP="007B1268">
            <w:pPr>
              <w:ind w:left="57"/>
              <w:jc w:val="center"/>
            </w:pPr>
            <w:r w:rsidRPr="00FB4812">
              <w:rPr>
                <w:sz w:val="22"/>
                <w:szCs w:val="22"/>
              </w:rPr>
              <w:t>C</w:t>
            </w:r>
          </w:p>
        </w:tc>
        <w:tc>
          <w:tcPr>
            <w:tcW w:w="2983" w:type="dxa"/>
          </w:tcPr>
          <w:p w:rsidR="007B1268" w:rsidRPr="00FB4812" w:rsidRDefault="007B1268" w:rsidP="007B1268">
            <w:pPr>
              <w:ind w:left="57"/>
              <w:jc w:val="center"/>
            </w:pPr>
            <w:r w:rsidRPr="00FB4812">
              <w:rPr>
                <w:sz w:val="22"/>
                <w:szCs w:val="22"/>
              </w:rPr>
              <w:t>D</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2.pants</w:t>
            </w:r>
          </w:p>
        </w:tc>
        <w:tc>
          <w:tcPr>
            <w:tcW w:w="2725" w:type="dxa"/>
            <w:vAlign w:val="center"/>
          </w:tcPr>
          <w:p w:rsidR="007B1268" w:rsidRPr="00FB4812" w:rsidRDefault="00BA7AAE" w:rsidP="00BA7AAE">
            <w:r>
              <w:rPr>
                <w:sz w:val="22"/>
                <w:szCs w:val="22"/>
              </w:rPr>
              <w:t>Noteikumu Nr.112 5</w:t>
            </w:r>
            <w:r w:rsidR="007B1268" w:rsidRPr="00FB4812">
              <w:rPr>
                <w:sz w:val="22"/>
                <w:szCs w:val="22"/>
              </w:rPr>
              <w:t>8.punkts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a)</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11.punkts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b)</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7.1.apakšpunkts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c)</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d)</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7.3.apakšpunkts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e)</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f)</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1.pielikuma 12.punkts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h)</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7.4.apakšpunkts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i)</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13.punkts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j)</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15.punkts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k)</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12.punkts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l)</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2</w:t>
            </w:r>
            <w:r w:rsidR="007B1268">
              <w:rPr>
                <w:sz w:val="22"/>
                <w:szCs w:val="22"/>
              </w:rPr>
              <w:t>8</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m)</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4</w:t>
            </w:r>
            <w:r w:rsidR="007B1268">
              <w:rPr>
                <w:sz w:val="22"/>
                <w:szCs w:val="22"/>
              </w:rPr>
              <w:t>5</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n)</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 xml:space="preserve">2.pielikuma </w:t>
            </w:r>
            <w:r w:rsidR="007B1268">
              <w:rPr>
                <w:sz w:val="22"/>
                <w:szCs w:val="22"/>
              </w:rPr>
              <w:t>9</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o)</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2</w:t>
            </w:r>
            <w:r w:rsidR="007B1268">
              <w:rPr>
                <w:sz w:val="22"/>
                <w:szCs w:val="22"/>
              </w:rPr>
              <w:t>0</w:t>
            </w:r>
            <w:r w:rsidR="007B1268" w:rsidRPr="00FB4812">
              <w:rPr>
                <w:sz w:val="22"/>
                <w:szCs w:val="22"/>
              </w:rPr>
              <w:t>., 2</w:t>
            </w:r>
            <w:r w:rsidR="007B1268">
              <w:rPr>
                <w:sz w:val="22"/>
                <w:szCs w:val="22"/>
              </w:rPr>
              <w:t>1</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p)</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7.3.apakšpunkts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q)</w:t>
            </w:r>
            <w:r w:rsidR="00BA7AAE">
              <w:rPr>
                <w:sz w:val="22"/>
                <w:szCs w:val="22"/>
              </w:rPr>
              <w:t xml:space="preserve"> </w:t>
            </w:r>
            <w:r w:rsidRPr="00FB4812">
              <w:rPr>
                <w:sz w:val="22"/>
                <w:szCs w:val="22"/>
              </w:rPr>
              <w:t>apakšpunkts</w:t>
            </w:r>
          </w:p>
        </w:tc>
        <w:tc>
          <w:tcPr>
            <w:tcW w:w="2725" w:type="dxa"/>
            <w:vAlign w:val="center"/>
          </w:tcPr>
          <w:p w:rsidR="007B1268" w:rsidRPr="00FB4812" w:rsidRDefault="007B1268" w:rsidP="007B1268">
            <w:r w:rsidRPr="00FB4812">
              <w:rPr>
                <w:sz w:val="22"/>
                <w:szCs w:val="22"/>
              </w:rPr>
              <w:t>nav jāpārņem, jo šī definīcija attiecas uz to emisijas kvotu aprēķinu, kas veikts par vēsturisko periodu Iekārtu saraksta emisijas kvotu sadalei 2013.-2020.gadam izstrādes ietvaros (2011.gada 30.septembris)</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r)</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31.punkts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3.panta u)</w:t>
            </w:r>
            <w:r w:rsidR="00BA7AAE">
              <w:rPr>
                <w:sz w:val="22"/>
                <w:szCs w:val="22"/>
              </w:rPr>
              <w:t xml:space="preserve"> </w:t>
            </w:r>
            <w:r w:rsidRPr="00FB4812">
              <w:rPr>
                <w:sz w:val="22"/>
                <w:szCs w:val="22"/>
              </w:rPr>
              <w:t>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33.punkts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4.pants</w:t>
            </w:r>
          </w:p>
        </w:tc>
        <w:tc>
          <w:tcPr>
            <w:tcW w:w="2725" w:type="dxa"/>
            <w:vAlign w:val="center"/>
          </w:tcPr>
          <w:p w:rsidR="007B1268" w:rsidRPr="00FB4812" w:rsidRDefault="007B1268" w:rsidP="007B1268">
            <w:r w:rsidRPr="00FB4812">
              <w:rPr>
                <w:sz w:val="22"/>
                <w:szCs w:val="22"/>
              </w:rPr>
              <w:t>pārņemts ar likuma par piesārņojumu 32.</w:t>
            </w:r>
            <w:r w:rsidRPr="00FB4812">
              <w:rPr>
                <w:sz w:val="22"/>
                <w:szCs w:val="22"/>
                <w:vertAlign w:val="superscript"/>
              </w:rPr>
              <w:t>2</w:t>
            </w:r>
            <w:r w:rsidRPr="00FB4812">
              <w:rPr>
                <w:sz w:val="22"/>
                <w:szCs w:val="22"/>
              </w:rPr>
              <w:t xml:space="preserve"> panta 1.daļu</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5.pants</w:t>
            </w:r>
          </w:p>
        </w:tc>
        <w:tc>
          <w:tcPr>
            <w:tcW w:w="2725" w:type="dxa"/>
            <w:vAlign w:val="center"/>
          </w:tcPr>
          <w:p w:rsidR="007B1268" w:rsidRPr="00FB4812" w:rsidRDefault="007B1268" w:rsidP="007B1268">
            <w:r w:rsidRPr="00FB4812">
              <w:rPr>
                <w:sz w:val="22"/>
                <w:szCs w:val="22"/>
              </w:rPr>
              <w:t>attiecas uz periodu Iekārtu saraksta emisijas kvotu sadalei 2013.-2020.gadam izstrādes ietvaros (2011.gada 30.septembris)</w:t>
            </w:r>
          </w:p>
          <w:p w:rsidR="007B1268" w:rsidRPr="00FB4812" w:rsidRDefault="00BA7AAE" w:rsidP="007B1268">
            <w:r>
              <w:rPr>
                <w:sz w:val="22"/>
                <w:szCs w:val="22"/>
              </w:rPr>
              <w:t xml:space="preserve">Noteikumu Nr.112 </w:t>
            </w:r>
            <w:r w:rsidR="007B1268" w:rsidRPr="00FB4812">
              <w:rPr>
                <w:sz w:val="22"/>
                <w:szCs w:val="22"/>
              </w:rPr>
              <w:t>3.punkts</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6.panta 1.punkta 1. un 2.rindkopa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6.panta 1.punkta 4.rindkopa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1.pielikuma 19.punkts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6.panta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1.pielikuma 2.punkts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7.pants</w:t>
            </w:r>
          </w:p>
        </w:tc>
        <w:tc>
          <w:tcPr>
            <w:tcW w:w="2725" w:type="dxa"/>
            <w:vAlign w:val="center"/>
          </w:tcPr>
          <w:p w:rsidR="007B1268" w:rsidRPr="00FB4812" w:rsidRDefault="007B1268" w:rsidP="007B1268">
            <w:r w:rsidRPr="00FB4812">
              <w:rPr>
                <w:sz w:val="22"/>
                <w:szCs w:val="22"/>
              </w:rPr>
              <w:t>attiecas uz periodu Iekārtu saraksta emisijas kvotu sadalei 2013.-2020.gadam izstrādes ietvaros (2011.gada 30.septembris)</w:t>
            </w:r>
          </w:p>
          <w:p w:rsidR="007B1268" w:rsidRPr="00FB4812" w:rsidRDefault="007B1268" w:rsidP="007B1268">
            <w:r w:rsidRPr="00FB4812">
              <w:rPr>
                <w:sz w:val="22"/>
                <w:szCs w:val="22"/>
              </w:rPr>
              <w:t>likuma „Par piesārņojumu” 32.</w:t>
            </w:r>
            <w:r w:rsidRPr="00FB4812">
              <w:rPr>
                <w:sz w:val="22"/>
                <w:szCs w:val="22"/>
                <w:vertAlign w:val="superscript"/>
              </w:rPr>
              <w:t>1</w:t>
            </w:r>
            <w:r w:rsidRPr="00FB4812">
              <w:rPr>
                <w:sz w:val="22"/>
                <w:szCs w:val="22"/>
              </w:rPr>
              <w:t xml:space="preserve"> panta 7. un 8.daļa</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8.panta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38.2., 38.3., 39.2., 39.3., 40.1., 40.2.apakšpunkts, 33.punkts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8. 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31.punkts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8.panta 3.punkts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33.punkts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8.panta 4.punkts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38.3., 39.3., 40.2.apakšpunkts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9.pants</w:t>
            </w:r>
          </w:p>
        </w:tc>
        <w:tc>
          <w:tcPr>
            <w:tcW w:w="2725" w:type="dxa"/>
            <w:vAlign w:val="center"/>
          </w:tcPr>
          <w:p w:rsidR="007B1268" w:rsidRPr="00FB4812" w:rsidRDefault="007B1268" w:rsidP="007B1268">
            <w:r w:rsidRPr="00FB4812">
              <w:rPr>
                <w:sz w:val="22"/>
                <w:szCs w:val="22"/>
              </w:rPr>
              <w:t>attiecas uz periodu Iekārtu saraksta emisijas kvotu sadalei 2013.-2020.gadam izstrādes ietvaros (2011.gada 30.septembris)</w:t>
            </w:r>
          </w:p>
          <w:p w:rsidR="007B1268" w:rsidRPr="00FB4812" w:rsidRDefault="007B1268" w:rsidP="007B1268">
            <w:r w:rsidRPr="00FB4812">
              <w:rPr>
                <w:sz w:val="22"/>
                <w:szCs w:val="22"/>
              </w:rPr>
              <w:t>likuma „Par piesārņojumu” 32.</w:t>
            </w:r>
            <w:r w:rsidRPr="00FB4812">
              <w:rPr>
                <w:sz w:val="22"/>
                <w:szCs w:val="22"/>
                <w:vertAlign w:val="superscript"/>
              </w:rPr>
              <w:t>1</w:t>
            </w:r>
            <w:r w:rsidRPr="00FB4812">
              <w:rPr>
                <w:sz w:val="22"/>
                <w:szCs w:val="22"/>
              </w:rPr>
              <w:t xml:space="preserve"> panta 7. un 8.daļa</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46.1.apakšpunkts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3.punkts</w:t>
            </w:r>
          </w:p>
        </w:tc>
        <w:tc>
          <w:tcPr>
            <w:tcW w:w="2725" w:type="dxa"/>
            <w:vAlign w:val="center"/>
          </w:tcPr>
          <w:p w:rsidR="007B1268" w:rsidRPr="00FB4812" w:rsidRDefault="007B1268" w:rsidP="007B1268">
            <w:r w:rsidRPr="00FB4812">
              <w:rPr>
                <w:sz w:val="22"/>
                <w:szCs w:val="22"/>
              </w:rPr>
              <w:t>nav jāpārņem, jo šis nosacījums attiecas uz to emisijas kvotu aprēķinu, kas veikts par vēsturisko periodu Iekārtu saraksta emisijas kvotu sadalei 2013.-2020.gadam izstrādes ietvaros (2011.gada 30.septembris)</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4.punkts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3. un 4.punkts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5.punkts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3.punkts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6.punkts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6</w:t>
            </w:r>
            <w:r w:rsidR="007B1268">
              <w:rPr>
                <w:sz w:val="22"/>
                <w:szCs w:val="22"/>
              </w:rPr>
              <w:t>4</w:t>
            </w:r>
            <w:r w:rsidR="007B1268" w:rsidRPr="00FB4812">
              <w:rPr>
                <w:sz w:val="22"/>
                <w:szCs w:val="22"/>
              </w:rPr>
              <w:t>.-6</w:t>
            </w:r>
            <w:r w:rsidR="007B1268">
              <w:rPr>
                <w:sz w:val="22"/>
                <w:szCs w:val="22"/>
              </w:rPr>
              <w:t>8</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7.punkta 1.rindkopa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w:t>
            </w:r>
            <w:r w:rsidR="007B1268">
              <w:rPr>
                <w:sz w:val="22"/>
                <w:szCs w:val="22"/>
              </w:rPr>
              <w:t>8</w:t>
            </w:r>
            <w:r w:rsidR="007B1268" w:rsidRPr="00FB4812">
              <w:rPr>
                <w:sz w:val="22"/>
                <w:szCs w:val="22"/>
              </w:rPr>
              <w:t>., 3</w:t>
            </w:r>
            <w:r w:rsidR="007B1268">
              <w:rPr>
                <w:sz w:val="22"/>
                <w:szCs w:val="22"/>
              </w:rPr>
              <w:t>8</w:t>
            </w:r>
            <w:r w:rsidR="007B1268" w:rsidRPr="00FB4812">
              <w:rPr>
                <w:sz w:val="22"/>
                <w:szCs w:val="22"/>
              </w:rPr>
              <w:t>. un 5</w:t>
            </w:r>
            <w:r w:rsidR="007B1268">
              <w:rPr>
                <w:sz w:val="22"/>
                <w:szCs w:val="22"/>
              </w:rPr>
              <w:t>1</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7.punkta 2.rindkopa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5.2.apakšnodaļa</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10.panta 9.punkts</w:t>
            </w:r>
          </w:p>
        </w:tc>
        <w:tc>
          <w:tcPr>
            <w:tcW w:w="2725" w:type="dxa"/>
            <w:vAlign w:val="center"/>
          </w:tcPr>
          <w:p w:rsidR="007B1268" w:rsidRPr="00FB4812" w:rsidRDefault="007B1268" w:rsidP="007B1268">
            <w:r w:rsidRPr="00FB4812">
              <w:rPr>
                <w:sz w:val="22"/>
                <w:szCs w:val="22"/>
              </w:rPr>
              <w:t>nav jāpārņem, jo šis nosacījums attiecas uz to emisijas kvotu aprēķinu, kas veikts par vēsturisko periodu Iekārtu saraksta emisijas kvotu sadalei 2013.-2020.gadam izstrādes ietvaros (2011.gada 30.septembris)</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11.pants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5.3.apakšnodaļa, 1.pielikuma 6.punkts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12.pants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5.4.apakšnodaļa</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13.pants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5.5.nodaļa</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14.panta 1.rindkopa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69.punkts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14.panta 2.rindkopa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69.1.apakšpunkts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14.panta 3.rindkopa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69.2.apakšpunkts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15.pants</w:t>
            </w:r>
          </w:p>
        </w:tc>
        <w:tc>
          <w:tcPr>
            <w:tcW w:w="2725" w:type="dxa"/>
            <w:vAlign w:val="center"/>
          </w:tcPr>
          <w:p w:rsidR="007B1268" w:rsidRPr="00FB4812" w:rsidRDefault="007B1268" w:rsidP="007B1268">
            <w:r w:rsidRPr="00FB4812">
              <w:rPr>
                <w:sz w:val="22"/>
                <w:szCs w:val="22"/>
              </w:rPr>
              <w:t>attiecas uz periodu Iekārtu saraksta emisijas kvotu sadalei 2013.-2020.gadam izstrādes ietvaros (2011.gada 30.septembris)</w:t>
            </w:r>
          </w:p>
          <w:p w:rsidR="007B1268" w:rsidRPr="00FB4812" w:rsidRDefault="007B1268" w:rsidP="007B1268">
            <w:r w:rsidRPr="00FB4812">
              <w:rPr>
                <w:sz w:val="22"/>
                <w:szCs w:val="22"/>
              </w:rPr>
              <w:t>likuma „Par piesārņojumu” 32.</w:t>
            </w:r>
            <w:r w:rsidRPr="00FB4812">
              <w:rPr>
                <w:sz w:val="22"/>
                <w:szCs w:val="22"/>
                <w:vertAlign w:val="superscript"/>
              </w:rPr>
              <w:t>1</w:t>
            </w:r>
            <w:r w:rsidRPr="00FB4812">
              <w:rPr>
                <w:sz w:val="22"/>
                <w:szCs w:val="22"/>
              </w:rPr>
              <w:t xml:space="preserve"> panta 7. un 8.daļa</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 xml:space="preserve">16.pants </w:t>
            </w:r>
          </w:p>
        </w:tc>
        <w:tc>
          <w:tcPr>
            <w:tcW w:w="2725" w:type="dxa"/>
            <w:vAlign w:val="center"/>
          </w:tcPr>
          <w:p w:rsidR="007B1268" w:rsidRPr="00FB4812" w:rsidRDefault="007B1268" w:rsidP="007B1268">
            <w:r w:rsidRPr="00FB4812">
              <w:rPr>
                <w:sz w:val="22"/>
                <w:szCs w:val="22"/>
              </w:rPr>
              <w:t>likuma „Par piesārņojumu” 32.</w:t>
            </w:r>
            <w:r w:rsidRPr="00FB4812">
              <w:rPr>
                <w:sz w:val="22"/>
                <w:szCs w:val="22"/>
                <w:vertAlign w:val="superscript"/>
              </w:rPr>
              <w:t>1</w:t>
            </w:r>
            <w:r w:rsidRPr="00FB4812">
              <w:rPr>
                <w:sz w:val="22"/>
                <w:szCs w:val="22"/>
              </w:rPr>
              <w:t xml:space="preserve"> panta septītā daļa</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17.panta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9.punkts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17.panta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38.punkts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17.panta 3.punkts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7., 38.punkts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17.panta 4.punkts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38.6.apakšpunkts un 2.pielikuma 1</w:t>
            </w:r>
            <w:r w:rsidR="007B1268">
              <w:rPr>
                <w:sz w:val="22"/>
                <w:szCs w:val="22"/>
              </w:rPr>
              <w:t>2</w:t>
            </w:r>
            <w:r w:rsidR="007B1268" w:rsidRPr="00FB4812">
              <w:rPr>
                <w:sz w:val="22"/>
                <w:szCs w:val="22"/>
              </w:rPr>
              <w:t>., 1</w:t>
            </w:r>
            <w:r w:rsidR="007B1268">
              <w:rPr>
                <w:sz w:val="22"/>
                <w:szCs w:val="22"/>
              </w:rPr>
              <w:t>3</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17.panta 5.punkts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38.3., 39.3., 40.2.apakšpunkts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w:t>
            </w:r>
            <w:r w:rsidR="007B1268">
              <w:rPr>
                <w:sz w:val="22"/>
                <w:szCs w:val="22"/>
              </w:rPr>
              <w:t>4</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1.punkta a)apakšpunkts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w:t>
            </w:r>
            <w:r w:rsidR="007B1268">
              <w:rPr>
                <w:sz w:val="22"/>
                <w:szCs w:val="22"/>
              </w:rPr>
              <w:t>4</w:t>
            </w:r>
            <w:r w:rsidR="007B1268" w:rsidRPr="00FB4812">
              <w:rPr>
                <w:sz w:val="22"/>
                <w:szCs w:val="22"/>
              </w:rPr>
              <w:t>.1.apakšpunkts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1.punkta b)apakšpunkts</w:t>
            </w:r>
          </w:p>
        </w:tc>
        <w:tc>
          <w:tcPr>
            <w:tcW w:w="2725" w:type="dxa"/>
            <w:vAlign w:val="center"/>
          </w:tcPr>
          <w:p w:rsidR="007B1268" w:rsidRPr="00FB4812" w:rsidRDefault="00BA7AAE" w:rsidP="007B1268">
            <w:r>
              <w:rPr>
                <w:sz w:val="22"/>
                <w:szCs w:val="22"/>
              </w:rPr>
              <w:t xml:space="preserve">Noteikumu Nr.112 </w:t>
            </w:r>
            <w:r w:rsidR="007B1268">
              <w:rPr>
                <w:sz w:val="22"/>
                <w:szCs w:val="22"/>
              </w:rPr>
              <w:t>2.pielikuma 14</w:t>
            </w:r>
            <w:r w:rsidR="007B1268" w:rsidRPr="00FB4812">
              <w:rPr>
                <w:sz w:val="22"/>
                <w:szCs w:val="22"/>
              </w:rPr>
              <w:t>.2.apakšpunkts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1.punkta c)apakšpunkts</w:t>
            </w:r>
          </w:p>
        </w:tc>
        <w:tc>
          <w:tcPr>
            <w:tcW w:w="2725" w:type="dxa"/>
            <w:vAlign w:val="center"/>
          </w:tcPr>
          <w:p w:rsidR="007B1268" w:rsidRPr="00FB4812" w:rsidRDefault="00BA7AAE" w:rsidP="007B1268">
            <w:r>
              <w:rPr>
                <w:sz w:val="22"/>
                <w:szCs w:val="22"/>
              </w:rPr>
              <w:t xml:space="preserve">Noteikumu Nr.112 </w:t>
            </w:r>
            <w:r w:rsidR="007B1268">
              <w:rPr>
                <w:sz w:val="22"/>
                <w:szCs w:val="22"/>
              </w:rPr>
              <w:t>2.pielikuma 14</w:t>
            </w:r>
            <w:r w:rsidR="007B1268" w:rsidRPr="00FB4812">
              <w:rPr>
                <w:sz w:val="22"/>
                <w:szCs w:val="22"/>
              </w:rPr>
              <w:t>.3.apakšpunkts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1.punkta d)apakšpunkts</w:t>
            </w:r>
          </w:p>
        </w:tc>
        <w:tc>
          <w:tcPr>
            <w:tcW w:w="2725" w:type="dxa"/>
            <w:vAlign w:val="center"/>
          </w:tcPr>
          <w:p w:rsidR="007B1268" w:rsidRPr="00FB4812" w:rsidRDefault="00BA7AAE" w:rsidP="007B1268">
            <w:r>
              <w:rPr>
                <w:sz w:val="22"/>
                <w:szCs w:val="22"/>
              </w:rPr>
              <w:t xml:space="preserve">Noteikumu Nr.112 </w:t>
            </w:r>
            <w:r w:rsidR="007B1268">
              <w:rPr>
                <w:sz w:val="22"/>
                <w:szCs w:val="22"/>
              </w:rPr>
              <w:t>2.pielikuma 14</w:t>
            </w:r>
            <w:r w:rsidR="007B1268" w:rsidRPr="00FB4812">
              <w:rPr>
                <w:sz w:val="22"/>
                <w:szCs w:val="22"/>
              </w:rPr>
              <w:t>.4.apakšpunkts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2.punkta 1.rindkopa</w:t>
            </w:r>
          </w:p>
        </w:tc>
        <w:tc>
          <w:tcPr>
            <w:tcW w:w="2725" w:type="dxa"/>
            <w:vAlign w:val="center"/>
          </w:tcPr>
          <w:p w:rsidR="007B1268" w:rsidRPr="00FB4812" w:rsidRDefault="007B1268" w:rsidP="007B1268">
            <w:r w:rsidRPr="00FB4812">
              <w:rPr>
                <w:sz w:val="22"/>
                <w:szCs w:val="22"/>
              </w:rPr>
              <w:t>attiecas uz Eiropas Komisiju</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2.punkta 2.rindkopa</w:t>
            </w:r>
          </w:p>
        </w:tc>
        <w:tc>
          <w:tcPr>
            <w:tcW w:w="2725" w:type="dxa"/>
            <w:vAlign w:val="center"/>
          </w:tcPr>
          <w:p w:rsidR="007B1268" w:rsidRPr="00FB4812" w:rsidRDefault="00BA7AAE" w:rsidP="007B1268">
            <w:r>
              <w:rPr>
                <w:sz w:val="22"/>
                <w:szCs w:val="22"/>
              </w:rPr>
              <w:t xml:space="preserve">Noteikumu Nr.112 </w:t>
            </w:r>
            <w:r w:rsidR="007B1268">
              <w:rPr>
                <w:sz w:val="22"/>
                <w:szCs w:val="22"/>
              </w:rPr>
              <w:t>2.pielikuma 14</w:t>
            </w:r>
            <w:r w:rsidR="007B1268" w:rsidRPr="00FB4812">
              <w:rPr>
                <w:sz w:val="22"/>
                <w:szCs w:val="22"/>
              </w:rPr>
              <w:t>.2.apakšpunkts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2.punkta 3.rindkopa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w:t>
            </w:r>
            <w:r w:rsidR="007B1268">
              <w:rPr>
                <w:sz w:val="22"/>
                <w:szCs w:val="22"/>
              </w:rPr>
              <w:t>4</w:t>
            </w:r>
            <w:r w:rsidR="007B1268" w:rsidRPr="00FB4812">
              <w:rPr>
                <w:sz w:val="22"/>
                <w:szCs w:val="22"/>
              </w:rPr>
              <w:t>.2.apakšpunkts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3.punkta 1.rindkopa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3</w:t>
            </w:r>
            <w:r w:rsidR="007B1268">
              <w:rPr>
                <w:sz w:val="22"/>
                <w:szCs w:val="22"/>
              </w:rPr>
              <w:t>1</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18.panta 3.punkta 2.rindkopa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4</w:t>
            </w:r>
            <w:r w:rsidR="007B1268">
              <w:rPr>
                <w:sz w:val="22"/>
                <w:szCs w:val="22"/>
              </w:rPr>
              <w:t>7</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1.punkta a)apakšpunkts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1.1.apakšpunkts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1.punkta b)apakšpunkts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1.2.apakšpunkts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1.punkta c)apakšpunkts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1.3.apakšpunkts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1.punkta d)apakšpunkts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1.4.apakšpunkts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10.punkts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3.punkts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1</w:t>
            </w:r>
            <w:r w:rsidR="007B1268">
              <w:rPr>
                <w:sz w:val="22"/>
                <w:szCs w:val="22"/>
              </w:rPr>
              <w:t>8</w:t>
            </w:r>
            <w:r w:rsidR="007B1268" w:rsidRPr="00FB4812">
              <w:rPr>
                <w:sz w:val="22"/>
                <w:szCs w:val="22"/>
              </w:rPr>
              <w:t>.punkts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4.punkta 1.rindkopa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46.3.apakšpunkts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4.punkta 2.rindkopa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48.punkts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5.punkts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2.punkts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19.panta 6.punkts</w:t>
            </w:r>
          </w:p>
        </w:tc>
        <w:tc>
          <w:tcPr>
            <w:tcW w:w="2725" w:type="dxa"/>
            <w:vAlign w:val="center"/>
          </w:tcPr>
          <w:p w:rsidR="007B1268" w:rsidRPr="00FB4812" w:rsidRDefault="007B1268" w:rsidP="007B1268">
            <w:r w:rsidRPr="00FB4812">
              <w:rPr>
                <w:sz w:val="22"/>
                <w:szCs w:val="22"/>
              </w:rPr>
              <w:t>attiecas uz Eiropas Komisiju</w:t>
            </w:r>
          </w:p>
        </w:tc>
        <w:tc>
          <w:tcPr>
            <w:tcW w:w="1952" w:type="dxa"/>
            <w:vAlign w:val="center"/>
          </w:tcPr>
          <w:p w:rsidR="007B1268" w:rsidRPr="00FB4812" w:rsidRDefault="007B1268" w:rsidP="007B1268">
            <w:pPr>
              <w:ind w:left="57"/>
            </w:pPr>
          </w:p>
        </w:tc>
        <w:tc>
          <w:tcPr>
            <w:tcW w:w="2983" w:type="dxa"/>
            <w:vAlign w:val="center"/>
          </w:tcPr>
          <w:p w:rsidR="007B1268" w:rsidRPr="00FB4812" w:rsidRDefault="007B1268" w:rsidP="007B1268">
            <w:pPr>
              <w:pStyle w:val="naisc"/>
              <w:spacing w:before="0" w:after="0"/>
              <w:jc w:val="both"/>
            </w:pP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20.panta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14.punkts</w:t>
            </w:r>
          </w:p>
          <w:p w:rsidR="007B1268" w:rsidRPr="00FB4812" w:rsidRDefault="007B1268" w:rsidP="007B1268">
            <w:r w:rsidRPr="00FB4812">
              <w:rPr>
                <w:sz w:val="22"/>
                <w:szCs w:val="22"/>
              </w:rPr>
              <w:t>2.pielikuma 3.nodaļa</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20.panta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39.punkts,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21.panta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16.punkts, 40.3.apakšpunkts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21.panta 2.punkta 1.rindkopa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4.nodaļa</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21.panta 2.punkta 2.rindkopa</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2.pielikuma 4.nodaļa</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21.panta 3.punkts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17.punkts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22.panta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22.punkts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22.panta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23.punkts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22.panta 3.punkts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24.punkts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22.panta 4.punkts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26.punkts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23.panta 1.punkts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18., 19.punkts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23.panta 2.punkts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20. un 24.punkts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23.pants 3.punkts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21.punkts, 21.1.apakšpunkts, 25.punkts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7B1268" w:rsidRPr="00FB4812" w:rsidTr="00BA7AAE">
        <w:trPr>
          <w:trHeight w:val="284"/>
          <w:jc w:val="center"/>
        </w:trPr>
        <w:tc>
          <w:tcPr>
            <w:tcW w:w="1696" w:type="dxa"/>
            <w:vAlign w:val="center"/>
          </w:tcPr>
          <w:p w:rsidR="007B1268" w:rsidRPr="00FB4812" w:rsidRDefault="007B1268" w:rsidP="007B1268">
            <w:r w:rsidRPr="00FB4812">
              <w:rPr>
                <w:sz w:val="22"/>
                <w:szCs w:val="22"/>
              </w:rPr>
              <w:t>23.panta 4.punkts</w:t>
            </w:r>
          </w:p>
        </w:tc>
        <w:tc>
          <w:tcPr>
            <w:tcW w:w="2725" w:type="dxa"/>
            <w:vAlign w:val="center"/>
          </w:tcPr>
          <w:p w:rsidR="007B1268" w:rsidRPr="00FB4812" w:rsidRDefault="00BA7AAE" w:rsidP="007B1268">
            <w:r>
              <w:rPr>
                <w:sz w:val="22"/>
                <w:szCs w:val="22"/>
              </w:rPr>
              <w:t xml:space="preserve">Noteikumu Nr.112 </w:t>
            </w:r>
            <w:r w:rsidR="007B1268" w:rsidRPr="00FB4812">
              <w:rPr>
                <w:sz w:val="22"/>
                <w:szCs w:val="22"/>
              </w:rPr>
              <w:t>21.punkts, 21.2.apakšpunkts, 25.punkts</w:t>
            </w:r>
          </w:p>
        </w:tc>
        <w:tc>
          <w:tcPr>
            <w:tcW w:w="1952" w:type="dxa"/>
            <w:vAlign w:val="center"/>
          </w:tcPr>
          <w:p w:rsidR="007B1268" w:rsidRPr="00FB4812" w:rsidRDefault="007B1268" w:rsidP="007B1268">
            <w:pPr>
              <w:ind w:left="57"/>
            </w:pPr>
            <w:r w:rsidRPr="00FB4812">
              <w:rPr>
                <w:sz w:val="22"/>
                <w:szCs w:val="22"/>
              </w:rPr>
              <w:t>pārņemts pilnībā</w:t>
            </w:r>
          </w:p>
        </w:tc>
        <w:tc>
          <w:tcPr>
            <w:tcW w:w="2983" w:type="dxa"/>
            <w:vAlign w:val="center"/>
          </w:tcPr>
          <w:p w:rsidR="007B1268" w:rsidRPr="00FB4812" w:rsidRDefault="007B1268" w:rsidP="007B1268">
            <w:pPr>
              <w:pStyle w:val="naisc"/>
              <w:spacing w:before="0" w:after="0"/>
              <w:jc w:val="both"/>
            </w:pPr>
            <w:r w:rsidRPr="00FB4812">
              <w:rPr>
                <w:sz w:val="22"/>
                <w:szCs w:val="22"/>
              </w:rPr>
              <w:t>netiek pārņemts, paredzot stingrākas vai mazāk stingras prasības</w:t>
            </w:r>
          </w:p>
        </w:tc>
      </w:tr>
      <w:tr w:rsidR="008B7AFC" w:rsidRPr="00FB4812" w:rsidTr="00BA7AAE">
        <w:trPr>
          <w:trHeight w:val="284"/>
          <w:jc w:val="center"/>
        </w:trPr>
        <w:tc>
          <w:tcPr>
            <w:tcW w:w="1696" w:type="dxa"/>
            <w:vAlign w:val="center"/>
          </w:tcPr>
          <w:p w:rsidR="008B7AFC" w:rsidRPr="00FB4812" w:rsidRDefault="008B7AFC" w:rsidP="007B1268">
            <w:r w:rsidRPr="00FB4812">
              <w:rPr>
                <w:sz w:val="22"/>
                <w:szCs w:val="22"/>
              </w:rPr>
              <w:t>24.panta 1.punkts</w:t>
            </w:r>
          </w:p>
        </w:tc>
        <w:tc>
          <w:tcPr>
            <w:tcW w:w="2725" w:type="dxa"/>
            <w:vAlign w:val="center"/>
          </w:tcPr>
          <w:p w:rsidR="008B7AFC" w:rsidRPr="00FB4812" w:rsidRDefault="008B7AFC" w:rsidP="007B1268">
            <w:r>
              <w:rPr>
                <w:sz w:val="22"/>
                <w:szCs w:val="22"/>
              </w:rPr>
              <w:t>noteikumu projekta 2.punkts</w:t>
            </w:r>
          </w:p>
        </w:tc>
        <w:tc>
          <w:tcPr>
            <w:tcW w:w="1952" w:type="dxa"/>
            <w:vAlign w:val="center"/>
          </w:tcPr>
          <w:p w:rsidR="008B7AFC" w:rsidRPr="00FB4812" w:rsidRDefault="008B7AFC" w:rsidP="00F569A9">
            <w:pPr>
              <w:ind w:left="57"/>
            </w:pPr>
            <w:r w:rsidRPr="00FB4812">
              <w:rPr>
                <w:sz w:val="22"/>
                <w:szCs w:val="22"/>
              </w:rPr>
              <w:t>pārņemts pilnībā</w:t>
            </w:r>
          </w:p>
        </w:tc>
        <w:tc>
          <w:tcPr>
            <w:tcW w:w="2983" w:type="dxa"/>
            <w:vAlign w:val="center"/>
          </w:tcPr>
          <w:p w:rsidR="008B7AFC" w:rsidRPr="00FB4812" w:rsidRDefault="008B7AFC" w:rsidP="00F569A9">
            <w:pPr>
              <w:pStyle w:val="naisc"/>
              <w:spacing w:before="0" w:after="0"/>
              <w:jc w:val="both"/>
            </w:pPr>
            <w:r w:rsidRPr="00FB4812">
              <w:rPr>
                <w:sz w:val="22"/>
                <w:szCs w:val="22"/>
              </w:rPr>
              <w:t>netiek pārņemts, paredzot stingrākas vai mazāk stingras prasības</w:t>
            </w:r>
          </w:p>
        </w:tc>
      </w:tr>
      <w:tr w:rsidR="008B7AFC" w:rsidRPr="00FB4812" w:rsidTr="00BA7AAE">
        <w:trPr>
          <w:trHeight w:val="284"/>
          <w:jc w:val="center"/>
        </w:trPr>
        <w:tc>
          <w:tcPr>
            <w:tcW w:w="1696" w:type="dxa"/>
            <w:vAlign w:val="center"/>
          </w:tcPr>
          <w:p w:rsidR="008B7AFC" w:rsidRPr="00FB4812" w:rsidRDefault="008B7AFC" w:rsidP="007B1268">
            <w:r w:rsidRPr="00FB4812">
              <w:rPr>
                <w:sz w:val="22"/>
                <w:szCs w:val="22"/>
              </w:rPr>
              <w:t>24.panta 2.punkts</w:t>
            </w:r>
          </w:p>
        </w:tc>
        <w:tc>
          <w:tcPr>
            <w:tcW w:w="2725" w:type="dxa"/>
            <w:vAlign w:val="center"/>
          </w:tcPr>
          <w:p w:rsidR="008B7AFC" w:rsidRPr="00FB4812" w:rsidRDefault="008B7AFC" w:rsidP="007B1268">
            <w:r>
              <w:rPr>
                <w:sz w:val="22"/>
                <w:szCs w:val="22"/>
              </w:rPr>
              <w:t xml:space="preserve">Noteikumu Nr.112 </w:t>
            </w:r>
            <w:r w:rsidRPr="00FB4812">
              <w:rPr>
                <w:sz w:val="22"/>
                <w:szCs w:val="22"/>
              </w:rPr>
              <w:t>46.1., 46.3.apakšpunkts, 47.punkts</w:t>
            </w:r>
          </w:p>
        </w:tc>
        <w:tc>
          <w:tcPr>
            <w:tcW w:w="1952" w:type="dxa"/>
            <w:vAlign w:val="center"/>
          </w:tcPr>
          <w:p w:rsidR="008B7AFC" w:rsidRPr="00FB4812" w:rsidRDefault="008B7AFC" w:rsidP="007B1268">
            <w:pPr>
              <w:ind w:left="57"/>
            </w:pPr>
            <w:r w:rsidRPr="00FB4812">
              <w:rPr>
                <w:sz w:val="22"/>
                <w:szCs w:val="22"/>
              </w:rPr>
              <w:t>pārņemts pilnībā</w:t>
            </w:r>
          </w:p>
        </w:tc>
        <w:tc>
          <w:tcPr>
            <w:tcW w:w="2983" w:type="dxa"/>
            <w:vAlign w:val="center"/>
          </w:tcPr>
          <w:p w:rsidR="008B7AFC" w:rsidRPr="00FB4812" w:rsidRDefault="008B7AFC" w:rsidP="007B1268">
            <w:pPr>
              <w:pStyle w:val="naisc"/>
              <w:spacing w:before="0" w:after="0"/>
              <w:jc w:val="both"/>
            </w:pPr>
            <w:r w:rsidRPr="00FB4812">
              <w:rPr>
                <w:sz w:val="22"/>
                <w:szCs w:val="22"/>
              </w:rPr>
              <w:t>netiek pārņemts, paredzot stingrākas vai mazāk stingras prasības</w:t>
            </w:r>
          </w:p>
        </w:tc>
      </w:tr>
      <w:tr w:rsidR="008B7AFC" w:rsidRPr="00FB4812" w:rsidTr="00BA7AAE">
        <w:trPr>
          <w:trHeight w:val="284"/>
          <w:jc w:val="center"/>
        </w:trPr>
        <w:tc>
          <w:tcPr>
            <w:tcW w:w="1696" w:type="dxa"/>
            <w:vAlign w:val="center"/>
          </w:tcPr>
          <w:p w:rsidR="008B7AFC" w:rsidRPr="00FB4812" w:rsidRDefault="008B7AFC" w:rsidP="007B1268">
            <w:r w:rsidRPr="00FB4812">
              <w:rPr>
                <w:sz w:val="22"/>
                <w:szCs w:val="22"/>
              </w:rPr>
              <w:t>I pielikums</w:t>
            </w:r>
          </w:p>
        </w:tc>
        <w:tc>
          <w:tcPr>
            <w:tcW w:w="2725" w:type="dxa"/>
            <w:vAlign w:val="center"/>
          </w:tcPr>
          <w:p w:rsidR="008B7AFC" w:rsidRPr="00FB4812" w:rsidRDefault="008B7AFC" w:rsidP="007B1268">
            <w:r>
              <w:rPr>
                <w:sz w:val="22"/>
                <w:szCs w:val="22"/>
              </w:rPr>
              <w:t xml:space="preserve">Noteikumu Nr.112 </w:t>
            </w:r>
            <w:r w:rsidRPr="00FB4812">
              <w:rPr>
                <w:sz w:val="22"/>
                <w:szCs w:val="22"/>
              </w:rPr>
              <w:t xml:space="preserve">3.pielikuma </w:t>
            </w:r>
            <w:proofErr w:type="spellStart"/>
            <w:r w:rsidRPr="00FB4812">
              <w:rPr>
                <w:sz w:val="22"/>
                <w:szCs w:val="22"/>
              </w:rPr>
              <w:t>I.nodaļa</w:t>
            </w:r>
            <w:proofErr w:type="spellEnd"/>
          </w:p>
        </w:tc>
        <w:tc>
          <w:tcPr>
            <w:tcW w:w="1952" w:type="dxa"/>
            <w:vAlign w:val="center"/>
          </w:tcPr>
          <w:p w:rsidR="008B7AFC" w:rsidRPr="00FB4812" w:rsidRDefault="008B7AFC" w:rsidP="007B1268">
            <w:pPr>
              <w:ind w:left="57"/>
            </w:pPr>
            <w:r w:rsidRPr="00FB4812">
              <w:rPr>
                <w:sz w:val="22"/>
                <w:szCs w:val="22"/>
              </w:rPr>
              <w:t>pārņemts pilnībā</w:t>
            </w:r>
          </w:p>
        </w:tc>
        <w:tc>
          <w:tcPr>
            <w:tcW w:w="2983" w:type="dxa"/>
            <w:vAlign w:val="center"/>
          </w:tcPr>
          <w:p w:rsidR="008B7AFC" w:rsidRPr="00FB4812" w:rsidRDefault="008B7AFC" w:rsidP="007B1268">
            <w:pPr>
              <w:pStyle w:val="naisc"/>
              <w:spacing w:before="0" w:after="0"/>
              <w:jc w:val="both"/>
            </w:pPr>
            <w:r w:rsidRPr="00FB4812">
              <w:rPr>
                <w:sz w:val="22"/>
                <w:szCs w:val="22"/>
              </w:rPr>
              <w:t>netiek pārņemts, paredzot stingrākas vai mazāk stingras prasības</w:t>
            </w:r>
          </w:p>
        </w:tc>
      </w:tr>
      <w:tr w:rsidR="008B7AFC" w:rsidRPr="00FB4812" w:rsidTr="00BA7AAE">
        <w:trPr>
          <w:trHeight w:val="284"/>
          <w:jc w:val="center"/>
        </w:trPr>
        <w:tc>
          <w:tcPr>
            <w:tcW w:w="1696" w:type="dxa"/>
            <w:vAlign w:val="center"/>
          </w:tcPr>
          <w:p w:rsidR="008B7AFC" w:rsidRPr="00FB4812" w:rsidRDefault="008B7AFC" w:rsidP="007B1268">
            <w:r w:rsidRPr="00FB4812">
              <w:rPr>
                <w:sz w:val="22"/>
                <w:szCs w:val="22"/>
              </w:rPr>
              <w:t>II pielikums</w:t>
            </w:r>
          </w:p>
        </w:tc>
        <w:tc>
          <w:tcPr>
            <w:tcW w:w="2725" w:type="dxa"/>
            <w:vAlign w:val="center"/>
          </w:tcPr>
          <w:p w:rsidR="008B7AFC" w:rsidRPr="00FB4812" w:rsidRDefault="008B7AFC" w:rsidP="007B1268">
            <w:r>
              <w:rPr>
                <w:sz w:val="22"/>
                <w:szCs w:val="22"/>
              </w:rPr>
              <w:t xml:space="preserve">Noteikumu Nr.112 </w:t>
            </w:r>
            <w:r w:rsidRPr="00FB4812">
              <w:rPr>
                <w:sz w:val="22"/>
                <w:szCs w:val="22"/>
              </w:rPr>
              <w:t xml:space="preserve">3.pielikuma </w:t>
            </w:r>
            <w:proofErr w:type="spellStart"/>
            <w:r w:rsidRPr="00FB4812">
              <w:rPr>
                <w:sz w:val="22"/>
                <w:szCs w:val="22"/>
              </w:rPr>
              <w:t>II.nodaļa</w:t>
            </w:r>
            <w:proofErr w:type="spellEnd"/>
          </w:p>
        </w:tc>
        <w:tc>
          <w:tcPr>
            <w:tcW w:w="1952" w:type="dxa"/>
            <w:vAlign w:val="center"/>
          </w:tcPr>
          <w:p w:rsidR="008B7AFC" w:rsidRPr="00FB4812" w:rsidRDefault="008B7AFC" w:rsidP="007B1268">
            <w:pPr>
              <w:ind w:left="57"/>
            </w:pPr>
            <w:r w:rsidRPr="00FB4812">
              <w:rPr>
                <w:sz w:val="22"/>
                <w:szCs w:val="22"/>
              </w:rPr>
              <w:t>pārņemts pilnībā</w:t>
            </w:r>
          </w:p>
        </w:tc>
        <w:tc>
          <w:tcPr>
            <w:tcW w:w="2983" w:type="dxa"/>
            <w:vAlign w:val="center"/>
          </w:tcPr>
          <w:p w:rsidR="008B7AFC" w:rsidRPr="00FB4812" w:rsidRDefault="008B7AFC" w:rsidP="007B1268">
            <w:pPr>
              <w:pStyle w:val="naisc"/>
              <w:spacing w:before="0" w:after="0"/>
              <w:jc w:val="both"/>
            </w:pPr>
            <w:r w:rsidRPr="00FB4812">
              <w:rPr>
                <w:sz w:val="22"/>
                <w:szCs w:val="22"/>
              </w:rPr>
              <w:t>netiek pārņemts, paredzot stingrākas vai mazāk stingras prasības</w:t>
            </w:r>
          </w:p>
        </w:tc>
      </w:tr>
      <w:tr w:rsidR="008B7AFC" w:rsidRPr="00FB4812" w:rsidTr="00BA7AAE">
        <w:trPr>
          <w:trHeight w:val="284"/>
          <w:jc w:val="center"/>
        </w:trPr>
        <w:tc>
          <w:tcPr>
            <w:tcW w:w="1696" w:type="dxa"/>
            <w:vAlign w:val="center"/>
          </w:tcPr>
          <w:p w:rsidR="008B7AFC" w:rsidRPr="00FB4812" w:rsidRDefault="008B7AFC" w:rsidP="007B1268">
            <w:r w:rsidRPr="00FB4812">
              <w:rPr>
                <w:sz w:val="22"/>
                <w:szCs w:val="22"/>
              </w:rPr>
              <w:t>III pielikums</w:t>
            </w:r>
          </w:p>
        </w:tc>
        <w:tc>
          <w:tcPr>
            <w:tcW w:w="2725" w:type="dxa"/>
            <w:vAlign w:val="center"/>
          </w:tcPr>
          <w:p w:rsidR="008B7AFC" w:rsidRPr="00FB4812" w:rsidRDefault="008B7AFC" w:rsidP="007B1268">
            <w:r>
              <w:rPr>
                <w:sz w:val="22"/>
                <w:szCs w:val="22"/>
              </w:rPr>
              <w:t xml:space="preserve">Noteikumu Nr.112 </w:t>
            </w:r>
            <w:r w:rsidRPr="00FB4812">
              <w:rPr>
                <w:sz w:val="22"/>
                <w:szCs w:val="22"/>
              </w:rPr>
              <w:t xml:space="preserve">1.pielikuma </w:t>
            </w:r>
            <w:proofErr w:type="spellStart"/>
            <w:r w:rsidRPr="00FB4812">
              <w:rPr>
                <w:sz w:val="22"/>
                <w:szCs w:val="22"/>
              </w:rPr>
              <w:t>II.nodaļa</w:t>
            </w:r>
            <w:proofErr w:type="spellEnd"/>
          </w:p>
        </w:tc>
        <w:tc>
          <w:tcPr>
            <w:tcW w:w="1952" w:type="dxa"/>
            <w:vAlign w:val="center"/>
          </w:tcPr>
          <w:p w:rsidR="008B7AFC" w:rsidRPr="00FB4812" w:rsidRDefault="008B7AFC" w:rsidP="007B1268">
            <w:pPr>
              <w:ind w:left="57"/>
            </w:pPr>
            <w:r w:rsidRPr="00FB4812">
              <w:rPr>
                <w:sz w:val="22"/>
                <w:szCs w:val="22"/>
              </w:rPr>
              <w:t>pārņemts pilnībā</w:t>
            </w:r>
          </w:p>
        </w:tc>
        <w:tc>
          <w:tcPr>
            <w:tcW w:w="2983" w:type="dxa"/>
            <w:vAlign w:val="center"/>
          </w:tcPr>
          <w:p w:rsidR="008B7AFC" w:rsidRPr="00FB4812" w:rsidRDefault="008B7AFC" w:rsidP="007B1268">
            <w:pPr>
              <w:pStyle w:val="naisc"/>
              <w:spacing w:before="0" w:after="0"/>
              <w:jc w:val="both"/>
            </w:pPr>
            <w:r w:rsidRPr="00FB4812">
              <w:rPr>
                <w:sz w:val="22"/>
                <w:szCs w:val="22"/>
              </w:rPr>
              <w:t>netiek pārņemts, paredzot stingrākas vai mazāk stingras prasības</w:t>
            </w:r>
          </w:p>
        </w:tc>
      </w:tr>
      <w:tr w:rsidR="008B7AFC" w:rsidRPr="00FB4812" w:rsidTr="00BA7AAE">
        <w:trPr>
          <w:trHeight w:val="284"/>
          <w:jc w:val="center"/>
        </w:trPr>
        <w:tc>
          <w:tcPr>
            <w:tcW w:w="1696" w:type="dxa"/>
            <w:vAlign w:val="center"/>
          </w:tcPr>
          <w:p w:rsidR="008B7AFC" w:rsidRPr="00FB4812" w:rsidRDefault="008B7AFC" w:rsidP="007B1268">
            <w:r w:rsidRPr="00FB4812">
              <w:rPr>
                <w:sz w:val="22"/>
                <w:szCs w:val="22"/>
              </w:rPr>
              <w:t>IV pielikums</w:t>
            </w:r>
          </w:p>
        </w:tc>
        <w:tc>
          <w:tcPr>
            <w:tcW w:w="2725" w:type="dxa"/>
            <w:vAlign w:val="center"/>
          </w:tcPr>
          <w:p w:rsidR="008B7AFC" w:rsidRPr="00FB4812" w:rsidRDefault="008B7AFC" w:rsidP="007B1268">
            <w:r w:rsidRPr="00FB4812">
              <w:rPr>
                <w:sz w:val="22"/>
                <w:szCs w:val="22"/>
              </w:rPr>
              <w:t>nav jāpārņem, jo attiecas uz datiem, kas operatoriem bija jāziņo Iekārtu saraksta emisijas kvotu sadalei 2013.-2020.gadam izstrādes laikā saskaņā ar likuma „Par piesārņojumu” 32.</w:t>
            </w:r>
            <w:r w:rsidRPr="00FB4812">
              <w:rPr>
                <w:sz w:val="22"/>
                <w:szCs w:val="22"/>
                <w:vertAlign w:val="superscript"/>
              </w:rPr>
              <w:t>1</w:t>
            </w:r>
            <w:r w:rsidRPr="00FB4812">
              <w:rPr>
                <w:sz w:val="22"/>
                <w:szCs w:val="22"/>
              </w:rPr>
              <w:t xml:space="preserve"> panta astoto daļu (dati saskaņā ar likuma „Par piesārņojumu” Pārejas noteikumu 31.daļu bija jāiesniedz līdz 2011.gada 15.augustam)</w:t>
            </w:r>
          </w:p>
        </w:tc>
        <w:tc>
          <w:tcPr>
            <w:tcW w:w="1952" w:type="dxa"/>
            <w:vAlign w:val="center"/>
          </w:tcPr>
          <w:p w:rsidR="008B7AFC" w:rsidRPr="00FB4812" w:rsidRDefault="008B7AFC" w:rsidP="007B1268">
            <w:pPr>
              <w:ind w:left="57"/>
            </w:pPr>
          </w:p>
        </w:tc>
        <w:tc>
          <w:tcPr>
            <w:tcW w:w="2983" w:type="dxa"/>
            <w:vAlign w:val="center"/>
          </w:tcPr>
          <w:p w:rsidR="008B7AFC" w:rsidRPr="00FB4812" w:rsidRDefault="008B7AFC" w:rsidP="007B1268">
            <w:pPr>
              <w:pStyle w:val="naisc"/>
              <w:spacing w:before="0" w:after="0"/>
              <w:jc w:val="both"/>
            </w:pPr>
          </w:p>
        </w:tc>
      </w:tr>
      <w:tr w:rsidR="008B7AFC" w:rsidRPr="00FB4812" w:rsidTr="00BA7AAE">
        <w:trPr>
          <w:trHeight w:val="284"/>
          <w:jc w:val="center"/>
        </w:trPr>
        <w:tc>
          <w:tcPr>
            <w:tcW w:w="1696" w:type="dxa"/>
            <w:vAlign w:val="center"/>
          </w:tcPr>
          <w:p w:rsidR="008B7AFC" w:rsidRPr="00FB4812" w:rsidRDefault="008B7AFC" w:rsidP="007B1268">
            <w:r w:rsidRPr="00FB4812">
              <w:rPr>
                <w:sz w:val="22"/>
                <w:szCs w:val="22"/>
              </w:rPr>
              <w:t>V pielikums</w:t>
            </w:r>
          </w:p>
        </w:tc>
        <w:tc>
          <w:tcPr>
            <w:tcW w:w="2725" w:type="dxa"/>
            <w:vAlign w:val="center"/>
          </w:tcPr>
          <w:p w:rsidR="008B7AFC" w:rsidRPr="00FB4812" w:rsidRDefault="008B7AFC" w:rsidP="007B1268">
            <w:r>
              <w:rPr>
                <w:sz w:val="22"/>
                <w:szCs w:val="22"/>
              </w:rPr>
              <w:t xml:space="preserve">Noteikumu Nr.112 </w:t>
            </w:r>
            <w:r w:rsidRPr="00FB4812">
              <w:rPr>
                <w:sz w:val="22"/>
                <w:szCs w:val="22"/>
              </w:rPr>
              <w:t>29.punktā ir noteikts, ka operators visus datus sagatavo, izmantojot Eiropas Komisijas izstrādāto iesnieguma emisijas kvotu grozījumiem veidlapu, kurā šie parametri ir noteikti</w:t>
            </w:r>
          </w:p>
        </w:tc>
        <w:tc>
          <w:tcPr>
            <w:tcW w:w="1952" w:type="dxa"/>
            <w:vAlign w:val="center"/>
          </w:tcPr>
          <w:p w:rsidR="008B7AFC" w:rsidRPr="00FB4812" w:rsidRDefault="008B7AFC" w:rsidP="007B1268">
            <w:pPr>
              <w:ind w:left="57"/>
            </w:pPr>
            <w:r w:rsidRPr="00FB4812">
              <w:rPr>
                <w:sz w:val="22"/>
                <w:szCs w:val="22"/>
              </w:rPr>
              <w:t>pārņemts pilnībā</w:t>
            </w:r>
          </w:p>
        </w:tc>
        <w:tc>
          <w:tcPr>
            <w:tcW w:w="2983" w:type="dxa"/>
            <w:vAlign w:val="center"/>
          </w:tcPr>
          <w:p w:rsidR="008B7AFC" w:rsidRPr="00FB4812" w:rsidRDefault="008B7AFC" w:rsidP="007B1268">
            <w:pPr>
              <w:pStyle w:val="naisc"/>
              <w:spacing w:before="0" w:after="0"/>
              <w:jc w:val="both"/>
            </w:pPr>
            <w:r w:rsidRPr="00FB4812">
              <w:rPr>
                <w:sz w:val="22"/>
                <w:szCs w:val="22"/>
              </w:rPr>
              <w:t>netiek pārņemts, paredzot stingrākas vai mazāk stingras prasības</w:t>
            </w:r>
          </w:p>
        </w:tc>
      </w:tr>
      <w:tr w:rsidR="008B7AFC" w:rsidRPr="00FB4812" w:rsidTr="00F569A9">
        <w:trPr>
          <w:trHeight w:val="284"/>
          <w:jc w:val="center"/>
        </w:trPr>
        <w:tc>
          <w:tcPr>
            <w:tcW w:w="1696" w:type="dxa"/>
            <w:vAlign w:val="center"/>
          </w:tcPr>
          <w:p w:rsidR="008B7AFC" w:rsidRPr="00FB4812" w:rsidRDefault="008B7AFC" w:rsidP="00F569A9">
            <w:r w:rsidRPr="00FB4812">
              <w:rPr>
                <w:sz w:val="22"/>
                <w:szCs w:val="22"/>
              </w:rPr>
              <w:t>VI pielikums</w:t>
            </w:r>
          </w:p>
        </w:tc>
        <w:tc>
          <w:tcPr>
            <w:tcW w:w="2725" w:type="dxa"/>
            <w:vAlign w:val="center"/>
          </w:tcPr>
          <w:p w:rsidR="008B7AFC" w:rsidRPr="00FB4812" w:rsidRDefault="008B7AFC" w:rsidP="00F569A9">
            <w:r>
              <w:rPr>
                <w:sz w:val="22"/>
                <w:szCs w:val="22"/>
              </w:rPr>
              <w:t xml:space="preserve">Noteikumu Nr.112 </w:t>
            </w:r>
            <w:r w:rsidRPr="00FB4812">
              <w:rPr>
                <w:sz w:val="22"/>
                <w:szCs w:val="22"/>
              </w:rPr>
              <w:t>2.pielikuma 2.punkts</w:t>
            </w:r>
          </w:p>
        </w:tc>
        <w:tc>
          <w:tcPr>
            <w:tcW w:w="1952" w:type="dxa"/>
            <w:vAlign w:val="center"/>
          </w:tcPr>
          <w:p w:rsidR="008B7AFC" w:rsidRPr="00FB4812" w:rsidRDefault="008B7AFC" w:rsidP="00F569A9">
            <w:pPr>
              <w:ind w:left="57"/>
            </w:pPr>
            <w:r w:rsidRPr="00FB4812">
              <w:rPr>
                <w:sz w:val="22"/>
                <w:szCs w:val="22"/>
              </w:rPr>
              <w:t>pārņemts pilnībā</w:t>
            </w:r>
          </w:p>
        </w:tc>
        <w:tc>
          <w:tcPr>
            <w:tcW w:w="2983" w:type="dxa"/>
            <w:vAlign w:val="center"/>
          </w:tcPr>
          <w:p w:rsidR="008B7AFC" w:rsidRPr="00FB4812" w:rsidRDefault="008B7AFC" w:rsidP="00F569A9">
            <w:pPr>
              <w:pStyle w:val="naisc"/>
              <w:spacing w:before="0" w:after="0"/>
              <w:jc w:val="both"/>
            </w:pPr>
            <w:r w:rsidRPr="00FB4812">
              <w:rPr>
                <w:sz w:val="22"/>
                <w:szCs w:val="22"/>
              </w:rPr>
              <w:t>netiek pārņemts, paredzot stingrākas vai mazāk stingras prasības</w:t>
            </w:r>
          </w:p>
        </w:tc>
      </w:tr>
      <w:tr w:rsidR="008B7AFC" w:rsidRPr="00FB4812" w:rsidTr="00F569A9">
        <w:trPr>
          <w:trHeight w:val="284"/>
          <w:jc w:val="center"/>
        </w:trPr>
        <w:tc>
          <w:tcPr>
            <w:tcW w:w="1696" w:type="dxa"/>
          </w:tcPr>
          <w:p w:rsidR="008B7AFC" w:rsidRPr="00FB4812" w:rsidRDefault="008B7AFC" w:rsidP="00F569A9">
            <w:r w:rsidRPr="00FB4812">
              <w:rPr>
                <w:sz w:val="22"/>
                <w:szCs w:val="22"/>
              </w:rPr>
              <w:t>Attiecīgā Eiropas Savienības tiesību akta datums, numurs un nosaukums</w:t>
            </w:r>
          </w:p>
        </w:tc>
        <w:tc>
          <w:tcPr>
            <w:tcW w:w="7660" w:type="dxa"/>
            <w:gridSpan w:val="3"/>
          </w:tcPr>
          <w:p w:rsidR="008B7AFC" w:rsidRPr="00FB4812" w:rsidRDefault="008B7AFC" w:rsidP="008B7AFC">
            <w:pPr>
              <w:autoSpaceDE w:val="0"/>
              <w:autoSpaceDN w:val="0"/>
              <w:adjustRightInd w:val="0"/>
              <w:ind w:firstLine="289"/>
              <w:jc w:val="both"/>
              <w:rPr>
                <w:color w:val="000000"/>
                <w:shd w:val="clear" w:color="auto" w:fill="FFFFFF"/>
              </w:rPr>
            </w:pPr>
            <w:r w:rsidRPr="00FB4812">
              <w:rPr>
                <w:color w:val="000000"/>
                <w:sz w:val="22"/>
                <w:szCs w:val="22"/>
                <w:shd w:val="clear" w:color="auto" w:fill="FFFFFF"/>
              </w:rPr>
              <w:t>Eiropas Komisijas 201</w:t>
            </w:r>
            <w:r>
              <w:rPr>
                <w:color w:val="000000"/>
                <w:sz w:val="22"/>
                <w:szCs w:val="22"/>
                <w:shd w:val="clear" w:color="auto" w:fill="FFFFFF"/>
              </w:rPr>
              <w:t>3</w:t>
            </w:r>
            <w:r w:rsidRPr="00FB4812">
              <w:rPr>
                <w:color w:val="000000"/>
                <w:sz w:val="22"/>
                <w:szCs w:val="22"/>
                <w:shd w:val="clear" w:color="auto" w:fill="FFFFFF"/>
              </w:rPr>
              <w:t xml:space="preserve">.gada </w:t>
            </w:r>
            <w:r>
              <w:rPr>
                <w:color w:val="000000"/>
                <w:sz w:val="22"/>
                <w:szCs w:val="22"/>
                <w:shd w:val="clear" w:color="auto" w:fill="FFFFFF"/>
              </w:rPr>
              <w:t>18.decembra lēmums Nr.2014/9/ES, ar ko groza Lēmumu 2010/2/ES un 2011/278/ES attiecībā uz nozarēm un apakšnozarēm, kurās pastāv būtisks oglekļa dioksīda emisiju pārvirzes risks</w:t>
            </w:r>
          </w:p>
        </w:tc>
      </w:tr>
      <w:tr w:rsidR="008B7AFC" w:rsidRPr="00FB4812" w:rsidTr="00F569A9">
        <w:trPr>
          <w:trHeight w:val="284"/>
          <w:jc w:val="center"/>
        </w:trPr>
        <w:tc>
          <w:tcPr>
            <w:tcW w:w="1696" w:type="dxa"/>
          </w:tcPr>
          <w:p w:rsidR="008B7AFC" w:rsidRPr="00FB4812" w:rsidRDefault="008B7AFC" w:rsidP="00F569A9">
            <w:pPr>
              <w:jc w:val="center"/>
            </w:pPr>
            <w:r w:rsidRPr="00FB4812">
              <w:rPr>
                <w:sz w:val="22"/>
                <w:szCs w:val="22"/>
              </w:rPr>
              <w:t>A</w:t>
            </w:r>
          </w:p>
        </w:tc>
        <w:tc>
          <w:tcPr>
            <w:tcW w:w="2725" w:type="dxa"/>
          </w:tcPr>
          <w:p w:rsidR="008B7AFC" w:rsidRPr="00FB4812" w:rsidRDefault="008B7AFC" w:rsidP="00F569A9">
            <w:pPr>
              <w:ind w:left="57"/>
              <w:jc w:val="center"/>
            </w:pPr>
            <w:r w:rsidRPr="00FB4812">
              <w:rPr>
                <w:sz w:val="22"/>
                <w:szCs w:val="22"/>
              </w:rPr>
              <w:t>B</w:t>
            </w:r>
          </w:p>
        </w:tc>
        <w:tc>
          <w:tcPr>
            <w:tcW w:w="1952" w:type="dxa"/>
          </w:tcPr>
          <w:p w:rsidR="008B7AFC" w:rsidRPr="00FB4812" w:rsidRDefault="008B7AFC" w:rsidP="00F569A9">
            <w:pPr>
              <w:ind w:left="57"/>
              <w:jc w:val="center"/>
            </w:pPr>
            <w:r w:rsidRPr="00FB4812">
              <w:rPr>
                <w:sz w:val="22"/>
                <w:szCs w:val="22"/>
              </w:rPr>
              <w:t>C</w:t>
            </w:r>
          </w:p>
        </w:tc>
        <w:tc>
          <w:tcPr>
            <w:tcW w:w="2983" w:type="dxa"/>
          </w:tcPr>
          <w:p w:rsidR="008B7AFC" w:rsidRPr="00FB4812" w:rsidRDefault="008B7AFC" w:rsidP="00F569A9">
            <w:pPr>
              <w:ind w:left="57"/>
              <w:jc w:val="center"/>
            </w:pPr>
            <w:r w:rsidRPr="00FB4812">
              <w:rPr>
                <w:sz w:val="22"/>
                <w:szCs w:val="22"/>
              </w:rPr>
              <w:t>D</w:t>
            </w:r>
          </w:p>
        </w:tc>
      </w:tr>
      <w:tr w:rsidR="008B7AFC" w:rsidRPr="00FB4812" w:rsidTr="00F569A9">
        <w:trPr>
          <w:trHeight w:val="284"/>
          <w:jc w:val="center"/>
        </w:trPr>
        <w:tc>
          <w:tcPr>
            <w:tcW w:w="1696" w:type="dxa"/>
          </w:tcPr>
          <w:p w:rsidR="008B7AFC" w:rsidRPr="00FB4812" w:rsidRDefault="008B7AFC" w:rsidP="00F569A9">
            <w:pPr>
              <w:jc w:val="center"/>
            </w:pPr>
            <w:r>
              <w:rPr>
                <w:sz w:val="22"/>
                <w:szCs w:val="22"/>
              </w:rPr>
              <w:t>1.pants</w:t>
            </w:r>
          </w:p>
        </w:tc>
        <w:tc>
          <w:tcPr>
            <w:tcW w:w="2725" w:type="dxa"/>
          </w:tcPr>
          <w:p w:rsidR="008B7AFC" w:rsidRPr="00FB4812" w:rsidRDefault="008B7AFC" w:rsidP="008B7AFC">
            <w:pPr>
              <w:ind w:left="57"/>
            </w:pPr>
            <w:r>
              <w:rPr>
                <w:sz w:val="22"/>
                <w:szCs w:val="22"/>
              </w:rPr>
              <w:t>nav jāpārņem, jo nosaka, ka lēmumu 2010/2/ES pielikumu groza saskaņā ar šī lēmuma I pielikumu</w:t>
            </w:r>
          </w:p>
        </w:tc>
        <w:tc>
          <w:tcPr>
            <w:tcW w:w="1952" w:type="dxa"/>
          </w:tcPr>
          <w:p w:rsidR="008B7AFC" w:rsidRPr="00FB4812" w:rsidRDefault="008B7AFC" w:rsidP="00F569A9">
            <w:pPr>
              <w:ind w:left="57"/>
              <w:jc w:val="center"/>
            </w:pPr>
          </w:p>
        </w:tc>
        <w:tc>
          <w:tcPr>
            <w:tcW w:w="2983" w:type="dxa"/>
          </w:tcPr>
          <w:p w:rsidR="008B7AFC" w:rsidRPr="00FB4812" w:rsidRDefault="008B7AFC" w:rsidP="00F569A9">
            <w:pPr>
              <w:ind w:left="57"/>
              <w:jc w:val="center"/>
            </w:pPr>
          </w:p>
        </w:tc>
      </w:tr>
      <w:tr w:rsidR="008B7AFC" w:rsidRPr="00FB4812" w:rsidTr="00F569A9">
        <w:trPr>
          <w:trHeight w:val="284"/>
          <w:jc w:val="center"/>
        </w:trPr>
        <w:tc>
          <w:tcPr>
            <w:tcW w:w="1696" w:type="dxa"/>
          </w:tcPr>
          <w:p w:rsidR="008B7AFC" w:rsidRPr="00FB4812" w:rsidRDefault="008B7AFC" w:rsidP="00F569A9">
            <w:pPr>
              <w:jc w:val="center"/>
            </w:pPr>
            <w:r>
              <w:rPr>
                <w:sz w:val="22"/>
                <w:szCs w:val="22"/>
              </w:rPr>
              <w:t>2.pants</w:t>
            </w:r>
          </w:p>
        </w:tc>
        <w:tc>
          <w:tcPr>
            <w:tcW w:w="2725" w:type="dxa"/>
          </w:tcPr>
          <w:p w:rsidR="008B7AFC" w:rsidRPr="00FB4812" w:rsidRDefault="008B7AFC" w:rsidP="008B7AFC">
            <w:pPr>
              <w:ind w:left="57"/>
            </w:pPr>
            <w:r>
              <w:rPr>
                <w:sz w:val="22"/>
                <w:szCs w:val="22"/>
              </w:rPr>
              <w:t>nav jāpārņem, jo nosaka, ka lēmumu 2011/278/ES pielikumu groza saskaņā ar šī lēmuma II pielikumu</w:t>
            </w:r>
          </w:p>
        </w:tc>
        <w:tc>
          <w:tcPr>
            <w:tcW w:w="1952" w:type="dxa"/>
          </w:tcPr>
          <w:p w:rsidR="008B7AFC" w:rsidRPr="00FB4812" w:rsidRDefault="008B7AFC" w:rsidP="00F569A9">
            <w:pPr>
              <w:ind w:left="57"/>
              <w:jc w:val="center"/>
            </w:pPr>
          </w:p>
        </w:tc>
        <w:tc>
          <w:tcPr>
            <w:tcW w:w="2983" w:type="dxa"/>
          </w:tcPr>
          <w:p w:rsidR="008B7AFC" w:rsidRPr="00FB4812" w:rsidRDefault="008B7AFC" w:rsidP="00F569A9">
            <w:pPr>
              <w:ind w:left="57"/>
              <w:jc w:val="center"/>
            </w:pPr>
          </w:p>
        </w:tc>
      </w:tr>
      <w:tr w:rsidR="008B7AFC" w:rsidRPr="00FB4812" w:rsidTr="00F569A9">
        <w:trPr>
          <w:trHeight w:val="284"/>
          <w:jc w:val="center"/>
        </w:trPr>
        <w:tc>
          <w:tcPr>
            <w:tcW w:w="1696" w:type="dxa"/>
          </w:tcPr>
          <w:p w:rsidR="008B7AFC" w:rsidRPr="00FB4812" w:rsidRDefault="008B7AFC" w:rsidP="00F569A9">
            <w:pPr>
              <w:jc w:val="center"/>
            </w:pPr>
            <w:r>
              <w:rPr>
                <w:sz w:val="22"/>
                <w:szCs w:val="22"/>
              </w:rPr>
              <w:t>I pielikums</w:t>
            </w:r>
          </w:p>
        </w:tc>
        <w:tc>
          <w:tcPr>
            <w:tcW w:w="2725" w:type="dxa"/>
          </w:tcPr>
          <w:p w:rsidR="008B7AFC" w:rsidRDefault="008B7AFC" w:rsidP="008B7AFC">
            <w:pPr>
              <w:ind w:left="57"/>
            </w:pPr>
            <w:r>
              <w:rPr>
                <w:sz w:val="22"/>
                <w:szCs w:val="22"/>
              </w:rPr>
              <w:t>nav jāpārņem, jo attiecas uz to nozaru, kurās pastāv nozīmīgs oglekļa dioksīda pārvirzes risks, sarakstu.</w:t>
            </w:r>
          </w:p>
          <w:p w:rsidR="008B7AFC" w:rsidRPr="00FB4812" w:rsidRDefault="008B7AFC" w:rsidP="008B7AFC">
            <w:pPr>
              <w:ind w:left="57"/>
            </w:pPr>
            <w:r>
              <w:rPr>
                <w:sz w:val="22"/>
                <w:szCs w:val="22"/>
              </w:rPr>
              <w:t>Saraksts ir adresēts dalībvalstīm un tieši piemērojams</w:t>
            </w:r>
          </w:p>
        </w:tc>
        <w:tc>
          <w:tcPr>
            <w:tcW w:w="1952" w:type="dxa"/>
          </w:tcPr>
          <w:p w:rsidR="008B7AFC" w:rsidRPr="00FB4812" w:rsidRDefault="008B7AFC" w:rsidP="00F569A9">
            <w:pPr>
              <w:ind w:left="57"/>
              <w:jc w:val="center"/>
            </w:pPr>
          </w:p>
        </w:tc>
        <w:tc>
          <w:tcPr>
            <w:tcW w:w="2983" w:type="dxa"/>
          </w:tcPr>
          <w:p w:rsidR="008B7AFC" w:rsidRPr="00FB4812" w:rsidRDefault="008B7AFC" w:rsidP="00F569A9">
            <w:pPr>
              <w:ind w:left="57"/>
              <w:jc w:val="center"/>
            </w:pPr>
          </w:p>
        </w:tc>
      </w:tr>
      <w:tr w:rsidR="008B7AFC" w:rsidRPr="00FB4812" w:rsidTr="00F569A9">
        <w:trPr>
          <w:trHeight w:val="284"/>
          <w:jc w:val="center"/>
        </w:trPr>
        <w:tc>
          <w:tcPr>
            <w:tcW w:w="1696" w:type="dxa"/>
          </w:tcPr>
          <w:p w:rsidR="008B7AFC" w:rsidRPr="00FB4812" w:rsidRDefault="008B7AFC" w:rsidP="00F569A9">
            <w:pPr>
              <w:jc w:val="center"/>
            </w:pPr>
            <w:r>
              <w:rPr>
                <w:sz w:val="22"/>
                <w:szCs w:val="22"/>
              </w:rPr>
              <w:t>II pielikums</w:t>
            </w:r>
          </w:p>
        </w:tc>
        <w:tc>
          <w:tcPr>
            <w:tcW w:w="2725" w:type="dxa"/>
          </w:tcPr>
          <w:p w:rsidR="008B7AFC" w:rsidRPr="00FB4812" w:rsidRDefault="008B7AFC" w:rsidP="009A494A">
            <w:pPr>
              <w:ind w:left="57"/>
            </w:pPr>
            <w:r>
              <w:rPr>
                <w:sz w:val="22"/>
                <w:szCs w:val="22"/>
              </w:rPr>
              <w:t xml:space="preserve">noteikumu projekta 3. </w:t>
            </w:r>
            <w:r w:rsidR="009A494A">
              <w:rPr>
                <w:sz w:val="22"/>
                <w:szCs w:val="22"/>
              </w:rPr>
              <w:t>u</w:t>
            </w:r>
            <w:r>
              <w:rPr>
                <w:sz w:val="22"/>
                <w:szCs w:val="22"/>
              </w:rPr>
              <w:t>n 4.punkts</w:t>
            </w:r>
          </w:p>
        </w:tc>
        <w:tc>
          <w:tcPr>
            <w:tcW w:w="1952" w:type="dxa"/>
          </w:tcPr>
          <w:p w:rsidR="008B7AFC" w:rsidRPr="00FB4812" w:rsidRDefault="008B7AFC" w:rsidP="00F569A9">
            <w:pPr>
              <w:ind w:left="57"/>
              <w:jc w:val="center"/>
            </w:pPr>
          </w:p>
        </w:tc>
        <w:tc>
          <w:tcPr>
            <w:tcW w:w="2983" w:type="dxa"/>
          </w:tcPr>
          <w:p w:rsidR="008B7AFC" w:rsidRPr="00FB4812" w:rsidRDefault="008B7AFC" w:rsidP="00F569A9">
            <w:pPr>
              <w:ind w:left="57"/>
              <w:jc w:val="center"/>
            </w:pPr>
          </w:p>
        </w:tc>
      </w:tr>
      <w:tr w:rsidR="008B7AFC" w:rsidRPr="00FB4812" w:rsidTr="00BA7AAE">
        <w:trPr>
          <w:trHeight w:val="284"/>
          <w:jc w:val="center"/>
        </w:trPr>
        <w:tc>
          <w:tcPr>
            <w:tcW w:w="1696" w:type="dxa"/>
          </w:tcPr>
          <w:p w:rsidR="008B7AFC" w:rsidRPr="00FB4812" w:rsidRDefault="008B7AFC" w:rsidP="007B1268">
            <w:pPr>
              <w:pStyle w:val="naisc"/>
              <w:spacing w:before="0" w:after="0"/>
              <w:jc w:val="both"/>
            </w:pPr>
            <w:r w:rsidRPr="00FB4812">
              <w:rPr>
                <w:sz w:val="22"/>
                <w:szCs w:val="22"/>
              </w:rPr>
              <w:t>Kā ir izmantota ES tiesību aktā paredzētā rīcības brīvība dalībvalstij pārņemt vai ieviest noteiktas ES tiesību akta normas?</w:t>
            </w:r>
          </w:p>
          <w:p w:rsidR="008B7AFC" w:rsidRPr="00FB4812" w:rsidRDefault="008B7AFC" w:rsidP="007B1268">
            <w:pPr>
              <w:ind w:left="57"/>
            </w:pPr>
            <w:r w:rsidRPr="00FB4812">
              <w:rPr>
                <w:sz w:val="22"/>
                <w:szCs w:val="22"/>
              </w:rPr>
              <w:t>Kādēļ?</w:t>
            </w:r>
            <w:r w:rsidRPr="00FB4812">
              <w:rPr>
                <w:sz w:val="22"/>
                <w:szCs w:val="22"/>
              </w:rPr>
              <w:tab/>
            </w:r>
          </w:p>
        </w:tc>
        <w:tc>
          <w:tcPr>
            <w:tcW w:w="7660" w:type="dxa"/>
            <w:gridSpan w:val="3"/>
          </w:tcPr>
          <w:p w:rsidR="008B7AFC" w:rsidRDefault="008B7AFC" w:rsidP="007B1268">
            <w:pPr>
              <w:pStyle w:val="naisc"/>
              <w:spacing w:before="0" w:after="0"/>
              <w:jc w:val="both"/>
            </w:pPr>
            <w:r w:rsidRPr="00FB4812">
              <w:rPr>
                <w:sz w:val="22"/>
                <w:szCs w:val="22"/>
              </w:rPr>
              <w:t>Dalībvalstīm netiek paredzēta rīcības brīvība un visas Direktīvu tiesību normas, kas attiecas uz Eiropas Savienības dalībvalstu kompetenci, ir ieviešamas un izpildāmas.</w:t>
            </w:r>
          </w:p>
          <w:p w:rsidR="00F569A9" w:rsidRPr="00FB4812" w:rsidRDefault="009A494A" w:rsidP="009A494A">
            <w:pPr>
              <w:pStyle w:val="naisc"/>
              <w:spacing w:before="0" w:after="0"/>
              <w:jc w:val="both"/>
            </w:pPr>
            <w:r>
              <w:rPr>
                <w:sz w:val="22"/>
                <w:szCs w:val="22"/>
              </w:rPr>
              <w:t>Tomēr, lai gan L</w:t>
            </w:r>
            <w:r w:rsidR="008B7AFC">
              <w:rPr>
                <w:sz w:val="22"/>
                <w:szCs w:val="22"/>
              </w:rPr>
              <w:t>ēmuma Nr.</w:t>
            </w:r>
            <w:r w:rsidR="00D75BF4">
              <w:rPr>
                <w:sz w:val="22"/>
                <w:szCs w:val="22"/>
              </w:rPr>
              <w:t xml:space="preserve"> </w:t>
            </w:r>
            <w:r w:rsidR="008B7AFC">
              <w:rPr>
                <w:sz w:val="22"/>
                <w:szCs w:val="22"/>
              </w:rPr>
              <w:t>2011/278/ES</w:t>
            </w:r>
            <w:r w:rsidR="00D75BF4">
              <w:rPr>
                <w:sz w:val="22"/>
                <w:szCs w:val="22"/>
              </w:rPr>
              <w:t xml:space="preserve"> 24.pantā ir noteikts, ka operators sniedz informāciju par jebkādām jaudas un darbības izmaiņām līdz katra gada 31.decembrim, n</w:t>
            </w:r>
            <w:r>
              <w:rPr>
                <w:sz w:val="22"/>
                <w:szCs w:val="22"/>
              </w:rPr>
              <w:t>oteikumu projektā tiek</w:t>
            </w:r>
            <w:r w:rsidR="00D75BF4">
              <w:rPr>
                <w:sz w:val="22"/>
                <w:szCs w:val="22"/>
              </w:rPr>
              <w:t xml:space="preserve"> noteikts</w:t>
            </w:r>
            <w:r w:rsidR="00F569A9">
              <w:rPr>
                <w:sz w:val="22"/>
                <w:szCs w:val="22"/>
              </w:rPr>
              <w:t>, ka operators šo informāciju sniedz līdz katra gada</w:t>
            </w:r>
            <w:r w:rsidR="005A1398">
              <w:rPr>
                <w:sz w:val="22"/>
                <w:szCs w:val="22"/>
              </w:rPr>
              <w:t xml:space="preserve"> 31.janvārim, bet ne vēlāk kā līdz nākamā gada</w:t>
            </w:r>
            <w:r w:rsidR="00F569A9">
              <w:rPr>
                <w:sz w:val="22"/>
                <w:szCs w:val="22"/>
              </w:rPr>
              <w:t xml:space="preserve"> 20.janvārim.</w:t>
            </w:r>
            <w:r w:rsidR="00B533B9">
              <w:rPr>
                <w:sz w:val="22"/>
                <w:szCs w:val="22"/>
              </w:rPr>
              <w:t xml:space="preserve"> </w:t>
            </w:r>
            <w:r w:rsidR="00F569A9">
              <w:rPr>
                <w:sz w:val="22"/>
                <w:szCs w:val="22"/>
              </w:rPr>
              <w:t>Šāds nosacījums tiek noteikts, ņemot vērā operatoru viedokli</w:t>
            </w:r>
            <w:r>
              <w:rPr>
                <w:sz w:val="22"/>
                <w:szCs w:val="22"/>
              </w:rPr>
              <w:t>, kā arī to, ka informācijas iesniegšana uz 31.decembri varētu būt pietiekami nepilnīga (katlu mājas šajā laikā tiek darbinātas uz pilnu slodzi</w:t>
            </w:r>
            <w:r w:rsidR="00C75D15">
              <w:rPr>
                <w:sz w:val="22"/>
                <w:szCs w:val="22"/>
              </w:rPr>
              <w:t>, un darbības līmenis var būtiski mainīties dienas laikā).</w:t>
            </w:r>
          </w:p>
        </w:tc>
      </w:tr>
      <w:tr w:rsidR="008B7AFC" w:rsidRPr="00FB4812" w:rsidTr="00BA7AAE">
        <w:trPr>
          <w:trHeight w:val="284"/>
          <w:jc w:val="center"/>
        </w:trPr>
        <w:tc>
          <w:tcPr>
            <w:tcW w:w="1696" w:type="dxa"/>
          </w:tcPr>
          <w:p w:rsidR="008B7AFC" w:rsidRPr="00FB4812" w:rsidRDefault="008B7AFC" w:rsidP="007B1268">
            <w:pPr>
              <w:ind w:left="57"/>
            </w:pPr>
            <w:r w:rsidRPr="00FB4812">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660" w:type="dxa"/>
            <w:gridSpan w:val="3"/>
          </w:tcPr>
          <w:p w:rsidR="008B7AFC" w:rsidRPr="00FB4812" w:rsidRDefault="008B7AFC" w:rsidP="007B1268">
            <w:pPr>
              <w:pStyle w:val="naisc"/>
              <w:spacing w:before="0" w:after="0"/>
              <w:ind w:firstLine="266"/>
              <w:jc w:val="both"/>
            </w:pPr>
          </w:p>
        </w:tc>
      </w:tr>
      <w:tr w:rsidR="008B7AFC" w:rsidRPr="00FB4812" w:rsidTr="00BA7AAE">
        <w:trPr>
          <w:trHeight w:val="284"/>
          <w:jc w:val="center"/>
        </w:trPr>
        <w:tc>
          <w:tcPr>
            <w:tcW w:w="1696" w:type="dxa"/>
          </w:tcPr>
          <w:p w:rsidR="008B7AFC" w:rsidRPr="00FB4812" w:rsidRDefault="008B7AFC" w:rsidP="007B1268">
            <w:pPr>
              <w:ind w:left="57"/>
            </w:pPr>
            <w:r w:rsidRPr="00FB4812">
              <w:rPr>
                <w:sz w:val="22"/>
                <w:szCs w:val="22"/>
              </w:rPr>
              <w:t>Cita informācija</w:t>
            </w:r>
          </w:p>
        </w:tc>
        <w:tc>
          <w:tcPr>
            <w:tcW w:w="7660" w:type="dxa"/>
            <w:gridSpan w:val="3"/>
          </w:tcPr>
          <w:p w:rsidR="008B7AFC" w:rsidRPr="00FB4812" w:rsidRDefault="008B7AFC" w:rsidP="007B1268">
            <w:pPr>
              <w:pStyle w:val="naisc"/>
              <w:spacing w:before="0" w:after="0"/>
              <w:ind w:firstLine="266"/>
              <w:jc w:val="both"/>
            </w:pPr>
            <w:r w:rsidRPr="00FB4812">
              <w:rPr>
                <w:iCs/>
                <w:sz w:val="22"/>
                <w:szCs w:val="22"/>
                <w:lang w:val="de-DE"/>
              </w:rPr>
              <w:t>Nav</w:t>
            </w:r>
          </w:p>
        </w:tc>
      </w:tr>
      <w:tr w:rsidR="008B7AFC" w:rsidRPr="00FB4812" w:rsidTr="00BA7AAE">
        <w:trPr>
          <w:trHeight w:val="284"/>
          <w:jc w:val="center"/>
        </w:trPr>
        <w:tc>
          <w:tcPr>
            <w:tcW w:w="9356" w:type="dxa"/>
            <w:gridSpan w:val="4"/>
          </w:tcPr>
          <w:p w:rsidR="008B7AFC" w:rsidRPr="00FB4812" w:rsidRDefault="008B7AFC" w:rsidP="007B1268">
            <w:pPr>
              <w:pStyle w:val="naisc"/>
              <w:spacing w:before="0" w:after="0"/>
              <w:ind w:firstLine="266"/>
              <w:rPr>
                <w:b/>
              </w:rPr>
            </w:pPr>
            <w:r w:rsidRPr="00FB4812">
              <w:rPr>
                <w:b/>
              </w:rPr>
              <w:t>2.tabula</w:t>
            </w:r>
          </w:p>
          <w:p w:rsidR="008B7AFC" w:rsidRPr="00FB4812" w:rsidRDefault="008B7AFC" w:rsidP="007B1268">
            <w:pPr>
              <w:pStyle w:val="naisc"/>
              <w:spacing w:before="0" w:after="0"/>
              <w:ind w:firstLine="266"/>
              <w:rPr>
                <w:b/>
              </w:rPr>
            </w:pPr>
            <w:r w:rsidRPr="00FB4812">
              <w:rPr>
                <w:b/>
                <w:sz w:val="22"/>
                <w:szCs w:val="22"/>
              </w:rPr>
              <w:t>Ar tiesību akta projektu izpildītās vai uzņemtās saistības, kas izriet no starptautiskajiem tiesību aktiem vai starptautiskas institūcijas vai organizācijas dokumentiem.</w:t>
            </w:r>
          </w:p>
          <w:p w:rsidR="008B7AFC" w:rsidRPr="00FB4812" w:rsidRDefault="008B7AFC" w:rsidP="007B1268">
            <w:pPr>
              <w:pStyle w:val="naisc"/>
              <w:spacing w:before="0" w:after="0"/>
              <w:ind w:firstLine="266"/>
              <w:rPr>
                <w:i/>
              </w:rPr>
            </w:pPr>
            <w:r w:rsidRPr="00FB4812">
              <w:rPr>
                <w:b/>
                <w:sz w:val="22"/>
                <w:szCs w:val="22"/>
              </w:rPr>
              <w:t>Pasākumi šo saistību izpildei</w:t>
            </w:r>
          </w:p>
        </w:tc>
      </w:tr>
      <w:tr w:rsidR="008B7AFC" w:rsidRPr="00FB4812" w:rsidTr="00BA7AAE">
        <w:trPr>
          <w:trHeight w:val="284"/>
          <w:jc w:val="center"/>
        </w:trPr>
        <w:tc>
          <w:tcPr>
            <w:tcW w:w="9356" w:type="dxa"/>
            <w:gridSpan w:val="4"/>
          </w:tcPr>
          <w:p w:rsidR="008B7AFC" w:rsidRPr="00FB4812" w:rsidRDefault="008B7AFC" w:rsidP="007B1268">
            <w:pPr>
              <w:pStyle w:val="naisc"/>
              <w:ind w:firstLine="266"/>
              <w:jc w:val="both"/>
            </w:pPr>
            <w:r w:rsidRPr="00FB4812">
              <w:rPr>
                <w:sz w:val="22"/>
                <w:szCs w:val="22"/>
              </w:rPr>
              <w:t>Projekts šo jomu neskar</w:t>
            </w:r>
          </w:p>
        </w:tc>
      </w:tr>
    </w:tbl>
    <w:p w:rsidR="007B1268" w:rsidRDefault="007B1268" w:rsidP="0045163C">
      <w:pPr>
        <w:spacing w:before="120" w:after="120"/>
        <w:rPr>
          <w:b/>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C02911" w:rsidRPr="0045163C" w:rsidTr="007B126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1268" w:rsidRPr="004225C8" w:rsidRDefault="00C02911" w:rsidP="0045163C">
            <w:pPr>
              <w:spacing w:after="60"/>
              <w:jc w:val="center"/>
              <w:rPr>
                <w:b/>
                <w:bCs/>
                <w:color w:val="000000" w:themeColor="text1"/>
              </w:rPr>
            </w:pPr>
            <w:r w:rsidRPr="004225C8">
              <w:rPr>
                <w:b/>
                <w:bCs/>
                <w:color w:val="000000" w:themeColor="text1"/>
              </w:rPr>
              <w:t>VI. Sabiedrības līdzdalība un komunikācijas aktivitātes</w:t>
            </w:r>
          </w:p>
        </w:tc>
      </w:tr>
      <w:tr w:rsidR="00C02911" w:rsidRPr="0045163C" w:rsidTr="007B126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1.</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C75D15">
            <w:pPr>
              <w:spacing w:after="60"/>
              <w:jc w:val="both"/>
              <w:rPr>
                <w:color w:val="000000" w:themeColor="text1"/>
              </w:rPr>
            </w:pPr>
            <w:r w:rsidRPr="0045163C">
              <w:rPr>
                <w:color w:val="000000" w:themeColor="text1"/>
              </w:rPr>
              <w:t xml:space="preserve">Noteikumu projekts ievietots publiskai apspriešanai Vides aizsardzības un reģionālās attīstības ministrijas tīmekļa </w:t>
            </w:r>
            <w:r w:rsidRPr="00606A96">
              <w:rPr>
                <w:color w:val="000000" w:themeColor="text1"/>
              </w:rPr>
              <w:t xml:space="preserve">vietnē </w:t>
            </w:r>
            <w:hyperlink r:id="rId7" w:history="1">
              <w:r w:rsidR="00D63E7E" w:rsidRPr="00277269">
                <w:rPr>
                  <w:rStyle w:val="Hyperlink"/>
                </w:rPr>
                <w:t>www.varam.gov.lv</w:t>
              </w:r>
            </w:hyperlink>
            <w:r w:rsidR="00454350">
              <w:rPr>
                <w:color w:val="000000" w:themeColor="text1"/>
              </w:rPr>
              <w:t xml:space="preserve"> </w:t>
            </w:r>
            <w:r w:rsidRPr="00606A96">
              <w:rPr>
                <w:color w:val="000000" w:themeColor="text1"/>
              </w:rPr>
              <w:t>201</w:t>
            </w:r>
            <w:r w:rsidR="0045163C" w:rsidRPr="00606A96">
              <w:rPr>
                <w:color w:val="000000" w:themeColor="text1"/>
              </w:rPr>
              <w:t>4</w:t>
            </w:r>
            <w:r w:rsidRPr="00606A96">
              <w:rPr>
                <w:color w:val="000000" w:themeColor="text1"/>
              </w:rPr>
              <w:t xml:space="preserve">.gada </w:t>
            </w:r>
            <w:r w:rsidR="00606A96" w:rsidRPr="00606A96">
              <w:rPr>
                <w:color w:val="000000" w:themeColor="text1"/>
              </w:rPr>
              <w:t>4</w:t>
            </w:r>
            <w:r w:rsidRPr="00606A96">
              <w:rPr>
                <w:color w:val="000000" w:themeColor="text1"/>
              </w:rPr>
              <w:t>.</w:t>
            </w:r>
            <w:r w:rsidR="00FA036C" w:rsidRPr="00606A96">
              <w:rPr>
                <w:color w:val="000000" w:themeColor="text1"/>
              </w:rPr>
              <w:t>februārī</w:t>
            </w:r>
            <w:r w:rsidRPr="00606A96">
              <w:rPr>
                <w:color w:val="000000" w:themeColor="text1"/>
              </w:rPr>
              <w:t>.</w:t>
            </w:r>
          </w:p>
        </w:tc>
      </w:tr>
      <w:tr w:rsidR="00C02911" w:rsidRPr="0045163C" w:rsidTr="007B126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2.</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5163C">
              <w:rPr>
                <w:color w:val="000000" w:themeColor="text1"/>
                <w:lang w:eastAsia="en-US"/>
              </w:rPr>
              <w:t>Projekts šo jomu neskar.</w:t>
            </w:r>
          </w:p>
        </w:tc>
      </w:tr>
      <w:tr w:rsidR="00C02911" w:rsidRPr="0045163C" w:rsidTr="007B126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3.</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C75D15">
            <w:pPr>
              <w:spacing w:after="60"/>
              <w:jc w:val="both"/>
              <w:rPr>
                <w:color w:val="000000" w:themeColor="text1"/>
              </w:rPr>
            </w:pPr>
            <w:r w:rsidRPr="0045163C">
              <w:rPr>
                <w:color w:val="000000" w:themeColor="text1"/>
                <w:lang w:eastAsia="en-US"/>
              </w:rPr>
              <w:t>Pēc noteikumu projekta ievietošanas tīmekļa vietnē tika saņemti priekšlikumi par noteikumu projektu</w:t>
            </w:r>
            <w:r w:rsidR="0022299B">
              <w:rPr>
                <w:color w:val="000000" w:themeColor="text1"/>
                <w:lang w:eastAsia="en-US"/>
              </w:rPr>
              <w:t xml:space="preserve"> no Emisijas kvotu tirdzniecības sistēmas darbību akr</w:t>
            </w:r>
            <w:r w:rsidR="00684116">
              <w:rPr>
                <w:color w:val="000000" w:themeColor="text1"/>
                <w:lang w:eastAsia="en-US"/>
              </w:rPr>
              <w:t>e</w:t>
            </w:r>
            <w:r w:rsidR="0022299B">
              <w:rPr>
                <w:color w:val="000000" w:themeColor="text1"/>
                <w:lang w:eastAsia="en-US"/>
              </w:rPr>
              <w:t>d</w:t>
            </w:r>
            <w:r w:rsidR="00684116">
              <w:rPr>
                <w:color w:val="000000" w:themeColor="text1"/>
                <w:lang w:eastAsia="en-US"/>
              </w:rPr>
              <w:t>it</w:t>
            </w:r>
            <w:r w:rsidR="0022299B">
              <w:rPr>
                <w:color w:val="000000" w:themeColor="text1"/>
                <w:lang w:eastAsia="en-US"/>
              </w:rPr>
              <w:t>ētiem verificētājiem – SIA „</w:t>
            </w:r>
            <w:proofErr w:type="spellStart"/>
            <w:r w:rsidR="0022299B">
              <w:rPr>
                <w:color w:val="000000" w:themeColor="text1"/>
                <w:lang w:eastAsia="en-US"/>
              </w:rPr>
              <w:t>Bureau</w:t>
            </w:r>
            <w:proofErr w:type="spellEnd"/>
            <w:r w:rsidR="0022299B">
              <w:rPr>
                <w:color w:val="000000" w:themeColor="text1"/>
                <w:lang w:eastAsia="en-US"/>
              </w:rPr>
              <w:t xml:space="preserve"> Veritas Latvija”, iekļaut nosacījumu, ka </w:t>
            </w:r>
            <w:r w:rsidR="00B533B9">
              <w:rPr>
                <w:color w:val="000000" w:themeColor="text1"/>
                <w:lang w:eastAsia="en-US"/>
              </w:rPr>
              <w:t xml:space="preserve">visi </w:t>
            </w:r>
            <w:r w:rsidR="0022299B">
              <w:rPr>
                <w:color w:val="000000" w:themeColor="text1"/>
                <w:lang w:eastAsia="en-US"/>
              </w:rPr>
              <w:t>operatori katru gadu sniedz informāciju par darbības līmeņu un jaudas izmaiņām (ir vai nav notikušas) nevis</w:t>
            </w:r>
            <w:r w:rsidR="00B533B9">
              <w:rPr>
                <w:color w:val="000000" w:themeColor="text1"/>
                <w:lang w:eastAsia="en-US"/>
              </w:rPr>
              <w:t xml:space="preserve"> nosacījumu, ka iesniegumu emisijas kvotu apjoma grozījumiem iesniedz operatori, kuru iekārtās šādas izmaiņas ir notikušas un tās ir </w:t>
            </w:r>
            <w:proofErr w:type="spellStart"/>
            <w:r w:rsidR="00B533B9">
              <w:rPr>
                <w:color w:val="000000" w:themeColor="text1"/>
                <w:lang w:eastAsia="en-US"/>
              </w:rPr>
              <w:t>rezultējušās</w:t>
            </w:r>
            <w:proofErr w:type="spellEnd"/>
            <w:r w:rsidR="00B533B9">
              <w:rPr>
                <w:color w:val="000000" w:themeColor="text1"/>
                <w:lang w:eastAsia="en-US"/>
              </w:rPr>
              <w:t xml:space="preserve"> emisijas kvotu apjoma izmaiņās.</w:t>
            </w:r>
          </w:p>
        </w:tc>
      </w:tr>
      <w:tr w:rsidR="00C02911" w:rsidRPr="0045163C" w:rsidTr="007B126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4.</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7B1268" w:rsidRPr="004225C8" w:rsidRDefault="00C02911" w:rsidP="0045163C">
            <w:pPr>
              <w:spacing w:after="60"/>
              <w:rPr>
                <w:color w:val="000000" w:themeColor="text1"/>
              </w:rPr>
            </w:pPr>
            <w:r w:rsidRPr="0045163C">
              <w:rPr>
                <w:color w:val="000000" w:themeColor="text1"/>
              </w:rPr>
              <w:t>Nav</w:t>
            </w:r>
          </w:p>
        </w:tc>
      </w:tr>
    </w:tbl>
    <w:p w:rsidR="00C02911" w:rsidRDefault="00C02911" w:rsidP="0045163C">
      <w:pPr>
        <w:pStyle w:val="naisf"/>
        <w:spacing w:before="120" w:after="120"/>
        <w:ind w:firstLine="0"/>
        <w:rPr>
          <w:b/>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C02911" w:rsidRPr="0045163C" w:rsidTr="007B126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1268" w:rsidRPr="004225C8" w:rsidRDefault="00C02911" w:rsidP="0045163C">
            <w:pPr>
              <w:spacing w:after="60"/>
              <w:jc w:val="center"/>
              <w:rPr>
                <w:b/>
                <w:bCs/>
                <w:color w:val="000000" w:themeColor="text1"/>
              </w:rPr>
            </w:pPr>
            <w:r w:rsidRPr="004225C8">
              <w:rPr>
                <w:b/>
                <w:bCs/>
                <w:color w:val="000000" w:themeColor="text1"/>
              </w:rPr>
              <w:t>VII. Tiesību akta projekta izpildes nodrošināšana un tās ietekme uz institūcijām</w:t>
            </w:r>
          </w:p>
        </w:tc>
      </w:tr>
      <w:tr w:rsidR="00C02911" w:rsidRPr="0045163C" w:rsidTr="007B126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1.</w:t>
            </w:r>
          </w:p>
        </w:tc>
        <w:tc>
          <w:tcPr>
            <w:tcW w:w="19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02911" w:rsidRPr="0045163C" w:rsidRDefault="00C02911" w:rsidP="0045163C">
            <w:pPr>
              <w:pStyle w:val="naisnod"/>
              <w:spacing w:before="0" w:after="60"/>
              <w:ind w:left="227" w:right="227"/>
              <w:jc w:val="left"/>
              <w:rPr>
                <w:b w:val="0"/>
                <w:color w:val="000000" w:themeColor="text1"/>
              </w:rPr>
            </w:pPr>
            <w:r w:rsidRPr="0045163C">
              <w:rPr>
                <w:b w:val="0"/>
                <w:color w:val="000000" w:themeColor="text1"/>
              </w:rPr>
              <w:t>Vides aizsardzības un reģionālās attīstības ministrija;</w:t>
            </w:r>
          </w:p>
          <w:p w:rsidR="00C02911" w:rsidRPr="004225C8" w:rsidRDefault="00C02911" w:rsidP="0045163C">
            <w:pPr>
              <w:spacing w:after="60"/>
              <w:ind w:left="227"/>
              <w:rPr>
                <w:color w:val="000000" w:themeColor="text1"/>
              </w:rPr>
            </w:pPr>
            <w:r w:rsidRPr="0045163C">
              <w:rPr>
                <w:color w:val="000000" w:themeColor="text1"/>
              </w:rPr>
              <w:t>Valsts sabiedrība ar ierobežotu atbildību „Latvijas Vides, ģeoloģijas un meteoroloģijas centrs”.</w:t>
            </w:r>
          </w:p>
        </w:tc>
      </w:tr>
      <w:tr w:rsidR="00C02911" w:rsidRPr="0045163C" w:rsidTr="007B126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2.</w:t>
            </w:r>
          </w:p>
        </w:tc>
        <w:tc>
          <w:tcPr>
            <w:tcW w:w="19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Projekta izpildes ietekme uz pārvaldes funkcijām un institucionālo struktūru.</w:t>
            </w:r>
          </w:p>
          <w:p w:rsidR="007B1268" w:rsidRPr="004225C8" w:rsidRDefault="00C02911" w:rsidP="0045163C">
            <w:pPr>
              <w:spacing w:after="60"/>
              <w:rPr>
                <w:color w:val="000000" w:themeColor="text1"/>
              </w:rPr>
            </w:pPr>
            <w:r w:rsidRPr="004225C8">
              <w:rPr>
                <w:color w:val="000000" w:themeColor="text1"/>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63E7E" w:rsidRDefault="00D63E7E" w:rsidP="00D63E7E">
            <w:pPr>
              <w:pStyle w:val="naisnod"/>
              <w:spacing w:before="0" w:after="0"/>
              <w:ind w:right="57"/>
              <w:jc w:val="left"/>
              <w:rPr>
                <w:b w:val="0"/>
              </w:rPr>
            </w:pPr>
            <w:r>
              <w:rPr>
                <w:b w:val="0"/>
              </w:rPr>
              <w:t>Noteikumu projekts neietekmē iesaistīto institūciju funkcijas un uzdevumus.</w:t>
            </w:r>
          </w:p>
          <w:p w:rsidR="00D63E7E" w:rsidRDefault="00D63E7E" w:rsidP="00D63E7E">
            <w:pPr>
              <w:pStyle w:val="naisnod"/>
              <w:spacing w:before="0" w:after="0"/>
              <w:ind w:right="57"/>
              <w:jc w:val="left"/>
              <w:rPr>
                <w:b w:val="0"/>
              </w:rPr>
            </w:pPr>
            <w:r>
              <w:rPr>
                <w:b w:val="0"/>
              </w:rPr>
              <w:t>Nav paredzēta jauno institūciju izveide</w:t>
            </w:r>
            <w:r w:rsidR="0000562A">
              <w:rPr>
                <w:b w:val="0"/>
              </w:rPr>
              <w:t xml:space="preserve">, </w:t>
            </w:r>
            <w:r>
              <w:rPr>
                <w:b w:val="0"/>
              </w:rPr>
              <w:t>likvidēšana</w:t>
            </w:r>
            <w:r w:rsidR="0000562A">
              <w:rPr>
                <w:b w:val="0"/>
              </w:rPr>
              <w:t xml:space="preserve">, </w:t>
            </w:r>
            <w:r>
              <w:rPr>
                <w:b w:val="0"/>
              </w:rPr>
              <w:t>reorganizēšana</w:t>
            </w:r>
          </w:p>
          <w:p w:rsidR="00C02911" w:rsidRPr="004225C8" w:rsidRDefault="00C02911" w:rsidP="0045163C">
            <w:pPr>
              <w:spacing w:after="60"/>
              <w:ind w:firstLine="185"/>
              <w:rPr>
                <w:color w:val="000000" w:themeColor="text1"/>
              </w:rPr>
            </w:pPr>
          </w:p>
        </w:tc>
      </w:tr>
      <w:tr w:rsidR="00C02911" w:rsidRPr="0045163C" w:rsidTr="007B126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3.</w:t>
            </w:r>
          </w:p>
        </w:tc>
        <w:tc>
          <w:tcPr>
            <w:tcW w:w="19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B1268" w:rsidRPr="004225C8" w:rsidRDefault="00C02911" w:rsidP="0045163C">
            <w:pPr>
              <w:spacing w:after="60"/>
              <w:rPr>
                <w:color w:val="000000" w:themeColor="text1"/>
              </w:rPr>
            </w:pPr>
            <w:r w:rsidRPr="0045163C">
              <w:rPr>
                <w:color w:val="000000" w:themeColor="text1"/>
              </w:rPr>
              <w:t>Nav</w:t>
            </w:r>
          </w:p>
        </w:tc>
      </w:tr>
    </w:tbl>
    <w:p w:rsidR="002E68A6" w:rsidRDefault="002E68A6">
      <w:pPr>
        <w:pStyle w:val="naisf"/>
        <w:spacing w:before="120" w:after="120"/>
        <w:ind w:firstLine="0"/>
        <w:outlineLvl w:val="0"/>
        <w:rPr>
          <w:b/>
        </w:rPr>
      </w:pPr>
    </w:p>
    <w:p w:rsidR="00467F67" w:rsidRDefault="00295A98">
      <w:pPr>
        <w:pStyle w:val="naisf"/>
        <w:spacing w:before="120" w:after="120"/>
        <w:ind w:firstLine="0"/>
        <w:outlineLvl w:val="0"/>
        <w:rPr>
          <w:b/>
        </w:rPr>
      </w:pPr>
      <w:r w:rsidRPr="00414FC6">
        <w:rPr>
          <w:b/>
        </w:rPr>
        <w:t>Anotācijas III</w:t>
      </w:r>
      <w:r w:rsidR="002E68A6">
        <w:rPr>
          <w:b/>
        </w:rPr>
        <w:t xml:space="preserve"> un</w:t>
      </w:r>
      <w:r w:rsidRPr="00414FC6">
        <w:rPr>
          <w:b/>
        </w:rPr>
        <w:t xml:space="preserve"> </w:t>
      </w:r>
      <w:r>
        <w:rPr>
          <w:b/>
        </w:rPr>
        <w:t xml:space="preserve">IV </w:t>
      </w:r>
      <w:r w:rsidRPr="00414FC6">
        <w:rPr>
          <w:b/>
        </w:rPr>
        <w:t>sadaļa – projekts š</w:t>
      </w:r>
      <w:r>
        <w:rPr>
          <w:b/>
        </w:rPr>
        <w:t>o</w:t>
      </w:r>
      <w:r w:rsidRPr="00414FC6">
        <w:rPr>
          <w:b/>
        </w:rPr>
        <w:t xml:space="preserve"> jom</w:t>
      </w:r>
      <w:r>
        <w:rPr>
          <w:b/>
        </w:rPr>
        <w:t>u</w:t>
      </w:r>
      <w:r w:rsidRPr="00414FC6">
        <w:rPr>
          <w:b/>
        </w:rPr>
        <w:t xml:space="preserve"> neskar</w:t>
      </w:r>
    </w:p>
    <w:p w:rsidR="00295A98" w:rsidRDefault="00295A98" w:rsidP="00DE32EB">
      <w:pPr>
        <w:pStyle w:val="naisf"/>
        <w:spacing w:before="0" w:after="0"/>
        <w:ind w:firstLine="0"/>
        <w:rPr>
          <w:b/>
        </w:rPr>
      </w:pPr>
    </w:p>
    <w:p w:rsidR="00C02911" w:rsidRDefault="00C02911" w:rsidP="00DE32EB">
      <w:pPr>
        <w:pStyle w:val="naisf"/>
        <w:spacing w:before="0" w:after="0"/>
        <w:ind w:firstLine="0"/>
        <w:rPr>
          <w:b/>
        </w:rPr>
      </w:pPr>
    </w:p>
    <w:p w:rsidR="00D94EE5" w:rsidRPr="00830ECC" w:rsidRDefault="00D94EE5" w:rsidP="002D0009">
      <w:pPr>
        <w:pStyle w:val="naisf"/>
        <w:tabs>
          <w:tab w:val="left" w:pos="6804"/>
        </w:tabs>
        <w:spacing w:before="0" w:after="0"/>
        <w:ind w:firstLine="0"/>
        <w:rPr>
          <w:sz w:val="28"/>
          <w:szCs w:val="28"/>
        </w:rPr>
      </w:pPr>
    </w:p>
    <w:p w:rsidR="00D94EE5" w:rsidRPr="00830ECC" w:rsidRDefault="00D94EE5" w:rsidP="00295A98">
      <w:pPr>
        <w:pStyle w:val="naisf"/>
        <w:tabs>
          <w:tab w:val="left" w:pos="6804"/>
        </w:tabs>
        <w:spacing w:before="0" w:after="0"/>
        <w:ind w:firstLine="0"/>
        <w:outlineLvl w:val="0"/>
        <w:rPr>
          <w:sz w:val="28"/>
          <w:szCs w:val="28"/>
        </w:rPr>
      </w:pPr>
      <w:r w:rsidRPr="00830ECC">
        <w:rPr>
          <w:sz w:val="28"/>
          <w:szCs w:val="28"/>
        </w:rPr>
        <w:t>Vides aizsardzības un</w:t>
      </w:r>
    </w:p>
    <w:p w:rsidR="00D94EE5" w:rsidRPr="00830ECC" w:rsidRDefault="00D94EE5" w:rsidP="00EB434F">
      <w:pPr>
        <w:pStyle w:val="naisf"/>
        <w:tabs>
          <w:tab w:val="left" w:pos="7230"/>
        </w:tabs>
        <w:spacing w:before="0" w:after="0"/>
        <w:ind w:firstLine="0"/>
        <w:rPr>
          <w:sz w:val="28"/>
          <w:szCs w:val="28"/>
        </w:rPr>
      </w:pPr>
      <w:r w:rsidRPr="00830ECC">
        <w:rPr>
          <w:sz w:val="28"/>
          <w:szCs w:val="28"/>
        </w:rPr>
        <w:t>reģionālās attīstības ministrs</w:t>
      </w:r>
      <w:r>
        <w:rPr>
          <w:sz w:val="28"/>
          <w:szCs w:val="28"/>
        </w:rPr>
        <w:tab/>
        <w:t>E.</w:t>
      </w:r>
      <w:r w:rsidR="00C02911">
        <w:rPr>
          <w:sz w:val="28"/>
          <w:szCs w:val="28"/>
        </w:rPr>
        <w:t>Cilinskis</w:t>
      </w:r>
    </w:p>
    <w:p w:rsidR="00D94EE5" w:rsidRDefault="00D94EE5" w:rsidP="00AE7980">
      <w:pPr>
        <w:pStyle w:val="naisf"/>
        <w:tabs>
          <w:tab w:val="left" w:pos="6804"/>
        </w:tabs>
        <w:spacing w:before="0" w:after="0"/>
        <w:ind w:firstLine="0"/>
        <w:rPr>
          <w:sz w:val="28"/>
          <w:szCs w:val="28"/>
        </w:rPr>
      </w:pPr>
    </w:p>
    <w:p w:rsidR="0000562A" w:rsidRDefault="0000562A" w:rsidP="00AE7980">
      <w:pPr>
        <w:pStyle w:val="naisf"/>
        <w:tabs>
          <w:tab w:val="left" w:pos="6804"/>
        </w:tabs>
        <w:spacing w:before="0" w:after="0"/>
        <w:ind w:firstLine="0"/>
        <w:rPr>
          <w:sz w:val="28"/>
          <w:szCs w:val="28"/>
        </w:rPr>
      </w:pPr>
    </w:p>
    <w:p w:rsidR="0000562A" w:rsidRPr="00830ECC" w:rsidRDefault="0000562A" w:rsidP="00AE7980">
      <w:pPr>
        <w:pStyle w:val="naisf"/>
        <w:tabs>
          <w:tab w:val="left" w:pos="6804"/>
        </w:tabs>
        <w:spacing w:before="0" w:after="0"/>
        <w:ind w:firstLine="0"/>
        <w:rPr>
          <w:sz w:val="28"/>
          <w:szCs w:val="28"/>
        </w:rPr>
      </w:pPr>
    </w:p>
    <w:p w:rsidR="00D94EE5" w:rsidRPr="00830ECC" w:rsidRDefault="00D94EE5" w:rsidP="00AE7980">
      <w:pPr>
        <w:pStyle w:val="Header"/>
        <w:tabs>
          <w:tab w:val="clear" w:pos="4153"/>
          <w:tab w:val="clear" w:pos="8306"/>
        </w:tabs>
        <w:rPr>
          <w:sz w:val="28"/>
          <w:szCs w:val="28"/>
        </w:rPr>
      </w:pPr>
      <w:r w:rsidRPr="00830ECC">
        <w:rPr>
          <w:sz w:val="28"/>
          <w:szCs w:val="28"/>
        </w:rPr>
        <w:t>Vīza:</w:t>
      </w:r>
    </w:p>
    <w:p w:rsidR="005A1398" w:rsidRPr="00DA4207" w:rsidRDefault="005A1398" w:rsidP="003724A3">
      <w:pPr>
        <w:shd w:val="clear" w:color="auto" w:fill="FFFFFF"/>
        <w:tabs>
          <w:tab w:val="left" w:pos="7230"/>
        </w:tabs>
        <w:rPr>
          <w:color w:val="000000" w:themeColor="text1"/>
          <w:sz w:val="28"/>
          <w:szCs w:val="28"/>
        </w:rPr>
      </w:pPr>
      <w:r w:rsidRPr="00DA4207">
        <w:rPr>
          <w:color w:val="000000"/>
          <w:sz w:val="28"/>
          <w:szCs w:val="28"/>
        </w:rPr>
        <w:t>valsts sekretār</w:t>
      </w:r>
      <w:r w:rsidR="003724A3">
        <w:rPr>
          <w:color w:val="000000"/>
          <w:sz w:val="28"/>
          <w:szCs w:val="28"/>
        </w:rPr>
        <w:t>s</w:t>
      </w:r>
      <w:r w:rsidR="003724A3">
        <w:rPr>
          <w:color w:val="000000"/>
          <w:sz w:val="28"/>
          <w:szCs w:val="28"/>
        </w:rPr>
        <w:tab/>
        <w:t>G.Puķītis</w:t>
      </w:r>
    </w:p>
    <w:p w:rsidR="00415BD8" w:rsidRDefault="00415BD8" w:rsidP="00AE7980">
      <w:pPr>
        <w:jc w:val="both"/>
        <w:rPr>
          <w:color w:val="000000"/>
          <w:sz w:val="20"/>
          <w:szCs w:val="20"/>
        </w:rPr>
      </w:pPr>
    </w:p>
    <w:p w:rsidR="003724A3" w:rsidRDefault="003724A3" w:rsidP="00AE7980">
      <w:pPr>
        <w:jc w:val="both"/>
        <w:rPr>
          <w:color w:val="000000"/>
          <w:sz w:val="20"/>
          <w:szCs w:val="20"/>
        </w:rPr>
      </w:pPr>
    </w:p>
    <w:p w:rsidR="005A1398" w:rsidRDefault="005A1398" w:rsidP="00AE7980">
      <w:pPr>
        <w:jc w:val="both"/>
        <w:rPr>
          <w:color w:val="000000"/>
          <w:sz w:val="20"/>
          <w:szCs w:val="20"/>
        </w:rPr>
      </w:pPr>
    </w:p>
    <w:p w:rsidR="005A1398" w:rsidRPr="00415BD8" w:rsidRDefault="005A1398" w:rsidP="00AE7980">
      <w:pPr>
        <w:jc w:val="both"/>
        <w:rPr>
          <w:color w:val="000000"/>
          <w:sz w:val="20"/>
          <w:szCs w:val="20"/>
        </w:rPr>
      </w:pPr>
    </w:p>
    <w:p w:rsidR="00D94EE5" w:rsidRDefault="00D94EE5" w:rsidP="00AE7980">
      <w:pPr>
        <w:jc w:val="both"/>
        <w:rPr>
          <w:color w:val="000000"/>
          <w:sz w:val="28"/>
          <w:szCs w:val="28"/>
        </w:rPr>
      </w:pPr>
    </w:p>
    <w:p w:rsidR="002E68A6" w:rsidRDefault="002E68A6" w:rsidP="00AE7980">
      <w:pPr>
        <w:jc w:val="both"/>
        <w:rPr>
          <w:color w:val="000000"/>
          <w:sz w:val="28"/>
          <w:szCs w:val="28"/>
        </w:rPr>
      </w:pPr>
    </w:p>
    <w:p w:rsidR="00D94EE5" w:rsidRPr="00415BD8" w:rsidRDefault="003724A3" w:rsidP="00AE7980">
      <w:pPr>
        <w:jc w:val="both"/>
        <w:rPr>
          <w:color w:val="000000"/>
          <w:sz w:val="20"/>
          <w:szCs w:val="20"/>
        </w:rPr>
      </w:pPr>
      <w:r>
        <w:rPr>
          <w:color w:val="000000"/>
          <w:sz w:val="20"/>
          <w:szCs w:val="20"/>
        </w:rPr>
        <w:t>13</w:t>
      </w:r>
      <w:r w:rsidR="002E68A6">
        <w:rPr>
          <w:color w:val="000000"/>
          <w:sz w:val="20"/>
          <w:szCs w:val="20"/>
        </w:rPr>
        <w:t>.03</w:t>
      </w:r>
      <w:r w:rsidR="00C02911">
        <w:rPr>
          <w:color w:val="000000"/>
          <w:sz w:val="20"/>
          <w:szCs w:val="20"/>
        </w:rPr>
        <w:t>.2014</w:t>
      </w:r>
      <w:r w:rsidR="00D94EE5" w:rsidRPr="00415BD8">
        <w:rPr>
          <w:color w:val="000000"/>
          <w:sz w:val="20"/>
          <w:szCs w:val="20"/>
        </w:rPr>
        <w:t xml:space="preserve"> </w:t>
      </w:r>
      <w:r>
        <w:rPr>
          <w:color w:val="000000"/>
          <w:sz w:val="20"/>
          <w:szCs w:val="20"/>
        </w:rPr>
        <w:t>08</w:t>
      </w:r>
      <w:r w:rsidR="00D94EE5" w:rsidRPr="00415BD8">
        <w:rPr>
          <w:color w:val="000000"/>
          <w:sz w:val="20"/>
          <w:szCs w:val="20"/>
        </w:rPr>
        <w:t>:</w:t>
      </w:r>
      <w:r w:rsidR="00415BD8">
        <w:rPr>
          <w:color w:val="000000"/>
          <w:sz w:val="20"/>
          <w:szCs w:val="20"/>
        </w:rPr>
        <w:t>00</w:t>
      </w:r>
    </w:p>
    <w:p w:rsidR="00D94EE5" w:rsidRPr="00415BD8" w:rsidRDefault="00A46C5D" w:rsidP="00AE7980">
      <w:pPr>
        <w:pStyle w:val="Header"/>
        <w:tabs>
          <w:tab w:val="clear" w:pos="4153"/>
          <w:tab w:val="clear" w:pos="8306"/>
        </w:tabs>
        <w:rPr>
          <w:sz w:val="20"/>
          <w:szCs w:val="20"/>
        </w:rPr>
      </w:pPr>
      <w:r w:rsidRPr="00415BD8">
        <w:rPr>
          <w:sz w:val="20"/>
          <w:szCs w:val="20"/>
        </w:rPr>
        <w:fldChar w:fldCharType="begin"/>
      </w:r>
      <w:r w:rsidR="00D94EE5" w:rsidRPr="00415BD8">
        <w:rPr>
          <w:sz w:val="20"/>
          <w:szCs w:val="20"/>
        </w:rPr>
        <w:instrText xml:space="preserve"> NUMWORDS  \* Lower </w:instrText>
      </w:r>
      <w:r w:rsidRPr="00415BD8">
        <w:rPr>
          <w:sz w:val="20"/>
          <w:szCs w:val="20"/>
        </w:rPr>
        <w:fldChar w:fldCharType="separate"/>
      </w:r>
      <w:r w:rsidR="00534DA6">
        <w:rPr>
          <w:noProof/>
          <w:sz w:val="20"/>
          <w:szCs w:val="20"/>
        </w:rPr>
        <w:t>3302</w:t>
      </w:r>
      <w:r w:rsidRPr="00415BD8">
        <w:rPr>
          <w:sz w:val="20"/>
          <w:szCs w:val="20"/>
        </w:rPr>
        <w:fldChar w:fldCharType="end"/>
      </w:r>
      <w:bookmarkStart w:id="2" w:name="_GoBack"/>
      <w:bookmarkEnd w:id="2"/>
    </w:p>
    <w:p w:rsidR="00D94EE5" w:rsidRPr="00415BD8" w:rsidRDefault="00D94EE5" w:rsidP="00AE7980">
      <w:pPr>
        <w:pStyle w:val="naisf"/>
        <w:tabs>
          <w:tab w:val="left" w:pos="6840"/>
        </w:tabs>
        <w:spacing w:before="0" w:after="0"/>
        <w:ind w:firstLine="0"/>
        <w:rPr>
          <w:sz w:val="20"/>
          <w:szCs w:val="20"/>
        </w:rPr>
      </w:pPr>
      <w:r w:rsidRPr="00415BD8">
        <w:rPr>
          <w:sz w:val="20"/>
          <w:szCs w:val="20"/>
        </w:rPr>
        <w:t>H.Rimša</w:t>
      </w:r>
    </w:p>
    <w:p w:rsidR="00D94EE5" w:rsidRPr="00415BD8" w:rsidRDefault="00D94EE5" w:rsidP="00DE32EB">
      <w:pPr>
        <w:pStyle w:val="naisf"/>
        <w:tabs>
          <w:tab w:val="left" w:pos="6840"/>
        </w:tabs>
        <w:spacing w:before="0" w:after="0"/>
        <w:ind w:firstLine="0"/>
        <w:rPr>
          <w:rStyle w:val="Hyperlink"/>
          <w:sz w:val="20"/>
          <w:szCs w:val="20"/>
        </w:rPr>
      </w:pPr>
      <w:r w:rsidRPr="00415BD8">
        <w:rPr>
          <w:sz w:val="20"/>
          <w:szCs w:val="20"/>
        </w:rPr>
        <w:t xml:space="preserve">67026508, </w:t>
      </w:r>
      <w:hyperlink r:id="rId8" w:history="1">
        <w:r w:rsidRPr="00415BD8">
          <w:rPr>
            <w:rStyle w:val="Hyperlink"/>
            <w:sz w:val="20"/>
            <w:szCs w:val="20"/>
          </w:rPr>
          <w:t>Helena.Rimsa@varam.gov.lv</w:t>
        </w:r>
      </w:hyperlink>
    </w:p>
    <w:sectPr w:rsidR="00D94EE5" w:rsidRPr="00415BD8" w:rsidSect="00187835">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17" w:rsidRDefault="004E1817">
      <w:r>
        <w:separator/>
      </w:r>
    </w:p>
  </w:endnote>
  <w:endnote w:type="continuationSeparator" w:id="0">
    <w:p w:rsidR="004E1817" w:rsidRDefault="004E1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BB" w:rsidRPr="00F44D8A" w:rsidRDefault="00AB04BB" w:rsidP="00082F24">
    <w:pPr>
      <w:jc w:val="both"/>
      <w:rPr>
        <w:sz w:val="8"/>
        <w:szCs w:val="8"/>
      </w:rPr>
    </w:pPr>
  </w:p>
  <w:p w:rsidR="00AB04BB" w:rsidRPr="00082F24" w:rsidRDefault="00A46C5D" w:rsidP="00082F24">
    <w:pPr>
      <w:jc w:val="both"/>
      <w:rPr>
        <w:sz w:val="20"/>
        <w:szCs w:val="20"/>
      </w:rPr>
    </w:pPr>
    <w:fldSimple w:instr=" FILENAME   \* MERGEFORMAT ">
      <w:r w:rsidR="003724A3" w:rsidRPr="003724A3">
        <w:rPr>
          <w:noProof/>
          <w:sz w:val="20"/>
          <w:szCs w:val="20"/>
        </w:rPr>
        <w:t>VARAMAnot_Groz112_13032014</w:t>
      </w:r>
    </w:fldSimple>
    <w:r w:rsidR="00AB04BB" w:rsidRPr="00F44D8A">
      <w:rPr>
        <w:sz w:val="20"/>
        <w:szCs w:val="20"/>
      </w:rPr>
      <w:t xml:space="preserve">; </w:t>
    </w:r>
    <w:r w:rsidR="00AB04BB" w:rsidRPr="00082F24">
      <w:rPr>
        <w:sz w:val="20"/>
        <w:szCs w:val="20"/>
      </w:rPr>
      <w:t>Ministru kabineta noteikumu projekta „Grozījumi Ministru kabineta 2013.gada 26.februāra noteikumos Nr.112 „Emisijas kvotu piešķiršanas kārtība stacionāro tehnoloģisko iekārtu operatoriem””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BB" w:rsidRPr="00F44D8A" w:rsidRDefault="00AB04BB" w:rsidP="00CF6D8B">
    <w:pPr>
      <w:jc w:val="both"/>
      <w:rPr>
        <w:sz w:val="8"/>
        <w:szCs w:val="8"/>
      </w:rPr>
    </w:pPr>
  </w:p>
  <w:p w:rsidR="00AB04BB" w:rsidRPr="00F44D8A" w:rsidRDefault="00A46C5D" w:rsidP="00CF6D8B">
    <w:pPr>
      <w:jc w:val="both"/>
      <w:rPr>
        <w:sz w:val="20"/>
        <w:szCs w:val="20"/>
      </w:rPr>
    </w:pPr>
    <w:fldSimple w:instr=" FILENAME   \* MERGEFORMAT ">
      <w:r w:rsidR="003724A3" w:rsidRPr="003724A3">
        <w:rPr>
          <w:noProof/>
          <w:sz w:val="20"/>
          <w:szCs w:val="20"/>
        </w:rPr>
        <w:t>VARAMAnot_Groz112_13032014</w:t>
      </w:r>
    </w:fldSimple>
    <w:r w:rsidR="00AB04BB" w:rsidRPr="00F44D8A">
      <w:rPr>
        <w:sz w:val="20"/>
        <w:szCs w:val="20"/>
      </w:rPr>
      <w:t xml:space="preserve">; </w:t>
    </w:r>
    <w:r w:rsidR="00AB04BB" w:rsidRPr="00082F24">
      <w:rPr>
        <w:sz w:val="20"/>
        <w:szCs w:val="20"/>
      </w:rPr>
      <w:t>Ministru kabineta noteikumu projekta „Grozījumi Ministru kabineta 2013.gada 26.februāra noteikumos Nr.112 „Emisijas kvotu piešķiršanas kārtība stacionāro tehnoloģisko iekārtu operatoriem””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17" w:rsidRDefault="004E1817">
      <w:r>
        <w:separator/>
      </w:r>
    </w:p>
  </w:footnote>
  <w:footnote w:type="continuationSeparator" w:id="0">
    <w:p w:rsidR="004E1817" w:rsidRDefault="004E1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BB" w:rsidRDefault="00A46C5D" w:rsidP="003C449B">
    <w:pPr>
      <w:pStyle w:val="Header"/>
      <w:framePr w:wrap="around" w:vAnchor="text" w:hAnchor="margin" w:xAlign="center" w:y="1"/>
      <w:rPr>
        <w:rStyle w:val="PageNumber"/>
      </w:rPr>
    </w:pPr>
    <w:r>
      <w:rPr>
        <w:rStyle w:val="PageNumber"/>
      </w:rPr>
      <w:fldChar w:fldCharType="begin"/>
    </w:r>
    <w:r w:rsidR="00AB04BB">
      <w:rPr>
        <w:rStyle w:val="PageNumber"/>
      </w:rPr>
      <w:instrText xml:space="preserve">PAGE  </w:instrText>
    </w:r>
    <w:r>
      <w:rPr>
        <w:rStyle w:val="PageNumber"/>
      </w:rPr>
      <w:fldChar w:fldCharType="end"/>
    </w:r>
  </w:p>
  <w:p w:rsidR="00AB04BB" w:rsidRDefault="00AB04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BB" w:rsidRDefault="00A46C5D" w:rsidP="003C449B">
    <w:pPr>
      <w:pStyle w:val="Header"/>
      <w:framePr w:wrap="around" w:vAnchor="text" w:hAnchor="margin" w:xAlign="center" w:y="1"/>
      <w:rPr>
        <w:rStyle w:val="PageNumber"/>
      </w:rPr>
    </w:pPr>
    <w:r>
      <w:rPr>
        <w:rStyle w:val="PageNumber"/>
      </w:rPr>
      <w:fldChar w:fldCharType="begin"/>
    </w:r>
    <w:r w:rsidR="00AB04BB">
      <w:rPr>
        <w:rStyle w:val="PageNumber"/>
      </w:rPr>
      <w:instrText xml:space="preserve">PAGE  </w:instrText>
    </w:r>
    <w:r>
      <w:rPr>
        <w:rStyle w:val="PageNumber"/>
      </w:rPr>
      <w:fldChar w:fldCharType="separate"/>
    </w:r>
    <w:r w:rsidR="003209C4">
      <w:rPr>
        <w:rStyle w:val="PageNumber"/>
        <w:noProof/>
      </w:rPr>
      <w:t>12</w:t>
    </w:r>
    <w:r>
      <w:rPr>
        <w:rStyle w:val="PageNumber"/>
      </w:rPr>
      <w:fldChar w:fldCharType="end"/>
    </w:r>
  </w:p>
  <w:p w:rsidR="00AB04BB" w:rsidRPr="0062376B" w:rsidRDefault="00AB04BB">
    <w:pPr>
      <w:pStyle w:val="Header"/>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BB" w:rsidRDefault="00AB04BB" w:rsidP="00DE5A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687"/>
    <w:multiLevelType w:val="hybridMultilevel"/>
    <w:tmpl w:val="AF62EF4E"/>
    <w:lvl w:ilvl="0" w:tplc="E57676CA">
      <w:start w:val="3"/>
      <w:numFmt w:val="bullet"/>
      <w:lvlText w:val="-"/>
      <w:lvlJc w:val="left"/>
      <w:pPr>
        <w:ind w:left="473" w:hanging="360"/>
      </w:pPr>
      <w:rPr>
        <w:rFonts w:ascii="Times New Roman" w:eastAsia="Times New Roman" w:hAnsi="Times New Roman" w:cs="Times New Roman"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
    <w:nsid w:val="07EF1E86"/>
    <w:multiLevelType w:val="hybridMultilevel"/>
    <w:tmpl w:val="45C85642"/>
    <w:lvl w:ilvl="0" w:tplc="1390D23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2">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5">
    <w:nsid w:val="3B04457D"/>
    <w:multiLevelType w:val="hybridMultilevel"/>
    <w:tmpl w:val="FB64CE36"/>
    <w:lvl w:ilvl="0" w:tplc="1390D2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5236AD"/>
    <w:multiLevelType w:val="hybridMultilevel"/>
    <w:tmpl w:val="B3765D2E"/>
    <w:lvl w:ilvl="0" w:tplc="1390D23E">
      <w:start w:val="1"/>
      <w:numFmt w:val="bullet"/>
      <w:lvlText w:val=""/>
      <w:lvlJc w:val="left"/>
      <w:pPr>
        <w:ind w:left="473" w:hanging="360"/>
      </w:pPr>
      <w:rPr>
        <w:rFonts w:ascii="Symbol" w:hAnsi="Symbol"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5"/>
  </w:num>
  <w:num w:numId="3">
    <w:abstractNumId w:val="10"/>
  </w:num>
  <w:num w:numId="4">
    <w:abstractNumId w:val="8"/>
  </w:num>
  <w:num w:numId="5">
    <w:abstractNumId w:val="4"/>
  </w:num>
  <w:num w:numId="6">
    <w:abstractNumId w:val="20"/>
  </w:num>
  <w:num w:numId="7">
    <w:abstractNumId w:val="26"/>
  </w:num>
  <w:num w:numId="8">
    <w:abstractNumId w:val="17"/>
  </w:num>
  <w:num w:numId="9">
    <w:abstractNumId w:val="9"/>
  </w:num>
  <w:num w:numId="10">
    <w:abstractNumId w:val="18"/>
  </w:num>
  <w:num w:numId="11">
    <w:abstractNumId w:val="19"/>
  </w:num>
  <w:num w:numId="12">
    <w:abstractNumId w:val="21"/>
  </w:num>
  <w:num w:numId="13">
    <w:abstractNumId w:val="24"/>
  </w:num>
  <w:num w:numId="14">
    <w:abstractNumId w:val="13"/>
  </w:num>
  <w:num w:numId="15">
    <w:abstractNumId w:val="5"/>
  </w:num>
  <w:num w:numId="16">
    <w:abstractNumId w:val="22"/>
  </w:num>
  <w:num w:numId="17">
    <w:abstractNumId w:val="11"/>
  </w:num>
  <w:num w:numId="18">
    <w:abstractNumId w:val="14"/>
  </w:num>
  <w:num w:numId="19">
    <w:abstractNumId w:val="7"/>
  </w:num>
  <w:num w:numId="20">
    <w:abstractNumId w:val="1"/>
  </w:num>
  <w:num w:numId="21">
    <w:abstractNumId w:val="23"/>
  </w:num>
  <w:num w:numId="22">
    <w:abstractNumId w:val="2"/>
  </w:num>
  <w:num w:numId="23">
    <w:abstractNumId w:val="6"/>
  </w:num>
  <w:num w:numId="24">
    <w:abstractNumId w:val="3"/>
  </w:num>
  <w:num w:numId="25">
    <w:abstractNumId w:val="15"/>
  </w:num>
  <w:num w:numId="26">
    <w:abstractNumId w:val="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6AA"/>
    <w:rsid w:val="00003636"/>
    <w:rsid w:val="0000562A"/>
    <w:rsid w:val="00006F1C"/>
    <w:rsid w:val="00007AD5"/>
    <w:rsid w:val="00011110"/>
    <w:rsid w:val="000116BF"/>
    <w:rsid w:val="00011D24"/>
    <w:rsid w:val="00013F31"/>
    <w:rsid w:val="00013FF4"/>
    <w:rsid w:val="000151F6"/>
    <w:rsid w:val="000166E1"/>
    <w:rsid w:val="0002034A"/>
    <w:rsid w:val="00020FE1"/>
    <w:rsid w:val="00022E13"/>
    <w:rsid w:val="000265AB"/>
    <w:rsid w:val="00026F37"/>
    <w:rsid w:val="00027CF8"/>
    <w:rsid w:val="00031D2D"/>
    <w:rsid w:val="00032388"/>
    <w:rsid w:val="00034EFB"/>
    <w:rsid w:val="00035CE2"/>
    <w:rsid w:val="00045FE5"/>
    <w:rsid w:val="00046A5A"/>
    <w:rsid w:val="00046F89"/>
    <w:rsid w:val="000474FF"/>
    <w:rsid w:val="0005096C"/>
    <w:rsid w:val="0005217C"/>
    <w:rsid w:val="000549FA"/>
    <w:rsid w:val="0005553B"/>
    <w:rsid w:val="000604D2"/>
    <w:rsid w:val="00061E13"/>
    <w:rsid w:val="00070450"/>
    <w:rsid w:val="00075F2A"/>
    <w:rsid w:val="00076C0A"/>
    <w:rsid w:val="00082F24"/>
    <w:rsid w:val="00087945"/>
    <w:rsid w:val="0009005E"/>
    <w:rsid w:val="000908E2"/>
    <w:rsid w:val="00091325"/>
    <w:rsid w:val="00092C05"/>
    <w:rsid w:val="0009392A"/>
    <w:rsid w:val="000941C5"/>
    <w:rsid w:val="00096E50"/>
    <w:rsid w:val="00097A39"/>
    <w:rsid w:val="000A279D"/>
    <w:rsid w:val="000A2CC7"/>
    <w:rsid w:val="000A5B8A"/>
    <w:rsid w:val="000A6451"/>
    <w:rsid w:val="000A6F4E"/>
    <w:rsid w:val="000B05C8"/>
    <w:rsid w:val="000B064E"/>
    <w:rsid w:val="000B5664"/>
    <w:rsid w:val="000B66F0"/>
    <w:rsid w:val="000B69CF"/>
    <w:rsid w:val="000B727F"/>
    <w:rsid w:val="000C12AB"/>
    <w:rsid w:val="000C1696"/>
    <w:rsid w:val="000C28CB"/>
    <w:rsid w:val="000C3456"/>
    <w:rsid w:val="000C4699"/>
    <w:rsid w:val="000C790C"/>
    <w:rsid w:val="000D0288"/>
    <w:rsid w:val="000D0342"/>
    <w:rsid w:val="000D22E1"/>
    <w:rsid w:val="000D48E9"/>
    <w:rsid w:val="000D53A4"/>
    <w:rsid w:val="000D7E25"/>
    <w:rsid w:val="000E63BA"/>
    <w:rsid w:val="000F05AD"/>
    <w:rsid w:val="000F061D"/>
    <w:rsid w:val="000F4794"/>
    <w:rsid w:val="000F73E1"/>
    <w:rsid w:val="001021DC"/>
    <w:rsid w:val="00102C0D"/>
    <w:rsid w:val="00105097"/>
    <w:rsid w:val="00110A5D"/>
    <w:rsid w:val="00115F7C"/>
    <w:rsid w:val="00124F12"/>
    <w:rsid w:val="00130725"/>
    <w:rsid w:val="00137E8E"/>
    <w:rsid w:val="00142AB6"/>
    <w:rsid w:val="00142CCD"/>
    <w:rsid w:val="00144E16"/>
    <w:rsid w:val="00144E3A"/>
    <w:rsid w:val="00146480"/>
    <w:rsid w:val="0015060C"/>
    <w:rsid w:val="001507B4"/>
    <w:rsid w:val="001527DA"/>
    <w:rsid w:val="001560A1"/>
    <w:rsid w:val="001577DB"/>
    <w:rsid w:val="0016018A"/>
    <w:rsid w:val="00161F0E"/>
    <w:rsid w:val="00163F25"/>
    <w:rsid w:val="00170E2A"/>
    <w:rsid w:val="0017438A"/>
    <w:rsid w:val="00174CE5"/>
    <w:rsid w:val="00174E60"/>
    <w:rsid w:val="00175DE1"/>
    <w:rsid w:val="00177394"/>
    <w:rsid w:val="00180614"/>
    <w:rsid w:val="001811DE"/>
    <w:rsid w:val="00182C18"/>
    <w:rsid w:val="00183743"/>
    <w:rsid w:val="00183CC2"/>
    <w:rsid w:val="00184098"/>
    <w:rsid w:val="00187835"/>
    <w:rsid w:val="001900E4"/>
    <w:rsid w:val="001903B8"/>
    <w:rsid w:val="0019049F"/>
    <w:rsid w:val="00190F88"/>
    <w:rsid w:val="0019304E"/>
    <w:rsid w:val="00194421"/>
    <w:rsid w:val="00194816"/>
    <w:rsid w:val="00195C3D"/>
    <w:rsid w:val="001A359A"/>
    <w:rsid w:val="001A4066"/>
    <w:rsid w:val="001A6AE4"/>
    <w:rsid w:val="001B01FD"/>
    <w:rsid w:val="001B301A"/>
    <w:rsid w:val="001B4A71"/>
    <w:rsid w:val="001B7C1E"/>
    <w:rsid w:val="001C25AB"/>
    <w:rsid w:val="001C3CF0"/>
    <w:rsid w:val="001C653E"/>
    <w:rsid w:val="001C7680"/>
    <w:rsid w:val="001C771F"/>
    <w:rsid w:val="001D3D74"/>
    <w:rsid w:val="001D41C4"/>
    <w:rsid w:val="001D51E9"/>
    <w:rsid w:val="001D5B54"/>
    <w:rsid w:val="001D6061"/>
    <w:rsid w:val="001D760B"/>
    <w:rsid w:val="001E0329"/>
    <w:rsid w:val="001E0914"/>
    <w:rsid w:val="001E1DBF"/>
    <w:rsid w:val="001E26BE"/>
    <w:rsid w:val="001E2B32"/>
    <w:rsid w:val="001E4639"/>
    <w:rsid w:val="001E4A7D"/>
    <w:rsid w:val="001E5C30"/>
    <w:rsid w:val="001F15D1"/>
    <w:rsid w:val="001F3140"/>
    <w:rsid w:val="001F4209"/>
    <w:rsid w:val="001F43A8"/>
    <w:rsid w:val="001F5CD6"/>
    <w:rsid w:val="001F6AFC"/>
    <w:rsid w:val="0020431B"/>
    <w:rsid w:val="00204981"/>
    <w:rsid w:val="002074DE"/>
    <w:rsid w:val="00207C81"/>
    <w:rsid w:val="0021263D"/>
    <w:rsid w:val="00213F0C"/>
    <w:rsid w:val="00214094"/>
    <w:rsid w:val="002149E7"/>
    <w:rsid w:val="0021592D"/>
    <w:rsid w:val="00215F45"/>
    <w:rsid w:val="00220257"/>
    <w:rsid w:val="002225BF"/>
    <w:rsid w:val="0022299B"/>
    <w:rsid w:val="00222D76"/>
    <w:rsid w:val="00223EB1"/>
    <w:rsid w:val="002271F1"/>
    <w:rsid w:val="00231344"/>
    <w:rsid w:val="0023436E"/>
    <w:rsid w:val="002347C0"/>
    <w:rsid w:val="00234A26"/>
    <w:rsid w:val="00240407"/>
    <w:rsid w:val="00241A6C"/>
    <w:rsid w:val="00242D2B"/>
    <w:rsid w:val="00247182"/>
    <w:rsid w:val="002550F1"/>
    <w:rsid w:val="002578B9"/>
    <w:rsid w:val="00262E2B"/>
    <w:rsid w:val="002659C8"/>
    <w:rsid w:val="00265A19"/>
    <w:rsid w:val="002668F4"/>
    <w:rsid w:val="00270429"/>
    <w:rsid w:val="002723E9"/>
    <w:rsid w:val="00273598"/>
    <w:rsid w:val="002768FD"/>
    <w:rsid w:val="00277929"/>
    <w:rsid w:val="00283B82"/>
    <w:rsid w:val="002846E9"/>
    <w:rsid w:val="00284C34"/>
    <w:rsid w:val="002858FF"/>
    <w:rsid w:val="0028709C"/>
    <w:rsid w:val="00290042"/>
    <w:rsid w:val="0029066C"/>
    <w:rsid w:val="00292ED3"/>
    <w:rsid w:val="0029401D"/>
    <w:rsid w:val="00295A98"/>
    <w:rsid w:val="00297193"/>
    <w:rsid w:val="00297F50"/>
    <w:rsid w:val="002A3E8C"/>
    <w:rsid w:val="002A509A"/>
    <w:rsid w:val="002A7EAC"/>
    <w:rsid w:val="002B226B"/>
    <w:rsid w:val="002B50DB"/>
    <w:rsid w:val="002C05F9"/>
    <w:rsid w:val="002C12AB"/>
    <w:rsid w:val="002C7CAC"/>
    <w:rsid w:val="002D0009"/>
    <w:rsid w:val="002D0D31"/>
    <w:rsid w:val="002D2979"/>
    <w:rsid w:val="002D3170"/>
    <w:rsid w:val="002D3306"/>
    <w:rsid w:val="002D48AA"/>
    <w:rsid w:val="002D7BAA"/>
    <w:rsid w:val="002D7F54"/>
    <w:rsid w:val="002E0479"/>
    <w:rsid w:val="002E2C9B"/>
    <w:rsid w:val="002E3FF4"/>
    <w:rsid w:val="002E4657"/>
    <w:rsid w:val="002E68A6"/>
    <w:rsid w:val="002F5945"/>
    <w:rsid w:val="002F6BCF"/>
    <w:rsid w:val="002F78C8"/>
    <w:rsid w:val="00301CF3"/>
    <w:rsid w:val="003030C8"/>
    <w:rsid w:val="00304F65"/>
    <w:rsid w:val="00304FC5"/>
    <w:rsid w:val="0030774D"/>
    <w:rsid w:val="00312618"/>
    <w:rsid w:val="003209C4"/>
    <w:rsid w:val="00322D18"/>
    <w:rsid w:val="00326FC4"/>
    <w:rsid w:val="0032715C"/>
    <w:rsid w:val="00327DDC"/>
    <w:rsid w:val="00330EA6"/>
    <w:rsid w:val="00331C16"/>
    <w:rsid w:val="003327B9"/>
    <w:rsid w:val="00336A08"/>
    <w:rsid w:val="00337CA5"/>
    <w:rsid w:val="00340FD3"/>
    <w:rsid w:val="0034236A"/>
    <w:rsid w:val="003432F8"/>
    <w:rsid w:val="00345605"/>
    <w:rsid w:val="00345A7B"/>
    <w:rsid w:val="00346C05"/>
    <w:rsid w:val="00346E47"/>
    <w:rsid w:val="0035392D"/>
    <w:rsid w:val="00362478"/>
    <w:rsid w:val="00362EFD"/>
    <w:rsid w:val="00362F13"/>
    <w:rsid w:val="0036633F"/>
    <w:rsid w:val="0036696C"/>
    <w:rsid w:val="003708CB"/>
    <w:rsid w:val="00371975"/>
    <w:rsid w:val="003724A3"/>
    <w:rsid w:val="00373840"/>
    <w:rsid w:val="00374D2F"/>
    <w:rsid w:val="00375B25"/>
    <w:rsid w:val="003810BA"/>
    <w:rsid w:val="0038132C"/>
    <w:rsid w:val="00385505"/>
    <w:rsid w:val="003915E0"/>
    <w:rsid w:val="003942AA"/>
    <w:rsid w:val="0039473D"/>
    <w:rsid w:val="00396542"/>
    <w:rsid w:val="0039685B"/>
    <w:rsid w:val="00397B5A"/>
    <w:rsid w:val="003A2FA4"/>
    <w:rsid w:val="003A31A6"/>
    <w:rsid w:val="003A3D3A"/>
    <w:rsid w:val="003A7A15"/>
    <w:rsid w:val="003A7F0C"/>
    <w:rsid w:val="003A7F79"/>
    <w:rsid w:val="003B0C7D"/>
    <w:rsid w:val="003B4426"/>
    <w:rsid w:val="003B6404"/>
    <w:rsid w:val="003C449B"/>
    <w:rsid w:val="003C6AFC"/>
    <w:rsid w:val="003C6F3F"/>
    <w:rsid w:val="003D21FF"/>
    <w:rsid w:val="003E14D0"/>
    <w:rsid w:val="003E4FC2"/>
    <w:rsid w:val="003E5CD1"/>
    <w:rsid w:val="003E7454"/>
    <w:rsid w:val="003F0112"/>
    <w:rsid w:val="003F071A"/>
    <w:rsid w:val="003F160B"/>
    <w:rsid w:val="003F35A0"/>
    <w:rsid w:val="00400032"/>
    <w:rsid w:val="00400B5B"/>
    <w:rsid w:val="00401E3E"/>
    <w:rsid w:val="00405A00"/>
    <w:rsid w:val="00410CEF"/>
    <w:rsid w:val="00414FC6"/>
    <w:rsid w:val="00415BD8"/>
    <w:rsid w:val="00420870"/>
    <w:rsid w:val="00431195"/>
    <w:rsid w:val="00432D0C"/>
    <w:rsid w:val="00433064"/>
    <w:rsid w:val="00434C05"/>
    <w:rsid w:val="0043791B"/>
    <w:rsid w:val="004407C6"/>
    <w:rsid w:val="00441483"/>
    <w:rsid w:val="00441BCB"/>
    <w:rsid w:val="00443305"/>
    <w:rsid w:val="004467DC"/>
    <w:rsid w:val="004470BC"/>
    <w:rsid w:val="0045163C"/>
    <w:rsid w:val="0045176A"/>
    <w:rsid w:val="00451AAD"/>
    <w:rsid w:val="00454350"/>
    <w:rsid w:val="00456332"/>
    <w:rsid w:val="00461826"/>
    <w:rsid w:val="004618FD"/>
    <w:rsid w:val="00462330"/>
    <w:rsid w:val="00467CFC"/>
    <w:rsid w:val="00467F67"/>
    <w:rsid w:val="004704AB"/>
    <w:rsid w:val="004770BD"/>
    <w:rsid w:val="00477753"/>
    <w:rsid w:val="004800F9"/>
    <w:rsid w:val="00480255"/>
    <w:rsid w:val="00483F91"/>
    <w:rsid w:val="00485BD0"/>
    <w:rsid w:val="00487977"/>
    <w:rsid w:val="0049134A"/>
    <w:rsid w:val="00492B8E"/>
    <w:rsid w:val="00493C77"/>
    <w:rsid w:val="00496838"/>
    <w:rsid w:val="004974FF"/>
    <w:rsid w:val="004A58CB"/>
    <w:rsid w:val="004B066C"/>
    <w:rsid w:val="004B1795"/>
    <w:rsid w:val="004B3316"/>
    <w:rsid w:val="004B4792"/>
    <w:rsid w:val="004B4D62"/>
    <w:rsid w:val="004B56DD"/>
    <w:rsid w:val="004C020F"/>
    <w:rsid w:val="004C1442"/>
    <w:rsid w:val="004C1AFD"/>
    <w:rsid w:val="004C34F9"/>
    <w:rsid w:val="004C3D46"/>
    <w:rsid w:val="004C496B"/>
    <w:rsid w:val="004C558B"/>
    <w:rsid w:val="004C5971"/>
    <w:rsid w:val="004D2D9E"/>
    <w:rsid w:val="004D3EA6"/>
    <w:rsid w:val="004D63E8"/>
    <w:rsid w:val="004E1817"/>
    <w:rsid w:val="004E37F2"/>
    <w:rsid w:val="004E4229"/>
    <w:rsid w:val="004E4783"/>
    <w:rsid w:val="004E6238"/>
    <w:rsid w:val="004F1F88"/>
    <w:rsid w:val="004F20A3"/>
    <w:rsid w:val="004F22B8"/>
    <w:rsid w:val="004F2F32"/>
    <w:rsid w:val="004F36F5"/>
    <w:rsid w:val="004F5BE1"/>
    <w:rsid w:val="004F5F1B"/>
    <w:rsid w:val="004F783F"/>
    <w:rsid w:val="00501ECB"/>
    <w:rsid w:val="00502374"/>
    <w:rsid w:val="005032E5"/>
    <w:rsid w:val="005045BE"/>
    <w:rsid w:val="005060A1"/>
    <w:rsid w:val="00516072"/>
    <w:rsid w:val="00516D4B"/>
    <w:rsid w:val="00520B69"/>
    <w:rsid w:val="00521432"/>
    <w:rsid w:val="005246D5"/>
    <w:rsid w:val="0052647E"/>
    <w:rsid w:val="00531523"/>
    <w:rsid w:val="005332EC"/>
    <w:rsid w:val="005342FC"/>
    <w:rsid w:val="00534418"/>
    <w:rsid w:val="00534DA6"/>
    <w:rsid w:val="005353AB"/>
    <w:rsid w:val="00535C44"/>
    <w:rsid w:val="00535EA8"/>
    <w:rsid w:val="00536144"/>
    <w:rsid w:val="0053783B"/>
    <w:rsid w:val="00540F15"/>
    <w:rsid w:val="00542EAE"/>
    <w:rsid w:val="005438E3"/>
    <w:rsid w:val="00544546"/>
    <w:rsid w:val="00546738"/>
    <w:rsid w:val="005478E3"/>
    <w:rsid w:val="00553F1E"/>
    <w:rsid w:val="005560BC"/>
    <w:rsid w:val="00556FA8"/>
    <w:rsid w:val="005573BE"/>
    <w:rsid w:val="005575B5"/>
    <w:rsid w:val="00560080"/>
    <w:rsid w:val="00560810"/>
    <w:rsid w:val="00560EF4"/>
    <w:rsid w:val="0056518B"/>
    <w:rsid w:val="00565E78"/>
    <w:rsid w:val="00572700"/>
    <w:rsid w:val="00573F26"/>
    <w:rsid w:val="00574EE1"/>
    <w:rsid w:val="00580468"/>
    <w:rsid w:val="0058196A"/>
    <w:rsid w:val="00582231"/>
    <w:rsid w:val="0058603B"/>
    <w:rsid w:val="00590075"/>
    <w:rsid w:val="0059431B"/>
    <w:rsid w:val="00594922"/>
    <w:rsid w:val="00595603"/>
    <w:rsid w:val="005A1398"/>
    <w:rsid w:val="005A39CC"/>
    <w:rsid w:val="005A4610"/>
    <w:rsid w:val="005A493E"/>
    <w:rsid w:val="005B1F31"/>
    <w:rsid w:val="005B4730"/>
    <w:rsid w:val="005C0F55"/>
    <w:rsid w:val="005D0895"/>
    <w:rsid w:val="005D2023"/>
    <w:rsid w:val="005D3B08"/>
    <w:rsid w:val="005D5B35"/>
    <w:rsid w:val="005D7801"/>
    <w:rsid w:val="005E05D7"/>
    <w:rsid w:val="005E1183"/>
    <w:rsid w:val="005E162E"/>
    <w:rsid w:val="005E18E9"/>
    <w:rsid w:val="005E41E7"/>
    <w:rsid w:val="005E450F"/>
    <w:rsid w:val="005E68F6"/>
    <w:rsid w:val="005E6A0C"/>
    <w:rsid w:val="005E7289"/>
    <w:rsid w:val="005F1FA4"/>
    <w:rsid w:val="005F2261"/>
    <w:rsid w:val="005F29EA"/>
    <w:rsid w:val="005F56F0"/>
    <w:rsid w:val="0060077F"/>
    <w:rsid w:val="00600EC8"/>
    <w:rsid w:val="00603B02"/>
    <w:rsid w:val="00606A96"/>
    <w:rsid w:val="00606BC0"/>
    <w:rsid w:val="00611920"/>
    <w:rsid w:val="00613A84"/>
    <w:rsid w:val="00616F30"/>
    <w:rsid w:val="0062298A"/>
    <w:rsid w:val="006233DD"/>
    <w:rsid w:val="0062376B"/>
    <w:rsid w:val="00626514"/>
    <w:rsid w:val="00626589"/>
    <w:rsid w:val="00626701"/>
    <w:rsid w:val="006307BE"/>
    <w:rsid w:val="006339A0"/>
    <w:rsid w:val="006342F1"/>
    <w:rsid w:val="006413A8"/>
    <w:rsid w:val="00642E56"/>
    <w:rsid w:val="0064381A"/>
    <w:rsid w:val="0064568B"/>
    <w:rsid w:val="00651E00"/>
    <w:rsid w:val="00653890"/>
    <w:rsid w:val="00654A0A"/>
    <w:rsid w:val="00660559"/>
    <w:rsid w:val="00660C52"/>
    <w:rsid w:val="00662CA1"/>
    <w:rsid w:val="00663CED"/>
    <w:rsid w:val="006671A5"/>
    <w:rsid w:val="00667970"/>
    <w:rsid w:val="00672CE0"/>
    <w:rsid w:val="00674572"/>
    <w:rsid w:val="00674A80"/>
    <w:rsid w:val="00675DF2"/>
    <w:rsid w:val="00677C61"/>
    <w:rsid w:val="00684116"/>
    <w:rsid w:val="00687763"/>
    <w:rsid w:val="006907DD"/>
    <w:rsid w:val="00692B0D"/>
    <w:rsid w:val="00693E0E"/>
    <w:rsid w:val="006954E4"/>
    <w:rsid w:val="00697114"/>
    <w:rsid w:val="006A11F8"/>
    <w:rsid w:val="006A1AE3"/>
    <w:rsid w:val="006A1CEF"/>
    <w:rsid w:val="006A5815"/>
    <w:rsid w:val="006B1113"/>
    <w:rsid w:val="006B51E2"/>
    <w:rsid w:val="006B613D"/>
    <w:rsid w:val="006B69E9"/>
    <w:rsid w:val="006B7890"/>
    <w:rsid w:val="006C2F76"/>
    <w:rsid w:val="006C30E1"/>
    <w:rsid w:val="006C373B"/>
    <w:rsid w:val="006C4607"/>
    <w:rsid w:val="006D48F1"/>
    <w:rsid w:val="006D67C5"/>
    <w:rsid w:val="006D720E"/>
    <w:rsid w:val="006E0BD4"/>
    <w:rsid w:val="006E2380"/>
    <w:rsid w:val="006E3703"/>
    <w:rsid w:val="006E71FC"/>
    <w:rsid w:val="006E7D54"/>
    <w:rsid w:val="006E7E03"/>
    <w:rsid w:val="006F100A"/>
    <w:rsid w:val="006F1A2E"/>
    <w:rsid w:val="006F417F"/>
    <w:rsid w:val="006F45BE"/>
    <w:rsid w:val="006F537D"/>
    <w:rsid w:val="006F6534"/>
    <w:rsid w:val="006F76B6"/>
    <w:rsid w:val="006F7E5A"/>
    <w:rsid w:val="007004FC"/>
    <w:rsid w:val="00701FD7"/>
    <w:rsid w:val="0070312B"/>
    <w:rsid w:val="0070401B"/>
    <w:rsid w:val="00704856"/>
    <w:rsid w:val="00705806"/>
    <w:rsid w:val="00705EB0"/>
    <w:rsid w:val="00706670"/>
    <w:rsid w:val="00711728"/>
    <w:rsid w:val="00711756"/>
    <w:rsid w:val="00711F59"/>
    <w:rsid w:val="007128FC"/>
    <w:rsid w:val="00717C10"/>
    <w:rsid w:val="00720E0C"/>
    <w:rsid w:val="0072203E"/>
    <w:rsid w:val="0072417C"/>
    <w:rsid w:val="00731A39"/>
    <w:rsid w:val="00732B5E"/>
    <w:rsid w:val="00733C93"/>
    <w:rsid w:val="00734450"/>
    <w:rsid w:val="007353C2"/>
    <w:rsid w:val="0073590B"/>
    <w:rsid w:val="00745F67"/>
    <w:rsid w:val="0075039E"/>
    <w:rsid w:val="00750D21"/>
    <w:rsid w:val="00752D9D"/>
    <w:rsid w:val="0075318A"/>
    <w:rsid w:val="00754784"/>
    <w:rsid w:val="00754922"/>
    <w:rsid w:val="00757C6E"/>
    <w:rsid w:val="00760A5C"/>
    <w:rsid w:val="00762BDA"/>
    <w:rsid w:val="007634EE"/>
    <w:rsid w:val="00767E7B"/>
    <w:rsid w:val="007705DF"/>
    <w:rsid w:val="0077696E"/>
    <w:rsid w:val="00777267"/>
    <w:rsid w:val="007805FD"/>
    <w:rsid w:val="00782D53"/>
    <w:rsid w:val="0078338E"/>
    <w:rsid w:val="00784422"/>
    <w:rsid w:val="00785CE1"/>
    <w:rsid w:val="00786AF9"/>
    <w:rsid w:val="00790B72"/>
    <w:rsid w:val="00792642"/>
    <w:rsid w:val="00792A68"/>
    <w:rsid w:val="007A036B"/>
    <w:rsid w:val="007A0B6B"/>
    <w:rsid w:val="007A2DE9"/>
    <w:rsid w:val="007B1268"/>
    <w:rsid w:val="007B3B54"/>
    <w:rsid w:val="007B3FA0"/>
    <w:rsid w:val="007C0BB0"/>
    <w:rsid w:val="007C0F2C"/>
    <w:rsid w:val="007C2BCC"/>
    <w:rsid w:val="007C30DF"/>
    <w:rsid w:val="007C4EF0"/>
    <w:rsid w:val="007C53A7"/>
    <w:rsid w:val="007C762B"/>
    <w:rsid w:val="007D099D"/>
    <w:rsid w:val="007D1A29"/>
    <w:rsid w:val="007D2C79"/>
    <w:rsid w:val="007D3B32"/>
    <w:rsid w:val="007D58AD"/>
    <w:rsid w:val="007D7A0C"/>
    <w:rsid w:val="007E2664"/>
    <w:rsid w:val="007E329A"/>
    <w:rsid w:val="007E388C"/>
    <w:rsid w:val="007E3ABF"/>
    <w:rsid w:val="007E5BFA"/>
    <w:rsid w:val="007E5F47"/>
    <w:rsid w:val="007E6689"/>
    <w:rsid w:val="007E731C"/>
    <w:rsid w:val="007F0A03"/>
    <w:rsid w:val="007F6E75"/>
    <w:rsid w:val="007F73C1"/>
    <w:rsid w:val="00801659"/>
    <w:rsid w:val="0080167C"/>
    <w:rsid w:val="008029AD"/>
    <w:rsid w:val="00805589"/>
    <w:rsid w:val="008069F8"/>
    <w:rsid w:val="00810040"/>
    <w:rsid w:val="00810931"/>
    <w:rsid w:val="008114C4"/>
    <w:rsid w:val="00811720"/>
    <w:rsid w:val="008129C4"/>
    <w:rsid w:val="00812E34"/>
    <w:rsid w:val="00814591"/>
    <w:rsid w:val="008156A9"/>
    <w:rsid w:val="0082023A"/>
    <w:rsid w:val="008210AE"/>
    <w:rsid w:val="00821A7A"/>
    <w:rsid w:val="00821A7F"/>
    <w:rsid w:val="00823A75"/>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2042"/>
    <w:rsid w:val="008534C9"/>
    <w:rsid w:val="0085599D"/>
    <w:rsid w:val="008562BF"/>
    <w:rsid w:val="0086003F"/>
    <w:rsid w:val="00860667"/>
    <w:rsid w:val="0087003B"/>
    <w:rsid w:val="00870962"/>
    <w:rsid w:val="008723D8"/>
    <w:rsid w:val="0087510C"/>
    <w:rsid w:val="00875663"/>
    <w:rsid w:val="0088465D"/>
    <w:rsid w:val="008849C8"/>
    <w:rsid w:val="008937FA"/>
    <w:rsid w:val="008968D2"/>
    <w:rsid w:val="0089738E"/>
    <w:rsid w:val="008975EF"/>
    <w:rsid w:val="008A14C8"/>
    <w:rsid w:val="008A25CC"/>
    <w:rsid w:val="008B2E31"/>
    <w:rsid w:val="008B31BA"/>
    <w:rsid w:val="008B373F"/>
    <w:rsid w:val="008B5696"/>
    <w:rsid w:val="008B5FDB"/>
    <w:rsid w:val="008B7AFC"/>
    <w:rsid w:val="008C0196"/>
    <w:rsid w:val="008C0C8D"/>
    <w:rsid w:val="008C1B48"/>
    <w:rsid w:val="008C38DD"/>
    <w:rsid w:val="008C4094"/>
    <w:rsid w:val="008C4F5D"/>
    <w:rsid w:val="008C50F4"/>
    <w:rsid w:val="008C5649"/>
    <w:rsid w:val="008C57A4"/>
    <w:rsid w:val="008C6251"/>
    <w:rsid w:val="008D279B"/>
    <w:rsid w:val="008D3CC4"/>
    <w:rsid w:val="008D3E3E"/>
    <w:rsid w:val="008E03E9"/>
    <w:rsid w:val="008E0562"/>
    <w:rsid w:val="008E0FD9"/>
    <w:rsid w:val="008E12C0"/>
    <w:rsid w:val="008E17FC"/>
    <w:rsid w:val="008E1A6C"/>
    <w:rsid w:val="008E25C7"/>
    <w:rsid w:val="008E3B57"/>
    <w:rsid w:val="008E44A2"/>
    <w:rsid w:val="008E5CC1"/>
    <w:rsid w:val="008E680C"/>
    <w:rsid w:val="008E697D"/>
    <w:rsid w:val="008F2541"/>
    <w:rsid w:val="00901725"/>
    <w:rsid w:val="00903263"/>
    <w:rsid w:val="00906A21"/>
    <w:rsid w:val="00907095"/>
    <w:rsid w:val="0090731C"/>
    <w:rsid w:val="009079C3"/>
    <w:rsid w:val="00910462"/>
    <w:rsid w:val="0091134D"/>
    <w:rsid w:val="009148D9"/>
    <w:rsid w:val="00915AB1"/>
    <w:rsid w:val="009162A4"/>
    <w:rsid w:val="00917532"/>
    <w:rsid w:val="0092170B"/>
    <w:rsid w:val="009235BA"/>
    <w:rsid w:val="00924023"/>
    <w:rsid w:val="00924CE2"/>
    <w:rsid w:val="0092501B"/>
    <w:rsid w:val="00925162"/>
    <w:rsid w:val="00925B9F"/>
    <w:rsid w:val="009263D1"/>
    <w:rsid w:val="00931AED"/>
    <w:rsid w:val="0093570F"/>
    <w:rsid w:val="00941F35"/>
    <w:rsid w:val="009455A2"/>
    <w:rsid w:val="009476A3"/>
    <w:rsid w:val="009510DE"/>
    <w:rsid w:val="0095126F"/>
    <w:rsid w:val="00951757"/>
    <w:rsid w:val="00952580"/>
    <w:rsid w:val="0095334F"/>
    <w:rsid w:val="009548EF"/>
    <w:rsid w:val="009604F7"/>
    <w:rsid w:val="00965897"/>
    <w:rsid w:val="00966CA5"/>
    <w:rsid w:val="00966E56"/>
    <w:rsid w:val="0096765C"/>
    <w:rsid w:val="009723E7"/>
    <w:rsid w:val="009727E4"/>
    <w:rsid w:val="00977658"/>
    <w:rsid w:val="00983677"/>
    <w:rsid w:val="009841DF"/>
    <w:rsid w:val="0098765C"/>
    <w:rsid w:val="0098768D"/>
    <w:rsid w:val="00990176"/>
    <w:rsid w:val="00990B4F"/>
    <w:rsid w:val="009934C5"/>
    <w:rsid w:val="00994C0F"/>
    <w:rsid w:val="009A3804"/>
    <w:rsid w:val="009A494A"/>
    <w:rsid w:val="009A6537"/>
    <w:rsid w:val="009B1134"/>
    <w:rsid w:val="009B22D7"/>
    <w:rsid w:val="009B72ED"/>
    <w:rsid w:val="009C1D0D"/>
    <w:rsid w:val="009C238B"/>
    <w:rsid w:val="009C2E8F"/>
    <w:rsid w:val="009C43F8"/>
    <w:rsid w:val="009C5241"/>
    <w:rsid w:val="009C6DEB"/>
    <w:rsid w:val="009C72F5"/>
    <w:rsid w:val="009D5EF2"/>
    <w:rsid w:val="009D6504"/>
    <w:rsid w:val="009E12D7"/>
    <w:rsid w:val="009E1C97"/>
    <w:rsid w:val="009E4171"/>
    <w:rsid w:val="009E49A2"/>
    <w:rsid w:val="009E63CD"/>
    <w:rsid w:val="009E661A"/>
    <w:rsid w:val="009E7D58"/>
    <w:rsid w:val="009F7578"/>
    <w:rsid w:val="009F78F5"/>
    <w:rsid w:val="00A00FEF"/>
    <w:rsid w:val="00A01A47"/>
    <w:rsid w:val="00A01A6A"/>
    <w:rsid w:val="00A05C18"/>
    <w:rsid w:val="00A06781"/>
    <w:rsid w:val="00A074C3"/>
    <w:rsid w:val="00A1509C"/>
    <w:rsid w:val="00A155CE"/>
    <w:rsid w:val="00A163DA"/>
    <w:rsid w:val="00A16C18"/>
    <w:rsid w:val="00A20352"/>
    <w:rsid w:val="00A209D5"/>
    <w:rsid w:val="00A21D32"/>
    <w:rsid w:val="00A249B9"/>
    <w:rsid w:val="00A25719"/>
    <w:rsid w:val="00A3382E"/>
    <w:rsid w:val="00A34260"/>
    <w:rsid w:val="00A35213"/>
    <w:rsid w:val="00A3670E"/>
    <w:rsid w:val="00A37482"/>
    <w:rsid w:val="00A37CED"/>
    <w:rsid w:val="00A43D3A"/>
    <w:rsid w:val="00A44CDD"/>
    <w:rsid w:val="00A46236"/>
    <w:rsid w:val="00A46C5D"/>
    <w:rsid w:val="00A5077A"/>
    <w:rsid w:val="00A52227"/>
    <w:rsid w:val="00A52846"/>
    <w:rsid w:val="00A541A5"/>
    <w:rsid w:val="00A55435"/>
    <w:rsid w:val="00A61044"/>
    <w:rsid w:val="00A626C3"/>
    <w:rsid w:val="00A63146"/>
    <w:rsid w:val="00A637C5"/>
    <w:rsid w:val="00A70285"/>
    <w:rsid w:val="00A708B6"/>
    <w:rsid w:val="00A70CFD"/>
    <w:rsid w:val="00A72A0B"/>
    <w:rsid w:val="00A72F74"/>
    <w:rsid w:val="00A74B9C"/>
    <w:rsid w:val="00A754D5"/>
    <w:rsid w:val="00A8152B"/>
    <w:rsid w:val="00A81E42"/>
    <w:rsid w:val="00A864FE"/>
    <w:rsid w:val="00A8665D"/>
    <w:rsid w:val="00A86F41"/>
    <w:rsid w:val="00A87D04"/>
    <w:rsid w:val="00A900D1"/>
    <w:rsid w:val="00A91917"/>
    <w:rsid w:val="00A928FB"/>
    <w:rsid w:val="00A950C5"/>
    <w:rsid w:val="00A958DB"/>
    <w:rsid w:val="00A95C54"/>
    <w:rsid w:val="00A9687B"/>
    <w:rsid w:val="00AA1D25"/>
    <w:rsid w:val="00AA4807"/>
    <w:rsid w:val="00AA6615"/>
    <w:rsid w:val="00AA6866"/>
    <w:rsid w:val="00AA6CD5"/>
    <w:rsid w:val="00AB03B5"/>
    <w:rsid w:val="00AB04BB"/>
    <w:rsid w:val="00AB2B1A"/>
    <w:rsid w:val="00AB397F"/>
    <w:rsid w:val="00AB5832"/>
    <w:rsid w:val="00AB6237"/>
    <w:rsid w:val="00AC469E"/>
    <w:rsid w:val="00AC51F2"/>
    <w:rsid w:val="00AC67EC"/>
    <w:rsid w:val="00AC7BAF"/>
    <w:rsid w:val="00AD3269"/>
    <w:rsid w:val="00AD4451"/>
    <w:rsid w:val="00AE12EA"/>
    <w:rsid w:val="00AE3067"/>
    <w:rsid w:val="00AE3368"/>
    <w:rsid w:val="00AE4C3A"/>
    <w:rsid w:val="00AE5066"/>
    <w:rsid w:val="00AE53B0"/>
    <w:rsid w:val="00AE5E24"/>
    <w:rsid w:val="00AE61B7"/>
    <w:rsid w:val="00AE6CBA"/>
    <w:rsid w:val="00AE7980"/>
    <w:rsid w:val="00AE79AD"/>
    <w:rsid w:val="00AF01E7"/>
    <w:rsid w:val="00AF0416"/>
    <w:rsid w:val="00AF19D3"/>
    <w:rsid w:val="00AF35E4"/>
    <w:rsid w:val="00AF544C"/>
    <w:rsid w:val="00AF57C4"/>
    <w:rsid w:val="00AF5CDE"/>
    <w:rsid w:val="00AF6B25"/>
    <w:rsid w:val="00B00C03"/>
    <w:rsid w:val="00B01C9A"/>
    <w:rsid w:val="00B03A5E"/>
    <w:rsid w:val="00B079B2"/>
    <w:rsid w:val="00B11006"/>
    <w:rsid w:val="00B11A57"/>
    <w:rsid w:val="00B12D2C"/>
    <w:rsid w:val="00B179D9"/>
    <w:rsid w:val="00B211C3"/>
    <w:rsid w:val="00B228F1"/>
    <w:rsid w:val="00B232E2"/>
    <w:rsid w:val="00B25597"/>
    <w:rsid w:val="00B260BA"/>
    <w:rsid w:val="00B26600"/>
    <w:rsid w:val="00B267B9"/>
    <w:rsid w:val="00B31B7A"/>
    <w:rsid w:val="00B33E09"/>
    <w:rsid w:val="00B350B8"/>
    <w:rsid w:val="00B376E2"/>
    <w:rsid w:val="00B41746"/>
    <w:rsid w:val="00B42AB7"/>
    <w:rsid w:val="00B44F20"/>
    <w:rsid w:val="00B460FC"/>
    <w:rsid w:val="00B46F2D"/>
    <w:rsid w:val="00B470FE"/>
    <w:rsid w:val="00B50708"/>
    <w:rsid w:val="00B50C68"/>
    <w:rsid w:val="00B51293"/>
    <w:rsid w:val="00B52B1E"/>
    <w:rsid w:val="00B533B9"/>
    <w:rsid w:val="00B55481"/>
    <w:rsid w:val="00B56C32"/>
    <w:rsid w:val="00B57ACF"/>
    <w:rsid w:val="00B6423F"/>
    <w:rsid w:val="00B64BB1"/>
    <w:rsid w:val="00B666CD"/>
    <w:rsid w:val="00B67717"/>
    <w:rsid w:val="00B73166"/>
    <w:rsid w:val="00B83098"/>
    <w:rsid w:val="00B8426C"/>
    <w:rsid w:val="00B845A1"/>
    <w:rsid w:val="00B85441"/>
    <w:rsid w:val="00B85DF5"/>
    <w:rsid w:val="00B9139B"/>
    <w:rsid w:val="00B9172C"/>
    <w:rsid w:val="00B91B8D"/>
    <w:rsid w:val="00B9385A"/>
    <w:rsid w:val="00B939C8"/>
    <w:rsid w:val="00B94375"/>
    <w:rsid w:val="00B94E90"/>
    <w:rsid w:val="00BA11C8"/>
    <w:rsid w:val="00BA3C4F"/>
    <w:rsid w:val="00BA5318"/>
    <w:rsid w:val="00BA7AAE"/>
    <w:rsid w:val="00BB0A82"/>
    <w:rsid w:val="00BB44C2"/>
    <w:rsid w:val="00BB79E0"/>
    <w:rsid w:val="00BB7C94"/>
    <w:rsid w:val="00BC0A9D"/>
    <w:rsid w:val="00BC401D"/>
    <w:rsid w:val="00BD2657"/>
    <w:rsid w:val="00BD27C9"/>
    <w:rsid w:val="00BD28D4"/>
    <w:rsid w:val="00BD40D7"/>
    <w:rsid w:val="00BE0778"/>
    <w:rsid w:val="00BE1916"/>
    <w:rsid w:val="00BE2643"/>
    <w:rsid w:val="00BE4CD9"/>
    <w:rsid w:val="00BE5094"/>
    <w:rsid w:val="00BE7EE1"/>
    <w:rsid w:val="00BF0A41"/>
    <w:rsid w:val="00BF0B1F"/>
    <w:rsid w:val="00BF3007"/>
    <w:rsid w:val="00BF40ED"/>
    <w:rsid w:val="00BF4F13"/>
    <w:rsid w:val="00BF5BC2"/>
    <w:rsid w:val="00C0144E"/>
    <w:rsid w:val="00C02911"/>
    <w:rsid w:val="00C03181"/>
    <w:rsid w:val="00C05A4B"/>
    <w:rsid w:val="00C1133D"/>
    <w:rsid w:val="00C20997"/>
    <w:rsid w:val="00C24AE2"/>
    <w:rsid w:val="00C27A08"/>
    <w:rsid w:val="00C30BEC"/>
    <w:rsid w:val="00C31312"/>
    <w:rsid w:val="00C31E36"/>
    <w:rsid w:val="00C324CA"/>
    <w:rsid w:val="00C326C6"/>
    <w:rsid w:val="00C33E2D"/>
    <w:rsid w:val="00C34209"/>
    <w:rsid w:val="00C35295"/>
    <w:rsid w:val="00C3587A"/>
    <w:rsid w:val="00C36ADD"/>
    <w:rsid w:val="00C36E74"/>
    <w:rsid w:val="00C40595"/>
    <w:rsid w:val="00C41621"/>
    <w:rsid w:val="00C41BA3"/>
    <w:rsid w:val="00C431DD"/>
    <w:rsid w:val="00C449FA"/>
    <w:rsid w:val="00C460CB"/>
    <w:rsid w:val="00C46997"/>
    <w:rsid w:val="00C46B4F"/>
    <w:rsid w:val="00C471F0"/>
    <w:rsid w:val="00C53256"/>
    <w:rsid w:val="00C5384F"/>
    <w:rsid w:val="00C538B5"/>
    <w:rsid w:val="00C56964"/>
    <w:rsid w:val="00C60010"/>
    <w:rsid w:val="00C62EFD"/>
    <w:rsid w:val="00C63293"/>
    <w:rsid w:val="00C632F0"/>
    <w:rsid w:val="00C6563F"/>
    <w:rsid w:val="00C656D5"/>
    <w:rsid w:val="00C663A0"/>
    <w:rsid w:val="00C67103"/>
    <w:rsid w:val="00C7126F"/>
    <w:rsid w:val="00C71BB9"/>
    <w:rsid w:val="00C72731"/>
    <w:rsid w:val="00C75D15"/>
    <w:rsid w:val="00C7612B"/>
    <w:rsid w:val="00C76FFD"/>
    <w:rsid w:val="00C81F42"/>
    <w:rsid w:val="00C842C4"/>
    <w:rsid w:val="00C874C0"/>
    <w:rsid w:val="00C877C8"/>
    <w:rsid w:val="00C91534"/>
    <w:rsid w:val="00C9282A"/>
    <w:rsid w:val="00C94C28"/>
    <w:rsid w:val="00C972B0"/>
    <w:rsid w:val="00CA28A9"/>
    <w:rsid w:val="00CA3261"/>
    <w:rsid w:val="00CA604C"/>
    <w:rsid w:val="00CA6CA0"/>
    <w:rsid w:val="00CB00B6"/>
    <w:rsid w:val="00CB0247"/>
    <w:rsid w:val="00CB2C6E"/>
    <w:rsid w:val="00CB3440"/>
    <w:rsid w:val="00CB43CE"/>
    <w:rsid w:val="00CC1692"/>
    <w:rsid w:val="00CC2240"/>
    <w:rsid w:val="00CC31F4"/>
    <w:rsid w:val="00CC5B14"/>
    <w:rsid w:val="00CC5D9C"/>
    <w:rsid w:val="00CD063B"/>
    <w:rsid w:val="00CD138B"/>
    <w:rsid w:val="00CD3E31"/>
    <w:rsid w:val="00CD63FB"/>
    <w:rsid w:val="00CD74A3"/>
    <w:rsid w:val="00CD7E5D"/>
    <w:rsid w:val="00CE0527"/>
    <w:rsid w:val="00CE0F16"/>
    <w:rsid w:val="00CE105C"/>
    <w:rsid w:val="00CE2AB9"/>
    <w:rsid w:val="00CE4B18"/>
    <w:rsid w:val="00CE5B23"/>
    <w:rsid w:val="00CE67C2"/>
    <w:rsid w:val="00CE6CD3"/>
    <w:rsid w:val="00CF2038"/>
    <w:rsid w:val="00CF2A49"/>
    <w:rsid w:val="00CF2BD9"/>
    <w:rsid w:val="00CF3CE7"/>
    <w:rsid w:val="00CF6D8B"/>
    <w:rsid w:val="00CF70AD"/>
    <w:rsid w:val="00CF7729"/>
    <w:rsid w:val="00D00059"/>
    <w:rsid w:val="00D01737"/>
    <w:rsid w:val="00D040B3"/>
    <w:rsid w:val="00D107FA"/>
    <w:rsid w:val="00D10F17"/>
    <w:rsid w:val="00D12275"/>
    <w:rsid w:val="00D12766"/>
    <w:rsid w:val="00D14186"/>
    <w:rsid w:val="00D2084F"/>
    <w:rsid w:val="00D20FF4"/>
    <w:rsid w:val="00D211BA"/>
    <w:rsid w:val="00D24D2C"/>
    <w:rsid w:val="00D31D81"/>
    <w:rsid w:val="00D35881"/>
    <w:rsid w:val="00D3726E"/>
    <w:rsid w:val="00D40825"/>
    <w:rsid w:val="00D41D8D"/>
    <w:rsid w:val="00D47186"/>
    <w:rsid w:val="00D50253"/>
    <w:rsid w:val="00D51DB0"/>
    <w:rsid w:val="00D56D9F"/>
    <w:rsid w:val="00D63E7E"/>
    <w:rsid w:val="00D64DD8"/>
    <w:rsid w:val="00D6720D"/>
    <w:rsid w:val="00D71109"/>
    <w:rsid w:val="00D75BF4"/>
    <w:rsid w:val="00D8020A"/>
    <w:rsid w:val="00D81043"/>
    <w:rsid w:val="00D8355C"/>
    <w:rsid w:val="00D84333"/>
    <w:rsid w:val="00D8552F"/>
    <w:rsid w:val="00D93EFF"/>
    <w:rsid w:val="00D9434C"/>
    <w:rsid w:val="00D94871"/>
    <w:rsid w:val="00D94EE5"/>
    <w:rsid w:val="00D9596D"/>
    <w:rsid w:val="00DA28C2"/>
    <w:rsid w:val="00DA2C1D"/>
    <w:rsid w:val="00DA7DA5"/>
    <w:rsid w:val="00DB00B9"/>
    <w:rsid w:val="00DB073B"/>
    <w:rsid w:val="00DB2842"/>
    <w:rsid w:val="00DB2DC8"/>
    <w:rsid w:val="00DB2FEE"/>
    <w:rsid w:val="00DB5CF2"/>
    <w:rsid w:val="00DB7398"/>
    <w:rsid w:val="00DB78F0"/>
    <w:rsid w:val="00DC0CEA"/>
    <w:rsid w:val="00DC293C"/>
    <w:rsid w:val="00DC2D3F"/>
    <w:rsid w:val="00DC2E43"/>
    <w:rsid w:val="00DD095C"/>
    <w:rsid w:val="00DD1020"/>
    <w:rsid w:val="00DD1330"/>
    <w:rsid w:val="00DD2880"/>
    <w:rsid w:val="00DD4BA8"/>
    <w:rsid w:val="00DD643A"/>
    <w:rsid w:val="00DE0B83"/>
    <w:rsid w:val="00DE1A81"/>
    <w:rsid w:val="00DE1BA0"/>
    <w:rsid w:val="00DE1C13"/>
    <w:rsid w:val="00DE1C9F"/>
    <w:rsid w:val="00DE32EB"/>
    <w:rsid w:val="00DE3618"/>
    <w:rsid w:val="00DE4E10"/>
    <w:rsid w:val="00DE5A3F"/>
    <w:rsid w:val="00DE64DA"/>
    <w:rsid w:val="00DE78D8"/>
    <w:rsid w:val="00DF672E"/>
    <w:rsid w:val="00DF676D"/>
    <w:rsid w:val="00E008FB"/>
    <w:rsid w:val="00E02ABF"/>
    <w:rsid w:val="00E055F5"/>
    <w:rsid w:val="00E10833"/>
    <w:rsid w:val="00E10C3A"/>
    <w:rsid w:val="00E10CC1"/>
    <w:rsid w:val="00E14128"/>
    <w:rsid w:val="00E14995"/>
    <w:rsid w:val="00E14F2A"/>
    <w:rsid w:val="00E17900"/>
    <w:rsid w:val="00E179CD"/>
    <w:rsid w:val="00E22CB3"/>
    <w:rsid w:val="00E23E8D"/>
    <w:rsid w:val="00E25B0F"/>
    <w:rsid w:val="00E26010"/>
    <w:rsid w:val="00E37F98"/>
    <w:rsid w:val="00E40578"/>
    <w:rsid w:val="00E40979"/>
    <w:rsid w:val="00E40AA5"/>
    <w:rsid w:val="00E44632"/>
    <w:rsid w:val="00E45299"/>
    <w:rsid w:val="00E46559"/>
    <w:rsid w:val="00E4659A"/>
    <w:rsid w:val="00E4687C"/>
    <w:rsid w:val="00E53D6F"/>
    <w:rsid w:val="00E5465F"/>
    <w:rsid w:val="00E56447"/>
    <w:rsid w:val="00E5700B"/>
    <w:rsid w:val="00E609D9"/>
    <w:rsid w:val="00E6670C"/>
    <w:rsid w:val="00E714EA"/>
    <w:rsid w:val="00E71E17"/>
    <w:rsid w:val="00E776E8"/>
    <w:rsid w:val="00E8298C"/>
    <w:rsid w:val="00E8671A"/>
    <w:rsid w:val="00E86F21"/>
    <w:rsid w:val="00E915D1"/>
    <w:rsid w:val="00E9202A"/>
    <w:rsid w:val="00E92C1F"/>
    <w:rsid w:val="00E92DFC"/>
    <w:rsid w:val="00E93B8A"/>
    <w:rsid w:val="00E955C1"/>
    <w:rsid w:val="00E95D4B"/>
    <w:rsid w:val="00E97E05"/>
    <w:rsid w:val="00E97FC5"/>
    <w:rsid w:val="00EA14D4"/>
    <w:rsid w:val="00EA1AD5"/>
    <w:rsid w:val="00EA63BF"/>
    <w:rsid w:val="00EB0428"/>
    <w:rsid w:val="00EB199F"/>
    <w:rsid w:val="00EB38E8"/>
    <w:rsid w:val="00EB434F"/>
    <w:rsid w:val="00EB47BB"/>
    <w:rsid w:val="00EC02C7"/>
    <w:rsid w:val="00EC09F3"/>
    <w:rsid w:val="00EC23F7"/>
    <w:rsid w:val="00EC2B1D"/>
    <w:rsid w:val="00EC4BD8"/>
    <w:rsid w:val="00EC5DC5"/>
    <w:rsid w:val="00EC63EB"/>
    <w:rsid w:val="00ED0358"/>
    <w:rsid w:val="00ED1823"/>
    <w:rsid w:val="00ED2780"/>
    <w:rsid w:val="00ED412F"/>
    <w:rsid w:val="00ED43F3"/>
    <w:rsid w:val="00ED67ED"/>
    <w:rsid w:val="00ED73F4"/>
    <w:rsid w:val="00ED7886"/>
    <w:rsid w:val="00ED7A20"/>
    <w:rsid w:val="00ED7E1F"/>
    <w:rsid w:val="00EE2AAA"/>
    <w:rsid w:val="00EE364E"/>
    <w:rsid w:val="00EE7426"/>
    <w:rsid w:val="00EF0EB7"/>
    <w:rsid w:val="00EF166C"/>
    <w:rsid w:val="00EF36B2"/>
    <w:rsid w:val="00EF3825"/>
    <w:rsid w:val="00EF55C9"/>
    <w:rsid w:val="00F01A58"/>
    <w:rsid w:val="00F05BB4"/>
    <w:rsid w:val="00F1246B"/>
    <w:rsid w:val="00F15649"/>
    <w:rsid w:val="00F201EC"/>
    <w:rsid w:val="00F20478"/>
    <w:rsid w:val="00F208A9"/>
    <w:rsid w:val="00F22F01"/>
    <w:rsid w:val="00F36B19"/>
    <w:rsid w:val="00F41D75"/>
    <w:rsid w:val="00F42A0A"/>
    <w:rsid w:val="00F4369B"/>
    <w:rsid w:val="00F442B5"/>
    <w:rsid w:val="00F4446D"/>
    <w:rsid w:val="00F44D8A"/>
    <w:rsid w:val="00F46466"/>
    <w:rsid w:val="00F47740"/>
    <w:rsid w:val="00F5139D"/>
    <w:rsid w:val="00F530A4"/>
    <w:rsid w:val="00F569A9"/>
    <w:rsid w:val="00F6209C"/>
    <w:rsid w:val="00F63D66"/>
    <w:rsid w:val="00F63DAC"/>
    <w:rsid w:val="00F71B3C"/>
    <w:rsid w:val="00F72815"/>
    <w:rsid w:val="00F73A9F"/>
    <w:rsid w:val="00F7454F"/>
    <w:rsid w:val="00F77988"/>
    <w:rsid w:val="00F77F48"/>
    <w:rsid w:val="00F80062"/>
    <w:rsid w:val="00F801DF"/>
    <w:rsid w:val="00F87F5F"/>
    <w:rsid w:val="00F92643"/>
    <w:rsid w:val="00F92C42"/>
    <w:rsid w:val="00FA036C"/>
    <w:rsid w:val="00FA0758"/>
    <w:rsid w:val="00FA3CF6"/>
    <w:rsid w:val="00FA49BB"/>
    <w:rsid w:val="00FB22F8"/>
    <w:rsid w:val="00FB30F1"/>
    <w:rsid w:val="00FB3399"/>
    <w:rsid w:val="00FB3F6E"/>
    <w:rsid w:val="00FB4812"/>
    <w:rsid w:val="00FB53E7"/>
    <w:rsid w:val="00FB5D12"/>
    <w:rsid w:val="00FC0E52"/>
    <w:rsid w:val="00FC7175"/>
    <w:rsid w:val="00FD05E9"/>
    <w:rsid w:val="00FD2A8A"/>
    <w:rsid w:val="00FE0000"/>
    <w:rsid w:val="00FE030B"/>
    <w:rsid w:val="00FE0DB1"/>
    <w:rsid w:val="00FE1598"/>
    <w:rsid w:val="00FE4E86"/>
    <w:rsid w:val="00FE51F8"/>
    <w:rsid w:val="00FE6DBD"/>
    <w:rsid w:val="00FE7BF9"/>
    <w:rsid w:val="00FF62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webSettings.xml><?xml version="1.0" encoding="utf-8"?>
<w:webSettings xmlns:r="http://schemas.openxmlformats.org/officeDocument/2006/relationships" xmlns:w="http://schemas.openxmlformats.org/wordprocessingml/2006/main">
  <w:divs>
    <w:div w:id="1363818768">
      <w:marLeft w:val="0"/>
      <w:marRight w:val="0"/>
      <w:marTop w:val="0"/>
      <w:marBottom w:val="0"/>
      <w:divBdr>
        <w:top w:val="none" w:sz="0" w:space="0" w:color="auto"/>
        <w:left w:val="none" w:sz="0" w:space="0" w:color="auto"/>
        <w:bottom w:val="none" w:sz="0" w:space="0" w:color="auto"/>
        <w:right w:val="none" w:sz="0" w:space="0" w:color="auto"/>
      </w:divBdr>
    </w:div>
    <w:div w:id="1363818769">
      <w:marLeft w:val="0"/>
      <w:marRight w:val="0"/>
      <w:marTop w:val="0"/>
      <w:marBottom w:val="0"/>
      <w:divBdr>
        <w:top w:val="none" w:sz="0" w:space="0" w:color="auto"/>
        <w:left w:val="none" w:sz="0" w:space="0" w:color="auto"/>
        <w:bottom w:val="none" w:sz="0" w:space="0" w:color="auto"/>
        <w:right w:val="none" w:sz="0" w:space="0" w:color="auto"/>
      </w:divBdr>
    </w:div>
    <w:div w:id="1363818770">
      <w:marLeft w:val="0"/>
      <w:marRight w:val="0"/>
      <w:marTop w:val="0"/>
      <w:marBottom w:val="0"/>
      <w:divBdr>
        <w:top w:val="none" w:sz="0" w:space="0" w:color="auto"/>
        <w:left w:val="none" w:sz="0" w:space="0" w:color="auto"/>
        <w:bottom w:val="none" w:sz="0" w:space="0" w:color="auto"/>
        <w:right w:val="none" w:sz="0" w:space="0" w:color="auto"/>
      </w:divBdr>
    </w:div>
    <w:div w:id="1363818771">
      <w:marLeft w:val="30"/>
      <w:marRight w:val="30"/>
      <w:marTop w:val="60"/>
      <w:marBottom w:val="60"/>
      <w:divBdr>
        <w:top w:val="none" w:sz="0" w:space="0" w:color="auto"/>
        <w:left w:val="none" w:sz="0" w:space="0" w:color="auto"/>
        <w:bottom w:val="none" w:sz="0" w:space="0" w:color="auto"/>
        <w:right w:val="none" w:sz="0" w:space="0" w:color="auto"/>
      </w:divBdr>
      <w:divsChild>
        <w:div w:id="1363818774">
          <w:marLeft w:val="0"/>
          <w:marRight w:val="0"/>
          <w:marTop w:val="240"/>
          <w:marBottom w:val="0"/>
          <w:divBdr>
            <w:top w:val="none" w:sz="0" w:space="0" w:color="auto"/>
            <w:left w:val="none" w:sz="0" w:space="0" w:color="auto"/>
            <w:bottom w:val="none" w:sz="0" w:space="0" w:color="auto"/>
            <w:right w:val="none" w:sz="0" w:space="0" w:color="auto"/>
          </w:divBdr>
        </w:div>
      </w:divsChild>
    </w:div>
    <w:div w:id="1363818773">
      <w:marLeft w:val="30"/>
      <w:marRight w:val="30"/>
      <w:marTop w:val="60"/>
      <w:marBottom w:val="60"/>
      <w:divBdr>
        <w:top w:val="none" w:sz="0" w:space="0" w:color="auto"/>
        <w:left w:val="none" w:sz="0" w:space="0" w:color="auto"/>
        <w:bottom w:val="none" w:sz="0" w:space="0" w:color="auto"/>
        <w:right w:val="none" w:sz="0" w:space="0" w:color="auto"/>
      </w:divBdr>
      <w:divsChild>
        <w:div w:id="13638187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Ministru kabineta noteikumu projekta „Emisijas kvotu piešķiršanas kārtība stacionāro tehnoloģisko iekārtu operatoriem” sākotnējās ietekmes novērtējuma ziņojums (anotācija)</vt:lpstr>
    </vt:vector>
  </TitlesOfParts>
  <Manager>Helena.Rimsa@varam.gov.lv</Manager>
  <Company>Vides aizsardzības un reģionālās attīstības ministrija</Company>
  <LinksUpToDate>false</LinksUpToDate>
  <CharactersWithSpaces>27435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sākotnējās ietekmes novērtējuma ziņojums (anotācija)</dc:title>
  <dc:subject>Ministru kabineta noteikumu projekta sākotnējās ietekmes ziņojums</dc:subject>
  <dc:creator>Helena.Rimsa@varam.gov.lv</dc:creator>
  <cp:lastModifiedBy>larisat</cp:lastModifiedBy>
  <cp:revision>2</cp:revision>
  <cp:lastPrinted>2012-09-06T13:14:00Z</cp:lastPrinted>
  <dcterms:created xsi:type="dcterms:W3CDTF">2014-03-14T06:08:00Z</dcterms:created>
  <dcterms:modified xsi:type="dcterms:W3CDTF">2014-03-14T06:08:00Z</dcterms:modified>
  <cp:category>Vides politika</cp:category>
</cp:coreProperties>
</file>